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8FAD1" w14:textId="10BEDD7D" w:rsidR="00F835E5" w:rsidRPr="00E32653" w:rsidRDefault="009E4322" w:rsidP="00A67AE9">
      <w:pPr>
        <w:jc w:val="center"/>
        <w:rPr>
          <w:rFonts w:asciiTheme="majorBidi" w:hAnsiTheme="majorBidi" w:cstheme="majorBidi"/>
          <w:b/>
          <w:bCs/>
          <w:sz w:val="28"/>
          <w:szCs w:val="28"/>
          <w:shd w:val="clear" w:color="auto" w:fill="FFFFFF"/>
        </w:rPr>
      </w:pPr>
      <w:r w:rsidRPr="00E32653">
        <w:rPr>
          <w:rFonts w:asciiTheme="majorBidi" w:hAnsiTheme="majorBidi" w:cstheme="majorBidi"/>
          <w:b/>
          <w:bCs/>
          <w:sz w:val="28"/>
          <w:szCs w:val="28"/>
          <w:shd w:val="clear" w:color="auto" w:fill="FFFFFF"/>
        </w:rPr>
        <w:t>Economic and Environmental life cycle perspectives on two-engineered wood products: comparison of LVL and GLT construction materials</w:t>
      </w:r>
    </w:p>
    <w:p w14:paraId="0492543D" w14:textId="77777777" w:rsidR="00004835" w:rsidRPr="00E32653" w:rsidRDefault="00004835" w:rsidP="00A67AE9">
      <w:pPr>
        <w:jc w:val="center"/>
        <w:rPr>
          <w:rFonts w:asciiTheme="majorBidi" w:hAnsiTheme="majorBidi" w:cstheme="majorBidi"/>
        </w:rPr>
      </w:pPr>
    </w:p>
    <w:p w14:paraId="2AACD661" w14:textId="10138255" w:rsidR="004F1AF8" w:rsidRPr="00E32653" w:rsidRDefault="004E4D64" w:rsidP="004E4D64">
      <w:pPr>
        <w:jc w:val="center"/>
        <w:rPr>
          <w:rFonts w:asciiTheme="majorBidi" w:eastAsiaTheme="minorEastAsia" w:hAnsiTheme="majorBidi" w:cstheme="majorBidi"/>
          <w:i/>
          <w:iCs/>
        </w:rPr>
      </w:pPr>
      <w:r w:rsidRPr="00E32653">
        <w:rPr>
          <w:rFonts w:asciiTheme="majorBidi" w:eastAsiaTheme="minorEastAsia" w:hAnsiTheme="majorBidi" w:cstheme="majorBidi"/>
          <w:i/>
          <w:iCs/>
        </w:rPr>
        <w:t>Corresponding Author: Ali</w:t>
      </w:r>
      <w:r w:rsidR="00690EFE" w:rsidRPr="00E32653">
        <w:rPr>
          <w:rFonts w:asciiTheme="majorBidi" w:eastAsiaTheme="minorEastAsia" w:hAnsiTheme="majorBidi" w:cstheme="majorBidi"/>
          <w:i/>
          <w:iCs/>
        </w:rPr>
        <w:t xml:space="preserve"> Tighnavard Balasbaneh</w:t>
      </w:r>
      <w:r w:rsidR="00690EFE" w:rsidRPr="00E32653">
        <w:rPr>
          <w:rFonts w:asciiTheme="majorBidi" w:eastAsiaTheme="minorEastAsia" w:hAnsiTheme="majorBidi" w:cstheme="majorBidi"/>
          <w:i/>
          <w:iCs/>
          <w:vertAlign w:val="superscript"/>
        </w:rPr>
        <w:t>1</w:t>
      </w:r>
      <w:r w:rsidR="00690EFE" w:rsidRPr="00E32653">
        <w:rPr>
          <w:rFonts w:asciiTheme="majorBidi" w:eastAsiaTheme="minorEastAsia" w:hAnsiTheme="majorBidi" w:cstheme="majorBidi"/>
          <w:i/>
          <w:iCs/>
        </w:rPr>
        <w:t xml:space="preserve">, </w:t>
      </w:r>
    </w:p>
    <w:p w14:paraId="3DFF875C" w14:textId="22E5AB11" w:rsidR="004E4D64" w:rsidRPr="00E32653" w:rsidRDefault="004E4D64" w:rsidP="004E4D64">
      <w:pPr>
        <w:jc w:val="center"/>
        <w:rPr>
          <w:rFonts w:asciiTheme="majorBidi" w:eastAsiaTheme="minorEastAsia" w:hAnsiTheme="majorBidi" w:cstheme="majorBidi"/>
          <w:i/>
          <w:iCs/>
        </w:rPr>
      </w:pPr>
      <w:r w:rsidRPr="00E32653">
        <w:rPr>
          <w:rFonts w:asciiTheme="majorBidi" w:eastAsiaTheme="minorEastAsia" w:hAnsiTheme="majorBidi" w:cstheme="majorBidi"/>
          <w:i/>
          <w:iCs/>
        </w:rPr>
        <w:t>Co-Authors: Willy Sher</w:t>
      </w:r>
      <w:r w:rsidRPr="00E32653">
        <w:rPr>
          <w:rFonts w:asciiTheme="majorBidi" w:eastAsiaTheme="minorEastAsia" w:hAnsiTheme="majorBidi" w:cstheme="majorBidi"/>
          <w:i/>
          <w:iCs/>
          <w:vertAlign w:val="superscript"/>
        </w:rPr>
        <w:t>2</w:t>
      </w:r>
      <w:r w:rsidRPr="00E32653">
        <w:rPr>
          <w:rFonts w:asciiTheme="majorBidi" w:eastAsiaTheme="minorEastAsia" w:hAnsiTheme="majorBidi" w:cstheme="majorBidi"/>
          <w:i/>
          <w:iCs/>
        </w:rPr>
        <w:t>, David Yeoh</w:t>
      </w:r>
      <w:r w:rsidRPr="00E32653">
        <w:rPr>
          <w:rFonts w:asciiTheme="majorBidi" w:eastAsiaTheme="minorEastAsia" w:hAnsiTheme="majorBidi" w:cstheme="majorBidi"/>
          <w:i/>
          <w:iCs/>
          <w:vertAlign w:val="superscript"/>
        </w:rPr>
        <w:t>3</w:t>
      </w:r>
      <w:r w:rsidRPr="00E32653">
        <w:rPr>
          <w:rFonts w:asciiTheme="majorBidi" w:eastAsiaTheme="minorEastAsia" w:hAnsiTheme="majorBidi" w:cstheme="majorBidi"/>
          <w:i/>
          <w:iCs/>
        </w:rPr>
        <w:t>,</w:t>
      </w:r>
      <w:r w:rsidRPr="00E32653">
        <w:rPr>
          <w:rFonts w:asciiTheme="majorBidi" w:eastAsiaTheme="minorEastAsia" w:hAnsiTheme="majorBidi" w:cstheme="majorBidi"/>
          <w:i/>
          <w:iCs/>
          <w:vertAlign w:val="superscript"/>
        </w:rPr>
        <w:t xml:space="preserve"> </w:t>
      </w:r>
      <w:r w:rsidRPr="00E32653">
        <w:rPr>
          <w:rFonts w:asciiTheme="majorBidi" w:eastAsiaTheme="minorEastAsia" w:hAnsiTheme="majorBidi" w:cstheme="majorBidi"/>
          <w:i/>
          <w:iCs/>
        </w:rPr>
        <w:t>Mohd Norazam Yasin</w:t>
      </w:r>
      <w:r w:rsidRPr="00E32653">
        <w:rPr>
          <w:rFonts w:asciiTheme="majorBidi" w:eastAsiaTheme="minorEastAsia" w:hAnsiTheme="majorBidi" w:cstheme="majorBidi"/>
          <w:i/>
          <w:iCs/>
          <w:vertAlign w:val="superscript"/>
        </w:rPr>
        <w:t>3</w:t>
      </w:r>
    </w:p>
    <w:p w14:paraId="0EA8C148" w14:textId="77777777" w:rsidR="004E4D64" w:rsidRPr="00E32653" w:rsidRDefault="004E4D64" w:rsidP="004E4D64">
      <w:pPr>
        <w:jc w:val="center"/>
        <w:rPr>
          <w:rFonts w:asciiTheme="majorBidi" w:eastAsiaTheme="minorEastAsia" w:hAnsiTheme="majorBidi" w:cstheme="majorBidi"/>
          <w:i/>
          <w:iCs/>
        </w:rPr>
      </w:pPr>
    </w:p>
    <w:p w14:paraId="3083FCC0" w14:textId="4A04E854" w:rsidR="00C8777E" w:rsidRPr="00E32653" w:rsidRDefault="00C8777E" w:rsidP="00C8777E">
      <w:pPr>
        <w:pStyle w:val="Default"/>
        <w:jc w:val="center"/>
        <w:rPr>
          <w:rStyle w:val="Hyperlink"/>
          <w:rFonts w:asciiTheme="majorBidi" w:hAnsiTheme="majorBidi" w:cstheme="majorBidi"/>
          <w:color w:val="auto"/>
          <w:sz w:val="16"/>
          <w:szCs w:val="16"/>
        </w:rPr>
      </w:pPr>
      <w:r w:rsidRPr="00E32653">
        <w:rPr>
          <w:rFonts w:asciiTheme="majorBidi" w:hAnsiTheme="majorBidi" w:cstheme="majorBidi"/>
          <w:b/>
          <w:bCs/>
          <w:i/>
          <w:iCs/>
          <w:color w:val="auto"/>
          <w:sz w:val="16"/>
          <w:szCs w:val="16"/>
          <w:vertAlign w:val="superscript"/>
        </w:rPr>
        <w:t>1</w:t>
      </w:r>
      <w:r w:rsidRPr="00E32653">
        <w:rPr>
          <w:rFonts w:asciiTheme="majorBidi" w:hAnsiTheme="majorBidi" w:cstheme="majorBidi"/>
          <w:i/>
          <w:iCs/>
          <w:color w:val="auto"/>
          <w:sz w:val="16"/>
          <w:szCs w:val="16"/>
        </w:rPr>
        <w:t xml:space="preserve">Faculty of Civil and Environmental Engineering, Universiti Tun Hussein Onn Malaysia, 86400 Parit Raja, Johor, Malaysia,  </w:t>
      </w:r>
      <w:r w:rsidRPr="00E32653">
        <w:rPr>
          <w:rFonts w:asciiTheme="majorBidi" w:hAnsiTheme="majorBidi" w:cstheme="majorBidi"/>
          <w:i/>
          <w:color w:val="auto"/>
          <w:sz w:val="16"/>
          <w:szCs w:val="16"/>
        </w:rPr>
        <w:t>Tel: +60136743818,</w:t>
      </w:r>
      <w:r w:rsidRPr="00E32653">
        <w:rPr>
          <w:rStyle w:val="Hyperlink"/>
          <w:rFonts w:asciiTheme="majorBidi" w:hAnsiTheme="majorBidi" w:cstheme="majorBidi"/>
          <w:color w:val="auto"/>
          <w:sz w:val="16"/>
          <w:szCs w:val="16"/>
        </w:rPr>
        <w:t>tighnavard@uthm.edu.my</w:t>
      </w:r>
    </w:p>
    <w:p w14:paraId="528427EB" w14:textId="7D7AA765" w:rsidR="00C8777E" w:rsidRPr="00E32653" w:rsidRDefault="00CD4144" w:rsidP="00C8777E">
      <w:pPr>
        <w:spacing w:after="0"/>
        <w:jc w:val="center"/>
        <w:rPr>
          <w:rStyle w:val="Hyperlink"/>
          <w:rFonts w:asciiTheme="majorBidi" w:hAnsiTheme="majorBidi" w:cstheme="majorBidi"/>
          <w:color w:val="auto"/>
          <w:sz w:val="16"/>
          <w:szCs w:val="16"/>
        </w:rPr>
      </w:pPr>
      <w:r w:rsidRPr="00E32653">
        <w:rPr>
          <w:rFonts w:asciiTheme="majorBidi" w:hAnsiTheme="majorBidi" w:cstheme="majorBidi"/>
          <w:b/>
          <w:bCs/>
          <w:i/>
          <w:iCs/>
          <w:sz w:val="16"/>
          <w:szCs w:val="16"/>
          <w:vertAlign w:val="superscript"/>
        </w:rPr>
        <w:t>2</w:t>
      </w:r>
      <w:r w:rsidR="00C8777E" w:rsidRPr="00E32653">
        <w:rPr>
          <w:rFonts w:asciiTheme="majorBidi" w:hAnsiTheme="majorBidi" w:cstheme="majorBidi"/>
          <w:i/>
          <w:iCs/>
          <w:sz w:val="16"/>
          <w:szCs w:val="16"/>
        </w:rPr>
        <w:t xml:space="preserve">School of Architecture and Built Environment, Faculty of Engineering and Built Environment, The University of Newcastle (UON), University Drive, Callaghan, NSW 2308, Australia, </w:t>
      </w:r>
      <w:hyperlink r:id="rId8" w:history="1">
        <w:r w:rsidR="005E0A72" w:rsidRPr="00E32653">
          <w:rPr>
            <w:rStyle w:val="Hyperlink"/>
            <w:rFonts w:asciiTheme="majorBidi" w:hAnsiTheme="majorBidi" w:cstheme="majorBidi"/>
            <w:color w:val="auto"/>
            <w:sz w:val="16"/>
            <w:szCs w:val="16"/>
          </w:rPr>
          <w:t>Willy.Sh@newcastle.edu.au</w:t>
        </w:r>
      </w:hyperlink>
    </w:p>
    <w:p w14:paraId="7D02ED96" w14:textId="235402BE" w:rsidR="00CD4144" w:rsidRPr="00E32653" w:rsidRDefault="00CD4144" w:rsidP="00CD4144">
      <w:pPr>
        <w:pStyle w:val="Default"/>
        <w:jc w:val="center"/>
        <w:rPr>
          <w:rStyle w:val="Hyperlink"/>
          <w:rFonts w:asciiTheme="majorBidi" w:hAnsiTheme="majorBidi" w:cstheme="majorBidi"/>
          <w:color w:val="auto"/>
          <w:sz w:val="16"/>
          <w:szCs w:val="16"/>
        </w:rPr>
      </w:pPr>
      <w:r w:rsidRPr="00E32653">
        <w:rPr>
          <w:rFonts w:asciiTheme="majorBidi" w:hAnsiTheme="majorBidi" w:cstheme="majorBidi"/>
          <w:i/>
          <w:iCs/>
          <w:color w:val="auto"/>
          <w:sz w:val="18"/>
          <w:szCs w:val="18"/>
          <w:vertAlign w:val="superscript"/>
        </w:rPr>
        <w:t>3</w:t>
      </w:r>
      <w:r w:rsidRPr="00E32653">
        <w:rPr>
          <w:rFonts w:asciiTheme="majorBidi" w:hAnsiTheme="majorBidi" w:cstheme="majorBidi"/>
          <w:i/>
          <w:iCs/>
          <w:color w:val="auto"/>
          <w:sz w:val="18"/>
          <w:szCs w:val="18"/>
        </w:rPr>
        <w:t>Faculty of Civil and Environmental Engineering, Universiti Tun Hussein Onn Malaysia, 86400 Parit Raja, Johor, Malaysia</w:t>
      </w:r>
    </w:p>
    <w:p w14:paraId="279BE6E0" w14:textId="77777777" w:rsidR="00CD4144" w:rsidRPr="00E32653" w:rsidRDefault="00CD4144" w:rsidP="00C8777E">
      <w:pPr>
        <w:spacing w:after="0"/>
        <w:jc w:val="center"/>
        <w:rPr>
          <w:rFonts w:asciiTheme="majorBidi" w:hAnsiTheme="majorBidi" w:cstheme="majorBidi"/>
          <w:sz w:val="16"/>
          <w:szCs w:val="16"/>
        </w:rPr>
      </w:pPr>
    </w:p>
    <w:p w14:paraId="0BF18B77" w14:textId="6D78351C" w:rsidR="00A8623F" w:rsidRPr="00E32653" w:rsidRDefault="00A8623F" w:rsidP="00F77D9F">
      <w:pPr>
        <w:pStyle w:val="Default"/>
        <w:jc w:val="center"/>
        <w:rPr>
          <w:rFonts w:asciiTheme="majorBidi" w:hAnsiTheme="majorBidi" w:cstheme="majorBidi"/>
          <w:i/>
          <w:color w:val="auto"/>
          <w:sz w:val="16"/>
          <w:szCs w:val="16"/>
        </w:rPr>
      </w:pPr>
    </w:p>
    <w:p w14:paraId="379A5A0D" w14:textId="77777777" w:rsidR="000D1F52" w:rsidRPr="00E32653" w:rsidRDefault="000D1F52" w:rsidP="00F77D9F">
      <w:pPr>
        <w:pStyle w:val="Default"/>
        <w:jc w:val="center"/>
        <w:rPr>
          <w:rFonts w:asciiTheme="majorBidi" w:hAnsiTheme="majorBidi" w:cstheme="majorBidi"/>
          <w:i/>
          <w:color w:val="auto"/>
          <w:sz w:val="16"/>
          <w:szCs w:val="16"/>
        </w:rPr>
      </w:pPr>
    </w:p>
    <w:p w14:paraId="6C206280" w14:textId="0066EC6C" w:rsidR="000D1F52" w:rsidRPr="00E32653" w:rsidRDefault="000D1F52" w:rsidP="00F77D9F">
      <w:pPr>
        <w:pStyle w:val="Default"/>
        <w:jc w:val="center"/>
        <w:rPr>
          <w:rFonts w:asciiTheme="majorBidi" w:hAnsiTheme="majorBidi" w:cstheme="majorBidi"/>
          <w:i/>
          <w:color w:val="auto"/>
          <w:sz w:val="16"/>
          <w:szCs w:val="16"/>
        </w:rPr>
      </w:pPr>
    </w:p>
    <w:p w14:paraId="07888EAE" w14:textId="77777777" w:rsidR="000D1F52" w:rsidRPr="00E32653" w:rsidRDefault="000D1F52" w:rsidP="00F77D9F">
      <w:pPr>
        <w:pStyle w:val="Default"/>
        <w:jc w:val="center"/>
        <w:rPr>
          <w:rFonts w:asciiTheme="majorBidi" w:hAnsiTheme="majorBidi" w:cstheme="majorBidi"/>
          <w:i/>
          <w:color w:val="auto"/>
          <w:sz w:val="16"/>
          <w:szCs w:val="16"/>
        </w:rPr>
      </w:pPr>
    </w:p>
    <w:p w14:paraId="4C800A54" w14:textId="77777777" w:rsidR="00811971" w:rsidRPr="00E32653" w:rsidRDefault="00811971" w:rsidP="00F77D9F">
      <w:pPr>
        <w:pStyle w:val="Default"/>
        <w:jc w:val="center"/>
        <w:rPr>
          <w:rFonts w:asciiTheme="majorBidi" w:hAnsiTheme="majorBidi" w:cstheme="majorBidi"/>
          <w:i/>
          <w:color w:val="auto"/>
          <w:sz w:val="16"/>
          <w:szCs w:val="16"/>
        </w:rPr>
      </w:pPr>
    </w:p>
    <w:p w14:paraId="671917E6" w14:textId="7C3217E9" w:rsidR="00A8623F" w:rsidRPr="00E32653" w:rsidRDefault="00A8623F" w:rsidP="001E0A0D">
      <w:pPr>
        <w:rPr>
          <w:rFonts w:asciiTheme="majorBidi" w:hAnsiTheme="majorBidi" w:cstheme="majorBidi"/>
          <w:b/>
          <w:bCs/>
          <w:sz w:val="28"/>
          <w:szCs w:val="28"/>
        </w:rPr>
      </w:pPr>
      <w:r w:rsidRPr="00E32653">
        <w:rPr>
          <w:rFonts w:asciiTheme="majorBidi" w:hAnsiTheme="majorBidi" w:cstheme="majorBidi"/>
          <w:b/>
          <w:bCs/>
          <w:sz w:val="28"/>
          <w:szCs w:val="28"/>
        </w:rPr>
        <w:t xml:space="preserve">Abstract </w:t>
      </w:r>
    </w:p>
    <w:p w14:paraId="66CDF889" w14:textId="772E0CFB" w:rsidR="003E726B" w:rsidRPr="00E32653" w:rsidRDefault="00095EC9" w:rsidP="00B50E60">
      <w:pPr>
        <w:jc w:val="both"/>
        <w:rPr>
          <w:rFonts w:asciiTheme="majorBidi" w:hAnsiTheme="majorBidi" w:cstheme="majorBidi"/>
        </w:rPr>
      </w:pPr>
      <w:r w:rsidRPr="00E32653">
        <w:rPr>
          <w:rFonts w:asciiTheme="majorBidi" w:hAnsiTheme="majorBidi" w:cstheme="majorBidi"/>
        </w:rPr>
        <w:t>The embodied carbon of building materials and the energy consumed during construction have a significant impact on the environmental credentials of buildings. The structural systems of a building present opportunities to reduce environmental emissions and energy. In this regard,</w:t>
      </w:r>
      <w:r w:rsidR="00007283" w:rsidRPr="00E32653">
        <w:rPr>
          <w:rFonts w:asciiTheme="majorBidi" w:hAnsiTheme="majorBidi" w:cstheme="majorBidi"/>
        </w:rPr>
        <w:t xml:space="preserve"> mass</w:t>
      </w:r>
      <w:r w:rsidRPr="00E32653">
        <w:rPr>
          <w:rFonts w:asciiTheme="majorBidi" w:hAnsiTheme="majorBidi" w:cstheme="majorBidi"/>
        </w:rPr>
        <w:t xml:space="preserve"> </w:t>
      </w:r>
      <w:r w:rsidR="006F6DEB" w:rsidRPr="00E32653">
        <w:rPr>
          <w:rFonts w:asciiTheme="majorBidi" w:hAnsiTheme="majorBidi" w:cstheme="majorBidi"/>
        </w:rPr>
        <w:t xml:space="preserve">timber materials have </w:t>
      </w:r>
      <w:r w:rsidR="00F76A7C" w:rsidRPr="00E32653">
        <w:rPr>
          <w:rFonts w:asciiTheme="majorBidi" w:hAnsiTheme="majorBidi" w:cstheme="majorBidi"/>
        </w:rPr>
        <w:t>considerable</w:t>
      </w:r>
      <w:r w:rsidR="006F6DEB" w:rsidRPr="00E32653">
        <w:rPr>
          <w:rFonts w:asciiTheme="majorBidi" w:hAnsiTheme="majorBidi" w:cstheme="majorBidi"/>
        </w:rPr>
        <w:t xml:space="preserve"> potential as sustainable materials over other alternatives such as steel and concrete. </w:t>
      </w:r>
      <w:r w:rsidR="00496889" w:rsidRPr="00E32653">
        <w:rPr>
          <w:rFonts w:asciiTheme="majorBidi" w:hAnsiTheme="majorBidi" w:cstheme="majorBidi"/>
        </w:rPr>
        <w:t xml:space="preserve">The aim of this investigation was to compare the environment impact, energy consumption </w:t>
      </w:r>
      <w:r w:rsidR="003B6497" w:rsidRPr="00E32653">
        <w:rPr>
          <w:rFonts w:asciiTheme="majorBidi" w:hAnsiTheme="majorBidi" w:cstheme="majorBidi"/>
        </w:rPr>
        <w:t xml:space="preserve">and life cycle cost </w:t>
      </w:r>
      <w:r w:rsidR="00496889" w:rsidRPr="00E32653">
        <w:rPr>
          <w:rFonts w:asciiTheme="majorBidi" w:hAnsiTheme="majorBidi" w:cstheme="majorBidi"/>
        </w:rPr>
        <w:t>(LCC) of different wood-based materials in identical single story residential buildings.</w:t>
      </w:r>
      <w:r w:rsidR="00612EFA" w:rsidRPr="00E32653">
        <w:rPr>
          <w:rFonts w:asciiTheme="majorBidi" w:hAnsiTheme="majorBidi" w:cstheme="majorBidi"/>
          <w:b/>
          <w:bCs/>
        </w:rPr>
        <w:t xml:space="preserve"> </w:t>
      </w:r>
      <w:r w:rsidR="00F76A7C" w:rsidRPr="00E32653">
        <w:rPr>
          <w:rFonts w:asciiTheme="majorBidi" w:hAnsiTheme="majorBidi" w:cstheme="majorBidi"/>
        </w:rPr>
        <w:t xml:space="preserve">The materials compared are Laminated Veneer Lumber (LVL) and Glued Laminate Timber (GLT). </w:t>
      </w:r>
      <w:r w:rsidRPr="00E32653">
        <w:rPr>
          <w:rFonts w:asciiTheme="majorBidi" w:hAnsiTheme="majorBidi" w:cstheme="majorBidi"/>
        </w:rPr>
        <w:t xml:space="preserve">GLT </w:t>
      </w:r>
      <w:r w:rsidR="001A6CD8" w:rsidRPr="00E32653">
        <w:rPr>
          <w:rFonts w:asciiTheme="majorBidi" w:hAnsiTheme="majorBidi" w:cstheme="majorBidi"/>
        </w:rPr>
        <w:t>has less</w:t>
      </w:r>
      <w:r w:rsidRPr="00E32653">
        <w:rPr>
          <w:rFonts w:asciiTheme="majorBidi" w:hAnsiTheme="majorBidi" w:cstheme="majorBidi"/>
        </w:rPr>
        <w:t xml:space="preserve"> </w:t>
      </w:r>
      <w:r w:rsidR="00F94A27" w:rsidRPr="00E32653">
        <w:rPr>
          <w:rFonts w:asciiTheme="majorBidi" w:hAnsiTheme="majorBidi" w:cstheme="majorBidi"/>
        </w:rPr>
        <w:t>Global warming potential</w:t>
      </w:r>
      <w:r w:rsidRPr="00E32653">
        <w:rPr>
          <w:rFonts w:asciiTheme="majorBidi" w:hAnsiTheme="majorBidi" w:cstheme="majorBidi"/>
        </w:rPr>
        <w:t xml:space="preserve"> (</w:t>
      </w:r>
      <w:r w:rsidR="00F94A27" w:rsidRPr="00E32653">
        <w:rPr>
          <w:rFonts w:asciiTheme="majorBidi" w:hAnsiTheme="majorBidi" w:cstheme="majorBidi"/>
        </w:rPr>
        <w:t>GWP</w:t>
      </w:r>
      <w:r w:rsidRPr="00E32653">
        <w:rPr>
          <w:rFonts w:asciiTheme="majorBidi" w:hAnsiTheme="majorBidi" w:cstheme="majorBidi"/>
        </w:rPr>
        <w:t>), Ozone Layer Depletion (OLD), and Land Use (LU), respectively by 29%, 37% and 35%</w:t>
      </w:r>
      <w:r w:rsidR="001A6CD8" w:rsidRPr="00E32653">
        <w:rPr>
          <w:rFonts w:asciiTheme="majorBidi" w:hAnsiTheme="majorBidi" w:cstheme="majorBidi"/>
        </w:rPr>
        <w:t xml:space="preserve"> than LVL</w:t>
      </w:r>
      <w:r w:rsidRPr="00E32653">
        <w:rPr>
          <w:rFonts w:asciiTheme="majorBidi" w:hAnsiTheme="majorBidi" w:cstheme="majorBidi"/>
        </w:rPr>
        <w:t>. Conversely, LVL generally has lower Terrestrial Acidification Potential (TAP), Human-Toxicity Potential (HTP)</w:t>
      </w:r>
      <w:r w:rsidR="00105B4F" w:rsidRPr="00E32653">
        <w:rPr>
          <w:rFonts w:asciiTheme="majorBidi" w:hAnsiTheme="majorBidi" w:cstheme="majorBidi"/>
        </w:rPr>
        <w:t>, and Fossil Depletion Potential (FDP) respectively by 30%, 17% and 2</w:t>
      </w:r>
      <w:r w:rsidRPr="00E32653">
        <w:rPr>
          <w:rFonts w:asciiTheme="majorBidi" w:hAnsiTheme="majorBidi" w:cstheme="majorBidi"/>
        </w:rPr>
        <w:t xml:space="preserve">7%. The comparative </w:t>
      </w:r>
      <w:r w:rsidR="00460D2B" w:rsidRPr="00E32653">
        <w:rPr>
          <w:rFonts w:asciiTheme="majorBidi" w:hAnsiTheme="majorBidi" w:cstheme="majorBidi"/>
        </w:rPr>
        <w:t>outcomes revealed</w:t>
      </w:r>
      <w:r w:rsidRPr="00E32653">
        <w:rPr>
          <w:rFonts w:asciiTheme="majorBidi" w:hAnsiTheme="majorBidi" w:cstheme="majorBidi"/>
        </w:rPr>
        <w:t xml:space="preserve"> that using LVL reduces embodied energy by 41%. </w:t>
      </w:r>
      <w:r w:rsidR="001A6CD8" w:rsidRPr="00E32653">
        <w:rPr>
          <w:rFonts w:asciiTheme="majorBidi" w:hAnsiTheme="majorBidi" w:cstheme="majorBidi"/>
        </w:rPr>
        <w:t>To identify</w:t>
      </w:r>
      <w:r w:rsidR="003E726B" w:rsidRPr="00E32653">
        <w:rPr>
          <w:rFonts w:asciiTheme="majorBidi" w:hAnsiTheme="majorBidi" w:cstheme="majorBidi"/>
        </w:rPr>
        <w:t xml:space="preserve"> which of </w:t>
      </w:r>
      <w:r w:rsidR="001A6CD8" w:rsidRPr="00E32653">
        <w:rPr>
          <w:rFonts w:asciiTheme="majorBidi" w:hAnsiTheme="majorBidi" w:cstheme="majorBidi"/>
        </w:rPr>
        <w:t xml:space="preserve">these </w:t>
      </w:r>
      <w:r w:rsidR="00915C2E" w:rsidRPr="00E32653">
        <w:rPr>
          <w:rFonts w:asciiTheme="majorBidi" w:hAnsiTheme="majorBidi" w:cstheme="majorBidi"/>
        </w:rPr>
        <w:t>materials</w:t>
      </w:r>
      <w:r w:rsidR="003E726B" w:rsidRPr="00E32653">
        <w:rPr>
          <w:rFonts w:asciiTheme="majorBidi" w:hAnsiTheme="majorBidi" w:cstheme="majorBidi"/>
        </w:rPr>
        <w:t xml:space="preserve"> </w:t>
      </w:r>
      <w:r w:rsidR="000131AB" w:rsidRPr="00E32653">
        <w:rPr>
          <w:rFonts w:asciiTheme="majorBidi" w:hAnsiTheme="majorBidi" w:cstheme="majorBidi"/>
        </w:rPr>
        <w:t>i</w:t>
      </w:r>
      <w:r w:rsidR="003E726B" w:rsidRPr="00E32653">
        <w:rPr>
          <w:rFonts w:asciiTheme="majorBidi" w:hAnsiTheme="majorBidi" w:cstheme="majorBidi"/>
        </w:rPr>
        <w:t xml:space="preserve">s the best </w:t>
      </w:r>
      <w:r w:rsidR="00915C2E" w:rsidRPr="00E32653">
        <w:rPr>
          <w:rFonts w:asciiTheme="majorBidi" w:hAnsiTheme="majorBidi" w:cstheme="majorBidi"/>
        </w:rPr>
        <w:t>alternative</w:t>
      </w:r>
      <w:r w:rsidR="003E726B" w:rsidRPr="00E32653">
        <w:rPr>
          <w:rFonts w:asciiTheme="majorBidi" w:hAnsiTheme="majorBidi" w:cstheme="majorBidi"/>
        </w:rPr>
        <w:t xml:space="preserve"> </w:t>
      </w:r>
      <w:r w:rsidR="00EB72B1" w:rsidRPr="00E32653">
        <w:t xml:space="preserve"> </w:t>
      </w:r>
      <w:r w:rsidR="003E726B" w:rsidRPr="00E32653">
        <w:rPr>
          <w:rFonts w:asciiTheme="majorBidi" w:hAnsiTheme="majorBidi" w:cstheme="majorBidi"/>
        </w:rPr>
        <w:t>various environmental categories, embodied energy</w:t>
      </w:r>
      <w:r w:rsidR="000131AB" w:rsidRPr="00E32653">
        <w:rPr>
          <w:rFonts w:asciiTheme="majorBidi" w:hAnsiTheme="majorBidi" w:cstheme="majorBidi"/>
        </w:rPr>
        <w:t>,</w:t>
      </w:r>
      <w:r w:rsidR="003E726B" w:rsidRPr="00E32653">
        <w:rPr>
          <w:rFonts w:asciiTheme="majorBidi" w:hAnsiTheme="majorBidi" w:cstheme="majorBidi"/>
        </w:rPr>
        <w:t xml:space="preserve"> and cost criteria </w:t>
      </w:r>
      <w:r w:rsidR="00EB72B1" w:rsidRPr="00E32653">
        <w:rPr>
          <w:rFonts w:asciiTheme="majorBidi" w:hAnsiTheme="majorBidi" w:cstheme="majorBidi"/>
        </w:rPr>
        <w:t xml:space="preserve">require </w:t>
      </w:r>
      <w:r w:rsidR="003E726B" w:rsidRPr="00E32653">
        <w:rPr>
          <w:rFonts w:asciiTheme="majorBidi" w:hAnsiTheme="majorBidi" w:cstheme="majorBidi"/>
        </w:rPr>
        <w:t xml:space="preserve">further analysis. </w:t>
      </w:r>
      <w:r w:rsidR="009D4CDA" w:rsidRPr="00E32653">
        <w:rPr>
          <w:rFonts w:asciiTheme="majorBidi" w:hAnsiTheme="majorBidi" w:cstheme="majorBidi"/>
        </w:rPr>
        <w:t>Therefore</w:t>
      </w:r>
      <w:r w:rsidR="003E726B" w:rsidRPr="00E32653">
        <w:rPr>
          <w:rFonts w:asciiTheme="majorBidi" w:hAnsiTheme="majorBidi" w:cstheme="majorBidi"/>
        </w:rPr>
        <w:t xml:space="preserve">, </w:t>
      </w:r>
      <w:r w:rsidR="000131AB" w:rsidRPr="00E32653">
        <w:rPr>
          <w:rFonts w:asciiTheme="majorBidi" w:hAnsiTheme="majorBidi" w:cstheme="majorBidi"/>
        </w:rPr>
        <w:t>the Multi-Criteria Decision Making (MCDM) method has been applied</w:t>
      </w:r>
      <w:r w:rsidR="003E726B" w:rsidRPr="00E32653">
        <w:rPr>
          <w:rFonts w:asciiTheme="majorBidi" w:hAnsiTheme="majorBidi" w:cstheme="majorBidi"/>
        </w:rPr>
        <w:t xml:space="preserve"> to </w:t>
      </w:r>
      <w:r w:rsidR="00EB72B1" w:rsidRPr="00E32653">
        <w:rPr>
          <w:rFonts w:asciiTheme="majorBidi" w:hAnsiTheme="majorBidi" w:cstheme="majorBidi"/>
        </w:rPr>
        <w:t xml:space="preserve">enable robust </w:t>
      </w:r>
      <w:r w:rsidR="009D4CDA" w:rsidRPr="00E32653">
        <w:rPr>
          <w:rFonts w:asciiTheme="majorBidi" w:hAnsiTheme="majorBidi" w:cstheme="majorBidi"/>
        </w:rPr>
        <w:t>decision-making</w:t>
      </w:r>
      <w:r w:rsidR="003E726B" w:rsidRPr="00E32653">
        <w:rPr>
          <w:rFonts w:asciiTheme="majorBidi" w:hAnsiTheme="majorBidi" w:cstheme="majorBidi"/>
        </w:rPr>
        <w:t xml:space="preserve">. The outcome showed that </w:t>
      </w:r>
      <w:r w:rsidR="000131AB" w:rsidRPr="00E32653">
        <w:rPr>
          <w:rFonts w:asciiTheme="majorBidi" w:hAnsiTheme="majorBidi" w:cstheme="majorBidi"/>
        </w:rPr>
        <w:t>LVL manufacturing</w:t>
      </w:r>
      <w:r w:rsidR="003E726B" w:rsidRPr="00E32653">
        <w:rPr>
          <w:rFonts w:asciiTheme="majorBidi" w:hAnsiTheme="majorBidi" w:cstheme="majorBidi"/>
        </w:rPr>
        <w:t xml:space="preserve"> using </w:t>
      </w:r>
      <w:r w:rsidR="00915C2E" w:rsidRPr="00E32653">
        <w:rPr>
          <w:rFonts w:asciiTheme="majorBidi" w:hAnsiTheme="majorBidi" w:cstheme="majorBidi"/>
        </w:rPr>
        <w:t>softwood</w:t>
      </w:r>
      <w:r w:rsidR="003E726B" w:rsidRPr="00E32653">
        <w:rPr>
          <w:rFonts w:asciiTheme="majorBidi" w:hAnsiTheme="majorBidi" w:cstheme="majorBidi"/>
        </w:rPr>
        <w:t xml:space="preserve"> present</w:t>
      </w:r>
      <w:r w:rsidR="00EB72B1" w:rsidRPr="00E32653">
        <w:rPr>
          <w:rFonts w:asciiTheme="majorBidi" w:hAnsiTheme="majorBidi" w:cstheme="majorBidi"/>
        </w:rPr>
        <w:t>s</w:t>
      </w:r>
      <w:r w:rsidR="003E726B" w:rsidRPr="00E32653">
        <w:rPr>
          <w:rFonts w:asciiTheme="majorBidi" w:hAnsiTheme="majorBidi" w:cstheme="majorBidi"/>
        </w:rPr>
        <w:t xml:space="preserve"> </w:t>
      </w:r>
      <w:r w:rsidR="000131AB" w:rsidRPr="00E32653">
        <w:rPr>
          <w:rFonts w:asciiTheme="majorBidi" w:hAnsiTheme="majorBidi" w:cstheme="majorBidi"/>
        </w:rPr>
        <w:t>the</w:t>
      </w:r>
      <w:r w:rsidR="003E726B" w:rsidRPr="00E32653">
        <w:rPr>
          <w:rFonts w:asciiTheme="majorBidi" w:hAnsiTheme="majorBidi" w:cstheme="majorBidi"/>
        </w:rPr>
        <w:t xml:space="preserve"> most sustainable choice. </w:t>
      </w:r>
      <w:r w:rsidR="00EB72B1" w:rsidRPr="00E32653">
        <w:rPr>
          <w:rFonts w:asciiTheme="majorBidi" w:hAnsiTheme="majorBidi" w:cstheme="majorBidi"/>
        </w:rPr>
        <w:t xml:space="preserve">These </w:t>
      </w:r>
      <w:r w:rsidR="000131AB" w:rsidRPr="00E32653">
        <w:rPr>
          <w:rFonts w:asciiTheme="majorBidi" w:hAnsiTheme="majorBidi" w:cstheme="majorBidi"/>
        </w:rPr>
        <w:t>research findings</w:t>
      </w:r>
      <w:r w:rsidR="003E726B" w:rsidRPr="00E32653">
        <w:rPr>
          <w:rFonts w:asciiTheme="majorBidi" w:hAnsiTheme="majorBidi" w:cstheme="majorBidi"/>
        </w:rPr>
        <w:t xml:space="preserve"> </w:t>
      </w:r>
      <w:r w:rsidR="00EB72B1" w:rsidRPr="00E32653">
        <w:rPr>
          <w:rFonts w:asciiTheme="majorBidi" w:hAnsiTheme="majorBidi" w:cstheme="majorBidi"/>
        </w:rPr>
        <w:t>contribute to the body of knowledge about</w:t>
      </w:r>
      <w:r w:rsidR="0087010D" w:rsidRPr="00E32653">
        <w:rPr>
          <w:rFonts w:asciiTheme="majorBidi" w:hAnsiTheme="majorBidi" w:cstheme="majorBidi"/>
        </w:rPr>
        <w:t xml:space="preserve"> </w:t>
      </w:r>
      <w:r w:rsidR="00EB72B1" w:rsidRPr="00E32653">
        <w:rPr>
          <w:rFonts w:asciiTheme="majorBidi" w:hAnsiTheme="majorBidi" w:cstheme="majorBidi"/>
        </w:rPr>
        <w:t xml:space="preserve">the use of </w:t>
      </w:r>
      <w:r w:rsidR="0087010D" w:rsidRPr="00E32653">
        <w:rPr>
          <w:rFonts w:asciiTheme="majorBidi" w:hAnsiTheme="majorBidi" w:cstheme="majorBidi"/>
        </w:rPr>
        <w:t xml:space="preserve">mass timber </w:t>
      </w:r>
      <w:r w:rsidR="00EB72B1" w:rsidRPr="00E32653">
        <w:rPr>
          <w:rFonts w:asciiTheme="majorBidi" w:hAnsiTheme="majorBidi" w:cstheme="majorBidi"/>
        </w:rPr>
        <w:t xml:space="preserve">in </w:t>
      </w:r>
      <w:r w:rsidR="0087010D" w:rsidRPr="00E32653">
        <w:rPr>
          <w:rFonts w:asciiTheme="majorBidi" w:hAnsiTheme="majorBidi" w:cstheme="majorBidi"/>
        </w:rPr>
        <w:t xml:space="preserve">construction. </w:t>
      </w:r>
    </w:p>
    <w:p w14:paraId="390C2B23" w14:textId="76C844F0" w:rsidR="00612EFA" w:rsidRPr="00E32653" w:rsidRDefault="00612EFA" w:rsidP="00612EFA">
      <w:pPr>
        <w:jc w:val="both"/>
        <w:rPr>
          <w:rFonts w:asciiTheme="majorBidi" w:hAnsiTheme="majorBidi" w:cstheme="majorBidi"/>
        </w:rPr>
      </w:pPr>
    </w:p>
    <w:p w14:paraId="7C09B2BB" w14:textId="77777777" w:rsidR="00612EFA" w:rsidRPr="00E32653" w:rsidRDefault="00612EFA" w:rsidP="00612EFA">
      <w:pPr>
        <w:jc w:val="both"/>
        <w:rPr>
          <w:rFonts w:asciiTheme="majorBidi" w:hAnsiTheme="majorBidi" w:cstheme="majorBidi"/>
          <w:b/>
          <w:bCs/>
        </w:rPr>
      </w:pPr>
    </w:p>
    <w:p w14:paraId="4911DE62" w14:textId="64E2F9FD" w:rsidR="00227533" w:rsidRPr="00E32653" w:rsidRDefault="00E62CA7" w:rsidP="007B3DC8">
      <w:pPr>
        <w:rPr>
          <w:rFonts w:asciiTheme="majorBidi" w:hAnsiTheme="majorBidi" w:cstheme="majorBidi"/>
          <w:i/>
          <w:iCs/>
          <w:sz w:val="20"/>
          <w:szCs w:val="20"/>
        </w:rPr>
      </w:pPr>
      <w:r w:rsidRPr="00E32653">
        <w:rPr>
          <w:rFonts w:asciiTheme="majorBidi" w:hAnsiTheme="majorBidi" w:cstheme="majorBidi"/>
          <w:b/>
          <w:bCs/>
          <w:sz w:val="20"/>
          <w:szCs w:val="20"/>
        </w:rPr>
        <w:t>Keyword:</w:t>
      </w:r>
      <w:r w:rsidR="00BF589D" w:rsidRPr="00E32653">
        <w:rPr>
          <w:rFonts w:asciiTheme="majorBidi" w:hAnsiTheme="majorBidi" w:cstheme="majorBidi"/>
          <w:b/>
          <w:bCs/>
          <w:sz w:val="20"/>
          <w:szCs w:val="20"/>
        </w:rPr>
        <w:t xml:space="preserve"> </w:t>
      </w:r>
      <w:r w:rsidR="007B3DC8" w:rsidRPr="00E32653">
        <w:rPr>
          <w:rFonts w:asciiTheme="majorBidi" w:hAnsiTheme="majorBidi" w:cstheme="majorBidi"/>
          <w:i/>
          <w:iCs/>
          <w:sz w:val="20"/>
          <w:szCs w:val="20"/>
        </w:rPr>
        <w:t xml:space="preserve">Glued laminated timber (GLT); </w:t>
      </w:r>
      <w:r w:rsidR="0093619B" w:rsidRPr="00E32653">
        <w:rPr>
          <w:rFonts w:asciiTheme="majorBidi" w:hAnsiTheme="majorBidi" w:cstheme="majorBidi"/>
          <w:i/>
          <w:iCs/>
          <w:sz w:val="20"/>
          <w:szCs w:val="20"/>
        </w:rPr>
        <w:t>Sustainability;</w:t>
      </w:r>
      <w:r w:rsidR="007B3DC8" w:rsidRPr="00E32653">
        <w:rPr>
          <w:rFonts w:asciiTheme="majorBidi" w:hAnsiTheme="majorBidi" w:cstheme="majorBidi"/>
          <w:i/>
          <w:iCs/>
          <w:sz w:val="20"/>
          <w:szCs w:val="20"/>
        </w:rPr>
        <w:t xml:space="preserve"> Laminated veneer lumber (LVL);</w:t>
      </w:r>
      <w:r w:rsidR="0093619B" w:rsidRPr="00E32653">
        <w:rPr>
          <w:rFonts w:asciiTheme="majorBidi" w:hAnsiTheme="majorBidi" w:cstheme="majorBidi"/>
          <w:i/>
          <w:iCs/>
          <w:sz w:val="20"/>
          <w:szCs w:val="20"/>
        </w:rPr>
        <w:t xml:space="preserve"> </w:t>
      </w:r>
      <w:r w:rsidR="007B3DC8" w:rsidRPr="00E32653">
        <w:rPr>
          <w:rFonts w:asciiTheme="majorBidi" w:hAnsiTheme="majorBidi" w:cstheme="majorBidi"/>
          <w:i/>
          <w:iCs/>
          <w:sz w:val="20"/>
          <w:szCs w:val="20"/>
        </w:rPr>
        <w:t>Multi-Criteria De</w:t>
      </w:r>
      <w:r w:rsidR="007B3DC8" w:rsidRPr="00E32653">
        <w:rPr>
          <w:rFonts w:asciiTheme="majorBidi" w:hAnsiTheme="majorBidi" w:cstheme="majorBidi"/>
        </w:rPr>
        <w:t>cision Making</w:t>
      </w:r>
      <w:r w:rsidR="007B3DC8" w:rsidRPr="00E32653">
        <w:rPr>
          <w:rFonts w:asciiTheme="majorBidi" w:hAnsiTheme="majorBidi" w:cstheme="majorBidi"/>
          <w:i/>
          <w:iCs/>
          <w:sz w:val="20"/>
          <w:szCs w:val="20"/>
        </w:rPr>
        <w:t xml:space="preserve">; Life cycle cost; </w:t>
      </w:r>
      <w:r w:rsidR="0093619B" w:rsidRPr="00E32653">
        <w:rPr>
          <w:rFonts w:asciiTheme="majorBidi" w:hAnsiTheme="majorBidi" w:cstheme="majorBidi"/>
          <w:i/>
          <w:iCs/>
          <w:sz w:val="20"/>
          <w:szCs w:val="20"/>
        </w:rPr>
        <w:t xml:space="preserve">Life cycle Assessment; </w:t>
      </w:r>
    </w:p>
    <w:p w14:paraId="1C66C054" w14:textId="35A629AB" w:rsidR="00095EC9" w:rsidRPr="00E32653" w:rsidRDefault="00095EC9" w:rsidP="00060670">
      <w:pPr>
        <w:rPr>
          <w:rFonts w:asciiTheme="majorBidi" w:hAnsiTheme="majorBidi" w:cstheme="majorBidi"/>
          <w:i/>
          <w:iCs/>
          <w:sz w:val="20"/>
          <w:szCs w:val="20"/>
        </w:rPr>
      </w:pPr>
    </w:p>
    <w:p w14:paraId="3C047A83" w14:textId="7307F424" w:rsidR="00004835" w:rsidRPr="00E32653" w:rsidRDefault="00004835" w:rsidP="00060670">
      <w:pPr>
        <w:rPr>
          <w:rFonts w:asciiTheme="majorBidi" w:hAnsiTheme="majorBidi" w:cstheme="majorBidi"/>
          <w:i/>
          <w:iCs/>
          <w:sz w:val="20"/>
          <w:szCs w:val="20"/>
        </w:rPr>
      </w:pPr>
    </w:p>
    <w:p w14:paraId="132E0730" w14:textId="535C8806" w:rsidR="00905C95" w:rsidRPr="00E32653" w:rsidRDefault="00905C95" w:rsidP="00060670">
      <w:pPr>
        <w:rPr>
          <w:rFonts w:asciiTheme="majorBidi" w:hAnsiTheme="majorBidi" w:cstheme="majorBidi"/>
          <w:i/>
          <w:iCs/>
          <w:sz w:val="20"/>
          <w:szCs w:val="20"/>
        </w:rPr>
      </w:pPr>
    </w:p>
    <w:p w14:paraId="1FDB1DAE" w14:textId="77777777" w:rsidR="00905C95" w:rsidRPr="00E32653" w:rsidRDefault="00905C95" w:rsidP="00060670">
      <w:pPr>
        <w:rPr>
          <w:rFonts w:asciiTheme="majorBidi" w:hAnsiTheme="majorBidi" w:cstheme="majorBidi"/>
          <w:i/>
          <w:iCs/>
          <w:sz w:val="20"/>
          <w:szCs w:val="20"/>
        </w:rPr>
      </w:pPr>
    </w:p>
    <w:p w14:paraId="3B761E54" w14:textId="77777777" w:rsidR="00E62CA7" w:rsidRPr="00E32653" w:rsidRDefault="00E62CA7" w:rsidP="00E62CA7">
      <w:pPr>
        <w:pStyle w:val="ListParagraph"/>
        <w:numPr>
          <w:ilvl w:val="0"/>
          <w:numId w:val="1"/>
        </w:numPr>
        <w:spacing w:line="276" w:lineRule="auto"/>
        <w:rPr>
          <w:rFonts w:asciiTheme="majorBidi" w:hAnsiTheme="majorBidi" w:cstheme="majorBidi"/>
          <w:b/>
          <w:bCs/>
        </w:rPr>
      </w:pPr>
      <w:r w:rsidRPr="00E32653">
        <w:rPr>
          <w:rFonts w:asciiTheme="majorBidi" w:hAnsiTheme="majorBidi" w:cstheme="majorBidi"/>
          <w:b/>
          <w:bCs/>
        </w:rPr>
        <w:lastRenderedPageBreak/>
        <w:t>Introduction</w:t>
      </w:r>
    </w:p>
    <w:p w14:paraId="3D764E90" w14:textId="238AB44F" w:rsidR="008738D5" w:rsidRPr="00E32653" w:rsidRDefault="00061E1C" w:rsidP="007579E6">
      <w:pPr>
        <w:spacing w:line="276" w:lineRule="auto"/>
        <w:ind w:firstLine="720"/>
        <w:jc w:val="both"/>
        <w:rPr>
          <w:rFonts w:asciiTheme="majorBidi" w:hAnsiTheme="majorBidi" w:cstheme="majorBidi"/>
        </w:rPr>
      </w:pPr>
      <w:r w:rsidRPr="00E32653">
        <w:rPr>
          <w:rFonts w:asciiTheme="majorBidi" w:hAnsiTheme="majorBidi" w:cstheme="majorBidi"/>
        </w:rPr>
        <w:t xml:space="preserve">Using renewable </w:t>
      </w:r>
      <w:r w:rsidR="00915C2E" w:rsidRPr="00E32653">
        <w:rPr>
          <w:rFonts w:asciiTheme="majorBidi" w:hAnsiTheme="majorBidi" w:cstheme="majorBidi"/>
        </w:rPr>
        <w:t>materials</w:t>
      </w:r>
      <w:r w:rsidRPr="00E32653">
        <w:rPr>
          <w:rFonts w:asciiTheme="majorBidi" w:hAnsiTheme="majorBidi" w:cstheme="majorBidi"/>
        </w:rPr>
        <w:t xml:space="preserve"> to reduc</w:t>
      </w:r>
      <w:r w:rsidR="00EB72B1" w:rsidRPr="00E32653">
        <w:rPr>
          <w:rFonts w:asciiTheme="majorBidi" w:hAnsiTheme="majorBidi" w:cstheme="majorBidi"/>
        </w:rPr>
        <w:t>e</w:t>
      </w:r>
      <w:r w:rsidRPr="00E32653">
        <w:rPr>
          <w:rFonts w:asciiTheme="majorBidi" w:hAnsiTheme="majorBidi" w:cstheme="majorBidi"/>
        </w:rPr>
        <w:t xml:space="preserve"> environmental emission</w:t>
      </w:r>
      <w:r w:rsidR="000131AB" w:rsidRPr="00E32653">
        <w:rPr>
          <w:rFonts w:asciiTheme="majorBidi" w:hAnsiTheme="majorBidi" w:cstheme="majorBidi"/>
        </w:rPr>
        <w:t>s</w:t>
      </w:r>
      <w:r w:rsidRPr="00E32653">
        <w:rPr>
          <w:rFonts w:asciiTheme="majorBidi" w:hAnsiTheme="majorBidi" w:cstheme="majorBidi"/>
        </w:rPr>
        <w:t xml:space="preserve"> in </w:t>
      </w:r>
      <w:r w:rsidR="000131AB" w:rsidRPr="00E32653">
        <w:rPr>
          <w:rFonts w:asciiTheme="majorBidi" w:hAnsiTheme="majorBidi" w:cstheme="majorBidi"/>
        </w:rPr>
        <w:t xml:space="preserve">the </w:t>
      </w:r>
      <w:r w:rsidR="007E5509" w:rsidRPr="00E32653">
        <w:rPr>
          <w:rFonts w:asciiTheme="majorBidi" w:hAnsiTheme="majorBidi" w:cstheme="majorBidi"/>
        </w:rPr>
        <w:t xml:space="preserve">building </w:t>
      </w:r>
      <w:r w:rsidRPr="00E32653">
        <w:rPr>
          <w:rFonts w:asciiTheme="majorBidi" w:hAnsiTheme="majorBidi" w:cstheme="majorBidi"/>
        </w:rPr>
        <w:t>industry ha</w:t>
      </w:r>
      <w:r w:rsidR="000131AB" w:rsidRPr="00E32653">
        <w:rPr>
          <w:rFonts w:asciiTheme="majorBidi" w:hAnsiTheme="majorBidi" w:cstheme="majorBidi"/>
        </w:rPr>
        <w:t xml:space="preserve">s </w:t>
      </w:r>
      <w:r w:rsidR="00C0107A" w:rsidRPr="00E32653">
        <w:rPr>
          <w:rFonts w:asciiTheme="majorBidi" w:hAnsiTheme="majorBidi" w:cstheme="majorBidi"/>
        </w:rPr>
        <w:t>attracted increasing attention</w:t>
      </w:r>
      <w:r w:rsidR="000131AB" w:rsidRPr="00E32653">
        <w:rPr>
          <w:rFonts w:asciiTheme="majorBidi" w:hAnsiTheme="majorBidi" w:cstheme="majorBidi"/>
        </w:rPr>
        <w:t xml:space="preserve"> in </w:t>
      </w:r>
      <w:r w:rsidR="00C0107A" w:rsidRPr="00E32653">
        <w:rPr>
          <w:rFonts w:asciiTheme="majorBidi" w:hAnsiTheme="majorBidi" w:cstheme="majorBidi"/>
        </w:rPr>
        <w:t xml:space="preserve">developed and </w:t>
      </w:r>
      <w:r w:rsidR="000131AB" w:rsidRPr="00E32653">
        <w:rPr>
          <w:rFonts w:asciiTheme="majorBidi" w:hAnsiTheme="majorBidi" w:cstheme="majorBidi"/>
        </w:rPr>
        <w:t>developing countries</w:t>
      </w:r>
      <w:r w:rsidRPr="00E32653">
        <w:rPr>
          <w:rFonts w:asciiTheme="majorBidi" w:hAnsiTheme="majorBidi" w:cstheme="majorBidi"/>
        </w:rPr>
        <w:t>. In this regard</w:t>
      </w:r>
      <w:r w:rsidR="000131AB" w:rsidRPr="00E32653">
        <w:rPr>
          <w:rFonts w:asciiTheme="majorBidi" w:hAnsiTheme="majorBidi" w:cstheme="majorBidi"/>
        </w:rPr>
        <w:t xml:space="preserve">, low-carbon materials and technologies </w:t>
      </w:r>
      <w:r w:rsidR="00C0107A" w:rsidRPr="00E32653">
        <w:rPr>
          <w:rFonts w:asciiTheme="majorBidi" w:hAnsiTheme="majorBidi" w:cstheme="majorBidi"/>
        </w:rPr>
        <w:t>play an important part in</w:t>
      </w:r>
      <w:r w:rsidR="000131AB" w:rsidRPr="00E32653">
        <w:rPr>
          <w:rFonts w:asciiTheme="majorBidi" w:hAnsiTheme="majorBidi" w:cstheme="majorBidi"/>
        </w:rPr>
        <w:t xml:space="preserve"> achieving</w:t>
      </w:r>
      <w:r w:rsidRPr="00E32653">
        <w:rPr>
          <w:rFonts w:asciiTheme="majorBidi" w:hAnsiTheme="majorBidi" w:cstheme="majorBidi"/>
        </w:rPr>
        <w:t xml:space="preserve"> th</w:t>
      </w:r>
      <w:r w:rsidR="00C0107A" w:rsidRPr="00E32653">
        <w:rPr>
          <w:rFonts w:asciiTheme="majorBidi" w:hAnsiTheme="majorBidi" w:cstheme="majorBidi"/>
        </w:rPr>
        <w:t xml:space="preserve">is </w:t>
      </w:r>
      <w:r w:rsidRPr="00E32653">
        <w:rPr>
          <w:rFonts w:asciiTheme="majorBidi" w:hAnsiTheme="majorBidi" w:cstheme="majorBidi"/>
        </w:rPr>
        <w:t>goal</w:t>
      </w:r>
      <w:r w:rsidR="002924BD" w:rsidRPr="00E32653">
        <w:rPr>
          <w:rFonts w:asciiTheme="majorBidi" w:hAnsiTheme="majorBidi" w:cstheme="majorBidi"/>
        </w:rPr>
        <w:t xml:space="preserve"> </w:t>
      </w:r>
      <w:r w:rsidR="002924BD" w:rsidRPr="00E32653">
        <w:rPr>
          <w:rFonts w:asciiTheme="majorBidi" w:hAnsiTheme="majorBidi" w:cstheme="majorBidi"/>
        </w:rPr>
        <w:fldChar w:fldCharType="begin" w:fldLock="1"/>
      </w:r>
      <w:r w:rsidR="0047293E" w:rsidRPr="00E32653">
        <w:rPr>
          <w:rFonts w:asciiTheme="majorBidi" w:hAnsiTheme="majorBidi" w:cstheme="majorBidi"/>
        </w:rPr>
        <w:instrText>ADDIN CSL_CITATION {"citationItems":[{"id":"ITEM-1","itemData":{"DOI":"10.1016/B978-0-12-812817-6.00010-3","ISBN":"9780128128176","author":[{"dropping-particle":"","family":"Hernandez","given":"Patxi","non-dropping-particle":"","parse-names":false,"suffix":""},{"dropping-particle":"","family":"Oregi","given":"Xabat","non-dropping-particle":"","parse-names":false,"suffix":""},{"dropping-particle":"","family":"Longo","given":"Sonia","non-dropping-particle":"","parse-names":false,"suffix":""},{"dropping-particle":"","family":"Cellura","given":"Maurizio","non-dropping-particle":"","parse-names":false,"suffix":""}],"container-title":"Handbook of Energy Efficiency in Buildings","id":"ITEM-1","issued":{"date-parts":[["2019"]]},"number-of-pages":"207-261","publisher":"Elsevier Inc.","title":"Life-Cycle Assessment of Buildings","type":"book"},"uris":["http://www.mendeley.com/documents/?uuid=77ee3f6c-6cd0-4881-af02-0f9fb8837f89"]}],"mendeley":{"formattedCitation":"(Hernandez et al., 2019)","plainTextFormattedCitation":"(Hernandez et al., 2019)","previouslyFormattedCitation":"(Hernandez et al., 2019)"},"properties":{"noteIndex":0},"schema":"https://github.com/citation-style-language/schema/raw/master/csl-citation.json"}</w:instrText>
      </w:r>
      <w:r w:rsidR="002924BD" w:rsidRPr="00E32653">
        <w:rPr>
          <w:rFonts w:asciiTheme="majorBidi" w:hAnsiTheme="majorBidi" w:cstheme="majorBidi"/>
        </w:rPr>
        <w:fldChar w:fldCharType="separate"/>
      </w:r>
      <w:r w:rsidR="002924BD" w:rsidRPr="00E32653">
        <w:rPr>
          <w:rFonts w:asciiTheme="majorBidi" w:hAnsiTheme="majorBidi" w:cstheme="majorBidi"/>
          <w:noProof/>
        </w:rPr>
        <w:t>(Hernandez et al., 2019)</w:t>
      </w:r>
      <w:r w:rsidR="002924BD" w:rsidRPr="00E32653">
        <w:rPr>
          <w:rFonts w:asciiTheme="majorBidi" w:hAnsiTheme="majorBidi" w:cstheme="majorBidi"/>
        </w:rPr>
        <w:fldChar w:fldCharType="end"/>
      </w:r>
      <w:r w:rsidR="00672E03" w:rsidRPr="00E32653">
        <w:rPr>
          <w:rFonts w:asciiTheme="majorBidi" w:hAnsiTheme="majorBidi" w:cstheme="majorBidi"/>
        </w:rPr>
        <w:t>.</w:t>
      </w:r>
      <w:r w:rsidR="00A742DE" w:rsidRPr="00E32653">
        <w:rPr>
          <w:rFonts w:asciiTheme="majorBidi" w:hAnsiTheme="majorBidi" w:cstheme="majorBidi"/>
        </w:rPr>
        <w:t xml:space="preserve"> </w:t>
      </w:r>
      <w:r w:rsidR="0089203D" w:rsidRPr="00E32653">
        <w:rPr>
          <w:rFonts w:asciiTheme="majorBidi" w:hAnsiTheme="majorBidi" w:cstheme="majorBidi"/>
        </w:rPr>
        <w:t xml:space="preserve">To </w:t>
      </w:r>
      <w:r w:rsidR="00965E07" w:rsidRPr="00E32653">
        <w:rPr>
          <w:rFonts w:asciiTheme="majorBidi" w:hAnsiTheme="majorBidi" w:cstheme="majorBidi"/>
        </w:rPr>
        <w:t>improve</w:t>
      </w:r>
      <w:r w:rsidR="0089203D" w:rsidRPr="00E32653">
        <w:rPr>
          <w:rFonts w:asciiTheme="majorBidi" w:hAnsiTheme="majorBidi" w:cstheme="majorBidi"/>
        </w:rPr>
        <w:t xml:space="preserve"> environmental benefits and </w:t>
      </w:r>
      <w:r w:rsidR="00965E07" w:rsidRPr="00E32653">
        <w:rPr>
          <w:rFonts w:asciiTheme="majorBidi" w:hAnsiTheme="majorBidi" w:cstheme="majorBidi"/>
        </w:rPr>
        <w:t xml:space="preserve">generate </w:t>
      </w:r>
      <w:r w:rsidR="0089203D" w:rsidRPr="00E32653">
        <w:rPr>
          <w:rFonts w:asciiTheme="majorBidi" w:hAnsiTheme="majorBidi" w:cstheme="majorBidi"/>
        </w:rPr>
        <w:t>cost saving</w:t>
      </w:r>
      <w:r w:rsidR="00EE6539" w:rsidRPr="00E32653">
        <w:rPr>
          <w:rFonts w:asciiTheme="majorBidi" w:hAnsiTheme="majorBidi" w:cstheme="majorBidi"/>
        </w:rPr>
        <w:t>s</w:t>
      </w:r>
      <w:r w:rsidR="0089203D" w:rsidRPr="00E32653">
        <w:rPr>
          <w:rFonts w:asciiTheme="majorBidi" w:hAnsiTheme="majorBidi" w:cstheme="majorBidi"/>
        </w:rPr>
        <w:t xml:space="preserve">, the </w:t>
      </w:r>
      <w:r w:rsidR="00965E07" w:rsidRPr="00E32653">
        <w:rPr>
          <w:rFonts w:asciiTheme="majorBidi" w:hAnsiTheme="majorBidi" w:cstheme="majorBidi"/>
        </w:rPr>
        <w:t xml:space="preserve">use </w:t>
      </w:r>
      <w:r w:rsidR="0089203D" w:rsidRPr="00E32653">
        <w:rPr>
          <w:rFonts w:asciiTheme="majorBidi" w:hAnsiTheme="majorBidi" w:cstheme="majorBidi"/>
        </w:rPr>
        <w:t>of wood-based construction materials is currently attracting attention</w:t>
      </w:r>
      <w:r w:rsidR="00845DCF" w:rsidRPr="00E32653">
        <w:rPr>
          <w:rFonts w:asciiTheme="majorBidi" w:hAnsiTheme="majorBidi" w:cstheme="majorBidi"/>
        </w:rPr>
        <w:t xml:space="preserve"> (</w:t>
      </w:r>
      <w:r w:rsidR="00FB7821" w:rsidRPr="00E32653">
        <w:rPr>
          <w:rFonts w:asciiTheme="majorBidi" w:hAnsiTheme="majorBidi" w:cstheme="majorBidi"/>
          <w:noProof/>
        </w:rPr>
        <w:t>Lu &amp; El</w:t>
      </w:r>
      <w:r w:rsidR="00FB7821" w:rsidRPr="00E32653">
        <w:rPr>
          <w:rFonts w:asciiTheme="majorBidi" w:hAnsiTheme="majorBidi" w:cstheme="majorBidi"/>
        </w:rPr>
        <w:t xml:space="preserve"> </w:t>
      </w:r>
      <w:r w:rsidR="00D53D84" w:rsidRPr="00E32653">
        <w:rPr>
          <w:rFonts w:asciiTheme="majorBidi" w:hAnsiTheme="majorBidi" w:cstheme="majorBidi"/>
        </w:rPr>
        <w:t>Hanandeh et al., 201</w:t>
      </w:r>
      <w:r w:rsidR="001731FB" w:rsidRPr="00E32653">
        <w:rPr>
          <w:rFonts w:asciiTheme="majorBidi" w:hAnsiTheme="majorBidi" w:cstheme="majorBidi"/>
        </w:rPr>
        <w:t>9</w:t>
      </w:r>
      <w:r w:rsidR="00D53D84" w:rsidRPr="00E32653">
        <w:rPr>
          <w:rFonts w:asciiTheme="majorBidi" w:hAnsiTheme="majorBidi" w:cstheme="majorBidi"/>
        </w:rPr>
        <w:t>)</w:t>
      </w:r>
      <w:r w:rsidR="0089203D" w:rsidRPr="00E32653">
        <w:rPr>
          <w:rFonts w:asciiTheme="majorBidi" w:hAnsiTheme="majorBidi" w:cstheme="majorBidi"/>
        </w:rPr>
        <w:t>.</w:t>
      </w:r>
      <w:r w:rsidR="00C16345" w:rsidRPr="00E32653">
        <w:rPr>
          <w:rFonts w:asciiTheme="majorBidi" w:hAnsiTheme="majorBidi" w:cstheme="majorBidi"/>
        </w:rPr>
        <w:t xml:space="preserve"> </w:t>
      </w:r>
      <w:r w:rsidR="008A3140" w:rsidRPr="00E32653">
        <w:rPr>
          <w:rFonts w:asciiTheme="majorBidi" w:hAnsiTheme="majorBidi" w:cstheme="majorBidi"/>
        </w:rPr>
        <w:t xml:space="preserve">Wood </w:t>
      </w:r>
      <w:r w:rsidR="00915C2E" w:rsidRPr="00E32653">
        <w:rPr>
          <w:rFonts w:asciiTheme="majorBidi" w:hAnsiTheme="majorBidi" w:cstheme="majorBidi"/>
        </w:rPr>
        <w:t>materials</w:t>
      </w:r>
      <w:r w:rsidR="008A3140" w:rsidRPr="00E32653">
        <w:rPr>
          <w:rFonts w:asciiTheme="majorBidi" w:hAnsiTheme="majorBidi" w:cstheme="majorBidi"/>
        </w:rPr>
        <w:t xml:space="preserve"> are </w:t>
      </w:r>
      <w:r w:rsidR="00C0107A" w:rsidRPr="00E32653">
        <w:rPr>
          <w:rFonts w:asciiTheme="majorBidi" w:hAnsiTheme="majorBidi" w:cstheme="majorBidi"/>
        </w:rPr>
        <w:t>re</w:t>
      </w:r>
      <w:r w:rsidR="008A3140" w:rsidRPr="00E32653">
        <w:rPr>
          <w:rFonts w:asciiTheme="majorBidi" w:hAnsiTheme="majorBidi" w:cstheme="majorBidi"/>
        </w:rPr>
        <w:t xml:space="preserve">gaining popularity in the building industry in many countries because of their life cycle environmental benefits compared to buildings with concrete and steel structures </w:t>
      </w:r>
      <w:r w:rsidR="008A3140" w:rsidRPr="00E32653">
        <w:rPr>
          <w:rFonts w:asciiTheme="majorBidi" w:hAnsiTheme="majorBidi" w:cstheme="majorBidi"/>
        </w:rPr>
        <w:fldChar w:fldCharType="begin" w:fldLock="1"/>
      </w:r>
      <w:r w:rsidR="008A3140" w:rsidRPr="00E32653">
        <w:rPr>
          <w:rFonts w:asciiTheme="majorBidi" w:hAnsiTheme="majorBidi" w:cstheme="majorBidi"/>
        </w:rPr>
        <w:instrText>ADDIN CSL_CITATION {"citationItems":[{"id":"ITEM-1","itemData":{"DOI":"10.1016/j.jclepro.2018.12.028","ISSN":"09596526","abstract":"Buildings are big consumers of energy and materials, and important producers of waste and emissions. Prefabrication presents an opportunity to reduce impacts in the building sector; however, few studies have focused on prefabricated houses and with contradictory findings. The main goal of this article is to assess the embodied energy (EE) and greenhouse gas emissions (GHG) of a prefabricated modular house, based on a modular system to enable different layouts. A “cradle-to-site” analysis was performed, including materials production, transport to plant, modules’ production, transport to site and final assemblage on site. Several house final locations were addressed to assess transport related impacts. Scenarios for alternative building structural materials (steel; concrete; timber and light steel framing (LSF)) and house size (bedroom number) were also analyzed, aiming at understanding the influence of these aspects in the results, and representing other prefabricated modular houses currently produced in Europe. The calculated embodied impacts show that materials production is the most important phase (64–90% of EE and 59–87% of GHG) and that the structures with LSF framing or timber have the lowest impacts, while steel and concrete the highest. Embodied impacts increase with the house size; however, a larger house leads to lower impacts per inhabitant, but similar impacts per m 2 (similar conclusion could be drawn for non-prefab buildings). The impacts of transportation (of modules, workers and finishing materials) vary significantly for the various house final locations and can be significant for overseas locations, which can jeopardize the potential benefits of modular prefabrication.","author":[{"dropping-particle":"","family":"Tavares","given":"Vanessa","non-dropping-particle":"","parse-names":false,"suffix":""},{"dropping-particle":"","family":"Lacerda","given":"Nuno","non-dropping-particle":"","parse-names":false,"suffix":""},{"dropping-particle":"","family":"Freire","given":"Fausto","non-dropping-particle":"","parse-names":false,"suffix":""}],"container-title":"Journal of Cleaner Production","id":"ITEM-1","issued":{"date-parts":[["2019"]]},"page":"1044-1053","publisher":"Elsevier Ltd","title":"Embodied energy and greenhouse gas emissions analysis of a prefabricated modular house: The “Moby” case study","type":"article-journal","volume":"212"},"uris":["http://www.mendeley.com/documents/?uuid=790f5f77-2bca-4c76-9ed8-1a76c47d35ed"]}],"mendeley":{"formattedCitation":"(Tavares et al., 2019)","plainTextFormattedCitation":"(Tavares et al., 2019)","previouslyFormattedCitation":"(Tavares et al., 2019)"},"properties":{"noteIndex":0},"schema":"https://github.com/citation-style-language/schema/raw/master/csl-citation.json"}</w:instrText>
      </w:r>
      <w:r w:rsidR="008A3140" w:rsidRPr="00E32653">
        <w:rPr>
          <w:rFonts w:asciiTheme="majorBidi" w:hAnsiTheme="majorBidi" w:cstheme="majorBidi"/>
        </w:rPr>
        <w:fldChar w:fldCharType="separate"/>
      </w:r>
      <w:r w:rsidR="008A3140" w:rsidRPr="00E32653">
        <w:rPr>
          <w:rFonts w:asciiTheme="majorBidi" w:hAnsiTheme="majorBidi" w:cstheme="majorBidi"/>
          <w:noProof/>
        </w:rPr>
        <w:t>(Tavares et al., 2019)</w:t>
      </w:r>
      <w:r w:rsidR="008A3140" w:rsidRPr="00E32653">
        <w:rPr>
          <w:rFonts w:asciiTheme="majorBidi" w:hAnsiTheme="majorBidi" w:cstheme="majorBidi"/>
        </w:rPr>
        <w:fldChar w:fldCharType="end"/>
      </w:r>
      <w:r w:rsidR="008A3140" w:rsidRPr="00E32653">
        <w:rPr>
          <w:rFonts w:asciiTheme="majorBidi" w:hAnsiTheme="majorBidi" w:cstheme="majorBidi"/>
        </w:rPr>
        <w:t xml:space="preserve">. </w:t>
      </w:r>
      <w:r w:rsidR="00C0107A" w:rsidRPr="00E32653">
        <w:rPr>
          <w:rFonts w:asciiTheme="majorBidi" w:hAnsiTheme="majorBidi" w:cstheme="majorBidi"/>
        </w:rPr>
        <w:t>D</w:t>
      </w:r>
      <w:r w:rsidR="000131AB" w:rsidRPr="00E32653">
        <w:rPr>
          <w:rFonts w:asciiTheme="majorBidi" w:hAnsiTheme="majorBidi" w:cstheme="majorBidi"/>
        </w:rPr>
        <w:t xml:space="preserve">ifferent </w:t>
      </w:r>
      <w:r w:rsidR="00007283" w:rsidRPr="00E32653">
        <w:rPr>
          <w:rFonts w:asciiTheme="majorBidi" w:hAnsiTheme="majorBidi" w:cstheme="majorBidi"/>
        </w:rPr>
        <w:t xml:space="preserve">mass </w:t>
      </w:r>
      <w:r w:rsidR="000131AB" w:rsidRPr="00E32653">
        <w:rPr>
          <w:rFonts w:asciiTheme="majorBidi" w:hAnsiTheme="majorBidi" w:cstheme="majorBidi"/>
        </w:rPr>
        <w:t>timber</w:t>
      </w:r>
      <w:r w:rsidR="00C0107A" w:rsidRPr="00E32653">
        <w:rPr>
          <w:rFonts w:asciiTheme="majorBidi" w:hAnsiTheme="majorBidi" w:cstheme="majorBidi"/>
        </w:rPr>
        <w:t xml:space="preserve"> materials and techniques</w:t>
      </w:r>
      <w:r w:rsidR="000131AB" w:rsidRPr="00E32653">
        <w:rPr>
          <w:rFonts w:asciiTheme="majorBidi" w:hAnsiTheme="majorBidi" w:cstheme="majorBidi"/>
        </w:rPr>
        <w:t xml:space="preserve"> </w:t>
      </w:r>
      <w:r w:rsidR="00C0107A" w:rsidRPr="00E32653">
        <w:rPr>
          <w:rFonts w:asciiTheme="majorBidi" w:hAnsiTheme="majorBidi" w:cstheme="majorBidi"/>
        </w:rPr>
        <w:t xml:space="preserve">are </w:t>
      </w:r>
      <w:r w:rsidR="000131AB" w:rsidRPr="00E32653">
        <w:rPr>
          <w:rFonts w:asciiTheme="majorBidi" w:hAnsiTheme="majorBidi" w:cstheme="majorBidi"/>
        </w:rPr>
        <w:t>available, leading to different environmental impacts</w:t>
      </w:r>
      <w:r w:rsidR="00C479D0" w:rsidRPr="00E32653">
        <w:rPr>
          <w:rFonts w:asciiTheme="majorBidi" w:hAnsiTheme="majorBidi" w:cstheme="majorBidi"/>
        </w:rPr>
        <w:t>. T</w:t>
      </w:r>
      <w:r w:rsidR="000131AB" w:rsidRPr="00E32653">
        <w:rPr>
          <w:rFonts w:asciiTheme="majorBidi" w:hAnsiTheme="majorBidi" w:cstheme="majorBidi"/>
        </w:rPr>
        <w:t xml:space="preserve">he </w:t>
      </w:r>
      <w:r w:rsidR="00007283" w:rsidRPr="00E32653">
        <w:rPr>
          <w:rFonts w:asciiTheme="majorBidi" w:hAnsiTheme="majorBidi" w:cstheme="majorBidi"/>
        </w:rPr>
        <w:t xml:space="preserve">mass timber </w:t>
      </w:r>
      <w:r w:rsidR="000131AB" w:rsidRPr="00E32653">
        <w:rPr>
          <w:rFonts w:asciiTheme="majorBidi" w:hAnsiTheme="majorBidi" w:cstheme="majorBidi"/>
        </w:rPr>
        <w:t>industry</w:t>
      </w:r>
      <w:r w:rsidR="00C0107A" w:rsidRPr="00E32653">
        <w:rPr>
          <w:rFonts w:asciiTheme="majorBidi" w:hAnsiTheme="majorBidi" w:cstheme="majorBidi"/>
        </w:rPr>
        <w:t>, construction clients as well as construction contractors</w:t>
      </w:r>
      <w:r w:rsidR="000131AB" w:rsidRPr="00E32653">
        <w:rPr>
          <w:rFonts w:asciiTheme="majorBidi" w:hAnsiTheme="majorBidi" w:cstheme="majorBidi"/>
        </w:rPr>
        <w:t xml:space="preserve"> </w:t>
      </w:r>
      <w:r w:rsidR="00C0107A" w:rsidRPr="00E32653">
        <w:rPr>
          <w:rFonts w:asciiTheme="majorBidi" w:hAnsiTheme="majorBidi" w:cstheme="majorBidi"/>
        </w:rPr>
        <w:t xml:space="preserve">are </w:t>
      </w:r>
      <w:r w:rsidR="000131AB" w:rsidRPr="00E32653">
        <w:rPr>
          <w:rFonts w:asciiTheme="majorBidi" w:hAnsiTheme="majorBidi" w:cstheme="majorBidi"/>
        </w:rPr>
        <w:t xml:space="preserve">seeking </w:t>
      </w:r>
      <w:r w:rsidR="00FA62E3" w:rsidRPr="00E32653">
        <w:rPr>
          <w:rFonts w:asciiTheme="majorBidi" w:hAnsiTheme="majorBidi" w:cstheme="majorBidi"/>
        </w:rPr>
        <w:t>evidence-based</w:t>
      </w:r>
      <w:r w:rsidR="00C479D0" w:rsidRPr="00E32653">
        <w:rPr>
          <w:rFonts w:asciiTheme="majorBidi" w:hAnsiTheme="majorBidi" w:cstheme="majorBidi"/>
        </w:rPr>
        <w:t xml:space="preserve"> research to </w:t>
      </w:r>
      <w:r w:rsidR="00FA62E3" w:rsidRPr="00E32653">
        <w:rPr>
          <w:rFonts w:asciiTheme="majorBidi" w:hAnsiTheme="majorBidi" w:cstheme="majorBidi"/>
        </w:rPr>
        <w:t xml:space="preserve">assist in evaluating </w:t>
      </w:r>
      <w:r w:rsidR="00C479D0" w:rsidRPr="00E32653">
        <w:rPr>
          <w:rFonts w:asciiTheme="majorBidi" w:hAnsiTheme="majorBidi" w:cstheme="majorBidi"/>
        </w:rPr>
        <w:t xml:space="preserve">these </w:t>
      </w:r>
      <w:r w:rsidR="00915C2E" w:rsidRPr="00E32653">
        <w:rPr>
          <w:rFonts w:asciiTheme="majorBidi" w:hAnsiTheme="majorBidi" w:cstheme="majorBidi"/>
        </w:rPr>
        <w:t>materials</w:t>
      </w:r>
      <w:r w:rsidR="00C479D0" w:rsidRPr="00E32653">
        <w:rPr>
          <w:rFonts w:asciiTheme="majorBidi" w:hAnsiTheme="majorBidi" w:cstheme="majorBidi"/>
        </w:rPr>
        <w:t xml:space="preserve"> and distinguish their differences.</w:t>
      </w:r>
      <w:r w:rsidR="00DC2110" w:rsidRPr="00E32653">
        <w:rPr>
          <w:rFonts w:asciiTheme="majorBidi" w:hAnsiTheme="majorBidi" w:cstheme="majorBidi"/>
        </w:rPr>
        <w:t xml:space="preserve"> </w:t>
      </w:r>
      <w:r w:rsidR="005C5788" w:rsidRPr="00E32653">
        <w:rPr>
          <w:rFonts w:asciiTheme="majorBidi" w:hAnsiTheme="majorBidi" w:cstheme="majorBidi"/>
        </w:rPr>
        <w:t xml:space="preserve">However, </w:t>
      </w:r>
      <w:r w:rsidR="00F30E5C" w:rsidRPr="00E32653">
        <w:rPr>
          <w:rFonts w:asciiTheme="majorBidi" w:hAnsiTheme="majorBidi" w:cstheme="majorBidi"/>
        </w:rPr>
        <w:t xml:space="preserve">few </w:t>
      </w:r>
      <w:r w:rsidR="005C5788" w:rsidRPr="00E32653">
        <w:rPr>
          <w:rFonts w:asciiTheme="majorBidi" w:hAnsiTheme="majorBidi" w:cstheme="majorBidi"/>
        </w:rPr>
        <w:t xml:space="preserve">studies compare </w:t>
      </w:r>
      <w:r w:rsidR="00F30E5C" w:rsidRPr="00E32653">
        <w:rPr>
          <w:rFonts w:asciiTheme="majorBidi" w:hAnsiTheme="majorBidi" w:cstheme="majorBidi"/>
        </w:rPr>
        <w:t xml:space="preserve">the </w:t>
      </w:r>
      <w:r w:rsidR="003B6497" w:rsidRPr="00E32653">
        <w:rPr>
          <w:rFonts w:asciiTheme="majorBidi" w:hAnsiTheme="majorBidi" w:cstheme="majorBidi"/>
        </w:rPr>
        <w:t xml:space="preserve">life cycle assessment </w:t>
      </w:r>
      <w:r w:rsidR="00EE6539" w:rsidRPr="00E32653">
        <w:rPr>
          <w:rFonts w:asciiTheme="majorBidi" w:hAnsiTheme="majorBidi" w:cstheme="majorBidi"/>
        </w:rPr>
        <w:t xml:space="preserve">(LCA) </w:t>
      </w:r>
      <w:r w:rsidR="003B6497" w:rsidRPr="00E32653">
        <w:rPr>
          <w:rFonts w:asciiTheme="majorBidi" w:hAnsiTheme="majorBidi" w:cstheme="majorBidi"/>
        </w:rPr>
        <w:t xml:space="preserve">and life cycle cost </w:t>
      </w:r>
      <w:r w:rsidR="005C5788" w:rsidRPr="00E32653">
        <w:rPr>
          <w:rFonts w:asciiTheme="majorBidi" w:hAnsiTheme="majorBidi" w:cstheme="majorBidi"/>
        </w:rPr>
        <w:t xml:space="preserve">(LCC) of different </w:t>
      </w:r>
      <w:r w:rsidR="00007283" w:rsidRPr="00E32653">
        <w:rPr>
          <w:rFonts w:asciiTheme="majorBidi" w:hAnsiTheme="majorBidi" w:cstheme="majorBidi"/>
        </w:rPr>
        <w:t xml:space="preserve">mass timber </w:t>
      </w:r>
      <w:r w:rsidR="001F4D5A" w:rsidRPr="00E32653">
        <w:rPr>
          <w:rFonts w:asciiTheme="majorBidi" w:hAnsiTheme="majorBidi" w:cstheme="majorBidi"/>
        </w:rPr>
        <w:t>and wood</w:t>
      </w:r>
      <w:r w:rsidR="00F30E5C" w:rsidRPr="00E32653">
        <w:rPr>
          <w:rFonts w:asciiTheme="majorBidi" w:hAnsiTheme="majorBidi" w:cstheme="majorBidi"/>
        </w:rPr>
        <w:t xml:space="preserve"> </w:t>
      </w:r>
      <w:r w:rsidR="001B7693" w:rsidRPr="00E32653">
        <w:rPr>
          <w:rFonts w:asciiTheme="majorBidi" w:hAnsiTheme="majorBidi" w:cstheme="majorBidi"/>
        </w:rPr>
        <w:t>construction material</w:t>
      </w:r>
      <w:r w:rsidR="00F30E5C" w:rsidRPr="00E32653">
        <w:rPr>
          <w:rFonts w:asciiTheme="majorBidi" w:hAnsiTheme="majorBidi" w:cstheme="majorBidi"/>
        </w:rPr>
        <w:t>s</w:t>
      </w:r>
      <w:r w:rsidR="005C5788" w:rsidRPr="00E32653">
        <w:rPr>
          <w:rFonts w:asciiTheme="majorBidi" w:hAnsiTheme="majorBidi" w:cstheme="majorBidi"/>
        </w:rPr>
        <w:t>.</w:t>
      </w:r>
      <w:r w:rsidR="003D1B4C" w:rsidRPr="00E32653">
        <w:rPr>
          <w:rFonts w:asciiTheme="majorBidi" w:hAnsiTheme="majorBidi" w:cstheme="majorBidi"/>
        </w:rPr>
        <w:t xml:space="preserve"> </w:t>
      </w:r>
      <w:r w:rsidR="00DA00CF" w:rsidRPr="00E32653">
        <w:rPr>
          <w:rFonts w:asciiTheme="majorBidi" w:hAnsiTheme="majorBidi" w:cstheme="majorBidi"/>
        </w:rPr>
        <w:fldChar w:fldCharType="begin" w:fldLock="1"/>
      </w:r>
      <w:r w:rsidR="003B34DA" w:rsidRPr="00E32653">
        <w:rPr>
          <w:rFonts w:asciiTheme="majorBidi" w:hAnsiTheme="majorBidi" w:cstheme="majorBidi"/>
        </w:rPr>
        <w:instrText>ADDIN CSL_CITATION {"citationItems":[{"id":"ITEM-1","itemData":{"DOI":"10.1016/j.jclepro.2015.01.090","ISSN":"09596526","abstract":"Cross-Laminated Timber is an engineered wood-based product, developed in Europe in the early 1990s. Cross-Laminated Timber is made of multiple layers of wood boards, which are oriented perpendicular to the adjacent layers. Cross Laminated Timber is a promising construction technology that represents an opportunity to use low-value timber from small diameter and insect-infested forest resources, for a high value-added application, which contributes to better use our forest resources. While Cross-Laminated Timber has been successful in Europe and is making its way into the Canadian and Australian markets, it has not yet been widely adopted in the United States. Research has proven that the rate of diffusion is dependent on potential adopters' perceptions of the product attributes, thus the study of perceptions play an important role in understanding and analyzing the adoption potential of a new product or technology. This document presents the results from research conducted to assess the market potential and barriers to the adoption of Cross-Laminated Timber in the United States, through the analysis of level of awareness, perceptions, and willingness to adopt Cross-Laminated Timber by the United States architecture community. Results from a nation-wide survey of United States architecture firms show that the level of awareness about Cross-Laminated Timber in the United States is low. The main perceived benefits of Cross-Laminated Timber are a favorable environmental and structural performance, and outstanding aesthetic properties. Major perceived disadvantages are high maintenance costs and fire performance. The most important barriers to the successful adoption of Cross-Laminated Timber according to survey participants are building code compatibility issues, initial cost, and the lack of Cross-Laminated Timber availability in the United States market. Most respondents were uncertain when asked about their willingness to adopt Cross-Laminated Timber in the near future; although willingness to adopt was found to be positively correlated with familiarity with the system. From these results, we conclude that the success of Cross-Laminated Timber-based construction in the United States will depend in great part on the information about the material's benefits reaching the target audience.","author":[{"dropping-particle":"","family":"Laguarda Mallo","given":"Maria Fernanda","non-dropping-particle":"","parse-names":false,"suffix":""},{"dropping-particle":"","family":"Espinoza","given":"Omar","non-dropping-particle":"","parse-names":false,"suffix":""}],"container-title":"Journal of Cleaner Production","id":"ITEM-1","issued":{"date-parts":[["2015"]]},"page":"198-210","publisher":"Elsevier Ltd","title":"Awareness, perceptions and willingness to adopt Cross-Laminated Timber by the architecture community in the United States","type":"article-journal","volume":"94"},"uris":["http://www.mendeley.com/documents/?uuid=4cb45807-ec4e-4336-a8dd-601418c33368"]}],"mendeley":{"formattedCitation":"(Laguarda Mallo &amp; Espinoza, 2015)","manualFormatting":"Mallo et al. (2015)","plainTextFormattedCitation":"(Laguarda Mallo &amp; Espinoza, 2015)","previouslyFormattedCitation":"(Laguarda Mallo &amp; Espinoza, 2015)"},"properties":{"noteIndex":0},"schema":"https://github.com/citation-style-language/schema/raw/master/csl-citation.json"}</w:instrText>
      </w:r>
      <w:r w:rsidR="00DA00CF" w:rsidRPr="00E32653">
        <w:rPr>
          <w:rFonts w:asciiTheme="majorBidi" w:hAnsiTheme="majorBidi" w:cstheme="majorBidi"/>
        </w:rPr>
        <w:fldChar w:fldCharType="separate"/>
      </w:r>
      <w:r w:rsidR="00DA00CF" w:rsidRPr="00E32653">
        <w:rPr>
          <w:rFonts w:asciiTheme="majorBidi" w:hAnsiTheme="majorBidi" w:cstheme="majorBidi"/>
          <w:noProof/>
        </w:rPr>
        <w:t>Mallo et al. (2015)</w:t>
      </w:r>
      <w:r w:rsidR="00DA00CF" w:rsidRPr="00E32653">
        <w:rPr>
          <w:rFonts w:asciiTheme="majorBidi" w:hAnsiTheme="majorBidi" w:cstheme="majorBidi"/>
        </w:rPr>
        <w:fldChar w:fldCharType="end"/>
      </w:r>
      <w:r w:rsidR="00DA00CF" w:rsidRPr="00E32653">
        <w:rPr>
          <w:rFonts w:asciiTheme="majorBidi" w:hAnsiTheme="majorBidi" w:cstheme="majorBidi"/>
        </w:rPr>
        <w:t xml:space="preserve"> indicated that the level of awareness in the architecture industry about </w:t>
      </w:r>
      <w:r w:rsidR="00007283" w:rsidRPr="00E32653">
        <w:rPr>
          <w:rFonts w:asciiTheme="majorBidi" w:hAnsiTheme="majorBidi" w:cstheme="majorBidi"/>
        </w:rPr>
        <w:t xml:space="preserve">mass timber </w:t>
      </w:r>
      <w:r w:rsidR="00DA00CF" w:rsidRPr="00E32653">
        <w:rPr>
          <w:rFonts w:asciiTheme="majorBidi" w:hAnsiTheme="majorBidi" w:cstheme="majorBidi"/>
        </w:rPr>
        <w:t xml:space="preserve">is low </w:t>
      </w:r>
      <w:r w:rsidR="00BF160E" w:rsidRPr="00E32653">
        <w:rPr>
          <w:rFonts w:asciiTheme="majorBidi" w:hAnsiTheme="majorBidi" w:cstheme="majorBidi"/>
        </w:rPr>
        <w:t xml:space="preserve">with </w:t>
      </w:r>
      <w:r w:rsidR="00DA00CF" w:rsidRPr="00E32653">
        <w:rPr>
          <w:rFonts w:asciiTheme="majorBidi" w:hAnsiTheme="majorBidi" w:cstheme="majorBidi"/>
        </w:rPr>
        <w:t xml:space="preserve">only 4.3% of 351 respondents </w:t>
      </w:r>
      <w:r w:rsidR="00BF160E" w:rsidRPr="00E32653">
        <w:rPr>
          <w:rFonts w:asciiTheme="majorBidi" w:hAnsiTheme="majorBidi" w:cstheme="majorBidi"/>
        </w:rPr>
        <w:t xml:space="preserve">being </w:t>
      </w:r>
      <w:r w:rsidR="000131AB" w:rsidRPr="00E32653">
        <w:rPr>
          <w:rFonts w:asciiTheme="majorBidi" w:hAnsiTheme="majorBidi" w:cstheme="majorBidi"/>
        </w:rPr>
        <w:t>"</w:t>
      </w:r>
      <w:r w:rsidR="001B7693" w:rsidRPr="00E32653">
        <w:rPr>
          <w:rFonts w:asciiTheme="majorBidi" w:hAnsiTheme="majorBidi" w:cstheme="majorBidi"/>
        </w:rPr>
        <w:t>very familiar</w:t>
      </w:r>
      <w:r w:rsidR="000131AB" w:rsidRPr="00E32653">
        <w:rPr>
          <w:rFonts w:asciiTheme="majorBidi" w:hAnsiTheme="majorBidi" w:cstheme="majorBidi"/>
        </w:rPr>
        <w:t>"</w:t>
      </w:r>
      <w:r w:rsidR="001B7693" w:rsidRPr="00E32653">
        <w:rPr>
          <w:rFonts w:asciiTheme="majorBidi" w:hAnsiTheme="majorBidi" w:cstheme="majorBidi"/>
        </w:rPr>
        <w:t xml:space="preserve"> </w:t>
      </w:r>
      <w:r w:rsidR="00BF160E" w:rsidRPr="00E32653">
        <w:rPr>
          <w:rFonts w:asciiTheme="majorBidi" w:hAnsiTheme="majorBidi" w:cstheme="majorBidi"/>
        </w:rPr>
        <w:t>with the approach</w:t>
      </w:r>
      <w:r w:rsidR="00DA00CF" w:rsidRPr="00E32653">
        <w:rPr>
          <w:rFonts w:asciiTheme="majorBidi" w:hAnsiTheme="majorBidi" w:cstheme="majorBidi"/>
        </w:rPr>
        <w:t>.</w:t>
      </w:r>
      <w:r w:rsidR="008738D5" w:rsidRPr="00E32653">
        <w:rPr>
          <w:rFonts w:asciiTheme="majorBidi" w:hAnsiTheme="majorBidi" w:cstheme="majorBidi"/>
        </w:rPr>
        <w:t xml:space="preserve"> </w:t>
      </w:r>
      <w:r w:rsidR="008A3140" w:rsidRPr="00E32653">
        <w:rPr>
          <w:rFonts w:asciiTheme="majorBidi" w:hAnsiTheme="majorBidi" w:cstheme="majorBidi"/>
        </w:rPr>
        <w:t xml:space="preserve">On </w:t>
      </w:r>
      <w:r w:rsidR="00915C2E" w:rsidRPr="00E32653">
        <w:rPr>
          <w:rFonts w:asciiTheme="majorBidi" w:hAnsiTheme="majorBidi" w:cstheme="majorBidi"/>
        </w:rPr>
        <w:t>the</w:t>
      </w:r>
      <w:r w:rsidR="008A3140" w:rsidRPr="00E32653">
        <w:rPr>
          <w:rFonts w:asciiTheme="majorBidi" w:hAnsiTheme="majorBidi" w:cstheme="majorBidi"/>
        </w:rPr>
        <w:t xml:space="preserve"> </w:t>
      </w:r>
      <w:r w:rsidR="000131AB" w:rsidRPr="00E32653">
        <w:rPr>
          <w:rFonts w:asciiTheme="majorBidi" w:hAnsiTheme="majorBidi" w:cstheme="majorBidi"/>
        </w:rPr>
        <w:t xml:space="preserve">other </w:t>
      </w:r>
      <w:r w:rsidR="008A3140" w:rsidRPr="00E32653">
        <w:rPr>
          <w:rFonts w:asciiTheme="majorBidi" w:hAnsiTheme="majorBidi" w:cstheme="majorBidi"/>
        </w:rPr>
        <w:t>hand, d</w:t>
      </w:r>
      <w:r w:rsidR="008738D5" w:rsidRPr="00E32653">
        <w:rPr>
          <w:rFonts w:asciiTheme="majorBidi" w:hAnsiTheme="majorBidi" w:cstheme="majorBidi"/>
        </w:rPr>
        <w:t xml:space="preserve">ifferent </w:t>
      </w:r>
      <w:r w:rsidR="00007283" w:rsidRPr="00E32653">
        <w:rPr>
          <w:rFonts w:asciiTheme="majorBidi" w:hAnsiTheme="majorBidi" w:cstheme="majorBidi"/>
        </w:rPr>
        <w:t xml:space="preserve">mass timber </w:t>
      </w:r>
      <w:r w:rsidR="00FA62E3" w:rsidRPr="00E32653">
        <w:rPr>
          <w:rFonts w:asciiTheme="majorBidi" w:hAnsiTheme="majorBidi" w:cstheme="majorBidi"/>
        </w:rPr>
        <w:t xml:space="preserve">products </w:t>
      </w:r>
      <w:r w:rsidR="001A1F5C" w:rsidRPr="00E32653">
        <w:rPr>
          <w:rFonts w:asciiTheme="majorBidi" w:hAnsiTheme="majorBidi" w:cstheme="majorBidi"/>
        </w:rPr>
        <w:t xml:space="preserve">are </w:t>
      </w:r>
      <w:r w:rsidR="008738D5" w:rsidRPr="00E32653">
        <w:rPr>
          <w:rFonts w:asciiTheme="majorBidi" w:hAnsiTheme="majorBidi" w:cstheme="majorBidi"/>
        </w:rPr>
        <w:t>available</w:t>
      </w:r>
      <w:r w:rsidR="008A3140" w:rsidRPr="00E32653">
        <w:rPr>
          <w:rFonts w:asciiTheme="majorBidi" w:hAnsiTheme="majorBidi" w:cstheme="majorBidi"/>
        </w:rPr>
        <w:t xml:space="preserve"> </w:t>
      </w:r>
      <w:r w:rsidR="008738D5" w:rsidRPr="00E32653">
        <w:rPr>
          <w:rFonts w:asciiTheme="majorBidi" w:hAnsiTheme="majorBidi" w:cstheme="majorBidi"/>
        </w:rPr>
        <w:t xml:space="preserve">with </w:t>
      </w:r>
      <w:r w:rsidR="001F4D5A" w:rsidRPr="00E32653">
        <w:rPr>
          <w:rFonts w:asciiTheme="majorBidi" w:hAnsiTheme="majorBidi" w:cstheme="majorBidi"/>
        </w:rPr>
        <w:t>various</w:t>
      </w:r>
      <w:r w:rsidR="008738D5" w:rsidRPr="00E32653">
        <w:rPr>
          <w:rFonts w:asciiTheme="majorBidi" w:hAnsiTheme="majorBidi" w:cstheme="majorBidi"/>
        </w:rPr>
        <w:t xml:space="preserve"> environmental impact</w:t>
      </w:r>
      <w:r w:rsidR="001A1F5C" w:rsidRPr="00E32653">
        <w:rPr>
          <w:rFonts w:asciiTheme="majorBidi" w:hAnsiTheme="majorBidi" w:cstheme="majorBidi"/>
        </w:rPr>
        <w:t>s</w:t>
      </w:r>
      <w:r w:rsidR="008A3140" w:rsidRPr="00E32653">
        <w:rPr>
          <w:rFonts w:asciiTheme="majorBidi" w:hAnsiTheme="majorBidi" w:cstheme="majorBidi"/>
        </w:rPr>
        <w:t xml:space="preserve">, </w:t>
      </w:r>
      <w:r w:rsidR="006F6DEB" w:rsidRPr="00E32653">
        <w:rPr>
          <w:rFonts w:asciiTheme="majorBidi" w:hAnsiTheme="majorBidi" w:cstheme="majorBidi"/>
        </w:rPr>
        <w:t>economic cost</w:t>
      </w:r>
      <w:r w:rsidR="00FA62E3" w:rsidRPr="00E32653">
        <w:rPr>
          <w:rFonts w:asciiTheme="majorBidi" w:hAnsiTheme="majorBidi" w:cstheme="majorBidi"/>
        </w:rPr>
        <w:t>s</w:t>
      </w:r>
      <w:r w:rsidR="006F6DEB" w:rsidRPr="00E32653">
        <w:rPr>
          <w:rFonts w:asciiTheme="majorBidi" w:hAnsiTheme="majorBidi" w:cstheme="majorBidi"/>
        </w:rPr>
        <w:t xml:space="preserve"> and </w:t>
      </w:r>
      <w:r w:rsidR="008A3140" w:rsidRPr="00E32653">
        <w:rPr>
          <w:rFonts w:asciiTheme="majorBidi" w:hAnsiTheme="majorBidi" w:cstheme="majorBidi"/>
        </w:rPr>
        <w:t>embodied energy</w:t>
      </w:r>
      <w:r w:rsidR="008738D5" w:rsidRPr="00E32653">
        <w:rPr>
          <w:rFonts w:asciiTheme="majorBidi" w:hAnsiTheme="majorBidi" w:cstheme="majorBidi"/>
        </w:rPr>
        <w:t xml:space="preserve">. This </w:t>
      </w:r>
      <w:r w:rsidR="001A1F5C" w:rsidRPr="00E32653">
        <w:rPr>
          <w:rFonts w:asciiTheme="majorBidi" w:hAnsiTheme="majorBidi" w:cstheme="majorBidi"/>
        </w:rPr>
        <w:t xml:space="preserve">study </w:t>
      </w:r>
      <w:r w:rsidR="008738D5" w:rsidRPr="00E32653">
        <w:rPr>
          <w:rFonts w:asciiTheme="majorBidi" w:hAnsiTheme="majorBidi" w:cstheme="majorBidi"/>
        </w:rPr>
        <w:t>assess</w:t>
      </w:r>
      <w:r w:rsidR="001A1F5C" w:rsidRPr="00E32653">
        <w:rPr>
          <w:rFonts w:asciiTheme="majorBidi" w:hAnsiTheme="majorBidi" w:cstheme="majorBidi"/>
        </w:rPr>
        <w:t>es</w:t>
      </w:r>
      <w:r w:rsidR="008A3140" w:rsidRPr="00E32653">
        <w:rPr>
          <w:rFonts w:asciiTheme="majorBidi" w:hAnsiTheme="majorBidi" w:cstheme="majorBidi"/>
        </w:rPr>
        <w:t xml:space="preserve"> </w:t>
      </w:r>
      <w:r w:rsidR="000131AB" w:rsidRPr="00E32653">
        <w:rPr>
          <w:rFonts w:asciiTheme="majorBidi" w:hAnsiTheme="majorBidi" w:cstheme="majorBidi"/>
        </w:rPr>
        <w:t xml:space="preserve">the </w:t>
      </w:r>
      <w:r w:rsidR="008A3140" w:rsidRPr="00E32653">
        <w:rPr>
          <w:rFonts w:asciiTheme="majorBidi" w:hAnsiTheme="majorBidi" w:cstheme="majorBidi"/>
        </w:rPr>
        <w:t xml:space="preserve">two most </w:t>
      </w:r>
      <w:r w:rsidR="00FA62E3" w:rsidRPr="00E32653">
        <w:rPr>
          <w:rFonts w:asciiTheme="majorBidi" w:hAnsiTheme="majorBidi" w:cstheme="majorBidi"/>
        </w:rPr>
        <w:t xml:space="preserve">popular </w:t>
      </w:r>
      <w:r w:rsidR="00007283" w:rsidRPr="00E32653">
        <w:rPr>
          <w:rFonts w:asciiTheme="majorBidi" w:hAnsiTheme="majorBidi" w:cstheme="majorBidi"/>
        </w:rPr>
        <w:t xml:space="preserve">mass timber </w:t>
      </w:r>
      <w:r w:rsidR="008738D5" w:rsidRPr="00E32653">
        <w:rPr>
          <w:rFonts w:asciiTheme="majorBidi" w:hAnsiTheme="majorBidi" w:cstheme="majorBidi"/>
        </w:rPr>
        <w:t>material</w:t>
      </w:r>
      <w:r w:rsidR="001A1F5C" w:rsidRPr="00E32653">
        <w:rPr>
          <w:rFonts w:asciiTheme="majorBidi" w:hAnsiTheme="majorBidi" w:cstheme="majorBidi"/>
        </w:rPr>
        <w:t>s</w:t>
      </w:r>
      <w:r w:rsidR="008738D5" w:rsidRPr="00E32653">
        <w:rPr>
          <w:rFonts w:asciiTheme="majorBidi" w:hAnsiTheme="majorBidi" w:cstheme="majorBidi"/>
        </w:rPr>
        <w:t xml:space="preserve"> for residential building</w:t>
      </w:r>
      <w:r w:rsidR="00327E52" w:rsidRPr="00E32653">
        <w:rPr>
          <w:rFonts w:asciiTheme="majorBidi" w:hAnsiTheme="majorBidi" w:cstheme="majorBidi"/>
        </w:rPr>
        <w:t>s</w:t>
      </w:r>
      <w:r w:rsidR="00BA3252" w:rsidRPr="00E32653">
        <w:rPr>
          <w:rFonts w:asciiTheme="majorBidi" w:hAnsiTheme="majorBidi" w:cstheme="majorBidi"/>
        </w:rPr>
        <w:t xml:space="preserve"> </w:t>
      </w:r>
      <w:r w:rsidR="00FA62E3" w:rsidRPr="00E32653">
        <w:rPr>
          <w:rFonts w:asciiTheme="majorBidi" w:hAnsiTheme="majorBidi" w:cstheme="majorBidi"/>
        </w:rPr>
        <w:t xml:space="preserve">and </w:t>
      </w:r>
      <w:r w:rsidR="00627555" w:rsidRPr="00E32653">
        <w:rPr>
          <w:rFonts w:asciiTheme="majorBidi" w:hAnsiTheme="majorBidi" w:cstheme="majorBidi"/>
        </w:rPr>
        <w:t>consider</w:t>
      </w:r>
      <w:r w:rsidR="00FA62E3" w:rsidRPr="00E32653">
        <w:rPr>
          <w:rFonts w:asciiTheme="majorBidi" w:hAnsiTheme="majorBidi" w:cstheme="majorBidi"/>
        </w:rPr>
        <w:t>s</w:t>
      </w:r>
      <w:r w:rsidR="00627555" w:rsidRPr="00E32653">
        <w:rPr>
          <w:rFonts w:asciiTheme="majorBidi" w:hAnsiTheme="majorBidi" w:cstheme="majorBidi"/>
        </w:rPr>
        <w:t xml:space="preserve"> </w:t>
      </w:r>
      <w:r w:rsidR="008A3140" w:rsidRPr="00E32653">
        <w:rPr>
          <w:rFonts w:asciiTheme="majorBidi" w:hAnsiTheme="majorBidi" w:cstheme="majorBidi"/>
        </w:rPr>
        <w:t>different</w:t>
      </w:r>
      <w:r w:rsidR="00627555" w:rsidRPr="00E32653">
        <w:rPr>
          <w:rFonts w:asciiTheme="majorBidi" w:hAnsiTheme="majorBidi" w:cstheme="majorBidi"/>
        </w:rPr>
        <w:t xml:space="preserve"> environmental </w:t>
      </w:r>
      <w:r w:rsidR="008A3140" w:rsidRPr="00E32653">
        <w:rPr>
          <w:rFonts w:asciiTheme="majorBidi" w:hAnsiTheme="majorBidi" w:cstheme="majorBidi"/>
        </w:rPr>
        <w:t>emission</w:t>
      </w:r>
      <w:r w:rsidR="000131AB" w:rsidRPr="00E32653">
        <w:rPr>
          <w:rFonts w:asciiTheme="majorBidi" w:hAnsiTheme="majorBidi" w:cstheme="majorBidi"/>
        </w:rPr>
        <w:t>s</w:t>
      </w:r>
      <w:r w:rsidR="008A3140" w:rsidRPr="00E32653">
        <w:rPr>
          <w:rFonts w:asciiTheme="majorBidi" w:hAnsiTheme="majorBidi" w:cstheme="majorBidi"/>
        </w:rPr>
        <w:t xml:space="preserve"> </w:t>
      </w:r>
      <w:r w:rsidR="00627555" w:rsidRPr="00E32653">
        <w:rPr>
          <w:rFonts w:asciiTheme="majorBidi" w:hAnsiTheme="majorBidi" w:cstheme="majorBidi"/>
        </w:rPr>
        <w:t>and economic</w:t>
      </w:r>
      <w:r w:rsidR="00BA3252" w:rsidRPr="00E32653">
        <w:rPr>
          <w:rFonts w:asciiTheme="majorBidi" w:hAnsiTheme="majorBidi" w:cstheme="majorBidi"/>
        </w:rPr>
        <w:t xml:space="preserve"> aspect</w:t>
      </w:r>
      <w:r w:rsidR="00627555" w:rsidRPr="00E32653">
        <w:rPr>
          <w:rFonts w:asciiTheme="majorBidi" w:hAnsiTheme="majorBidi" w:cstheme="majorBidi"/>
        </w:rPr>
        <w:t>s</w:t>
      </w:r>
      <w:r w:rsidR="008738D5" w:rsidRPr="00E32653">
        <w:rPr>
          <w:rFonts w:asciiTheme="majorBidi" w:hAnsiTheme="majorBidi" w:cstheme="majorBidi"/>
        </w:rPr>
        <w:t xml:space="preserve">. </w:t>
      </w:r>
    </w:p>
    <w:p w14:paraId="7EB0C02D" w14:textId="1F9B671B" w:rsidR="00D517DB" w:rsidRPr="00E32653" w:rsidRDefault="00D5071F" w:rsidP="12C241C3">
      <w:pPr>
        <w:spacing w:line="276" w:lineRule="auto"/>
        <w:ind w:firstLine="720"/>
        <w:jc w:val="both"/>
        <w:rPr>
          <w:rFonts w:asciiTheme="majorBidi" w:hAnsiTheme="majorBidi" w:cstheme="majorBidi"/>
        </w:rPr>
      </w:pPr>
      <w:r w:rsidRPr="00E32653">
        <w:rPr>
          <w:rFonts w:asciiTheme="majorBidi" w:hAnsiTheme="majorBidi" w:cstheme="majorBidi"/>
        </w:rPr>
        <w:t xml:space="preserve">The construction industry is </w:t>
      </w:r>
      <w:r w:rsidR="000131AB" w:rsidRPr="00E32653">
        <w:rPr>
          <w:rFonts w:asciiTheme="majorBidi" w:hAnsiTheme="majorBidi" w:cstheme="majorBidi"/>
        </w:rPr>
        <w:t xml:space="preserve">one of the largest </w:t>
      </w:r>
      <w:r w:rsidR="000A5623" w:rsidRPr="00E32653">
        <w:rPr>
          <w:rFonts w:asciiTheme="majorBidi" w:hAnsiTheme="majorBidi" w:cstheme="majorBidi"/>
        </w:rPr>
        <w:t xml:space="preserve">emitters of </w:t>
      </w:r>
      <w:r w:rsidR="000131AB" w:rsidRPr="00E32653">
        <w:rPr>
          <w:rFonts w:asciiTheme="majorBidi" w:hAnsiTheme="majorBidi" w:cstheme="majorBidi"/>
        </w:rPr>
        <w:t xml:space="preserve">carbon </w:t>
      </w:r>
      <w:r w:rsidR="000A5623" w:rsidRPr="00E32653">
        <w:rPr>
          <w:rFonts w:asciiTheme="majorBidi" w:hAnsiTheme="majorBidi" w:cstheme="majorBidi"/>
        </w:rPr>
        <w:t>into the atmosphere</w:t>
      </w:r>
      <w:r w:rsidR="000131AB" w:rsidRPr="00E32653">
        <w:rPr>
          <w:rFonts w:asciiTheme="majorBidi" w:hAnsiTheme="majorBidi" w:cstheme="majorBidi"/>
        </w:rPr>
        <w:t>. In recent years, the world has become conscious of environmental issues, specifically climate change</w:t>
      </w:r>
      <w:r w:rsidR="00E6313B" w:rsidRPr="00E32653">
        <w:rPr>
          <w:rFonts w:asciiTheme="majorBidi" w:hAnsiTheme="majorBidi" w:cstheme="majorBidi"/>
        </w:rPr>
        <w:t xml:space="preserve">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{"citationItems":[{"id":"ITEM-1","itemData":{"DOI":"10.1016/j.eiar.2021.106679","ISSN":"01959255","abstract":"The CO2 emissions in the construction industry contribute considerably to total CO2 emissions in the world. It is of great significance to analyze and reduce the construction CO2 emissions in order to mitigate global warming. However, little literature has studied the paths and sensitivity of construction CO2 emissions collectively. Therefore, this study assesses the structural paths and sensitivity of construction CO2 emissions in China, India, Japan, Russia, and USA in 2015 by applying the multi-regional structural path analysis model and sensitivity analysis model, respectively. The results demonstrate that the structural paths of which producing industries were the domestic electricity, gas and water industry, petroleum, chemical, and non-metallic mineral products industry, construction industry, and transport industry contributed greatly to the construction CO2 emissions in the five regions. The top ten structural paths contributed 44.2%, 54.9%, 41.8%, 63.2%, and 51.3% of the construction CO2 emissions in the five regions, respectively. The direct emissions and “domestic electricity industry→domestic construction industry” were consistently among the most significant three paths in the five regions except for India. The construction CO2 emissions in the five regions were most sensitive to the interrelationship of “domestic petroleum, chemical, and non-metallic mineral products industry→domestic construction industry”. The producing and domestic electricity industries dominated the elasticity of the construction CO2 emissions in the five regions to the most sensitive three interrelationships. This study can provide reference for policymakers to formulate effective policies to mitigate the construction CO2 emissions.","author":[{"dropping-particle":"","family":"Chen","given":"Jindao","non-dropping-particle":"","parse-names":false,"suffix":""},{"dropping-particle":"","family":"Shi","given":"Qian","non-dropping-particle":"","parse-names":false,"suffix":""},{"dropping-particle":"","family":"Zhang","given":"Wei","non-dropping-particle":"","parse-names":false,"suffix":""}],"container-title":"Environmental Impact Assessment Review","id":"ITEM-1","issue":"October 2020","issued":{"date-parts":[["2022"]]},"page":"106679","publisher":"Elsevier Inc.","title":"Structural path and sensitivity analysis of the CO2 emissions in the construction industry","type":"article-journal","volume":"92"},"uris":["http://www.mendeley.com/documents/?uuid=92c536fe-fe57-487c-aba1-e8fd8e861614"]}],"mendeley":{"formattedCitation":"(Chen et al., 2022)","manualFormatting":"(Chen et al., 2022a)","plainTextFormattedCitation":"(Chen et al., 2022)","previouslyFormattedCitation":"(Chen et al., 2022)"},"properties":{"noteIndex":0},"schema":"https://github.com/citation-style-language/schema/raw/master/csl-citation.json"}</w:instrText>
      </w:r>
      <w:r w:rsidRPr="00E32653">
        <w:rPr>
          <w:rFonts w:asciiTheme="majorBidi" w:hAnsiTheme="majorBidi" w:cstheme="majorBidi"/>
        </w:rPr>
        <w:fldChar w:fldCharType="separate"/>
      </w:r>
      <w:r w:rsidR="00E6313B" w:rsidRPr="00E32653">
        <w:rPr>
          <w:rFonts w:asciiTheme="majorBidi" w:hAnsiTheme="majorBidi" w:cstheme="majorBidi"/>
          <w:noProof/>
        </w:rPr>
        <w:t>(Chen et al., 2022</w:t>
      </w:r>
      <w:r w:rsidR="0048610E" w:rsidRPr="00E32653">
        <w:rPr>
          <w:rFonts w:asciiTheme="majorBidi" w:hAnsiTheme="majorBidi" w:cstheme="majorBidi"/>
          <w:noProof/>
        </w:rPr>
        <w:t>a</w:t>
      </w:r>
      <w:r w:rsidR="00E6313B" w:rsidRPr="00E32653">
        <w:rPr>
          <w:rFonts w:asciiTheme="majorBidi" w:hAnsiTheme="majorBidi" w:cstheme="majorBidi"/>
          <w:noProof/>
        </w:rPr>
        <w:t>)</w:t>
      </w:r>
      <w:r w:rsidRPr="00E32653">
        <w:rPr>
          <w:rFonts w:asciiTheme="majorBidi" w:hAnsiTheme="majorBidi" w:cstheme="majorBidi"/>
        </w:rPr>
        <w:fldChar w:fldCharType="end"/>
      </w:r>
      <w:r w:rsidR="00CB50D9" w:rsidRPr="00E32653">
        <w:rPr>
          <w:rFonts w:asciiTheme="majorBidi" w:hAnsiTheme="majorBidi" w:cstheme="majorBidi"/>
        </w:rPr>
        <w:t xml:space="preserve">. The main advantage of applying wood or mass timber as </w:t>
      </w:r>
      <w:r w:rsidR="000A5623" w:rsidRPr="00E32653">
        <w:rPr>
          <w:rFonts w:asciiTheme="majorBidi" w:hAnsiTheme="majorBidi" w:cstheme="majorBidi"/>
        </w:rPr>
        <w:t xml:space="preserve">a </w:t>
      </w:r>
      <w:r w:rsidR="00CB50D9" w:rsidRPr="00E32653">
        <w:rPr>
          <w:rFonts w:asciiTheme="majorBidi" w:hAnsiTheme="majorBidi" w:cstheme="majorBidi"/>
        </w:rPr>
        <w:t xml:space="preserve">building </w:t>
      </w:r>
      <w:r w:rsidR="00915C2E" w:rsidRPr="00E32653">
        <w:rPr>
          <w:rFonts w:asciiTheme="majorBidi" w:hAnsiTheme="majorBidi" w:cstheme="majorBidi"/>
        </w:rPr>
        <w:t>material</w:t>
      </w:r>
      <w:r w:rsidR="00CB50D9" w:rsidRPr="00E32653">
        <w:rPr>
          <w:rFonts w:asciiTheme="majorBidi" w:hAnsiTheme="majorBidi" w:cstheme="majorBidi"/>
        </w:rPr>
        <w:t xml:space="preserve"> is</w:t>
      </w:r>
      <w:r w:rsidR="000A5623" w:rsidRPr="00E32653">
        <w:rPr>
          <w:rFonts w:asciiTheme="majorBidi" w:hAnsiTheme="majorBidi" w:cstheme="majorBidi"/>
        </w:rPr>
        <w:t xml:space="preserve"> its</w:t>
      </w:r>
      <w:r w:rsidR="00CB50D9" w:rsidRPr="00E32653">
        <w:rPr>
          <w:rFonts w:asciiTheme="majorBidi" w:hAnsiTheme="majorBidi" w:cstheme="majorBidi"/>
        </w:rPr>
        <w:t xml:space="preserve"> potential to sequester the carbon and eliminate it </w:t>
      </w:r>
      <w:r w:rsidR="000A5623" w:rsidRPr="00E32653">
        <w:rPr>
          <w:rFonts w:asciiTheme="majorBidi" w:hAnsiTheme="majorBidi" w:cstheme="majorBidi"/>
        </w:rPr>
        <w:t>from</w:t>
      </w:r>
      <w:r w:rsidR="00CB50D9" w:rsidRPr="00E32653">
        <w:rPr>
          <w:rFonts w:asciiTheme="majorBidi" w:hAnsiTheme="majorBidi" w:cstheme="majorBidi"/>
        </w:rPr>
        <w:t xml:space="preserve"> </w:t>
      </w:r>
      <w:r w:rsidR="000131AB" w:rsidRPr="00E32653">
        <w:rPr>
          <w:rFonts w:asciiTheme="majorBidi" w:hAnsiTheme="majorBidi" w:cstheme="majorBidi"/>
        </w:rPr>
        <w:t xml:space="preserve">the </w:t>
      </w:r>
      <w:r w:rsidR="00CB50D9" w:rsidRPr="00E32653">
        <w:rPr>
          <w:rFonts w:asciiTheme="majorBidi" w:hAnsiTheme="majorBidi" w:cstheme="majorBidi"/>
        </w:rPr>
        <w:t xml:space="preserve">atmosphere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{"citationItems":[{"id":"ITEM-1","itemData":{"DOI":"10.1080/20426445.2016.1190166","ISSN":"20426453","abstract":"One of the positive aspects of using wood in construction is the environmental benefits that this can potentially bring. However, manufacturers of all construction products and materials make claims about the ‘environmental friendliness’ of their products, making it exceedingly difficult for the end user to make informed choices about the advisability of using one product over another. This study presents an analysis of the published environmental product declarations of timber products (fibreboard, particleboard, oriented strandboard, glulam/laminated veneer lumber, sawn and dried timber) and compares this data with that published in the widely available and quoted University of Bath Inventory of Carbon and Energy database. Comparison is also made with some common non-biogenic building materials (concrete, brick, cement and steel).","author":[{"dropping-particle":"","family":"Hill","given":"C. A.S.","non-dropping-particle":"","parse-names":false,"suffix":""},{"dropping-particle":"","family":"Dibdiakova","given":"J.","non-dropping-particle":"","parse-names":false,"suffix":""}],"container-title":"International Wood Products Journal","id":"ITEM-1","issue":"4","issued":{"date-parts":[["2016"]]},"page":"215-219","publisher":"Taylor &amp; Francis","title":"The environmental impact of wood compared to other building materials","type":"article-journal","volume":"7"},"uris":["http://www.mendeley.com/documents/?uuid=6c735978-5748-486e-99fb-5a476ddd2f1a"]},{"id":"ITEM-2","itemData":{"DOI":"10.1016/j.jobe.2019.100862","ISSN":"23527102","abstract":"In this study, the cradle-to-gate environmental impact of a hybrid, mid-rise, cross-laminated timber (CLT) commercial building is evaluated and compared to that of a reinforced concrete building with similar functional characteristics. This study evaluates the embodied emissions and energy associated with building materials, manufacturing, and construction. Two alternative designs are considered for fire protection in the hybrid CLT building: 1) a ‘fireproofing design’, where gypsum wallboard is applied to the structural wood; and 2) a ‘charring design’, where two extra layers of CLT are added to the panel. The life cycle environmental impacts are assessed using TRACI 2.1 and the total primary energy is evaluated using the Cumulative Energy Demand impact method. Results show that an average of 26.5% reduction in the global warming potential is achieved in the hybrid CLT building compared to the concrete building, excluding biogenic carbon emissions. Except ozone depletion, where the difference in impact between scenarios is &lt;1%, replacing fireproofing with charring is beneficial for all impact categories. The embodied energy assessment of the building types reveals that, on average, the total primary energy in the hybrid CLT buildings and concrete building are similar. However, the non-renewable energy (fossil-based) use in the hybrid CLT building is 8% lower compared to that of the concrete building. As compared to the concrete building, additional 1,556 tCO2e and 2,567 tCO2e are stored in the wood components of the building (long-term storage of biogenic carbon) in the scenario with fireproofing and with charring, respectively.","author":[{"dropping-particle":"","family":"Pierobon","given":"Francesca","non-dropping-particle":"","parse-names":false,"suffix":""},{"dropping-particle":"","family":"Huang","given":"Monica","non-dropping-particle":"","parse-names":false,"suffix":""},{"dropping-particle":"","family":"Simonen","given":"Kathrina","non-dropping-particle":"","parse-names":false,"suffix":""},{"dropping-particle":"","family":"Ganguly","given":"Indroneil","non-dropping-particle":"","parse-names":false,"suffix":""}],"container-title":"Journal of Building Engineering","id":"ITEM-2","issue":"July","issued":{"date-parts":[["2019"]]},"title":"Environmental benefits of using hybrid CLT structure in midrise non-residential construction: An LCA based comparative case study in the U.S. Pacific Northwest","type":"article-journal","volume":"26"},"uris":["http://www.mendeley.com/documents/?uuid=321f742f-919a-4fdd-b0ef-af466637e45c"]}],"mendeley":{"formattedCitation":"(Hill &amp; Dibdiakova, 2016; Pierobon et al., 2019)","plainTextFormattedCitation":"(Hill &amp; Dibdiakova, 2016; Pierobon et al., 2019)","previouslyFormattedCitation":"(Hill &amp; Dibdiakova, 2016; Pierobon et al., 2019)"},"properties":{"noteIndex":0},"schema":"https://github.com/citation-style-language/schema/raw/master/csl-citation.json"}</w:instrText>
      </w:r>
      <w:r w:rsidRPr="00E32653">
        <w:rPr>
          <w:rFonts w:asciiTheme="majorBidi" w:hAnsiTheme="majorBidi" w:cstheme="majorBidi"/>
        </w:rPr>
        <w:fldChar w:fldCharType="separate"/>
      </w:r>
      <w:r w:rsidR="00CB50D9" w:rsidRPr="00E32653">
        <w:rPr>
          <w:rFonts w:asciiTheme="majorBidi" w:hAnsiTheme="majorBidi" w:cstheme="majorBidi"/>
          <w:noProof/>
        </w:rPr>
        <w:t>(Hill &amp; Dibdiakova, 2016; Pierobon et al., 2019)</w:t>
      </w:r>
      <w:r w:rsidRPr="00E32653">
        <w:rPr>
          <w:rFonts w:asciiTheme="majorBidi" w:hAnsiTheme="majorBidi" w:cstheme="majorBidi"/>
        </w:rPr>
        <w:fldChar w:fldCharType="end"/>
      </w:r>
      <w:r w:rsidR="00CB50D9" w:rsidRPr="00E32653">
        <w:rPr>
          <w:rFonts w:asciiTheme="majorBidi" w:hAnsiTheme="majorBidi" w:cstheme="majorBidi"/>
        </w:rPr>
        <w:t>.</w:t>
      </w:r>
      <w:r w:rsidR="001E0EFC" w:rsidRPr="00E32653">
        <w:rPr>
          <w:rFonts w:asciiTheme="majorBidi" w:hAnsiTheme="majorBidi" w:cstheme="majorBidi"/>
        </w:rPr>
        <w:t xml:space="preserve"> </w:t>
      </w:r>
      <w:r w:rsidR="000A5623" w:rsidRPr="00E32653">
        <w:rPr>
          <w:rFonts w:asciiTheme="majorBidi" w:hAnsiTheme="majorBidi" w:cstheme="majorBidi"/>
        </w:rPr>
        <w:t>It is noteworthy that</w:t>
      </w:r>
      <w:r w:rsidR="001E0EFC" w:rsidRPr="00E32653">
        <w:rPr>
          <w:rFonts w:asciiTheme="majorBidi" w:hAnsiTheme="majorBidi" w:cstheme="majorBidi"/>
        </w:rPr>
        <w:t xml:space="preserve"> </w:t>
      </w:r>
      <w:r w:rsidR="000A5623" w:rsidRPr="00E32653">
        <w:rPr>
          <w:rFonts w:asciiTheme="majorBidi" w:hAnsiTheme="majorBidi" w:cstheme="majorBidi"/>
        </w:rPr>
        <w:t>producing</w:t>
      </w:r>
      <w:r w:rsidR="001E0EFC" w:rsidRPr="00E32653">
        <w:rPr>
          <w:rFonts w:asciiTheme="majorBidi" w:hAnsiTheme="majorBidi" w:cstheme="majorBidi"/>
        </w:rPr>
        <w:t xml:space="preserve"> wood </w:t>
      </w:r>
      <w:r w:rsidR="00915C2E" w:rsidRPr="00E32653">
        <w:rPr>
          <w:rFonts w:asciiTheme="majorBidi" w:hAnsiTheme="majorBidi" w:cstheme="majorBidi"/>
        </w:rPr>
        <w:t>materials</w:t>
      </w:r>
      <w:r w:rsidR="001E0EFC" w:rsidRPr="00E32653">
        <w:rPr>
          <w:rFonts w:asciiTheme="majorBidi" w:hAnsiTheme="majorBidi" w:cstheme="majorBidi"/>
        </w:rPr>
        <w:t xml:space="preserve"> </w:t>
      </w:r>
      <w:r w:rsidR="000A5623" w:rsidRPr="00E32653">
        <w:rPr>
          <w:rFonts w:asciiTheme="majorBidi" w:hAnsiTheme="majorBidi" w:cstheme="majorBidi"/>
        </w:rPr>
        <w:t xml:space="preserve">generates much </w:t>
      </w:r>
      <w:r w:rsidR="001E0EFC" w:rsidRPr="00E32653">
        <w:rPr>
          <w:rFonts w:asciiTheme="majorBidi" w:hAnsiTheme="majorBidi" w:cstheme="majorBidi"/>
        </w:rPr>
        <w:t>lower emission</w:t>
      </w:r>
      <w:r w:rsidR="000131AB" w:rsidRPr="00E32653">
        <w:rPr>
          <w:rFonts w:asciiTheme="majorBidi" w:hAnsiTheme="majorBidi" w:cstheme="majorBidi"/>
        </w:rPr>
        <w:t>s</w:t>
      </w:r>
      <w:r w:rsidR="001E0EFC" w:rsidRPr="00E32653">
        <w:rPr>
          <w:rFonts w:asciiTheme="majorBidi" w:hAnsiTheme="majorBidi" w:cstheme="majorBidi"/>
        </w:rPr>
        <w:t xml:space="preserve"> than other </w:t>
      </w:r>
      <w:r w:rsidR="00915C2E" w:rsidRPr="00E32653">
        <w:rPr>
          <w:rFonts w:asciiTheme="majorBidi" w:hAnsiTheme="majorBidi" w:cstheme="majorBidi"/>
        </w:rPr>
        <w:t>materials</w:t>
      </w:r>
      <w:r w:rsidR="001E0EFC" w:rsidRPr="00E32653">
        <w:rPr>
          <w:rFonts w:asciiTheme="majorBidi" w:hAnsiTheme="majorBidi" w:cstheme="majorBidi"/>
        </w:rPr>
        <w:t xml:space="preserve"> such as steel and cement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{"citationItems":[{"id":"ITEM-1","itemData":{"DOI":"10.1016/j.conbuildmat.2007.11.012","ISSN":"09500618","abstract":"This review brings together research on life cycle assessment (LCA) applied within the building sector. More than ever, the construction industry is concerned with improving the social, economic and environmental indicators of sustainability. By applying LCA it is possible to optimise these aspects, from the extraction of raw materials to the final disposal of waste building materials. Firstly, this review details LCA concepts and focuses on the LCA methodology and tools employed in the built environment. Secondly, this paper outlines and discusses the differences between the LCA of building materials and components combinations versus the LCA of the full building life cycle. Finally, this work can be used by stakeholders as an important reference on LCA including up to date literature on approaches and methodologies to preserve the environment and therefore achieve sustainable development in both developed and developing countries. The present review has tried to compile and reflect the key milestones accomplished in LCA over the last 7 years, from 2000 to 2007 within the building sector. In summary, it can be stated that the application of LCA is fundamental to sustainability and improvement in building and construction. For industrial activities, SMEs must understand the application of LCA, not only to meet consumer demands for environmentally friendly products, but also to increase the productivity and competitiveness of the green construction markets. For this reason, this review looks at LCA because of its broad international acceptance as a means to improve environmental processes and services, and also for creating goals to prevent adverse environmental impacts, consequently enhancing quality of life and allowing people to live in a healthy environment. © 2007 Elsevier Ltd. All rights reserved.","author":[{"dropping-particle":"","family":"Ortiz","given":"Oscar","non-dropping-particle":"","parse-names":false,"suffix":""},{"dropping-particle":"","family":"Castells","given":"Francesc","non-dropping-particle":"","parse-names":false,"suffix":""},{"dropping-particle":"","family":"Sonnemann","given":"Guido","non-dropping-particle":"","parse-names":false,"suffix":""}],"container-title":"Construction and Building Materials","id":"ITEM-1","issue":"1","issued":{"date-parts":[["2009"]]},"page":"28-39","publisher":"Elsevier Ltd","title":"Sustainability in the construction industry: A review of recent developments based on LCA","type":"article-journal","volume":"23"},"uris":["http://www.mendeley.com/documents/?uuid=1415b653-7204-422a-b701-9f77d1623cf3"]}],"mendeley":{"formattedCitation":"(Ortiz et al., 2009)","plainTextFormattedCitation":"(Ortiz et al., 2009)","previouslyFormattedCitation":"(Ortiz et al., 2009)"},"properties":{"noteIndex":0},"schema":"https://github.com/citation-style-language/schema/raw/master/csl-citation.json"}</w:instrText>
      </w:r>
      <w:r w:rsidRPr="00E32653">
        <w:rPr>
          <w:rFonts w:asciiTheme="majorBidi" w:hAnsiTheme="majorBidi" w:cstheme="majorBidi"/>
        </w:rPr>
        <w:fldChar w:fldCharType="separate"/>
      </w:r>
      <w:r w:rsidR="001E0EFC" w:rsidRPr="00E32653">
        <w:rPr>
          <w:rFonts w:asciiTheme="majorBidi" w:hAnsiTheme="majorBidi" w:cstheme="majorBidi"/>
          <w:noProof/>
        </w:rPr>
        <w:t>(Ortiz et al., 2009)</w:t>
      </w:r>
      <w:r w:rsidRPr="00E32653">
        <w:rPr>
          <w:rFonts w:asciiTheme="majorBidi" w:hAnsiTheme="majorBidi" w:cstheme="majorBidi"/>
        </w:rPr>
        <w:fldChar w:fldCharType="end"/>
      </w:r>
      <w:r w:rsidR="001E0EFC" w:rsidRPr="00E32653">
        <w:rPr>
          <w:rFonts w:asciiTheme="majorBidi" w:hAnsiTheme="majorBidi" w:cstheme="majorBidi"/>
        </w:rPr>
        <w:t xml:space="preserve">. For example, replacing a cubic meter of concrete with a cubic meter of wood will lead to </w:t>
      </w:r>
      <w:r w:rsidR="00414C6E" w:rsidRPr="00E32653">
        <w:rPr>
          <w:rFonts w:asciiTheme="majorBidi" w:hAnsiTheme="majorBidi" w:cstheme="majorBidi"/>
        </w:rPr>
        <w:t>sav</w:t>
      </w:r>
      <w:r w:rsidR="000131AB" w:rsidRPr="00E32653">
        <w:rPr>
          <w:rFonts w:asciiTheme="majorBidi" w:hAnsiTheme="majorBidi" w:cstheme="majorBidi"/>
        </w:rPr>
        <w:t>ing</w:t>
      </w:r>
      <w:r w:rsidR="001E0EFC" w:rsidRPr="00E32653">
        <w:rPr>
          <w:rFonts w:asciiTheme="majorBidi" w:hAnsiTheme="majorBidi" w:cstheme="majorBidi"/>
        </w:rPr>
        <w:t xml:space="preserve"> a </w:t>
      </w:r>
      <w:r w:rsidR="00414C6E" w:rsidRPr="00E32653">
        <w:rPr>
          <w:rFonts w:asciiTheme="majorBidi" w:hAnsiTheme="majorBidi" w:cstheme="majorBidi"/>
        </w:rPr>
        <w:t>1,000 Kg CO</w:t>
      </w:r>
      <w:r w:rsidR="00414C6E" w:rsidRPr="00E32653">
        <w:rPr>
          <w:rFonts w:asciiTheme="majorBidi" w:hAnsiTheme="majorBidi" w:cstheme="majorBidi"/>
          <w:vertAlign w:val="subscript"/>
        </w:rPr>
        <w:t>2</w:t>
      </w:r>
      <w:r w:rsidR="00414C6E" w:rsidRPr="00E32653">
        <w:rPr>
          <w:rFonts w:asciiTheme="majorBidi" w:hAnsiTheme="majorBidi" w:cstheme="majorBidi"/>
        </w:rPr>
        <w:t xml:space="preserve"> emission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{"citationItems":[{"id":"ITEM-1","itemData":{"DOI":"10.1007/s11027-006-7207-1","ISBN":"1102700672071","ISSN":"13812386","abstract":"In this study a method is suggested to compare the net carbon dioxide (CO2) emission from the construction of concrete- and wood-framed buildings. The method is then applied to two buildings in Sweden and Finland constructed with wood frames, compared with functionally equivalent buildings constructed with concrete frames. Carbon accounting includes: emissions due to fossil fuel use in the production of building materials; the replacement of fossil fuels by biomass residues from logging, wood processing, construction and demolition; carbon stock changes in forests and buildings; and cement process reactions. The results show that wood-framed construction requires less energy, and emits less CO2 to the atmosphere, than concrete-framed construction. The lifecycle emission difference between the wood- and concrete-framed buildings ranges from 30 to 130 kg C per m2 of floor area. Hence, a net reduction of CO2 emission can be obtained by increasing the proportion of wood-based building materials, relative to concrete materials. The benefits would be greatest if the biomass residues resulting from the production of the wood building materials were fully used in energy supply systems. The carbon mitigation efficiency, expressed in terms of biomass used per unit of reduced carbon emission, is considerably better if the wood is used to replace concrete building material than if the wood is used directly as biofuel. © Springer 2006.","author":[{"dropping-particle":"","family":"Gustavsson","given":"Leif","non-dropping-particle":"","parse-names":false,"suffix":""},{"dropping-particle":"","family":"Pingoud","given":"Kim","non-dropping-particle":"","parse-names":false,"suffix":""},{"dropping-particle":"","family":"Sathre","given":"Roger","non-dropping-particle":"","parse-names":false,"suffix":""}],"container-title":"Mitigation and Adaptation Strategies for Global Change","id":"ITEM-1","issue":"3","issued":{"date-parts":[["2006"]]},"page":"667-691","title":"Carbon dioxide balance of wood substitution: Comparing concrete- and wood-framed buildings","type":"article-journal","volume":"11"},"uris":["http://www.mendeley.com/documents/?uuid=df396a91-6712-4290-a87e-f5aa00aad04a"]},{"id":"ITEM-2","itemData":{"DOI":"10.1016/j.rser.2016.09.107","ISSN":"18790690","abstract":"Trees, and their derivative products, have been used by societies around the world for thousands of years. Contemporary construction of tall buildings from timber, in whole or in part, suggests a growing interest in the potential for building with wood at a scale not previously attainable. As wood is the only significant building material that is grown, we have a natural inclination that building in wood is good for the environment. But under what conditions is this really the case? The environmental benefits of using timber are not straightforward; although it is a natural product, a large amount of energy is used to dry and process it. Much of this can come from the biomass of the tree itself, but that requires investment in plant, which is not always possible in an industry that is widely distributed among many small producers. And what should we build with wood? Are skyscrapers in timber a good use of this natural resource, or are there other aspects of civil and structural engineering, or large-scale infrastructure, that would be a better use of wood? Here, we consider a holistic picture ranging in scale from the science of the cell wall to the engineering and global policies that could maximise forestry and timber construction as a boon to both people and the planet.","author":[{"dropping-particle":"","family":"Ramage","given":"Michael H.","non-dropping-particle":"","parse-names":false,"suffix":""},{"dropping-particle":"","family":"Burridge","given":"Henry","non-dropping-particle":"","parse-names":false,"suffix":""},{"dropping-particle":"","family":"Busse-Wicher","given":"Marta","non-dropping-particle":"","parse-names":false,"suffix":""},{"dropping-particle":"","family":"Fereday","given":"George","non-dropping-particle":"","parse-names":false,"suffix":""},{"dropping-particle":"","family":"Reynolds","given":"Thomas","non-dropping-particle":"","parse-names":false,"suffix":""},{"dropping-particle":"","family":"Shah","given":"Darshil U.","non-dropping-particle":"","parse-names":false,"suffix":""},{"dropping-particle":"","family":"Wu","given":"Guanglu","non-dropping-particle":"","parse-names":false,"suffix":""},{"dropping-particle":"","family":"Yu","given":"Li","non-dropping-particle":"","parse-names":false,"suffix":""},{"dropping-particle":"","family":"Fleming","given":"Patrick","non-dropping-particle":"","parse-names":false,"suffix":""},{"dropping-particle":"","family":"Densley-Tingley","given":"Danielle","non-dropping-particle":"","parse-names":false,"suffix":""},{"dropping-particle":"","family":"Allwood","given":"Julian","non-dropping-particle":"","parse-names":false,"suffix":""},{"dropping-particle":"","family":"Dupree","given":"Paul","non-dropping-particle":"","parse-names":false,"suffix":""},{"dropping-particle":"","family":"Linden","given":"P. F.","non-dropping-particle":"","parse-names":false,"suffix":""},{"dropping-particle":"","family":"Scherman","given":"Oren","non-dropping-particle":"","parse-names":false,"suffix":""}],"container-title":"Renewable and Sustainable Energy Reviews","id":"ITEM-2","issue":"September 2016","issued":{"date-parts":[["2017"]]},"page":"333-359","title":"The wood from the trees: The use of timber in construction","type":"article-journal","volume":"68"},"uris":["http://www.mendeley.com/documents/?uuid=ea364fa1-d546-4e61-97d2-9303bad32e2d"]}],"mendeley":{"formattedCitation":"(Gustavsson et al., 2006; Ramage et al., 2017)","manualFormatting":"(Gustavsson et al., 2006; Ramage et al., 2017; Liptow et al., 2018)","plainTextFormattedCitation":"(Gustavsson et al., 2006; Ramage et al., 2017)","previouslyFormattedCitation":"(Gustavsson et al., 2006; Ramage et al., 2017)"},"properties":{"noteIndex":0},"schema":"https://github.com/citation-style-language/schema/raw/master/csl-citation.json"}</w:instrText>
      </w:r>
      <w:r w:rsidRPr="00E32653">
        <w:rPr>
          <w:rFonts w:asciiTheme="majorBidi" w:hAnsiTheme="majorBidi" w:cstheme="majorBidi"/>
        </w:rPr>
        <w:fldChar w:fldCharType="separate"/>
      </w:r>
      <w:r w:rsidR="00590B91" w:rsidRPr="00E32653">
        <w:rPr>
          <w:rFonts w:asciiTheme="majorBidi" w:hAnsiTheme="majorBidi" w:cstheme="majorBidi"/>
          <w:noProof/>
        </w:rPr>
        <w:t>(Gustavsson et al., 2006; Ramage et al., 2017</w:t>
      </w:r>
      <w:r w:rsidR="00344A97" w:rsidRPr="00E32653">
        <w:rPr>
          <w:rFonts w:asciiTheme="majorBidi" w:hAnsiTheme="majorBidi" w:cstheme="majorBidi"/>
          <w:noProof/>
        </w:rPr>
        <w:t xml:space="preserve">; </w:t>
      </w:r>
      <w:r w:rsidR="00344A97" w:rsidRPr="00E32653">
        <w:rPr>
          <w:rFonts w:ascii="Times New Roman" w:hAnsi="Times New Roman" w:cs="Times New Roman"/>
          <w:noProof/>
        </w:rPr>
        <w:t>Liptow</w:t>
      </w:r>
      <w:r w:rsidR="00344A97" w:rsidRPr="00E32653">
        <w:rPr>
          <w:rFonts w:asciiTheme="majorBidi" w:hAnsiTheme="majorBidi" w:cstheme="majorBidi"/>
          <w:noProof/>
        </w:rPr>
        <w:t xml:space="preserve"> et al.,</w:t>
      </w:r>
      <w:r w:rsidR="00344A97" w:rsidRPr="00E32653">
        <w:rPr>
          <w:rFonts w:ascii="Times New Roman" w:hAnsi="Times New Roman" w:cs="Times New Roman"/>
          <w:noProof/>
        </w:rPr>
        <w:t xml:space="preserve"> 2018</w:t>
      </w:r>
      <w:r w:rsidR="00590B91" w:rsidRPr="00E32653">
        <w:rPr>
          <w:rFonts w:asciiTheme="majorBidi" w:hAnsiTheme="majorBidi" w:cstheme="majorBidi"/>
          <w:noProof/>
        </w:rPr>
        <w:t>)</w:t>
      </w:r>
      <w:r w:rsidRPr="00E32653">
        <w:rPr>
          <w:rFonts w:asciiTheme="majorBidi" w:hAnsiTheme="majorBidi" w:cstheme="majorBidi"/>
        </w:rPr>
        <w:fldChar w:fldCharType="end"/>
      </w:r>
      <w:r w:rsidR="0034532B" w:rsidRPr="00E32653">
        <w:rPr>
          <w:rFonts w:asciiTheme="majorBidi" w:hAnsiTheme="majorBidi" w:cstheme="majorBidi"/>
        </w:rPr>
        <w:t>.</w:t>
      </w:r>
      <w:r w:rsidR="003A225B" w:rsidRPr="00E32653">
        <w:rPr>
          <w:rFonts w:asciiTheme="majorBidi" w:hAnsiTheme="majorBidi" w:cstheme="majorBidi"/>
        </w:rPr>
        <w:t xml:space="preserve"> </w:t>
      </w:r>
      <w:r w:rsidR="006F6DEB" w:rsidRPr="00E32653">
        <w:rPr>
          <w:rFonts w:asciiTheme="majorBidi" w:hAnsiTheme="majorBidi" w:cstheme="majorBidi"/>
        </w:rPr>
        <w:t>The process of produc</w:t>
      </w:r>
      <w:r w:rsidR="000A5623" w:rsidRPr="00E32653">
        <w:rPr>
          <w:rFonts w:asciiTheme="majorBidi" w:hAnsiTheme="majorBidi" w:cstheme="majorBidi"/>
        </w:rPr>
        <w:t>ing</w:t>
      </w:r>
      <w:r w:rsidR="006F6DEB" w:rsidRPr="00E32653">
        <w:rPr>
          <w:rFonts w:asciiTheme="majorBidi" w:hAnsiTheme="majorBidi" w:cstheme="majorBidi"/>
        </w:rPr>
        <w:t xml:space="preserve"> one tonne of steel </w:t>
      </w:r>
      <w:r w:rsidR="000A5623" w:rsidRPr="00E32653">
        <w:rPr>
          <w:rFonts w:asciiTheme="majorBidi" w:hAnsiTheme="majorBidi" w:cstheme="majorBidi"/>
        </w:rPr>
        <w:t xml:space="preserve">requires </w:t>
      </w:r>
      <w:r w:rsidR="006F6DEB" w:rsidRPr="00E32653">
        <w:rPr>
          <w:rFonts w:asciiTheme="majorBidi" w:hAnsiTheme="majorBidi" w:cstheme="majorBidi"/>
        </w:rPr>
        <w:t xml:space="preserve">24 times more energy </w:t>
      </w:r>
      <w:r w:rsidR="000A5623" w:rsidRPr="00E32653">
        <w:rPr>
          <w:rFonts w:asciiTheme="majorBidi" w:hAnsiTheme="majorBidi" w:cstheme="majorBidi"/>
        </w:rPr>
        <w:t>than</w:t>
      </w:r>
      <w:r w:rsidR="006F6DEB" w:rsidRPr="00E32653">
        <w:rPr>
          <w:rFonts w:asciiTheme="majorBidi" w:hAnsiTheme="majorBidi" w:cstheme="majorBidi"/>
        </w:rPr>
        <w:t xml:space="preserve"> wood. Thus,</w:t>
      </w:r>
      <w:r w:rsidR="000A5623" w:rsidRPr="00E32653">
        <w:rPr>
          <w:rFonts w:asciiTheme="majorBidi" w:hAnsiTheme="majorBidi" w:cstheme="majorBidi"/>
        </w:rPr>
        <w:t xml:space="preserve"> the </w:t>
      </w:r>
      <w:r w:rsidR="006F6DEB" w:rsidRPr="00E32653">
        <w:rPr>
          <w:rFonts w:asciiTheme="majorBidi" w:hAnsiTheme="majorBidi" w:cstheme="majorBidi"/>
        </w:rPr>
        <w:t xml:space="preserve">wood manufacturing process is </w:t>
      </w:r>
      <w:r w:rsidR="000A5623" w:rsidRPr="00E32653">
        <w:rPr>
          <w:rFonts w:asciiTheme="majorBidi" w:hAnsiTheme="majorBidi" w:cstheme="majorBidi"/>
        </w:rPr>
        <w:t>extremely</w:t>
      </w:r>
      <w:r w:rsidR="006F6DEB" w:rsidRPr="00E32653">
        <w:rPr>
          <w:rFonts w:asciiTheme="majorBidi" w:hAnsiTheme="majorBidi" w:cstheme="majorBidi"/>
        </w:rPr>
        <w:t xml:space="preserve"> energy-efficient compared to </w:t>
      </w:r>
      <w:r w:rsidR="000A5623" w:rsidRPr="00E32653">
        <w:rPr>
          <w:rFonts w:asciiTheme="majorBidi" w:hAnsiTheme="majorBidi" w:cstheme="majorBidi"/>
        </w:rPr>
        <w:t>m</w:t>
      </w:r>
      <w:r w:rsidR="006F6DEB" w:rsidRPr="00E32653">
        <w:rPr>
          <w:rFonts w:asciiTheme="majorBidi" w:hAnsiTheme="majorBidi" w:cstheme="majorBidi"/>
        </w:rPr>
        <w:t>any other building material</w:t>
      </w:r>
      <w:r w:rsidR="000A5623" w:rsidRPr="00E32653">
        <w:rPr>
          <w:rFonts w:asciiTheme="majorBidi" w:hAnsiTheme="majorBidi" w:cstheme="majorBidi"/>
        </w:rPr>
        <w:t>s</w:t>
      </w:r>
      <w:r w:rsidR="006F6DEB" w:rsidRPr="00E32653">
        <w:rPr>
          <w:rFonts w:asciiTheme="majorBidi" w:hAnsiTheme="majorBidi" w:cstheme="majorBidi"/>
        </w:rPr>
        <w:t xml:space="preserve"> </w:t>
      </w:r>
      <w:r w:rsidR="003A225B" w:rsidRPr="00E32653">
        <w:rPr>
          <w:rFonts w:asciiTheme="majorBidi" w:hAnsiTheme="majorBidi" w:cstheme="majorBidi"/>
        </w:rPr>
        <w:t>(Wood: Sustainable Building Solutions, 2012, p. 5).</w:t>
      </w:r>
      <w:r w:rsidR="0034532B" w:rsidRPr="00E32653">
        <w:rPr>
          <w:rFonts w:asciiTheme="majorBidi" w:hAnsiTheme="majorBidi" w:cstheme="majorBidi"/>
        </w:rPr>
        <w:t xml:space="preserve"> </w:t>
      </w:r>
      <w:r w:rsidR="001642EF" w:rsidRPr="00E32653">
        <w:rPr>
          <w:rFonts w:asciiTheme="majorBidi" w:hAnsiTheme="majorBidi" w:cstheme="majorBidi"/>
        </w:rPr>
        <w:t>T</w:t>
      </w:r>
      <w:r w:rsidR="0048124A" w:rsidRPr="00E32653">
        <w:rPr>
          <w:rFonts w:asciiTheme="majorBidi" w:hAnsiTheme="majorBidi" w:cstheme="majorBidi"/>
        </w:rPr>
        <w:t xml:space="preserve">he embodied energy of construction projects </w:t>
      </w:r>
      <w:r w:rsidR="001A1F5C" w:rsidRPr="00E32653">
        <w:rPr>
          <w:rFonts w:asciiTheme="majorBidi" w:hAnsiTheme="majorBidi" w:cstheme="majorBidi"/>
        </w:rPr>
        <w:t>is considered as a</w:t>
      </w:r>
      <w:r w:rsidR="0048124A" w:rsidRPr="00E32653">
        <w:rPr>
          <w:rFonts w:asciiTheme="majorBidi" w:hAnsiTheme="majorBidi" w:cstheme="majorBidi"/>
        </w:rPr>
        <w:t xml:space="preserve"> measure </w:t>
      </w:r>
      <w:r w:rsidR="001A1F5C" w:rsidRPr="00E32653">
        <w:rPr>
          <w:rFonts w:asciiTheme="majorBidi" w:hAnsiTheme="majorBidi" w:cstheme="majorBidi"/>
        </w:rPr>
        <w:t xml:space="preserve">of </w:t>
      </w:r>
      <w:r w:rsidR="0048124A" w:rsidRPr="00E32653">
        <w:rPr>
          <w:rFonts w:asciiTheme="majorBidi" w:hAnsiTheme="majorBidi" w:cstheme="majorBidi"/>
        </w:rPr>
        <w:t xml:space="preserve">sustainability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{"citationItems":[{"id":"ITEM-1","itemData":{"DOI":"10.3390/BUILDINGS9060136","ISSN":"20755309","abstract":"Buildings use a wide range of construction materials, and the manufacturing of each material consumes energy and emits CO2. Several studies have already been conducted to evaluate the embodied energy and the related CO2 emissions of building materials, which are mainly based on case studies from developed countries. There is a considerable gap in cases of developing countries regarding assessment of embodied energy and CO2 emissions of these building materials. This study identified the top five most used construction materials (cement, sand, coarse aggregates, hollow concrete blocks, and reinforcement bars), which are also prime sources of waste generation during construction in the Ethiopian building construction sector. Then, what followed was the evaluation of the embodied energies and CO2 emissions of these materials by examining five commercial and public buildings within the cradle-to-site lifecycle boundary. The evaluation results demonstrated that cement, hollow concrete blocks (HCB), and reinforcement bars (rebars) are the major consumers of energy and major CO2 emitters. Cumulatively, they were responsible for 94% of the embodied energy and 98% of the CO2 emissions. The waste part of the construction materials has inflated the embodied energy and the subsequent CO2 emissions considerably. The study also recommended several strategies for the reduction of embodied energy and the related CO2 emissions. The research delivers critical insights into embodied energy and CO2 emissions of the five most used building materials in the Ethiopian construction industry, as there are no prior studies on this theme. This might be a cause to arouse awareness and interest among the policy makers and the wider public to clearly understand the importance of research on this crucial issue to develop national energy and CO2 descriptors for construction materials, in order to take care of our naturally endowed, but yet fragile, human habitat.","author":[{"dropping-particle":"","family":"Taffese","given":"Woubishet Zewdu","non-dropping-particle":"","parse-names":false,"suffix":""},{"dropping-particle":"","family":"Abegaz","given":"Kassahun Admassu","non-dropping-particle":"","parse-names":false,"suffix":""}],"container-title":"Buildings","id":"ITEM-1","issue":"6","issued":{"date-parts":[["2019"]]},"page":"1-15","title":"Embodied energy and CO2 emissions of widely used building materials: The Ethiopian context","type":"article-journal","volume":"9"},"uris":["http://www.mendeley.com/documents/?uuid=e90a1a8b-b8ba-4b16-836e-8319746a36ee"]}],"mendeley":{"formattedCitation":"(Taffese &amp; Abegaz, 2019)","plainTextFormattedCitation":"(Taffese &amp; Abegaz, 2019)","previouslyFormattedCitation":"(Taffese &amp; Abegaz, 2019)"},"properties":{"noteIndex":0},"schema":"https://github.com/citation-style-language/schema/raw/master/csl-citation.json"}</w:instrText>
      </w:r>
      <w:r w:rsidRPr="00E32653">
        <w:rPr>
          <w:rFonts w:asciiTheme="majorBidi" w:hAnsiTheme="majorBidi" w:cstheme="majorBidi"/>
        </w:rPr>
        <w:fldChar w:fldCharType="separate"/>
      </w:r>
      <w:r w:rsidR="0048124A" w:rsidRPr="00E32653">
        <w:rPr>
          <w:rFonts w:asciiTheme="majorBidi" w:hAnsiTheme="majorBidi" w:cstheme="majorBidi"/>
          <w:noProof/>
        </w:rPr>
        <w:t>(Taffese &amp; Abegaz, 2019)</w:t>
      </w:r>
      <w:r w:rsidRPr="00E32653">
        <w:rPr>
          <w:rFonts w:asciiTheme="majorBidi" w:hAnsiTheme="majorBidi" w:cstheme="majorBidi"/>
        </w:rPr>
        <w:fldChar w:fldCharType="end"/>
      </w:r>
      <w:r w:rsidR="0048124A" w:rsidRPr="00E32653">
        <w:rPr>
          <w:rFonts w:asciiTheme="majorBidi" w:hAnsiTheme="majorBidi" w:cstheme="majorBidi"/>
        </w:rPr>
        <w:t xml:space="preserve">. </w:t>
      </w:r>
      <w:r w:rsidR="00D517DB" w:rsidRPr="00E32653">
        <w:rPr>
          <w:rFonts w:asciiTheme="majorBidi" w:hAnsiTheme="majorBidi" w:cstheme="majorBidi"/>
        </w:rPr>
        <w:t xml:space="preserve">Previous research </w:t>
      </w:r>
      <w:r w:rsidR="001A1F5C" w:rsidRPr="00E32653">
        <w:rPr>
          <w:rFonts w:asciiTheme="majorBidi" w:hAnsiTheme="majorBidi" w:cstheme="majorBidi"/>
        </w:rPr>
        <w:t>confirms</w:t>
      </w:r>
      <w:r w:rsidR="00627555" w:rsidRPr="00E32653">
        <w:rPr>
          <w:rFonts w:asciiTheme="majorBidi" w:hAnsiTheme="majorBidi" w:cstheme="majorBidi"/>
        </w:rPr>
        <w:t xml:space="preserve"> that </w:t>
      </w:r>
      <w:r w:rsidR="00F82C15" w:rsidRPr="00E32653">
        <w:rPr>
          <w:rFonts w:asciiTheme="majorBidi" w:hAnsiTheme="majorBidi" w:cstheme="majorBidi"/>
        </w:rPr>
        <w:t>wood</w:t>
      </w:r>
      <w:r w:rsidR="00627555" w:rsidRPr="00E32653">
        <w:rPr>
          <w:rFonts w:asciiTheme="majorBidi" w:hAnsiTheme="majorBidi" w:cstheme="majorBidi"/>
        </w:rPr>
        <w:t>-</w:t>
      </w:r>
      <w:r w:rsidR="00D517DB" w:rsidRPr="00E32653">
        <w:rPr>
          <w:rFonts w:asciiTheme="majorBidi" w:hAnsiTheme="majorBidi" w:cstheme="majorBidi"/>
        </w:rPr>
        <w:t>based materials have a lower environmental impact and embodied energy compare</w:t>
      </w:r>
      <w:r w:rsidR="00627555" w:rsidRPr="00E32653">
        <w:rPr>
          <w:rFonts w:asciiTheme="majorBidi" w:hAnsiTheme="majorBidi" w:cstheme="majorBidi"/>
        </w:rPr>
        <w:t>d</w:t>
      </w:r>
      <w:r w:rsidR="00D517DB" w:rsidRPr="00E32653">
        <w:rPr>
          <w:rFonts w:asciiTheme="majorBidi" w:hAnsiTheme="majorBidi" w:cstheme="majorBidi"/>
        </w:rPr>
        <w:t xml:space="preserve"> to concrete and steel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{"citationItems":[{"id":"ITEM-1","itemData":{"DOI":"10.1016/j.jclepro.2019.03.222","ISSN":"09596526","abstract":"Forestry products have multiple uses including energy conversion and structural elements manufacturing. Each utilisation pathway has its own environmental and economic burdens and benefits, which may also change overtime due to market demand, policy change and local environmental conditions. In this study, an optimisation framework is introduced to identify the optimal allocation of resources based on life cycle perspective. The problem is broken into a series of multi-objective linear programs to account for potential non-linearity in the objective functions and constraints. First, life cycle costing analysis and environmental life cycle assessment were conducted to quantify the environmental and economic values of each decision variable. The values were used to construct economic and environmental objective functions. Then, normalisation procedures were followed to convert the two objective functions into a single objective function. The model was applied to the case of logs generated from the second thinning of the hardwood plantations in Australia. Eight utilisation scenarios were considered, including two engineered wood products and six bioenergy applications. The costs of the displaced products by the alternatives were included as avoided costs in line with the LCA scope. The model was solved in six time periods (ten years each). The robustness of the solution was tested by assigning different weightings to the environmental and economic objectives. The result showed that Woodchips Gasification (WCG) for electricity and heat production was the dominating solution for the first period with 85% of the logs allocated to this option. Nevertheless, the quantities allocated to energy production declined progressively over the subsequent periods. The laminated veneer lumber (LVL) option surpassed the WCG and became more dominant option starting from the fourth period. In the final period, 100% of thinned logs were allocated to the LVL option due to the predicted increased demand. The developed framework offers forestry managements the foresight to enhance their long-term environmental and economic performance through strategic multi-period optimisation approach, thus avoiding the technology lock-in and allowing flexibility in the system to adapt to future changes. Although this model was demonstrated using the forestry industry case, the framework can be applied to any resource allocation problem.","author":[{"dropping-particle":"","family":"Lu","given":"Hangyong Ray","non-dropping-particle":"","parse-names":false,"suffix":""},{"dropping-particle":"","family":"Hanandeh","given":"Ali","non-dropping-particle":"El","parse-names":false,"suffix":""}],"container-title":"Journal of Cleaner Production","id":"ITEM-1","issued":{"date-parts":[["2019"]]},"page":"614-625","publisher":"Elsevier Ltd","title":"Energy conversion vs structural products: A novel multi-objective multi-period linear optimisation with application to the Australian hardwood plantation thinned logs","type":"article-journal","volume":"224"},"uris":["http://www.mendeley.com/documents/?uuid=2bb38d94-168f-4370-bf52-28186ddb4f0c"]},{"id":"ITEM-2","itemData":{"DOI":"10.1016/j.jclepro.2013.08.023","ISSN":"09596526","abstract":"Green building (GB) is an emerging topic in research. However, few studies have directly linked wood materials with the concept of GB. Here, we attempt to increase our understanding of GB and the potential for using wood to enhance this concept from the market point of view, with emphasis on experts in the UK construction sector, using qualitative analysis of interview data. The main results support Abidin's broader concept of GB (2005) and suggest that there is potential for integrating GB and corporate social responsibility in the construction sector; thus we add affordable housing as an additional element in the economic dimensions. Our results further verify the crucial role that the UK government has played in GB formation, promotion and development and showed a positive increase in using wood in the UK construction sector, supporting the notion that the environmental performance of wood is the major driver in embracing wood in the GB concept. In addition, we showed that experts who have sound knowledge of wood as a building material agree on its superior environmental credentials; however, end users who may lack information and knowledge of wood products often show strong prejudice against its use. Finally, we demonstrated that the major drivers promoting wood as a sustainable solution for GB in the UK construction sector include legislation, environmental awareness, attitudes and traditions, market and competition, promotion and communication, and technology and know-how. © 2013 Elsevier Ltd. All rights reserved.","author":[{"dropping-particle":"","family":"Wang","given":"Lei","non-dropping-particle":"","parse-names":false,"suffix":""},{"dropping-particle":"","family":"Toppinen","given":"Anne","non-dropping-particle":"","parse-names":false,"suffix":""},{"dropping-particle":"","family":"Juslin","given":"Heikki","non-dropping-particle":"","parse-names":false,"suffix":""}],"container-title":"Journal of Cleaner Production","id":"ITEM-2","issued":{"date-parts":[["2014"]]},"page":"350-361","publisher":"Elsevier Ltd","title":"Use of wood in green building: A study of expert perspectives from the UK","type":"article-journal","volume":"65"},"uris":["http://www.mendeley.com/documents/?uuid=7bf6ea7f-3bc9-4fb9-9561-0a4616f7e095"]},{"id":"ITEM-3","itemData":{"DOI":"10.1016/j.jclepro.2015.01.090","ISSN":"09596526","abstract":"Cross-Laminated Timber is an engineered wood-based product, developed in Europe in the early 1990s. Cross-Laminated Timber is made of multiple layers of wood boards, which are oriented perpendicular to the adjacent layers. Cross Laminated Timber is a promising construction technology that represents an opportunity to use low-value timber from small diameter and insect-infested forest resources, for a high value-added application, which contributes to better use our forest resources. While Cross-Laminated Timber has been successful in Europe and is making its way into the Canadian and Australian markets, it has not yet been widely adopted in the United States. Research has proven that the rate of diffusion is dependent on potential adopters' perceptions of the product attributes, thus the study of perceptions play an important role in understanding and analyzing the adoption potential of a new product or technology. This document presents the results from research conducted to assess the market potential and barriers to the adoption of Cross-Laminated Timber in the United States, through the analysis of level of awareness, perceptions, and willingness to adopt Cross-Laminated Timber by the United States architecture community. Results from a nation-wide survey of United States architecture firms show that the level of awareness about Cross-Laminated Timber in the United States is low. The main perceived benefits of Cross-Laminated Timber are a favorable environmental and structural performance, and outstanding aesthetic properties. Major perceived disadvantages are high maintenance costs and fire performance. The most important barriers to the successful adoption of Cross-Laminated Timber according to survey participants are building code compatibility issues, initial cost, and the lack of Cross-Laminated Timber availability in the United States market. Most respondents were uncertain when asked about their willingness to adopt Cross-Laminated Timber in the near future; although willingness to adopt was found to be positively correlated with familiarity with the system. From these results, we conclude that the success of Cross-Laminated Timber-based construction in the United States will depend in great part on the information about the material's benefits reaching the target audience.","author":[{"dropping-particle":"","family":"Laguarda Mallo","given":"Maria Fernanda","non-dropping-particle":"","parse-names":false,"suffix":""},{"dropping-particle":"","family":"Espinoza","given":"Omar","non-dropping-particle":"","parse-names":false,"suffix":""}],"container-title":"Journal of Cleaner Production","id":"ITEM-3","issued":{"date-parts":[["2015"]]},"page":"198-210","publisher":"Elsevier Ltd","title":"Awareness, perceptions and willingness to adopt Cross-Laminated Timber by the architecture community in the United States","type":"article-journal","volume":"94"},"uris":["http://www.mendeley.com/documents/?uuid=4cb45807-ec4e-4336-a8dd-601418c33368","http://www.mendeley.com/documents/?uuid=2e4b3bd6-9510-46c1-9391-fd76f65a1aca","http://www.mendeley.com/documents/?uuid=954f75c2-d2d3-46cf-ae17-03277494cb1e"]},{"id":"ITEM-4","itemData":{"DOI":"10.1016/j.enbuild.2009.08.018","ISSN":"03787788","abstract":"In this study the life cycle primary energy use and carbon dioxide (CO2) emission of an eight-storey wood-framed apartment building are analyzed. All life cycle phases are included, including acquisition and processing of materials, on-site construction, building operation, demolition and materials disposal. The calculated primary energy use includes the entire energy system chains, and carbon flows are tracked including fossil fuel emissions, process emissions, carbon stocks in building materials, and avoided fossil emissions due to biofuel substitution. The results show that building operation uses the largest share of life cycle energy use, becoming increasingly dominant as the life span of the building increases. The type of heating system strongly influences the primary energy use and CO2 emission; a biomass-based system with cogeneration of district heat and electricity achieves low primary energy use and very low CO2 emissions. Using biomass residues from the wood products chain to substitute for fossil fuels significantly reduces net CO2 emission. Excluding household tap water and electricity, a negative life cycle net CO2 emission can be achieved due to the wood-based construction materials and biomass-based energy supply system. This study shows the importance of using a life cycle perspective when evaluating primary energy and climatic impacts of buildings. © 2009 Elsevier B.V. All rights reserved.","author":[{"dropping-particle":"","family":"Gustavsson","given":"Leif","non-dropping-particle":"","parse-names":false,"suffix":""},{"dropping-particle":"","family":"Joelsson","given":"Anna","non-dropping-particle":"","parse-names":false,"suffix":""},{"dropping-particle":"","family":"Sathre","given":"Roger","non-dropping-particle":"","parse-names":false,"suffix":""}],"container-title":"Energy and Buildings","id":"ITEM-4","issue":"2","issued":{"date-parts":[["2010"]]},"page":"230-242","title":"Life cycle primary energy use and carbon emission of an eight-storey wood-framed apartment building","type":"article-journal","volume":"42"},"uris":["http://www.mendeley.com/documents/?uuid=7a610fec-ad32-4ba6-bc8c-b44c17f855ce"]},{"id":"ITEM-5","itemData":{"DOI":"10.1016/j.jclepro.2018.12.028","ISSN":"09596526","abstract":"Buildings are big consumers of energy and materials, and important producers of waste and emissions. Prefabrication presents an opportunity to reduce impacts in the building sector; however, few studies have focused on prefabricated houses and with contradictory findings. The main goal of this article is to assess the embodied energy (EE) and greenhouse gas emissions (GHG) of a prefabricated modular house, based on a modular system to enable different layouts. A “cradle-to-site” analysis was performed, including materials production, transport to plant, modules’ production, transport to site and final assemblage on site. Several house final locations were addressed to assess transport related impacts. Scenarios for alternative building structural materials (steel; concrete; timber and light steel framing (LSF)) and house size (bedroom number) were also analyzed, aiming at understanding the influence of these aspects in the results, and representing other prefabricated modular houses currently produced in Europe. The calculated embodied impacts show that materials production is the most important phase (64–90% of EE and 59–87% of GHG) and that the structures with LSF framing or timber have the lowest impacts, while steel and concrete the highest. Embodied impacts increase with the house size; however, a larger house leads to lower impacts per inhabitant, but similar impacts per m 2 (similar conclusion could be drawn for non-prefab buildings). The impacts of transportation (of modules, workers and finishing materials) vary significantly for the various house final locations and can be significant for overseas locations, which can jeopardize the potential benefits of modular prefabrication.","author":[{"dropping-particle":"","family":"Tavares","given":"Vanessa","non-dropping-particle":"","parse-names":false,"suffix":""},{"dropping-particle":"","family":"Lacerda","given":"Nuno","non-dropping-particle":"","parse-names":false,"suffix":""},{"dropping-particle":"","family":"Freire","given":"Fausto","non-dropping-particle":"","parse-names":false,"suffix":""}],"container-title":"Journal of Cleaner Production","id":"ITEM-5","issued":{"date-parts":[["2019"]]},"page":"1044-1053","publisher":"Elsevier Ltd","title":"Embodied energy and greenhouse gas emissions analysis of a prefabricated modular house: The “Moby” case study","type":"article-journal","volume":"212"},"uris":["http://www.mendeley.com/documents/?uuid=790f5f77-2bca-4c76-9ed8-1a76c47d35ed","http://www.mendeley.com/documents/?uuid=b6cc9a58-6c47-4b03-b851-2a1a27da73ef","http://www.mendeley.com/documents/?uuid=6b4650e4-e148-4b4d-9bd9-788175f0625a"]}],"mendeley":{"formattedCitation":"(Gustavsson et al., 2010; Laguarda Mallo &amp; Espinoza, 2015; Lu &amp; El Hanandeh, 2019; Tavares et al., 2019; Wang et al., 2014)","manualFormatting":"(Laguarda Mallo &amp; Espinoza, 2015; Gustavsson et al., 2010; Wang et al., 2014)","plainTextFormattedCitation":"(Gustavsson et al., 2010; Laguarda Mallo &amp; Espinoza, 2015; Lu &amp; El Hanandeh, 2019; Tavares et al., 2019; Wang et al., 2014)","previouslyFormattedCitation":"(Gustavsson et al., 2010; Laguarda Mallo &amp; Espinoza, 2015; Lu &amp; El Hanandeh, 2019; Tavares et al., 2019; Wang et al., 2014)"},"properties":{"noteIndex":0},"schema":"https://github.com/citation-style-language/schema/raw/master/csl-citation.json"}</w:instrText>
      </w:r>
      <w:r w:rsidRPr="00E32653">
        <w:rPr>
          <w:rFonts w:asciiTheme="majorBidi" w:hAnsiTheme="majorBidi" w:cstheme="majorBidi"/>
        </w:rPr>
        <w:fldChar w:fldCharType="separate"/>
      </w:r>
      <w:r w:rsidR="00F22A51" w:rsidRPr="00E32653">
        <w:rPr>
          <w:rFonts w:asciiTheme="majorBidi" w:hAnsiTheme="majorBidi" w:cstheme="majorBidi"/>
          <w:noProof/>
        </w:rPr>
        <w:t>(Laguarda Mallo &amp; Espino</w:t>
      </w:r>
      <w:r w:rsidR="001731FB" w:rsidRPr="00E32653">
        <w:rPr>
          <w:rFonts w:asciiTheme="majorBidi" w:hAnsiTheme="majorBidi" w:cstheme="majorBidi"/>
          <w:noProof/>
        </w:rPr>
        <w:t>za, 2015;</w:t>
      </w:r>
      <w:r w:rsidR="00F22A51" w:rsidRPr="00E32653">
        <w:rPr>
          <w:rFonts w:asciiTheme="majorBidi" w:hAnsiTheme="majorBidi" w:cstheme="majorBidi"/>
          <w:noProof/>
        </w:rPr>
        <w:t xml:space="preserve"> </w:t>
      </w:r>
      <w:r w:rsidR="0046209F" w:rsidRPr="00E32653">
        <w:rPr>
          <w:rFonts w:asciiTheme="majorBidi" w:hAnsiTheme="majorBidi" w:cstheme="majorBidi"/>
          <w:noProof/>
        </w:rPr>
        <w:t xml:space="preserve">Gustavsson et al., 2010; </w:t>
      </w:r>
      <w:r w:rsidR="00F22A51" w:rsidRPr="00E32653">
        <w:rPr>
          <w:rFonts w:asciiTheme="majorBidi" w:hAnsiTheme="majorBidi" w:cstheme="majorBidi"/>
          <w:noProof/>
        </w:rPr>
        <w:t>Wang et al., 2014)</w:t>
      </w:r>
      <w:r w:rsidRPr="00E32653">
        <w:rPr>
          <w:rFonts w:asciiTheme="majorBidi" w:hAnsiTheme="majorBidi" w:cstheme="majorBidi"/>
        </w:rPr>
        <w:fldChar w:fldCharType="end"/>
      </w:r>
      <w:r w:rsidR="00D517DB" w:rsidRPr="00E32653">
        <w:rPr>
          <w:rFonts w:asciiTheme="majorBidi" w:hAnsiTheme="majorBidi" w:cstheme="majorBidi"/>
        </w:rPr>
        <w:t>.</w:t>
      </w:r>
      <w:r w:rsidR="003D365C" w:rsidRPr="00E32653">
        <w:rPr>
          <w:rFonts w:asciiTheme="majorBidi" w:hAnsiTheme="majorBidi" w:cstheme="majorBidi"/>
        </w:rPr>
        <w:t xml:space="preserve"> This </w:t>
      </w:r>
      <w:r w:rsidR="001A1F5C" w:rsidRPr="00E32653">
        <w:rPr>
          <w:rFonts w:asciiTheme="majorBidi" w:hAnsiTheme="majorBidi" w:cstheme="majorBidi"/>
        </w:rPr>
        <w:t>research</w:t>
      </w:r>
      <w:r w:rsidR="003D365C" w:rsidRPr="00E32653">
        <w:rPr>
          <w:rFonts w:asciiTheme="majorBidi" w:hAnsiTheme="majorBidi" w:cstheme="majorBidi"/>
        </w:rPr>
        <w:t xml:space="preserve"> assess</w:t>
      </w:r>
      <w:r w:rsidR="001A1F5C" w:rsidRPr="00E32653">
        <w:rPr>
          <w:rFonts w:asciiTheme="majorBidi" w:hAnsiTheme="majorBidi" w:cstheme="majorBidi"/>
        </w:rPr>
        <w:t>es</w:t>
      </w:r>
      <w:r w:rsidR="003D365C" w:rsidRPr="00E32653">
        <w:rPr>
          <w:rFonts w:asciiTheme="majorBidi" w:hAnsiTheme="majorBidi" w:cstheme="majorBidi"/>
        </w:rPr>
        <w:t xml:space="preserve"> two </w:t>
      </w:r>
      <w:r w:rsidR="001A1F5C" w:rsidRPr="00E32653">
        <w:rPr>
          <w:rFonts w:asciiTheme="majorBidi" w:hAnsiTheme="majorBidi" w:cstheme="majorBidi"/>
        </w:rPr>
        <w:t>commercially available</w:t>
      </w:r>
      <w:r w:rsidR="003D365C" w:rsidRPr="00E32653">
        <w:rPr>
          <w:rFonts w:asciiTheme="majorBidi" w:hAnsiTheme="majorBidi" w:cstheme="majorBidi"/>
        </w:rPr>
        <w:t xml:space="preserve"> </w:t>
      </w:r>
      <w:r w:rsidR="00007283" w:rsidRPr="00E32653">
        <w:rPr>
          <w:rFonts w:asciiTheme="majorBidi" w:hAnsiTheme="majorBidi" w:cstheme="majorBidi"/>
        </w:rPr>
        <w:t xml:space="preserve">mass timber </w:t>
      </w:r>
      <w:r w:rsidR="00B11D45" w:rsidRPr="00E32653">
        <w:rPr>
          <w:rFonts w:asciiTheme="majorBidi" w:hAnsiTheme="majorBidi" w:cstheme="majorBidi"/>
        </w:rPr>
        <w:t>products</w:t>
      </w:r>
      <w:r w:rsidR="001A1F5C" w:rsidRPr="00E32653">
        <w:rPr>
          <w:rFonts w:asciiTheme="majorBidi" w:hAnsiTheme="majorBidi" w:cstheme="majorBidi"/>
        </w:rPr>
        <w:t xml:space="preserve"> </w:t>
      </w:r>
      <w:r w:rsidR="003D365C" w:rsidRPr="00E32653">
        <w:rPr>
          <w:rFonts w:asciiTheme="majorBidi" w:hAnsiTheme="majorBidi" w:cstheme="majorBidi"/>
        </w:rPr>
        <w:t xml:space="preserve">as building materials. </w:t>
      </w:r>
    </w:p>
    <w:p w14:paraId="1D0C6AFA" w14:textId="57A89F6A" w:rsidR="003C17BC" w:rsidRPr="00E32653" w:rsidRDefault="00007283" w:rsidP="00007283">
      <w:pPr>
        <w:spacing w:line="276" w:lineRule="auto"/>
        <w:ind w:firstLine="720"/>
        <w:jc w:val="both"/>
        <w:rPr>
          <w:rFonts w:asciiTheme="majorBidi" w:hAnsiTheme="majorBidi" w:cstheme="majorBidi"/>
        </w:rPr>
      </w:pPr>
      <w:r w:rsidRPr="00E32653">
        <w:rPr>
          <w:rFonts w:asciiTheme="majorBidi" w:hAnsiTheme="majorBidi" w:cstheme="majorBidi"/>
        </w:rPr>
        <w:t xml:space="preserve">Mass timber </w:t>
      </w:r>
      <w:r w:rsidR="00B11D45" w:rsidRPr="00E32653">
        <w:rPr>
          <w:rFonts w:asciiTheme="majorBidi" w:hAnsiTheme="majorBidi" w:cstheme="majorBidi"/>
          <w:noProof/>
        </w:rPr>
        <w:t>products</w:t>
      </w:r>
      <w:r w:rsidR="001A1F5C" w:rsidRPr="00E32653">
        <w:rPr>
          <w:rFonts w:asciiTheme="majorBidi" w:hAnsiTheme="majorBidi" w:cstheme="majorBidi"/>
          <w:noProof/>
        </w:rPr>
        <w:t xml:space="preserve"> </w:t>
      </w:r>
      <w:r w:rsidR="00590B91" w:rsidRPr="00E32653">
        <w:rPr>
          <w:rFonts w:asciiTheme="majorBidi" w:hAnsiTheme="majorBidi" w:cstheme="majorBidi"/>
          <w:noProof/>
        </w:rPr>
        <w:t>such as</w:t>
      </w:r>
      <w:r w:rsidR="0027445C" w:rsidRPr="00E32653">
        <w:rPr>
          <w:rFonts w:asciiTheme="majorBidi" w:hAnsiTheme="majorBidi" w:cstheme="majorBidi"/>
          <w:noProof/>
        </w:rPr>
        <w:t xml:space="preserve"> </w:t>
      </w:r>
      <w:r w:rsidR="004B12EA" w:rsidRPr="00E32653">
        <w:rPr>
          <w:rFonts w:asciiTheme="majorBidi" w:hAnsiTheme="majorBidi" w:cstheme="majorBidi"/>
          <w:noProof/>
        </w:rPr>
        <w:t xml:space="preserve">laminated veneer lumber (LVL) and glued laminated timber (GLT) </w:t>
      </w:r>
      <w:r w:rsidR="001642EF" w:rsidRPr="00E32653">
        <w:rPr>
          <w:rFonts w:asciiTheme="majorBidi" w:hAnsiTheme="majorBidi" w:cstheme="majorBidi"/>
          <w:noProof/>
        </w:rPr>
        <w:t xml:space="preserve">are </w:t>
      </w:r>
      <w:r w:rsidR="004B12EA" w:rsidRPr="00E32653">
        <w:rPr>
          <w:rFonts w:asciiTheme="majorBidi" w:hAnsiTheme="majorBidi" w:cstheme="majorBidi"/>
          <w:noProof/>
        </w:rPr>
        <w:t>potentially able to raise the value of traditional wood materi</w:t>
      </w:r>
      <w:r w:rsidR="000131AB" w:rsidRPr="00E32653">
        <w:rPr>
          <w:rFonts w:asciiTheme="majorBidi" w:hAnsiTheme="majorBidi" w:cstheme="majorBidi"/>
          <w:noProof/>
        </w:rPr>
        <w:t>al</w:t>
      </w:r>
      <w:r w:rsidR="004B12EA" w:rsidRPr="00E32653">
        <w:rPr>
          <w:rFonts w:asciiTheme="majorBidi" w:hAnsiTheme="majorBidi" w:cstheme="majorBidi"/>
          <w:noProof/>
        </w:rPr>
        <w:t>s</w:t>
      </w:r>
      <w:r w:rsidR="001642EF" w:rsidRPr="00E32653">
        <w:rPr>
          <w:rFonts w:asciiTheme="majorBidi" w:hAnsiTheme="majorBidi" w:cstheme="majorBidi"/>
          <w:noProof/>
        </w:rPr>
        <w:t>. They are</w:t>
      </w:r>
      <w:r w:rsidR="004B12EA" w:rsidRPr="00E32653">
        <w:rPr>
          <w:rFonts w:asciiTheme="majorBidi" w:hAnsiTheme="majorBidi" w:cstheme="majorBidi"/>
          <w:noProof/>
        </w:rPr>
        <w:t xml:space="preserve"> simple</w:t>
      </w:r>
      <w:r w:rsidR="001642EF" w:rsidRPr="00E32653">
        <w:rPr>
          <w:rFonts w:asciiTheme="majorBidi" w:hAnsiTheme="majorBidi" w:cstheme="majorBidi"/>
          <w:noProof/>
        </w:rPr>
        <w:t>r to</w:t>
      </w:r>
      <w:r w:rsidR="004B12EA" w:rsidRPr="00E32653">
        <w:rPr>
          <w:rFonts w:asciiTheme="majorBidi" w:hAnsiTheme="majorBidi" w:cstheme="majorBidi"/>
          <w:noProof/>
        </w:rPr>
        <w:t xml:space="preserve"> install, </w:t>
      </w:r>
      <w:r w:rsidR="001642EF" w:rsidRPr="00E32653">
        <w:rPr>
          <w:rFonts w:asciiTheme="majorBidi" w:hAnsiTheme="majorBidi" w:cstheme="majorBidi"/>
          <w:noProof/>
        </w:rPr>
        <w:t xml:space="preserve">have </w:t>
      </w:r>
      <w:r w:rsidR="00F3262E" w:rsidRPr="00E32653">
        <w:rPr>
          <w:rFonts w:asciiTheme="majorBidi" w:hAnsiTheme="majorBidi" w:cstheme="majorBidi"/>
        </w:rPr>
        <w:t xml:space="preserve">lighter structures, </w:t>
      </w:r>
      <w:r w:rsidR="004B12EA" w:rsidRPr="00E32653">
        <w:rPr>
          <w:rFonts w:asciiTheme="majorBidi" w:hAnsiTheme="majorBidi" w:cstheme="majorBidi"/>
          <w:noProof/>
        </w:rPr>
        <w:t xml:space="preserve">high strength, </w:t>
      </w:r>
      <w:r w:rsidR="001642EF" w:rsidRPr="00E32653">
        <w:rPr>
          <w:rFonts w:asciiTheme="majorBidi" w:hAnsiTheme="majorBidi" w:cstheme="majorBidi"/>
          <w:noProof/>
        </w:rPr>
        <w:t xml:space="preserve">better </w:t>
      </w:r>
      <w:r w:rsidR="004B12EA" w:rsidRPr="00E32653">
        <w:rPr>
          <w:rFonts w:asciiTheme="majorBidi" w:hAnsiTheme="majorBidi" w:cstheme="majorBidi"/>
          <w:noProof/>
        </w:rPr>
        <w:t>aesthetic features,</w:t>
      </w:r>
      <w:r w:rsidR="00F3262E" w:rsidRPr="00E32653">
        <w:rPr>
          <w:rFonts w:asciiTheme="majorBidi" w:hAnsiTheme="majorBidi" w:cstheme="majorBidi"/>
        </w:rPr>
        <w:t xml:space="preserve"> </w:t>
      </w:r>
      <w:r w:rsidR="001642EF" w:rsidRPr="00E32653">
        <w:rPr>
          <w:rFonts w:asciiTheme="majorBidi" w:hAnsiTheme="majorBidi" w:cstheme="majorBidi"/>
        </w:rPr>
        <w:t xml:space="preserve">save </w:t>
      </w:r>
      <w:r w:rsidR="00F3262E" w:rsidRPr="00E32653">
        <w:rPr>
          <w:rFonts w:asciiTheme="majorBidi" w:hAnsiTheme="majorBidi" w:cstheme="majorBidi"/>
        </w:rPr>
        <w:t>energy,</w:t>
      </w:r>
      <w:r w:rsidR="004B12EA" w:rsidRPr="00E32653">
        <w:rPr>
          <w:rFonts w:asciiTheme="majorBidi" w:hAnsiTheme="majorBidi" w:cstheme="majorBidi"/>
          <w:noProof/>
        </w:rPr>
        <w:t xml:space="preserve"> and </w:t>
      </w:r>
      <w:r w:rsidR="001642EF" w:rsidRPr="00E32653">
        <w:rPr>
          <w:rFonts w:asciiTheme="majorBidi" w:hAnsiTheme="majorBidi" w:cstheme="majorBidi"/>
          <w:noProof/>
        </w:rPr>
        <w:t xml:space="preserve">other </w:t>
      </w:r>
      <w:r w:rsidR="004B12EA" w:rsidRPr="00E32653">
        <w:rPr>
          <w:rFonts w:asciiTheme="majorBidi" w:hAnsiTheme="majorBidi" w:cstheme="majorBidi"/>
          <w:noProof/>
        </w:rPr>
        <w:t>environmental benefits</w:t>
      </w:r>
      <w:r w:rsidR="00F3262E" w:rsidRPr="00E32653">
        <w:rPr>
          <w:rFonts w:asciiTheme="majorBidi" w:hAnsiTheme="majorBidi" w:cstheme="majorBidi"/>
          <w:noProof/>
        </w:rPr>
        <w:t xml:space="preserve"> compared to concret</w:t>
      </w:r>
      <w:r w:rsidR="000131AB" w:rsidRPr="00E32653">
        <w:rPr>
          <w:rFonts w:asciiTheme="majorBidi" w:hAnsiTheme="majorBidi" w:cstheme="majorBidi"/>
          <w:noProof/>
        </w:rPr>
        <w:t>e</w:t>
      </w:r>
      <w:r w:rsidR="00F3262E" w:rsidRPr="00E32653">
        <w:rPr>
          <w:rFonts w:asciiTheme="majorBidi" w:hAnsiTheme="majorBidi" w:cstheme="majorBidi"/>
          <w:noProof/>
        </w:rPr>
        <w:t xml:space="preserve"> and steel</w:t>
      </w:r>
      <w:r w:rsidR="004B12EA" w:rsidRPr="00E32653">
        <w:rPr>
          <w:rFonts w:asciiTheme="majorBidi" w:hAnsiTheme="majorBidi" w:cstheme="majorBidi"/>
        </w:rPr>
        <w:t xml:space="preserve"> </w:t>
      </w:r>
      <w:r w:rsidR="004B12EA" w:rsidRPr="00E32653">
        <w:rPr>
          <w:rFonts w:asciiTheme="majorBidi" w:hAnsiTheme="majorBidi" w:cstheme="majorBidi"/>
        </w:rPr>
        <w:fldChar w:fldCharType="begin" w:fldLock="1"/>
      </w:r>
      <w:r w:rsidR="004B12EA" w:rsidRPr="00E32653">
        <w:rPr>
          <w:rFonts w:asciiTheme="majorBidi" w:hAnsiTheme="majorBidi" w:cstheme="majorBidi"/>
        </w:rPr>
        <w:instrText>ADDIN CSL_CITATION {"citationItems":[{"id":"ITEM-1","itemData":{"DOI":"10.1016/j.enbuild.2020.110091","ISSN":"03787788","abstract":"Engineering wood products have significant potential as a sustainable alternative for concrete and steel in construction. Cross Laminated Timber (CLT) can add value to conventional timber products due to its high strength-to-weight ratio, simple installation, aesthetic features and environmental benefits. Recent changes in the national construction code permit structural timber buildings with a height of up to 25m, which demonstrates the strong commitment of the construction industry to adopt more sustainable practices. This paper aims to compare life cycle greenhouse gas emissions (LCGHGE) and life cycle cost (LCC) of CLT and reinforced concrete (RC) in identical midrise residential buildings in three most populated cities in Australia. It has shown that the CLT building has 30 % less LCGHGE compared with the RC building over a life span of 50 years in Melbourne, and 34% and 29% reduction in LCGHCE in Sydney and Brisbane, respectively. The results from LCC analysis showed that CLT building is 1.3% lower than conventional RC in Melbourne, and 0.9% lower in Sydney and Brisbane. The initial and end of life phases reflected reductions in LCGHGE and LCC for the CLT building whilst the operation phase incurred higher values. The extended service life of buildings has a major impact on the operational phase while changes in the discount rate have strong effects on the lifecycle operational and maintenance costs. Overall the CLT building outperformed the RC building in terms of LCGHGE and LCC across three cities. However, further savings in the operational phase with energy efficient methodologies and reuse or recycling of timber products at the end of life of the building can reinforce CLT as a sustainable alternative to RC construction.","author":[{"dropping-particle":"","family":"Jayalath","given":"Amitha","non-dropping-particle":"","parse-names":false,"suffix":""},{"dropping-particle":"","family":"Navaratnam","given":"Satheeskumar","non-dropping-particle":"","parse-names":false,"suffix":""},{"dropping-particle":"","family":"Ngo","given":"Tuan","non-dropping-particle":"","parse-names":false,"suffix":""},{"dropping-particle":"","family":"Mendis","given":"Priyan","non-dropping-particle":"","parse-names":false,"suffix":""},{"dropping-particle":"","family":"Hewson","given":"Nick","non-dropping-particle":"","parse-names":false,"suffix":""},{"dropping-particle":"","family":"Aye","given":"Lu","non-dropping-particle":"","parse-names":false,"suffix":""}],"container-title":"Energy and Buildings","id":"ITEM-1","issued":{"date-parts":[["2020"]]},"page":"110091","publisher":"Elsevier B.V.","title":"Life cycle performance of Cross Laminated Timber mid-rise residential buildings in Australia","type":"article-journal","volume":"223"},"uris":["http://www.mendeley.com/documents/?uuid=17c4afcf-1ff9-4762-8690-67085184ce6c"]}],"mendeley":{"formattedCitation":"(Jayalath et al., 2020)","plainTextFormattedCitation":"(Jayalath et al., 2020)","previouslyFormattedCitation":"(Jayalath et al., 2020)"},"properties":{"noteIndex":0},"schema":"https://github.com/citation-style-language/schema/raw/master/csl-citation.json"}</w:instrText>
      </w:r>
      <w:r w:rsidR="004B12EA" w:rsidRPr="00E32653">
        <w:rPr>
          <w:rFonts w:asciiTheme="majorBidi" w:hAnsiTheme="majorBidi" w:cstheme="majorBidi"/>
        </w:rPr>
        <w:fldChar w:fldCharType="separate"/>
      </w:r>
      <w:r w:rsidR="004B12EA" w:rsidRPr="00E32653">
        <w:rPr>
          <w:rFonts w:asciiTheme="majorBidi" w:hAnsiTheme="majorBidi" w:cstheme="majorBidi"/>
          <w:noProof/>
        </w:rPr>
        <w:t>(Jayalath et al., 2020)</w:t>
      </w:r>
      <w:r w:rsidR="004B12EA" w:rsidRPr="00E32653">
        <w:rPr>
          <w:rFonts w:asciiTheme="majorBidi" w:hAnsiTheme="majorBidi" w:cstheme="majorBidi"/>
        </w:rPr>
        <w:fldChar w:fldCharType="end"/>
      </w:r>
      <w:r w:rsidR="004B12EA" w:rsidRPr="00E32653">
        <w:rPr>
          <w:rFonts w:asciiTheme="majorBidi" w:hAnsiTheme="majorBidi" w:cstheme="majorBidi"/>
        </w:rPr>
        <w:t xml:space="preserve">. </w:t>
      </w:r>
      <w:r w:rsidR="007C3B60" w:rsidRPr="00E32653">
        <w:rPr>
          <w:rFonts w:asciiTheme="majorBidi" w:hAnsiTheme="majorBidi" w:cstheme="majorBidi"/>
        </w:rPr>
        <w:t xml:space="preserve">The </w:t>
      </w:r>
      <w:r w:rsidR="001A1F5C" w:rsidRPr="00E32653">
        <w:rPr>
          <w:rFonts w:asciiTheme="majorBidi" w:hAnsiTheme="majorBidi" w:cstheme="majorBidi"/>
        </w:rPr>
        <w:t xml:space="preserve">use </w:t>
      </w:r>
      <w:r w:rsidR="00590B91" w:rsidRPr="00E32653">
        <w:rPr>
          <w:rFonts w:asciiTheme="majorBidi" w:hAnsiTheme="majorBidi" w:cstheme="majorBidi"/>
        </w:rPr>
        <w:t xml:space="preserve">of wood </w:t>
      </w:r>
      <w:r w:rsidR="007C3B60" w:rsidRPr="00E32653">
        <w:rPr>
          <w:rFonts w:asciiTheme="majorBidi" w:hAnsiTheme="majorBidi" w:cstheme="majorBidi"/>
        </w:rPr>
        <w:t>(</w:t>
      </w:r>
      <w:r w:rsidR="001A1F5C" w:rsidRPr="00E32653">
        <w:rPr>
          <w:rFonts w:asciiTheme="majorBidi" w:hAnsiTheme="majorBidi" w:cstheme="majorBidi"/>
        </w:rPr>
        <w:t xml:space="preserve">and </w:t>
      </w:r>
      <w:r w:rsidRPr="00E32653">
        <w:rPr>
          <w:rFonts w:asciiTheme="majorBidi" w:hAnsiTheme="majorBidi" w:cstheme="majorBidi"/>
        </w:rPr>
        <w:t xml:space="preserve">mass timber </w:t>
      </w:r>
      <w:r w:rsidR="001A1F5C" w:rsidRPr="00E32653">
        <w:rPr>
          <w:rFonts w:asciiTheme="majorBidi" w:hAnsiTheme="majorBidi" w:cstheme="majorBidi"/>
        </w:rPr>
        <w:t>in particular</w:t>
      </w:r>
      <w:r w:rsidR="001B7693" w:rsidRPr="00E32653">
        <w:rPr>
          <w:rFonts w:asciiTheme="majorBidi" w:hAnsiTheme="majorBidi" w:cstheme="majorBidi"/>
        </w:rPr>
        <w:t>)</w:t>
      </w:r>
      <w:r w:rsidR="001642EF" w:rsidRPr="00E32653">
        <w:rPr>
          <w:rFonts w:asciiTheme="majorBidi" w:hAnsiTheme="majorBidi" w:cstheme="majorBidi"/>
        </w:rPr>
        <w:t xml:space="preserve"> </w:t>
      </w:r>
      <w:r w:rsidR="001A1F5C" w:rsidRPr="00E32653">
        <w:rPr>
          <w:rFonts w:asciiTheme="majorBidi" w:hAnsiTheme="majorBidi" w:cstheme="majorBidi"/>
        </w:rPr>
        <w:t xml:space="preserve">has </w:t>
      </w:r>
      <w:r w:rsidR="00587C50" w:rsidRPr="00E32653">
        <w:rPr>
          <w:rFonts w:asciiTheme="majorBidi" w:hAnsiTheme="majorBidi" w:cstheme="majorBidi"/>
        </w:rPr>
        <w:t>bec</w:t>
      </w:r>
      <w:r w:rsidR="000131AB" w:rsidRPr="00E32653">
        <w:rPr>
          <w:rFonts w:asciiTheme="majorBidi" w:hAnsiTheme="majorBidi" w:cstheme="majorBidi"/>
        </w:rPr>
        <w:t>o</w:t>
      </w:r>
      <w:r w:rsidR="00587C50" w:rsidRPr="00E32653">
        <w:rPr>
          <w:rFonts w:asciiTheme="majorBidi" w:hAnsiTheme="majorBidi" w:cstheme="majorBidi"/>
        </w:rPr>
        <w:t>me more prevalent</w:t>
      </w:r>
      <w:r w:rsidR="00587C50" w:rsidRPr="00E32653">
        <w:t xml:space="preserve"> </w:t>
      </w:r>
      <w:r w:rsidR="00590B91" w:rsidRPr="00E32653">
        <w:rPr>
          <w:rFonts w:asciiTheme="majorBidi" w:hAnsiTheme="majorBidi" w:cstheme="majorBidi"/>
        </w:rPr>
        <w:t xml:space="preserve">in </w:t>
      </w:r>
      <w:r w:rsidR="001A1F5C" w:rsidRPr="00E32653">
        <w:rPr>
          <w:rFonts w:asciiTheme="majorBidi" w:hAnsiTheme="majorBidi" w:cstheme="majorBidi"/>
        </w:rPr>
        <w:t xml:space="preserve">the </w:t>
      </w:r>
      <w:r w:rsidR="00590B91" w:rsidRPr="00E32653">
        <w:rPr>
          <w:rFonts w:asciiTheme="majorBidi" w:hAnsiTheme="majorBidi" w:cstheme="majorBidi"/>
        </w:rPr>
        <w:t>construction industry lately</w:t>
      </w:r>
      <w:r w:rsidR="004B12EA" w:rsidRPr="00E32653">
        <w:rPr>
          <w:rFonts w:asciiTheme="majorBidi" w:hAnsiTheme="majorBidi" w:cstheme="majorBidi"/>
        </w:rPr>
        <w:t xml:space="preserve"> </w:t>
      </w:r>
      <w:r w:rsidR="004B12EA" w:rsidRPr="00E32653">
        <w:rPr>
          <w:rFonts w:asciiTheme="majorBidi" w:hAnsiTheme="majorBidi" w:cstheme="majorBidi"/>
        </w:rPr>
        <w:fldChar w:fldCharType="begin" w:fldLock="1"/>
      </w:r>
      <w:r w:rsidR="00B301ED" w:rsidRPr="00E32653">
        <w:rPr>
          <w:rFonts w:asciiTheme="majorBidi" w:hAnsiTheme="majorBidi" w:cstheme="majorBidi"/>
        </w:rPr>
        <w:instrText>ADDIN CSL_CITATION {"citationItems":[{"id":"ITEM-1","itemData":{"DOI":"10.1179/2042645315Y.0000000010","ISSN":"20426453","abstract":"The present paper is the first to conceptually assess the viability of mass timber construction (MTC) as an alternative construction material/method in Australia. It fulfills an identified need to examine an innovative construction process providing much needed information concerning the technologies current position and future disruption to traditional construction methods. A common tool used in business management studies, the PESTEL model, Political, Economic, Social, Technological, Environmental and Legal is employed to provide structure for a strategic analysis of the technology. Mass timber construction clearly demonstrates some advantages including cost savings, primarily in the reduction in on-site labour costs; a lower environmental impact and use of a renewable resource; and possibility of improved amenity and reduced running costs for owners and occupiers. The estimated market potential for MTC in Australia indicates that a local plant might be viable as the market grows, and warrants funding to underpin a full feasibility assessment.","author":[{"dropping-particle":"","family":"Kremer","given":"P. D.","non-dropping-particle":"","parse-names":false,"suffix":""},{"dropping-particle":"","family":"Symmons","given":"M. A.","non-dropping-particle":"","parse-names":false,"suffix":""}],"container-title":"International Wood Products Journal","id":"ITEM-1","issue":"3","issued":{"date-parts":[["2015"]]},"page":"138-147","title":"Mass timber construction as an alternative to concrete and steel in the Australia building industry: A PESTEL evaluation of the potential","type":"article-journal","volume":"6"},"uris":["http://www.mendeley.com/documents/?uuid=9f6f38cd-d92a-4e8b-bb4d-e44a05e6abb0"]}],"mendeley":{"formattedCitation":"(Kremer &amp; Symmons, 2015)","plainTextFormattedCitation":"(Kremer &amp; Symmons, 2015)","previouslyFormattedCitation":"(Kremer &amp; Symmons, 2015)"},"properties":{"noteIndex":0},"schema":"https://github.com/citation-style-language/schema/raw/master/csl-citation.json"}</w:instrText>
      </w:r>
      <w:r w:rsidR="004B12EA" w:rsidRPr="00E32653">
        <w:rPr>
          <w:rFonts w:asciiTheme="majorBidi" w:hAnsiTheme="majorBidi" w:cstheme="majorBidi"/>
        </w:rPr>
        <w:fldChar w:fldCharType="separate"/>
      </w:r>
      <w:r w:rsidR="004B12EA" w:rsidRPr="00E32653">
        <w:rPr>
          <w:rFonts w:asciiTheme="majorBidi" w:hAnsiTheme="majorBidi" w:cstheme="majorBidi"/>
          <w:noProof/>
        </w:rPr>
        <w:t>(Kremer &amp; Symmons, 2015)</w:t>
      </w:r>
      <w:r w:rsidR="004B12EA" w:rsidRPr="00E32653">
        <w:rPr>
          <w:rFonts w:asciiTheme="majorBidi" w:hAnsiTheme="majorBidi" w:cstheme="majorBidi"/>
        </w:rPr>
        <w:fldChar w:fldCharType="end"/>
      </w:r>
      <w:r w:rsidR="00590B91" w:rsidRPr="00E32653">
        <w:rPr>
          <w:rFonts w:asciiTheme="majorBidi" w:hAnsiTheme="majorBidi" w:cstheme="majorBidi"/>
        </w:rPr>
        <w:t xml:space="preserve">. </w:t>
      </w:r>
      <w:r w:rsidR="003A225B" w:rsidRPr="00E32653">
        <w:rPr>
          <w:rFonts w:asciiTheme="majorBidi" w:hAnsiTheme="majorBidi" w:cstheme="majorBidi"/>
        </w:rPr>
        <w:t>Th</w:t>
      </w:r>
      <w:r w:rsidR="001642EF" w:rsidRPr="00E32653">
        <w:rPr>
          <w:rFonts w:asciiTheme="majorBidi" w:hAnsiTheme="majorBidi" w:cstheme="majorBidi"/>
        </w:rPr>
        <w:t>is</w:t>
      </w:r>
      <w:r w:rsidR="003A225B" w:rsidRPr="00E32653">
        <w:rPr>
          <w:rFonts w:asciiTheme="majorBidi" w:hAnsiTheme="majorBidi" w:cstheme="majorBidi"/>
        </w:rPr>
        <w:t xml:space="preserve"> ha</w:t>
      </w:r>
      <w:r w:rsidR="001642EF" w:rsidRPr="00E32653">
        <w:rPr>
          <w:rFonts w:asciiTheme="majorBidi" w:hAnsiTheme="majorBidi" w:cstheme="majorBidi"/>
        </w:rPr>
        <w:t>s</w:t>
      </w:r>
      <w:r w:rsidR="003A225B" w:rsidRPr="00E32653">
        <w:rPr>
          <w:rFonts w:asciiTheme="majorBidi" w:hAnsiTheme="majorBidi" w:cstheme="majorBidi"/>
        </w:rPr>
        <w:t xml:space="preserve"> encouraged architects </w:t>
      </w:r>
      <w:r w:rsidR="00CE2886" w:rsidRPr="00E32653">
        <w:rPr>
          <w:rFonts w:asciiTheme="majorBidi" w:hAnsiTheme="majorBidi" w:cstheme="majorBidi"/>
        </w:rPr>
        <w:t xml:space="preserve">and engineers </w:t>
      </w:r>
      <w:r w:rsidR="003A225B" w:rsidRPr="00E32653">
        <w:rPr>
          <w:rFonts w:asciiTheme="majorBidi" w:hAnsiTheme="majorBidi" w:cstheme="majorBidi"/>
        </w:rPr>
        <w:t xml:space="preserve">to specify wood </w:t>
      </w:r>
      <w:r w:rsidR="003A225B" w:rsidRPr="00E32653">
        <w:rPr>
          <w:rFonts w:asciiTheme="majorBidi" w:hAnsiTheme="majorBidi" w:cstheme="majorBidi"/>
        </w:rPr>
        <w:fldChar w:fldCharType="begin" w:fldLock="1"/>
      </w:r>
      <w:r w:rsidR="003A225B" w:rsidRPr="00E32653">
        <w:rPr>
          <w:rFonts w:asciiTheme="majorBidi" w:hAnsiTheme="majorBidi" w:cstheme="majorBidi"/>
        </w:rPr>
        <w:instrText>ADDIN CSL_CITATION {"citationItems":[{"id":"ITEM-1","itemData":{"DOI":"10.1016/j.jobe.2018.07.006","ISSN":"23527102","abstract":"The impact of different hybrid timber building construction on three different categories namely: environment, economic and social is analyzed in this research. Five types of hybrid timber structure have been chosen in this study toward finding the most optimum choice for Malaysian low income housing. The base material of all case studies are wood and only main frame of structures are different. The environmental impact of each individual design encompasses material extraction, transportation, construction, maintenance and end-of-life phases. The life cycle aspect of current research is evaluated for global warming potential (GWP), human-toxicity potential (HTP), eutrophication (EP), fossil depletion (FDP), acidification (AP), life cycle cost (LCC) and social life cycle assessment (SLCA). The result revealed the different emissions between various structural schemes in all stages. Decision making process was oriented to sustainability as the hybrid steel stud &amp; timber (T2) generally performed better than timber structure with concrete, LVL or GLT with steel. Particularly, T2 had the lowest GWP (3.31E+3 kg-CO2-eq) and LCC (212,750 MYR) which was the lowest in comparison with other hybrid timber structures. Also the result of job creation revealed that timber sector will provide higher wage not only for existing employees but for timber sector regarding creating higher job possibility. The sensitivity analysis was accomplished on electricity usage and assumed instead of full fossil fuel mix electricity applied for acquiring construction material on mill. The result shows almost 15–30% less GWP emission for all building structure.","author":[{"dropping-particle":"","family":"Balasbaneh","given":"Ali Tighnavard","non-dropping-particle":"","parse-names":false,"suffix":""},{"dropping-particle":"Bin","family":"Marsono","given":"Abdul Kadir","non-dropping-particle":"","parse-names":false,"suffix":""},{"dropping-particle":"","family":"Khaleghi","given":"Seyed Jalal","non-dropping-particle":"","parse-names":false,"suffix":""}],"container-title":"Journal of Building Engineering","id":"ITEM-1","issue":"February","issued":{"date-parts":[["2018"]]},"page":"235-247","publisher":"Elsevier Ltd","title":"Sustainability choice of different hybrid timber structure for low medium cost single-story residential building: Environmental, economic and social assessment","type":"article-journal","volume":"20"},"uris":["http://www.mendeley.com/documents/?uuid=a947dcb9-dbec-4ccd-9ab1-1d2b20f7a8bf"]},{"id":"ITEM-2","itemData":{"DOI":"10.2749/101686608784218635","ISSN":"10168664","abstract":"This paper describes recent research and development of a new system for multi-storey prestressed timber buildings in New Zealand. The new system gives opportunities for much greater use of timber and engineered wood products in large buildings, using innovative technologies for creating high-quality buildings with large open spaces, excellent living and working environments, and resistance to hazards such as earthquakes, fires and extreme weather events.","author":[{"dropping-particle":"","family":"Buchanan","given":"Andy","non-dropping-particle":"","parse-names":false,"suffix":""},{"dropping-particle":"","family":"Deam","given":"Bruce","non-dropping-particle":"","parse-names":false,"suffix":""},{"dropping-particle":"","family":"Fragiacomo","given":"Massimo","non-dropping-particle":"","parse-names":false,"suffix":""},{"dropping-particle":"","family":"Pampanin","given":"Stefano","non-dropping-particle":"","parse-names":false,"suffix":""},{"dropping-particle":"","family":"Palermo","given":"Alessandro","non-dropping-particle":"","parse-names":false,"suffix":""}],"container-title":"Structural Engineering International: Journal of the International Association for Bridge and Structural Engineering (IABSE)","id":"ITEM-2","issue":"2","issued":{"date-parts":[["2008"]]},"page":"166-173","title":"Multi-storey prestressed timber buildings in New Zealand","type":"article-journal","volume":"18"},"uris":["http://www.mendeley.com/documents/?uuid=ef15c8f4-7a34-4050-91e8-afe2498efa94"]},{"id":"ITEM-3","itemData":{"DOI":"10.1016/j.resconrec.2012.09.001","ISSN":"09213449","abstract":"Over half of the global raw materials are consumed in the construction of buildings and roads, their associated greenhouse gas emissions from excavation to final disposal are pivotal to the change in global climate. Hemp is a natural resource that has recently been used as a low environmental impact material in a number of composite products. In buildings, it is increasingly used with a lime base binder in wall constructions. There are limited data available to evaluate the environmental impact of this type of construction in the UK. This research aims to identify the processes and materials involved in the construction of hemp-lime walls and to establish their life cycle impact on climate change. The study follows assessment procedures and guidelines of international (ISO14040) and UK (PAS2050) standards. The functional unit defined for the hemp-lime wall construction is 1 m square in area, 300 mm thick with timber frame support inside. Primary data were collected for processes and materials that have no existing information. Other processes with impact data available from credible database were adapted in the assessment by taking into account the conditions and practice in the UK. Assessment was carried out using the SimaPro LCA tool over a lifetime of 100 years. Within the boundary and assumptions made, results showed the functional unit could sequestrate 82.7 kg of carbon dioxide with a net life cycle reduction of greenhouse gas emission of 36.08 kg CO2e.Crown Copyright © 2012 Published by Elsevier B.V. All rights reserved.","author":[{"dropping-particle":"","family":"Ip","given":"Kenneth","non-dropping-particle":"","parse-names":false,"suffix":""},{"dropping-particle":"","family":"Miller","given":"Andrew","non-dropping-particle":"","parse-names":false,"suffix":""}],"container-title":"Resources, Conservation and Recycling","id":"ITEM-3","issued":{"date-parts":[["2012"]]},"page":"1-9","publisher":"Elsevier B.V.","title":"Life cycle greenhouse gas emissions of hemp-lime wall constructions in the UK","type":"article-journal","volume":"69"},"uris":["http://www.mendeley.com/documents/?uuid=9eba0495-edd1-4157-ac2b-c89700bb01a5"]}],"mendeley":{"formattedCitation":"(Ali Tighnavard Balasbaneh, Marsono, et al., 2018; Buchanan et al., 2008; Ip &amp; Miller, 2012)","manualFormatting":"(Balasbaneh et al., 2018a; Buchanan et al., 2008; Ip &amp; Miller, 2012)","plainTextFormattedCitation":"(Ali Tighnavard Balasbaneh, Marsono, et al., 2018; Buchanan et al., 2008; Ip &amp; Miller, 2012)","previouslyFormattedCitation":"(Ali Tighnavard Balasbaneh, Marsono, et al., 2018; Buchanan et al., 2008; Ip &amp; Miller, 2012)"},"properties":{"noteIndex":0},"schema":"https://github.com/citation-style-language/schema/raw/master/csl-citation.json"}</w:instrText>
      </w:r>
      <w:r w:rsidR="003A225B" w:rsidRPr="00E32653">
        <w:rPr>
          <w:rFonts w:asciiTheme="majorBidi" w:hAnsiTheme="majorBidi" w:cstheme="majorBidi"/>
        </w:rPr>
        <w:fldChar w:fldCharType="separate"/>
      </w:r>
      <w:r w:rsidR="003A225B" w:rsidRPr="00E32653">
        <w:rPr>
          <w:rFonts w:asciiTheme="majorBidi" w:hAnsiTheme="majorBidi" w:cstheme="majorBidi"/>
          <w:noProof/>
        </w:rPr>
        <w:t>(Balasbaneh et al., 2018a; Buchanan et al., 2008; Ip &amp; Miller, 2012)</w:t>
      </w:r>
      <w:r w:rsidR="003A225B" w:rsidRPr="00E32653">
        <w:rPr>
          <w:rFonts w:asciiTheme="majorBidi" w:hAnsiTheme="majorBidi" w:cstheme="majorBidi"/>
        </w:rPr>
        <w:fldChar w:fldCharType="end"/>
      </w:r>
      <w:r w:rsidR="003A225B" w:rsidRPr="00E32653">
        <w:rPr>
          <w:rFonts w:asciiTheme="majorBidi" w:hAnsiTheme="majorBidi" w:cstheme="majorBidi"/>
        </w:rPr>
        <w:t>.</w:t>
      </w:r>
      <w:r w:rsidR="00563F5D" w:rsidRPr="00E32653">
        <w:rPr>
          <w:rFonts w:asciiTheme="majorBidi" w:hAnsiTheme="majorBidi" w:cstheme="majorBidi"/>
        </w:rPr>
        <w:t xml:space="preserve"> </w:t>
      </w:r>
      <w:r w:rsidR="003C17BC" w:rsidRPr="00E32653">
        <w:rPr>
          <w:rFonts w:asciiTheme="majorBidi" w:hAnsiTheme="majorBidi" w:cstheme="majorBidi"/>
        </w:rPr>
        <w:t xml:space="preserve">Using </w:t>
      </w:r>
      <w:r w:rsidRPr="00E32653">
        <w:rPr>
          <w:rFonts w:asciiTheme="majorBidi" w:hAnsiTheme="majorBidi" w:cstheme="majorBidi"/>
        </w:rPr>
        <w:t xml:space="preserve">mass timber </w:t>
      </w:r>
      <w:r w:rsidR="001642EF" w:rsidRPr="00E32653">
        <w:rPr>
          <w:rFonts w:asciiTheme="majorBidi" w:hAnsiTheme="majorBidi" w:cstheme="majorBidi"/>
        </w:rPr>
        <w:t xml:space="preserve">products </w:t>
      </w:r>
      <w:r w:rsidR="003C17BC" w:rsidRPr="00E32653">
        <w:rPr>
          <w:rFonts w:asciiTheme="majorBidi" w:hAnsiTheme="majorBidi" w:cstheme="majorBidi"/>
        </w:rPr>
        <w:t>such as GLT and LVL has gain</w:t>
      </w:r>
      <w:r w:rsidR="000131AB" w:rsidRPr="00E32653">
        <w:rPr>
          <w:rFonts w:asciiTheme="majorBidi" w:hAnsiTheme="majorBidi" w:cstheme="majorBidi"/>
        </w:rPr>
        <w:t>ed</w:t>
      </w:r>
      <w:r w:rsidR="003C17BC" w:rsidRPr="00E32653">
        <w:rPr>
          <w:rFonts w:asciiTheme="majorBidi" w:hAnsiTheme="majorBidi" w:cstheme="majorBidi"/>
        </w:rPr>
        <w:t xml:space="preserve"> popularity in recent years</w:t>
      </w:r>
      <w:r w:rsidR="00075E97" w:rsidRPr="00E32653">
        <w:rPr>
          <w:rFonts w:asciiTheme="majorBidi" w:hAnsiTheme="majorBidi" w:cstheme="majorBidi"/>
        </w:rPr>
        <w:t xml:space="preserve"> around the world</w:t>
      </w:r>
      <w:r w:rsidR="003C17BC" w:rsidRPr="00E32653">
        <w:rPr>
          <w:rFonts w:asciiTheme="majorBidi" w:hAnsiTheme="majorBidi" w:cstheme="majorBidi"/>
        </w:rPr>
        <w:t xml:space="preserve">. In 2018, </w:t>
      </w:r>
      <w:r w:rsidR="001642EF" w:rsidRPr="00E32653">
        <w:rPr>
          <w:rFonts w:asciiTheme="majorBidi" w:hAnsiTheme="majorBidi" w:cstheme="majorBidi"/>
        </w:rPr>
        <w:t xml:space="preserve">the </w:t>
      </w:r>
      <w:r w:rsidR="003C17BC" w:rsidRPr="00E32653">
        <w:rPr>
          <w:rFonts w:asciiTheme="majorBidi" w:hAnsiTheme="majorBidi" w:cstheme="majorBidi"/>
        </w:rPr>
        <w:t>Washington State Building Council approved a wooden building 18 stories</w:t>
      </w:r>
      <w:r w:rsidR="001642EF" w:rsidRPr="00E32653">
        <w:rPr>
          <w:rFonts w:asciiTheme="majorBidi" w:hAnsiTheme="majorBidi" w:cstheme="majorBidi"/>
        </w:rPr>
        <w:t xml:space="preserve"> tall</w:t>
      </w:r>
      <w:r w:rsidR="003C17BC" w:rsidRPr="00E32653">
        <w:rPr>
          <w:rFonts w:asciiTheme="majorBidi" w:hAnsiTheme="majorBidi" w:cstheme="majorBidi"/>
        </w:rPr>
        <w:t xml:space="preserve"> (Forterra, 2018).</w:t>
      </w:r>
    </w:p>
    <w:p w14:paraId="36705EF3" w14:textId="3AC4A5F5" w:rsidR="00B301ED" w:rsidRPr="00E32653" w:rsidRDefault="00F9244E" w:rsidP="00DD0283">
      <w:pPr>
        <w:spacing w:line="276" w:lineRule="auto"/>
        <w:ind w:firstLine="720"/>
        <w:jc w:val="both"/>
        <w:rPr>
          <w:rFonts w:asciiTheme="majorBidi" w:hAnsiTheme="majorBidi" w:cstheme="majorBidi"/>
        </w:rPr>
      </w:pPr>
      <w:r w:rsidRPr="00E32653">
        <w:rPr>
          <w:rFonts w:asciiTheme="majorBidi" w:hAnsiTheme="majorBidi" w:cstheme="majorBidi"/>
        </w:rPr>
        <w:t>L</w:t>
      </w:r>
      <w:r w:rsidR="009E15E3" w:rsidRPr="00E32653">
        <w:rPr>
          <w:rFonts w:asciiTheme="majorBidi" w:hAnsiTheme="majorBidi" w:cstheme="majorBidi"/>
        </w:rPr>
        <w:t xml:space="preserve">iterature </w:t>
      </w:r>
      <w:r w:rsidRPr="00E32653">
        <w:rPr>
          <w:rFonts w:asciiTheme="majorBidi" w:hAnsiTheme="majorBidi" w:cstheme="majorBidi"/>
        </w:rPr>
        <w:t xml:space="preserve">on </w:t>
      </w:r>
      <w:r w:rsidR="009E15E3" w:rsidRPr="00E32653">
        <w:rPr>
          <w:rFonts w:asciiTheme="majorBidi" w:hAnsiTheme="majorBidi" w:cstheme="majorBidi"/>
        </w:rPr>
        <w:t xml:space="preserve">wood </w:t>
      </w:r>
      <w:r w:rsidR="00237BB7" w:rsidRPr="00E32653">
        <w:rPr>
          <w:rFonts w:asciiTheme="majorBidi" w:hAnsiTheme="majorBidi" w:cstheme="majorBidi"/>
        </w:rPr>
        <w:t xml:space="preserve">and </w:t>
      </w:r>
      <w:r w:rsidR="009E15E3" w:rsidRPr="00E32653">
        <w:rPr>
          <w:rFonts w:asciiTheme="majorBidi" w:hAnsiTheme="majorBidi" w:cstheme="majorBidi"/>
        </w:rPr>
        <w:t>concrete or steel as alternative structur</w:t>
      </w:r>
      <w:r w:rsidRPr="00E32653">
        <w:rPr>
          <w:rFonts w:asciiTheme="majorBidi" w:hAnsiTheme="majorBidi" w:cstheme="majorBidi"/>
        </w:rPr>
        <w:t>al</w:t>
      </w:r>
      <w:r w:rsidR="009E15E3" w:rsidRPr="00E32653">
        <w:rPr>
          <w:rFonts w:asciiTheme="majorBidi" w:hAnsiTheme="majorBidi" w:cstheme="majorBidi"/>
        </w:rPr>
        <w:t xml:space="preserve"> material</w:t>
      </w:r>
      <w:r w:rsidRPr="00E32653">
        <w:rPr>
          <w:rFonts w:asciiTheme="majorBidi" w:hAnsiTheme="majorBidi" w:cstheme="majorBidi"/>
        </w:rPr>
        <w:t>s is available</w:t>
      </w:r>
      <w:r w:rsidR="009E15E3" w:rsidRPr="00E32653">
        <w:rPr>
          <w:rFonts w:asciiTheme="majorBidi" w:hAnsiTheme="majorBidi" w:cstheme="majorBidi"/>
        </w:rPr>
        <w:t xml:space="preserve">  </w:t>
      </w:r>
      <w:r w:rsidR="00B47376" w:rsidRPr="00E32653">
        <w:rPr>
          <w:rFonts w:asciiTheme="majorBidi" w:hAnsiTheme="majorBidi" w:cstheme="majorBidi"/>
        </w:rPr>
        <w:fldChar w:fldCharType="begin" w:fldLock="1"/>
      </w:r>
      <w:r w:rsidR="00B47376" w:rsidRPr="00E32653">
        <w:rPr>
          <w:rFonts w:asciiTheme="majorBidi" w:hAnsiTheme="majorBidi" w:cstheme="majorBidi"/>
        </w:rPr>
        <w:instrText>ADDIN CSL_CITATION {"citationItems":[{"id":"ITEM-1","itemData":{"DOI":"10.1108/CI-03-2017-0024","ISSN":"14770857","abstract":"Purpose: The purpose of this study is to describe life cycle cost (LCC) and life cycle assessment (LCA) evaluation for single story building house in Malaysia. Two objective functions, namely, LCA and LCC, were evaluated for each design and a total of 20 alternatives were analyzed. Two wall schemes that have been adopted from two different recent studies toward mitigation of climate change require clarification in both life cycle objectives. Design/methodology/approach: For this strategic life cycle assessment, Simapro 8.3 tool has been chosen over a 50-year life span. LCC analysis was also used to determine not only the most energy-efficient strategy, but also the most economically feasible one. A present value (PV)-based economic analysis takes LCC into account. Findings: The results will appear in present value and LC carbon footprint saving, both individually and in combination with each other. Result of life cycle management shows that timber wall−wooden post and beam covered by steel stud (W5) and wood truss with concrete roof tiles (R1) released less carbon emission to atmosphere and have lower life cycle cost over their life span. W5R1 releases 35 per cent less CO2 emission than the second best choice and costs 25 per cent less. Originality/value: The indicator assessed was global warming, and as the focus was on GHG emissions, the focus of this study was mainly in the context of Malaysian construction, although the principles apply universally. The result would support the adoption of sustainable building for building sector.","author":[{"dropping-particle":"","family":"Balasbaneh","given":"Ali Tighnavard","non-dropping-particle":"","parse-names":false,"suffix":""},{"dropping-particle":"","family":"Marsono","given":"Abdul Kadir","non-dropping-particle":"Bin","parse-names":false,"suffix":""},{"dropping-particle":"","family":"Kasra Kermanshahi","given":"Emad","non-dropping-particle":"","parse-names":false,"suffix":""}],"container-title":"Construction Innovation","id":"ITEM-1","issue":"3","issued":{"date-parts":[["2018"]]},"page":"274-300","title":"Balancing of life cycle carbon and cost appraisal on alternative wall and roof design verification for residential building","type":"article-journal","volume":"18"},"uris":["http://www.mendeley.com/documents/?uuid=62f6c397-f667-4a24-bf46-3a7686a24532"]}],"mendeley":{"formattedCitation":"(Ali Tighnavard Balasbaneh, Bin Marsono, et al., 2018)","manualFormatting":"(Balasbaneh et al., 2018b)","plainTextFormattedCitation":"(Ali Tighnavard Balasbaneh, Bin Marsono, et al., 2018)","previouslyFormattedCitation":"(Ali Tighnavard Balasbaneh, Bin Marsono, et al., 2018)"},"properties":{"noteIndex":0},"schema":"https://github.com/citation-style-language/schema/raw/master/csl-citation.json"}</w:instrText>
      </w:r>
      <w:r w:rsidR="00B47376" w:rsidRPr="00E32653">
        <w:rPr>
          <w:rFonts w:asciiTheme="majorBidi" w:hAnsiTheme="majorBidi" w:cstheme="majorBidi"/>
        </w:rPr>
        <w:fldChar w:fldCharType="separate"/>
      </w:r>
      <w:r w:rsidR="00B47376" w:rsidRPr="00E32653">
        <w:rPr>
          <w:rFonts w:asciiTheme="majorBidi" w:hAnsiTheme="majorBidi" w:cstheme="majorBidi"/>
          <w:noProof/>
        </w:rPr>
        <w:t>(Balasbaneh et al., 2018b)</w:t>
      </w:r>
      <w:r w:rsidR="00B47376" w:rsidRPr="00E32653">
        <w:rPr>
          <w:rFonts w:asciiTheme="majorBidi" w:hAnsiTheme="majorBidi" w:cstheme="majorBidi"/>
        </w:rPr>
        <w:fldChar w:fldCharType="end"/>
      </w:r>
      <w:r w:rsidR="00B47376" w:rsidRPr="00E32653">
        <w:rPr>
          <w:rFonts w:asciiTheme="majorBidi" w:hAnsiTheme="majorBidi" w:cstheme="majorBidi"/>
        </w:rPr>
        <w:t xml:space="preserve">. For example, </w:t>
      </w:r>
      <w:r w:rsidR="00B47376" w:rsidRPr="00E32653">
        <w:rPr>
          <w:rFonts w:asciiTheme="majorBidi" w:hAnsiTheme="majorBidi" w:cstheme="majorBidi"/>
        </w:rPr>
        <w:fldChar w:fldCharType="begin" w:fldLock="1"/>
      </w:r>
      <w:r w:rsidR="00E6313B" w:rsidRPr="00E32653">
        <w:rPr>
          <w:rFonts w:asciiTheme="majorBidi" w:hAnsiTheme="majorBidi" w:cstheme="majorBidi"/>
        </w:rPr>
        <w:instrText>ADDIN CSL_CITATION {"citationItems":[{"id":"ITEM-1","itemData":{"DOI":"10.1080/19397038.2017.1293184","ISSN":"19397046","abstract":"© 2017 Informa UK Limited, trading as Taylor  &amp;  Francis Group. The building sector has been regarded as a potential sector where there is large capacity to reduce the climate change effect. This study has proposed solutions to mitigate environmental impacts and achieve low CO 2  emission from residential sector. Therefore, full life cycle assessment (LCA) has been run to assess the CO 2  emission and its effect on the atmosphere and climate change. Based on the result, timber scheme is the best choice due to releasing less CO 2  emissions to the atmosphere. However, house builders in Malaysia have almost completely neglected timber as a building material, with timber use as building components reduced to 5%. In this study, LCA Software was used to assess CO 2  emissions from different wall construction. The alternative building scheme has been made by reinforce steel stud, wooden beam and timber wall (S8) to improve the scheme deficiency while releasing less CO 2  emissions compared to other schemes. Therefore, S8 has a decreased CO 2  effect by 85% less than precast concrete frame and 90% less than brick over their lifetime. (S8) increased the load bearing compared to conventional timber beam. Thus, new scheme S8 could be replaced by current scheme and promote more adjustable scheme for Malaysian housing.","author":[{"dropping-particle":"","family":"Balasbaneh","given":"A.T.","non-dropping-particle":"","parse-names":false,"suffix":""},{"dropping-particle":"","family":"Marsono","given":"A.K.","non-dropping-particle":"Bin","parse-names":false,"suffix":""}],"container-title":"International Journal of Sustainable Engineering","id":"ITEM-1","issue":"3","issued":{"date-parts":[["2017"]]},"title":"Proposing of new building scheme and composite towards global warming mitigation for Malaysia","type":"article-journal","volume":"10"},"uris":["http://www.mendeley.com/documents/?uuid=ef0db07c-684c-3bcc-9876-309942bf20ea"]}],"mendeley":{"formattedCitation":"(A.T. Balasbaneh &amp; Bin Marsono, 2017a)","manualFormatting":"Balasbaneh et al., (2017)","plainTextFormattedCitation":"(A.T. Balasbaneh &amp; Bin Marsono, 2017a)","previouslyFormattedCitation":"(A.T. Balasbaneh &amp; Bin Marsono, 2017a)"},"properties":{"noteIndex":0},"schema":"https://github.com/citation-style-language/schema/raw/master/csl-citation.json"}</w:instrText>
      </w:r>
      <w:r w:rsidR="00B47376" w:rsidRPr="00E32653">
        <w:rPr>
          <w:rFonts w:asciiTheme="majorBidi" w:hAnsiTheme="majorBidi" w:cstheme="majorBidi"/>
        </w:rPr>
        <w:fldChar w:fldCharType="separate"/>
      </w:r>
      <w:r w:rsidR="00B47376" w:rsidRPr="00E32653">
        <w:rPr>
          <w:rFonts w:asciiTheme="majorBidi" w:hAnsiTheme="majorBidi" w:cstheme="majorBidi"/>
          <w:noProof/>
        </w:rPr>
        <w:t xml:space="preserve">Balasbaneh et al., </w:t>
      </w:r>
      <w:r w:rsidR="009E15E3" w:rsidRPr="00E32653">
        <w:rPr>
          <w:rFonts w:asciiTheme="majorBidi" w:hAnsiTheme="majorBidi" w:cstheme="majorBidi"/>
          <w:noProof/>
        </w:rPr>
        <w:t>(</w:t>
      </w:r>
      <w:r w:rsidR="00B47376" w:rsidRPr="00E32653">
        <w:rPr>
          <w:rFonts w:asciiTheme="majorBidi" w:hAnsiTheme="majorBidi" w:cstheme="majorBidi"/>
          <w:noProof/>
        </w:rPr>
        <w:t>2017</w:t>
      </w:r>
      <w:r w:rsidR="001937C7" w:rsidRPr="00E32653">
        <w:rPr>
          <w:rFonts w:asciiTheme="majorBidi" w:hAnsiTheme="majorBidi" w:cstheme="majorBidi"/>
          <w:noProof/>
        </w:rPr>
        <w:t>a</w:t>
      </w:r>
      <w:r w:rsidR="00B47376" w:rsidRPr="00E32653">
        <w:rPr>
          <w:rFonts w:asciiTheme="majorBidi" w:hAnsiTheme="majorBidi" w:cstheme="majorBidi"/>
          <w:noProof/>
        </w:rPr>
        <w:t>)</w:t>
      </w:r>
      <w:r w:rsidR="00B47376" w:rsidRPr="00E32653">
        <w:rPr>
          <w:rFonts w:asciiTheme="majorBidi" w:hAnsiTheme="majorBidi" w:cstheme="majorBidi"/>
        </w:rPr>
        <w:fldChar w:fldCharType="end"/>
      </w:r>
      <w:r w:rsidR="00B47376" w:rsidRPr="00E32653">
        <w:rPr>
          <w:rFonts w:asciiTheme="majorBidi" w:hAnsiTheme="majorBidi" w:cstheme="majorBidi"/>
        </w:rPr>
        <w:t xml:space="preserve"> assessed five </w:t>
      </w:r>
      <w:r w:rsidR="009E15E3" w:rsidRPr="00E32653">
        <w:rPr>
          <w:rFonts w:asciiTheme="majorBidi" w:hAnsiTheme="majorBidi" w:cstheme="majorBidi"/>
        </w:rPr>
        <w:t xml:space="preserve">different </w:t>
      </w:r>
      <w:r w:rsidR="00B47376" w:rsidRPr="00E32653">
        <w:rPr>
          <w:rFonts w:asciiTheme="majorBidi" w:hAnsiTheme="majorBidi" w:cstheme="majorBidi"/>
        </w:rPr>
        <w:t xml:space="preserve">types of hybrid </w:t>
      </w:r>
      <w:r w:rsidR="00F82C15" w:rsidRPr="00E32653">
        <w:rPr>
          <w:rFonts w:asciiTheme="majorBidi" w:hAnsiTheme="majorBidi" w:cstheme="majorBidi"/>
        </w:rPr>
        <w:t>wood</w:t>
      </w:r>
      <w:r w:rsidR="00B47376" w:rsidRPr="00E32653">
        <w:rPr>
          <w:rFonts w:asciiTheme="majorBidi" w:hAnsiTheme="majorBidi" w:cstheme="majorBidi"/>
        </w:rPr>
        <w:t xml:space="preserve"> </w:t>
      </w:r>
      <w:r w:rsidR="00B47376" w:rsidRPr="00E32653">
        <w:rPr>
          <w:rFonts w:asciiTheme="majorBidi" w:hAnsiTheme="majorBidi" w:cstheme="majorBidi"/>
        </w:rPr>
        <w:lastRenderedPageBreak/>
        <w:t>structure</w:t>
      </w:r>
      <w:r w:rsidRPr="00E32653">
        <w:rPr>
          <w:rFonts w:asciiTheme="majorBidi" w:hAnsiTheme="majorBidi" w:cstheme="majorBidi"/>
        </w:rPr>
        <w:t>s. T</w:t>
      </w:r>
      <w:r w:rsidR="009E15E3" w:rsidRPr="00E32653">
        <w:rPr>
          <w:rFonts w:asciiTheme="majorBidi" w:hAnsiTheme="majorBidi" w:cstheme="majorBidi"/>
        </w:rPr>
        <w:t>he</w:t>
      </w:r>
      <w:r w:rsidR="00237BB7" w:rsidRPr="00E32653">
        <w:rPr>
          <w:rFonts w:asciiTheme="majorBidi" w:hAnsiTheme="majorBidi" w:cstheme="majorBidi"/>
        </w:rPr>
        <w:t>y showed</w:t>
      </w:r>
      <w:r w:rsidR="0010206F" w:rsidRPr="00E32653">
        <w:rPr>
          <w:rFonts w:asciiTheme="majorBidi" w:hAnsiTheme="majorBidi" w:cstheme="majorBidi"/>
        </w:rPr>
        <w:t xml:space="preserve"> that</w:t>
      </w:r>
      <w:r w:rsidR="00DD29FD" w:rsidRPr="00E32653">
        <w:rPr>
          <w:rFonts w:asciiTheme="majorBidi" w:hAnsiTheme="majorBidi" w:cstheme="majorBidi"/>
        </w:rPr>
        <w:t xml:space="preserve"> steel stud</w:t>
      </w:r>
      <w:r w:rsidR="009E15E3" w:rsidRPr="00E32653">
        <w:rPr>
          <w:rFonts w:asciiTheme="majorBidi" w:hAnsiTheme="majorBidi" w:cstheme="majorBidi"/>
        </w:rPr>
        <w:t xml:space="preserve"> </w:t>
      </w:r>
      <w:r w:rsidRPr="00E32653">
        <w:rPr>
          <w:rFonts w:asciiTheme="majorBidi" w:hAnsiTheme="majorBidi" w:cstheme="majorBidi"/>
        </w:rPr>
        <w:t xml:space="preserve">and </w:t>
      </w:r>
      <w:r w:rsidR="00F82C15" w:rsidRPr="00E32653">
        <w:rPr>
          <w:rFonts w:asciiTheme="majorBidi" w:hAnsiTheme="majorBidi" w:cstheme="majorBidi"/>
        </w:rPr>
        <w:t>wood</w:t>
      </w:r>
      <w:r w:rsidR="00B47376" w:rsidRPr="00E32653">
        <w:rPr>
          <w:rFonts w:asciiTheme="majorBidi" w:hAnsiTheme="majorBidi" w:cstheme="majorBidi"/>
        </w:rPr>
        <w:t xml:space="preserve"> </w:t>
      </w:r>
      <w:r w:rsidR="0010206F" w:rsidRPr="00E32653">
        <w:rPr>
          <w:rFonts w:asciiTheme="majorBidi" w:hAnsiTheme="majorBidi" w:cstheme="majorBidi"/>
        </w:rPr>
        <w:t xml:space="preserve">presented </w:t>
      </w:r>
      <w:r w:rsidR="00237BB7" w:rsidRPr="00E32653">
        <w:rPr>
          <w:rFonts w:asciiTheme="majorBidi" w:hAnsiTheme="majorBidi" w:cstheme="majorBidi"/>
        </w:rPr>
        <w:t xml:space="preserve">the </w:t>
      </w:r>
      <w:r w:rsidR="00B47376" w:rsidRPr="00E32653">
        <w:rPr>
          <w:rFonts w:asciiTheme="majorBidi" w:hAnsiTheme="majorBidi" w:cstheme="majorBidi"/>
        </w:rPr>
        <w:t>lowest CO</w:t>
      </w:r>
      <w:r w:rsidR="00B47376" w:rsidRPr="00E32653">
        <w:rPr>
          <w:rFonts w:asciiTheme="majorBidi" w:hAnsiTheme="majorBidi" w:cstheme="majorBidi"/>
          <w:vertAlign w:val="subscript"/>
        </w:rPr>
        <w:t>2</w:t>
      </w:r>
      <w:r w:rsidR="00B47376" w:rsidRPr="00E32653">
        <w:rPr>
          <w:rFonts w:asciiTheme="majorBidi" w:hAnsiTheme="majorBidi" w:cstheme="majorBidi"/>
        </w:rPr>
        <w:t xml:space="preserve"> emission</w:t>
      </w:r>
      <w:r w:rsidRPr="00E32653">
        <w:rPr>
          <w:rFonts w:asciiTheme="majorBidi" w:hAnsiTheme="majorBidi" w:cstheme="majorBidi"/>
        </w:rPr>
        <w:t>s</w:t>
      </w:r>
      <w:r w:rsidR="00B47376" w:rsidRPr="00E32653">
        <w:rPr>
          <w:rFonts w:asciiTheme="majorBidi" w:hAnsiTheme="majorBidi" w:cstheme="majorBidi"/>
        </w:rPr>
        <w:t>.</w:t>
      </w:r>
      <w:r w:rsidR="001A1832" w:rsidRPr="00E32653">
        <w:rPr>
          <w:rFonts w:asciiTheme="majorBidi" w:hAnsiTheme="majorBidi" w:cstheme="majorBidi"/>
        </w:rPr>
        <w:t xml:space="preserve"> </w:t>
      </w:r>
      <w:r w:rsidR="009E15E3" w:rsidRPr="00E32653">
        <w:rPr>
          <w:rFonts w:asciiTheme="majorBidi" w:hAnsiTheme="majorBidi" w:cstheme="majorBidi"/>
        </w:rPr>
        <w:t xml:space="preserve">Also, </w:t>
      </w:r>
      <w:r w:rsidR="008B0C92" w:rsidRPr="00E32653">
        <w:rPr>
          <w:rFonts w:asciiTheme="majorBidi" w:hAnsiTheme="majorBidi" w:cstheme="majorBidi"/>
        </w:rPr>
        <w:t xml:space="preserve">a variety of </w:t>
      </w:r>
      <w:r w:rsidRPr="00E32653">
        <w:rPr>
          <w:rFonts w:asciiTheme="majorBidi" w:hAnsiTheme="majorBidi" w:cstheme="majorBidi"/>
        </w:rPr>
        <w:t xml:space="preserve">studies </w:t>
      </w:r>
      <w:r w:rsidR="008B0C92" w:rsidRPr="00E32653">
        <w:rPr>
          <w:rFonts w:asciiTheme="majorBidi" w:hAnsiTheme="majorBidi" w:cstheme="majorBidi"/>
        </w:rPr>
        <w:t>have</w:t>
      </w:r>
      <w:r w:rsidR="0010206F" w:rsidRPr="00E32653">
        <w:rPr>
          <w:rFonts w:asciiTheme="majorBidi" w:hAnsiTheme="majorBidi" w:cstheme="majorBidi"/>
        </w:rPr>
        <w:t xml:space="preserve"> been conducted to compare wood</w:t>
      </w:r>
      <w:r w:rsidR="001A1832" w:rsidRPr="00E32653">
        <w:rPr>
          <w:rFonts w:asciiTheme="majorBidi" w:hAnsiTheme="majorBidi" w:cstheme="majorBidi"/>
        </w:rPr>
        <w:t xml:space="preserve"> materials with other construction materials </w:t>
      </w:r>
      <w:r w:rsidR="001A1832" w:rsidRPr="00E32653">
        <w:rPr>
          <w:rFonts w:asciiTheme="majorBidi" w:hAnsiTheme="majorBidi" w:cstheme="majorBidi"/>
        </w:rPr>
        <w:fldChar w:fldCharType="begin" w:fldLock="1"/>
      </w:r>
      <w:r w:rsidR="001A1832" w:rsidRPr="00E32653">
        <w:rPr>
          <w:rFonts w:asciiTheme="majorBidi" w:hAnsiTheme="majorBidi" w:cstheme="majorBidi"/>
        </w:rPr>
        <w:instrText>ADDIN CSL_CITATION {"citationItems":[{"id":"ITEM-1","itemData":{"DOI":"10.1016/j.enbuild.2020.110091","ISSN":"03787788","abstract":"Engineering wood products have significant potential as a sustainable alternative for concrete and steel in construction. Cross Laminated Timber (CLT) can add value to conventional timber products due to its high strength-to-weight ratio, simple installation, aesthetic features and environmental benefits. Recent changes in the national construction code permit structural timber buildings with a height of up to 25m, which demonstrates the strong commitment of the construction industry to adopt more sustainable practices. This paper aims to compare life cycle greenhouse gas emissions (LCGHGE) and life cycle cost (LCC) of CLT and reinforced concrete (RC) in identical midrise residential buildings in three most populated cities in Australia. It has shown that the CLT building has 30 % less LCGHGE compared with the RC building over a life span of 50 years in Melbourne, and 34% and 29% reduction in LCGHCE in Sydney and Brisbane, respectively. The results from LCC analysis showed that CLT building is 1.3% lower than conventional RC in Melbourne, and 0.9% lower in Sydney and Brisbane. The initial and end of life phases reflected reductions in LCGHGE and LCC for the CLT building whilst the operation phase incurred higher values. The extended service life of buildings has a major impact on the operational phase while changes in the discount rate have strong effects on the lifecycle operational and maintenance costs. Overall the CLT building outperformed the RC building in terms of LCGHGE and LCC across three cities. However, further savings in the operational phase with energy efficient methodologies and reuse or recycling of timber products at the end of life of the building can reinforce CLT as a sustainable alternative to RC construction.","author":[{"dropping-particle":"","family":"Jayalath","given":"Amitha","non-dropping-particle":"","parse-names":false,"suffix":""},{"dropping-particle":"","family":"Navaratnam","given":"Satheeskumar","non-dropping-particle":"","parse-names":false,"suffix":""},{"dropping-particle":"","family":"Ngo","given":"Tuan","non-dropping-particle":"","parse-names":false,"suffix":""},{"dropping-particle":"","family":"Mendis","given":"Priyan","non-dropping-particle":"","parse-names":false,"suffix":""},{"dropping-particle":"","family":"Hewson","given":"Nick","non-dropping-particle":"","parse-names":false,"suffix":""},{"dropping-particle":"","family":"Aye","given":"Lu","non-dropping-particle":"","parse-names":false,"suffix":""}],"container-title":"Energy and Buildings","id":"ITEM-1","issued":{"date-parts":[["2020"]]},"page":"110091","publisher":"Elsevier B.V.","title":"Life cycle performance of Cross Laminated Timber mid-rise residential buildings in Australia","type":"article-journal","volume":"223"},"uris":["http://www.mendeley.com/documents/?uuid=17c4afcf-1ff9-4762-8690-67085184ce6c"]}],"mendeley":{"formattedCitation":"(Jayalath et al., 2020)","plainTextFormattedCitation":"(Jayalath et al., 2020)","previouslyFormattedCitation":"(Jayalath et al., 2020)"},"properties":{"noteIndex":0},"schema":"https://github.com/citation-style-language/schema/raw/master/csl-citation.json"}</w:instrText>
      </w:r>
      <w:r w:rsidR="001A1832" w:rsidRPr="00E32653">
        <w:rPr>
          <w:rFonts w:asciiTheme="majorBidi" w:hAnsiTheme="majorBidi" w:cstheme="majorBidi"/>
        </w:rPr>
        <w:fldChar w:fldCharType="separate"/>
      </w:r>
      <w:r w:rsidR="001A1832" w:rsidRPr="00E32653">
        <w:rPr>
          <w:rFonts w:asciiTheme="majorBidi" w:hAnsiTheme="majorBidi" w:cstheme="majorBidi"/>
          <w:noProof/>
        </w:rPr>
        <w:t>(Jayalath et al., 2020)</w:t>
      </w:r>
      <w:r w:rsidR="001A1832" w:rsidRPr="00E32653">
        <w:rPr>
          <w:rFonts w:asciiTheme="majorBidi" w:hAnsiTheme="majorBidi" w:cstheme="majorBidi"/>
        </w:rPr>
        <w:fldChar w:fldCharType="end"/>
      </w:r>
      <w:r w:rsidR="001A1832" w:rsidRPr="00E32653">
        <w:rPr>
          <w:rFonts w:asciiTheme="majorBidi" w:hAnsiTheme="majorBidi" w:cstheme="majorBidi"/>
        </w:rPr>
        <w:t>.</w:t>
      </w:r>
      <w:r w:rsidR="006F3912" w:rsidRPr="00E32653">
        <w:rPr>
          <w:rFonts w:asciiTheme="majorBidi" w:hAnsiTheme="majorBidi" w:cstheme="majorBidi"/>
        </w:rPr>
        <w:t xml:space="preserve"> </w:t>
      </w:r>
      <w:r w:rsidR="00237BB7" w:rsidRPr="00E32653">
        <w:rPr>
          <w:rFonts w:asciiTheme="majorBidi" w:hAnsiTheme="majorBidi" w:cstheme="majorBidi"/>
        </w:rPr>
        <w:t>W</w:t>
      </w:r>
      <w:r w:rsidR="008B0C92" w:rsidRPr="00E32653">
        <w:rPr>
          <w:rFonts w:asciiTheme="majorBidi" w:hAnsiTheme="majorBidi" w:cstheme="majorBidi"/>
        </w:rPr>
        <w:t xml:space="preserve">ood-based buildings are </w:t>
      </w:r>
      <w:r w:rsidR="004C4904" w:rsidRPr="00E32653">
        <w:rPr>
          <w:rFonts w:asciiTheme="majorBidi" w:hAnsiTheme="majorBidi" w:cstheme="majorBidi"/>
        </w:rPr>
        <w:t>generally regarded as carbon efficient solution</w:t>
      </w:r>
      <w:r w:rsidRPr="00E32653">
        <w:rPr>
          <w:rFonts w:asciiTheme="majorBidi" w:hAnsiTheme="majorBidi" w:cstheme="majorBidi"/>
        </w:rPr>
        <w:t>s</w:t>
      </w:r>
      <w:r w:rsidR="008B0C92" w:rsidRPr="00E32653">
        <w:rPr>
          <w:rFonts w:asciiTheme="majorBidi" w:hAnsiTheme="majorBidi" w:cstheme="majorBidi"/>
        </w:rPr>
        <w:t>. However,</w:t>
      </w:r>
      <w:r w:rsidR="004C4904" w:rsidRPr="00E32653">
        <w:rPr>
          <w:rFonts w:asciiTheme="majorBidi" w:hAnsiTheme="majorBidi" w:cstheme="majorBidi"/>
        </w:rPr>
        <w:t xml:space="preserve"> the impact of </w:t>
      </w:r>
      <w:r w:rsidR="00237BB7" w:rsidRPr="00E32653">
        <w:rPr>
          <w:rFonts w:asciiTheme="majorBidi" w:hAnsiTheme="majorBidi" w:cstheme="majorBidi"/>
        </w:rPr>
        <w:t xml:space="preserve">ancillary </w:t>
      </w:r>
      <w:r w:rsidR="004C4904" w:rsidRPr="00E32653">
        <w:rPr>
          <w:rFonts w:asciiTheme="majorBidi" w:hAnsiTheme="majorBidi" w:cstheme="majorBidi"/>
        </w:rPr>
        <w:t>materials such as glue and insulation can influenc</w:t>
      </w:r>
      <w:r w:rsidR="007C2C9B" w:rsidRPr="00E32653">
        <w:rPr>
          <w:rFonts w:asciiTheme="majorBidi" w:hAnsiTheme="majorBidi" w:cstheme="majorBidi"/>
        </w:rPr>
        <w:t xml:space="preserve">e the overall results. Some other </w:t>
      </w:r>
      <w:r w:rsidR="00237BB7" w:rsidRPr="00E32653">
        <w:rPr>
          <w:rFonts w:asciiTheme="majorBidi" w:hAnsiTheme="majorBidi" w:cstheme="majorBidi"/>
        </w:rPr>
        <w:t xml:space="preserve">studies have investigated the use of types of </w:t>
      </w:r>
      <w:r w:rsidR="007C2C9B" w:rsidRPr="00E32653">
        <w:rPr>
          <w:rFonts w:asciiTheme="majorBidi" w:hAnsiTheme="majorBidi" w:cstheme="majorBidi"/>
        </w:rPr>
        <w:t xml:space="preserve">mass </w:t>
      </w:r>
      <w:r w:rsidR="00915C2E" w:rsidRPr="00E32653">
        <w:rPr>
          <w:rFonts w:asciiTheme="majorBidi" w:hAnsiTheme="majorBidi" w:cstheme="majorBidi"/>
        </w:rPr>
        <w:t>timber</w:t>
      </w:r>
      <w:r w:rsidR="007C2C9B" w:rsidRPr="00E32653">
        <w:rPr>
          <w:rFonts w:asciiTheme="majorBidi" w:hAnsiTheme="majorBidi" w:cstheme="majorBidi"/>
        </w:rPr>
        <w:t xml:space="preserve"> such as GLT. </w:t>
      </w:r>
      <w:r w:rsidR="00541979" w:rsidRPr="00E32653">
        <w:rPr>
          <w:rFonts w:asciiTheme="majorBidi" w:hAnsiTheme="majorBidi" w:cstheme="majorBidi"/>
        </w:rPr>
        <w:t xml:space="preserve">For instance, </w:t>
      </w:r>
      <w:r w:rsidR="00006323" w:rsidRPr="00E32653">
        <w:rPr>
          <w:rFonts w:asciiTheme="majorBidi" w:hAnsiTheme="majorBidi" w:cstheme="majorBidi"/>
        </w:rPr>
        <w:fldChar w:fldCharType="begin" w:fldLock="1"/>
      </w:r>
      <w:r w:rsidR="00006323" w:rsidRPr="00E32653">
        <w:rPr>
          <w:rFonts w:asciiTheme="majorBidi" w:hAnsiTheme="majorBidi" w:cstheme="majorBidi"/>
        </w:rPr>
        <w:instrText>ADDIN CSL_CITATION {"citationItems":[{"id":"ITEM-1","itemData":{"DOI":"10.1016/j.scitotenv.2019.01.117","ISSN":"18791026","PMID":"30665127","abstract":"To establish a bioeconomy, the demand for renewable resources like wood is likely to increase. To satisfy the demand, cascading, i.e. the sequential use of one unit of a resource in multiple applications with energy recovery as the final step, is a key concept to improve the efficiency of wood utilization. Today, the systematic wood cascading is still in its infancies and limited to the downcycling of wood, i.e. the degradation of material quality. New recycling technologies are needed, which maintain the material quality at the beginning of the cascade chain and mobilize yet unused resources. Therefore, a new recycling technology for recovered solid wood from construction into glued laminated timber products was developed. 1 To identify the environmental and economic performance of the process, the eco-efficiency was assessed by the joint application of life cycle assessment (LCA) and life cycle costing (LCC). As reference system, the incineration of the recovered wood was analyzed, representing the common treatment for recovered wood from construction in Germany. System expansion was applied to solve multifunctionality. The results indicate that the recycling of recovered wood into glued laminated timber products is environmentally and economically viable and offers possibility for the production of value added products. The recycling further shows up to 29% of lower environmental impacts and 32% of lower costs compared to the incineration, if system expansion is based on wood energy. The operational processes required for the solid wood cascading are of minor relevance for the economic and environmental performance. Instead, primary technologies like glue lamination and the incineration are key drivers. In all considered scenarios, the material recycling has a 15–150% higher eco-efficiency compared to the incineration. In conclusion, the further development for the practical implementation of the recycling process is recommended to enhance the implementation of the cascading concept.","author":[{"dropping-particle":"","family":"Risse","given":"Michael","non-dropping-particle":"","parse-names":false,"suffix":""},{"dropping-particle":"","family":"Weber-Blaschke","given":"Gabriele","non-dropping-particle":"","parse-names":false,"suffix":""},{"dropping-particle":"","family":"Richter","given":"Klaus","non-dropping-particle":"","parse-names":false,"suffix":""}],"container-title":"Science of the Total Environment","id":"ITEM-1","issued":{"date-parts":[["2019"]]},"page":"107-119","publisher":"Elsevier B.V.","title":"Eco-efficiency analysis of recycling recovered solid wood from construction into laminated timber products","type":"article-journal","volume":"661"},"uris":["http://www.mendeley.com/documents/?uuid=2c28ff5f-975c-433c-8281-160132bf6cf4"]}],"mendeley":{"formattedCitation":"(Risse et al., 2019)","manualFormatting":"Risse et al., (2019)","plainTextFormattedCitation":"(Risse et al., 2019)","previouslyFormattedCitation":"(Risse et al., 2019)"},"properties":{"noteIndex":0},"schema":"https://github.com/citation-style-language/schema/raw/master/csl-citation.json"}</w:instrText>
      </w:r>
      <w:r w:rsidR="00006323" w:rsidRPr="00E32653">
        <w:rPr>
          <w:rFonts w:asciiTheme="majorBidi" w:hAnsiTheme="majorBidi" w:cstheme="majorBidi"/>
        </w:rPr>
        <w:fldChar w:fldCharType="separate"/>
      </w:r>
      <w:bookmarkStart w:id="0" w:name="OLE_LINK2"/>
      <w:bookmarkStart w:id="1" w:name="OLE_LINK1"/>
      <w:r w:rsidR="00006323" w:rsidRPr="00E32653">
        <w:rPr>
          <w:rFonts w:asciiTheme="majorBidi" w:hAnsiTheme="majorBidi" w:cstheme="majorBidi"/>
          <w:noProof/>
        </w:rPr>
        <w:t>Risse</w:t>
      </w:r>
      <w:bookmarkEnd w:id="0"/>
      <w:bookmarkEnd w:id="1"/>
      <w:r w:rsidR="00006323" w:rsidRPr="00E32653">
        <w:rPr>
          <w:rFonts w:asciiTheme="majorBidi" w:hAnsiTheme="majorBidi" w:cstheme="majorBidi"/>
          <w:noProof/>
        </w:rPr>
        <w:t xml:space="preserve"> et al., (2019)</w:t>
      </w:r>
      <w:r w:rsidR="00006323" w:rsidRPr="00E32653">
        <w:rPr>
          <w:rFonts w:asciiTheme="majorBidi" w:hAnsiTheme="majorBidi" w:cstheme="majorBidi"/>
        </w:rPr>
        <w:fldChar w:fldCharType="end"/>
      </w:r>
      <w:r w:rsidR="00541979" w:rsidRPr="00E32653">
        <w:rPr>
          <w:rFonts w:asciiTheme="majorBidi" w:hAnsiTheme="majorBidi" w:cstheme="majorBidi"/>
        </w:rPr>
        <w:t xml:space="preserve"> </w:t>
      </w:r>
      <w:r w:rsidR="00A3375E" w:rsidRPr="00E32653">
        <w:rPr>
          <w:rFonts w:asciiTheme="majorBidi" w:hAnsiTheme="majorBidi" w:cstheme="majorBidi"/>
        </w:rPr>
        <w:t xml:space="preserve">used </w:t>
      </w:r>
      <w:r w:rsidR="00006323" w:rsidRPr="00E32653">
        <w:rPr>
          <w:rFonts w:asciiTheme="majorBidi" w:hAnsiTheme="majorBidi" w:cstheme="majorBidi"/>
        </w:rPr>
        <w:t xml:space="preserve">LCA and LCC to analyze the recycling </w:t>
      </w:r>
      <w:r w:rsidR="002E41B2" w:rsidRPr="00E32653">
        <w:rPr>
          <w:rFonts w:asciiTheme="majorBidi" w:hAnsiTheme="majorBidi" w:cstheme="majorBidi"/>
        </w:rPr>
        <w:t xml:space="preserve">of </w:t>
      </w:r>
      <w:r w:rsidR="00006323" w:rsidRPr="00E32653">
        <w:rPr>
          <w:rFonts w:asciiTheme="majorBidi" w:hAnsiTheme="majorBidi" w:cstheme="majorBidi"/>
        </w:rPr>
        <w:t xml:space="preserve">recovered solid </w:t>
      </w:r>
      <w:r w:rsidR="00E12EC2" w:rsidRPr="00E32653">
        <w:rPr>
          <w:rFonts w:asciiTheme="majorBidi" w:hAnsiTheme="majorBidi" w:cstheme="majorBidi"/>
        </w:rPr>
        <w:t xml:space="preserve">construction </w:t>
      </w:r>
      <w:r w:rsidR="00006323" w:rsidRPr="00E32653">
        <w:rPr>
          <w:rFonts w:asciiTheme="majorBidi" w:hAnsiTheme="majorBidi" w:cstheme="majorBidi"/>
        </w:rPr>
        <w:t>wood into GLT products. The</w:t>
      </w:r>
      <w:r w:rsidR="00E12EC2" w:rsidRPr="00E32653">
        <w:rPr>
          <w:rFonts w:asciiTheme="majorBidi" w:hAnsiTheme="majorBidi" w:cstheme="majorBidi"/>
        </w:rPr>
        <w:t>ir</w:t>
      </w:r>
      <w:r w:rsidR="00006323" w:rsidRPr="00E32653">
        <w:rPr>
          <w:rFonts w:asciiTheme="majorBidi" w:hAnsiTheme="majorBidi" w:cstheme="majorBidi"/>
        </w:rPr>
        <w:t xml:space="preserve"> results show that recycling recovered wood is environmentally and economically beneficial compared to incineration. </w:t>
      </w:r>
      <w:r w:rsidR="00006323" w:rsidRPr="00E32653">
        <w:rPr>
          <w:rFonts w:asciiTheme="majorBidi" w:hAnsiTheme="majorBidi" w:cstheme="majorBidi"/>
        </w:rPr>
        <w:fldChar w:fldCharType="begin" w:fldLock="1"/>
      </w:r>
      <w:r w:rsidR="00006323" w:rsidRPr="00E32653">
        <w:rPr>
          <w:rFonts w:asciiTheme="majorBidi" w:hAnsiTheme="majorBidi" w:cstheme="majorBidi"/>
        </w:rPr>
        <w:instrText>ADDIN CSL_CITATION {"citationItems":[{"id":"ITEM-1","itemData":{"DOI":"10.13073/FPJ-D-17-00008","ISSN":"00157473","abstract":"This study was an update on the 2000 life-cycle inventory data on material and energy inputs associated with the production of 1 m3 of glued-laminated (glulam) timbers produced in the Pacific Northwest (PNW) and the Southeast (SE) regions of the United States. This article looks at the cradle to gate for the entire glulam production processes, which include forest harvest, lamstock production, and glulam beam production. Data collected from glulam beam manufacturers in 2013 allowed for the development of a life-cycle assessment utilizing the product category rules for North American Structural and Architectural Wood Products so that the results from these analyses can be used for the development of environmental product declarations of glulam beams produced in the United States. Comparing the results of this study with the life-cycle assessment based on the 2000 survey data shows 30 percent reductions in global warming potential of glulam beams produced in both the PNW and the SE and reductions in the use of energy derived from fossil fuels by 40 percent in the PNW and SE. The overall net carbon sequestered in 1 m3 of PNW glulam is equivalent to 938 kg of CO2 and 1, 038 kg of CO2 in the SE. Utilizing techniques that reduced the use of electricity and minimizing the transportation distances of the raw materials and resins to the mill could help to further reduce the carbon footprint of the glulam beam manufacturing process.","author":[{"dropping-particle":"","family":"Bowers","given":"Tait","non-dropping-particle":"","parse-names":false,"suffix":""},{"dropping-particle":"","family":"Puettmann","given":"Maureen E.","non-dropping-particle":"","parse-names":false,"suffix":""},{"dropping-particle":"","family":"Ganguly","given":"Indroneil","non-dropping-particle":"","parse-names":false,"suffix":""},{"dropping-particle":"","family":"Eastin","given":"Ivan","non-dropping-particle":"","parse-names":false,"suffix":""}],"container-title":"Forest Products Journal","id":"ITEM-1","issue":"5-6","issued":{"date-parts":[["2017"]]},"page":"368-380","title":"Cradle-to-gate life-cycle impact analysis of glued-laminated (glulam) timber: Environmental impacts from glulam produced in the US pacific northwest and southeast","type":"article-journal","volume":"67"},"uris":["http://www.mendeley.com/documents/?uuid=ebb4812c-676a-453b-ae8b-4020a63f5f0f"]}],"mendeley":{"formattedCitation":"(Bowers et al., 2017)","manualFormatting":"Bowers et al., (2017)","plainTextFormattedCitation":"(Bowers et al., 2017)","previouslyFormattedCitation":"(Bowers et al., 2017)"},"properties":{"noteIndex":0},"schema":"https://github.com/citation-style-language/schema/raw/master/csl-citation.json"}</w:instrText>
      </w:r>
      <w:r w:rsidR="00006323" w:rsidRPr="00E32653">
        <w:rPr>
          <w:rFonts w:asciiTheme="majorBidi" w:hAnsiTheme="majorBidi" w:cstheme="majorBidi"/>
        </w:rPr>
        <w:fldChar w:fldCharType="separate"/>
      </w:r>
      <w:r w:rsidR="00006323" w:rsidRPr="00E32653">
        <w:rPr>
          <w:rFonts w:asciiTheme="majorBidi" w:hAnsiTheme="majorBidi" w:cstheme="majorBidi"/>
          <w:noProof/>
        </w:rPr>
        <w:t>Bowers et al., (2017)</w:t>
      </w:r>
      <w:r w:rsidR="00006323" w:rsidRPr="00E32653">
        <w:rPr>
          <w:rFonts w:asciiTheme="majorBidi" w:hAnsiTheme="majorBidi" w:cstheme="majorBidi"/>
        </w:rPr>
        <w:fldChar w:fldCharType="end"/>
      </w:r>
      <w:r w:rsidR="00006323" w:rsidRPr="00E32653">
        <w:rPr>
          <w:rFonts w:asciiTheme="majorBidi" w:hAnsiTheme="majorBidi" w:cstheme="majorBidi"/>
        </w:rPr>
        <w:t xml:space="preserve"> </w:t>
      </w:r>
      <w:r w:rsidR="00E12EC2" w:rsidRPr="00E32653">
        <w:rPr>
          <w:rFonts w:asciiTheme="majorBidi" w:hAnsiTheme="majorBidi" w:cstheme="majorBidi"/>
        </w:rPr>
        <w:t>conducted a</w:t>
      </w:r>
      <w:r w:rsidR="00DD0283" w:rsidRPr="00E32653">
        <w:rPr>
          <w:rFonts w:asciiTheme="majorBidi" w:hAnsiTheme="majorBidi" w:cstheme="majorBidi"/>
        </w:rPr>
        <w:t xml:space="preserve"> LCA study</w:t>
      </w:r>
      <w:r w:rsidR="00E12EC2" w:rsidRPr="00E32653">
        <w:rPr>
          <w:rFonts w:asciiTheme="majorBidi" w:hAnsiTheme="majorBidi" w:cstheme="majorBidi"/>
        </w:rPr>
        <w:t xml:space="preserve"> </w:t>
      </w:r>
      <w:r w:rsidR="00006323" w:rsidRPr="00E32653">
        <w:rPr>
          <w:rFonts w:asciiTheme="majorBidi" w:hAnsiTheme="majorBidi" w:cstheme="majorBidi"/>
        </w:rPr>
        <w:t>of GLT</w:t>
      </w:r>
      <w:r w:rsidR="00E12EC2" w:rsidRPr="00E32653">
        <w:rPr>
          <w:rFonts w:asciiTheme="majorBidi" w:hAnsiTheme="majorBidi" w:cstheme="majorBidi"/>
        </w:rPr>
        <w:t xml:space="preserve">, </w:t>
      </w:r>
      <w:r w:rsidR="00006323" w:rsidRPr="00E32653">
        <w:rPr>
          <w:rFonts w:asciiTheme="majorBidi" w:hAnsiTheme="majorBidi" w:cstheme="majorBidi"/>
        </w:rPr>
        <w:t>reveal</w:t>
      </w:r>
      <w:r w:rsidR="00E12EC2" w:rsidRPr="00E32653">
        <w:rPr>
          <w:rFonts w:asciiTheme="majorBidi" w:hAnsiTheme="majorBidi" w:cstheme="majorBidi"/>
        </w:rPr>
        <w:t>ing</w:t>
      </w:r>
      <w:r w:rsidR="00006323" w:rsidRPr="00E32653">
        <w:rPr>
          <w:rFonts w:asciiTheme="majorBidi" w:hAnsiTheme="majorBidi" w:cstheme="majorBidi"/>
        </w:rPr>
        <w:t xml:space="preserve"> that </w:t>
      </w:r>
      <w:r w:rsidR="00161F5F" w:rsidRPr="00E32653">
        <w:rPr>
          <w:rFonts w:asciiTheme="majorBidi" w:hAnsiTheme="majorBidi" w:cstheme="majorBidi"/>
        </w:rPr>
        <w:t xml:space="preserve">the </w:t>
      </w:r>
      <w:r w:rsidR="00E12EC2" w:rsidRPr="00E32653">
        <w:rPr>
          <w:rFonts w:asciiTheme="majorBidi" w:hAnsiTheme="majorBidi" w:cstheme="majorBidi"/>
        </w:rPr>
        <w:t xml:space="preserve">production of </w:t>
      </w:r>
      <w:r w:rsidR="00006323" w:rsidRPr="00E32653">
        <w:rPr>
          <w:rFonts w:asciiTheme="majorBidi" w:hAnsiTheme="majorBidi" w:cstheme="majorBidi"/>
        </w:rPr>
        <w:t>glulam c</w:t>
      </w:r>
      <w:r w:rsidR="001F4D5A" w:rsidRPr="00E32653">
        <w:rPr>
          <w:rFonts w:asciiTheme="majorBidi" w:hAnsiTheme="majorBidi" w:cstheme="majorBidi"/>
        </w:rPr>
        <w:t>ontributed 50% of GLT emission.</w:t>
      </w:r>
      <w:r w:rsidR="001F4D5A" w:rsidRPr="00E32653">
        <w:rPr>
          <w:rFonts w:asciiTheme="majorBidi" w:hAnsiTheme="majorBidi" w:cstheme="majorBidi"/>
        </w:rPr>
        <w:fldChar w:fldCharType="begin" w:fldLock="1"/>
      </w:r>
      <w:r w:rsidR="001F4D5A" w:rsidRPr="00E32653">
        <w:rPr>
          <w:rFonts w:asciiTheme="majorBidi" w:hAnsiTheme="majorBidi" w:cstheme="majorBidi"/>
        </w:rPr>
        <w:instrText>ADDIN CSL_CITATION {"citationItems":[{"id":"ITEM-1","itemData":{"DOI":"10.1016/j.buildenv.2021.108112","ISSN":"03601323","abstract":"The environmental emissions and energy from construction activity and building materials contributes significantly to a building's sustainability. Previous research dealing with wood or engineering wood's energy requirements compared to reinforced concrete and steel structures has shown that embodied energy and embodied carbon is significantly lower in wood-based construction. This study has assessed the environmental impact and costs of glued laminated timber (GLT) or cross-laminated timber (CLT). Hardwood and softwood variants of both GLT and CLT were considered. We compared the life cycle costs (LCC) of these alternatives to discover the lowest cost. The comparative results indicated that GLT has higher emissions in Global warming potential (GWP), Terrestrial Ecotoxicity (TE), Land Use (LUP), and Ozone layer depletion (OLD), while CLT has higher impact in Human-Toxicity Potential (HTP), Fossil Depletion Potential (FDP). The results indicated that using CLT significantly reduces embodied energy by 40%. However, a comparison of costs showed that CLT is 7% more expensive than GLT. Establishing which material performs best based on environmental and economic criteria thus required further analysis. Thus, the multi-criteria decision making (MCDM) method was applied. This showed that CLT manufactured with softwood is the most sustainable choice among the alternatives considered. This study's findings are important for aggregate level decision making of different wood materials for residential buildings.","author":[{"dropping-particle":"","family":"Balasbaneh","given":"Ali Tighnavard","non-dropping-particle":"","parse-names":false,"suffix":""},{"dropping-particle":"","family":"Sher","given":"Willy","non-dropping-particle":"","parse-names":false,"suffix":""}],"container-title":"Building and Environment","id":"ITEM-1","issue":"July","issued":{"date-parts":[["2021"]]},"page":"108112","publisher":"Elsevier Ltd","title":"Comparative sustainability evaluation of two engineered wood-based construction materials: Life cycle analysis of CLT versus GLT","type":"article-journal","volume":"204"},"uris":["http://www.mendeley.com/documents/?uuid=1374b326-7f08-4f8b-9735-051d16b5f02d"]}],"mendeley":{"formattedCitation":"(Ali Tighnavard Balasbaneh &amp; Sher, 2021)","manualFormatting":" Balasbaneh &amp; Sher (2021)","plainTextFormattedCitation":"(Ali Tighnavard Balasbaneh &amp; Sher, 2021)"},"properties":{"noteIndex":0},"schema":"https://github.com/citation-style-language/schema/raw/master/csl-citation.json"}</w:instrText>
      </w:r>
      <w:r w:rsidR="001F4D5A" w:rsidRPr="00E32653">
        <w:rPr>
          <w:rFonts w:asciiTheme="majorBidi" w:hAnsiTheme="majorBidi" w:cstheme="majorBidi"/>
        </w:rPr>
        <w:fldChar w:fldCharType="separate"/>
      </w:r>
      <w:r w:rsidR="001F4D5A" w:rsidRPr="00E32653">
        <w:rPr>
          <w:rFonts w:asciiTheme="majorBidi" w:hAnsiTheme="majorBidi" w:cstheme="majorBidi"/>
          <w:noProof/>
        </w:rPr>
        <w:t xml:space="preserve"> Balasbaneh &amp; Sher (2021)</w:t>
      </w:r>
      <w:r w:rsidR="001F4D5A" w:rsidRPr="00E32653">
        <w:rPr>
          <w:rFonts w:asciiTheme="majorBidi" w:hAnsiTheme="majorBidi" w:cstheme="majorBidi"/>
        </w:rPr>
        <w:fldChar w:fldCharType="end"/>
      </w:r>
      <w:r w:rsidR="001F4D5A" w:rsidRPr="00E32653">
        <w:rPr>
          <w:rFonts w:asciiTheme="majorBidi" w:hAnsiTheme="majorBidi" w:cstheme="majorBidi"/>
        </w:rPr>
        <w:t xml:space="preserve"> </w:t>
      </w:r>
      <w:r w:rsidR="000131AB" w:rsidRPr="00E32653">
        <w:rPr>
          <w:rFonts w:asciiTheme="majorBidi" w:hAnsiTheme="majorBidi" w:cstheme="majorBidi"/>
        </w:rPr>
        <w:t xml:space="preserve">evaluated the sustainability performance of two </w:t>
      </w:r>
      <w:r w:rsidR="00237BB7" w:rsidRPr="00E32653">
        <w:rPr>
          <w:rFonts w:asciiTheme="majorBidi" w:hAnsiTheme="majorBidi" w:cstheme="majorBidi"/>
        </w:rPr>
        <w:t xml:space="preserve">prominent </w:t>
      </w:r>
      <w:r w:rsidR="000131AB" w:rsidRPr="00E32653">
        <w:rPr>
          <w:rFonts w:asciiTheme="majorBidi" w:hAnsiTheme="majorBidi" w:cstheme="majorBidi"/>
        </w:rPr>
        <w:t>mass timber products:</w:t>
      </w:r>
      <w:r w:rsidR="00B301ED" w:rsidRPr="00E32653">
        <w:rPr>
          <w:rFonts w:asciiTheme="majorBidi" w:hAnsiTheme="majorBidi" w:cstheme="majorBidi"/>
        </w:rPr>
        <w:t xml:space="preserve"> </w:t>
      </w:r>
      <w:r w:rsidR="00833096" w:rsidRPr="00E32653">
        <w:rPr>
          <w:rFonts w:asciiTheme="majorBidi" w:hAnsiTheme="majorBidi" w:cstheme="majorBidi"/>
        </w:rPr>
        <w:t>cross-laminated</w:t>
      </w:r>
      <w:r w:rsidR="00B301ED" w:rsidRPr="00E32653">
        <w:rPr>
          <w:rFonts w:asciiTheme="majorBidi" w:hAnsiTheme="majorBidi" w:cstheme="majorBidi"/>
        </w:rPr>
        <w:t xml:space="preserve"> timber (CLT)</w:t>
      </w:r>
      <w:r w:rsidR="00833096" w:rsidRPr="00E32653">
        <w:rPr>
          <w:rFonts w:asciiTheme="majorBidi" w:hAnsiTheme="majorBidi" w:cstheme="majorBidi"/>
        </w:rPr>
        <w:t xml:space="preserve"> and GLT</w:t>
      </w:r>
      <w:r w:rsidR="00B301ED" w:rsidRPr="00E32653">
        <w:rPr>
          <w:rFonts w:asciiTheme="majorBidi" w:hAnsiTheme="majorBidi" w:cstheme="majorBidi"/>
        </w:rPr>
        <w:t>. The</w:t>
      </w:r>
      <w:r w:rsidR="00237BB7" w:rsidRPr="00E32653">
        <w:rPr>
          <w:rFonts w:asciiTheme="majorBidi" w:hAnsiTheme="majorBidi" w:cstheme="majorBidi"/>
        </w:rPr>
        <w:t>ir</w:t>
      </w:r>
      <w:r w:rsidR="00B301ED" w:rsidRPr="00E32653">
        <w:rPr>
          <w:rFonts w:asciiTheme="majorBidi" w:hAnsiTheme="majorBidi" w:cstheme="majorBidi"/>
        </w:rPr>
        <w:t xml:space="preserve"> result</w:t>
      </w:r>
      <w:r w:rsidR="00237BB7" w:rsidRPr="00E32653">
        <w:rPr>
          <w:rFonts w:asciiTheme="majorBidi" w:hAnsiTheme="majorBidi" w:cstheme="majorBidi"/>
        </w:rPr>
        <w:t>s indicated</w:t>
      </w:r>
      <w:r w:rsidR="00B301ED" w:rsidRPr="00E32653">
        <w:rPr>
          <w:rFonts w:asciiTheme="majorBidi" w:hAnsiTheme="majorBidi" w:cstheme="majorBidi"/>
        </w:rPr>
        <w:t xml:space="preserve"> that</w:t>
      </w:r>
      <w:r w:rsidR="00237BB7" w:rsidRPr="00E32653">
        <w:rPr>
          <w:rFonts w:asciiTheme="majorBidi" w:hAnsiTheme="majorBidi" w:cstheme="majorBidi"/>
        </w:rPr>
        <w:t>,</w:t>
      </w:r>
      <w:r w:rsidR="00B301ED" w:rsidRPr="00E32653">
        <w:rPr>
          <w:rFonts w:asciiTheme="majorBidi" w:hAnsiTheme="majorBidi" w:cstheme="majorBidi"/>
        </w:rPr>
        <w:t xml:space="preserve"> despite GLT outperform</w:t>
      </w:r>
      <w:r w:rsidR="00237BB7" w:rsidRPr="00E32653">
        <w:rPr>
          <w:rFonts w:asciiTheme="majorBidi" w:hAnsiTheme="majorBidi" w:cstheme="majorBidi"/>
        </w:rPr>
        <w:t>ing</w:t>
      </w:r>
      <w:r w:rsidR="00B301ED" w:rsidRPr="00E32653">
        <w:rPr>
          <w:rFonts w:asciiTheme="majorBidi" w:hAnsiTheme="majorBidi" w:cstheme="majorBidi"/>
        </w:rPr>
        <w:t xml:space="preserve"> CLT in </w:t>
      </w:r>
      <w:r w:rsidR="00C46852" w:rsidRPr="00E32653">
        <w:rPr>
          <w:rFonts w:asciiTheme="majorBidi" w:hAnsiTheme="majorBidi" w:cstheme="majorBidi"/>
        </w:rPr>
        <w:t>areas</w:t>
      </w:r>
      <w:r w:rsidR="00B301ED" w:rsidRPr="00E32653">
        <w:rPr>
          <w:rFonts w:asciiTheme="majorBidi" w:hAnsiTheme="majorBidi" w:cstheme="majorBidi"/>
        </w:rPr>
        <w:t xml:space="preserve"> such as human toxicity, fossil depletion</w:t>
      </w:r>
      <w:r w:rsidR="000131AB" w:rsidRPr="00E32653">
        <w:rPr>
          <w:rFonts w:asciiTheme="majorBidi" w:hAnsiTheme="majorBidi" w:cstheme="majorBidi"/>
        </w:rPr>
        <w:t>,</w:t>
      </w:r>
      <w:r w:rsidR="00B301ED" w:rsidRPr="00E32653">
        <w:rPr>
          <w:rFonts w:asciiTheme="majorBidi" w:hAnsiTheme="majorBidi" w:cstheme="majorBidi"/>
        </w:rPr>
        <w:t xml:space="preserve"> and cost</w:t>
      </w:r>
      <w:r w:rsidR="00C46852" w:rsidRPr="00E32653">
        <w:rPr>
          <w:rFonts w:asciiTheme="majorBidi" w:hAnsiTheme="majorBidi" w:cstheme="majorBidi"/>
        </w:rPr>
        <w:t>,</w:t>
      </w:r>
      <w:r w:rsidR="00B301ED" w:rsidRPr="00E32653">
        <w:rPr>
          <w:rFonts w:asciiTheme="majorBidi" w:hAnsiTheme="majorBidi" w:cstheme="majorBidi"/>
        </w:rPr>
        <w:t xml:space="preserve"> CLT </w:t>
      </w:r>
      <w:r w:rsidR="00C46852" w:rsidRPr="00E32653">
        <w:rPr>
          <w:rFonts w:asciiTheme="majorBidi" w:hAnsiTheme="majorBidi" w:cstheme="majorBidi"/>
        </w:rPr>
        <w:t>was the</w:t>
      </w:r>
      <w:r w:rsidR="00B301ED" w:rsidRPr="00E32653">
        <w:rPr>
          <w:rFonts w:asciiTheme="majorBidi" w:hAnsiTheme="majorBidi" w:cstheme="majorBidi"/>
        </w:rPr>
        <w:t xml:space="preserve"> sustainable choice</w:t>
      </w:r>
      <w:r w:rsidR="00C46852" w:rsidRPr="00E32653">
        <w:rPr>
          <w:rFonts w:asciiTheme="majorBidi" w:hAnsiTheme="majorBidi" w:cstheme="majorBidi"/>
        </w:rPr>
        <w:t xml:space="preserve"> overall</w:t>
      </w:r>
      <w:r w:rsidR="00B301ED" w:rsidRPr="00E32653">
        <w:rPr>
          <w:rFonts w:asciiTheme="majorBidi" w:hAnsiTheme="majorBidi" w:cstheme="majorBidi"/>
        </w:rPr>
        <w:t xml:space="preserve">. </w:t>
      </w:r>
    </w:p>
    <w:p w14:paraId="7CE9F6DE" w14:textId="2AAB8F9A" w:rsidR="00874019" w:rsidRPr="00E32653" w:rsidRDefault="00E12EC2" w:rsidP="00051645">
      <w:pPr>
        <w:spacing w:line="276" w:lineRule="auto"/>
        <w:ind w:firstLine="720"/>
        <w:jc w:val="both"/>
        <w:rPr>
          <w:rFonts w:asciiTheme="majorBidi" w:hAnsiTheme="majorBidi" w:cstheme="majorBidi"/>
        </w:rPr>
      </w:pPr>
      <w:r w:rsidRPr="00E32653">
        <w:rPr>
          <w:rFonts w:asciiTheme="majorBidi" w:hAnsiTheme="majorBidi" w:cstheme="majorBidi"/>
        </w:rPr>
        <w:t>O</w:t>
      </w:r>
      <w:r w:rsidR="0027445C" w:rsidRPr="00E32653">
        <w:rPr>
          <w:rFonts w:asciiTheme="majorBidi" w:hAnsiTheme="majorBidi" w:cstheme="majorBidi"/>
        </w:rPr>
        <w:t>ther research</w:t>
      </w:r>
      <w:r w:rsidRPr="00E32653">
        <w:rPr>
          <w:rFonts w:asciiTheme="majorBidi" w:hAnsiTheme="majorBidi" w:cstheme="majorBidi"/>
        </w:rPr>
        <w:t xml:space="preserve"> has</w:t>
      </w:r>
      <w:r w:rsidR="0027445C" w:rsidRPr="00E32653">
        <w:rPr>
          <w:rFonts w:asciiTheme="majorBidi" w:hAnsiTheme="majorBidi" w:cstheme="majorBidi"/>
        </w:rPr>
        <w:t xml:space="preserve"> focused on LVL as </w:t>
      </w:r>
      <w:r w:rsidRPr="00E32653">
        <w:rPr>
          <w:rFonts w:asciiTheme="majorBidi" w:hAnsiTheme="majorBidi" w:cstheme="majorBidi"/>
        </w:rPr>
        <w:t xml:space="preserve">a </w:t>
      </w:r>
      <w:r w:rsidR="0027445C" w:rsidRPr="00E32653">
        <w:rPr>
          <w:rFonts w:asciiTheme="majorBidi" w:hAnsiTheme="majorBidi" w:cstheme="majorBidi"/>
        </w:rPr>
        <w:t>building material</w:t>
      </w:r>
      <w:r w:rsidR="00161F5F" w:rsidRPr="00E32653">
        <w:rPr>
          <w:rFonts w:asciiTheme="majorBidi" w:hAnsiTheme="majorBidi" w:cstheme="majorBidi"/>
        </w:rPr>
        <w:t>.</w:t>
      </w:r>
      <w:r w:rsidR="00283C61" w:rsidRPr="00E32653">
        <w:rPr>
          <w:rFonts w:asciiTheme="majorBidi" w:hAnsiTheme="majorBidi" w:cstheme="majorBidi"/>
        </w:rPr>
        <w:t xml:space="preserve"> For instance,</w:t>
      </w:r>
      <w:r w:rsidR="0027445C" w:rsidRPr="00E32653">
        <w:rPr>
          <w:rFonts w:asciiTheme="majorBidi" w:hAnsiTheme="majorBidi" w:cstheme="majorBidi"/>
        </w:rPr>
        <w:t xml:space="preserve"> </w:t>
      </w:r>
      <w:r w:rsidR="00BB42AE" w:rsidRPr="00E32653">
        <w:rPr>
          <w:rFonts w:asciiTheme="majorBidi" w:hAnsiTheme="majorBidi" w:cstheme="majorBidi"/>
        </w:rPr>
        <w:fldChar w:fldCharType="begin" w:fldLock="1"/>
      </w:r>
      <w:r w:rsidR="00AF7087" w:rsidRPr="00E32653">
        <w:rPr>
          <w:rFonts w:asciiTheme="majorBidi" w:hAnsiTheme="majorBidi" w:cstheme="majorBidi"/>
        </w:rPr>
        <w:instrText>ADDIN CSL_CITATION {"citationItems":[{"id":"ITEM-1","itemData":{"DOI":"10.1051/matecconf/201712002013","ISSN":"2261236X","abstract":"The use of wood is seen as a sustainable alternative to reduce environmental impacts in building and construction sector. The low quality hardwood logs from plantation thinning are enhanced by producing engineered wood such as laminated veneer lumber (LVL). Nevertheless, engineered wood requires the use of chemicals and energy that may reduce its environmental benefits. A life cycle assessment (LCA) was conducted to compare the environmental performance of LVL produced from forestry thinning and final harvest to steel and concrete. The functional unit used in this study was a 1-m-long structural beam in a continuous beam system of 6-m-span designed according to the Australian standards. The Global Warming Potential (GWP) and embedded energy were assessed. The results indicated that LVL beam from thinned logs presented the lowest GWP impact (5.22kg-CO2-Eq). However, due to significant energy requirements for wood drying, the embedded energy in LVL was 186.78MJ which is only marginally less than steel (216.86MJ) but significantly less than concrete (352.82MJ). LVL from mature hardwood logs had slightly higher GWP than that produced from thinning; mainly due to extra energy and materials consumption in the plantation stage. Furthermore, LVL produced from mature trees had higher embedded energy than steel.","author":[{"dropping-particle":"","family":"Lu","given":"Hangyong Ray","non-dropping-particle":"","parse-names":false,"suffix":""},{"dropping-particle":"","family":"Hanandeh","given":"Ali","non-dropping-particle":"El","parse-names":false,"suffix":""},{"dropping-particle":"","family":"Gilbert","given":"Benoit","non-dropping-particle":"","parse-names":false,"suffix":""},{"dropping-particle":"","family":"Bailleres","given":"Henri","non-dropping-particle":"","parse-names":false,"suffix":""}],"container-title":"MATEC Web of Conferences","id":"ITEM-1","issued":{"date-parts":[["2017"]]},"page":"1-9","title":"A comparative life cycle assessment (LCA) of alternative material for Australian building construction","type":"article-journal","volume":"120"},"uris":["http://www.mendeley.com/documents/?uuid=15d30dd5-63fb-43a7-8890-059e23958bbf"]}],"mendeley":{"formattedCitation":"(Lu, El Hanandeh, Gilbert, et al., 2017)","manualFormatting":"Lu, et al., (2017)","plainTextFormattedCitation":"(Lu, El Hanandeh, Gilbert, et al., 2017)","previouslyFormattedCitation":"(Lu, El Hanandeh, Gilbert, et al., 2017)"},"properties":{"noteIndex":0},"schema":"https://github.com/citation-style-language/schema/raw/master/csl-citation.json"}</w:instrText>
      </w:r>
      <w:r w:rsidR="00BB42AE" w:rsidRPr="00E32653">
        <w:rPr>
          <w:rFonts w:asciiTheme="majorBidi" w:hAnsiTheme="majorBidi" w:cstheme="majorBidi"/>
        </w:rPr>
        <w:fldChar w:fldCharType="separate"/>
      </w:r>
      <w:r w:rsidR="00BB42AE" w:rsidRPr="00E32653">
        <w:rPr>
          <w:rFonts w:asciiTheme="majorBidi" w:hAnsiTheme="majorBidi" w:cstheme="majorBidi"/>
          <w:noProof/>
        </w:rPr>
        <w:t xml:space="preserve">Lu, et al., </w:t>
      </w:r>
      <w:r w:rsidR="00E46D40" w:rsidRPr="00E32653">
        <w:rPr>
          <w:rFonts w:asciiTheme="majorBidi" w:hAnsiTheme="majorBidi" w:cstheme="majorBidi"/>
          <w:noProof/>
        </w:rPr>
        <w:t>(</w:t>
      </w:r>
      <w:r w:rsidR="00BB42AE" w:rsidRPr="00E32653">
        <w:rPr>
          <w:rFonts w:asciiTheme="majorBidi" w:hAnsiTheme="majorBidi" w:cstheme="majorBidi"/>
          <w:noProof/>
        </w:rPr>
        <w:t>2017</w:t>
      </w:r>
      <w:r w:rsidR="001731FB" w:rsidRPr="00E32653">
        <w:rPr>
          <w:rFonts w:asciiTheme="majorBidi" w:hAnsiTheme="majorBidi" w:cstheme="majorBidi"/>
          <w:noProof/>
        </w:rPr>
        <w:t>a</w:t>
      </w:r>
      <w:r w:rsidR="00BB42AE" w:rsidRPr="00E32653">
        <w:rPr>
          <w:rFonts w:asciiTheme="majorBidi" w:hAnsiTheme="majorBidi" w:cstheme="majorBidi"/>
          <w:noProof/>
        </w:rPr>
        <w:t>)</w:t>
      </w:r>
      <w:r w:rsidR="00BB42AE" w:rsidRPr="00E32653">
        <w:rPr>
          <w:rFonts w:asciiTheme="majorBidi" w:hAnsiTheme="majorBidi" w:cstheme="majorBidi"/>
        </w:rPr>
        <w:fldChar w:fldCharType="end"/>
      </w:r>
      <w:r w:rsidR="008E6321" w:rsidRPr="00E32653">
        <w:rPr>
          <w:rFonts w:asciiTheme="majorBidi" w:hAnsiTheme="majorBidi" w:cstheme="majorBidi"/>
        </w:rPr>
        <w:t xml:space="preserve"> </w:t>
      </w:r>
      <w:r w:rsidRPr="00E32653">
        <w:rPr>
          <w:rFonts w:asciiTheme="majorBidi" w:hAnsiTheme="majorBidi" w:cstheme="majorBidi"/>
        </w:rPr>
        <w:t xml:space="preserve">used </w:t>
      </w:r>
      <w:r w:rsidR="008E6321" w:rsidRPr="00E32653">
        <w:rPr>
          <w:rFonts w:asciiTheme="majorBidi" w:hAnsiTheme="majorBidi" w:cstheme="majorBidi"/>
        </w:rPr>
        <w:t xml:space="preserve">LCA </w:t>
      </w:r>
      <w:r w:rsidRPr="00E32653">
        <w:rPr>
          <w:rFonts w:asciiTheme="majorBidi" w:hAnsiTheme="majorBidi" w:cstheme="majorBidi"/>
        </w:rPr>
        <w:t xml:space="preserve">to </w:t>
      </w:r>
      <w:r w:rsidR="008E6321" w:rsidRPr="00E32653">
        <w:rPr>
          <w:rFonts w:asciiTheme="majorBidi" w:hAnsiTheme="majorBidi" w:cstheme="majorBidi"/>
        </w:rPr>
        <w:t>study LVL, steel</w:t>
      </w:r>
      <w:r w:rsidR="00161F5F" w:rsidRPr="00E32653">
        <w:rPr>
          <w:rFonts w:asciiTheme="majorBidi" w:hAnsiTheme="majorBidi" w:cstheme="majorBidi"/>
        </w:rPr>
        <w:t>,</w:t>
      </w:r>
      <w:r w:rsidR="008E6321" w:rsidRPr="00E32653">
        <w:rPr>
          <w:rFonts w:asciiTheme="majorBidi" w:hAnsiTheme="majorBidi" w:cstheme="majorBidi"/>
        </w:rPr>
        <w:t xml:space="preserve"> and concrete</w:t>
      </w:r>
      <w:r w:rsidR="00161F5F" w:rsidRPr="00E32653">
        <w:rPr>
          <w:rFonts w:asciiTheme="majorBidi" w:hAnsiTheme="majorBidi" w:cstheme="majorBidi"/>
        </w:rPr>
        <w:t>. Their</w:t>
      </w:r>
      <w:r w:rsidR="008E6321" w:rsidRPr="00E32653">
        <w:rPr>
          <w:rFonts w:asciiTheme="majorBidi" w:hAnsiTheme="majorBidi" w:cstheme="majorBidi"/>
        </w:rPr>
        <w:t xml:space="preserve"> result</w:t>
      </w:r>
      <w:r w:rsidR="00161F5F" w:rsidRPr="00E32653">
        <w:rPr>
          <w:rFonts w:asciiTheme="majorBidi" w:hAnsiTheme="majorBidi" w:cstheme="majorBidi"/>
        </w:rPr>
        <w:t>s</w:t>
      </w:r>
      <w:r w:rsidR="008E6321" w:rsidRPr="00E32653">
        <w:rPr>
          <w:rFonts w:asciiTheme="majorBidi" w:hAnsiTheme="majorBidi" w:cstheme="majorBidi"/>
        </w:rPr>
        <w:t xml:space="preserve"> showed that</w:t>
      </w:r>
      <w:r w:rsidR="00161F5F" w:rsidRPr="00E32653">
        <w:rPr>
          <w:rFonts w:asciiTheme="majorBidi" w:hAnsiTheme="majorBidi" w:cstheme="majorBidi"/>
        </w:rPr>
        <w:t xml:space="preserve"> </w:t>
      </w:r>
      <w:r w:rsidR="008E6321" w:rsidRPr="00E32653">
        <w:rPr>
          <w:rFonts w:asciiTheme="majorBidi" w:hAnsiTheme="majorBidi" w:cstheme="majorBidi"/>
        </w:rPr>
        <w:t>LVL perform</w:t>
      </w:r>
      <w:r w:rsidRPr="00E32653">
        <w:rPr>
          <w:rFonts w:asciiTheme="majorBidi" w:hAnsiTheme="majorBidi" w:cstheme="majorBidi"/>
        </w:rPr>
        <w:t>ed</w:t>
      </w:r>
      <w:r w:rsidR="008E6321" w:rsidRPr="00E32653">
        <w:rPr>
          <w:rFonts w:asciiTheme="majorBidi" w:hAnsiTheme="majorBidi" w:cstheme="majorBidi"/>
        </w:rPr>
        <w:t xml:space="preserve"> better than steel and concrete as </w:t>
      </w:r>
      <w:r w:rsidRPr="00E32653">
        <w:rPr>
          <w:rFonts w:asciiTheme="majorBidi" w:hAnsiTheme="majorBidi" w:cstheme="majorBidi"/>
        </w:rPr>
        <w:t xml:space="preserve">a </w:t>
      </w:r>
      <w:r w:rsidR="008E6321" w:rsidRPr="00E32653">
        <w:rPr>
          <w:rFonts w:asciiTheme="majorBidi" w:hAnsiTheme="majorBidi" w:cstheme="majorBidi"/>
        </w:rPr>
        <w:t>structur</w:t>
      </w:r>
      <w:r w:rsidRPr="00E32653">
        <w:rPr>
          <w:rFonts w:asciiTheme="majorBidi" w:hAnsiTheme="majorBidi" w:cstheme="majorBidi"/>
        </w:rPr>
        <w:t>al material</w:t>
      </w:r>
      <w:r w:rsidR="008E6321" w:rsidRPr="00E32653">
        <w:rPr>
          <w:rFonts w:asciiTheme="majorBidi" w:hAnsiTheme="majorBidi" w:cstheme="majorBidi"/>
        </w:rPr>
        <w:t xml:space="preserve">. </w:t>
      </w:r>
      <w:r w:rsidR="00161F5F" w:rsidRPr="00E32653">
        <w:rPr>
          <w:rFonts w:asciiTheme="majorBidi" w:hAnsiTheme="majorBidi" w:cstheme="majorBidi"/>
        </w:rPr>
        <w:t xml:space="preserve">In addition, </w:t>
      </w:r>
      <w:r w:rsidR="008E6321" w:rsidRPr="00E32653">
        <w:rPr>
          <w:rFonts w:asciiTheme="majorBidi" w:hAnsiTheme="majorBidi" w:cstheme="majorBidi"/>
        </w:rPr>
        <w:t xml:space="preserve">LVL </w:t>
      </w:r>
      <w:r w:rsidRPr="00E32653">
        <w:rPr>
          <w:rFonts w:asciiTheme="majorBidi" w:hAnsiTheme="majorBidi" w:cstheme="majorBidi"/>
        </w:rPr>
        <w:t>was</w:t>
      </w:r>
      <w:r w:rsidR="00367154" w:rsidRPr="00E32653">
        <w:rPr>
          <w:rFonts w:asciiTheme="majorBidi" w:hAnsiTheme="majorBidi" w:cstheme="majorBidi"/>
        </w:rPr>
        <w:t xml:space="preserve"> </w:t>
      </w:r>
      <w:r w:rsidR="008E6321" w:rsidRPr="00E32653">
        <w:rPr>
          <w:rFonts w:asciiTheme="majorBidi" w:hAnsiTheme="majorBidi" w:cstheme="majorBidi"/>
        </w:rPr>
        <w:t xml:space="preserve">the </w:t>
      </w:r>
      <w:r w:rsidRPr="00E32653">
        <w:rPr>
          <w:rFonts w:asciiTheme="majorBidi" w:hAnsiTheme="majorBidi" w:cstheme="majorBidi"/>
        </w:rPr>
        <w:t xml:space="preserve">most </w:t>
      </w:r>
      <w:r w:rsidR="008E6321" w:rsidRPr="00E32653">
        <w:rPr>
          <w:rFonts w:asciiTheme="majorBidi" w:hAnsiTheme="majorBidi" w:cstheme="majorBidi"/>
        </w:rPr>
        <w:t>cost</w:t>
      </w:r>
      <w:r w:rsidRPr="00E32653">
        <w:rPr>
          <w:rFonts w:asciiTheme="majorBidi" w:hAnsiTheme="majorBidi" w:cstheme="majorBidi"/>
        </w:rPr>
        <w:t xml:space="preserve"> effective option</w:t>
      </w:r>
      <w:r w:rsidR="008E6321" w:rsidRPr="00E32653">
        <w:rPr>
          <w:rFonts w:asciiTheme="majorBidi" w:hAnsiTheme="majorBidi" w:cstheme="majorBidi"/>
        </w:rPr>
        <w:t xml:space="preserve">. </w:t>
      </w:r>
      <w:r w:rsidR="00BB42AE" w:rsidRPr="00E32653">
        <w:rPr>
          <w:rFonts w:asciiTheme="majorBidi" w:hAnsiTheme="majorBidi" w:cstheme="majorBidi"/>
        </w:rPr>
        <w:fldChar w:fldCharType="begin" w:fldLock="1"/>
      </w:r>
      <w:r w:rsidR="00061124" w:rsidRPr="00E32653">
        <w:rPr>
          <w:rFonts w:asciiTheme="majorBidi" w:hAnsiTheme="majorBidi" w:cstheme="majorBidi"/>
        </w:rPr>
        <w:instrText>ADDIN CSL_CITATION {"citationItems":[{"id":"ITEM-1","itemData":{"abstract":"Many actions have been taken to decrease the operational energy use in buildings. However, with higher energy efficiency standards, the focus is increasingly shifting to energy demand for the production of building materials and the related greenhouse gas emissions. When moving towards zero emission buildings, the developments of more sustainable bearing structure are of interest. A six story housing complex was constructed in Gothenburg, Sweden in 2012 with a structure made of laminated veneer lumber floor elements and glue laminated beams and columns. The use of laminated veneer lumber has the advantage of being a light weight solution. Building with wood in Norway is generally regarded as a carbon efficient solution, but the im- pact of additional materials such as glue and insulation can influence the overall results is of in- terest. Life cycle assessment is used as a tool to calculate the carbon footprint in the production of the main building materials of the structure. The goal of the assessment is to compare the wood structure as built with an equivalent steel and concrete structure and to optimise the use of materials. The scope of the assessment includes the foundation and elevator shaft, structural beams and columns and the floor elements. The results indicate that the steel and concrete alter- native have about 35% higher greenhouse gas (GHG) emissions than the as built wood solution, but that almost half of the total emissions are related to the foundation and elevator shaft. 1","author":[{"dropping-particle":"","family":"Tellnes","given":"L G F","non-dropping-particle":"","parse-names":false,"suffix":""},{"dropping-particle":"","family":"Eide","given":"S","non-dropping-particle":"","parse-names":false,"suffix":""}],"container-title":"LCA of Sustainable Materials and Technologies beam","id":"ITEM-1","issue":"2006","issued":{"date-parts":[["2006"]]},"page":"817-824","title":"Assessment of carbon footprint of laminated veneer lumber elements in a six story housing – comparison to a steel and concrete solution","type":"article-journal"},"uris":["http://www.mendeley.com/documents/?uuid=bab327c5-0d62-41a9-b2c0-684fdb94bc32"]}],"mendeley":{"formattedCitation":"(Tellnes &amp; Eide, 2006)","manualFormatting":"Tellnes et al.(2006)","plainTextFormattedCitation":"(Tellnes &amp; Eide, 2006)","previouslyFormattedCitation":"(Tellnes &amp; Eide, 2006)"},"properties":{"noteIndex":0},"schema":"https://github.com/citation-style-language/schema/raw/master/csl-citation.json"}</w:instrText>
      </w:r>
      <w:r w:rsidR="00BB42AE" w:rsidRPr="00E32653">
        <w:rPr>
          <w:rFonts w:asciiTheme="majorBidi" w:hAnsiTheme="majorBidi" w:cstheme="majorBidi"/>
        </w:rPr>
        <w:fldChar w:fldCharType="separate"/>
      </w:r>
      <w:r w:rsidR="00BB42AE" w:rsidRPr="00E32653">
        <w:rPr>
          <w:rFonts w:asciiTheme="majorBidi" w:hAnsiTheme="majorBidi" w:cstheme="majorBidi"/>
          <w:noProof/>
        </w:rPr>
        <w:t xml:space="preserve">Tellnes </w:t>
      </w:r>
      <w:r w:rsidR="00AF7087" w:rsidRPr="00E32653">
        <w:rPr>
          <w:rFonts w:asciiTheme="majorBidi" w:hAnsiTheme="majorBidi" w:cstheme="majorBidi"/>
          <w:noProof/>
        </w:rPr>
        <w:t>et al.</w:t>
      </w:r>
      <w:r w:rsidR="00061124" w:rsidRPr="00E32653">
        <w:rPr>
          <w:rFonts w:asciiTheme="majorBidi" w:hAnsiTheme="majorBidi" w:cstheme="majorBidi"/>
          <w:noProof/>
        </w:rPr>
        <w:t>(</w:t>
      </w:r>
      <w:r w:rsidR="00BB42AE" w:rsidRPr="00E32653">
        <w:rPr>
          <w:rFonts w:asciiTheme="majorBidi" w:hAnsiTheme="majorBidi" w:cstheme="majorBidi"/>
          <w:noProof/>
        </w:rPr>
        <w:t>2006)</w:t>
      </w:r>
      <w:r w:rsidR="00BB42AE" w:rsidRPr="00E32653">
        <w:rPr>
          <w:rFonts w:asciiTheme="majorBidi" w:hAnsiTheme="majorBidi" w:cstheme="majorBidi"/>
        </w:rPr>
        <w:fldChar w:fldCharType="end"/>
      </w:r>
      <w:r w:rsidR="00367154" w:rsidRPr="00E32653">
        <w:rPr>
          <w:rFonts w:asciiTheme="majorBidi" w:hAnsiTheme="majorBidi" w:cstheme="majorBidi"/>
        </w:rPr>
        <w:t xml:space="preserve"> </w:t>
      </w:r>
      <w:r w:rsidRPr="00E32653">
        <w:rPr>
          <w:rFonts w:asciiTheme="majorBidi" w:hAnsiTheme="majorBidi" w:cstheme="majorBidi"/>
        </w:rPr>
        <w:t xml:space="preserve">also used </w:t>
      </w:r>
      <w:r w:rsidR="00367154" w:rsidRPr="00E32653">
        <w:rPr>
          <w:rFonts w:asciiTheme="majorBidi" w:hAnsiTheme="majorBidi" w:cstheme="majorBidi"/>
        </w:rPr>
        <w:t xml:space="preserve">LCA </w:t>
      </w:r>
      <w:r w:rsidRPr="00E32653">
        <w:rPr>
          <w:rFonts w:asciiTheme="majorBidi" w:hAnsiTheme="majorBidi" w:cstheme="majorBidi"/>
        </w:rPr>
        <w:t xml:space="preserve">to assess </w:t>
      </w:r>
      <w:r w:rsidR="00367154" w:rsidRPr="00E32653">
        <w:rPr>
          <w:rFonts w:asciiTheme="majorBidi" w:hAnsiTheme="majorBidi" w:cstheme="majorBidi"/>
        </w:rPr>
        <w:t>a six-</w:t>
      </w:r>
      <w:r w:rsidR="00061124" w:rsidRPr="00E32653">
        <w:rPr>
          <w:rFonts w:asciiTheme="majorBidi" w:hAnsiTheme="majorBidi" w:cstheme="majorBidi"/>
        </w:rPr>
        <w:t xml:space="preserve">story building </w:t>
      </w:r>
      <w:r w:rsidR="00367154" w:rsidRPr="00E32653">
        <w:rPr>
          <w:rFonts w:asciiTheme="majorBidi" w:hAnsiTheme="majorBidi" w:cstheme="majorBidi"/>
        </w:rPr>
        <w:t xml:space="preserve">using </w:t>
      </w:r>
      <w:r w:rsidR="00061124" w:rsidRPr="00E32653">
        <w:rPr>
          <w:rFonts w:asciiTheme="majorBidi" w:hAnsiTheme="majorBidi" w:cstheme="majorBidi"/>
        </w:rPr>
        <w:t>GLT as post</w:t>
      </w:r>
      <w:r w:rsidRPr="00E32653">
        <w:rPr>
          <w:rFonts w:asciiTheme="majorBidi" w:hAnsiTheme="majorBidi" w:cstheme="majorBidi"/>
        </w:rPr>
        <w:t>s</w:t>
      </w:r>
      <w:r w:rsidR="00061124" w:rsidRPr="00E32653">
        <w:rPr>
          <w:rFonts w:asciiTheme="majorBidi" w:hAnsiTheme="majorBidi" w:cstheme="majorBidi"/>
        </w:rPr>
        <w:t xml:space="preserve"> and beam</w:t>
      </w:r>
      <w:r w:rsidRPr="00E32653">
        <w:rPr>
          <w:rFonts w:asciiTheme="majorBidi" w:hAnsiTheme="majorBidi" w:cstheme="majorBidi"/>
        </w:rPr>
        <w:t>s</w:t>
      </w:r>
      <w:r w:rsidR="00061124" w:rsidRPr="00E32653">
        <w:rPr>
          <w:rFonts w:asciiTheme="majorBidi" w:hAnsiTheme="majorBidi" w:cstheme="majorBidi"/>
        </w:rPr>
        <w:t>, LVL</w:t>
      </w:r>
      <w:r w:rsidRPr="00E32653">
        <w:rPr>
          <w:rFonts w:asciiTheme="majorBidi" w:hAnsiTheme="majorBidi" w:cstheme="majorBidi"/>
        </w:rPr>
        <w:t xml:space="preserve"> as</w:t>
      </w:r>
      <w:r w:rsidR="00061124" w:rsidRPr="00E32653">
        <w:rPr>
          <w:rFonts w:asciiTheme="majorBidi" w:hAnsiTheme="majorBidi" w:cstheme="majorBidi"/>
        </w:rPr>
        <w:t xml:space="preserve"> floor</w:t>
      </w:r>
      <w:r w:rsidRPr="00E32653">
        <w:rPr>
          <w:rFonts w:asciiTheme="majorBidi" w:hAnsiTheme="majorBidi" w:cstheme="majorBidi"/>
        </w:rPr>
        <w:t>ing</w:t>
      </w:r>
      <w:r w:rsidR="00061124" w:rsidRPr="00E32653">
        <w:rPr>
          <w:rFonts w:asciiTheme="majorBidi" w:hAnsiTheme="majorBidi" w:cstheme="majorBidi"/>
        </w:rPr>
        <w:t xml:space="preserve"> and concrete </w:t>
      </w:r>
      <w:r w:rsidR="00367154" w:rsidRPr="00E32653">
        <w:rPr>
          <w:rFonts w:asciiTheme="majorBidi" w:hAnsiTheme="majorBidi" w:cstheme="majorBidi"/>
        </w:rPr>
        <w:t xml:space="preserve">and </w:t>
      </w:r>
      <w:r w:rsidR="00061124" w:rsidRPr="00E32653">
        <w:rPr>
          <w:rFonts w:asciiTheme="majorBidi" w:hAnsiTheme="majorBidi" w:cstheme="majorBidi"/>
        </w:rPr>
        <w:t>steel foundation</w:t>
      </w:r>
      <w:r w:rsidRPr="00E32653">
        <w:rPr>
          <w:rFonts w:asciiTheme="majorBidi" w:hAnsiTheme="majorBidi" w:cstheme="majorBidi"/>
        </w:rPr>
        <w:t>s</w:t>
      </w:r>
      <w:r w:rsidR="00061124" w:rsidRPr="00E32653">
        <w:rPr>
          <w:rFonts w:asciiTheme="majorBidi" w:hAnsiTheme="majorBidi" w:cstheme="majorBidi"/>
        </w:rPr>
        <w:t xml:space="preserve"> and elevator shaf</w:t>
      </w:r>
      <w:r w:rsidR="00772230" w:rsidRPr="00E32653">
        <w:rPr>
          <w:rFonts w:asciiTheme="majorBidi" w:hAnsiTheme="majorBidi" w:cstheme="majorBidi"/>
        </w:rPr>
        <w:t>t</w:t>
      </w:r>
      <w:r w:rsidR="00061124" w:rsidRPr="00E32653">
        <w:rPr>
          <w:rFonts w:asciiTheme="majorBidi" w:hAnsiTheme="majorBidi" w:cstheme="majorBidi"/>
        </w:rPr>
        <w:t>. The</w:t>
      </w:r>
      <w:r w:rsidR="00B455CA" w:rsidRPr="00E32653">
        <w:rPr>
          <w:rFonts w:asciiTheme="majorBidi" w:hAnsiTheme="majorBidi" w:cstheme="majorBidi"/>
        </w:rPr>
        <w:t xml:space="preserve">y </w:t>
      </w:r>
      <w:r w:rsidR="00061124" w:rsidRPr="00E32653">
        <w:rPr>
          <w:rFonts w:asciiTheme="majorBidi" w:hAnsiTheme="majorBidi" w:cstheme="majorBidi"/>
        </w:rPr>
        <w:t xml:space="preserve">showed that steel and concrete </w:t>
      </w:r>
      <w:r w:rsidR="0027342D" w:rsidRPr="00E32653">
        <w:rPr>
          <w:rFonts w:asciiTheme="majorBidi" w:hAnsiTheme="majorBidi" w:cstheme="majorBidi"/>
        </w:rPr>
        <w:t xml:space="preserve">emit </w:t>
      </w:r>
      <w:r w:rsidR="00061124" w:rsidRPr="00E32653">
        <w:rPr>
          <w:rFonts w:asciiTheme="majorBidi" w:hAnsiTheme="majorBidi" w:cstheme="majorBidi"/>
        </w:rPr>
        <w:t xml:space="preserve">about 35% </w:t>
      </w:r>
      <w:r w:rsidR="0027342D" w:rsidRPr="00E32653">
        <w:rPr>
          <w:rFonts w:asciiTheme="majorBidi" w:hAnsiTheme="majorBidi" w:cstheme="majorBidi"/>
        </w:rPr>
        <w:t xml:space="preserve">more </w:t>
      </w:r>
      <w:r w:rsidR="00F94A27" w:rsidRPr="00E32653">
        <w:rPr>
          <w:rFonts w:asciiTheme="majorBidi" w:hAnsiTheme="majorBidi" w:cstheme="majorBidi"/>
        </w:rPr>
        <w:t xml:space="preserve">Global warming potential (GWP) </w:t>
      </w:r>
      <w:r w:rsidR="00061124" w:rsidRPr="00E32653">
        <w:rPr>
          <w:rFonts w:asciiTheme="majorBidi" w:hAnsiTheme="majorBidi" w:cstheme="majorBidi"/>
        </w:rPr>
        <w:t xml:space="preserve">than the wood </w:t>
      </w:r>
      <w:r w:rsidR="00772230" w:rsidRPr="00E32653">
        <w:rPr>
          <w:rFonts w:asciiTheme="majorBidi" w:hAnsiTheme="majorBidi" w:cstheme="majorBidi"/>
        </w:rPr>
        <w:t>materials</w:t>
      </w:r>
      <w:r w:rsidR="00061124" w:rsidRPr="00E32653">
        <w:rPr>
          <w:rFonts w:asciiTheme="majorBidi" w:hAnsiTheme="majorBidi" w:cstheme="majorBidi"/>
        </w:rPr>
        <w:t xml:space="preserve">. </w:t>
      </w:r>
      <w:r w:rsidR="00C842BF" w:rsidRPr="00E32653">
        <w:rPr>
          <w:rFonts w:asciiTheme="majorBidi" w:hAnsiTheme="majorBidi" w:cstheme="majorBidi"/>
        </w:rPr>
        <w:fldChar w:fldCharType="begin" w:fldLock="1"/>
      </w:r>
      <w:r w:rsidR="00CD5DB3" w:rsidRPr="00E32653">
        <w:rPr>
          <w:rFonts w:asciiTheme="majorBidi" w:hAnsiTheme="majorBidi" w:cstheme="majorBidi"/>
        </w:rPr>
        <w:instrText>ADDIN CSL_CITATION {"citationItems":[{"id":"ITEM-1","itemData":{"DOI":"10.3390/buildings2030245","abstract":"The objective of this project was to quantify and compare the environmental impacts associated with alternative designs for a typical North American mid-rise office building. Two scenarios were considered; a traditional cast-in-place, reinforced concrete frame and a laminated timber hybrid design, which utilized engineered wood products (cross-laminated timber (CLT) and glulam). The boundary of the quantitative analysis was cradle-to-construction site gate and encompassed the structural support system and the building enclosure. Floor plans, elevations, material quantities, and structural loads associated with a five-storey concrete-framed building design were obtained from issued-for-construction drawings. A functionally equivalent, laminated timber hybrid design was conceived, based on Canadian Building Code requirements. Design values for locally produced CLT panels were established from in-house material testing. Primary data collected from a pilot-scale manufacturing facility was used to develop the life cycle inventory for CLT, whereas secondary sources were referenced for other construction materials. The TRACI characterization methodology was employed to translate inventory flows into impact indicators. The results indicated that the laminated timber building design offered a lower environmental impact in 10 of 11 assessment categories. The cradle-to-gate process energy was found to be nearly identical in both design scenarios (3.5 GJ/m2), whereas the cumulative embodied energy (feedstock plus process) of construction materials was estimated to be 8.2 and \r\n4.6 GJ/m2 for the timber and concrete designs, respectively; which indicated an increased availability of readily accessible potential energy stored within the building materials of the timber alternative.","author":[{"dropping-particle":"","family":"Robertson","given":"Adam B","non-dropping-particle":"","parse-names":false,"suffix":""},{"dropping-particle":"","family":"Lam","given":"Frank C F","non-dropping-particle":"","parse-names":false,"suffix":""},{"dropping-particle":"","family":"Cole","given":"Raymond J","non-dropping-particle":"","parse-names":false,"suffix":""}],"id":"ITEM-1","issued":{"date-parts":[["2012"]]},"page":"245-270","title":"A Comparative Cradle-to-Gate Life Cycle Assessment of Mid-Rise Office Building Construction Alternatives: Laminated Timber or Reinforced Concrete","type":"article-journal"},"uris":["http://www.mendeley.com/documents/?uuid=306d62b0-dc5a-4ade-ad12-0e50dd7fafba"]}],"mendeley":{"formattedCitation":"(Robertson et al., 2012)","manualFormatting":"Robertson et al., (2012)","plainTextFormattedCitation":"(Robertson et al., 2012)","previouslyFormattedCitation":"(Robertson et al., 2012)"},"properties":{"noteIndex":0},"schema":"https://github.com/citation-style-language/schema/raw/master/csl-citation.json"}</w:instrText>
      </w:r>
      <w:r w:rsidR="00C842BF" w:rsidRPr="00E32653">
        <w:rPr>
          <w:rFonts w:asciiTheme="majorBidi" w:hAnsiTheme="majorBidi" w:cstheme="majorBidi"/>
        </w:rPr>
        <w:fldChar w:fldCharType="separate"/>
      </w:r>
      <w:r w:rsidR="00C842BF" w:rsidRPr="00E32653">
        <w:rPr>
          <w:rFonts w:asciiTheme="majorBidi" w:hAnsiTheme="majorBidi" w:cstheme="majorBidi"/>
          <w:noProof/>
        </w:rPr>
        <w:t xml:space="preserve">Robertson et al., </w:t>
      </w:r>
      <w:r w:rsidR="00AF7087" w:rsidRPr="00E32653">
        <w:rPr>
          <w:rFonts w:asciiTheme="majorBidi" w:hAnsiTheme="majorBidi" w:cstheme="majorBidi"/>
          <w:noProof/>
        </w:rPr>
        <w:t>(</w:t>
      </w:r>
      <w:r w:rsidR="00C842BF" w:rsidRPr="00E32653">
        <w:rPr>
          <w:rFonts w:asciiTheme="majorBidi" w:hAnsiTheme="majorBidi" w:cstheme="majorBidi"/>
          <w:noProof/>
        </w:rPr>
        <w:t>2012)</w:t>
      </w:r>
      <w:r w:rsidR="00C842BF" w:rsidRPr="00E32653">
        <w:rPr>
          <w:rFonts w:asciiTheme="majorBidi" w:hAnsiTheme="majorBidi" w:cstheme="majorBidi"/>
        </w:rPr>
        <w:fldChar w:fldCharType="end"/>
      </w:r>
      <w:r w:rsidR="004E121A" w:rsidRPr="00E32653">
        <w:rPr>
          <w:rFonts w:asciiTheme="majorBidi" w:hAnsiTheme="majorBidi" w:cstheme="majorBidi"/>
        </w:rPr>
        <w:t xml:space="preserve"> assessed two </w:t>
      </w:r>
      <w:r w:rsidR="00B455CA" w:rsidRPr="00E32653">
        <w:rPr>
          <w:rFonts w:asciiTheme="majorBidi" w:hAnsiTheme="majorBidi" w:cstheme="majorBidi"/>
        </w:rPr>
        <w:t>alternatives:</w:t>
      </w:r>
      <w:r w:rsidR="0027342D" w:rsidRPr="00E32653">
        <w:rPr>
          <w:rFonts w:asciiTheme="majorBidi" w:hAnsiTheme="majorBidi" w:cstheme="majorBidi"/>
        </w:rPr>
        <w:t xml:space="preserve"> </w:t>
      </w:r>
      <w:r w:rsidR="00902459" w:rsidRPr="00E32653">
        <w:rPr>
          <w:rFonts w:asciiTheme="majorBidi" w:hAnsiTheme="majorBidi" w:cstheme="majorBidi"/>
        </w:rPr>
        <w:t xml:space="preserve">a </w:t>
      </w:r>
      <w:r w:rsidR="004E121A" w:rsidRPr="00E32653">
        <w:rPr>
          <w:rFonts w:asciiTheme="majorBidi" w:hAnsiTheme="majorBidi" w:cstheme="majorBidi"/>
        </w:rPr>
        <w:t>reinforced concrete frame with CLT and</w:t>
      </w:r>
      <w:r w:rsidR="00902459" w:rsidRPr="00E32653">
        <w:rPr>
          <w:rFonts w:asciiTheme="majorBidi" w:hAnsiTheme="majorBidi" w:cstheme="majorBidi"/>
        </w:rPr>
        <w:t xml:space="preserve"> a</w:t>
      </w:r>
      <w:r w:rsidR="004E121A" w:rsidRPr="00E32653">
        <w:rPr>
          <w:rFonts w:asciiTheme="majorBidi" w:hAnsiTheme="majorBidi" w:cstheme="majorBidi"/>
        </w:rPr>
        <w:t xml:space="preserve"> glulam hybrid design</w:t>
      </w:r>
      <w:r w:rsidR="00212121" w:rsidRPr="00E32653">
        <w:rPr>
          <w:rFonts w:asciiTheme="majorBidi" w:hAnsiTheme="majorBidi" w:cstheme="majorBidi"/>
        </w:rPr>
        <w:t xml:space="preserve"> with </w:t>
      </w:r>
      <w:r w:rsidR="00B455CA" w:rsidRPr="00E32653">
        <w:rPr>
          <w:rFonts w:asciiTheme="majorBidi" w:hAnsiTheme="majorBidi" w:cstheme="majorBidi"/>
        </w:rPr>
        <w:t xml:space="preserve">a </w:t>
      </w:r>
      <w:r w:rsidR="00212121" w:rsidRPr="00E32653">
        <w:rPr>
          <w:rFonts w:asciiTheme="majorBidi" w:hAnsiTheme="majorBidi" w:cstheme="majorBidi"/>
        </w:rPr>
        <w:t>boundary of cradle to construction site</w:t>
      </w:r>
      <w:r w:rsidR="004E121A" w:rsidRPr="00E32653">
        <w:rPr>
          <w:rFonts w:asciiTheme="majorBidi" w:hAnsiTheme="majorBidi" w:cstheme="majorBidi"/>
        </w:rPr>
        <w:t>.</w:t>
      </w:r>
      <w:r w:rsidR="00212121" w:rsidRPr="00E32653">
        <w:rPr>
          <w:rFonts w:asciiTheme="majorBidi" w:hAnsiTheme="majorBidi" w:cstheme="majorBidi"/>
        </w:rPr>
        <w:t xml:space="preserve"> </w:t>
      </w:r>
      <w:r w:rsidR="00D45350" w:rsidRPr="00E32653">
        <w:rPr>
          <w:rFonts w:asciiTheme="majorBidi" w:hAnsiTheme="majorBidi" w:cstheme="majorBidi"/>
        </w:rPr>
        <w:t>The</w:t>
      </w:r>
      <w:r w:rsidR="00B455CA" w:rsidRPr="00E32653">
        <w:rPr>
          <w:rFonts w:asciiTheme="majorBidi" w:hAnsiTheme="majorBidi" w:cstheme="majorBidi"/>
        </w:rPr>
        <w:t>ir</w:t>
      </w:r>
      <w:r w:rsidR="00D45350" w:rsidRPr="00E32653">
        <w:rPr>
          <w:rFonts w:asciiTheme="majorBidi" w:hAnsiTheme="majorBidi" w:cstheme="majorBidi"/>
        </w:rPr>
        <w:t xml:space="preserve"> results indicated that the laminated </w:t>
      </w:r>
      <w:r w:rsidR="00F82C15" w:rsidRPr="00E32653">
        <w:rPr>
          <w:rFonts w:asciiTheme="majorBidi" w:hAnsiTheme="majorBidi" w:cstheme="majorBidi"/>
        </w:rPr>
        <w:t>wood</w:t>
      </w:r>
      <w:r w:rsidR="00D45350" w:rsidRPr="00E32653">
        <w:rPr>
          <w:rFonts w:asciiTheme="majorBidi" w:hAnsiTheme="majorBidi" w:cstheme="majorBidi"/>
        </w:rPr>
        <w:t xml:space="preserve"> building </w:t>
      </w:r>
      <w:r w:rsidR="00352D7E" w:rsidRPr="00E32653">
        <w:rPr>
          <w:rFonts w:asciiTheme="majorBidi" w:hAnsiTheme="majorBidi" w:cstheme="majorBidi"/>
        </w:rPr>
        <w:t>had</w:t>
      </w:r>
      <w:r w:rsidR="00D45350" w:rsidRPr="00E32653">
        <w:rPr>
          <w:rFonts w:asciiTheme="majorBidi" w:hAnsiTheme="majorBidi" w:cstheme="majorBidi"/>
        </w:rPr>
        <w:t xml:space="preserve"> a lower environmental impact. </w:t>
      </w:r>
      <w:r w:rsidR="00A22C40" w:rsidRPr="00E32653">
        <w:rPr>
          <w:rFonts w:asciiTheme="majorBidi" w:hAnsiTheme="majorBidi" w:cstheme="majorBidi"/>
        </w:rPr>
        <w:fldChar w:fldCharType="begin" w:fldLock="1"/>
      </w:r>
      <w:r w:rsidR="00CD5DB3" w:rsidRPr="00E32653">
        <w:rPr>
          <w:rFonts w:asciiTheme="majorBidi" w:hAnsiTheme="majorBidi" w:cstheme="majorBidi"/>
        </w:rPr>
        <w:instrText>ADDIN CSL_CITATION {"citationItems":[{"id":"ITEM-1","itemData":{"DOI":"10.1016/j.buildenv.2017.08.025","abstract":"© 2017 Elsevier Ltd Malaysian government has advised builders to apply Industrial Building System (IBS) technique in construction due to so many advantages such as productivity, efficiency and cost. This study attempted to reduce greenhouse gas (GHG) emissions from building sector by representing two new building compositions into IBS structures categories. Life cycle assessment (LCA) tool Simapro.8 has been used to identify the environmental performance of buildings from cradle to grave. The full LCA has been run to assess the six different types of prefabricated buildings system, of which four are currently recognized and the other two are designed by current research. The primary result shows that timber prefabricate is the best choice due to having lower emissions toward climate change mitigation of building construction. However, timber houses have rarely been built due to some defects that occurred to its material and structure over time. Rate of applying wood in the construction industry in Malaysia has gone down from about 60% to 7% over the last 40 years. Therefore, this research aims to contribute to the body of knowledge by introducing new composite. First composite is Glued laminated timber (GLT) with steel stud and the second is a combination of laminated veneer lumber (LVL) with steel stud as two new compositions which not only have significantly less global warming potential (GWP) than prefabricated concrete structure or steel framing system, but can be replaced rather than abandoned timber structure. Therefore, new compositions can be suggested to house builders and facilitate the decision making process.","author":[{"dropping-particle":"","family":"Balasbaneh","given":"A.T.","non-dropping-particle":"","parse-names":false,"suffix":""},{"dropping-particle":"","family":"Marsono","given":"A.K.","non-dropping-particle":"Bin","parse-names":false,"suffix":""}],"container-title":"Building and Environment","id":"ITEM-1","issued":{"date-parts":[["2017"]]},"page":"357-368","title":"Strategies for reducing greenhouse gas emissions from residential sector by proposing new building structures in hot and humid climatic conditions","type":"article-journal","volume":"124"},"uris":["http://www.mendeley.com/documents/?uuid=206caa84-ead6-3186-8aa8-e7525e965987"]}],"mendeley":{"formattedCitation":"(A.T. Balasbaneh &amp; Bin Marsono, 2017b)","manualFormatting":"Balasbaneh et al. (2017b)","plainTextFormattedCitation":"(A.T. Balasbaneh &amp; Bin Marsono, 2017b)","previouslyFormattedCitation":"(A.T. Balasbaneh &amp; Bin Marsono, 2017b)"},"properties":{"noteIndex":0},"schema":"https://github.com/citation-style-language/schema/raw/master/csl-citation.json"}</w:instrText>
      </w:r>
      <w:r w:rsidR="00A22C40" w:rsidRPr="00E32653">
        <w:rPr>
          <w:rFonts w:asciiTheme="majorBidi" w:hAnsiTheme="majorBidi" w:cstheme="majorBidi"/>
        </w:rPr>
        <w:fldChar w:fldCharType="separate"/>
      </w:r>
      <w:r w:rsidR="00A22C40" w:rsidRPr="00E32653">
        <w:rPr>
          <w:rFonts w:asciiTheme="majorBidi" w:hAnsiTheme="majorBidi" w:cstheme="majorBidi"/>
          <w:noProof/>
        </w:rPr>
        <w:t xml:space="preserve">Balasbaneh </w:t>
      </w:r>
      <w:r w:rsidR="00AF7087" w:rsidRPr="00E32653">
        <w:rPr>
          <w:rFonts w:asciiTheme="majorBidi" w:hAnsiTheme="majorBidi" w:cstheme="majorBidi"/>
          <w:noProof/>
        </w:rPr>
        <w:t>et al.</w:t>
      </w:r>
      <w:r w:rsidR="00A22C40" w:rsidRPr="00E32653">
        <w:rPr>
          <w:rFonts w:asciiTheme="majorBidi" w:hAnsiTheme="majorBidi" w:cstheme="majorBidi"/>
          <w:noProof/>
        </w:rPr>
        <w:t xml:space="preserve"> </w:t>
      </w:r>
      <w:r w:rsidR="00AF7087" w:rsidRPr="00E32653">
        <w:rPr>
          <w:rFonts w:asciiTheme="majorBidi" w:hAnsiTheme="majorBidi" w:cstheme="majorBidi"/>
          <w:noProof/>
        </w:rPr>
        <w:t>(</w:t>
      </w:r>
      <w:r w:rsidR="00A22C40" w:rsidRPr="00E32653">
        <w:rPr>
          <w:rFonts w:asciiTheme="majorBidi" w:hAnsiTheme="majorBidi" w:cstheme="majorBidi"/>
          <w:noProof/>
        </w:rPr>
        <w:t>2017b)</w:t>
      </w:r>
      <w:r w:rsidR="00A22C40" w:rsidRPr="00E32653">
        <w:rPr>
          <w:rFonts w:asciiTheme="majorBidi" w:hAnsiTheme="majorBidi" w:cstheme="majorBidi"/>
        </w:rPr>
        <w:fldChar w:fldCharType="end"/>
      </w:r>
      <w:r w:rsidR="000E3684" w:rsidRPr="00E32653">
        <w:rPr>
          <w:rFonts w:asciiTheme="majorBidi" w:hAnsiTheme="majorBidi" w:cstheme="majorBidi"/>
        </w:rPr>
        <w:t xml:space="preserve"> proposed a new composite </w:t>
      </w:r>
      <w:r w:rsidR="00352D7E" w:rsidRPr="00E32653">
        <w:rPr>
          <w:rFonts w:asciiTheme="majorBidi" w:hAnsiTheme="majorBidi" w:cstheme="majorBidi"/>
        </w:rPr>
        <w:t xml:space="preserve">approach </w:t>
      </w:r>
      <w:r w:rsidR="000E3684" w:rsidRPr="00E32653">
        <w:rPr>
          <w:rFonts w:asciiTheme="majorBidi" w:hAnsiTheme="majorBidi" w:cstheme="majorBidi"/>
        </w:rPr>
        <w:t>combining GLT with steel stud</w:t>
      </w:r>
      <w:r w:rsidR="002765DF" w:rsidRPr="00E32653">
        <w:rPr>
          <w:rFonts w:asciiTheme="majorBidi" w:hAnsiTheme="majorBidi" w:cstheme="majorBidi"/>
        </w:rPr>
        <w:t>s</w:t>
      </w:r>
      <w:r w:rsidR="000E3684" w:rsidRPr="00E32653">
        <w:rPr>
          <w:rFonts w:asciiTheme="majorBidi" w:hAnsiTheme="majorBidi" w:cstheme="majorBidi"/>
        </w:rPr>
        <w:t xml:space="preserve"> and LVL with steel stud</w:t>
      </w:r>
      <w:r w:rsidR="002765DF" w:rsidRPr="00E32653">
        <w:rPr>
          <w:rFonts w:asciiTheme="majorBidi" w:hAnsiTheme="majorBidi" w:cstheme="majorBidi"/>
        </w:rPr>
        <w:t>s</w:t>
      </w:r>
      <w:r w:rsidR="000E3684" w:rsidRPr="00E32653">
        <w:rPr>
          <w:rFonts w:asciiTheme="majorBidi" w:hAnsiTheme="majorBidi" w:cstheme="majorBidi"/>
        </w:rPr>
        <w:t xml:space="preserve"> as building beam</w:t>
      </w:r>
      <w:r w:rsidR="002765DF" w:rsidRPr="00E32653">
        <w:rPr>
          <w:rFonts w:asciiTheme="majorBidi" w:hAnsiTheme="majorBidi" w:cstheme="majorBidi"/>
        </w:rPr>
        <w:t>s</w:t>
      </w:r>
      <w:r w:rsidR="000E3684" w:rsidRPr="00E32653">
        <w:rPr>
          <w:rFonts w:asciiTheme="majorBidi" w:hAnsiTheme="majorBidi" w:cstheme="majorBidi"/>
        </w:rPr>
        <w:t xml:space="preserve"> and column</w:t>
      </w:r>
      <w:r w:rsidR="002765DF" w:rsidRPr="00E32653">
        <w:rPr>
          <w:rFonts w:asciiTheme="majorBidi" w:hAnsiTheme="majorBidi" w:cstheme="majorBidi"/>
        </w:rPr>
        <w:t>s</w:t>
      </w:r>
      <w:r w:rsidR="000E3684" w:rsidRPr="00E32653">
        <w:rPr>
          <w:rFonts w:asciiTheme="majorBidi" w:hAnsiTheme="majorBidi" w:cstheme="majorBidi"/>
        </w:rPr>
        <w:t>. The</w:t>
      </w:r>
      <w:r w:rsidR="00B455CA" w:rsidRPr="00E32653">
        <w:rPr>
          <w:rFonts w:asciiTheme="majorBidi" w:hAnsiTheme="majorBidi" w:cstheme="majorBidi"/>
        </w:rPr>
        <w:t xml:space="preserve">y </w:t>
      </w:r>
      <w:r w:rsidR="002765DF" w:rsidRPr="00E32653">
        <w:rPr>
          <w:rFonts w:asciiTheme="majorBidi" w:hAnsiTheme="majorBidi" w:cstheme="majorBidi"/>
        </w:rPr>
        <w:t xml:space="preserve">showed </w:t>
      </w:r>
      <w:r w:rsidR="000E3684" w:rsidRPr="00E32653">
        <w:rPr>
          <w:rFonts w:asciiTheme="majorBidi" w:hAnsiTheme="majorBidi" w:cstheme="majorBidi"/>
        </w:rPr>
        <w:t xml:space="preserve">that </w:t>
      </w:r>
      <w:r w:rsidR="00234EF0" w:rsidRPr="00E32653">
        <w:rPr>
          <w:rFonts w:asciiTheme="majorBidi" w:hAnsiTheme="majorBidi" w:cstheme="majorBidi"/>
        </w:rPr>
        <w:t xml:space="preserve">the </w:t>
      </w:r>
      <w:r w:rsidR="000E3684" w:rsidRPr="00E32653">
        <w:rPr>
          <w:rFonts w:asciiTheme="majorBidi" w:hAnsiTheme="majorBidi" w:cstheme="majorBidi"/>
        </w:rPr>
        <w:t xml:space="preserve">new </w:t>
      </w:r>
      <w:r w:rsidR="00902459" w:rsidRPr="00E32653">
        <w:rPr>
          <w:rFonts w:asciiTheme="majorBidi" w:hAnsiTheme="majorBidi" w:cstheme="majorBidi"/>
        </w:rPr>
        <w:t xml:space="preserve">approach </w:t>
      </w:r>
      <w:r w:rsidR="000E3684" w:rsidRPr="00E32653">
        <w:rPr>
          <w:rFonts w:asciiTheme="majorBidi" w:hAnsiTheme="majorBidi" w:cstheme="majorBidi"/>
        </w:rPr>
        <w:t>ha</w:t>
      </w:r>
      <w:r w:rsidR="002765DF" w:rsidRPr="00E32653">
        <w:rPr>
          <w:rFonts w:asciiTheme="majorBidi" w:hAnsiTheme="majorBidi" w:cstheme="majorBidi"/>
        </w:rPr>
        <w:t>d</w:t>
      </w:r>
      <w:r w:rsidR="000E3684" w:rsidRPr="00E32653">
        <w:rPr>
          <w:rFonts w:asciiTheme="majorBidi" w:hAnsiTheme="majorBidi" w:cstheme="majorBidi"/>
        </w:rPr>
        <w:t xml:space="preserve"> lower </w:t>
      </w:r>
      <w:r w:rsidR="00F94A27" w:rsidRPr="00E32653">
        <w:rPr>
          <w:rFonts w:asciiTheme="majorBidi" w:hAnsiTheme="majorBidi" w:cstheme="majorBidi"/>
        </w:rPr>
        <w:t>GWP</w:t>
      </w:r>
      <w:r w:rsidR="000E3684" w:rsidRPr="00E32653">
        <w:rPr>
          <w:rFonts w:asciiTheme="majorBidi" w:hAnsiTheme="majorBidi" w:cstheme="majorBidi"/>
        </w:rPr>
        <w:t xml:space="preserve"> emission</w:t>
      </w:r>
      <w:r w:rsidR="00902459" w:rsidRPr="00E32653">
        <w:rPr>
          <w:rFonts w:asciiTheme="majorBidi" w:hAnsiTheme="majorBidi" w:cstheme="majorBidi"/>
        </w:rPr>
        <w:t>s</w:t>
      </w:r>
      <w:r w:rsidR="000E3684" w:rsidRPr="00E32653">
        <w:rPr>
          <w:rFonts w:asciiTheme="majorBidi" w:hAnsiTheme="majorBidi" w:cstheme="majorBidi"/>
        </w:rPr>
        <w:t xml:space="preserve"> </w:t>
      </w:r>
      <w:r w:rsidR="00234EF0" w:rsidRPr="00E32653">
        <w:rPr>
          <w:rFonts w:asciiTheme="majorBidi" w:hAnsiTheme="majorBidi" w:cstheme="majorBidi"/>
        </w:rPr>
        <w:t xml:space="preserve">than </w:t>
      </w:r>
      <w:r w:rsidR="000E3684" w:rsidRPr="00E32653">
        <w:rPr>
          <w:rFonts w:asciiTheme="majorBidi" w:hAnsiTheme="majorBidi" w:cstheme="majorBidi"/>
        </w:rPr>
        <w:t xml:space="preserve">concrete. </w:t>
      </w:r>
      <w:r w:rsidR="00A22C40" w:rsidRPr="00E32653">
        <w:rPr>
          <w:rFonts w:asciiTheme="majorBidi" w:hAnsiTheme="majorBidi" w:cstheme="majorBidi"/>
        </w:rPr>
        <w:fldChar w:fldCharType="begin" w:fldLock="1"/>
      </w:r>
      <w:r w:rsidR="00CD5DB3" w:rsidRPr="00E32653">
        <w:rPr>
          <w:rFonts w:asciiTheme="majorBidi" w:hAnsiTheme="majorBidi" w:cstheme="majorBidi"/>
        </w:rPr>
        <w:instrText>ADDIN CSL_CITATION {"citationItems":[{"id":"ITEM-1","itemData":{"DOI":"10.1016/j.enbuild.2014.06.034","ISSN":"03787788","abstract":"A consequential-based lifecycle approach is used here to explore the carbon implications of conventional and low-energy versions of three timber multi-storey building systems. The building systems are made of massive wood using cross laminated timber (CLT) elements; beam-and-column using glulam and laminated veneer lumber (LVL) elements; and prefabricated modules using light-frame volume elements. The analysis encompasses the entire resource chains during the lifecycle of the buildings, and tracks the flows of carbon from fossil energy, industrial process reactions, changes in carbon stocks in materials, and potential avoided fossil emissions from substitution of fossil energy by woody residues. The results show that the low-energy version of the CLT building gives the lowest lifecycle carbon emission while the conventional version of the beam-and-column building gives the highest lifecycle emission. Compared to the conventional designs, the low-energy designs reduce the total carbon emissions (excluding from tap water heating and household and facility electricity) by 9%, 8% and 9% for the CLT, beam-and-column and modular systems, respectively, for a 50-year lifespan located in Växjö. The relative significance of the construction materials to the fossil carbon emission varies for the different energy-efficiency levels of the buildings, with insulation dominating for the low-energy houses and plasterboard dominating for the conventional houses. © 2014 Elsevier B.V.","author":[{"dropping-particle":"","family":"Dodoo","given":"Ambrose","non-dropping-particle":"","parse-names":false,"suffix":""},{"dropping-particle":"","family":"Gustavsson","given":"Leif","non-dropping-particle":"","parse-names":false,"suffix":""},{"dropping-particle":"","family":"Sathre","given":"Roger","non-dropping-particle":"","parse-names":false,"suffix":""}],"container-title":"Energy and Buildings","id":"ITEM-1","issued":{"date-parts":[["2014"]]},"page":"194-210","publisher":"Elsevier B.V.","title":"Lifecycle carbon implications of conventional and low-energy multi-storey timber building systems","type":"article-journal","volume":"82"},"uris":["http://www.mendeley.com/documents/?uuid=a9b025e3-63cc-4ba3-a1a7-800432bfb294"]}],"mendeley":{"formattedCitation":"(Dodoo et al., 2014)","manualFormatting":"Dodoo et al., (2014)","plainTextFormattedCitation":"(Dodoo et al., 2014)","previouslyFormattedCitation":"(Dodoo et al., 2014)"},"properties":{"noteIndex":0},"schema":"https://github.com/citation-style-language/schema/raw/master/csl-citation.json"}</w:instrText>
      </w:r>
      <w:r w:rsidR="00A22C40" w:rsidRPr="00E32653">
        <w:rPr>
          <w:rFonts w:asciiTheme="majorBidi" w:hAnsiTheme="majorBidi" w:cstheme="majorBidi"/>
        </w:rPr>
        <w:fldChar w:fldCharType="separate"/>
      </w:r>
      <w:r w:rsidR="00A22C40" w:rsidRPr="00E32653">
        <w:rPr>
          <w:rFonts w:asciiTheme="majorBidi" w:hAnsiTheme="majorBidi" w:cstheme="majorBidi"/>
          <w:noProof/>
        </w:rPr>
        <w:t xml:space="preserve">Dodoo et al., </w:t>
      </w:r>
      <w:r w:rsidR="00AF7087" w:rsidRPr="00E32653">
        <w:rPr>
          <w:rFonts w:asciiTheme="majorBidi" w:hAnsiTheme="majorBidi" w:cstheme="majorBidi"/>
          <w:noProof/>
        </w:rPr>
        <w:t>(</w:t>
      </w:r>
      <w:r w:rsidR="00A22C40" w:rsidRPr="00E32653">
        <w:rPr>
          <w:rFonts w:asciiTheme="majorBidi" w:hAnsiTheme="majorBidi" w:cstheme="majorBidi"/>
          <w:noProof/>
        </w:rPr>
        <w:t>2014)</w:t>
      </w:r>
      <w:r w:rsidR="00A22C40" w:rsidRPr="00E32653">
        <w:rPr>
          <w:rFonts w:asciiTheme="majorBidi" w:hAnsiTheme="majorBidi" w:cstheme="majorBidi"/>
        </w:rPr>
        <w:fldChar w:fldCharType="end"/>
      </w:r>
      <w:r w:rsidR="00234EF0" w:rsidRPr="00E32653">
        <w:rPr>
          <w:rFonts w:asciiTheme="majorBidi" w:hAnsiTheme="majorBidi" w:cstheme="majorBidi"/>
        </w:rPr>
        <w:t xml:space="preserve"> assessed </w:t>
      </w:r>
      <w:r w:rsidR="009B1512" w:rsidRPr="00E32653">
        <w:rPr>
          <w:rFonts w:asciiTheme="majorBidi" w:hAnsiTheme="majorBidi" w:cstheme="majorBidi"/>
        </w:rPr>
        <w:t>the carbon implications of two different versions (conventional and low-energy) of three different timber multi-</w:t>
      </w:r>
      <w:r w:rsidR="00833096" w:rsidRPr="00E32653">
        <w:rPr>
          <w:rFonts w:asciiTheme="majorBidi" w:hAnsiTheme="majorBidi" w:cstheme="majorBidi"/>
        </w:rPr>
        <w:t>story</w:t>
      </w:r>
      <w:r w:rsidR="009B1512" w:rsidRPr="00E32653">
        <w:rPr>
          <w:rFonts w:asciiTheme="majorBidi" w:hAnsiTheme="majorBidi" w:cstheme="majorBidi"/>
        </w:rPr>
        <w:t xml:space="preserve"> building systems including massive wood building </w:t>
      </w:r>
      <w:r w:rsidR="006D4FAF" w:rsidRPr="00E32653">
        <w:rPr>
          <w:rFonts w:asciiTheme="majorBidi" w:hAnsiTheme="majorBidi" w:cstheme="majorBidi"/>
        </w:rPr>
        <w:t>(implementing CLT elements), beam-and-column (applying glulam and LVL), and building</w:t>
      </w:r>
      <w:r w:rsidR="00E73BE5" w:rsidRPr="00E32653">
        <w:rPr>
          <w:rFonts w:asciiTheme="majorBidi" w:hAnsiTheme="majorBidi" w:cstheme="majorBidi"/>
        </w:rPr>
        <w:t>s</w:t>
      </w:r>
      <w:r w:rsidR="006D4FAF" w:rsidRPr="00E32653">
        <w:rPr>
          <w:rFonts w:asciiTheme="majorBidi" w:hAnsiTheme="majorBidi" w:cstheme="majorBidi"/>
        </w:rPr>
        <w:t xml:space="preserve"> made of prefabricated modules (using </w:t>
      </w:r>
      <w:r w:rsidR="00833096" w:rsidRPr="00E32653">
        <w:rPr>
          <w:rFonts w:asciiTheme="majorBidi" w:hAnsiTheme="majorBidi" w:cstheme="majorBidi"/>
        </w:rPr>
        <w:t>lightweight volumetric</w:t>
      </w:r>
      <w:r w:rsidR="006D4FAF" w:rsidRPr="00E32653">
        <w:rPr>
          <w:rFonts w:asciiTheme="majorBidi" w:hAnsiTheme="majorBidi" w:cstheme="majorBidi"/>
        </w:rPr>
        <w:t xml:space="preserve"> elements)</w:t>
      </w:r>
      <w:r w:rsidR="00C01598" w:rsidRPr="00E32653">
        <w:rPr>
          <w:rFonts w:asciiTheme="majorBidi" w:hAnsiTheme="majorBidi" w:cstheme="majorBidi"/>
        </w:rPr>
        <w:t xml:space="preserve">. </w:t>
      </w:r>
      <w:r w:rsidR="001E0BDC" w:rsidRPr="00E32653">
        <w:rPr>
          <w:rFonts w:asciiTheme="majorBidi" w:hAnsiTheme="majorBidi" w:cstheme="majorBidi"/>
        </w:rPr>
        <w:t>The</w:t>
      </w:r>
      <w:r w:rsidR="002765DF" w:rsidRPr="00E32653">
        <w:rPr>
          <w:rFonts w:asciiTheme="majorBidi" w:hAnsiTheme="majorBidi" w:cstheme="majorBidi"/>
        </w:rPr>
        <w:t>ir</w:t>
      </w:r>
      <w:r w:rsidR="001E0BDC" w:rsidRPr="00E32653">
        <w:rPr>
          <w:rFonts w:asciiTheme="majorBidi" w:hAnsiTheme="majorBidi" w:cstheme="majorBidi"/>
        </w:rPr>
        <w:t xml:space="preserve"> results </w:t>
      </w:r>
      <w:r w:rsidR="00E608C2" w:rsidRPr="00E32653">
        <w:rPr>
          <w:rFonts w:asciiTheme="majorBidi" w:hAnsiTheme="majorBidi" w:cstheme="majorBidi"/>
        </w:rPr>
        <w:t xml:space="preserve">indicated </w:t>
      </w:r>
      <w:r w:rsidR="001E0BDC" w:rsidRPr="00E32653">
        <w:rPr>
          <w:rFonts w:asciiTheme="majorBidi" w:hAnsiTheme="majorBidi" w:cstheme="majorBidi"/>
        </w:rPr>
        <w:t>that the low-energy version of the CLT building</w:t>
      </w:r>
      <w:r w:rsidR="00E608C2" w:rsidRPr="00E32653">
        <w:rPr>
          <w:rFonts w:asciiTheme="majorBidi" w:hAnsiTheme="majorBidi" w:cstheme="majorBidi"/>
        </w:rPr>
        <w:t xml:space="preserve"> and</w:t>
      </w:r>
      <w:r w:rsidR="00E608C2" w:rsidRPr="00E32653">
        <w:t xml:space="preserve"> </w:t>
      </w:r>
      <w:r w:rsidR="00E608C2" w:rsidRPr="00E32653">
        <w:rPr>
          <w:rFonts w:asciiTheme="majorBidi" w:hAnsiTheme="majorBidi" w:cstheme="majorBidi"/>
        </w:rPr>
        <w:t>the conventional version of the beam-and-column building contributed to the minimum and maximum life cycle carbon emission</w:t>
      </w:r>
      <w:r w:rsidR="00E73BE5" w:rsidRPr="00E32653">
        <w:rPr>
          <w:rFonts w:asciiTheme="majorBidi" w:hAnsiTheme="majorBidi" w:cstheme="majorBidi"/>
        </w:rPr>
        <w:t>s</w:t>
      </w:r>
      <w:r w:rsidR="00E608C2" w:rsidRPr="00E32653">
        <w:rPr>
          <w:rFonts w:asciiTheme="majorBidi" w:hAnsiTheme="majorBidi" w:cstheme="majorBidi"/>
        </w:rPr>
        <w:t>, respectively.</w:t>
      </w:r>
      <w:r w:rsidR="00E12773" w:rsidRPr="00E32653">
        <w:rPr>
          <w:rFonts w:asciiTheme="majorBidi" w:hAnsiTheme="majorBidi" w:cstheme="majorBidi"/>
        </w:rPr>
        <w:t xml:space="preserve"> </w:t>
      </w:r>
      <w:r w:rsidR="00F8580C" w:rsidRPr="00E32653">
        <w:rPr>
          <w:rFonts w:asciiTheme="majorBidi" w:hAnsiTheme="majorBidi" w:cstheme="majorBidi"/>
        </w:rPr>
        <w:t xml:space="preserve">In another study, </w:t>
      </w:r>
      <w:r w:rsidR="006B3458" w:rsidRPr="00E32653">
        <w:rPr>
          <w:rFonts w:asciiTheme="majorBidi" w:hAnsiTheme="majorBidi" w:cstheme="majorBidi"/>
        </w:rPr>
        <w:fldChar w:fldCharType="begin" w:fldLock="1"/>
      </w:r>
      <w:r w:rsidR="00D517DB" w:rsidRPr="00E32653">
        <w:rPr>
          <w:rFonts w:asciiTheme="majorBidi" w:hAnsiTheme="majorBidi" w:cstheme="majorBidi"/>
        </w:rPr>
        <w:instrText>ADDIN CSL_CITATION {"citationItems":[{"id":"ITEM-1","itemData":{"DOI":"10.1016/j.jobe.2018.07.006","abstract":"© 2018 Elsevier Ltd The impact of different hybrid timber building construction on three different categories namely: environment, economic and social is analyzed in this research. Five types of hybrid timber structure have been chosen in this study toward finding the most optimum choice for Malaysian low income housing. The base material of all case studies are wood and only main frame of structures are different. The environmental impact of each individual design encompasses material extraction, transportation, construction, maintenance and end-of-life phases. The life cycle aspect of current research is evaluated for global warming potential (GWP), human-toxicity potential (HTP), eutrophication (EP), fossil depletion (FDP), acidification (AP), life cycle cost (LCC) and social life cycle assessment (SLCA). The result revealed the different emissions between various structural schemes in all stages. Decision making process was oriented to sustainability as the hybrid steel stud &amp; timber (T2) generally performed better than timber structure with concrete, LVL or GLT with steel. Particularly, T2 had the lowest GWP (3.31E+3 kg-CO2-eq) and LCC (212,750 MYR) which was the lowest in comparison with other hybrid timber structures. Also the result of job creation revealed that timber sector will provide higher wage not only for existing employees but for timber sector regarding creating higher job possibility. The sensitivity analysis was accomplished on electricity usage and assumed instead of full fossil fuel mix electricity applied for acquiring construction material on mill. The result shows almost 15–30% less GWP emission for all building structure.","author":[{"dropping-particle":"","family":"Balasbaneh","given":"A.T.","non-dropping-particle":"","parse-names":false,"suffix":""},{"dropping-particle":"","family":"Marsono","given":"A.K.B.","non-dropping-particle":"","parse-names":false,"suffix":""},{"dropping-particle":"","family":"Khaleghi","given":"S.J.","non-dropping-particle":"","parse-names":false,"suffix":""}],"container-title":"Journal of Building Engineering","id":"ITEM-1","issued":{"date-parts":[["2018"]]},"page":"235-247","title":"Sustainability choice of different hybrid timber structure for low medium cost single-story residential building: Environmental, economic and social assessment","type":"article-journal","volume":"20"},"uris":["http://www.mendeley.com/documents/?uuid=4828d1dc-2879-3489-8d17-e27c583f4183"]}],"mendeley":{"formattedCitation":"(A.T. Balasbaneh et al., 2018)","manualFormatting":"Balasbaneh, et al., (2018)","plainTextFormattedCitation":"(A.T. Balasbaneh et al., 2018)","previouslyFormattedCitation":"(A.T. Balasbaneh et al., 2018)"},"properties":{"noteIndex":0},"schema":"https://github.com/citation-style-language/schema/raw/master/csl-citation.json"}</w:instrText>
      </w:r>
      <w:r w:rsidR="006B3458" w:rsidRPr="00E32653">
        <w:rPr>
          <w:rFonts w:asciiTheme="majorBidi" w:hAnsiTheme="majorBidi" w:cstheme="majorBidi"/>
        </w:rPr>
        <w:fldChar w:fldCharType="separate"/>
      </w:r>
      <w:r w:rsidR="006B3458" w:rsidRPr="00E32653">
        <w:rPr>
          <w:rFonts w:asciiTheme="majorBidi" w:hAnsiTheme="majorBidi" w:cstheme="majorBidi"/>
          <w:noProof/>
        </w:rPr>
        <w:t xml:space="preserve">Balasbaneh, et al., </w:t>
      </w:r>
      <w:r w:rsidR="00AF7087" w:rsidRPr="00E32653">
        <w:rPr>
          <w:rFonts w:asciiTheme="majorBidi" w:hAnsiTheme="majorBidi" w:cstheme="majorBidi"/>
          <w:noProof/>
        </w:rPr>
        <w:t>(</w:t>
      </w:r>
      <w:r w:rsidR="006B3458" w:rsidRPr="00E32653">
        <w:rPr>
          <w:rFonts w:asciiTheme="majorBidi" w:hAnsiTheme="majorBidi" w:cstheme="majorBidi"/>
          <w:noProof/>
        </w:rPr>
        <w:t>2018</w:t>
      </w:r>
      <w:r w:rsidR="001937C7" w:rsidRPr="00E32653">
        <w:rPr>
          <w:rFonts w:asciiTheme="majorBidi" w:hAnsiTheme="majorBidi" w:cstheme="majorBidi"/>
          <w:noProof/>
        </w:rPr>
        <w:t>c</w:t>
      </w:r>
      <w:r w:rsidR="006B3458" w:rsidRPr="00E32653">
        <w:rPr>
          <w:rFonts w:asciiTheme="majorBidi" w:hAnsiTheme="majorBidi" w:cstheme="majorBidi"/>
          <w:noProof/>
        </w:rPr>
        <w:t>)</w:t>
      </w:r>
      <w:r w:rsidR="006B3458" w:rsidRPr="00E32653">
        <w:rPr>
          <w:rFonts w:asciiTheme="majorBidi" w:hAnsiTheme="majorBidi" w:cstheme="majorBidi"/>
        </w:rPr>
        <w:fldChar w:fldCharType="end"/>
      </w:r>
      <w:r w:rsidR="00BA1DE8" w:rsidRPr="00E32653">
        <w:rPr>
          <w:rFonts w:asciiTheme="majorBidi" w:hAnsiTheme="majorBidi" w:cstheme="majorBidi"/>
        </w:rPr>
        <w:t xml:space="preserve"> assessed five different building </w:t>
      </w:r>
      <w:r w:rsidR="00F8580C" w:rsidRPr="00E32653">
        <w:rPr>
          <w:rFonts w:asciiTheme="majorBidi" w:hAnsiTheme="majorBidi" w:cstheme="majorBidi"/>
        </w:rPr>
        <w:t xml:space="preserve">structural </w:t>
      </w:r>
      <w:r w:rsidR="00BA1DE8" w:rsidRPr="00E32653">
        <w:rPr>
          <w:rFonts w:asciiTheme="majorBidi" w:hAnsiTheme="majorBidi" w:cstheme="majorBidi"/>
        </w:rPr>
        <w:t>design</w:t>
      </w:r>
      <w:r w:rsidR="00234EF0" w:rsidRPr="00E32653">
        <w:rPr>
          <w:rFonts w:asciiTheme="majorBidi" w:hAnsiTheme="majorBidi" w:cstheme="majorBidi"/>
        </w:rPr>
        <w:t>s</w:t>
      </w:r>
      <w:r w:rsidR="00BA1DE8" w:rsidRPr="00E32653">
        <w:rPr>
          <w:rFonts w:asciiTheme="majorBidi" w:hAnsiTheme="majorBidi" w:cstheme="majorBidi"/>
        </w:rPr>
        <w:t xml:space="preserve"> combining wood with concrete, steel or engineer</w:t>
      </w:r>
      <w:r w:rsidR="00F8580C" w:rsidRPr="00E32653">
        <w:rPr>
          <w:rFonts w:asciiTheme="majorBidi" w:hAnsiTheme="majorBidi" w:cstheme="majorBidi"/>
        </w:rPr>
        <w:t>ed</w:t>
      </w:r>
      <w:r w:rsidR="00BA1DE8" w:rsidRPr="00E32653">
        <w:rPr>
          <w:rFonts w:asciiTheme="majorBidi" w:hAnsiTheme="majorBidi" w:cstheme="majorBidi"/>
        </w:rPr>
        <w:t xml:space="preserve"> wood. </w:t>
      </w:r>
      <w:r w:rsidR="00234EF0" w:rsidRPr="00E32653">
        <w:rPr>
          <w:rFonts w:asciiTheme="majorBidi" w:hAnsiTheme="majorBidi" w:cstheme="majorBidi"/>
        </w:rPr>
        <w:t>The</w:t>
      </w:r>
      <w:r w:rsidR="00BA75EB" w:rsidRPr="00E32653">
        <w:rPr>
          <w:rFonts w:asciiTheme="majorBidi" w:hAnsiTheme="majorBidi" w:cstheme="majorBidi"/>
        </w:rPr>
        <w:t xml:space="preserve"> </w:t>
      </w:r>
      <w:r w:rsidR="00BA1DE8" w:rsidRPr="00E32653">
        <w:rPr>
          <w:rFonts w:asciiTheme="majorBidi" w:hAnsiTheme="majorBidi" w:cstheme="majorBidi"/>
        </w:rPr>
        <w:t xml:space="preserve">composite </w:t>
      </w:r>
      <w:r w:rsidR="000A5FBC" w:rsidRPr="00E32653">
        <w:rPr>
          <w:rFonts w:asciiTheme="majorBidi" w:hAnsiTheme="majorBidi" w:cstheme="majorBidi"/>
        </w:rPr>
        <w:t>wood and steel</w:t>
      </w:r>
      <w:r w:rsidR="00BA1DE8" w:rsidRPr="00E32653">
        <w:rPr>
          <w:rFonts w:asciiTheme="majorBidi" w:hAnsiTheme="majorBidi" w:cstheme="majorBidi"/>
        </w:rPr>
        <w:t xml:space="preserve"> </w:t>
      </w:r>
      <w:r w:rsidR="00E73BE5" w:rsidRPr="00E32653">
        <w:rPr>
          <w:rFonts w:asciiTheme="majorBidi" w:hAnsiTheme="majorBidi" w:cstheme="majorBidi"/>
        </w:rPr>
        <w:t xml:space="preserve">structure </w:t>
      </w:r>
      <w:r w:rsidR="00BA75EB" w:rsidRPr="00E32653">
        <w:rPr>
          <w:rFonts w:asciiTheme="majorBidi" w:hAnsiTheme="majorBidi" w:cstheme="majorBidi"/>
        </w:rPr>
        <w:t>were found to have</w:t>
      </w:r>
      <w:r w:rsidR="00BA1DE8" w:rsidRPr="00E32653">
        <w:rPr>
          <w:rFonts w:asciiTheme="majorBidi" w:hAnsiTheme="majorBidi" w:cstheme="majorBidi"/>
        </w:rPr>
        <w:t xml:space="preserve"> lower environmental emission</w:t>
      </w:r>
      <w:r w:rsidR="00BA75EB" w:rsidRPr="00E32653">
        <w:rPr>
          <w:rFonts w:asciiTheme="majorBidi" w:hAnsiTheme="majorBidi" w:cstheme="majorBidi"/>
        </w:rPr>
        <w:t>s</w:t>
      </w:r>
      <w:r w:rsidR="00BA1DE8" w:rsidRPr="00E32653">
        <w:rPr>
          <w:rFonts w:asciiTheme="majorBidi" w:hAnsiTheme="majorBidi" w:cstheme="majorBidi"/>
        </w:rPr>
        <w:t xml:space="preserve"> and cost</w:t>
      </w:r>
      <w:r w:rsidR="00BA75EB" w:rsidRPr="00E32653">
        <w:rPr>
          <w:rFonts w:asciiTheme="majorBidi" w:hAnsiTheme="majorBidi" w:cstheme="majorBidi"/>
        </w:rPr>
        <w:t>s</w:t>
      </w:r>
      <w:r w:rsidR="00BA1DE8" w:rsidRPr="00E32653">
        <w:rPr>
          <w:rFonts w:asciiTheme="majorBidi" w:hAnsiTheme="majorBidi" w:cstheme="majorBidi"/>
        </w:rPr>
        <w:t xml:space="preserve">. </w:t>
      </w:r>
    </w:p>
    <w:p w14:paraId="6418709C" w14:textId="006E490E" w:rsidR="00833096" w:rsidRPr="00E32653" w:rsidRDefault="000562E6" w:rsidP="00051645">
      <w:pPr>
        <w:ind w:firstLine="720"/>
        <w:jc w:val="both"/>
      </w:pPr>
      <w:r w:rsidRPr="00E32653">
        <w:rPr>
          <w:rFonts w:asciiTheme="majorBidi" w:hAnsiTheme="majorBidi" w:cstheme="majorBidi"/>
        </w:rPr>
        <w:t xml:space="preserve">The </w:t>
      </w:r>
      <w:r w:rsidR="00BA75EB" w:rsidRPr="00E32653">
        <w:rPr>
          <w:rFonts w:asciiTheme="majorBidi" w:hAnsiTheme="majorBidi" w:cstheme="majorBidi"/>
        </w:rPr>
        <w:t xml:space="preserve">aforementioned </w:t>
      </w:r>
      <w:r w:rsidRPr="00E32653">
        <w:rPr>
          <w:rFonts w:asciiTheme="majorBidi" w:hAnsiTheme="majorBidi" w:cstheme="majorBidi"/>
        </w:rPr>
        <w:t xml:space="preserve">literature </w:t>
      </w:r>
      <w:r w:rsidR="00BA75EB" w:rsidRPr="00E32653">
        <w:rPr>
          <w:rFonts w:asciiTheme="majorBidi" w:hAnsiTheme="majorBidi" w:cstheme="majorBidi"/>
        </w:rPr>
        <w:t xml:space="preserve">has </w:t>
      </w:r>
      <w:r w:rsidRPr="00E32653">
        <w:rPr>
          <w:rFonts w:asciiTheme="majorBidi" w:hAnsiTheme="majorBidi" w:cstheme="majorBidi"/>
        </w:rPr>
        <w:t>show</w:t>
      </w:r>
      <w:r w:rsidR="00BA75EB" w:rsidRPr="00E32653">
        <w:rPr>
          <w:rFonts w:asciiTheme="majorBidi" w:hAnsiTheme="majorBidi" w:cstheme="majorBidi"/>
        </w:rPr>
        <w:t>n</w:t>
      </w:r>
      <w:r w:rsidRPr="00E32653">
        <w:rPr>
          <w:rFonts w:asciiTheme="majorBidi" w:hAnsiTheme="majorBidi" w:cstheme="majorBidi"/>
        </w:rPr>
        <w:t xml:space="preserve"> that </w:t>
      </w:r>
      <w:r w:rsidR="00BA75EB" w:rsidRPr="00E32653">
        <w:rPr>
          <w:rFonts w:asciiTheme="majorBidi" w:hAnsiTheme="majorBidi" w:cstheme="majorBidi"/>
        </w:rPr>
        <w:t xml:space="preserve">the </w:t>
      </w:r>
      <w:r w:rsidR="000131AB" w:rsidRPr="00E32653">
        <w:rPr>
          <w:rFonts w:asciiTheme="majorBidi" w:hAnsiTheme="majorBidi" w:cstheme="majorBidi"/>
        </w:rPr>
        <w:t>environmental impacts and embodied energy</w:t>
      </w:r>
      <w:r w:rsidR="00DD645F" w:rsidRPr="00E32653">
        <w:rPr>
          <w:rFonts w:asciiTheme="majorBidi" w:hAnsiTheme="majorBidi" w:cstheme="majorBidi"/>
        </w:rPr>
        <w:t xml:space="preserve"> </w:t>
      </w:r>
      <w:r w:rsidR="00BA75EB" w:rsidRPr="00E32653">
        <w:rPr>
          <w:rFonts w:asciiTheme="majorBidi" w:hAnsiTheme="majorBidi" w:cstheme="majorBidi"/>
        </w:rPr>
        <w:t xml:space="preserve">of wood and mass timber </w:t>
      </w:r>
      <w:r w:rsidR="00DD645F" w:rsidRPr="00E32653">
        <w:rPr>
          <w:rFonts w:asciiTheme="majorBidi" w:hAnsiTheme="majorBidi" w:cstheme="majorBidi"/>
        </w:rPr>
        <w:t xml:space="preserve">are considerably lower than </w:t>
      </w:r>
      <w:r w:rsidR="00915C2E" w:rsidRPr="00E32653">
        <w:rPr>
          <w:rFonts w:asciiTheme="majorBidi" w:hAnsiTheme="majorBidi" w:cstheme="majorBidi"/>
        </w:rPr>
        <w:t>alternative</w:t>
      </w:r>
      <w:r w:rsidR="00BA75EB" w:rsidRPr="00E32653">
        <w:rPr>
          <w:rFonts w:asciiTheme="majorBidi" w:hAnsiTheme="majorBidi" w:cstheme="majorBidi"/>
        </w:rPr>
        <w:t>s</w:t>
      </w:r>
      <w:r w:rsidR="00DD645F" w:rsidRPr="00E32653">
        <w:rPr>
          <w:rFonts w:asciiTheme="majorBidi" w:hAnsiTheme="majorBidi" w:cstheme="majorBidi"/>
        </w:rPr>
        <w:t xml:space="preserve"> such as steel and reinforced concrete.</w:t>
      </w:r>
      <w:r w:rsidR="0085332C" w:rsidRPr="00E32653">
        <w:rPr>
          <w:rFonts w:asciiTheme="majorBidi" w:hAnsiTheme="majorBidi" w:cstheme="majorBidi"/>
        </w:rPr>
        <w:t xml:space="preserve"> </w:t>
      </w:r>
      <w:r w:rsidR="007101A7" w:rsidRPr="00E32653">
        <w:rPr>
          <w:rFonts w:asciiTheme="majorBidi" w:hAnsiTheme="majorBidi" w:cstheme="majorBidi"/>
        </w:rPr>
        <w:t xml:space="preserve">LVL </w:t>
      </w:r>
      <w:r w:rsidR="00BA75EB" w:rsidRPr="00E32653">
        <w:rPr>
          <w:rFonts w:asciiTheme="majorBidi" w:hAnsiTheme="majorBidi" w:cstheme="majorBidi"/>
        </w:rPr>
        <w:t xml:space="preserve">and </w:t>
      </w:r>
      <w:r w:rsidR="007101A7" w:rsidRPr="00E32653">
        <w:rPr>
          <w:rFonts w:asciiTheme="majorBidi" w:hAnsiTheme="majorBidi" w:cstheme="majorBidi"/>
        </w:rPr>
        <w:t xml:space="preserve">GLT have gained popularity in the construction industry as building materials and </w:t>
      </w:r>
      <w:r w:rsidR="00BA75EB" w:rsidRPr="00E32653">
        <w:rPr>
          <w:rFonts w:asciiTheme="majorBidi" w:hAnsiTheme="majorBidi" w:cstheme="majorBidi"/>
        </w:rPr>
        <w:t xml:space="preserve">are </w:t>
      </w:r>
      <w:r w:rsidR="007101A7" w:rsidRPr="00E32653">
        <w:rPr>
          <w:rFonts w:asciiTheme="majorBidi" w:hAnsiTheme="majorBidi" w:cstheme="majorBidi"/>
        </w:rPr>
        <w:t>increasingly accepted as cost-competitive building materials</w:t>
      </w:r>
      <w:r w:rsidR="007101A7" w:rsidRPr="00E32653">
        <w:rPr>
          <w:rFonts w:asciiTheme="majorBidi" w:hAnsiTheme="majorBidi" w:cstheme="majorBidi"/>
        </w:rPr>
        <w:fldChar w:fldCharType="begin" w:fldLock="1"/>
      </w:r>
      <w:r w:rsidR="007101A7" w:rsidRPr="00E32653">
        <w:rPr>
          <w:rFonts w:asciiTheme="majorBidi" w:hAnsiTheme="majorBidi" w:cstheme="majorBidi"/>
        </w:rPr>
        <w:instrText>ADDIN CSL_CITATION {"citationItems":[{"id":"ITEM-1","itemData":{"DOI":"10.1051/matecconf/201712002013","ISSN":"2261236X","abstract":"The use of wood is seen as a sustainable alternative to reduce environmental impacts in building and construction sector. The low quality hardwood logs from plantation thinning are enhanced by producing engineered wood such as laminated veneer lumber (LVL). Nevertheless, engineered wood requires the use of chemicals and energy that may reduce its environmental benefits. A life cycle assessment (LCA) was conducted to compare the environmental performance of LVL produced from forestry thinning and final harvest to steel and concrete. The functional unit used in this study was a 1-m-long structural beam in a continuous beam system of 6-m-span designed according to the Australian standards. The Global Warming Potential (GWP) and embedded energy were assessed. The results indicated that LVL beam from thinned logs presented the lowest GWP impact (5.22kg-CO2-Eq). However, due to significant energy requirements for wood drying, the embedded energy in LVL was 186.78MJ which is only marginally less than steel (216.86MJ) but significantly less than concrete (352.82MJ). LVL from mature hardwood logs had slightly higher GWP than that produced from thinning; mainly due to extra energy and materials consumption in the plantation stage. Furthermore, LVL produced from mature trees had higher embedded energy than steel.","author":[{"dropping-particle":"","family":"Lu","given":"Hangyong Ray","non-dropping-particle":"","parse-names":false,"suffix":""},{"dropping-particle":"","family":"Hanandeh","given":"Ali","non-dropping-particle":"El","parse-names":false,"suffix":""},{"dropping-particle":"","family":"Gilbert","given":"Benoit","non-dropping-particle":"","parse-names":false,"suffix":""},{"dropping-particle":"","family":"Bailleres","given":"Henri","non-dropping-particle":"","parse-names":false,"suffix":""}],"container-title":"MATEC Web of Conferences","id":"ITEM-1","issued":{"date-parts":[["2017"]]},"page":"1-9","title":"A comparative life cycle assessment (LCA) of alternative material for Australian building construction","type":"article-journal","volume":"120"},"uris":["http://www.mendeley.com/documents/?uuid=15d30dd5-63fb-43a7-8890-059e23958bbf"]}],"mendeley":{"formattedCitation":"(Lu, El Hanandeh, Gilbert, et al., 2017)","manualFormatting":" (Mallo, et al., (2015)","plainTextFormattedCitation":"(Lu, El Hanandeh, Gilbert, et al., 2017)","previouslyFormattedCitation":"(Lu, El Hanandeh, Gilbert, et al., 2017)"},"properties":{"noteIndex":0},"schema":"https://github.com/citation-style-language/schema/raw/master/csl-citation.json"}</w:instrText>
      </w:r>
      <w:r w:rsidR="007101A7" w:rsidRPr="00E32653">
        <w:rPr>
          <w:rFonts w:asciiTheme="majorBidi" w:hAnsiTheme="majorBidi" w:cstheme="majorBidi"/>
        </w:rPr>
        <w:fldChar w:fldCharType="separate"/>
      </w:r>
      <w:r w:rsidR="007101A7" w:rsidRPr="00E32653">
        <w:rPr>
          <w:rFonts w:asciiTheme="majorBidi" w:hAnsiTheme="majorBidi" w:cstheme="majorBidi"/>
        </w:rPr>
        <w:t xml:space="preserve"> (Mallo, et al., (2015)</w:t>
      </w:r>
      <w:r w:rsidR="007101A7" w:rsidRPr="00E32653">
        <w:rPr>
          <w:rFonts w:asciiTheme="majorBidi" w:hAnsiTheme="majorBidi" w:cstheme="majorBidi"/>
        </w:rPr>
        <w:fldChar w:fldCharType="end"/>
      </w:r>
      <w:r w:rsidR="007101A7" w:rsidRPr="00E32653">
        <w:rPr>
          <w:rFonts w:asciiTheme="majorBidi" w:hAnsiTheme="majorBidi" w:cstheme="majorBidi"/>
        </w:rPr>
        <w:t>.</w:t>
      </w:r>
      <w:r w:rsidR="00DD645F" w:rsidRPr="00E32653">
        <w:rPr>
          <w:rFonts w:asciiTheme="majorBidi" w:hAnsiTheme="majorBidi" w:cstheme="majorBidi"/>
        </w:rPr>
        <w:t xml:space="preserve"> </w:t>
      </w:r>
      <w:r w:rsidR="007101A7" w:rsidRPr="00E32653">
        <w:rPr>
          <w:rFonts w:asciiTheme="majorBidi" w:hAnsiTheme="majorBidi" w:cstheme="majorBidi"/>
        </w:rPr>
        <w:t>Nevertheless</w:t>
      </w:r>
      <w:r w:rsidR="00DD645F" w:rsidRPr="00E32653">
        <w:rPr>
          <w:rFonts w:asciiTheme="majorBidi" w:hAnsiTheme="majorBidi" w:cstheme="majorBidi"/>
        </w:rPr>
        <w:t xml:space="preserve">, there </w:t>
      </w:r>
      <w:r w:rsidR="00BA75EB" w:rsidRPr="00E32653">
        <w:rPr>
          <w:rFonts w:asciiTheme="majorBidi" w:hAnsiTheme="majorBidi" w:cstheme="majorBidi"/>
        </w:rPr>
        <w:t xml:space="preserve">are </w:t>
      </w:r>
      <w:r w:rsidR="00DD645F" w:rsidRPr="00E32653">
        <w:rPr>
          <w:rFonts w:asciiTheme="majorBidi" w:hAnsiTheme="majorBidi" w:cstheme="majorBidi"/>
        </w:rPr>
        <w:t xml:space="preserve">no </w:t>
      </w:r>
      <w:r w:rsidR="00BA75EB" w:rsidRPr="00E32653">
        <w:rPr>
          <w:rFonts w:asciiTheme="majorBidi" w:hAnsiTheme="majorBidi" w:cstheme="majorBidi"/>
        </w:rPr>
        <w:t>studies that identify</w:t>
      </w:r>
      <w:r w:rsidR="00DD645F" w:rsidRPr="00E32653">
        <w:rPr>
          <w:rFonts w:asciiTheme="majorBidi" w:hAnsiTheme="majorBidi" w:cstheme="majorBidi"/>
        </w:rPr>
        <w:t xml:space="preserve"> the </w:t>
      </w:r>
      <w:r w:rsidR="00915C2E" w:rsidRPr="00E32653">
        <w:rPr>
          <w:rFonts w:asciiTheme="majorBidi" w:hAnsiTheme="majorBidi" w:cstheme="majorBidi"/>
        </w:rPr>
        <w:t>differences</w:t>
      </w:r>
      <w:r w:rsidR="00DD645F" w:rsidRPr="00E32653">
        <w:rPr>
          <w:rFonts w:asciiTheme="majorBidi" w:hAnsiTheme="majorBidi" w:cstheme="majorBidi"/>
        </w:rPr>
        <w:t xml:space="preserve"> between GLT and LVL. </w:t>
      </w:r>
      <w:r w:rsidR="00C46676" w:rsidRPr="00E32653">
        <w:rPr>
          <w:rFonts w:asciiTheme="majorBidi" w:hAnsiTheme="majorBidi" w:cstheme="majorBidi"/>
        </w:rPr>
        <w:t xml:space="preserve">Most studies compare different mass </w:t>
      </w:r>
      <w:r w:rsidR="00712A64" w:rsidRPr="00E32653">
        <w:rPr>
          <w:rFonts w:asciiTheme="majorBidi" w:hAnsiTheme="majorBidi" w:cstheme="majorBidi"/>
        </w:rPr>
        <w:t xml:space="preserve">timber </w:t>
      </w:r>
      <w:r w:rsidR="00854068" w:rsidRPr="00E32653">
        <w:rPr>
          <w:rFonts w:asciiTheme="majorBidi" w:hAnsiTheme="majorBidi" w:cstheme="majorBidi"/>
        </w:rPr>
        <w:t xml:space="preserve">materials </w:t>
      </w:r>
      <w:r w:rsidR="00C46676" w:rsidRPr="00E32653">
        <w:rPr>
          <w:rFonts w:asciiTheme="majorBidi" w:hAnsiTheme="majorBidi" w:cstheme="majorBidi"/>
        </w:rPr>
        <w:t xml:space="preserve">such as LVL and GLT with alternatives </w:t>
      </w:r>
      <w:r w:rsidR="00712A64" w:rsidRPr="00E32653">
        <w:rPr>
          <w:rFonts w:asciiTheme="majorBidi" w:hAnsiTheme="majorBidi" w:cstheme="majorBidi"/>
        </w:rPr>
        <w:t>(</w:t>
      </w:r>
      <w:r w:rsidR="00854068" w:rsidRPr="00E32653">
        <w:rPr>
          <w:rFonts w:asciiTheme="majorBidi" w:hAnsiTheme="majorBidi" w:cstheme="majorBidi"/>
        </w:rPr>
        <w:t xml:space="preserve">such as </w:t>
      </w:r>
      <w:r w:rsidR="00712A64" w:rsidRPr="00E32653">
        <w:rPr>
          <w:rFonts w:asciiTheme="majorBidi" w:hAnsiTheme="majorBidi" w:cstheme="majorBidi"/>
        </w:rPr>
        <w:t>steel</w:t>
      </w:r>
      <w:r w:rsidR="00854068" w:rsidRPr="00E32653">
        <w:rPr>
          <w:rFonts w:asciiTheme="majorBidi" w:hAnsiTheme="majorBidi" w:cstheme="majorBidi"/>
        </w:rPr>
        <w:t xml:space="preserve"> and</w:t>
      </w:r>
      <w:r w:rsidR="00712A64" w:rsidRPr="00E32653">
        <w:rPr>
          <w:rFonts w:asciiTheme="majorBidi" w:hAnsiTheme="majorBidi" w:cstheme="majorBidi"/>
        </w:rPr>
        <w:t xml:space="preserve"> concrete)</w:t>
      </w:r>
      <w:r w:rsidR="00C46676" w:rsidRPr="00E32653">
        <w:rPr>
          <w:rFonts w:asciiTheme="majorBidi" w:hAnsiTheme="majorBidi" w:cstheme="majorBidi"/>
        </w:rPr>
        <w:t xml:space="preserve"> to </w:t>
      </w:r>
      <w:r w:rsidR="00854068" w:rsidRPr="00E32653">
        <w:rPr>
          <w:rFonts w:asciiTheme="majorBidi" w:hAnsiTheme="majorBidi" w:cstheme="majorBidi"/>
        </w:rPr>
        <w:t xml:space="preserve">highlight </w:t>
      </w:r>
      <w:r w:rsidR="00C46676" w:rsidRPr="00E32653">
        <w:rPr>
          <w:rFonts w:asciiTheme="majorBidi" w:hAnsiTheme="majorBidi" w:cstheme="majorBidi"/>
        </w:rPr>
        <w:t xml:space="preserve">mass timber </w:t>
      </w:r>
      <w:r w:rsidR="00854068" w:rsidRPr="00E32653">
        <w:rPr>
          <w:rFonts w:asciiTheme="majorBidi" w:hAnsiTheme="majorBidi" w:cstheme="majorBidi"/>
        </w:rPr>
        <w:t>a</w:t>
      </w:r>
      <w:r w:rsidR="00C46676" w:rsidRPr="00E32653">
        <w:rPr>
          <w:rFonts w:asciiTheme="majorBidi" w:hAnsiTheme="majorBidi" w:cstheme="majorBidi"/>
        </w:rPr>
        <w:t xml:space="preserve">s the best choice </w:t>
      </w:r>
      <w:r w:rsidR="00854068" w:rsidRPr="00E32653">
        <w:rPr>
          <w:rFonts w:asciiTheme="majorBidi" w:hAnsiTheme="majorBidi" w:cstheme="majorBidi"/>
        </w:rPr>
        <w:t>with</w:t>
      </w:r>
      <w:r w:rsidR="00712A64" w:rsidRPr="00E32653">
        <w:rPr>
          <w:rFonts w:asciiTheme="majorBidi" w:hAnsiTheme="majorBidi" w:cstheme="majorBidi"/>
        </w:rPr>
        <w:t xml:space="preserve"> a lower environmental impact </w:t>
      </w:r>
      <w:r w:rsidR="00B0129E" w:rsidRPr="00E32653">
        <w:rPr>
          <w:rFonts w:asciiTheme="majorBidi" w:hAnsiTheme="majorBidi" w:cstheme="majorBidi"/>
        </w:rPr>
        <w:t>(</w:t>
      </w:r>
      <w:r w:rsidR="00854068" w:rsidRPr="00E32653">
        <w:rPr>
          <w:rFonts w:asciiTheme="majorBidi" w:hAnsiTheme="majorBidi" w:cstheme="majorBidi"/>
        </w:rPr>
        <w:fldChar w:fldCharType="begin" w:fldLock="1"/>
      </w:r>
      <w:r w:rsidR="00854068" w:rsidRPr="00E32653">
        <w:rPr>
          <w:rFonts w:asciiTheme="majorBidi" w:hAnsiTheme="majorBidi" w:cstheme="majorBidi"/>
        </w:rPr>
        <w:instrText>ADDIN CSL_CITATION {"citationItems":[{"id":"ITEM-1","itemData":{"DOI":"10.1051/matecconf/201712002013","ISSN":"2261236X","abstract":"The use of wood is seen as a sustainable alternative to reduce environmental impacts in building and construction sector. The low quality hardwood logs from plantation thinning are enhanced by producing engineered wood such as laminated veneer lumber (LVL). Nevertheless, engineered wood requires the use of chemicals and energy that may reduce its environmental benefits. A life cycle assessment (LCA) was conducted to compare the environmental performance of LVL produced from forestry thinning and final harvest to steel and concrete. The functional unit used in this study was a 1-m-long structural beam in a continuous beam system of 6-m-span designed according to the Australian standards. The Global Warming Potential (GWP) and embedded energy were assessed. The results indicated that LVL beam from thinned logs presented the lowest GWP impact (5.22kg-CO2-Eq). However, due to significant energy requirements for wood drying, the embedded energy in LVL was 186.78MJ which is only marginally less than steel (216.86MJ) but significantly less than concrete (352.82MJ). LVL from mature hardwood logs had slightly higher GWP than that produced from thinning; mainly due to extra energy and materials consumption in the plantation stage. Furthermore, LVL produced from mature trees had higher embedded energy than steel.","author":[{"dropping-particle":"","family":"Lu","given":"Hangyong Ray","non-dropping-particle":"","parse-names":false,"suffix":""},{"dropping-particle":"","family":"Hanandeh","given":"Ali","non-dropping-particle":"El","parse-names":false,"suffix":""},{"dropping-particle":"","family":"Gilbert","given":"Benoit","non-dropping-particle":"","parse-names":false,"suffix":""},{"dropping-particle":"","family":"Bailleres","given":"Henri","non-dropping-particle":"","parse-names":false,"suffix":""}],"container-title":"MATEC Web of Conferences","id":"ITEM-1","issued":{"date-parts":[["2017"]]},"page":"1-9","title":"A comparative life cycle assessment (LCA) of alternative material for Australian building construction","type":"article-journal","volume":"120"},"uris":["http://www.mendeley.com/documents/?uuid=15d30dd5-63fb-43a7-8890-059e23958bbf"]}],"mendeley":{"formattedCitation":"(Lu, El Hanandeh, Gilbert, et al., 2017)","manualFormatting":"Lu, et al., (2017a )","plainTextFormattedCitation":"(Lu, El Hanandeh, Gilbert, et al., 2017)","previouslyFormattedCitation":"(Lu, El Hanandeh, Gilbert, et al., 2017)"},"properties":{"noteIndex":0},"schema":"https://github.com/citation-style-language/schema/raw/master/csl-citation.json"}</w:instrText>
      </w:r>
      <w:r w:rsidR="00854068" w:rsidRPr="00E32653">
        <w:rPr>
          <w:rFonts w:asciiTheme="majorBidi" w:hAnsiTheme="majorBidi" w:cstheme="majorBidi"/>
        </w:rPr>
        <w:fldChar w:fldCharType="separate"/>
      </w:r>
      <w:r w:rsidR="00854068" w:rsidRPr="00E32653">
        <w:rPr>
          <w:rFonts w:asciiTheme="majorBidi" w:hAnsiTheme="majorBidi" w:cstheme="majorBidi"/>
        </w:rPr>
        <w:t xml:space="preserve">Lu, et al., 2017a; </w:t>
      </w:r>
      <w:r w:rsidR="00854068" w:rsidRPr="00E32653">
        <w:rPr>
          <w:rFonts w:asciiTheme="majorBidi" w:hAnsiTheme="majorBidi" w:cstheme="majorBidi"/>
        </w:rPr>
        <w:fldChar w:fldCharType="begin" w:fldLock="1"/>
      </w:r>
      <w:r w:rsidR="00854068" w:rsidRPr="00E32653">
        <w:rPr>
          <w:rFonts w:asciiTheme="majorBidi" w:hAnsiTheme="majorBidi" w:cstheme="majorBidi"/>
        </w:rPr>
        <w:instrText>ADDIN CSL_CITATION {"citationItems":[{"id":"ITEM-1","itemData":{"DOI":"10.1016/j.enbuild.2021.111604","ISSN":"03787788","abstract":"This study conducted a consequential Life Cycle Assessment (LCA) on two similar mid-rise apartment buildings applying either concrete or cross laminated timber (CLT) as the main structural material. The study further investigated inclusion of biogenic carbon and how this affects environmental impacts related to Global warming. Thus, two assessment scenarios were applied: A Base scenario, without accounting for biogenic carbon and a Biogenic carbon scenario that include a GWPbio factor to account for the use of biogenic carbon. The CLT building had the lowest impact score in 11 of 18 impact categories including Global warming. Operational energy use was the main contributor to the total impact with some variation across impact scores, but closely followed by impacts embodied in materials (incl. End-of-Life). An evaluation of the potential forest transformations required for fulfilling future projections for new building construction in 2060 showed that about 3% of current global forest area would be needed. This share was essentially independent of the selected building material as the main driver for forest transformation was found to be energy use during building operation. Thus, focus should primarily be on reducing deforestation related to energy generation rather than deforestation from production of building materials.","author":[{"dropping-particle":"","family":"Andersen","given":"Julie Hansted","non-dropping-particle":"","parse-names":false,"suffix":""},{"dropping-particle":"","family":"Rasmussen","given":"Nana Lin","non-dropping-particle":"","parse-names":false,"suffix":""},{"dropping-particle":"","family":"Ryberg","given":"Morten Walbech","non-dropping-particle":"","parse-names":false,"suffix":""}],"container-title":"Energy and Buildings","id":"ITEM-1","issued":{"date-parts":[["2022"]]},"page":"111604","publisher":"The Author(s)","title":"Comparative life cycle assessment of cross laminated timber building and concrete building with special focus on biogenic carbon","type":"article-journal","volume":"254"},"uris":["http://www.mendeley.com/documents/?uuid=9690f56e-1150-4cc2-8526-31b357e526c8"]}],"mendeley":{"formattedCitation":"(Andersen et al., 2022)","manualFormatting":"Andersen et al., 2022;)","plainTextFormattedCitation":"(Andersen et al., 2022)"},"properties":{"noteIndex":0},"schema":"https://github.com/citation-style-language/schema/raw/master/csl-citation.json"}</w:instrText>
      </w:r>
      <w:r w:rsidR="00854068" w:rsidRPr="00E32653">
        <w:rPr>
          <w:rFonts w:asciiTheme="majorBidi" w:hAnsiTheme="majorBidi" w:cstheme="majorBidi"/>
        </w:rPr>
        <w:fldChar w:fldCharType="separate"/>
      </w:r>
      <w:r w:rsidR="00854068" w:rsidRPr="00E32653">
        <w:rPr>
          <w:rFonts w:asciiTheme="majorBidi" w:hAnsiTheme="majorBidi" w:cstheme="majorBidi"/>
        </w:rPr>
        <w:t>Andersen et al., 2022; Chen et al., 2022</w:t>
      </w:r>
      <w:r w:rsidR="0048610E" w:rsidRPr="00E32653">
        <w:rPr>
          <w:rFonts w:asciiTheme="majorBidi" w:hAnsiTheme="majorBidi" w:cstheme="majorBidi"/>
        </w:rPr>
        <w:t>b</w:t>
      </w:r>
      <w:r w:rsidR="00854068" w:rsidRPr="00E32653">
        <w:rPr>
          <w:rFonts w:asciiTheme="majorBidi" w:hAnsiTheme="majorBidi" w:cstheme="majorBidi"/>
        </w:rPr>
        <w:t xml:space="preserve">; </w:t>
      </w:r>
      <w:r w:rsidR="00854068" w:rsidRPr="00E32653">
        <w:rPr>
          <w:rFonts w:asciiTheme="majorBidi" w:hAnsiTheme="majorBidi" w:cstheme="majorBidi"/>
        </w:rPr>
        <w:fldChar w:fldCharType="begin" w:fldLock="1"/>
      </w:r>
      <w:r w:rsidR="00854068" w:rsidRPr="00E32653">
        <w:rPr>
          <w:rFonts w:asciiTheme="majorBidi" w:hAnsiTheme="majorBidi" w:cstheme="majorBidi"/>
        </w:rPr>
        <w:instrText>ADDIN CSL_CITATION {"citationItems":[{"id":"ITEM-1","itemData":{"DOI":"10.1016/j.proeng.2017.04.177","ISSN":"18777058","abstract":"As part of the Integrated Carbon Metrics project, which comprehensively quantifies embodied GHG emissions related to the built environment in Australia, this contribution evaluates construction material replacement scenarios at the economy-wide scale. We investigate the potential use of Engineered Wood Products (EWPs) in new building stock to assess the carbon outcomes of a potentially significant shift in the use of construction materials. This becomes increasingly relevant as Australia moves forward with augmenting the National Construction Code to allow the construction of mid-rise buildings utilizing timber. The selection of low-carbon and sustainable building materials is crucial in reducing the built environment's carbon footprint. The main objective of the replacement scenario analysis is to assess the potential reduction in future GHG emissions by replacing the use of reinforced concrete with EWPs. The scenarios include the comparison of mid-rise buildings (10-story) with standard reference buildings (using reinforced concrete) at the national scale. The analysis considers the full cradle-to-gate carbon footprint of construction materials embedded in buildings. Since the scenarios are implemented in an input-output model of the Australian economy, changes in the use of construction materials can also be evaluated with respect to indirect effects on industries involved in the production chain of these materials as well as their respective GHG emissions.","author":[{"dropping-particle":"","family":"Teh","given":"Soo Huey","non-dropping-particle":"","parse-names":false,"suffix":""},{"dropping-particle":"","family":"Wiedmann","given":"Thomas","non-dropping-particle":"","parse-names":false,"suffix":""},{"dropping-particle":"","family":"Schinabeck","given":"Judith","non-dropping-particle":"","parse-names":false,"suffix":""},{"dropping-particle":"","family":"Moore","given":"Stephen","non-dropping-particle":"","parse-names":false,"suffix":""}],"container-title":"Procedia Engineering","id":"ITEM-1","issued":{"date-parts":[["2017"]]},"page":"179-189","publisher":"The Author(s)","title":"Replacement Scenarios for Construction Materials Based on Economy-wide Hybrid LCA","type":"article-journal","volume":"180"},"uris":["http://www.mendeley.com/documents/?uuid=86fcd08d-984c-4cf8-b3b4-f6d2abd4c504"]}],"mendeley":{"formattedCitation":"(Teh et al., 2017)","manualFormatting":"Teh et al., 2017)","plainTextFormattedCitation":"(Teh et al., 2017)","previouslyFormattedCitation":"(Teh et al., 2017)"},"properties":{"noteIndex":0},"schema":"https://github.com/citation-style-language/schema/raw/master/csl-citation.json"}</w:instrText>
      </w:r>
      <w:r w:rsidR="00854068" w:rsidRPr="00E32653">
        <w:rPr>
          <w:rFonts w:asciiTheme="majorBidi" w:hAnsiTheme="majorBidi" w:cstheme="majorBidi"/>
        </w:rPr>
        <w:fldChar w:fldCharType="separate"/>
      </w:r>
      <w:r w:rsidR="00854068" w:rsidRPr="00E32653">
        <w:rPr>
          <w:rFonts w:asciiTheme="majorBidi" w:hAnsiTheme="majorBidi" w:cstheme="majorBidi"/>
        </w:rPr>
        <w:t>Teh et al., 2017)</w:t>
      </w:r>
      <w:r w:rsidR="00854068" w:rsidRPr="00E32653">
        <w:rPr>
          <w:rFonts w:asciiTheme="majorBidi" w:hAnsiTheme="majorBidi" w:cstheme="majorBidi"/>
        </w:rPr>
        <w:fldChar w:fldCharType="end"/>
      </w:r>
      <w:r w:rsidR="00854068" w:rsidRPr="00E32653">
        <w:rPr>
          <w:rFonts w:asciiTheme="majorBidi" w:hAnsiTheme="majorBidi" w:cstheme="majorBidi"/>
        </w:rPr>
        <w:fldChar w:fldCharType="end"/>
      </w:r>
      <w:r w:rsidR="00854068" w:rsidRPr="00E32653">
        <w:rPr>
          <w:rFonts w:asciiTheme="majorBidi" w:hAnsiTheme="majorBidi" w:cstheme="majorBidi"/>
        </w:rPr>
        <w:fldChar w:fldCharType="end"/>
      </w:r>
      <w:r w:rsidR="00854068" w:rsidRPr="00E32653">
        <w:rPr>
          <w:rFonts w:asciiTheme="majorBidi" w:hAnsiTheme="majorBidi" w:cstheme="majorBidi"/>
        </w:rPr>
        <w:t>. O</w:t>
      </w:r>
      <w:r w:rsidR="00C46676" w:rsidRPr="00E32653">
        <w:rPr>
          <w:rFonts w:asciiTheme="majorBidi" w:hAnsiTheme="majorBidi" w:cstheme="majorBidi"/>
        </w:rPr>
        <w:t xml:space="preserve">ther research </w:t>
      </w:r>
      <w:r w:rsidR="00A5676A" w:rsidRPr="00E32653">
        <w:rPr>
          <w:rFonts w:asciiTheme="majorBidi" w:hAnsiTheme="majorBidi" w:cstheme="majorBidi"/>
        </w:rPr>
        <w:t xml:space="preserve">is </w:t>
      </w:r>
      <w:r w:rsidR="00C46676" w:rsidRPr="00E32653">
        <w:rPr>
          <w:rFonts w:asciiTheme="majorBidi" w:hAnsiTheme="majorBidi" w:cstheme="majorBidi"/>
        </w:rPr>
        <w:t>not comprehensive</w:t>
      </w:r>
      <w:r w:rsidR="00A5676A" w:rsidRPr="00E32653">
        <w:rPr>
          <w:rFonts w:asciiTheme="majorBidi" w:hAnsiTheme="majorBidi" w:cstheme="majorBidi"/>
        </w:rPr>
        <w:t xml:space="preserve">, being </w:t>
      </w:r>
      <w:r w:rsidR="00C46676" w:rsidRPr="00E32653">
        <w:rPr>
          <w:rFonts w:asciiTheme="majorBidi" w:hAnsiTheme="majorBidi" w:cstheme="majorBidi"/>
        </w:rPr>
        <w:t xml:space="preserve">limited to </w:t>
      </w:r>
      <w:r w:rsidR="00986ED2" w:rsidRPr="00E32653">
        <w:rPr>
          <w:rFonts w:asciiTheme="majorBidi" w:hAnsiTheme="majorBidi" w:cstheme="majorBidi"/>
        </w:rPr>
        <w:t xml:space="preserve">embodied </w:t>
      </w:r>
      <w:r w:rsidR="00C46676" w:rsidRPr="00E32653">
        <w:rPr>
          <w:rFonts w:asciiTheme="majorBidi" w:hAnsiTheme="majorBidi" w:cstheme="majorBidi"/>
        </w:rPr>
        <w:t xml:space="preserve">energy </w:t>
      </w:r>
      <w:r w:rsidR="00C46676" w:rsidRPr="00E32653">
        <w:rPr>
          <w:rFonts w:asciiTheme="majorBidi" w:hAnsiTheme="majorBidi" w:cstheme="majorBidi"/>
        </w:rPr>
        <w:fldChar w:fldCharType="begin" w:fldLock="1"/>
      </w:r>
      <w:r w:rsidR="00C46676" w:rsidRPr="00E32653">
        <w:rPr>
          <w:rFonts w:asciiTheme="majorBidi" w:hAnsiTheme="majorBidi" w:cstheme="majorBidi"/>
        </w:rPr>
        <w:instrText>ADDIN CSL_CITATION {"citationItems":[{"id":"ITEM-1","itemData":{"DOI":"10.1016/j.rser.2016.09.107","ISSN":"18790690","abstract":"Trees, and their derivative products, have been used by societies around the world for thousands of years. Contemporary construction of tall buildings from timber, in whole or in part, suggests a growing interest in the potential for building with wood at a scale not previously attainable. As wood is the only significant building material that is grown, we have a natural inclination that building in wood is good for the environment. But under what conditions is this really the case? The environmental benefits of using timber are not straightforward; although it is a natural product, a large amount of energy is used to dry and process it. Much of this can come from the biomass of the tree itself, but that requires investment in plant, which is not always possible in an industry that is widely distributed among many small producers. And what should we build with wood? Are skyscrapers in timber a good use of this natural resource, or are there other aspects of civil and structural engineering, or large-scale infrastructure, that would be a better use of wood? Here, we consider a holistic picture ranging in scale from the science of the cell wall to the engineering and global policies that could maximise forestry and timber construction as a boon to both people and the planet.","author":[{"dropping-particle":"","family":"Ramage","given":"Michael H.","non-dropping-particle":"","parse-names":false,"suffix":""},{"dropping-particle":"","family":"Burridge","given":"Henry","non-dropping-particle":"","parse-names":false,"suffix":""},{"dropping-particle":"","family":"Busse-Wicher","given":"Marta","non-dropping-particle":"","parse-names":false,"suffix":""},{"dropping-particle":"","family":"Fereday","given":"George","non-dropping-particle":"","parse-names":false,"suffix":""},{"dropping-particle":"","family":"Reynolds","given":"Thomas","non-dropping-particle":"","parse-names":false,"suffix":""},{"dropping-particle":"","family":"Shah","given":"Darshil U.","non-dropping-particle":"","parse-names":false,"suffix":""},{"dropping-particle":"","family":"Wu","given":"Guanglu","non-dropping-particle":"","parse-names":false,"suffix":""},{"dropping-particle":"","family":"Yu","given":"Li","non-dropping-particle":"","parse-names":false,"suffix":""},{"dropping-particle":"","family":"Fleming","given":"Patrick","non-dropping-particle":"","parse-names":false,"suffix":""},{"dropping-particle":"","family":"Densley-Tingley","given":"Danielle","non-dropping-particle":"","parse-names":false,"suffix":""},{"dropping-particle":"","family":"Allwood","given":"Julian","non-dropping-particle":"","parse-names":false,"suffix":""},{"dropping-particle":"","family":"Dupree","given":"Paul","non-dropping-particle":"","parse-names":false,"suffix":""},{"dropping-particle":"","family":"Linden","given":"P. F.","non-dropping-particle":"","parse-names":false,"suffix":""},{"dropping-particle":"","family":"Scherman","given":"Oren","non-dropping-particle":"","parse-names":false,"suffix":""}],"container-title":"Renewable and Sustainable Energy Reviews","id":"ITEM-1","issue":"September 2016","issued":{"date-parts":[["2017"]]},"page":"333-359","title":"The wood from the trees: The use of timber in construction","type":"article-journal","volume":"68"},"uris":["http://www.mendeley.com/documents/?uuid=ea364fa1-d546-4e61-97d2-9303bad32e2d"]}],"mendeley":{"formattedCitation":"(Ramage et al., 2017)","plainTextFormattedCitation":"(Ramage et al., 2017)","previouslyFormattedCitation":"(Ramage et al., 2017)"},"properties":{"noteIndex":0},"schema":"https://github.com/citation-style-language/schema/raw/master/csl-citation.json"}</w:instrText>
      </w:r>
      <w:r w:rsidR="00C46676" w:rsidRPr="00E32653">
        <w:rPr>
          <w:rFonts w:asciiTheme="majorBidi" w:hAnsiTheme="majorBidi" w:cstheme="majorBidi"/>
        </w:rPr>
        <w:fldChar w:fldCharType="separate"/>
      </w:r>
      <w:r w:rsidR="00C46676" w:rsidRPr="00E32653">
        <w:rPr>
          <w:rFonts w:asciiTheme="majorBidi" w:hAnsiTheme="majorBidi" w:cstheme="majorBidi"/>
        </w:rPr>
        <w:t>(Ramage et al., 2017)</w:t>
      </w:r>
      <w:r w:rsidR="00C46676" w:rsidRPr="00E32653">
        <w:rPr>
          <w:rFonts w:asciiTheme="majorBidi" w:hAnsiTheme="majorBidi" w:cstheme="majorBidi"/>
        </w:rPr>
        <w:fldChar w:fldCharType="end"/>
      </w:r>
      <w:r w:rsidR="00C46676" w:rsidRPr="00E32653">
        <w:rPr>
          <w:rFonts w:asciiTheme="majorBidi" w:hAnsiTheme="majorBidi" w:cstheme="majorBidi"/>
        </w:rPr>
        <w:t>.</w:t>
      </w:r>
      <w:r w:rsidR="00D3023F" w:rsidRPr="00E32653">
        <w:rPr>
          <w:rFonts w:asciiTheme="majorBidi" w:hAnsiTheme="majorBidi" w:cstheme="majorBidi"/>
        </w:rPr>
        <w:t xml:space="preserve"> </w:t>
      </w:r>
      <w:r w:rsidR="00700008" w:rsidRPr="00E32653">
        <w:rPr>
          <w:rFonts w:asciiTheme="majorBidi" w:hAnsiTheme="majorBidi" w:cstheme="majorBidi"/>
        </w:rPr>
        <w:t>It is still unclear</w:t>
      </w:r>
      <w:r w:rsidR="00C46676" w:rsidRPr="00E32653">
        <w:rPr>
          <w:rFonts w:asciiTheme="majorBidi" w:hAnsiTheme="majorBidi" w:cstheme="majorBidi"/>
        </w:rPr>
        <w:t xml:space="preserve"> which of these two materials (LVL and GLT) </w:t>
      </w:r>
      <w:r w:rsidR="00700008" w:rsidRPr="00E32653">
        <w:rPr>
          <w:rFonts w:asciiTheme="majorBidi" w:hAnsiTheme="majorBidi" w:cstheme="majorBidi"/>
        </w:rPr>
        <w:t xml:space="preserve">are the most sustainable choices </w:t>
      </w:r>
      <w:r w:rsidR="00C46676" w:rsidRPr="00E32653">
        <w:rPr>
          <w:rFonts w:asciiTheme="majorBidi" w:hAnsiTheme="majorBidi" w:cstheme="majorBidi"/>
        </w:rPr>
        <w:t>for column</w:t>
      </w:r>
      <w:r w:rsidR="00700008" w:rsidRPr="00E32653">
        <w:rPr>
          <w:rFonts w:asciiTheme="majorBidi" w:hAnsiTheme="majorBidi" w:cstheme="majorBidi"/>
        </w:rPr>
        <w:t>s</w:t>
      </w:r>
      <w:r w:rsidR="00C46676" w:rsidRPr="00E32653">
        <w:rPr>
          <w:rFonts w:asciiTheme="majorBidi" w:hAnsiTheme="majorBidi" w:cstheme="majorBidi"/>
        </w:rPr>
        <w:t xml:space="preserve"> and beam</w:t>
      </w:r>
      <w:r w:rsidR="00700008" w:rsidRPr="00E32653">
        <w:rPr>
          <w:rFonts w:asciiTheme="majorBidi" w:hAnsiTheme="majorBidi" w:cstheme="majorBidi"/>
        </w:rPr>
        <w:t>s</w:t>
      </w:r>
      <w:r w:rsidR="00C46676" w:rsidRPr="00E32653">
        <w:rPr>
          <w:rFonts w:asciiTheme="majorBidi" w:hAnsiTheme="majorBidi" w:cstheme="majorBidi"/>
        </w:rPr>
        <w:t xml:space="preserve">. </w:t>
      </w:r>
      <w:r w:rsidR="00DD645F" w:rsidRPr="00E32653">
        <w:rPr>
          <w:rFonts w:asciiTheme="majorBidi" w:hAnsiTheme="majorBidi" w:cstheme="majorBidi"/>
        </w:rPr>
        <w:t>Thus, this research bridge</w:t>
      </w:r>
      <w:r w:rsidR="00700008" w:rsidRPr="00E32653">
        <w:rPr>
          <w:rFonts w:asciiTheme="majorBidi" w:hAnsiTheme="majorBidi" w:cstheme="majorBidi"/>
        </w:rPr>
        <w:t>s</w:t>
      </w:r>
      <w:r w:rsidR="00DD645F" w:rsidRPr="00E32653">
        <w:rPr>
          <w:rFonts w:asciiTheme="majorBidi" w:hAnsiTheme="majorBidi" w:cstheme="majorBidi"/>
        </w:rPr>
        <w:t xml:space="preserve"> this gap by comparing </w:t>
      </w:r>
      <w:r w:rsidR="00915C2E" w:rsidRPr="00E32653">
        <w:rPr>
          <w:rFonts w:asciiTheme="majorBidi" w:hAnsiTheme="majorBidi" w:cstheme="majorBidi"/>
        </w:rPr>
        <w:t>these two-engineering woods</w:t>
      </w:r>
      <w:r w:rsidR="00DD645F" w:rsidRPr="00E32653">
        <w:rPr>
          <w:rFonts w:asciiTheme="majorBidi" w:hAnsiTheme="majorBidi" w:cstheme="majorBidi"/>
        </w:rPr>
        <w:t xml:space="preserve"> from the perspective of embodied energy</w:t>
      </w:r>
      <w:r w:rsidR="007A427C" w:rsidRPr="00E32653">
        <w:rPr>
          <w:rFonts w:asciiTheme="majorBidi" w:hAnsiTheme="majorBidi" w:cstheme="majorBidi"/>
        </w:rPr>
        <w:t>, environmental impact,</w:t>
      </w:r>
      <w:r w:rsidR="00DD645F" w:rsidRPr="00E32653">
        <w:rPr>
          <w:rFonts w:asciiTheme="majorBidi" w:hAnsiTheme="majorBidi" w:cstheme="majorBidi"/>
        </w:rPr>
        <w:t xml:space="preserve"> and economic aspects.</w:t>
      </w:r>
      <w:r w:rsidR="00833096" w:rsidRPr="00E32653">
        <w:rPr>
          <w:rFonts w:asciiTheme="majorBidi" w:hAnsiTheme="majorBidi" w:cstheme="majorBidi"/>
        </w:rPr>
        <w:t xml:space="preserve"> </w:t>
      </w:r>
      <w:r w:rsidR="00700008" w:rsidRPr="00E32653">
        <w:rPr>
          <w:rFonts w:asciiTheme="majorBidi" w:hAnsiTheme="majorBidi" w:cstheme="majorBidi"/>
        </w:rPr>
        <w:t>T</w:t>
      </w:r>
      <w:r w:rsidR="00833096" w:rsidRPr="00E32653">
        <w:rPr>
          <w:rFonts w:asciiTheme="majorBidi" w:hAnsiTheme="majorBidi" w:cstheme="majorBidi"/>
        </w:rPr>
        <w:t xml:space="preserve">wo different </w:t>
      </w:r>
      <w:r w:rsidR="00700008" w:rsidRPr="00E32653">
        <w:rPr>
          <w:rFonts w:asciiTheme="majorBidi" w:hAnsiTheme="majorBidi" w:cstheme="majorBidi"/>
        </w:rPr>
        <w:t>species</w:t>
      </w:r>
      <w:r w:rsidR="00833096" w:rsidRPr="00E32653">
        <w:rPr>
          <w:rFonts w:asciiTheme="majorBidi" w:hAnsiTheme="majorBidi" w:cstheme="majorBidi"/>
        </w:rPr>
        <w:t xml:space="preserve"> namely, softwood and hardwood</w:t>
      </w:r>
      <w:r w:rsidR="00700008" w:rsidRPr="00E32653">
        <w:rPr>
          <w:rFonts w:asciiTheme="majorBidi" w:hAnsiTheme="majorBidi" w:cstheme="majorBidi"/>
        </w:rPr>
        <w:t>, have been considered</w:t>
      </w:r>
      <w:r w:rsidR="00833096" w:rsidRPr="00E32653">
        <w:rPr>
          <w:rFonts w:asciiTheme="majorBidi" w:hAnsiTheme="majorBidi" w:cstheme="majorBidi"/>
        </w:rPr>
        <w:t xml:space="preserve"> for </w:t>
      </w:r>
      <w:r w:rsidR="00700008" w:rsidRPr="00E32653">
        <w:rPr>
          <w:rFonts w:asciiTheme="majorBidi" w:hAnsiTheme="majorBidi" w:cstheme="majorBidi"/>
        </w:rPr>
        <w:t xml:space="preserve">the </w:t>
      </w:r>
      <w:r w:rsidR="00833096" w:rsidRPr="00E32653">
        <w:rPr>
          <w:rFonts w:asciiTheme="majorBidi" w:hAnsiTheme="majorBidi" w:cstheme="majorBidi"/>
        </w:rPr>
        <w:t>manufactur</w:t>
      </w:r>
      <w:r w:rsidR="00700008" w:rsidRPr="00E32653">
        <w:rPr>
          <w:rFonts w:asciiTheme="majorBidi" w:hAnsiTheme="majorBidi" w:cstheme="majorBidi"/>
        </w:rPr>
        <w:t>e of</w:t>
      </w:r>
      <w:r w:rsidR="00833096" w:rsidRPr="00E32653">
        <w:rPr>
          <w:rFonts w:asciiTheme="majorBidi" w:hAnsiTheme="majorBidi" w:cstheme="majorBidi"/>
        </w:rPr>
        <w:t xml:space="preserve"> LVL and GLT. The aim of </w:t>
      </w:r>
      <w:r w:rsidR="00833096" w:rsidRPr="00E32653">
        <w:rPr>
          <w:rFonts w:asciiTheme="majorBidi" w:hAnsiTheme="majorBidi" w:cstheme="majorBidi"/>
        </w:rPr>
        <w:lastRenderedPageBreak/>
        <w:t>this study is to reveal the environmental impact</w:t>
      </w:r>
      <w:r w:rsidR="00CC7B3B" w:rsidRPr="00E32653">
        <w:rPr>
          <w:rFonts w:asciiTheme="majorBidi" w:hAnsiTheme="majorBidi" w:cstheme="majorBidi"/>
        </w:rPr>
        <w:t xml:space="preserve">, </w:t>
      </w:r>
      <w:r w:rsidR="00833096" w:rsidRPr="00E32653">
        <w:rPr>
          <w:rFonts w:asciiTheme="majorBidi" w:hAnsiTheme="majorBidi" w:cstheme="majorBidi"/>
        </w:rPr>
        <w:t>cost-saving</w:t>
      </w:r>
      <w:r w:rsidR="00F66D8E" w:rsidRPr="00E32653">
        <w:rPr>
          <w:rFonts w:asciiTheme="majorBidi" w:hAnsiTheme="majorBidi" w:cstheme="majorBidi"/>
        </w:rPr>
        <w:t>s</w:t>
      </w:r>
      <w:r w:rsidR="00833096" w:rsidRPr="00E32653">
        <w:rPr>
          <w:rFonts w:asciiTheme="majorBidi" w:hAnsiTheme="majorBidi" w:cstheme="majorBidi"/>
        </w:rPr>
        <w:t xml:space="preserve"> and energy efficien</w:t>
      </w:r>
      <w:r w:rsidR="00F66D8E" w:rsidRPr="00E32653">
        <w:rPr>
          <w:rFonts w:asciiTheme="majorBidi" w:hAnsiTheme="majorBidi" w:cstheme="majorBidi"/>
        </w:rPr>
        <w:t>cy</w:t>
      </w:r>
      <w:r w:rsidR="00833096" w:rsidRPr="00E32653">
        <w:rPr>
          <w:rFonts w:asciiTheme="majorBidi" w:hAnsiTheme="majorBidi" w:cstheme="majorBidi"/>
        </w:rPr>
        <w:t xml:space="preserve"> </w:t>
      </w:r>
      <w:r w:rsidR="002428E4" w:rsidRPr="00E32653">
        <w:rPr>
          <w:rFonts w:asciiTheme="majorBidi" w:hAnsiTheme="majorBidi" w:cstheme="majorBidi"/>
        </w:rPr>
        <w:t xml:space="preserve">of the two </w:t>
      </w:r>
      <w:r w:rsidR="00007283" w:rsidRPr="00E32653">
        <w:rPr>
          <w:rFonts w:asciiTheme="majorBidi" w:hAnsiTheme="majorBidi" w:cstheme="majorBidi"/>
        </w:rPr>
        <w:t xml:space="preserve">mass timber </w:t>
      </w:r>
      <w:r w:rsidR="00CC7B3B" w:rsidRPr="00E32653">
        <w:rPr>
          <w:rFonts w:asciiTheme="majorBidi" w:hAnsiTheme="majorBidi" w:cstheme="majorBidi"/>
        </w:rPr>
        <w:t>applications</w:t>
      </w:r>
      <w:r w:rsidR="002428E4" w:rsidRPr="00E32653">
        <w:rPr>
          <w:rFonts w:asciiTheme="majorBidi" w:hAnsiTheme="majorBidi" w:cstheme="majorBidi"/>
        </w:rPr>
        <w:t xml:space="preserve"> </w:t>
      </w:r>
      <w:r w:rsidR="00833096" w:rsidRPr="00E32653">
        <w:rPr>
          <w:rFonts w:asciiTheme="majorBidi" w:hAnsiTheme="majorBidi" w:cstheme="majorBidi"/>
        </w:rPr>
        <w:t xml:space="preserve">for residential building. </w:t>
      </w:r>
    </w:p>
    <w:p w14:paraId="111FD6BB" w14:textId="4ECE2EE0" w:rsidR="00B1432E" w:rsidRPr="00E32653" w:rsidRDefault="00B1432E" w:rsidP="00DD645F">
      <w:pPr>
        <w:autoSpaceDE w:val="0"/>
        <w:autoSpaceDN w:val="0"/>
        <w:adjustRightInd w:val="0"/>
        <w:spacing w:after="0" w:line="276" w:lineRule="auto"/>
        <w:ind w:firstLine="720"/>
        <w:jc w:val="both"/>
        <w:rPr>
          <w:rFonts w:asciiTheme="majorBidi" w:hAnsiTheme="majorBidi" w:cstheme="majorBidi"/>
        </w:rPr>
      </w:pPr>
    </w:p>
    <w:p w14:paraId="56E9293B" w14:textId="77777777" w:rsidR="00CC69CF" w:rsidRPr="00E32653" w:rsidRDefault="00CC69CF" w:rsidP="00DD645F">
      <w:pPr>
        <w:autoSpaceDE w:val="0"/>
        <w:autoSpaceDN w:val="0"/>
        <w:adjustRightInd w:val="0"/>
        <w:spacing w:after="0" w:line="276" w:lineRule="auto"/>
        <w:ind w:firstLine="720"/>
        <w:jc w:val="both"/>
        <w:rPr>
          <w:rFonts w:asciiTheme="majorBidi" w:hAnsiTheme="majorBidi" w:cstheme="majorBidi"/>
        </w:rPr>
      </w:pPr>
    </w:p>
    <w:p w14:paraId="334C4A5F" w14:textId="77777777" w:rsidR="00B1432E" w:rsidRPr="00E32653" w:rsidRDefault="00B1432E" w:rsidP="00B1432E">
      <w:pPr>
        <w:pStyle w:val="ListParagraph"/>
        <w:numPr>
          <w:ilvl w:val="0"/>
          <w:numId w:val="1"/>
        </w:numPr>
        <w:spacing w:line="276" w:lineRule="auto"/>
        <w:rPr>
          <w:rFonts w:asciiTheme="majorBidi" w:hAnsiTheme="majorBidi" w:cstheme="majorBidi"/>
          <w:b/>
          <w:bCs/>
        </w:rPr>
      </w:pPr>
      <w:r w:rsidRPr="00E32653">
        <w:rPr>
          <w:rFonts w:asciiTheme="majorBidi" w:hAnsiTheme="majorBidi" w:cstheme="majorBidi"/>
          <w:b/>
          <w:bCs/>
        </w:rPr>
        <w:t xml:space="preserve">Method </w:t>
      </w:r>
    </w:p>
    <w:p w14:paraId="1DF93BDA" w14:textId="47DD5D4C" w:rsidR="00243068" w:rsidRPr="00E32653" w:rsidRDefault="002C5A85" w:rsidP="00BB42B9">
      <w:pPr>
        <w:ind w:firstLine="720"/>
        <w:jc w:val="both"/>
      </w:pPr>
      <w:r w:rsidRPr="00E32653">
        <w:rPr>
          <w:rFonts w:asciiTheme="majorBidi" w:hAnsiTheme="majorBidi" w:cstheme="majorBidi"/>
        </w:rPr>
        <w:t>The method</w:t>
      </w:r>
      <w:r w:rsidR="00827912" w:rsidRPr="00E32653">
        <w:rPr>
          <w:rFonts w:asciiTheme="majorBidi" w:hAnsiTheme="majorBidi" w:cstheme="majorBidi"/>
        </w:rPr>
        <w:t xml:space="preserve">ology used for </w:t>
      </w:r>
      <w:r w:rsidR="007253C8" w:rsidRPr="00E32653">
        <w:rPr>
          <w:rFonts w:asciiTheme="majorBidi" w:hAnsiTheme="majorBidi" w:cstheme="majorBidi"/>
        </w:rPr>
        <w:t xml:space="preserve">this </w:t>
      </w:r>
      <w:r w:rsidR="00827912" w:rsidRPr="00E32653">
        <w:rPr>
          <w:rFonts w:asciiTheme="majorBidi" w:hAnsiTheme="majorBidi" w:cstheme="majorBidi"/>
        </w:rPr>
        <w:t>assessment</w:t>
      </w:r>
      <w:r w:rsidRPr="00E32653">
        <w:rPr>
          <w:rFonts w:asciiTheme="majorBidi" w:hAnsiTheme="majorBidi" w:cstheme="majorBidi"/>
        </w:rPr>
        <w:t xml:space="preserve"> is divided into </w:t>
      </w:r>
      <w:r w:rsidR="00B37AC0" w:rsidRPr="00E32653">
        <w:rPr>
          <w:rFonts w:asciiTheme="majorBidi" w:hAnsiTheme="majorBidi" w:cstheme="majorBidi"/>
        </w:rPr>
        <w:t xml:space="preserve">four </w:t>
      </w:r>
      <w:r w:rsidR="00D343A3" w:rsidRPr="00E32653">
        <w:rPr>
          <w:rFonts w:asciiTheme="majorBidi" w:hAnsiTheme="majorBidi" w:cstheme="majorBidi"/>
        </w:rPr>
        <w:t xml:space="preserve">discrete </w:t>
      </w:r>
      <w:r w:rsidR="00404F6D" w:rsidRPr="00E32653">
        <w:rPr>
          <w:rFonts w:asciiTheme="majorBidi" w:hAnsiTheme="majorBidi" w:cstheme="majorBidi"/>
        </w:rPr>
        <w:t>sections</w:t>
      </w:r>
      <w:r w:rsidRPr="00E32653">
        <w:rPr>
          <w:rFonts w:asciiTheme="majorBidi" w:hAnsiTheme="majorBidi" w:cstheme="majorBidi"/>
        </w:rPr>
        <w:t xml:space="preserve">: (i) </w:t>
      </w:r>
      <w:r w:rsidR="00577D0A" w:rsidRPr="00E32653">
        <w:rPr>
          <w:rFonts w:asciiTheme="majorBidi" w:hAnsiTheme="majorBidi" w:cstheme="majorBidi"/>
        </w:rPr>
        <w:t>estimation</w:t>
      </w:r>
      <w:r w:rsidRPr="00E32653">
        <w:rPr>
          <w:rFonts w:asciiTheme="majorBidi" w:hAnsiTheme="majorBidi" w:cstheme="majorBidi"/>
        </w:rPr>
        <w:t xml:space="preserve"> of </w:t>
      </w:r>
      <w:r w:rsidR="00941200" w:rsidRPr="00E32653">
        <w:rPr>
          <w:rFonts w:asciiTheme="majorBidi" w:hAnsiTheme="majorBidi" w:cstheme="majorBidi"/>
        </w:rPr>
        <w:t xml:space="preserve">six different </w:t>
      </w:r>
      <w:r w:rsidR="0058406A" w:rsidRPr="00E32653">
        <w:rPr>
          <w:rFonts w:asciiTheme="majorBidi" w:hAnsiTheme="majorBidi" w:cstheme="majorBidi"/>
        </w:rPr>
        <w:t>environmental impacts</w:t>
      </w:r>
      <w:r w:rsidRPr="00E32653">
        <w:rPr>
          <w:rFonts w:asciiTheme="majorBidi" w:hAnsiTheme="majorBidi" w:cstheme="majorBidi"/>
        </w:rPr>
        <w:t xml:space="preserve">; (ii) </w:t>
      </w:r>
      <w:r w:rsidR="0057439B" w:rsidRPr="00E32653">
        <w:rPr>
          <w:rFonts w:asciiTheme="majorBidi" w:hAnsiTheme="majorBidi" w:cstheme="majorBidi"/>
        </w:rPr>
        <w:t xml:space="preserve">evaluation of </w:t>
      </w:r>
      <w:r w:rsidRPr="00E32653">
        <w:rPr>
          <w:rFonts w:asciiTheme="majorBidi" w:hAnsiTheme="majorBidi" w:cstheme="majorBidi"/>
        </w:rPr>
        <w:t>embodied energy; (iii) evaluation of design strategies through</w:t>
      </w:r>
      <w:r w:rsidR="0058406A" w:rsidRPr="00E32653">
        <w:rPr>
          <w:rFonts w:asciiTheme="majorBidi" w:hAnsiTheme="majorBidi" w:cstheme="majorBidi"/>
        </w:rPr>
        <w:t xml:space="preserve"> </w:t>
      </w:r>
      <w:r w:rsidR="00404F6D" w:rsidRPr="00E32653">
        <w:rPr>
          <w:rFonts w:asciiTheme="majorBidi" w:hAnsiTheme="majorBidi" w:cstheme="majorBidi"/>
        </w:rPr>
        <w:t>LCC</w:t>
      </w:r>
      <w:r w:rsidR="0058406A" w:rsidRPr="00E32653">
        <w:rPr>
          <w:rFonts w:asciiTheme="majorBidi" w:hAnsiTheme="majorBidi" w:cstheme="majorBidi"/>
        </w:rPr>
        <w:t xml:space="preserve"> analysis; (iv) </w:t>
      </w:r>
      <w:r w:rsidRPr="00E32653">
        <w:rPr>
          <w:rFonts w:asciiTheme="majorBidi" w:hAnsiTheme="majorBidi" w:cstheme="majorBidi"/>
        </w:rPr>
        <w:t xml:space="preserve">multi-criteria </w:t>
      </w:r>
      <w:r w:rsidR="00127220" w:rsidRPr="00E32653">
        <w:rPr>
          <w:rFonts w:asciiTheme="majorBidi" w:hAnsiTheme="majorBidi" w:cstheme="majorBidi"/>
        </w:rPr>
        <w:t>decision-making</w:t>
      </w:r>
      <w:r w:rsidR="0058406A" w:rsidRPr="00E32653">
        <w:rPr>
          <w:rFonts w:asciiTheme="majorBidi" w:hAnsiTheme="majorBidi" w:cstheme="majorBidi"/>
        </w:rPr>
        <w:t xml:space="preserve"> (MCDM) </w:t>
      </w:r>
      <w:r w:rsidR="00B37AC0" w:rsidRPr="00E32653">
        <w:rPr>
          <w:rFonts w:asciiTheme="majorBidi" w:hAnsiTheme="majorBidi" w:cstheme="majorBidi"/>
        </w:rPr>
        <w:t>Weighted Aggregated Sum Product Assessment (</w:t>
      </w:r>
      <w:r w:rsidR="00DB5179" w:rsidRPr="00E32653">
        <w:rPr>
          <w:rFonts w:asciiTheme="majorBidi" w:hAnsiTheme="majorBidi" w:cstheme="majorBidi"/>
        </w:rPr>
        <w:t>WASPAS</w:t>
      </w:r>
      <w:r w:rsidR="00B37AC0" w:rsidRPr="00E32653">
        <w:rPr>
          <w:rFonts w:asciiTheme="majorBidi" w:hAnsiTheme="majorBidi" w:cstheme="majorBidi"/>
        </w:rPr>
        <w:t>)</w:t>
      </w:r>
      <w:r w:rsidRPr="00E32653">
        <w:rPr>
          <w:rFonts w:asciiTheme="majorBidi" w:hAnsiTheme="majorBidi" w:cstheme="majorBidi"/>
        </w:rPr>
        <w:t>.</w:t>
      </w:r>
      <w:r w:rsidR="001F5BF3" w:rsidRPr="00E32653">
        <w:rPr>
          <w:rFonts w:asciiTheme="majorBidi" w:hAnsiTheme="majorBidi" w:cstheme="majorBidi"/>
        </w:rPr>
        <w:t xml:space="preserve"> Figure 1 </w:t>
      </w:r>
      <w:r w:rsidR="00166D08" w:rsidRPr="00E32653">
        <w:rPr>
          <w:rFonts w:asciiTheme="majorBidi" w:hAnsiTheme="majorBidi" w:cstheme="majorBidi"/>
        </w:rPr>
        <w:t xml:space="preserve">illustrates the </w:t>
      </w:r>
      <w:r w:rsidR="00694509" w:rsidRPr="00E32653">
        <w:rPr>
          <w:rFonts w:asciiTheme="majorBidi" w:hAnsiTheme="majorBidi" w:cstheme="majorBidi"/>
        </w:rPr>
        <w:t>methodology</w:t>
      </w:r>
      <w:r w:rsidR="000C709C" w:rsidRPr="00E32653">
        <w:rPr>
          <w:rFonts w:asciiTheme="majorBidi" w:hAnsiTheme="majorBidi" w:cstheme="majorBidi"/>
        </w:rPr>
        <w:t xml:space="preserve"> </w:t>
      </w:r>
      <w:r w:rsidR="00166D08" w:rsidRPr="00E32653">
        <w:rPr>
          <w:rFonts w:asciiTheme="majorBidi" w:hAnsiTheme="majorBidi" w:cstheme="majorBidi"/>
        </w:rPr>
        <w:t xml:space="preserve">used </w:t>
      </w:r>
      <w:r w:rsidR="000C709C" w:rsidRPr="00E32653">
        <w:rPr>
          <w:rFonts w:asciiTheme="majorBidi" w:hAnsiTheme="majorBidi" w:cstheme="majorBidi"/>
        </w:rPr>
        <w:t xml:space="preserve">in this </w:t>
      </w:r>
      <w:r w:rsidR="00694509" w:rsidRPr="00E32653">
        <w:rPr>
          <w:rFonts w:asciiTheme="majorBidi" w:hAnsiTheme="majorBidi" w:cstheme="majorBidi"/>
        </w:rPr>
        <w:t>research</w:t>
      </w:r>
      <w:r w:rsidR="00EC6985" w:rsidRPr="00E32653">
        <w:rPr>
          <w:rFonts w:asciiTheme="majorBidi" w:hAnsiTheme="majorBidi" w:cstheme="majorBidi"/>
        </w:rPr>
        <w:t xml:space="preserve"> </w:t>
      </w:r>
      <w:r w:rsidR="00EC6985" w:rsidRPr="00E32653">
        <w:rPr>
          <w:rFonts w:asciiTheme="majorBidi" w:hAnsiTheme="majorBidi" w:cstheme="majorBidi"/>
        </w:rPr>
        <w:fldChar w:fldCharType="begin" w:fldLock="1"/>
      </w:r>
      <w:r w:rsidR="00EC6985" w:rsidRPr="00E32653">
        <w:rPr>
          <w:rFonts w:asciiTheme="majorBidi" w:hAnsiTheme="majorBidi" w:cstheme="majorBidi"/>
        </w:rPr>
        <w:instrText>ADDIN CSL_CITATION {"citationItems":[{"id":"ITEM-1","itemData":{"DOI":"10.1016/j.jclepro.2021.128902","ISSN":"09596526","author":[{"dropping-particle":"","family":"Luthin","given":"Anna","non-dropping-particle":"","parse-names":false,"suffix":""},{"dropping-particle":"","family":"Backes","given":"Jana Gerta","non-dropping-particle":"","parse-names":false,"suffix":""},{"dropping-particle":"","family":"Traverso","given":"Marzia","non-dropping-particle":"","parse-names":false,"suffix":""}],"container-title":"Journal of Cleaner Production","id":"ITEM-1","issue":"June","issued":{"date-parts":[["2021"]]},"page":"128902","publisher":"Elsevier Ltd","title":"A framework to identify environmental-economic trade-offs by combining life cycle assessment and life cycle costing – A case study of aluminium production","type":"article-journal","volume":"321"},"uris":["http://www.mendeley.com/documents/?uuid=15e32efe-4922-4111-96b8-2f6c3f842756"]}],"mendeley":{"formattedCitation":"(Luthin et al., 2021)","plainTextFormattedCitation":"(Luthin et al., 2021)","previouslyFormattedCitation":"(Luthin et al., 2021)"},"properties":{"noteIndex":0},"schema":"https://github.com/citation-style-language/schema/raw/master/csl-citation.json"}</w:instrText>
      </w:r>
      <w:r w:rsidR="00EC6985" w:rsidRPr="00E32653">
        <w:rPr>
          <w:rFonts w:asciiTheme="majorBidi" w:hAnsiTheme="majorBidi" w:cstheme="majorBidi"/>
        </w:rPr>
        <w:fldChar w:fldCharType="separate"/>
      </w:r>
      <w:r w:rsidR="00EC6985" w:rsidRPr="00E32653">
        <w:rPr>
          <w:rFonts w:asciiTheme="majorBidi" w:hAnsiTheme="majorBidi" w:cstheme="majorBidi"/>
          <w:noProof/>
        </w:rPr>
        <w:t>(Luthin et al., 2021)</w:t>
      </w:r>
      <w:r w:rsidR="00EC6985" w:rsidRPr="00E32653">
        <w:rPr>
          <w:rFonts w:asciiTheme="majorBidi" w:hAnsiTheme="majorBidi" w:cstheme="majorBidi"/>
        </w:rPr>
        <w:fldChar w:fldCharType="end"/>
      </w:r>
      <w:r w:rsidR="000C709C" w:rsidRPr="00E32653">
        <w:rPr>
          <w:rFonts w:asciiTheme="majorBidi" w:hAnsiTheme="majorBidi" w:cstheme="majorBidi"/>
        </w:rPr>
        <w:t>.</w:t>
      </w:r>
      <w:r w:rsidR="001F5BF3" w:rsidRPr="00E32653">
        <w:rPr>
          <w:rFonts w:asciiTheme="majorBidi" w:hAnsiTheme="majorBidi" w:cstheme="majorBidi"/>
        </w:rPr>
        <w:t xml:space="preserve"> </w:t>
      </w:r>
      <w:r w:rsidR="00166D08" w:rsidRPr="00E32653">
        <w:rPr>
          <w:rFonts w:asciiTheme="majorBidi" w:hAnsiTheme="majorBidi" w:cstheme="majorBidi"/>
        </w:rPr>
        <w:t>It</w:t>
      </w:r>
      <w:r w:rsidR="00D343A3" w:rsidRPr="00E32653">
        <w:rPr>
          <w:rFonts w:asciiTheme="majorBidi" w:hAnsiTheme="majorBidi" w:cstheme="majorBidi"/>
        </w:rPr>
        <w:t xml:space="preserve"> guides the </w:t>
      </w:r>
      <w:r w:rsidR="00440977" w:rsidRPr="00E32653">
        <w:rPr>
          <w:rFonts w:asciiTheme="majorBidi" w:hAnsiTheme="majorBidi" w:cstheme="majorBidi"/>
        </w:rPr>
        <w:t>evaluat</w:t>
      </w:r>
      <w:r w:rsidR="00D343A3" w:rsidRPr="00E32653">
        <w:rPr>
          <w:rFonts w:asciiTheme="majorBidi" w:hAnsiTheme="majorBidi" w:cstheme="majorBidi"/>
        </w:rPr>
        <w:t>ion of</w:t>
      </w:r>
      <w:r w:rsidR="00440977" w:rsidRPr="00E32653">
        <w:rPr>
          <w:rFonts w:asciiTheme="majorBidi" w:hAnsiTheme="majorBidi" w:cstheme="majorBidi"/>
        </w:rPr>
        <w:t xml:space="preserve"> </w:t>
      </w:r>
      <w:r w:rsidR="00B37AC0" w:rsidRPr="00E32653">
        <w:rPr>
          <w:rFonts w:asciiTheme="majorBidi" w:hAnsiTheme="majorBidi" w:cstheme="majorBidi"/>
        </w:rPr>
        <w:t xml:space="preserve">the </w:t>
      </w:r>
      <w:r w:rsidR="007253C8" w:rsidRPr="00E32653">
        <w:rPr>
          <w:rFonts w:asciiTheme="majorBidi" w:hAnsiTheme="majorBidi" w:cstheme="majorBidi"/>
        </w:rPr>
        <w:t xml:space="preserve">environmental </w:t>
      </w:r>
      <w:r w:rsidR="00B37AC0" w:rsidRPr="00E32653">
        <w:rPr>
          <w:rFonts w:asciiTheme="majorBidi" w:hAnsiTheme="majorBidi" w:cstheme="majorBidi"/>
        </w:rPr>
        <w:t xml:space="preserve">sustainability of </w:t>
      </w:r>
      <w:r w:rsidR="00D343A3" w:rsidRPr="00E32653">
        <w:rPr>
          <w:rFonts w:asciiTheme="majorBidi" w:hAnsiTheme="majorBidi" w:cstheme="majorBidi"/>
        </w:rPr>
        <w:t xml:space="preserve">the </w:t>
      </w:r>
      <w:r w:rsidR="00440977" w:rsidRPr="00E32653">
        <w:rPr>
          <w:rFonts w:asciiTheme="majorBidi" w:hAnsiTheme="majorBidi" w:cstheme="majorBidi"/>
        </w:rPr>
        <w:t>two different construction materials</w:t>
      </w:r>
      <w:r w:rsidR="00166D08" w:rsidRPr="00E32653">
        <w:rPr>
          <w:rFonts w:asciiTheme="majorBidi" w:hAnsiTheme="majorBidi" w:cstheme="majorBidi"/>
        </w:rPr>
        <w:t xml:space="preserve"> considered here</w:t>
      </w:r>
      <w:r w:rsidR="00440977" w:rsidRPr="00E32653">
        <w:rPr>
          <w:rFonts w:asciiTheme="majorBidi" w:hAnsiTheme="majorBidi" w:cstheme="majorBidi"/>
        </w:rPr>
        <w:t>.</w:t>
      </w:r>
      <w:r w:rsidR="00243068" w:rsidRPr="00E32653">
        <w:rPr>
          <w:rFonts w:asciiTheme="majorBidi" w:hAnsiTheme="majorBidi" w:cstheme="majorBidi"/>
        </w:rPr>
        <w:t xml:space="preserve"> The materials </w:t>
      </w:r>
      <w:r w:rsidR="00074392" w:rsidRPr="00E32653">
        <w:rPr>
          <w:rFonts w:asciiTheme="majorBidi" w:hAnsiTheme="majorBidi" w:cstheme="majorBidi"/>
        </w:rPr>
        <w:t xml:space="preserve">are </w:t>
      </w:r>
      <w:r w:rsidR="00536EF9" w:rsidRPr="00E32653">
        <w:rPr>
          <w:rFonts w:asciiTheme="majorBidi" w:hAnsiTheme="majorBidi" w:cstheme="majorBidi"/>
        </w:rPr>
        <w:t>GLT</w:t>
      </w:r>
      <w:r w:rsidR="00074392" w:rsidRPr="00E32653">
        <w:rPr>
          <w:rFonts w:asciiTheme="majorBidi" w:hAnsiTheme="majorBidi" w:cstheme="majorBidi"/>
        </w:rPr>
        <w:t>,</w:t>
      </w:r>
      <w:r w:rsidR="00243068" w:rsidRPr="00E32653">
        <w:rPr>
          <w:rFonts w:asciiTheme="majorBidi" w:hAnsiTheme="majorBidi" w:cstheme="majorBidi"/>
        </w:rPr>
        <w:t xml:space="preserve"> </w:t>
      </w:r>
      <w:r w:rsidR="007253C8" w:rsidRPr="00E32653">
        <w:rPr>
          <w:rFonts w:asciiTheme="majorBidi" w:hAnsiTheme="majorBidi" w:cstheme="majorBidi"/>
        </w:rPr>
        <w:t xml:space="preserve">as </w:t>
      </w:r>
      <w:r w:rsidR="00DF721D" w:rsidRPr="00E32653">
        <w:rPr>
          <w:rFonts w:asciiTheme="majorBidi" w:hAnsiTheme="majorBidi" w:cstheme="majorBidi"/>
        </w:rPr>
        <w:t xml:space="preserve">used </w:t>
      </w:r>
      <w:r w:rsidR="007253C8" w:rsidRPr="00E32653">
        <w:rPr>
          <w:rFonts w:asciiTheme="majorBidi" w:hAnsiTheme="majorBidi" w:cstheme="majorBidi"/>
        </w:rPr>
        <w:t xml:space="preserve">in </w:t>
      </w:r>
      <w:r w:rsidR="00243068" w:rsidRPr="00E32653">
        <w:rPr>
          <w:rFonts w:asciiTheme="majorBidi" w:hAnsiTheme="majorBidi" w:cstheme="majorBidi"/>
        </w:rPr>
        <w:t>onsite</w:t>
      </w:r>
      <w:r w:rsidR="007253C8" w:rsidRPr="00E32653">
        <w:rPr>
          <w:rFonts w:asciiTheme="majorBidi" w:hAnsiTheme="majorBidi" w:cstheme="majorBidi"/>
        </w:rPr>
        <w:t xml:space="preserve"> construction</w:t>
      </w:r>
      <w:r w:rsidR="00074392" w:rsidRPr="00E32653">
        <w:rPr>
          <w:rFonts w:asciiTheme="majorBidi" w:hAnsiTheme="majorBidi" w:cstheme="majorBidi"/>
        </w:rPr>
        <w:t>,</w:t>
      </w:r>
      <w:r w:rsidR="00243068" w:rsidRPr="00E32653">
        <w:rPr>
          <w:rFonts w:asciiTheme="majorBidi" w:hAnsiTheme="majorBidi" w:cstheme="majorBidi"/>
        </w:rPr>
        <w:t xml:space="preserve"> and </w:t>
      </w:r>
      <w:r w:rsidR="00536EF9" w:rsidRPr="00E32653">
        <w:rPr>
          <w:rFonts w:asciiTheme="majorBidi" w:hAnsiTheme="majorBidi" w:cstheme="majorBidi"/>
        </w:rPr>
        <w:t xml:space="preserve">LVL </w:t>
      </w:r>
      <w:r w:rsidR="007253C8" w:rsidRPr="00E32653">
        <w:rPr>
          <w:rFonts w:asciiTheme="majorBidi" w:hAnsiTheme="majorBidi" w:cstheme="majorBidi"/>
        </w:rPr>
        <w:t xml:space="preserve">when </w:t>
      </w:r>
      <w:r w:rsidR="00DF721D" w:rsidRPr="00E32653">
        <w:rPr>
          <w:rFonts w:asciiTheme="majorBidi" w:hAnsiTheme="majorBidi" w:cstheme="majorBidi"/>
        </w:rPr>
        <w:t>used</w:t>
      </w:r>
      <w:r w:rsidR="00243068" w:rsidRPr="00E32653">
        <w:rPr>
          <w:rFonts w:asciiTheme="majorBidi" w:hAnsiTheme="majorBidi" w:cstheme="majorBidi"/>
        </w:rPr>
        <w:t xml:space="preserve"> </w:t>
      </w:r>
      <w:r w:rsidR="007253C8" w:rsidRPr="00E32653">
        <w:rPr>
          <w:rFonts w:asciiTheme="majorBidi" w:hAnsiTheme="majorBidi" w:cstheme="majorBidi"/>
        </w:rPr>
        <w:t xml:space="preserve">in </w:t>
      </w:r>
      <w:r w:rsidR="00243068" w:rsidRPr="00E32653">
        <w:rPr>
          <w:rFonts w:asciiTheme="majorBidi" w:hAnsiTheme="majorBidi" w:cstheme="majorBidi"/>
        </w:rPr>
        <w:t>prefabricated prefinished volumetric construction</w:t>
      </w:r>
      <w:r w:rsidR="00BA3E0E" w:rsidRPr="00E32653">
        <w:rPr>
          <w:rFonts w:asciiTheme="majorBidi" w:hAnsiTheme="majorBidi" w:cstheme="majorBidi"/>
        </w:rPr>
        <w:t>.</w:t>
      </w:r>
    </w:p>
    <w:p w14:paraId="28689794" w14:textId="77777777" w:rsidR="00CC69CF" w:rsidRPr="00E32653" w:rsidRDefault="00CC69CF" w:rsidP="00694509">
      <w:pPr>
        <w:spacing w:line="276" w:lineRule="auto"/>
        <w:ind w:firstLine="720"/>
        <w:jc w:val="both"/>
        <w:rPr>
          <w:rFonts w:asciiTheme="majorBidi" w:hAnsiTheme="majorBidi" w:cstheme="majorBidi"/>
        </w:rPr>
      </w:pPr>
    </w:p>
    <w:p w14:paraId="49180037" w14:textId="74B1CCE0" w:rsidR="00BF4F81" w:rsidRPr="00E32653" w:rsidRDefault="00BF4F81" w:rsidP="00BF4F81">
      <w:pPr>
        <w:spacing w:line="276" w:lineRule="auto"/>
        <w:jc w:val="center"/>
        <w:rPr>
          <w:rFonts w:asciiTheme="majorBidi" w:hAnsiTheme="majorBidi" w:cstheme="majorBidi"/>
        </w:rPr>
      </w:pPr>
      <w:r w:rsidRPr="00E32653">
        <w:rPr>
          <w:rFonts w:asciiTheme="majorBidi" w:hAnsiTheme="majorBidi" w:cstheme="majorBidi"/>
          <w:noProof/>
        </w:rPr>
        <w:drawing>
          <wp:inline distT="0" distB="0" distL="0" distR="0" wp14:anchorId="640DA4A9" wp14:editId="1817335C">
            <wp:extent cx="5943600" cy="17805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780540"/>
                    </a:xfrm>
                    <a:prstGeom prst="rect">
                      <a:avLst/>
                    </a:prstGeom>
                  </pic:spPr>
                </pic:pic>
              </a:graphicData>
            </a:graphic>
          </wp:inline>
        </w:drawing>
      </w:r>
    </w:p>
    <w:p w14:paraId="72752A35" w14:textId="2C9D87FC" w:rsidR="0058406A" w:rsidRPr="00E32653" w:rsidRDefault="00367A37" w:rsidP="000C709C">
      <w:pPr>
        <w:jc w:val="center"/>
        <w:rPr>
          <w:rFonts w:asciiTheme="majorBidi" w:hAnsiTheme="majorBidi" w:cstheme="majorBidi"/>
        </w:rPr>
      </w:pPr>
      <w:r w:rsidRPr="00E32653">
        <w:rPr>
          <w:rFonts w:asciiTheme="majorBidi" w:hAnsiTheme="majorBidi" w:cstheme="majorBidi"/>
        </w:rPr>
        <w:t>Fi</w:t>
      </w:r>
      <w:r w:rsidR="0070588C" w:rsidRPr="00E32653">
        <w:rPr>
          <w:rFonts w:asciiTheme="majorBidi" w:hAnsiTheme="majorBidi" w:cstheme="majorBidi"/>
        </w:rPr>
        <w:t>gure</w:t>
      </w:r>
      <w:r w:rsidRPr="00E32653">
        <w:rPr>
          <w:rFonts w:asciiTheme="majorBidi" w:hAnsiTheme="majorBidi" w:cstheme="majorBidi"/>
        </w:rPr>
        <w:t xml:space="preserve"> 1. </w:t>
      </w:r>
      <w:r w:rsidR="00BE2E9C" w:rsidRPr="00E32653">
        <w:rPr>
          <w:rFonts w:asciiTheme="majorBidi" w:hAnsiTheme="majorBidi" w:cstheme="majorBidi"/>
        </w:rPr>
        <w:t>S</w:t>
      </w:r>
      <w:r w:rsidR="000C709C" w:rsidRPr="00E32653">
        <w:rPr>
          <w:rFonts w:asciiTheme="majorBidi" w:hAnsiTheme="majorBidi" w:cstheme="majorBidi"/>
        </w:rPr>
        <w:t xml:space="preserve">ystematic steps of </w:t>
      </w:r>
      <w:r w:rsidR="00BE2E9C" w:rsidRPr="00E32653">
        <w:rPr>
          <w:rFonts w:asciiTheme="majorBidi" w:hAnsiTheme="majorBidi" w:cstheme="majorBidi"/>
        </w:rPr>
        <w:t xml:space="preserve">this </w:t>
      </w:r>
      <w:r w:rsidRPr="00E32653">
        <w:rPr>
          <w:rFonts w:asciiTheme="majorBidi" w:hAnsiTheme="majorBidi" w:cstheme="majorBidi"/>
        </w:rPr>
        <w:t xml:space="preserve">research </w:t>
      </w:r>
    </w:p>
    <w:p w14:paraId="327689BE" w14:textId="77777777" w:rsidR="00004835" w:rsidRPr="00E32653" w:rsidRDefault="00004835" w:rsidP="000C709C">
      <w:pPr>
        <w:jc w:val="center"/>
        <w:rPr>
          <w:rFonts w:asciiTheme="majorBidi" w:hAnsiTheme="majorBidi" w:cstheme="majorBidi"/>
        </w:rPr>
      </w:pPr>
    </w:p>
    <w:p w14:paraId="40DC08B3" w14:textId="38A2E965" w:rsidR="009E3149" w:rsidRPr="00E32653" w:rsidRDefault="006F2C6B" w:rsidP="000131AB">
      <w:pPr>
        <w:spacing w:line="276" w:lineRule="auto"/>
        <w:ind w:firstLine="720"/>
        <w:jc w:val="both"/>
        <w:rPr>
          <w:rFonts w:asciiTheme="majorBidi" w:hAnsiTheme="majorBidi" w:cstheme="majorBidi"/>
        </w:rPr>
      </w:pPr>
      <w:r w:rsidRPr="00E32653">
        <w:rPr>
          <w:rFonts w:asciiTheme="majorBidi" w:hAnsiTheme="majorBidi" w:cstheme="majorBidi"/>
        </w:rPr>
        <w:t>Figure 2</w:t>
      </w:r>
      <w:r w:rsidR="00F76C24" w:rsidRPr="00E32653">
        <w:rPr>
          <w:rFonts w:asciiTheme="majorBidi" w:hAnsiTheme="majorBidi" w:cstheme="majorBidi"/>
        </w:rPr>
        <w:t xml:space="preserve"> shows the system boundaries </w:t>
      </w:r>
      <w:r w:rsidR="00DF721D" w:rsidRPr="00E32653">
        <w:rPr>
          <w:rFonts w:asciiTheme="majorBidi" w:hAnsiTheme="majorBidi" w:cstheme="majorBidi"/>
        </w:rPr>
        <w:t xml:space="preserve">that </w:t>
      </w:r>
      <w:r w:rsidR="00F76C24" w:rsidRPr="00E32653">
        <w:rPr>
          <w:rFonts w:asciiTheme="majorBidi" w:hAnsiTheme="majorBidi" w:cstheme="majorBidi"/>
        </w:rPr>
        <w:t xml:space="preserve">correspond to the lifecycle </w:t>
      </w:r>
      <w:r w:rsidR="002A5AF3" w:rsidRPr="00E32653">
        <w:rPr>
          <w:rFonts w:asciiTheme="majorBidi" w:hAnsiTheme="majorBidi" w:cstheme="majorBidi"/>
        </w:rPr>
        <w:t>stages of buildings</w:t>
      </w:r>
      <w:r w:rsidR="00BE2E9C" w:rsidRPr="00E32653">
        <w:rPr>
          <w:rFonts w:asciiTheme="majorBidi" w:hAnsiTheme="majorBidi" w:cstheme="majorBidi"/>
        </w:rPr>
        <w:t>. They</w:t>
      </w:r>
      <w:r w:rsidR="002A5AF3" w:rsidRPr="00E32653">
        <w:rPr>
          <w:rFonts w:asciiTheme="majorBidi" w:hAnsiTheme="majorBidi" w:cstheme="majorBidi"/>
        </w:rPr>
        <w:t xml:space="preserve"> </w:t>
      </w:r>
      <w:r w:rsidR="00915C2E" w:rsidRPr="00E32653">
        <w:rPr>
          <w:rFonts w:asciiTheme="majorBidi" w:hAnsiTheme="majorBidi" w:cstheme="majorBidi"/>
        </w:rPr>
        <w:t>consist</w:t>
      </w:r>
      <w:r w:rsidR="002A5AF3" w:rsidRPr="00E32653">
        <w:rPr>
          <w:rFonts w:asciiTheme="majorBidi" w:hAnsiTheme="majorBidi" w:cstheme="majorBidi"/>
        </w:rPr>
        <w:t xml:space="preserve"> of different stages of </w:t>
      </w:r>
      <w:r w:rsidR="000131AB" w:rsidRPr="00E32653">
        <w:rPr>
          <w:rFonts w:asciiTheme="majorBidi" w:hAnsiTheme="majorBidi" w:cstheme="majorBidi"/>
        </w:rPr>
        <w:t xml:space="preserve">the </w:t>
      </w:r>
      <w:r w:rsidR="002A5AF3" w:rsidRPr="00E32653">
        <w:rPr>
          <w:rFonts w:asciiTheme="majorBidi" w:hAnsiTheme="majorBidi" w:cstheme="majorBidi"/>
        </w:rPr>
        <w:t xml:space="preserve">building during its lifespan and </w:t>
      </w:r>
      <w:r w:rsidR="00BE2E9C" w:rsidRPr="00E32653">
        <w:rPr>
          <w:rFonts w:asciiTheme="majorBidi" w:hAnsiTheme="majorBidi" w:cstheme="majorBidi"/>
        </w:rPr>
        <w:t>accord</w:t>
      </w:r>
      <w:r w:rsidR="002A5AF3" w:rsidRPr="00E32653">
        <w:rPr>
          <w:rFonts w:asciiTheme="majorBidi" w:hAnsiTheme="majorBidi" w:cstheme="majorBidi"/>
        </w:rPr>
        <w:t xml:space="preserve"> with </w:t>
      </w:r>
      <w:r w:rsidR="00BE2E9C" w:rsidRPr="00E32653">
        <w:rPr>
          <w:rFonts w:asciiTheme="majorBidi" w:hAnsiTheme="majorBidi" w:cstheme="majorBidi"/>
        </w:rPr>
        <w:t xml:space="preserve">the </w:t>
      </w:r>
      <w:r w:rsidR="00F76C24" w:rsidRPr="00E32653">
        <w:rPr>
          <w:rFonts w:asciiTheme="majorBidi" w:hAnsiTheme="majorBidi" w:cstheme="majorBidi"/>
        </w:rPr>
        <w:t>EN15804 and EN15978 standards</w:t>
      </w:r>
      <w:r w:rsidR="00216D0D" w:rsidRPr="00E32653">
        <w:rPr>
          <w:rFonts w:asciiTheme="majorBidi" w:hAnsiTheme="majorBidi" w:cstheme="majorBidi"/>
        </w:rPr>
        <w:t xml:space="preserve"> </w:t>
      </w:r>
      <w:r w:rsidR="00216D0D" w:rsidRPr="00E32653">
        <w:rPr>
          <w:rFonts w:asciiTheme="majorBidi" w:hAnsiTheme="majorBidi" w:cstheme="majorBidi"/>
        </w:rPr>
        <w:fldChar w:fldCharType="begin" w:fldLock="1"/>
      </w:r>
      <w:r w:rsidR="003B34DA" w:rsidRPr="00E32653">
        <w:rPr>
          <w:rFonts w:asciiTheme="majorBidi" w:hAnsiTheme="majorBidi" w:cstheme="majorBidi"/>
        </w:rPr>
        <w:instrText>ADDIN CSL_CITATION {"citationItems":[{"id":"ITEM-1","itemData":{"ISBN":"&lt;null&gt;","abstract":"This European Standard specifies the calculation method, based on Life Cycle Assessment (LCA) and other quantified environmental information, to assess the environmental performance of a building, and gives the means for the reporting and communication of the outcome of the assessment. The standard is applicable to new and existing buildings and refurbishment projects. The standard gives: - the description of the object of assessment; - the system boundary that applies at the building level; - the procedure to be used for the inventory analysis; - the list of indicators and procedures for the calculations of these indicators; - the requirements for presentation of the results in reporting and communication; - and the requirements for the data necessary for the calculation. The approach to the assessment covers all stages of the building life cycle and is based on data obtained from Environmental Product Declarations (EPD), their \"information modules\" (prEN 15804) and other information necessary and relevant for carrying out the assessment. The assessment includes all building related construction products, processes and services, used over the life cycle of the building. The interpretation and value judgments of the results of the assessment are not within the scope of this European Standard.","author":[{"dropping-particle":"","family":"European Committee for Standardization","given":"","non-dropping-particle":"","parse-names":false,"suffix":""}],"container-title":"International Standard","id":"ITEM-1","issued":{"date-parts":[["2011"]]},"title":"UNE-EN 15978:2011 Sustainability of construction works - Assessment of environmental performance of buildings - Calculation method","type":"article-journal"},"uris":["http://www.mendeley.com/documents/?uuid=132ba74d-828f-4e07-ae58-516dc8fa462e"]}],"mendeley":{"formattedCitation":"(European Committee for Standardization, 2011)","plainTextFormattedCitation":"(European Committee for Standardization, 2011)","previouslyFormattedCitation":"(European Committee for Standardization, 2011)"},"properties":{"noteIndex":0},"schema":"https://github.com/citation-style-language/schema/raw/master/csl-citation.json"}</w:instrText>
      </w:r>
      <w:r w:rsidR="00216D0D" w:rsidRPr="00E32653">
        <w:rPr>
          <w:rFonts w:asciiTheme="majorBidi" w:hAnsiTheme="majorBidi" w:cstheme="majorBidi"/>
        </w:rPr>
        <w:fldChar w:fldCharType="separate"/>
      </w:r>
      <w:r w:rsidR="00216D0D" w:rsidRPr="00E32653">
        <w:rPr>
          <w:rFonts w:asciiTheme="majorBidi" w:hAnsiTheme="majorBidi" w:cstheme="majorBidi"/>
          <w:noProof/>
        </w:rPr>
        <w:t>(European Committee for Standardization, 2011)</w:t>
      </w:r>
      <w:r w:rsidR="00216D0D" w:rsidRPr="00E32653">
        <w:rPr>
          <w:rFonts w:asciiTheme="majorBidi" w:hAnsiTheme="majorBidi" w:cstheme="majorBidi"/>
        </w:rPr>
        <w:fldChar w:fldCharType="end"/>
      </w:r>
      <w:r w:rsidR="00F76C24" w:rsidRPr="00E32653">
        <w:rPr>
          <w:rFonts w:asciiTheme="majorBidi" w:hAnsiTheme="majorBidi" w:cstheme="majorBidi"/>
        </w:rPr>
        <w:t xml:space="preserve">. </w:t>
      </w:r>
      <w:r w:rsidR="006C72CC" w:rsidRPr="00E32653">
        <w:rPr>
          <w:rFonts w:asciiTheme="majorBidi" w:hAnsiTheme="majorBidi" w:cstheme="majorBidi"/>
        </w:rPr>
        <w:t>Based on EN15804, to analy</w:t>
      </w:r>
      <w:r w:rsidR="000131AB" w:rsidRPr="00E32653">
        <w:rPr>
          <w:rFonts w:asciiTheme="majorBidi" w:hAnsiTheme="majorBidi" w:cstheme="majorBidi"/>
        </w:rPr>
        <w:t>ze</w:t>
      </w:r>
      <w:r w:rsidR="006C72CC" w:rsidRPr="00E32653">
        <w:rPr>
          <w:rFonts w:asciiTheme="majorBidi" w:hAnsiTheme="majorBidi" w:cstheme="majorBidi"/>
        </w:rPr>
        <w:t xml:space="preserve"> the </w:t>
      </w:r>
      <w:r w:rsidR="00915C2E" w:rsidRPr="00E32653">
        <w:rPr>
          <w:rFonts w:asciiTheme="majorBidi" w:hAnsiTheme="majorBidi" w:cstheme="majorBidi"/>
        </w:rPr>
        <w:t>materials</w:t>
      </w:r>
      <w:r w:rsidR="000131AB" w:rsidRPr="00E32653">
        <w:rPr>
          <w:rFonts w:asciiTheme="majorBidi" w:hAnsiTheme="majorBidi" w:cstheme="majorBidi"/>
        </w:rPr>
        <w:t xml:space="preserve">, </w:t>
      </w:r>
      <w:r w:rsidR="00BE2E9C" w:rsidRPr="00E32653">
        <w:rPr>
          <w:rFonts w:asciiTheme="majorBidi" w:hAnsiTheme="majorBidi" w:cstheme="majorBidi"/>
        </w:rPr>
        <w:t>appropriate</w:t>
      </w:r>
      <w:r w:rsidR="000131AB" w:rsidRPr="00E32653">
        <w:rPr>
          <w:rFonts w:asciiTheme="majorBidi" w:hAnsiTheme="majorBidi" w:cstheme="majorBidi"/>
        </w:rPr>
        <w:t xml:space="preserve"> system boundar</w:t>
      </w:r>
      <w:r w:rsidR="00C84FBC" w:rsidRPr="00E32653">
        <w:rPr>
          <w:rFonts w:asciiTheme="majorBidi" w:hAnsiTheme="majorBidi" w:cstheme="majorBidi"/>
        </w:rPr>
        <w:t xml:space="preserve">ies </w:t>
      </w:r>
      <w:r w:rsidR="006C72CC" w:rsidRPr="00E32653">
        <w:rPr>
          <w:rFonts w:asciiTheme="majorBidi" w:hAnsiTheme="majorBidi" w:cstheme="majorBidi"/>
        </w:rPr>
        <w:t xml:space="preserve">A1, A2, A3, A4, and A5 </w:t>
      </w:r>
      <w:r w:rsidR="00651659" w:rsidRPr="00E32653">
        <w:rPr>
          <w:rFonts w:asciiTheme="majorBidi" w:hAnsiTheme="majorBidi" w:cstheme="majorBidi"/>
        </w:rPr>
        <w:t xml:space="preserve">are </w:t>
      </w:r>
      <w:r w:rsidR="00915C2E" w:rsidRPr="00E32653">
        <w:rPr>
          <w:rFonts w:asciiTheme="majorBidi" w:hAnsiTheme="majorBidi" w:cstheme="majorBidi"/>
        </w:rPr>
        <w:t>compulsory</w:t>
      </w:r>
      <w:r w:rsidR="006C72CC" w:rsidRPr="00E32653">
        <w:rPr>
          <w:rFonts w:asciiTheme="majorBidi" w:hAnsiTheme="majorBidi" w:cstheme="majorBidi"/>
        </w:rPr>
        <w:t xml:space="preserve"> and other stages are arbitrary. </w:t>
      </w:r>
      <w:r w:rsidR="00651659" w:rsidRPr="00E32653">
        <w:rPr>
          <w:rFonts w:asciiTheme="majorBidi" w:hAnsiTheme="majorBidi" w:cstheme="majorBidi"/>
        </w:rPr>
        <w:t>T</w:t>
      </w:r>
      <w:r w:rsidR="006C72CC" w:rsidRPr="00E32653">
        <w:rPr>
          <w:rFonts w:asciiTheme="majorBidi" w:hAnsiTheme="majorBidi" w:cstheme="majorBidi"/>
        </w:rPr>
        <w:t xml:space="preserve">o </w:t>
      </w:r>
      <w:r w:rsidR="000131AB" w:rsidRPr="00E32653">
        <w:rPr>
          <w:rFonts w:asciiTheme="majorBidi" w:hAnsiTheme="majorBidi" w:cstheme="majorBidi"/>
        </w:rPr>
        <w:t xml:space="preserve">comprehensively compare </w:t>
      </w:r>
      <w:r w:rsidR="00BE2E9C" w:rsidRPr="00E32653">
        <w:rPr>
          <w:rFonts w:asciiTheme="majorBidi" w:hAnsiTheme="majorBidi" w:cstheme="majorBidi"/>
        </w:rPr>
        <w:t>LVL and GLT</w:t>
      </w:r>
      <w:r w:rsidR="000131AB" w:rsidRPr="00E32653">
        <w:rPr>
          <w:rFonts w:asciiTheme="majorBidi" w:hAnsiTheme="majorBidi" w:cstheme="majorBidi"/>
        </w:rPr>
        <w:t xml:space="preserve">, this </w:t>
      </w:r>
      <w:r w:rsidR="00BE2E9C" w:rsidRPr="00E32653">
        <w:rPr>
          <w:rFonts w:asciiTheme="majorBidi" w:hAnsiTheme="majorBidi" w:cstheme="majorBidi"/>
        </w:rPr>
        <w:t xml:space="preserve">study </w:t>
      </w:r>
      <w:r w:rsidR="00651659" w:rsidRPr="00E32653">
        <w:rPr>
          <w:rFonts w:asciiTheme="majorBidi" w:hAnsiTheme="majorBidi" w:cstheme="majorBidi"/>
        </w:rPr>
        <w:t xml:space="preserve">addressed the </w:t>
      </w:r>
      <w:r w:rsidR="000131AB" w:rsidRPr="00E32653">
        <w:rPr>
          <w:rFonts w:asciiTheme="majorBidi" w:hAnsiTheme="majorBidi" w:cstheme="majorBidi"/>
        </w:rPr>
        <w:t>production stage (A1, A2 and A3) and</w:t>
      </w:r>
      <w:r w:rsidR="006C72CC" w:rsidRPr="00E32653">
        <w:rPr>
          <w:rFonts w:asciiTheme="majorBidi" w:hAnsiTheme="majorBidi" w:cstheme="majorBidi"/>
        </w:rPr>
        <w:t xml:space="preserve"> </w:t>
      </w:r>
      <w:r w:rsidR="000131AB" w:rsidRPr="00E32653">
        <w:rPr>
          <w:rFonts w:asciiTheme="majorBidi" w:hAnsiTheme="majorBidi" w:cstheme="majorBidi"/>
        </w:rPr>
        <w:t xml:space="preserve">the </w:t>
      </w:r>
      <w:r w:rsidR="006C72CC" w:rsidRPr="00E32653">
        <w:rPr>
          <w:rFonts w:asciiTheme="majorBidi" w:hAnsiTheme="majorBidi" w:cstheme="majorBidi"/>
        </w:rPr>
        <w:t xml:space="preserve">construction stage (A4, A5). Other relevant stages </w:t>
      </w:r>
      <w:r w:rsidR="00651659" w:rsidRPr="00E32653">
        <w:rPr>
          <w:rFonts w:asciiTheme="majorBidi" w:hAnsiTheme="majorBidi" w:cstheme="majorBidi"/>
        </w:rPr>
        <w:t>include</w:t>
      </w:r>
      <w:r w:rsidR="000131AB" w:rsidRPr="00E32653">
        <w:rPr>
          <w:rFonts w:asciiTheme="majorBidi" w:hAnsiTheme="majorBidi" w:cstheme="majorBidi"/>
        </w:rPr>
        <w:t xml:space="preserve"> </w:t>
      </w:r>
      <w:r w:rsidR="006C72CC" w:rsidRPr="00E32653">
        <w:rPr>
          <w:rFonts w:asciiTheme="majorBidi" w:hAnsiTheme="majorBidi" w:cstheme="majorBidi"/>
        </w:rPr>
        <w:t>maintenance (B2), end of life (C1, C2, C3</w:t>
      </w:r>
      <w:r w:rsidR="000131AB" w:rsidRPr="00E32653">
        <w:rPr>
          <w:rFonts w:asciiTheme="majorBidi" w:hAnsiTheme="majorBidi" w:cstheme="majorBidi"/>
        </w:rPr>
        <w:t>,</w:t>
      </w:r>
      <w:r w:rsidR="006C72CC" w:rsidRPr="00E32653">
        <w:rPr>
          <w:rFonts w:asciiTheme="majorBidi" w:hAnsiTheme="majorBidi" w:cstheme="majorBidi"/>
        </w:rPr>
        <w:t xml:space="preserve"> and C4)</w:t>
      </w:r>
      <w:r w:rsidR="000131AB" w:rsidRPr="00E32653">
        <w:rPr>
          <w:rFonts w:asciiTheme="majorBidi" w:hAnsiTheme="majorBidi" w:cstheme="majorBidi"/>
        </w:rPr>
        <w:t>,</w:t>
      </w:r>
      <w:r w:rsidR="006C72CC" w:rsidRPr="00E32653">
        <w:rPr>
          <w:rFonts w:asciiTheme="majorBidi" w:hAnsiTheme="majorBidi" w:cstheme="majorBidi"/>
        </w:rPr>
        <w:t xml:space="preserve"> and finally, </w:t>
      </w:r>
      <w:r w:rsidR="00651659" w:rsidRPr="00E32653">
        <w:rPr>
          <w:rFonts w:asciiTheme="majorBidi" w:hAnsiTheme="majorBidi" w:cstheme="majorBidi"/>
        </w:rPr>
        <w:t xml:space="preserve">the </w:t>
      </w:r>
      <w:r w:rsidR="006C72CC" w:rsidRPr="00E32653">
        <w:rPr>
          <w:rFonts w:asciiTheme="majorBidi" w:hAnsiTheme="majorBidi" w:cstheme="majorBidi"/>
        </w:rPr>
        <w:t>benefit phase (D1, D2, D3</w:t>
      </w:r>
      <w:r w:rsidR="000131AB" w:rsidRPr="00E32653">
        <w:rPr>
          <w:rFonts w:asciiTheme="majorBidi" w:hAnsiTheme="majorBidi" w:cstheme="majorBidi"/>
        </w:rPr>
        <w:t>,</w:t>
      </w:r>
      <w:r w:rsidR="006C72CC" w:rsidRPr="00E32653">
        <w:rPr>
          <w:rFonts w:asciiTheme="majorBidi" w:hAnsiTheme="majorBidi" w:cstheme="majorBidi"/>
        </w:rPr>
        <w:t xml:space="preserve"> and D4).</w:t>
      </w:r>
      <w:r w:rsidR="00651659" w:rsidRPr="00E32653">
        <w:rPr>
          <w:rFonts w:asciiTheme="majorBidi" w:hAnsiTheme="majorBidi" w:cstheme="majorBidi"/>
        </w:rPr>
        <w:t xml:space="preserve"> C</w:t>
      </w:r>
      <w:r w:rsidR="00E967F9" w:rsidRPr="00E32653">
        <w:rPr>
          <w:rFonts w:asciiTheme="majorBidi" w:hAnsiTheme="majorBidi" w:cstheme="majorBidi"/>
        </w:rPr>
        <w:t xml:space="preserve">omputation of the total embodied energy includes </w:t>
      </w:r>
      <w:r w:rsidR="00651659" w:rsidRPr="00E32653">
        <w:rPr>
          <w:rFonts w:asciiTheme="majorBidi" w:hAnsiTheme="majorBidi" w:cstheme="majorBidi"/>
        </w:rPr>
        <w:t xml:space="preserve">the </w:t>
      </w:r>
      <w:r w:rsidR="00E967F9" w:rsidRPr="00E32653">
        <w:rPr>
          <w:rFonts w:asciiTheme="majorBidi" w:hAnsiTheme="majorBidi" w:cstheme="majorBidi"/>
        </w:rPr>
        <w:t>processes</w:t>
      </w:r>
      <w:r w:rsidR="0078512F" w:rsidRPr="00E32653">
        <w:rPr>
          <w:rFonts w:asciiTheme="majorBidi" w:hAnsiTheme="majorBidi" w:cstheme="majorBidi"/>
        </w:rPr>
        <w:t xml:space="preserve"> </w:t>
      </w:r>
      <w:r w:rsidR="00DF112C" w:rsidRPr="00E32653">
        <w:rPr>
          <w:rFonts w:asciiTheme="majorBidi" w:hAnsiTheme="majorBidi" w:cstheme="majorBidi"/>
        </w:rPr>
        <w:t xml:space="preserve">which are </w:t>
      </w:r>
      <w:r w:rsidR="00651659" w:rsidRPr="00E32653">
        <w:rPr>
          <w:rFonts w:asciiTheme="majorBidi" w:hAnsiTheme="majorBidi" w:cstheme="majorBidi"/>
        </w:rPr>
        <w:t xml:space="preserve">noted (X) </w:t>
      </w:r>
      <w:r w:rsidR="00DF112C" w:rsidRPr="00E32653">
        <w:rPr>
          <w:rFonts w:asciiTheme="majorBidi" w:hAnsiTheme="majorBidi" w:cstheme="majorBidi"/>
        </w:rPr>
        <w:t>in Figure 2.</w:t>
      </w:r>
      <w:r w:rsidR="00601786" w:rsidRPr="00E32653">
        <w:rPr>
          <w:rFonts w:asciiTheme="majorBidi" w:hAnsiTheme="majorBidi" w:cstheme="majorBidi"/>
        </w:rPr>
        <w:t xml:space="preserve"> </w:t>
      </w:r>
      <w:r w:rsidR="009E3149" w:rsidRPr="00E32653">
        <w:rPr>
          <w:rFonts w:asciiTheme="majorBidi" w:hAnsiTheme="majorBidi" w:cstheme="majorBidi"/>
        </w:rPr>
        <w:t>Life cycle analyses were conducted within the boundaries of the product</w:t>
      </w:r>
      <w:r w:rsidR="00E967F9" w:rsidRPr="00E32653">
        <w:rPr>
          <w:rFonts w:asciiTheme="majorBidi" w:hAnsiTheme="majorBidi" w:cstheme="majorBidi"/>
        </w:rPr>
        <w:t>ion</w:t>
      </w:r>
      <w:r w:rsidR="009E3149" w:rsidRPr="00E32653">
        <w:rPr>
          <w:rFonts w:asciiTheme="majorBidi" w:hAnsiTheme="majorBidi" w:cstheme="majorBidi"/>
        </w:rPr>
        <w:t xml:space="preserve"> and construction, maintenance End of Life (EOL) </w:t>
      </w:r>
      <w:r w:rsidR="00E967F9" w:rsidRPr="00E32653">
        <w:rPr>
          <w:rFonts w:asciiTheme="majorBidi" w:hAnsiTheme="majorBidi" w:cstheme="majorBidi"/>
        </w:rPr>
        <w:t>stages</w:t>
      </w:r>
      <w:r w:rsidR="009E3149" w:rsidRPr="00E32653">
        <w:rPr>
          <w:rFonts w:asciiTheme="majorBidi" w:hAnsiTheme="majorBidi" w:cstheme="majorBidi"/>
        </w:rPr>
        <w:t>.</w:t>
      </w:r>
      <w:r w:rsidR="004D5F6F" w:rsidRPr="00E32653">
        <w:rPr>
          <w:rFonts w:asciiTheme="majorBidi" w:hAnsiTheme="majorBidi" w:cstheme="majorBidi"/>
        </w:rPr>
        <w:t xml:space="preserve"> </w:t>
      </w:r>
    </w:p>
    <w:p w14:paraId="56261953" w14:textId="3249BFD2" w:rsidR="00C57A58" w:rsidRPr="00E32653" w:rsidRDefault="00A85081" w:rsidP="00E01749">
      <w:pPr>
        <w:ind w:firstLine="720"/>
        <w:jc w:val="both"/>
        <w:rPr>
          <w:rFonts w:asciiTheme="majorBidi" w:hAnsiTheme="majorBidi" w:cstheme="majorBidi"/>
        </w:rPr>
      </w:pPr>
      <w:r w:rsidRPr="00E32653">
        <w:rPr>
          <w:rFonts w:asciiTheme="majorBidi" w:hAnsiTheme="majorBidi" w:cstheme="majorBidi"/>
          <w:shd w:val="clear" w:color="auto" w:fill="FFFFFF"/>
        </w:rPr>
        <w:t xml:space="preserve">This study did not include the </w:t>
      </w:r>
      <w:r w:rsidR="55E3103A" w:rsidRPr="00E32653">
        <w:rPr>
          <w:rFonts w:asciiTheme="majorBidi" w:hAnsiTheme="majorBidi" w:cstheme="majorBidi"/>
          <w:shd w:val="clear" w:color="auto" w:fill="FFFFFF"/>
        </w:rPr>
        <w:t>l</w:t>
      </w:r>
      <w:r w:rsidRPr="00E32653">
        <w:rPr>
          <w:rFonts w:asciiTheme="majorBidi" w:hAnsiTheme="majorBidi" w:cstheme="majorBidi"/>
          <w:shd w:val="clear" w:color="auto" w:fill="FFFFFF"/>
        </w:rPr>
        <w:t xml:space="preserve">ife cycle phases B1 (use), B5 (refurbishment) and B6 (operational energy), which fall outside the scope of </w:t>
      </w:r>
      <w:r w:rsidR="00D87BE2" w:rsidRPr="00E32653">
        <w:rPr>
          <w:rFonts w:asciiTheme="majorBidi" w:hAnsiTheme="majorBidi" w:cstheme="majorBidi"/>
          <w:shd w:val="clear" w:color="auto" w:fill="FFFFFF"/>
        </w:rPr>
        <w:t>this study</w:t>
      </w:r>
      <w:r w:rsidRPr="00E32653">
        <w:rPr>
          <w:rFonts w:asciiTheme="majorBidi" w:hAnsiTheme="majorBidi" w:cstheme="majorBidi"/>
          <w:shd w:val="clear" w:color="auto" w:fill="FFFFFF"/>
        </w:rPr>
        <w:t xml:space="preserve">. At </w:t>
      </w:r>
      <w:r w:rsidR="00E01749" w:rsidRPr="00E32653">
        <w:rPr>
          <w:rFonts w:asciiTheme="majorBidi" w:hAnsiTheme="majorBidi" w:cstheme="majorBidi"/>
          <w:shd w:val="clear" w:color="auto" w:fill="FFFFFF"/>
        </w:rPr>
        <w:t>the time of the study, phase B6</w:t>
      </w:r>
      <w:r w:rsidRPr="00E32653">
        <w:rPr>
          <w:rFonts w:asciiTheme="majorBidi" w:hAnsiTheme="majorBidi" w:cstheme="majorBidi"/>
          <w:shd w:val="clear" w:color="auto" w:fill="FFFFFF"/>
        </w:rPr>
        <w:t xml:space="preserve"> (operational energy) had not been </w:t>
      </w:r>
      <w:r w:rsidR="00E01749" w:rsidRPr="00E32653">
        <w:rPr>
          <w:rFonts w:asciiTheme="majorBidi" w:hAnsiTheme="majorBidi" w:cstheme="majorBidi"/>
          <w:shd w:val="clear" w:color="auto" w:fill="FFFFFF"/>
        </w:rPr>
        <w:t>assessed</w:t>
      </w:r>
      <w:r w:rsidRPr="00E32653">
        <w:rPr>
          <w:rFonts w:asciiTheme="majorBidi" w:hAnsiTheme="majorBidi" w:cstheme="majorBidi"/>
          <w:shd w:val="clear" w:color="auto" w:fill="FFFFFF"/>
        </w:rPr>
        <w:t xml:space="preserve">, and therefore was outside the scope of the study. For simplicity, we assumed both materials are mass timber and their operational energy was </w:t>
      </w:r>
      <w:r w:rsidR="00E01749" w:rsidRPr="00E32653">
        <w:rPr>
          <w:rFonts w:asciiTheme="majorBidi" w:hAnsiTheme="majorBidi" w:cstheme="majorBidi"/>
          <w:shd w:val="clear" w:color="auto" w:fill="FFFFFF"/>
        </w:rPr>
        <w:t>eliminated</w:t>
      </w:r>
      <w:r w:rsidRPr="00E32653">
        <w:rPr>
          <w:rFonts w:asciiTheme="majorBidi" w:hAnsiTheme="majorBidi" w:cstheme="majorBidi"/>
          <w:shd w:val="clear" w:color="auto" w:fill="FFFFFF"/>
        </w:rPr>
        <w:t xml:space="preserve"> from the </w:t>
      </w:r>
      <w:r w:rsidR="00E01749" w:rsidRPr="00E32653">
        <w:rPr>
          <w:rFonts w:asciiTheme="majorBidi" w:hAnsiTheme="majorBidi" w:cstheme="majorBidi"/>
          <w:shd w:val="clear" w:color="auto" w:fill="FFFFFF"/>
        </w:rPr>
        <w:t xml:space="preserve">LCA </w:t>
      </w:r>
      <w:r w:rsidRPr="00E32653">
        <w:rPr>
          <w:rFonts w:asciiTheme="majorBidi" w:hAnsiTheme="majorBidi" w:cstheme="majorBidi"/>
          <w:shd w:val="clear" w:color="auto" w:fill="FFFFFF"/>
        </w:rPr>
        <w:t>evaluation.</w:t>
      </w:r>
    </w:p>
    <w:p w14:paraId="5CE0A5E1" w14:textId="3B40E8E0" w:rsidR="00C57A58" w:rsidRPr="00E32653" w:rsidRDefault="00C57A58" w:rsidP="00A85081">
      <w:pPr>
        <w:spacing w:line="276" w:lineRule="auto"/>
        <w:ind w:firstLine="720"/>
        <w:jc w:val="both"/>
        <w:rPr>
          <w:rFonts w:asciiTheme="majorBidi" w:hAnsiTheme="majorBidi" w:cstheme="majorBidi"/>
        </w:rPr>
      </w:pPr>
    </w:p>
    <w:p w14:paraId="25DD3344" w14:textId="525A1BF7" w:rsidR="00CE5D17" w:rsidRPr="00E32653" w:rsidRDefault="00C45229" w:rsidP="00C45229">
      <w:pPr>
        <w:spacing w:after="0" w:line="276" w:lineRule="auto"/>
        <w:jc w:val="center"/>
        <w:rPr>
          <w:rFonts w:asciiTheme="majorBidi" w:hAnsiTheme="majorBidi" w:cstheme="majorBidi"/>
        </w:rPr>
      </w:pPr>
      <w:r w:rsidRPr="00E32653">
        <w:rPr>
          <w:rFonts w:asciiTheme="majorBidi" w:hAnsiTheme="majorBidi" w:cstheme="majorBidi"/>
          <w:noProof/>
        </w:rPr>
        <w:lastRenderedPageBreak/>
        <w:drawing>
          <wp:inline distT="0" distB="0" distL="0" distR="0" wp14:anchorId="4BF1C7FA" wp14:editId="40E0F840">
            <wp:extent cx="5356145" cy="2031365"/>
            <wp:effectExtent l="0" t="0" r="0" b="6985"/>
            <wp:docPr id="9" name="Picture 9" descr="C:\Users\Ali\Desktop\Screenshot 2021-11-22 090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Screenshot 2021-11-22 0900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7365" cy="2035620"/>
                    </a:xfrm>
                    <a:prstGeom prst="rect">
                      <a:avLst/>
                    </a:prstGeom>
                    <a:noFill/>
                    <a:ln>
                      <a:noFill/>
                    </a:ln>
                  </pic:spPr>
                </pic:pic>
              </a:graphicData>
            </a:graphic>
          </wp:inline>
        </w:drawing>
      </w:r>
    </w:p>
    <w:p w14:paraId="26B32ED1" w14:textId="2D6A033C" w:rsidR="00E711B9" w:rsidRPr="00E32653" w:rsidRDefault="0070588C" w:rsidP="000131AB">
      <w:pPr>
        <w:spacing w:line="276" w:lineRule="auto"/>
        <w:jc w:val="center"/>
        <w:rPr>
          <w:rFonts w:asciiTheme="majorBidi" w:hAnsiTheme="majorBidi" w:cstheme="majorBidi"/>
          <w:sz w:val="16"/>
          <w:szCs w:val="16"/>
        </w:rPr>
      </w:pPr>
      <w:r w:rsidRPr="00E32653">
        <w:rPr>
          <w:rFonts w:asciiTheme="majorBidi" w:hAnsiTheme="majorBidi" w:cstheme="majorBidi"/>
          <w:sz w:val="16"/>
          <w:szCs w:val="16"/>
        </w:rPr>
        <w:t>Figure</w:t>
      </w:r>
      <w:r w:rsidR="006F2C6B" w:rsidRPr="00E32653">
        <w:rPr>
          <w:rFonts w:asciiTheme="majorBidi" w:hAnsiTheme="majorBidi" w:cstheme="majorBidi"/>
          <w:sz w:val="16"/>
          <w:szCs w:val="16"/>
        </w:rPr>
        <w:t xml:space="preserve"> 2. Building</w:t>
      </w:r>
      <w:r w:rsidR="000131AB" w:rsidRPr="00E32653">
        <w:rPr>
          <w:rFonts w:asciiTheme="majorBidi" w:hAnsiTheme="majorBidi" w:cstheme="majorBidi"/>
          <w:sz w:val="16"/>
          <w:szCs w:val="16"/>
        </w:rPr>
        <w:t>'</w:t>
      </w:r>
      <w:r w:rsidR="006F2C6B" w:rsidRPr="00E32653">
        <w:rPr>
          <w:rFonts w:asciiTheme="majorBidi" w:hAnsiTheme="majorBidi" w:cstheme="majorBidi"/>
          <w:sz w:val="16"/>
          <w:szCs w:val="16"/>
        </w:rPr>
        <w:t>s life cycle stages from EN15804 and EN15978</w:t>
      </w:r>
    </w:p>
    <w:p w14:paraId="570AD456" w14:textId="6DB55850" w:rsidR="00AA3424" w:rsidRPr="00E32653" w:rsidRDefault="00AA3424" w:rsidP="000131AB">
      <w:pPr>
        <w:spacing w:line="276" w:lineRule="auto"/>
        <w:jc w:val="center"/>
        <w:rPr>
          <w:rFonts w:asciiTheme="majorBidi" w:hAnsiTheme="majorBidi" w:cstheme="majorBidi"/>
          <w:sz w:val="16"/>
          <w:szCs w:val="16"/>
        </w:rPr>
      </w:pPr>
    </w:p>
    <w:p w14:paraId="02F1ABDA" w14:textId="77777777" w:rsidR="00933252" w:rsidRPr="00E32653" w:rsidRDefault="000743C3" w:rsidP="004B7EB1">
      <w:pPr>
        <w:pStyle w:val="ListParagraph"/>
        <w:numPr>
          <w:ilvl w:val="1"/>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t xml:space="preserve">Life cycle </w:t>
      </w:r>
      <w:r w:rsidR="004B31DA" w:rsidRPr="00E32653">
        <w:rPr>
          <w:rFonts w:asciiTheme="majorBidi" w:hAnsiTheme="majorBidi" w:cstheme="majorBidi"/>
          <w:b/>
          <w:bCs/>
          <w:i/>
          <w:iCs/>
          <w:sz w:val="24"/>
          <w:szCs w:val="24"/>
        </w:rPr>
        <w:t>a</w:t>
      </w:r>
      <w:r w:rsidR="004B7EB1" w:rsidRPr="00E32653">
        <w:rPr>
          <w:rFonts w:asciiTheme="majorBidi" w:hAnsiTheme="majorBidi" w:cstheme="majorBidi"/>
          <w:b/>
          <w:bCs/>
          <w:i/>
          <w:iCs/>
          <w:sz w:val="24"/>
          <w:szCs w:val="24"/>
        </w:rPr>
        <w:t xml:space="preserve">ssessment </w:t>
      </w:r>
    </w:p>
    <w:p w14:paraId="0C5A725C" w14:textId="0183CE3A" w:rsidR="00D20613" w:rsidRPr="00E32653" w:rsidRDefault="00D335B4" w:rsidP="00C0691C">
      <w:pPr>
        <w:spacing w:line="276" w:lineRule="auto"/>
        <w:ind w:firstLine="720"/>
        <w:jc w:val="both"/>
        <w:rPr>
          <w:rFonts w:asciiTheme="majorBidi" w:hAnsiTheme="majorBidi" w:cstheme="majorBidi"/>
        </w:rPr>
      </w:pPr>
      <w:r w:rsidRPr="00E32653">
        <w:rPr>
          <w:rFonts w:asciiTheme="majorBidi" w:hAnsiTheme="majorBidi" w:cstheme="majorBidi"/>
        </w:rPr>
        <w:t xml:space="preserve">LCA is </w:t>
      </w:r>
      <w:r w:rsidR="00132951" w:rsidRPr="00E32653">
        <w:rPr>
          <w:rFonts w:asciiTheme="majorBidi" w:hAnsiTheme="majorBidi" w:cstheme="majorBidi"/>
        </w:rPr>
        <w:t xml:space="preserve">widely </w:t>
      </w:r>
      <w:r w:rsidRPr="00E32653">
        <w:rPr>
          <w:rFonts w:asciiTheme="majorBidi" w:hAnsiTheme="majorBidi" w:cstheme="majorBidi"/>
        </w:rPr>
        <w:t>accept</w:t>
      </w:r>
      <w:r w:rsidR="00132951" w:rsidRPr="00E32653">
        <w:rPr>
          <w:rFonts w:asciiTheme="majorBidi" w:hAnsiTheme="majorBidi" w:cstheme="majorBidi"/>
        </w:rPr>
        <w:t>ed as the most suit</w:t>
      </w:r>
      <w:r w:rsidRPr="00E32653">
        <w:rPr>
          <w:rFonts w:asciiTheme="majorBidi" w:hAnsiTheme="majorBidi" w:cstheme="majorBidi"/>
        </w:rPr>
        <w:t xml:space="preserve">able method </w:t>
      </w:r>
      <w:r w:rsidR="00132951" w:rsidRPr="00E32653">
        <w:rPr>
          <w:rFonts w:asciiTheme="majorBidi" w:hAnsiTheme="majorBidi" w:cstheme="majorBidi"/>
        </w:rPr>
        <w:t xml:space="preserve">for evaluating </w:t>
      </w:r>
      <w:r w:rsidRPr="00E32653">
        <w:rPr>
          <w:rFonts w:asciiTheme="majorBidi" w:hAnsiTheme="majorBidi" w:cstheme="majorBidi"/>
        </w:rPr>
        <w:t>the environmental impact of proces</w:t>
      </w:r>
      <w:r w:rsidR="000131AB" w:rsidRPr="00E32653">
        <w:rPr>
          <w:rFonts w:asciiTheme="majorBidi" w:hAnsiTheme="majorBidi" w:cstheme="majorBidi"/>
        </w:rPr>
        <w:t>se</w:t>
      </w:r>
      <w:r w:rsidRPr="00E32653">
        <w:rPr>
          <w:rFonts w:asciiTheme="majorBidi" w:hAnsiTheme="majorBidi" w:cstheme="majorBidi"/>
        </w:rPr>
        <w:t>s and products</w:t>
      </w:r>
      <w:r w:rsidR="000131AB" w:rsidRPr="00E32653">
        <w:rPr>
          <w:rFonts w:asciiTheme="majorBidi" w:hAnsiTheme="majorBidi" w:cstheme="majorBidi"/>
        </w:rPr>
        <w:t>. I</w:t>
      </w:r>
      <w:r w:rsidRPr="00E32653">
        <w:rPr>
          <w:rFonts w:asciiTheme="majorBidi" w:hAnsiTheme="majorBidi" w:cstheme="majorBidi"/>
        </w:rPr>
        <w:t xml:space="preserve">t can be applied </w:t>
      </w:r>
      <w:r w:rsidR="000131AB" w:rsidRPr="00E32653">
        <w:rPr>
          <w:rFonts w:asciiTheme="majorBidi" w:hAnsiTheme="majorBidi" w:cstheme="majorBidi"/>
        </w:rPr>
        <w:t>to</w:t>
      </w:r>
      <w:r w:rsidRPr="00E32653">
        <w:rPr>
          <w:rFonts w:asciiTheme="majorBidi" w:hAnsiTheme="majorBidi" w:cstheme="majorBidi"/>
        </w:rPr>
        <w:t xml:space="preserve"> </w:t>
      </w:r>
      <w:r w:rsidR="000131AB" w:rsidRPr="00E32653">
        <w:rPr>
          <w:rFonts w:asciiTheme="majorBidi" w:hAnsiTheme="majorBidi" w:cstheme="majorBidi"/>
        </w:rPr>
        <w:t xml:space="preserve">the </w:t>
      </w:r>
      <w:r w:rsidRPr="00E32653">
        <w:rPr>
          <w:rFonts w:asciiTheme="majorBidi" w:hAnsiTheme="majorBidi" w:cstheme="majorBidi"/>
        </w:rPr>
        <w:t xml:space="preserve">building industry </w:t>
      </w:r>
      <w:r w:rsidR="008D3B22" w:rsidRPr="00E32653">
        <w:rPr>
          <w:rFonts w:asciiTheme="majorBidi" w:hAnsiTheme="majorBidi" w:cstheme="majorBidi"/>
        </w:rPr>
        <w:t xml:space="preserve">during all </w:t>
      </w:r>
      <w:r w:rsidR="000131AB" w:rsidRPr="00E32653">
        <w:rPr>
          <w:rFonts w:asciiTheme="majorBidi" w:hAnsiTheme="majorBidi" w:cstheme="majorBidi"/>
        </w:rPr>
        <w:t>life cycle stages</w:t>
      </w:r>
      <w:r w:rsidR="008D3B22" w:rsidRPr="00E32653">
        <w:rPr>
          <w:rFonts w:asciiTheme="majorBidi" w:hAnsiTheme="majorBidi" w:cstheme="majorBidi"/>
        </w:rPr>
        <w:t xml:space="preserve"> </w:t>
      </w:r>
      <w:r w:rsidRPr="00E32653">
        <w:rPr>
          <w:rFonts w:asciiTheme="majorBidi" w:hAnsiTheme="majorBidi" w:cstheme="majorBidi"/>
        </w:rPr>
        <w:fldChar w:fldCharType="begin" w:fldLock="1"/>
      </w:r>
      <w:r w:rsidR="0071529E" w:rsidRPr="00E32653">
        <w:rPr>
          <w:rFonts w:asciiTheme="majorBidi" w:hAnsiTheme="majorBidi" w:cstheme="majorBidi"/>
        </w:rPr>
        <w:instrText>ADDIN CSL_CITATION {"citationItems":[{"id":"ITEM-1","itemData":{"DOI":"10.1016/j.jclepro.2015.05.075","ISSN":"09596526","abstract":"There is a need for metrics to analyse complex business models in the circular economy. Life cycle assessment (LCA) currently is the best defined system to analyse the environmental aspects, and is capable to analyse circular systems, Product Service Systems, and systems for recycling. However LCA falls short of analysis of the added value of business models. Since new sustainable business models are part of the transition towards a circular economy, there is a need for combined analyses of value and eco-burden. This paper applies the LCA-based Eco-costs Value Ratio (EVR) Model to analyse potential negative environmental effects of business initiatives on a system level, and to provide a theoretical approach to the design of sustainable business models by means of a three dimensional approach of costs, eco-costs and market value. Two methods are applied for analysis and design: Eco-efficient Value Creation (EVR benchmarking) and the Circular Transition Framework (describing stakeholder activities which are required for the transition towards sustainable business models). The practical case of the analysis, design and implementation of a business model for sustainable water recreation in Friesland (a province in the Netherlands) is used to validate the usefulness of these two LCA-based methods. The conclusion is that the approach of Eco-efficient Value Creation helps to avoid many pitfalls of the design of circular business models (e.g. having a positive result on product level, but having a negative effect on societal level; having a positive effect on the environment but having insufficient customer perceived value to overcome fierce market competition). The Circular Transition Framework reveals pitfalls and opportunities in implementation (e.g. the coordination between business models and governmental policies).","author":[{"dropping-particle":"","family":"Scheepens","given":"A. E.","non-dropping-particle":"","parse-names":false,"suffix":""},{"dropping-particle":"","family":"Vogtländer","given":"J. G.","non-dropping-particle":"","parse-names":false,"suffix":""},{"dropping-particle":"","family":"Brezet","given":"J. C.","non-dropping-particle":"","parse-names":false,"suffix":""}],"container-title":"Journal of Cleaner Production","id":"ITEM-1","issued":{"date-parts":[["2016"]]},"page":"257-268","title":"Two life cycle assessment (LCA) based methods to analyse and design complex (regional) circular economy systems. Case: Making water tourism more sustainable","type":"article-journal","volume":"114"},"uris":["http://www.mendeley.com/documents/?uuid=6aa4a2fa-b8b1-4fd5-bf85-60afbda07424"]}],"mendeley":{"formattedCitation":"(Scheepens et al., 2016)","plainTextFormattedCitation":"(Scheepens et al., 2016)","previouslyFormattedCitation":"(Scheepens et al., 2016)"},"properties":{"noteIndex":0},"schema":"https://github.com/citation-style-language/schema/raw/master/csl-citation.json"}</w:instrText>
      </w:r>
      <w:r w:rsidRPr="00E32653">
        <w:rPr>
          <w:rFonts w:asciiTheme="majorBidi" w:hAnsiTheme="majorBidi" w:cstheme="majorBidi"/>
        </w:rPr>
        <w:fldChar w:fldCharType="separate"/>
      </w:r>
      <w:r w:rsidRPr="00E32653">
        <w:rPr>
          <w:rFonts w:asciiTheme="majorBidi" w:hAnsiTheme="majorBidi" w:cstheme="majorBidi"/>
          <w:noProof/>
        </w:rPr>
        <w:t>(Scheepens et al., 2016)</w:t>
      </w:r>
      <w:r w:rsidRPr="00E32653">
        <w:rPr>
          <w:rFonts w:asciiTheme="majorBidi" w:hAnsiTheme="majorBidi" w:cstheme="majorBidi"/>
        </w:rPr>
        <w:fldChar w:fldCharType="end"/>
      </w:r>
      <w:r w:rsidRPr="00E32653">
        <w:rPr>
          <w:rFonts w:asciiTheme="majorBidi" w:hAnsiTheme="majorBidi" w:cstheme="majorBidi"/>
        </w:rPr>
        <w:t>.</w:t>
      </w:r>
      <w:r w:rsidR="0017522A" w:rsidRPr="00E32653">
        <w:rPr>
          <w:rFonts w:asciiTheme="majorBidi" w:hAnsiTheme="majorBidi" w:cstheme="majorBidi"/>
        </w:rPr>
        <w:t xml:space="preserve"> </w:t>
      </w:r>
      <w:r w:rsidR="0016265E" w:rsidRPr="00E32653">
        <w:rPr>
          <w:rFonts w:asciiTheme="majorBidi" w:hAnsiTheme="majorBidi" w:cstheme="majorBidi"/>
        </w:rPr>
        <w:t xml:space="preserve">In this research, Simapro software (PRé, 2010) </w:t>
      </w:r>
      <w:r w:rsidR="0017522A" w:rsidRPr="00E32653">
        <w:rPr>
          <w:rFonts w:asciiTheme="majorBidi" w:hAnsiTheme="majorBidi" w:cstheme="majorBidi"/>
        </w:rPr>
        <w:t>w</w:t>
      </w:r>
      <w:r w:rsidR="000131AB" w:rsidRPr="00E32653">
        <w:rPr>
          <w:rFonts w:asciiTheme="majorBidi" w:hAnsiTheme="majorBidi" w:cstheme="majorBidi"/>
        </w:rPr>
        <w:t>as</w:t>
      </w:r>
      <w:r w:rsidR="0017522A" w:rsidRPr="00E32653">
        <w:rPr>
          <w:rFonts w:asciiTheme="majorBidi" w:hAnsiTheme="majorBidi" w:cstheme="majorBidi"/>
        </w:rPr>
        <w:t xml:space="preserve"> used to analy</w:t>
      </w:r>
      <w:r w:rsidR="000131AB" w:rsidRPr="00E32653">
        <w:rPr>
          <w:rFonts w:asciiTheme="majorBidi" w:hAnsiTheme="majorBidi" w:cstheme="majorBidi"/>
        </w:rPr>
        <w:t>ze</w:t>
      </w:r>
      <w:r w:rsidR="0017522A" w:rsidRPr="00E32653">
        <w:rPr>
          <w:rFonts w:asciiTheme="majorBidi" w:hAnsiTheme="majorBidi" w:cstheme="majorBidi"/>
        </w:rPr>
        <w:t xml:space="preserve"> </w:t>
      </w:r>
      <w:r w:rsidR="000131AB" w:rsidRPr="00E32653">
        <w:rPr>
          <w:rFonts w:asciiTheme="majorBidi" w:hAnsiTheme="majorBidi" w:cstheme="majorBidi"/>
        </w:rPr>
        <w:t>materials' different environmental emissions and embodied energy</w:t>
      </w:r>
      <w:r w:rsidR="0017522A" w:rsidRPr="00E32653">
        <w:rPr>
          <w:rFonts w:asciiTheme="majorBidi" w:hAnsiTheme="majorBidi" w:cstheme="majorBidi"/>
        </w:rPr>
        <w:t xml:space="preserve">. </w:t>
      </w:r>
      <w:r w:rsidR="0041722A" w:rsidRPr="00E32653">
        <w:rPr>
          <w:rFonts w:asciiTheme="majorBidi" w:hAnsiTheme="majorBidi" w:cstheme="majorBidi"/>
        </w:rPr>
        <w:t>The LCA</w:t>
      </w:r>
      <w:r w:rsidR="00AE043A" w:rsidRPr="00E32653">
        <w:rPr>
          <w:rFonts w:asciiTheme="majorBidi" w:hAnsiTheme="majorBidi" w:cstheme="majorBidi"/>
        </w:rPr>
        <w:t xml:space="preserve"> evaluations</w:t>
      </w:r>
      <w:r w:rsidR="0041722A" w:rsidRPr="00E32653">
        <w:rPr>
          <w:rFonts w:asciiTheme="majorBidi" w:hAnsiTheme="majorBidi" w:cstheme="majorBidi"/>
        </w:rPr>
        <w:t xml:space="preserve"> </w:t>
      </w:r>
      <w:r w:rsidR="00132951" w:rsidRPr="00E32653">
        <w:rPr>
          <w:rFonts w:asciiTheme="majorBidi" w:hAnsiTheme="majorBidi" w:cstheme="majorBidi"/>
        </w:rPr>
        <w:t xml:space="preserve">were </w:t>
      </w:r>
      <w:r w:rsidR="0041722A" w:rsidRPr="00E32653">
        <w:rPr>
          <w:rFonts w:asciiTheme="majorBidi" w:hAnsiTheme="majorBidi" w:cstheme="majorBidi"/>
        </w:rPr>
        <w:t xml:space="preserve">applied </w:t>
      </w:r>
      <w:r w:rsidR="00640EC4" w:rsidRPr="00E32653">
        <w:rPr>
          <w:rFonts w:asciiTheme="majorBidi" w:hAnsiTheme="majorBidi" w:cstheme="majorBidi"/>
        </w:rPr>
        <w:t xml:space="preserve">in </w:t>
      </w:r>
      <w:r w:rsidR="00AE043A" w:rsidRPr="00E32653">
        <w:rPr>
          <w:rFonts w:asciiTheme="majorBidi" w:hAnsiTheme="majorBidi" w:cstheme="majorBidi"/>
        </w:rPr>
        <w:t>compliance</w:t>
      </w:r>
      <w:r w:rsidR="0041722A" w:rsidRPr="00E32653">
        <w:rPr>
          <w:rFonts w:asciiTheme="majorBidi" w:hAnsiTheme="majorBidi" w:cstheme="majorBidi"/>
        </w:rPr>
        <w:t xml:space="preserve"> with the norms </w:t>
      </w:r>
      <w:r w:rsidR="0076490B" w:rsidRPr="00E32653">
        <w:rPr>
          <w:rFonts w:asciiTheme="majorBidi" w:hAnsiTheme="majorBidi" w:cstheme="majorBidi"/>
        </w:rPr>
        <w:t xml:space="preserve">prescribed in </w:t>
      </w:r>
      <w:r w:rsidR="0041722A" w:rsidRPr="00E32653">
        <w:rPr>
          <w:rFonts w:asciiTheme="majorBidi" w:hAnsiTheme="majorBidi" w:cstheme="majorBidi"/>
        </w:rPr>
        <w:t>ISO 14040 (2006) and ISO 14044 (2006).</w:t>
      </w:r>
      <w:r w:rsidR="00640EC4" w:rsidRPr="00E32653">
        <w:rPr>
          <w:rFonts w:asciiTheme="majorBidi" w:hAnsiTheme="majorBidi" w:cstheme="majorBidi"/>
        </w:rPr>
        <w:t xml:space="preserve"> </w:t>
      </w:r>
      <w:r w:rsidR="00132951" w:rsidRPr="00E32653">
        <w:rPr>
          <w:rFonts w:asciiTheme="majorBidi" w:hAnsiTheme="majorBidi" w:cstheme="majorBidi"/>
        </w:rPr>
        <w:t xml:space="preserve">A </w:t>
      </w:r>
      <w:r w:rsidR="0041722A" w:rsidRPr="00E32653">
        <w:rPr>
          <w:rFonts w:asciiTheme="majorBidi" w:hAnsiTheme="majorBidi" w:cstheme="majorBidi"/>
        </w:rPr>
        <w:t>functional unit needs to be defined</w:t>
      </w:r>
      <w:r w:rsidR="00C0691C" w:rsidRPr="00E32653">
        <w:rPr>
          <w:rFonts w:asciiTheme="majorBidi" w:hAnsiTheme="majorBidi" w:cstheme="majorBidi"/>
        </w:rPr>
        <w:t xml:space="preserve"> in any LCA study to show that comparison between different alternatives is valid</w:t>
      </w:r>
      <w:r w:rsidR="0041722A" w:rsidRPr="00E32653">
        <w:rPr>
          <w:rFonts w:asciiTheme="majorBidi" w:hAnsiTheme="majorBidi" w:cstheme="majorBidi"/>
        </w:rPr>
        <w:t xml:space="preserve">. </w:t>
      </w:r>
      <w:r w:rsidR="00FE58F3" w:rsidRPr="00E32653">
        <w:rPr>
          <w:rFonts w:asciiTheme="majorBidi" w:hAnsiTheme="majorBidi" w:cstheme="majorBidi"/>
        </w:rPr>
        <w:t xml:space="preserve">The </w:t>
      </w:r>
      <w:r w:rsidR="00DC40BF" w:rsidRPr="00E32653">
        <w:rPr>
          <w:rFonts w:asciiTheme="majorBidi" w:hAnsiTheme="majorBidi" w:cstheme="majorBidi"/>
        </w:rPr>
        <w:t xml:space="preserve">functional unit </w:t>
      </w:r>
      <w:r w:rsidR="00640EC4" w:rsidRPr="00E32653">
        <w:rPr>
          <w:rFonts w:asciiTheme="majorBidi" w:hAnsiTheme="majorBidi" w:cstheme="majorBidi"/>
        </w:rPr>
        <w:t xml:space="preserve">in </w:t>
      </w:r>
      <w:r w:rsidR="00D729FA" w:rsidRPr="00E32653">
        <w:rPr>
          <w:rFonts w:asciiTheme="majorBidi" w:hAnsiTheme="majorBidi" w:cstheme="majorBidi"/>
        </w:rPr>
        <w:t xml:space="preserve">this </w:t>
      </w:r>
      <w:r w:rsidR="00640EC4" w:rsidRPr="00E32653">
        <w:rPr>
          <w:rFonts w:asciiTheme="majorBidi" w:hAnsiTheme="majorBidi" w:cstheme="majorBidi"/>
        </w:rPr>
        <w:t xml:space="preserve">study </w:t>
      </w:r>
      <w:r w:rsidR="00D729FA" w:rsidRPr="00E32653">
        <w:rPr>
          <w:rFonts w:asciiTheme="majorBidi" w:hAnsiTheme="majorBidi" w:cstheme="majorBidi"/>
        </w:rPr>
        <w:t xml:space="preserve">was </w:t>
      </w:r>
      <w:r w:rsidR="00A8539A" w:rsidRPr="00E32653">
        <w:rPr>
          <w:rFonts w:asciiTheme="majorBidi" w:hAnsiTheme="majorBidi" w:cstheme="majorBidi"/>
        </w:rPr>
        <w:t>one</w:t>
      </w:r>
      <w:r w:rsidR="00640EC4" w:rsidRPr="00E32653">
        <w:rPr>
          <w:rFonts w:asciiTheme="majorBidi" w:hAnsiTheme="majorBidi" w:cstheme="majorBidi"/>
        </w:rPr>
        <w:t xml:space="preserve"> </w:t>
      </w:r>
      <w:r w:rsidR="00D20613" w:rsidRPr="00E32653">
        <w:rPr>
          <w:rFonts w:asciiTheme="majorBidi" w:hAnsiTheme="majorBidi" w:cstheme="majorBidi"/>
        </w:rPr>
        <w:t>m</w:t>
      </w:r>
      <w:r w:rsidR="00D20613" w:rsidRPr="00E32653">
        <w:rPr>
          <w:rFonts w:asciiTheme="majorBidi" w:hAnsiTheme="majorBidi" w:cstheme="majorBidi"/>
          <w:vertAlign w:val="superscript"/>
        </w:rPr>
        <w:t>2</w:t>
      </w:r>
      <w:r w:rsidR="00D20613" w:rsidRPr="00E32653">
        <w:rPr>
          <w:rFonts w:asciiTheme="majorBidi" w:hAnsiTheme="majorBidi" w:cstheme="majorBidi"/>
        </w:rPr>
        <w:t xml:space="preserve"> of a wall component over 50</w:t>
      </w:r>
      <w:r w:rsidR="00DC40BF" w:rsidRPr="00E32653">
        <w:rPr>
          <w:rFonts w:asciiTheme="majorBidi" w:hAnsiTheme="majorBidi" w:cstheme="majorBidi"/>
        </w:rPr>
        <w:t xml:space="preserve"> </w:t>
      </w:r>
      <w:r w:rsidR="00D20613" w:rsidRPr="00E32653">
        <w:rPr>
          <w:rFonts w:asciiTheme="majorBidi" w:hAnsiTheme="majorBidi" w:cstheme="majorBidi"/>
        </w:rPr>
        <w:t>years</w:t>
      </w:r>
      <w:r w:rsidR="001D4258" w:rsidRPr="00E32653">
        <w:rPr>
          <w:rFonts w:asciiTheme="majorBidi" w:hAnsiTheme="majorBidi" w:cstheme="majorBidi"/>
        </w:rPr>
        <w:t xml:space="preserve"> </w:t>
      </w:r>
      <w:r w:rsidR="001D4258" w:rsidRPr="00E32653">
        <w:rPr>
          <w:rFonts w:asciiTheme="majorBidi" w:hAnsiTheme="majorBidi" w:cstheme="majorBidi"/>
        </w:rPr>
        <w:fldChar w:fldCharType="begin" w:fldLock="1"/>
      </w:r>
      <w:r w:rsidR="00DE1319" w:rsidRPr="00E32653">
        <w:rPr>
          <w:rFonts w:asciiTheme="majorBidi" w:hAnsiTheme="majorBidi" w:cstheme="majorBidi"/>
        </w:rPr>
        <w:instrText>ADDIN CSL_CITATION {"citationItems":[{"id":"ITEM-1","itemData":{"DOI":"10.3390/su9030329","ISSN":"20711050","abstract":"The building industry has a significant impact on the environment due to massive natural resources and energy it uses throughout its life cycle. This study presents a life cycle assessment of a semi-detached residential building in Malaysia as a case study and assesses the environmental impact under cradle-to-grave which consists of pre-use, construction, use, and end-of-life phases by using Centre of Environmental Science of Leiden University (CML) 2001. Four impact categories were evaluated, namely, acidification, eutrophication, global warming potential (GWP), and ozone layer depletion (ODP). The building operation under use phase contributed the highest global warming potential and acidification with 2.41 × 103 kg CO2 eq and 1.10 × 101 kg SO2 eq, respectively. In the pre-use phase, concrete in the substructure has the most significant overall impact with cement as the primary raw material. The results showed that the residential building in Malaysia has a fairly high impact in GWP but lower in acidification and ODP compared to other studies.","author":[{"dropping-particle":"","family":"Rashid","given":"Ahmad Faiz Abd","non-dropping-particle":"","parse-names":false,"suffix":""},{"dropping-particle":"","family":"Idris","given":"Juferi","non-dropping-particle":"","parse-names":false,"suffix":""},{"dropping-particle":"","family":"Yusoff","given":"Sumiani","non-dropping-particle":"","parse-names":false,"suffix":""}],"container-title":"Sustainability (Switzerland)","id":"ITEM-1","issue":"3","issued":{"date-parts":[["2017"]]},"title":"Environmental impact analysis on residential building in Malaysia using life cycle assessment","type":"article-journal","volume":"9"},"uris":["http://www.mendeley.com/documents/?uuid=126df614-ac40-4eeb-94e3-eaacf3615cd3"]}],"mendeley":{"formattedCitation":"(Rashid et al., 2017)","plainTextFormattedCitation":"(Rashid et al., 2017)","previouslyFormattedCitation":"(Rashid et al., 2017)"},"properties":{"noteIndex":0},"schema":"https://github.com/citation-style-language/schema/raw/master/csl-citation.json"}</w:instrText>
      </w:r>
      <w:r w:rsidR="001D4258" w:rsidRPr="00E32653">
        <w:rPr>
          <w:rFonts w:asciiTheme="majorBidi" w:hAnsiTheme="majorBidi" w:cstheme="majorBidi"/>
        </w:rPr>
        <w:fldChar w:fldCharType="separate"/>
      </w:r>
      <w:r w:rsidR="001D4258" w:rsidRPr="00E32653">
        <w:rPr>
          <w:rFonts w:asciiTheme="majorBidi" w:hAnsiTheme="majorBidi" w:cstheme="majorBidi"/>
          <w:noProof/>
        </w:rPr>
        <w:t>(Rashid et al., 2017)</w:t>
      </w:r>
      <w:r w:rsidR="001D4258" w:rsidRPr="00E32653">
        <w:rPr>
          <w:rFonts w:asciiTheme="majorBidi" w:hAnsiTheme="majorBidi" w:cstheme="majorBidi"/>
        </w:rPr>
        <w:fldChar w:fldCharType="end"/>
      </w:r>
      <w:r w:rsidR="00640EC4" w:rsidRPr="00E32653">
        <w:rPr>
          <w:rFonts w:asciiTheme="majorBidi" w:hAnsiTheme="majorBidi" w:cstheme="majorBidi"/>
        </w:rPr>
        <w:t xml:space="preserve">, which is </w:t>
      </w:r>
      <w:r w:rsidR="00D20613" w:rsidRPr="00E32653">
        <w:rPr>
          <w:rFonts w:asciiTheme="majorBidi" w:hAnsiTheme="majorBidi" w:cstheme="majorBidi"/>
        </w:rPr>
        <w:t>based on</w:t>
      </w:r>
      <w:r w:rsidR="00DC40BF" w:rsidRPr="00E32653">
        <w:rPr>
          <w:rFonts w:asciiTheme="majorBidi" w:hAnsiTheme="majorBidi" w:cstheme="majorBidi"/>
        </w:rPr>
        <w:t xml:space="preserve"> </w:t>
      </w:r>
      <w:r w:rsidR="00D20613" w:rsidRPr="00E32653">
        <w:rPr>
          <w:rFonts w:asciiTheme="majorBidi" w:hAnsiTheme="majorBidi" w:cstheme="majorBidi"/>
        </w:rPr>
        <w:t>prior studies</w:t>
      </w:r>
      <w:r w:rsidR="0045405A" w:rsidRPr="00E32653">
        <w:rPr>
          <w:rFonts w:asciiTheme="majorBidi" w:hAnsiTheme="majorBidi" w:cstheme="majorBidi"/>
        </w:rPr>
        <w:t xml:space="preserve"> (Bergman et al., 2016)</w:t>
      </w:r>
      <w:r w:rsidR="00DC40BF" w:rsidRPr="00E32653">
        <w:rPr>
          <w:rFonts w:asciiTheme="majorBidi" w:hAnsiTheme="majorBidi" w:cstheme="majorBidi"/>
        </w:rPr>
        <w:t>.</w:t>
      </w:r>
    </w:p>
    <w:p w14:paraId="2A93F284" w14:textId="77777777" w:rsidR="005C3649" w:rsidRPr="00E32653" w:rsidRDefault="005C3649" w:rsidP="0017522A">
      <w:pPr>
        <w:spacing w:line="276" w:lineRule="auto"/>
        <w:ind w:firstLine="720"/>
        <w:jc w:val="both"/>
        <w:rPr>
          <w:rFonts w:asciiTheme="majorBidi" w:hAnsiTheme="majorBidi" w:cstheme="majorBidi"/>
        </w:rPr>
      </w:pPr>
    </w:p>
    <w:p w14:paraId="04E1F4B1" w14:textId="7BF30472" w:rsidR="00FE58F3" w:rsidRPr="00E32653" w:rsidRDefault="00B5788C" w:rsidP="00FE58F3">
      <w:pPr>
        <w:pStyle w:val="ListParagraph"/>
        <w:numPr>
          <w:ilvl w:val="2"/>
          <w:numId w:val="1"/>
        </w:numPr>
        <w:autoSpaceDE w:val="0"/>
        <w:autoSpaceDN w:val="0"/>
        <w:adjustRightInd w:val="0"/>
        <w:spacing w:line="276" w:lineRule="auto"/>
        <w:jc w:val="both"/>
        <w:rPr>
          <w:rFonts w:asciiTheme="majorBidi" w:hAnsiTheme="majorBidi" w:cstheme="majorBidi"/>
          <w:b/>
          <w:bCs/>
          <w:sz w:val="24"/>
          <w:szCs w:val="24"/>
        </w:rPr>
      </w:pPr>
      <w:r w:rsidRPr="00E32653">
        <w:rPr>
          <w:rFonts w:asciiTheme="majorBidi" w:hAnsiTheme="majorBidi" w:cstheme="majorBidi"/>
          <w:b/>
          <w:bCs/>
          <w:i/>
          <w:iCs/>
          <w:sz w:val="24"/>
          <w:szCs w:val="24"/>
        </w:rPr>
        <w:t>Life Cycle Inventory</w:t>
      </w:r>
    </w:p>
    <w:p w14:paraId="7048046A" w14:textId="175593C1" w:rsidR="00DE53C0" w:rsidRPr="00E32653" w:rsidRDefault="007F12E3" w:rsidP="00C64250">
      <w:pPr>
        <w:spacing w:line="276" w:lineRule="auto"/>
        <w:ind w:firstLine="720"/>
        <w:jc w:val="both"/>
        <w:rPr>
          <w:rFonts w:asciiTheme="majorBidi" w:hAnsiTheme="majorBidi" w:cstheme="majorBidi"/>
        </w:rPr>
      </w:pPr>
      <w:r w:rsidRPr="00E32653">
        <w:rPr>
          <w:rFonts w:asciiTheme="majorBidi" w:hAnsiTheme="majorBidi" w:cstheme="majorBidi"/>
        </w:rPr>
        <w:t xml:space="preserve">An important </w:t>
      </w:r>
      <w:r w:rsidR="00915C2E" w:rsidRPr="00E32653">
        <w:rPr>
          <w:rFonts w:asciiTheme="majorBidi" w:hAnsiTheme="majorBidi" w:cstheme="majorBidi"/>
        </w:rPr>
        <w:t>step</w:t>
      </w:r>
      <w:r w:rsidR="005F47BF" w:rsidRPr="00E32653">
        <w:rPr>
          <w:rFonts w:asciiTheme="majorBidi" w:hAnsiTheme="majorBidi" w:cstheme="majorBidi"/>
        </w:rPr>
        <w:t xml:space="preserve"> of any LCA methodology that encompasses producing</w:t>
      </w:r>
      <w:r w:rsidR="00FE5072" w:rsidRPr="00E32653">
        <w:rPr>
          <w:rFonts w:asciiTheme="majorBidi" w:hAnsiTheme="majorBidi" w:cstheme="majorBidi"/>
        </w:rPr>
        <w:t xml:space="preserve"> an inventory of input and output flows such as raw materi</w:t>
      </w:r>
      <w:r w:rsidR="005F47BF" w:rsidRPr="00E32653">
        <w:rPr>
          <w:rFonts w:asciiTheme="majorBidi" w:hAnsiTheme="majorBidi" w:cstheme="majorBidi"/>
        </w:rPr>
        <w:t>al</w:t>
      </w:r>
      <w:r w:rsidR="00FE5072" w:rsidRPr="00E32653">
        <w:rPr>
          <w:rFonts w:asciiTheme="majorBidi" w:hAnsiTheme="majorBidi" w:cstheme="majorBidi"/>
        </w:rPr>
        <w:t xml:space="preserve">s and energy </w:t>
      </w:r>
      <w:r w:rsidR="00AE043A" w:rsidRPr="00E32653">
        <w:rPr>
          <w:rFonts w:asciiTheme="majorBidi" w:hAnsiTheme="majorBidi" w:cstheme="majorBidi"/>
        </w:rPr>
        <w:t xml:space="preserve">is </w:t>
      </w:r>
      <w:r w:rsidR="00A7619A" w:rsidRPr="00E32653">
        <w:rPr>
          <w:rFonts w:asciiTheme="majorBidi" w:hAnsiTheme="majorBidi" w:cstheme="majorBidi"/>
        </w:rPr>
        <w:t xml:space="preserve">the </w:t>
      </w:r>
      <w:r w:rsidR="00AE043A" w:rsidRPr="00E32653">
        <w:rPr>
          <w:rFonts w:asciiTheme="majorBidi" w:hAnsiTheme="majorBidi" w:cstheme="majorBidi"/>
        </w:rPr>
        <w:t>Life cycle inventory (LCI)</w:t>
      </w:r>
      <w:r w:rsidR="00FE5072" w:rsidRPr="00E32653">
        <w:rPr>
          <w:rFonts w:asciiTheme="majorBidi" w:hAnsiTheme="majorBidi" w:cstheme="majorBidi"/>
        </w:rPr>
        <w:t>. This s</w:t>
      </w:r>
      <w:r w:rsidR="005F47BF" w:rsidRPr="00E32653">
        <w:rPr>
          <w:rFonts w:asciiTheme="majorBidi" w:hAnsiTheme="majorBidi" w:cstheme="majorBidi"/>
        </w:rPr>
        <w:t>ta</w:t>
      </w:r>
      <w:r w:rsidR="00FE5072" w:rsidRPr="00E32653">
        <w:rPr>
          <w:rFonts w:asciiTheme="majorBidi" w:hAnsiTheme="majorBidi" w:cstheme="majorBidi"/>
        </w:rPr>
        <w:t xml:space="preserve">ge </w:t>
      </w:r>
      <w:r w:rsidR="00A7619A" w:rsidRPr="00E32653">
        <w:rPr>
          <w:rFonts w:asciiTheme="majorBidi" w:hAnsiTheme="majorBidi" w:cstheme="majorBidi"/>
        </w:rPr>
        <w:t xml:space="preserve">can </w:t>
      </w:r>
      <w:r w:rsidR="00FE5072" w:rsidRPr="00E32653">
        <w:rPr>
          <w:rFonts w:asciiTheme="majorBidi" w:hAnsiTheme="majorBidi" w:cstheme="majorBidi"/>
        </w:rPr>
        <w:t xml:space="preserve">be interpreted as the data collection stage of </w:t>
      </w:r>
      <w:r w:rsidR="00A7619A" w:rsidRPr="00E32653">
        <w:rPr>
          <w:rFonts w:asciiTheme="majorBidi" w:hAnsiTheme="majorBidi" w:cstheme="majorBidi"/>
        </w:rPr>
        <w:t xml:space="preserve">a </w:t>
      </w:r>
      <w:r w:rsidR="00FE5072" w:rsidRPr="00E32653">
        <w:rPr>
          <w:rFonts w:asciiTheme="majorBidi" w:hAnsiTheme="majorBidi" w:cstheme="majorBidi"/>
        </w:rPr>
        <w:t>LCA study. Thus, LCI analysis quantif</w:t>
      </w:r>
      <w:r w:rsidR="005F47BF" w:rsidRPr="00E32653">
        <w:rPr>
          <w:rFonts w:asciiTheme="majorBidi" w:hAnsiTheme="majorBidi" w:cstheme="majorBidi"/>
        </w:rPr>
        <w:t>ies</w:t>
      </w:r>
      <w:r w:rsidR="00FE5072" w:rsidRPr="00E32653">
        <w:rPr>
          <w:rFonts w:asciiTheme="majorBidi" w:hAnsiTheme="majorBidi" w:cstheme="majorBidi"/>
        </w:rPr>
        <w:t xml:space="preserve"> all the raw materi</w:t>
      </w:r>
      <w:r w:rsidR="005F47BF" w:rsidRPr="00E32653">
        <w:rPr>
          <w:rFonts w:asciiTheme="majorBidi" w:hAnsiTheme="majorBidi" w:cstheme="majorBidi"/>
        </w:rPr>
        <w:t>al</w:t>
      </w:r>
      <w:r w:rsidR="00FE5072" w:rsidRPr="00E32653">
        <w:rPr>
          <w:rFonts w:asciiTheme="majorBidi" w:hAnsiTheme="majorBidi" w:cstheme="majorBidi"/>
        </w:rPr>
        <w:t>s, electricity, di</w:t>
      </w:r>
      <w:r w:rsidR="005F47BF" w:rsidRPr="00E32653">
        <w:rPr>
          <w:rFonts w:asciiTheme="majorBidi" w:hAnsiTheme="majorBidi" w:cstheme="majorBidi"/>
        </w:rPr>
        <w:t>e</w:t>
      </w:r>
      <w:r w:rsidR="00FE5072" w:rsidRPr="00E32653">
        <w:rPr>
          <w:rFonts w:asciiTheme="majorBidi" w:hAnsiTheme="majorBidi" w:cstheme="majorBidi"/>
        </w:rPr>
        <w:t>sel</w:t>
      </w:r>
      <w:r w:rsidR="005F47BF" w:rsidRPr="00E32653">
        <w:rPr>
          <w:rFonts w:asciiTheme="majorBidi" w:hAnsiTheme="majorBidi" w:cstheme="majorBidi"/>
        </w:rPr>
        <w:t>,</w:t>
      </w:r>
      <w:r w:rsidR="00FE5072" w:rsidRPr="00E32653">
        <w:rPr>
          <w:rFonts w:asciiTheme="majorBidi" w:hAnsiTheme="majorBidi" w:cstheme="majorBidi"/>
        </w:rPr>
        <w:t xml:space="preserve"> </w:t>
      </w:r>
      <w:r w:rsidR="00A7619A" w:rsidRPr="00E32653">
        <w:rPr>
          <w:rFonts w:asciiTheme="majorBidi" w:hAnsiTheme="majorBidi" w:cstheme="majorBidi"/>
        </w:rPr>
        <w:t>and similar resources</w:t>
      </w:r>
      <w:r w:rsidR="00FE5072" w:rsidRPr="00E32653">
        <w:rPr>
          <w:rFonts w:asciiTheme="majorBidi" w:hAnsiTheme="majorBidi" w:cstheme="majorBidi"/>
        </w:rPr>
        <w:t xml:space="preserve"> needed to produce the final goods</w:t>
      </w:r>
      <w:r w:rsidR="00A7619A" w:rsidRPr="00E32653">
        <w:rPr>
          <w:rFonts w:asciiTheme="majorBidi" w:hAnsiTheme="majorBidi" w:cstheme="majorBidi"/>
        </w:rPr>
        <w:t>. In addition, it</w:t>
      </w:r>
      <w:r w:rsidR="00FE5072" w:rsidRPr="00E32653">
        <w:rPr>
          <w:rFonts w:asciiTheme="majorBidi" w:hAnsiTheme="majorBidi" w:cstheme="majorBidi"/>
        </w:rPr>
        <w:t xml:space="preserve"> assess</w:t>
      </w:r>
      <w:r w:rsidR="00A7619A" w:rsidRPr="00E32653">
        <w:rPr>
          <w:rFonts w:asciiTheme="majorBidi" w:hAnsiTheme="majorBidi" w:cstheme="majorBidi"/>
        </w:rPr>
        <w:t>es</w:t>
      </w:r>
      <w:r w:rsidR="00FE5072" w:rsidRPr="00E32653">
        <w:rPr>
          <w:rFonts w:asciiTheme="majorBidi" w:hAnsiTheme="majorBidi" w:cstheme="majorBidi"/>
        </w:rPr>
        <w:t xml:space="preserve"> all </w:t>
      </w:r>
      <w:r w:rsidR="00A7619A" w:rsidRPr="00E32653">
        <w:rPr>
          <w:rFonts w:asciiTheme="majorBidi" w:hAnsiTheme="majorBidi" w:cstheme="majorBidi"/>
        </w:rPr>
        <w:t xml:space="preserve">the </w:t>
      </w:r>
      <w:r w:rsidR="00FE5072" w:rsidRPr="00E32653">
        <w:rPr>
          <w:rFonts w:asciiTheme="majorBidi" w:hAnsiTheme="majorBidi" w:cstheme="majorBidi"/>
        </w:rPr>
        <w:t>substance</w:t>
      </w:r>
      <w:r w:rsidR="005F47BF" w:rsidRPr="00E32653">
        <w:rPr>
          <w:rFonts w:asciiTheme="majorBidi" w:hAnsiTheme="majorBidi" w:cstheme="majorBidi"/>
        </w:rPr>
        <w:t>s</w:t>
      </w:r>
      <w:r w:rsidR="00FE5072" w:rsidRPr="00E32653">
        <w:rPr>
          <w:rFonts w:asciiTheme="majorBidi" w:hAnsiTheme="majorBidi" w:cstheme="majorBidi"/>
        </w:rPr>
        <w:t xml:space="preserve"> released </w:t>
      </w:r>
      <w:r w:rsidR="00A7619A" w:rsidRPr="00E32653">
        <w:rPr>
          <w:rFonts w:asciiTheme="majorBidi" w:hAnsiTheme="majorBidi" w:cstheme="majorBidi"/>
        </w:rPr>
        <w:t>in</w:t>
      </w:r>
      <w:r w:rsidR="00FE5072" w:rsidRPr="00E32653">
        <w:rPr>
          <w:rFonts w:asciiTheme="majorBidi" w:hAnsiTheme="majorBidi" w:cstheme="majorBidi"/>
        </w:rPr>
        <w:t xml:space="preserve">to </w:t>
      </w:r>
      <w:r w:rsidR="005F47BF" w:rsidRPr="00E32653">
        <w:rPr>
          <w:rFonts w:asciiTheme="majorBidi" w:hAnsiTheme="majorBidi" w:cstheme="majorBidi"/>
        </w:rPr>
        <w:t xml:space="preserve">the </w:t>
      </w:r>
      <w:r w:rsidR="00FE5072" w:rsidRPr="00E32653">
        <w:rPr>
          <w:rFonts w:asciiTheme="majorBidi" w:hAnsiTheme="majorBidi" w:cstheme="majorBidi"/>
        </w:rPr>
        <w:t xml:space="preserve">environment as pollutants. </w:t>
      </w:r>
      <w:r w:rsidR="00A7619A" w:rsidRPr="00E32653">
        <w:rPr>
          <w:rFonts w:asciiTheme="majorBidi" w:hAnsiTheme="majorBidi" w:cstheme="majorBidi"/>
        </w:rPr>
        <w:t>Data for this study were</w:t>
      </w:r>
      <w:r w:rsidR="00CF31F3" w:rsidRPr="00E32653">
        <w:rPr>
          <w:rFonts w:asciiTheme="majorBidi" w:hAnsiTheme="majorBidi" w:cstheme="majorBidi"/>
        </w:rPr>
        <w:t xml:space="preserve"> collected in K</w:t>
      </w:r>
      <w:r w:rsidR="00C64250" w:rsidRPr="00E32653">
        <w:rPr>
          <w:rFonts w:asciiTheme="majorBidi" w:hAnsiTheme="majorBidi" w:cstheme="majorBidi"/>
        </w:rPr>
        <w:t>uala L</w:t>
      </w:r>
      <w:r w:rsidR="00CF31F3" w:rsidRPr="00E32653">
        <w:rPr>
          <w:rFonts w:asciiTheme="majorBidi" w:hAnsiTheme="majorBidi" w:cstheme="majorBidi"/>
        </w:rPr>
        <w:t xml:space="preserve">umpur, </w:t>
      </w:r>
      <w:r w:rsidR="00A7619A" w:rsidRPr="00E32653">
        <w:rPr>
          <w:rFonts w:asciiTheme="majorBidi" w:hAnsiTheme="majorBidi" w:cstheme="majorBidi"/>
        </w:rPr>
        <w:t>a</w:t>
      </w:r>
      <w:r w:rsidR="00CF31F3" w:rsidRPr="00E32653">
        <w:rPr>
          <w:rFonts w:asciiTheme="majorBidi" w:hAnsiTheme="majorBidi" w:cstheme="majorBidi"/>
        </w:rPr>
        <w:t xml:space="preserve"> large cit</w:t>
      </w:r>
      <w:r w:rsidR="00A7619A" w:rsidRPr="00E32653">
        <w:rPr>
          <w:rFonts w:asciiTheme="majorBidi" w:hAnsiTheme="majorBidi" w:cstheme="majorBidi"/>
        </w:rPr>
        <w:t>y</w:t>
      </w:r>
      <w:r w:rsidR="00CF31F3" w:rsidRPr="00E32653">
        <w:rPr>
          <w:rFonts w:asciiTheme="majorBidi" w:hAnsiTheme="majorBidi" w:cstheme="majorBidi"/>
        </w:rPr>
        <w:t xml:space="preserve"> located in Malaysia. </w:t>
      </w:r>
      <w:r w:rsidR="00A7619A" w:rsidRPr="00E32653">
        <w:rPr>
          <w:rFonts w:asciiTheme="majorBidi" w:hAnsiTheme="majorBidi" w:cstheme="majorBidi"/>
        </w:rPr>
        <w:t>These d</w:t>
      </w:r>
      <w:r w:rsidR="00DE53C0" w:rsidRPr="00E32653">
        <w:rPr>
          <w:rFonts w:asciiTheme="majorBidi" w:hAnsiTheme="majorBidi" w:cstheme="majorBidi"/>
        </w:rPr>
        <w:t xml:space="preserve">ata </w:t>
      </w:r>
      <w:r w:rsidR="00A7619A" w:rsidRPr="00E32653">
        <w:rPr>
          <w:rFonts w:asciiTheme="majorBidi" w:hAnsiTheme="majorBidi" w:cstheme="majorBidi"/>
        </w:rPr>
        <w:t>were</w:t>
      </w:r>
      <w:r w:rsidR="00DE53C0" w:rsidRPr="00E32653">
        <w:rPr>
          <w:rFonts w:asciiTheme="majorBidi" w:hAnsiTheme="majorBidi" w:cstheme="majorBidi"/>
        </w:rPr>
        <w:t xml:space="preserve"> gathered </w:t>
      </w:r>
      <w:r w:rsidR="00A7619A" w:rsidRPr="00E32653">
        <w:rPr>
          <w:rFonts w:asciiTheme="majorBidi" w:hAnsiTheme="majorBidi" w:cstheme="majorBidi"/>
        </w:rPr>
        <w:t>with the assistance</w:t>
      </w:r>
      <w:r w:rsidR="00C64250" w:rsidRPr="00E32653">
        <w:rPr>
          <w:rFonts w:asciiTheme="majorBidi" w:hAnsiTheme="majorBidi" w:cstheme="majorBidi"/>
        </w:rPr>
        <w:t xml:space="preserve"> </w:t>
      </w:r>
      <w:r w:rsidR="00A7619A" w:rsidRPr="00E32653">
        <w:rPr>
          <w:rFonts w:asciiTheme="majorBidi" w:hAnsiTheme="majorBidi" w:cstheme="majorBidi"/>
        </w:rPr>
        <w:t xml:space="preserve">of </w:t>
      </w:r>
      <w:r w:rsidR="00C64250" w:rsidRPr="00E32653">
        <w:rPr>
          <w:rFonts w:asciiTheme="majorBidi" w:hAnsiTheme="majorBidi" w:cstheme="majorBidi"/>
        </w:rPr>
        <w:t>contractor</w:t>
      </w:r>
      <w:r w:rsidR="00A7619A" w:rsidRPr="00E32653">
        <w:rPr>
          <w:rFonts w:asciiTheme="majorBidi" w:hAnsiTheme="majorBidi" w:cstheme="majorBidi"/>
        </w:rPr>
        <w:t>s’</w:t>
      </w:r>
      <w:r w:rsidR="00C64250" w:rsidRPr="00E32653">
        <w:rPr>
          <w:rFonts w:asciiTheme="majorBidi" w:hAnsiTheme="majorBidi" w:cstheme="majorBidi"/>
        </w:rPr>
        <w:t xml:space="preserve"> employees </w:t>
      </w:r>
      <w:r w:rsidR="00A7619A" w:rsidRPr="00E32653">
        <w:rPr>
          <w:rFonts w:asciiTheme="majorBidi" w:hAnsiTheme="majorBidi" w:cstheme="majorBidi"/>
        </w:rPr>
        <w:t xml:space="preserve">during visits to </w:t>
      </w:r>
      <w:r w:rsidR="00DE53C0" w:rsidRPr="00E32653">
        <w:rPr>
          <w:rFonts w:asciiTheme="majorBidi" w:hAnsiTheme="majorBidi" w:cstheme="majorBidi"/>
        </w:rPr>
        <w:t>facto</w:t>
      </w:r>
      <w:r w:rsidR="00C64250" w:rsidRPr="00E32653">
        <w:rPr>
          <w:rFonts w:asciiTheme="majorBidi" w:hAnsiTheme="majorBidi" w:cstheme="majorBidi"/>
        </w:rPr>
        <w:t>r</w:t>
      </w:r>
      <w:r w:rsidR="00A7619A" w:rsidRPr="00E32653">
        <w:rPr>
          <w:rFonts w:asciiTheme="majorBidi" w:hAnsiTheme="majorBidi" w:cstheme="majorBidi"/>
        </w:rPr>
        <w:t>ies</w:t>
      </w:r>
      <w:r w:rsidR="00C64250" w:rsidRPr="00E32653">
        <w:rPr>
          <w:rFonts w:asciiTheme="majorBidi" w:hAnsiTheme="majorBidi" w:cstheme="majorBidi"/>
        </w:rPr>
        <w:t xml:space="preserve"> and</w:t>
      </w:r>
      <w:r w:rsidR="00DE53C0" w:rsidRPr="00E32653">
        <w:rPr>
          <w:rFonts w:asciiTheme="majorBidi" w:hAnsiTheme="majorBidi" w:cstheme="majorBidi"/>
        </w:rPr>
        <w:t xml:space="preserve"> </w:t>
      </w:r>
      <w:r w:rsidR="00C64250" w:rsidRPr="00E32653">
        <w:rPr>
          <w:rFonts w:asciiTheme="majorBidi" w:hAnsiTheme="majorBidi" w:cstheme="majorBidi"/>
        </w:rPr>
        <w:t>construction</w:t>
      </w:r>
      <w:r w:rsidR="00DE53C0" w:rsidRPr="00E32653">
        <w:rPr>
          <w:rFonts w:asciiTheme="majorBidi" w:hAnsiTheme="majorBidi" w:cstheme="majorBidi"/>
        </w:rPr>
        <w:t xml:space="preserve"> site</w:t>
      </w:r>
      <w:r w:rsidR="00A7619A" w:rsidRPr="00E32653">
        <w:rPr>
          <w:rFonts w:asciiTheme="majorBidi" w:hAnsiTheme="majorBidi" w:cstheme="majorBidi"/>
        </w:rPr>
        <w:t>s</w:t>
      </w:r>
      <w:r w:rsidR="00C64250" w:rsidRPr="00E32653">
        <w:rPr>
          <w:rFonts w:asciiTheme="majorBidi" w:hAnsiTheme="majorBidi" w:cstheme="majorBidi"/>
        </w:rPr>
        <w:t xml:space="preserve">. </w:t>
      </w:r>
      <w:r w:rsidR="00B62D2D" w:rsidRPr="00E32653">
        <w:rPr>
          <w:rFonts w:asciiTheme="majorBidi" w:hAnsiTheme="majorBidi" w:cstheme="majorBidi"/>
        </w:rPr>
        <w:t xml:space="preserve">These were supplemented with </w:t>
      </w:r>
      <w:r w:rsidR="00DE53C0" w:rsidRPr="00E32653">
        <w:rPr>
          <w:rFonts w:asciiTheme="majorBidi" w:hAnsiTheme="majorBidi" w:cstheme="majorBidi"/>
        </w:rPr>
        <w:t>search</w:t>
      </w:r>
      <w:r w:rsidR="00B62D2D" w:rsidRPr="00E32653">
        <w:rPr>
          <w:rFonts w:asciiTheme="majorBidi" w:hAnsiTheme="majorBidi" w:cstheme="majorBidi"/>
        </w:rPr>
        <w:t>es</w:t>
      </w:r>
      <w:r w:rsidR="00DE53C0" w:rsidRPr="00E32653">
        <w:rPr>
          <w:rFonts w:asciiTheme="majorBidi" w:hAnsiTheme="majorBidi" w:cstheme="majorBidi"/>
        </w:rPr>
        <w:t xml:space="preserve"> on the Internet, in journals,</w:t>
      </w:r>
      <w:r w:rsidR="00C64250" w:rsidRPr="00E32653">
        <w:rPr>
          <w:rFonts w:asciiTheme="majorBidi" w:hAnsiTheme="majorBidi" w:cstheme="majorBidi"/>
        </w:rPr>
        <w:t xml:space="preserve"> and</w:t>
      </w:r>
      <w:r w:rsidR="00DE53C0" w:rsidRPr="00E32653">
        <w:rPr>
          <w:rFonts w:asciiTheme="majorBidi" w:hAnsiTheme="majorBidi" w:cstheme="majorBidi"/>
        </w:rPr>
        <w:t xml:space="preserve"> literature. </w:t>
      </w:r>
    </w:p>
    <w:p w14:paraId="6B74D66C" w14:textId="4979E993" w:rsidR="00432928" w:rsidRPr="00E32653" w:rsidRDefault="00B62D2D" w:rsidP="12C241C3">
      <w:pPr>
        <w:spacing w:line="276" w:lineRule="auto"/>
        <w:ind w:firstLine="720"/>
        <w:jc w:val="both"/>
        <w:rPr>
          <w:rFonts w:asciiTheme="majorBidi" w:hAnsiTheme="majorBidi" w:cstheme="majorBidi"/>
        </w:rPr>
      </w:pPr>
      <w:r w:rsidRPr="00E32653">
        <w:rPr>
          <w:rFonts w:asciiTheme="majorBidi" w:hAnsiTheme="majorBidi" w:cstheme="majorBidi"/>
        </w:rPr>
        <w:t xml:space="preserve">The </w:t>
      </w:r>
      <w:r w:rsidR="00BE401D" w:rsidRPr="00E32653">
        <w:rPr>
          <w:rFonts w:asciiTheme="majorBidi" w:hAnsiTheme="majorBidi" w:cstheme="majorBidi"/>
        </w:rPr>
        <w:t xml:space="preserve">LCI assessment </w:t>
      </w:r>
      <w:r w:rsidRPr="00E32653">
        <w:rPr>
          <w:rFonts w:asciiTheme="majorBidi" w:hAnsiTheme="majorBidi" w:cstheme="majorBidi"/>
        </w:rPr>
        <w:t>was conducted</w:t>
      </w:r>
      <w:r w:rsidR="00BE401D" w:rsidRPr="00E32653">
        <w:rPr>
          <w:rFonts w:asciiTheme="majorBidi" w:hAnsiTheme="majorBidi" w:cstheme="majorBidi"/>
        </w:rPr>
        <w:t xml:space="preserve"> using </w:t>
      </w:r>
      <w:r w:rsidR="000131AB" w:rsidRPr="00E32653">
        <w:rPr>
          <w:rFonts w:asciiTheme="majorBidi" w:hAnsiTheme="majorBidi" w:cstheme="majorBidi"/>
        </w:rPr>
        <w:t xml:space="preserve">the </w:t>
      </w:r>
      <w:hyperlink r:id="rId11" w:tooltip="Learn more about Ecoinvent Database from ScienceDirect's AI-generated Topic Pages" w:history="1">
        <w:r w:rsidR="00BE401D" w:rsidRPr="00E32653">
          <w:rPr>
            <w:rFonts w:asciiTheme="majorBidi" w:hAnsiTheme="majorBidi" w:cstheme="majorBidi"/>
          </w:rPr>
          <w:t xml:space="preserve">Ecoinvent </w:t>
        </w:r>
        <w:r w:rsidR="00674C17" w:rsidRPr="00E32653">
          <w:rPr>
            <w:rFonts w:asciiTheme="majorBidi" w:hAnsiTheme="majorBidi" w:cstheme="majorBidi"/>
          </w:rPr>
          <w:t xml:space="preserve">version 3 </w:t>
        </w:r>
        <w:r w:rsidR="00BE401D" w:rsidRPr="00E32653">
          <w:rPr>
            <w:rFonts w:asciiTheme="majorBidi" w:hAnsiTheme="majorBidi" w:cstheme="majorBidi"/>
          </w:rPr>
          <w:t>database</w:t>
        </w:r>
      </w:hyperlink>
      <w:r w:rsidR="000131AB" w:rsidRPr="00E32653">
        <w:rPr>
          <w:rFonts w:asciiTheme="majorBidi" w:hAnsiTheme="majorBidi" w:cstheme="majorBidi"/>
        </w:rPr>
        <w:t xml:space="preserve">, </w:t>
      </w:r>
      <w:r w:rsidR="00BE401D" w:rsidRPr="00E32653">
        <w:rPr>
          <w:rFonts w:asciiTheme="majorBidi" w:hAnsiTheme="majorBidi" w:cstheme="majorBidi"/>
        </w:rPr>
        <w:t xml:space="preserve">which is </w:t>
      </w:r>
      <w:r w:rsidR="000131AB" w:rsidRPr="00E32653">
        <w:rPr>
          <w:rFonts w:asciiTheme="majorBidi" w:hAnsiTheme="majorBidi" w:cstheme="majorBidi"/>
        </w:rPr>
        <w:t xml:space="preserve">a </w:t>
      </w:r>
      <w:r w:rsidR="00BE401D" w:rsidRPr="00E32653">
        <w:rPr>
          <w:rFonts w:asciiTheme="majorBidi" w:hAnsiTheme="majorBidi" w:cstheme="majorBidi"/>
        </w:rPr>
        <w:t xml:space="preserve">worldwide database </w:t>
      </w:r>
      <w:r w:rsidR="00FD35E8" w:rsidRPr="00E32653">
        <w:rPr>
          <w:rFonts w:asciiTheme="majorBidi" w:hAnsiTheme="majorBidi" w:cstheme="majorBidi"/>
        </w:rPr>
        <w:fldChar w:fldCharType="begin" w:fldLock="1"/>
      </w:r>
      <w:r w:rsidR="00B10CA6" w:rsidRPr="00E32653">
        <w:rPr>
          <w:rFonts w:asciiTheme="majorBidi" w:hAnsiTheme="majorBidi" w:cstheme="majorBidi"/>
        </w:rPr>
        <w:instrText>ADDIN CSL_CITATION {"citationItems":[{"id":"ITEM-1","itemData":{"DOI":"10.1016/j.jclepro.2005.05.002","ISSN":"09596526","abstract":"The paper describes the general structure of the ecoinvent database developed by the Swiss Centre for Life Cycle Inventories. The database accommodates more than 2500 background processes often required in LCA case studies. Quality guidelines, established in order to ensure coherent data acquisition and reporting across the various institutes involved, are described. These include aspects such as the reporting of pollutants (e.g., heavy metals), or the nomenclature of processes and elementary flows. The data (exchange) format is also described. Processes are documented with the help of meta-information and flow data (including both unit process raw data and aggregated LCI results). The structure of the data format corresponds to the ISO/TS 14048 data documentation format. Data exchange between project partner institutes and between the database and its customers (database users) is based on XML-technology. Matrix inversion is used to calculate the cumulative LCA data using efficient algorithms and making use of the fact that LCA matrices are usually sparse. © 2005 Elsevier Ltd. All rights reserved.","author":[{"dropping-particle":"","family":"Frischknecht","given":"Rolf","non-dropping-particle":"","parse-names":false,"suffix":""},{"dropping-particle":"","family":"Rebitzer","given":"Gerald","non-dropping-particle":"","parse-names":false,"suffix":""}],"container-title":"Journal of Cleaner Production","id":"ITEM-1","issue":"13-14","issued":{"date-parts":[["2005"]]},"page":"1337-1343","title":"The ecoinvent database system: A comprehensive web-based LCA database","type":"article-journal","volume":"13"},"uris":["http://www.mendeley.com/documents/?uuid=5e2a986d-240c-409f-b628-352bd96dd706"]}],"mendeley":{"formattedCitation":"(Frischknecht &amp; Rebitzer, 2005)","plainTextFormattedCitation":"(Frischknecht &amp; Rebitzer, 2005)","previouslyFormattedCitation":"(Frischknecht &amp; Rebitzer, 2005)"},"properties":{"noteIndex":0},"schema":"https://github.com/citation-style-language/schema/raw/master/csl-citation.json"}</w:instrText>
      </w:r>
      <w:r w:rsidR="00FD35E8" w:rsidRPr="00E32653">
        <w:rPr>
          <w:rFonts w:asciiTheme="majorBidi" w:hAnsiTheme="majorBidi" w:cstheme="majorBidi"/>
        </w:rPr>
        <w:fldChar w:fldCharType="separate"/>
      </w:r>
      <w:r w:rsidR="00FD35E8" w:rsidRPr="00E32653">
        <w:rPr>
          <w:rFonts w:asciiTheme="majorBidi" w:hAnsiTheme="majorBidi" w:cstheme="majorBidi"/>
          <w:noProof/>
        </w:rPr>
        <w:t>(Frischknecht &amp; Rebitzer, 2005)</w:t>
      </w:r>
      <w:r w:rsidR="00FD35E8" w:rsidRPr="00E32653">
        <w:rPr>
          <w:rFonts w:asciiTheme="majorBidi" w:hAnsiTheme="majorBidi" w:cstheme="majorBidi"/>
        </w:rPr>
        <w:fldChar w:fldCharType="end"/>
      </w:r>
      <w:r w:rsidR="00FD35E8" w:rsidRPr="00E32653">
        <w:rPr>
          <w:rFonts w:asciiTheme="majorBidi" w:hAnsiTheme="majorBidi" w:cstheme="majorBidi"/>
        </w:rPr>
        <w:t xml:space="preserve">. </w:t>
      </w:r>
      <w:r w:rsidR="00A8539A" w:rsidRPr="00E32653">
        <w:rPr>
          <w:rFonts w:asciiTheme="majorBidi" w:hAnsiTheme="majorBidi" w:cstheme="majorBidi"/>
        </w:rPr>
        <w:t xml:space="preserve">The waste for all scenarios was considered </w:t>
      </w:r>
      <w:r w:rsidR="00885B4D" w:rsidRPr="00E32653">
        <w:rPr>
          <w:rFonts w:asciiTheme="majorBidi" w:hAnsiTheme="majorBidi" w:cstheme="majorBidi"/>
        </w:rPr>
        <w:t xml:space="preserve">to be </w:t>
      </w:r>
      <w:r w:rsidR="00A8539A" w:rsidRPr="00E32653">
        <w:rPr>
          <w:rFonts w:asciiTheme="majorBidi" w:hAnsiTheme="majorBidi" w:cstheme="majorBidi"/>
        </w:rPr>
        <w:t xml:space="preserve">5% </w:t>
      </w:r>
      <w:r w:rsidR="00885B4D" w:rsidRPr="00E32653">
        <w:rPr>
          <w:rFonts w:asciiTheme="majorBidi" w:hAnsiTheme="majorBidi" w:cstheme="majorBidi"/>
        </w:rPr>
        <w:t xml:space="preserve">on average for </w:t>
      </w:r>
      <w:r w:rsidR="00A8539A" w:rsidRPr="00E32653">
        <w:rPr>
          <w:rFonts w:asciiTheme="majorBidi" w:hAnsiTheme="majorBidi" w:cstheme="majorBidi"/>
        </w:rPr>
        <w:t xml:space="preserve">the materials used in the </w:t>
      </w:r>
      <w:r w:rsidR="00F554EA" w:rsidRPr="00E32653">
        <w:rPr>
          <w:rFonts w:asciiTheme="majorBidi" w:hAnsiTheme="majorBidi" w:cstheme="majorBidi"/>
        </w:rPr>
        <w:t>construction stage</w:t>
      </w:r>
      <w:r w:rsidR="00432928" w:rsidRPr="00E32653">
        <w:rPr>
          <w:rFonts w:asciiTheme="majorBidi" w:hAnsiTheme="majorBidi" w:cstheme="majorBidi"/>
        </w:rPr>
        <w:t xml:space="preserve">. The source </w:t>
      </w:r>
      <w:r w:rsidR="00885B4D" w:rsidRPr="00E32653">
        <w:rPr>
          <w:rFonts w:asciiTheme="majorBidi" w:hAnsiTheme="majorBidi" w:cstheme="majorBidi"/>
        </w:rPr>
        <w:t xml:space="preserve">of </w:t>
      </w:r>
      <w:r w:rsidR="00432928" w:rsidRPr="00E32653">
        <w:rPr>
          <w:rFonts w:asciiTheme="majorBidi" w:hAnsiTheme="majorBidi" w:cstheme="majorBidi"/>
        </w:rPr>
        <w:t xml:space="preserve">electricity in Malaysia is different from European countries. In Europe </w:t>
      </w:r>
      <w:r w:rsidR="00885B4D" w:rsidRPr="00E32653">
        <w:rPr>
          <w:rFonts w:asciiTheme="majorBidi" w:hAnsiTheme="majorBidi" w:cstheme="majorBidi"/>
        </w:rPr>
        <w:t>it may come</w:t>
      </w:r>
      <w:r w:rsidR="00432928" w:rsidRPr="00E32653">
        <w:rPr>
          <w:rFonts w:asciiTheme="majorBidi" w:hAnsiTheme="majorBidi" w:cstheme="majorBidi"/>
        </w:rPr>
        <w:t xml:space="preserve"> partially from renewable energy which </w:t>
      </w:r>
      <w:r w:rsidR="00637F9F" w:rsidRPr="00E32653">
        <w:rPr>
          <w:rFonts w:asciiTheme="majorBidi" w:hAnsiTheme="majorBidi" w:cstheme="majorBidi"/>
        </w:rPr>
        <w:t xml:space="preserve">has an impact on </w:t>
      </w:r>
      <w:r w:rsidR="00432928" w:rsidRPr="00E32653">
        <w:rPr>
          <w:rFonts w:asciiTheme="majorBidi" w:hAnsiTheme="majorBidi" w:cstheme="majorBidi"/>
        </w:rPr>
        <w:t>the total emission</w:t>
      </w:r>
      <w:r w:rsidR="00637F9F" w:rsidRPr="00E32653">
        <w:rPr>
          <w:rFonts w:asciiTheme="majorBidi" w:hAnsiTheme="majorBidi" w:cstheme="majorBidi"/>
        </w:rPr>
        <w:t>s</w:t>
      </w:r>
      <w:r w:rsidR="00432928" w:rsidRPr="00E32653">
        <w:rPr>
          <w:rFonts w:asciiTheme="majorBidi" w:hAnsiTheme="majorBidi" w:cstheme="majorBidi"/>
        </w:rPr>
        <w:t xml:space="preserve"> </w:t>
      </w:r>
      <w:r w:rsidR="00637F9F" w:rsidRPr="00E32653">
        <w:rPr>
          <w:rFonts w:asciiTheme="majorBidi" w:hAnsiTheme="majorBidi" w:cstheme="majorBidi"/>
        </w:rPr>
        <w:t xml:space="preserve">for </w:t>
      </w:r>
      <w:r w:rsidR="00432928" w:rsidRPr="00E32653">
        <w:rPr>
          <w:rFonts w:asciiTheme="majorBidi" w:hAnsiTheme="majorBidi" w:cstheme="majorBidi"/>
        </w:rPr>
        <w:t>production</w:t>
      </w:r>
      <w:r w:rsidR="00885B4D" w:rsidRPr="00E32653">
        <w:rPr>
          <w:rFonts w:asciiTheme="majorBidi" w:hAnsiTheme="majorBidi" w:cstheme="majorBidi"/>
        </w:rPr>
        <w:t xml:space="preserve">. </w:t>
      </w:r>
      <w:r w:rsidRPr="00E32653">
        <w:rPr>
          <w:rFonts w:asciiTheme="majorBidi" w:hAnsiTheme="majorBidi" w:cstheme="majorBidi"/>
        </w:rPr>
        <w:t>According to</w:t>
      </w:r>
      <w:r w:rsidR="00AE043A" w:rsidRPr="00E32653">
        <w:rPr>
          <w:rFonts w:asciiTheme="majorBidi" w:hAnsiTheme="majorBidi" w:cstheme="majorBidi"/>
        </w:rPr>
        <w:t xml:space="preserve"> </w:t>
      </w:r>
      <w:r w:rsidR="00AE043A" w:rsidRPr="00E32653">
        <w:rPr>
          <w:rFonts w:asciiTheme="majorBidi" w:hAnsiTheme="majorBidi" w:cstheme="majorBidi"/>
          <w:b/>
          <w:bCs/>
        </w:rPr>
        <w:fldChar w:fldCharType="begin" w:fldLock="1"/>
      </w:r>
      <w:r w:rsidR="00AE043A" w:rsidRPr="00E32653">
        <w:rPr>
          <w:rFonts w:asciiTheme="majorBidi" w:hAnsiTheme="majorBidi" w:cstheme="majorBidi"/>
          <w:b/>
          <w:bCs/>
        </w:rPr>
        <w:instrText>ADDIN CSL_CITATION {"citationItems":[{"id":"ITEM-1","itemData":{"DOI":"10.1016/j.rser.2017.05.051","ISSN":"18790690","abstract":"Approximately half of the annual global energy supply is consumed in constructing, operating, and maintaining buildings. Because most of this energy comes from fossil fuels, it also contributes greatly to annual carbon emissions. When constructing a building, embodied energy is consumed through construction materials, building products, and construction processes along with any transportation, administration, and management involved. Operating energy is used in space conditioning, heating, lighting, and powering building appliances. In order to effectively reduce the carbon footprint of buildings, a comprehensive reduction in both embodied and operating energy is needed. Studies so far have focused on reducing either embodied or operating energy in isolation without realizing the trade-off that exists between them. Also, building energy research has concentrated more on operating energy than embodied energy, and as a result, the operating energy of buildings is gradually decreasing. Due to a variety of issues, however, few efforts have been undertaken to comprehensively minimize embodied energy. Quantifying embodied energy is more tedious, complex, and resource-consuming than measuring operating energy. Furthermore, the reported values of embodied energy vary significantly within and across geographic regions owing to certain methodological and data quality parameters. The literature has repeatedly pointed out a need to standardize these parameters to bring consistency to embodied energy calculations. This paper presents a rigorous review of literature in order to investigate these parameters and their impact on embodied energy calculations. The reported values of initial and life-cycle embodied energy are also presented to highlight variations due to differing parameters. Finally, we suggest a two-step solution to make the process of embodied energy analysis more streamlined and transparent through a set of guidelines and an uncertainty calculation model.","author":[{"dropping-particle":"","family":"Dixit","given":"Manish K.","non-dropping-particle":"","parse-names":false,"suffix":""}],"container-title":"Renewable and Sustainable Energy Reviews","id":"ITEM-1","issue":"May","issued":{"date-parts":[["2017"]]},"page":"390-413","publisher":"Elsevier Ltd","title":"Life cycle embodied energy analysis of residential buildings: A review of literature to investigate embodied energy parameters","type":"article-journal","volume":"79"},"uris":["http://www.mendeley.com/documents/?uuid=7b44f3e1-c00b-4509-9a0e-90ce711181e2"]}],"mendeley":{"formattedCitation":"(Dixit, 2017)","manualFormatting":"Dixit (2017)","plainTextFormattedCitation":"(Dixit, 2017)","previouslyFormattedCitation":"(Dixit, 2017)"},"properties":{"noteIndex":0},"schema":"https://github.com/citation-style-language/schema/raw/master/csl-citation.json"}</w:instrText>
      </w:r>
      <w:r w:rsidR="00AE043A" w:rsidRPr="00E32653">
        <w:rPr>
          <w:rFonts w:asciiTheme="majorBidi" w:hAnsiTheme="majorBidi" w:cstheme="majorBidi"/>
          <w:b/>
          <w:bCs/>
        </w:rPr>
        <w:fldChar w:fldCharType="separate"/>
      </w:r>
      <w:r w:rsidR="00AE043A" w:rsidRPr="00E32653">
        <w:rPr>
          <w:rFonts w:asciiTheme="majorBidi" w:hAnsiTheme="majorBidi" w:cstheme="majorBidi"/>
          <w:noProof/>
        </w:rPr>
        <w:t>Dixit (2017)</w:t>
      </w:r>
      <w:r w:rsidR="00AE043A" w:rsidRPr="00E32653">
        <w:rPr>
          <w:rFonts w:asciiTheme="majorBidi" w:hAnsiTheme="majorBidi" w:cstheme="majorBidi"/>
          <w:b/>
          <w:bCs/>
        </w:rPr>
        <w:fldChar w:fldCharType="end"/>
      </w:r>
      <w:r w:rsidR="00AE043A" w:rsidRPr="00E32653">
        <w:rPr>
          <w:rFonts w:asciiTheme="majorBidi" w:hAnsiTheme="majorBidi" w:cstheme="majorBidi"/>
        </w:rPr>
        <w:t>, different fuel</w:t>
      </w:r>
      <w:r w:rsidRPr="00E32653">
        <w:rPr>
          <w:rFonts w:asciiTheme="majorBidi" w:hAnsiTheme="majorBidi" w:cstheme="majorBidi"/>
        </w:rPr>
        <w:t>s</w:t>
      </w:r>
      <w:r w:rsidR="00AE043A" w:rsidRPr="00E32653">
        <w:rPr>
          <w:rFonts w:asciiTheme="majorBidi" w:hAnsiTheme="majorBidi" w:cstheme="majorBidi"/>
        </w:rPr>
        <w:t xml:space="preserve"> such as coal or renewable resources may have </w:t>
      </w:r>
      <w:r w:rsidRPr="00E32653">
        <w:rPr>
          <w:rFonts w:asciiTheme="majorBidi" w:hAnsiTheme="majorBidi" w:cstheme="majorBidi"/>
        </w:rPr>
        <w:t>different</w:t>
      </w:r>
      <w:r w:rsidR="00AE043A" w:rsidRPr="00E32653">
        <w:rPr>
          <w:rFonts w:asciiTheme="majorBidi" w:hAnsiTheme="majorBidi" w:cstheme="majorBidi"/>
        </w:rPr>
        <w:t xml:space="preserve"> impact</w:t>
      </w:r>
      <w:r w:rsidRPr="00E32653">
        <w:rPr>
          <w:rFonts w:asciiTheme="majorBidi" w:hAnsiTheme="majorBidi" w:cstheme="majorBidi"/>
        </w:rPr>
        <w:t>s</w:t>
      </w:r>
      <w:r w:rsidR="00AE043A" w:rsidRPr="00E32653">
        <w:rPr>
          <w:rFonts w:asciiTheme="majorBidi" w:hAnsiTheme="majorBidi" w:cstheme="majorBidi"/>
        </w:rPr>
        <w:t xml:space="preserve"> and emission</w:t>
      </w:r>
      <w:r w:rsidRPr="00E32653">
        <w:rPr>
          <w:rFonts w:asciiTheme="majorBidi" w:hAnsiTheme="majorBidi" w:cstheme="majorBidi"/>
        </w:rPr>
        <w:t>s</w:t>
      </w:r>
      <w:r w:rsidR="00AE043A" w:rsidRPr="00E32653">
        <w:rPr>
          <w:rFonts w:asciiTheme="majorBidi" w:hAnsiTheme="majorBidi" w:cstheme="majorBidi"/>
        </w:rPr>
        <w:t xml:space="preserve"> </w:t>
      </w:r>
      <w:r w:rsidRPr="00E32653">
        <w:rPr>
          <w:rFonts w:asciiTheme="majorBidi" w:hAnsiTheme="majorBidi" w:cstheme="majorBidi"/>
        </w:rPr>
        <w:t xml:space="preserve">in relation to </w:t>
      </w:r>
      <w:r w:rsidR="00AE043A" w:rsidRPr="00E32653">
        <w:rPr>
          <w:rFonts w:asciiTheme="majorBidi" w:hAnsiTheme="majorBidi" w:cstheme="majorBidi"/>
        </w:rPr>
        <w:t xml:space="preserve">GWP or embodied energy. Therefore, </w:t>
      </w:r>
      <w:r w:rsidRPr="00E32653">
        <w:rPr>
          <w:rFonts w:asciiTheme="majorBidi" w:hAnsiTheme="majorBidi" w:cstheme="majorBidi"/>
        </w:rPr>
        <w:t xml:space="preserve">making </w:t>
      </w:r>
      <w:r w:rsidR="00AE043A" w:rsidRPr="00E32653">
        <w:rPr>
          <w:rFonts w:asciiTheme="majorBidi" w:hAnsiTheme="majorBidi" w:cstheme="majorBidi"/>
        </w:rPr>
        <w:t>adjust</w:t>
      </w:r>
      <w:r w:rsidRPr="00E32653">
        <w:rPr>
          <w:rFonts w:asciiTheme="majorBidi" w:hAnsiTheme="majorBidi" w:cstheme="majorBidi"/>
        </w:rPr>
        <w:t>ments for</w:t>
      </w:r>
      <w:r w:rsidR="00AE043A" w:rsidRPr="00E32653">
        <w:rPr>
          <w:rFonts w:asciiTheme="majorBidi" w:hAnsiTheme="majorBidi" w:cstheme="majorBidi"/>
        </w:rPr>
        <w:t xml:space="preserve"> this issue is vital for a </w:t>
      </w:r>
      <w:r w:rsidRPr="00E32653">
        <w:rPr>
          <w:rFonts w:asciiTheme="majorBidi" w:hAnsiTheme="majorBidi" w:cstheme="majorBidi"/>
        </w:rPr>
        <w:t xml:space="preserve">reliable </w:t>
      </w:r>
      <w:r w:rsidR="00AE043A" w:rsidRPr="00E32653">
        <w:rPr>
          <w:rFonts w:asciiTheme="majorBidi" w:hAnsiTheme="majorBidi" w:cstheme="majorBidi"/>
        </w:rPr>
        <w:t xml:space="preserve">LCA result. </w:t>
      </w:r>
      <w:r w:rsidR="00885B4D" w:rsidRPr="00E32653">
        <w:rPr>
          <w:rFonts w:asciiTheme="majorBidi" w:hAnsiTheme="majorBidi" w:cstheme="majorBidi"/>
        </w:rPr>
        <w:t>In</w:t>
      </w:r>
      <w:r w:rsidR="00432928" w:rsidRPr="00E32653">
        <w:rPr>
          <w:rFonts w:asciiTheme="majorBidi" w:hAnsiTheme="majorBidi" w:cstheme="majorBidi"/>
        </w:rPr>
        <w:t xml:space="preserve"> Malaysia more than 90% </w:t>
      </w:r>
      <w:r w:rsidRPr="00E32653">
        <w:rPr>
          <w:rFonts w:asciiTheme="majorBidi" w:hAnsiTheme="majorBidi" w:cstheme="majorBidi"/>
        </w:rPr>
        <w:t xml:space="preserve">of power </w:t>
      </w:r>
      <w:r w:rsidR="00432928" w:rsidRPr="00E32653">
        <w:rPr>
          <w:rFonts w:asciiTheme="majorBidi" w:hAnsiTheme="majorBidi" w:cstheme="majorBidi"/>
        </w:rPr>
        <w:t xml:space="preserve">is </w:t>
      </w:r>
      <w:r w:rsidRPr="00E32653">
        <w:rPr>
          <w:rFonts w:asciiTheme="majorBidi" w:hAnsiTheme="majorBidi" w:cstheme="majorBidi"/>
        </w:rPr>
        <w:t xml:space="preserve">sourced </w:t>
      </w:r>
      <w:r w:rsidR="00432928" w:rsidRPr="00E32653">
        <w:rPr>
          <w:rFonts w:asciiTheme="majorBidi" w:hAnsiTheme="majorBidi" w:cstheme="majorBidi"/>
        </w:rPr>
        <w:t>from coal or</w:t>
      </w:r>
      <w:r w:rsidR="006D0019" w:rsidRPr="00E32653">
        <w:rPr>
          <w:rFonts w:asciiTheme="majorBidi" w:hAnsiTheme="majorBidi" w:cstheme="majorBidi"/>
        </w:rPr>
        <w:t xml:space="preserve"> from other</w:t>
      </w:r>
      <w:r w:rsidR="00432928" w:rsidRPr="00E32653">
        <w:rPr>
          <w:rFonts w:asciiTheme="majorBidi" w:hAnsiTheme="majorBidi" w:cstheme="majorBidi"/>
        </w:rPr>
        <w:t xml:space="preserve"> </w:t>
      </w:r>
      <w:r w:rsidR="00885B4D" w:rsidRPr="00E32653">
        <w:rPr>
          <w:rFonts w:asciiTheme="majorBidi" w:hAnsiTheme="majorBidi" w:cstheme="majorBidi"/>
        </w:rPr>
        <w:t>non-renewable</w:t>
      </w:r>
      <w:r w:rsidR="00432928" w:rsidRPr="00E32653">
        <w:rPr>
          <w:rFonts w:asciiTheme="majorBidi" w:hAnsiTheme="majorBidi" w:cstheme="majorBidi"/>
        </w:rPr>
        <w:t xml:space="preserve"> energy</w:t>
      </w:r>
      <w:r w:rsidR="006D0019" w:rsidRPr="00E32653">
        <w:rPr>
          <w:rFonts w:asciiTheme="majorBidi" w:hAnsiTheme="majorBidi" w:cstheme="majorBidi"/>
        </w:rPr>
        <w:t xml:space="preserve"> sources</w:t>
      </w:r>
      <w:r w:rsidR="00432928" w:rsidRPr="00E32653">
        <w:rPr>
          <w:rFonts w:asciiTheme="majorBidi" w:hAnsiTheme="majorBidi" w:cstheme="majorBidi"/>
        </w:rPr>
        <w:t xml:space="preserve">. </w:t>
      </w:r>
      <w:r w:rsidR="006D0019" w:rsidRPr="00E32653">
        <w:rPr>
          <w:rFonts w:asciiTheme="majorBidi" w:hAnsiTheme="majorBidi" w:cstheme="majorBidi"/>
        </w:rPr>
        <w:t>F</w:t>
      </w:r>
      <w:r w:rsidR="00F554EA" w:rsidRPr="00E32653">
        <w:rPr>
          <w:rFonts w:asciiTheme="majorBidi" w:hAnsiTheme="majorBidi" w:cstheme="majorBidi"/>
        </w:rPr>
        <w:t>ossil fuel</w:t>
      </w:r>
      <w:r w:rsidR="006D0019" w:rsidRPr="00E32653">
        <w:rPr>
          <w:rFonts w:asciiTheme="majorBidi" w:hAnsiTheme="majorBidi" w:cstheme="majorBidi"/>
        </w:rPr>
        <w:t>s are</w:t>
      </w:r>
      <w:r w:rsidR="00F554EA" w:rsidRPr="00E32653">
        <w:rPr>
          <w:rFonts w:asciiTheme="majorBidi" w:hAnsiTheme="majorBidi" w:cstheme="majorBidi"/>
        </w:rPr>
        <w:t xml:space="preserve"> the main source of electricity generation in Malaysia (The Malaysian electricity generation, 2014). </w:t>
      </w:r>
      <w:r w:rsidR="006D0019" w:rsidRPr="00E32653">
        <w:rPr>
          <w:rFonts w:asciiTheme="majorBidi" w:hAnsiTheme="majorBidi" w:cstheme="majorBidi"/>
        </w:rPr>
        <w:t xml:space="preserve">The </w:t>
      </w:r>
      <w:r w:rsidR="00F554EA" w:rsidRPr="00E32653">
        <w:rPr>
          <w:rFonts w:asciiTheme="majorBidi" w:hAnsiTheme="majorBidi" w:cstheme="majorBidi"/>
        </w:rPr>
        <w:t xml:space="preserve">Ecoinvent database </w:t>
      </w:r>
      <w:r w:rsidR="00F554EA" w:rsidRPr="00E32653">
        <w:rPr>
          <w:rFonts w:asciiTheme="majorBidi" w:hAnsiTheme="majorBidi" w:cstheme="majorBidi"/>
        </w:rPr>
        <w:lastRenderedPageBreak/>
        <w:t xml:space="preserve">has been </w:t>
      </w:r>
      <w:r w:rsidR="008765FF" w:rsidRPr="00E32653">
        <w:rPr>
          <w:rFonts w:asciiTheme="majorBidi" w:hAnsiTheme="majorBidi" w:cstheme="majorBidi"/>
        </w:rPr>
        <w:t xml:space="preserve">adapted </w:t>
      </w:r>
      <w:r w:rsidR="00F554EA" w:rsidRPr="00E32653">
        <w:rPr>
          <w:rFonts w:asciiTheme="majorBidi" w:hAnsiTheme="majorBidi" w:cstheme="majorBidi"/>
        </w:rPr>
        <w:t xml:space="preserve">to Malaysia by replacing the local electricity mix data set as suggested </w:t>
      </w:r>
      <w:r w:rsidR="002C27DA" w:rsidRPr="00E32653">
        <w:rPr>
          <w:rFonts w:asciiTheme="majorBidi" w:hAnsiTheme="majorBidi" w:cstheme="majorBidi"/>
        </w:rPr>
        <w:t xml:space="preserve">by </w:t>
      </w:r>
      <w:r w:rsidR="00F554EA" w:rsidRPr="00E32653">
        <w:rPr>
          <w:rFonts w:asciiTheme="majorBidi" w:hAnsiTheme="majorBidi" w:cstheme="majorBidi"/>
        </w:rPr>
        <w:fldChar w:fldCharType="begin" w:fldLock="1"/>
      </w:r>
      <w:r w:rsidR="00F554EA" w:rsidRPr="00E32653">
        <w:rPr>
          <w:rFonts w:asciiTheme="majorBidi" w:hAnsiTheme="majorBidi" w:cstheme="majorBidi"/>
        </w:rPr>
        <w:instrText>ADDIN CSL_CITATION {"citationItems":[{"id":"ITEM-1","itemData":{"author":[{"dropping-particle":"","family":"Horváth","given":"Sára Erzsébet","non-dropping-particle":"","parse-names":false,"suffix":""},{"dropping-particle":"","family":"Szalay","given":"Zsuzsa","non-dropping-particle":"","parse-names":false,"suffix":""}],"id":"ITEM-1","issue":"1","issued":{"date-parts":[["0"]]},"page":"116-124","title":"Decision-making case study for retrofit of high-rise concrete buildings based on life cycle assessment scenarios","type":"article-journal"},"uris":["http://www.mendeley.com/documents/?uuid=49a113d8-be1c-4ca4-8288-27b2d6f8f6a6"]}],"mendeley":{"formattedCitation":"(Horváth &amp; Szalay, n.d.)","manualFormatting":"(Horváth &amp; Szalay,2012)","plainTextFormattedCitation":"(Horváth &amp; Szalay, n.d.)","previouslyFormattedCitation":"(Horváth &amp; Szalay, n.d.)"},"properties":{"noteIndex":0},"schema":"https://github.com/citation-style-language/schema/raw/master/csl-citation.json"}</w:instrText>
      </w:r>
      <w:r w:rsidR="00F554EA" w:rsidRPr="00E32653">
        <w:rPr>
          <w:rFonts w:asciiTheme="majorBidi" w:hAnsiTheme="majorBidi" w:cstheme="majorBidi"/>
        </w:rPr>
        <w:fldChar w:fldCharType="separate"/>
      </w:r>
      <w:r w:rsidR="00F554EA" w:rsidRPr="00E32653">
        <w:rPr>
          <w:rFonts w:asciiTheme="majorBidi" w:hAnsiTheme="majorBidi" w:cstheme="majorBidi"/>
          <w:noProof/>
        </w:rPr>
        <w:t>Horváth &amp; Szalay,</w:t>
      </w:r>
      <w:r w:rsidR="00055467" w:rsidRPr="00E32653">
        <w:rPr>
          <w:rFonts w:asciiTheme="majorBidi" w:hAnsiTheme="majorBidi" w:cstheme="majorBidi"/>
          <w:noProof/>
        </w:rPr>
        <w:t>(</w:t>
      </w:r>
      <w:r w:rsidR="00F554EA" w:rsidRPr="00E32653">
        <w:rPr>
          <w:rFonts w:asciiTheme="majorBidi" w:hAnsiTheme="majorBidi" w:cstheme="majorBidi"/>
          <w:noProof/>
        </w:rPr>
        <w:t>2012)</w:t>
      </w:r>
      <w:r w:rsidR="00F554EA" w:rsidRPr="00E32653">
        <w:rPr>
          <w:rFonts w:asciiTheme="majorBidi" w:hAnsiTheme="majorBidi" w:cstheme="majorBidi"/>
        </w:rPr>
        <w:fldChar w:fldCharType="end"/>
      </w:r>
      <w:r w:rsidR="00F554EA" w:rsidRPr="00E32653">
        <w:rPr>
          <w:rFonts w:asciiTheme="majorBidi" w:hAnsiTheme="majorBidi" w:cstheme="majorBidi"/>
        </w:rPr>
        <w:t xml:space="preserve">. </w:t>
      </w:r>
      <w:r w:rsidR="00B20CFD" w:rsidRPr="00E32653">
        <w:rPr>
          <w:rFonts w:asciiTheme="majorBidi" w:hAnsiTheme="majorBidi" w:cstheme="majorBidi"/>
        </w:rPr>
        <w:t>Supplementary data were sourced from</w:t>
      </w:r>
      <w:r w:rsidR="00E72ECB" w:rsidRPr="00E32653">
        <w:rPr>
          <w:rFonts w:asciiTheme="majorBidi" w:hAnsiTheme="majorBidi" w:cstheme="majorBidi"/>
        </w:rPr>
        <w:t xml:space="preserve"> the Ecoinvent database and adapted to </w:t>
      </w:r>
      <w:r w:rsidR="30034D8A" w:rsidRPr="00E32653">
        <w:rPr>
          <w:rFonts w:asciiTheme="majorBidi" w:hAnsiTheme="majorBidi" w:cstheme="majorBidi"/>
        </w:rPr>
        <w:t xml:space="preserve">the </w:t>
      </w:r>
      <w:r w:rsidR="00E72ECB" w:rsidRPr="00E32653">
        <w:rPr>
          <w:rFonts w:asciiTheme="majorBidi" w:hAnsiTheme="majorBidi" w:cstheme="majorBidi"/>
        </w:rPr>
        <w:t xml:space="preserve">Malaysian </w:t>
      </w:r>
      <w:r w:rsidR="00674C17" w:rsidRPr="00E32653">
        <w:rPr>
          <w:rFonts w:asciiTheme="majorBidi" w:hAnsiTheme="majorBidi" w:cstheme="majorBidi"/>
        </w:rPr>
        <w:t>MY-LCID (Life Cycle Inventory Database for Malaysia) database</w:t>
      </w:r>
      <w:r w:rsidR="00E72ECB" w:rsidRPr="00E32653">
        <w:rPr>
          <w:rFonts w:asciiTheme="majorBidi" w:hAnsiTheme="majorBidi" w:cstheme="majorBidi"/>
        </w:rPr>
        <w:t xml:space="preserve"> by replacing the local electricity mix data set following </w:t>
      </w:r>
      <w:r w:rsidR="007D1DF8" w:rsidRPr="00E32653">
        <w:rPr>
          <w:rFonts w:asciiTheme="majorBidi" w:hAnsiTheme="majorBidi" w:cstheme="majorBidi"/>
        </w:rPr>
        <w:t>Horváth and Szalay (2012)</w:t>
      </w:r>
      <w:r w:rsidR="004777F6" w:rsidRPr="00E32653">
        <w:rPr>
          <w:rFonts w:asciiTheme="majorBidi" w:hAnsiTheme="majorBidi" w:cstheme="majorBidi"/>
          <w:shd w:val="clear" w:color="auto" w:fill="FFFFFF"/>
        </w:rPr>
        <w:t>.</w:t>
      </w:r>
      <w:r w:rsidR="007D1DF8" w:rsidRPr="00E32653">
        <w:rPr>
          <w:rFonts w:asciiTheme="majorBidi" w:hAnsiTheme="majorBidi" w:cstheme="majorBidi"/>
        </w:rPr>
        <w:t xml:space="preserve"> </w:t>
      </w:r>
      <w:r w:rsidR="00F554EA" w:rsidRPr="00E32653">
        <w:rPr>
          <w:rFonts w:asciiTheme="majorBidi" w:hAnsiTheme="majorBidi" w:cstheme="majorBidi"/>
        </w:rPr>
        <w:t>In this study, 15 MJ/m</w:t>
      </w:r>
      <w:r w:rsidR="00F554EA" w:rsidRPr="00E32653">
        <w:rPr>
          <w:rFonts w:asciiTheme="majorBidi" w:hAnsiTheme="majorBidi" w:cstheme="majorBidi"/>
          <w:vertAlign w:val="superscript"/>
        </w:rPr>
        <w:t>2</w:t>
      </w:r>
      <w:r w:rsidR="00F554EA" w:rsidRPr="00E32653">
        <w:rPr>
          <w:rFonts w:asciiTheme="majorBidi" w:hAnsiTheme="majorBidi" w:cstheme="majorBidi"/>
        </w:rPr>
        <w:t xml:space="preserve"> of diesel and 2 kWh/m</w:t>
      </w:r>
      <w:r w:rsidR="00F554EA" w:rsidRPr="00E32653">
        <w:rPr>
          <w:rFonts w:asciiTheme="majorBidi" w:hAnsiTheme="majorBidi" w:cstheme="majorBidi"/>
          <w:vertAlign w:val="superscript"/>
        </w:rPr>
        <w:t>2</w:t>
      </w:r>
      <w:r w:rsidR="00F554EA" w:rsidRPr="00E32653">
        <w:rPr>
          <w:rFonts w:asciiTheme="majorBidi" w:hAnsiTheme="majorBidi" w:cstheme="majorBidi"/>
        </w:rPr>
        <w:t xml:space="preserve"> of </w:t>
      </w:r>
      <w:r w:rsidR="00CC69CF" w:rsidRPr="00E32653">
        <w:rPr>
          <w:rFonts w:asciiTheme="majorBidi" w:hAnsiTheme="majorBidi" w:cstheme="majorBidi"/>
        </w:rPr>
        <w:t>electricity</w:t>
      </w:r>
      <w:r w:rsidR="00F554EA" w:rsidRPr="00E32653">
        <w:rPr>
          <w:rFonts w:asciiTheme="majorBidi" w:hAnsiTheme="majorBidi" w:cstheme="majorBidi"/>
        </w:rPr>
        <w:t xml:space="preserve"> were assumed for construction. </w:t>
      </w:r>
      <w:r w:rsidR="001F42BA" w:rsidRPr="00E32653">
        <w:rPr>
          <w:rFonts w:asciiTheme="majorBidi" w:hAnsiTheme="majorBidi" w:cstheme="majorBidi"/>
        </w:rPr>
        <w:t xml:space="preserve">The type of </w:t>
      </w:r>
      <w:r w:rsidR="007A48A3" w:rsidRPr="00E32653">
        <w:rPr>
          <w:rFonts w:asciiTheme="majorBidi" w:hAnsiTheme="majorBidi" w:cstheme="majorBidi"/>
        </w:rPr>
        <w:t xml:space="preserve">adhesive </w:t>
      </w:r>
      <w:r w:rsidR="00B20CFD" w:rsidRPr="00E32653">
        <w:rPr>
          <w:rFonts w:asciiTheme="majorBidi" w:hAnsiTheme="majorBidi" w:cstheme="majorBidi"/>
        </w:rPr>
        <w:t xml:space="preserve">used was </w:t>
      </w:r>
      <w:r w:rsidR="001F42BA" w:rsidRPr="00E32653">
        <w:rPr>
          <w:rFonts w:asciiTheme="majorBidi" w:hAnsiTheme="majorBidi" w:cstheme="majorBidi"/>
        </w:rPr>
        <w:t xml:space="preserve">phenol resorcinol formaldehyde </w:t>
      </w:r>
      <w:r w:rsidR="001F42BA" w:rsidRPr="00E32653">
        <w:rPr>
          <w:rFonts w:asciiTheme="majorBidi" w:hAnsiTheme="majorBidi" w:cstheme="majorBidi"/>
        </w:rPr>
        <w:fldChar w:fldCharType="begin" w:fldLock="1"/>
      </w:r>
      <w:r w:rsidR="001F42BA" w:rsidRPr="00E32653">
        <w:rPr>
          <w:rFonts w:asciiTheme="majorBidi" w:hAnsiTheme="majorBidi" w:cstheme="majorBidi"/>
        </w:rPr>
        <w:instrText>ADDIN CSL_CITATION {"citationItems":[{"id":"ITEM-1","itemData":{"DOI":"10.1007/s00107-016-1087-1","ISSN":"1436736X","abstract":"Due to the increasing interest in applying a wider range of wood species for structural purposes, nine European softwood and hardwood species (ash, beech, birch, hornbeam, larch, oak, poplar, black locust and spruce) were assessed for their ability to be bonded with three different commercial adhesive systems (melamine–urea–formaldehyde, one-component polyurethane and phenol–resorcinol–formaldehyde). Tensile shear strength and delamination tests were conducted according to European standards, for all tests including the corresponding wood species as adhesive joints and as a solid wood reference. When tested in dry condition, the threshold of solid wood tensile shear strength was reached by all species–adhesive combinations. By contrast, testing in wet condition revealed distinct performance reductions for certain combinations. This trend was confirmed by delamination testing. Overall, the results indicate that extrapolation of test results achieved with a specific wood species (as recommended in the current standard for lap-joint tests) towards other species is highly problematic and has to be done with caution.","author":[{"dropping-particle":"","family":"Konnerth","given":"Johannes","non-dropping-particle":"","parse-names":false,"suffix":""},{"dropping-particle":"","family":"Kluge","given":"Marcel","non-dropping-particle":"","parse-names":false,"suffix":""},{"dropping-particle":"","family":"Schweizer","given":"Georg","non-dropping-particle":"","parse-names":false,"suffix":""},{"dropping-particle":"","family":"Miljković","given":"Milica","non-dropping-particle":"","parse-names":false,"suffix":""},{"dropping-particle":"","family":"Gindl-Altmutter","given":"Wolfgang","non-dropping-particle":"","parse-names":false,"suffix":""}],"container-title":"European Journal of Wood and Wood Products","id":"ITEM-1","issue":"6","issued":{"date-parts":[["2016"]]},"page":"809-819","title":"Survey of selected adhesive bonding properties of nine European softwood and hardwood species","type":"article-journal","volume":"74"},"uris":["http://www.mendeley.com/documents/?uuid=85c28c6b-330b-4f2c-96e3-2b2818008ab6"]}],"mendeley":{"formattedCitation":"(Konnerth et al., 2016)","plainTextFormattedCitation":"(Konnerth et al., 2016)","previouslyFormattedCitation":"(Konnerth et al., 2016)"},"properties":{"noteIndex":0},"schema":"https://github.com/citation-style-language/schema/raw/master/csl-citation.json"}</w:instrText>
      </w:r>
      <w:r w:rsidR="001F42BA" w:rsidRPr="00E32653">
        <w:rPr>
          <w:rFonts w:asciiTheme="majorBidi" w:hAnsiTheme="majorBidi" w:cstheme="majorBidi"/>
        </w:rPr>
        <w:fldChar w:fldCharType="separate"/>
      </w:r>
      <w:r w:rsidR="001F42BA" w:rsidRPr="00E32653">
        <w:rPr>
          <w:rFonts w:asciiTheme="majorBidi" w:hAnsiTheme="majorBidi" w:cstheme="majorBidi"/>
          <w:noProof/>
        </w:rPr>
        <w:t>(Konnerth et al., 2016)</w:t>
      </w:r>
      <w:r w:rsidR="001F42BA" w:rsidRPr="00E32653">
        <w:rPr>
          <w:rFonts w:asciiTheme="majorBidi" w:hAnsiTheme="majorBidi" w:cstheme="majorBidi"/>
        </w:rPr>
        <w:fldChar w:fldCharType="end"/>
      </w:r>
      <w:r w:rsidR="001F42BA" w:rsidRPr="00E32653">
        <w:rPr>
          <w:rFonts w:asciiTheme="majorBidi" w:hAnsiTheme="majorBidi" w:cstheme="majorBidi"/>
        </w:rPr>
        <w:t xml:space="preserve">. </w:t>
      </w:r>
    </w:p>
    <w:p w14:paraId="785C0B28" w14:textId="77777777" w:rsidR="00075C7D" w:rsidRPr="00E32653" w:rsidRDefault="00075C7D" w:rsidP="00253C3A">
      <w:pPr>
        <w:ind w:firstLine="720"/>
        <w:jc w:val="both"/>
        <w:rPr>
          <w:rFonts w:asciiTheme="majorBidi" w:hAnsiTheme="majorBidi" w:cstheme="majorBidi"/>
        </w:rPr>
      </w:pPr>
    </w:p>
    <w:p w14:paraId="120E42B0" w14:textId="77777777" w:rsidR="00FE58F3" w:rsidRPr="00E32653" w:rsidRDefault="00FE58F3" w:rsidP="00FE58F3">
      <w:pPr>
        <w:pStyle w:val="ListParagraph"/>
        <w:numPr>
          <w:ilvl w:val="2"/>
          <w:numId w:val="1"/>
        </w:numPr>
        <w:spacing w:line="276" w:lineRule="auto"/>
        <w:rPr>
          <w:rFonts w:asciiTheme="majorBidi" w:hAnsiTheme="majorBidi" w:cstheme="majorBidi"/>
        </w:rPr>
      </w:pPr>
      <w:r w:rsidRPr="00E32653">
        <w:rPr>
          <w:rFonts w:asciiTheme="majorBidi" w:hAnsiTheme="majorBidi" w:cstheme="majorBidi"/>
          <w:b/>
          <w:bCs/>
          <w:i/>
          <w:iCs/>
          <w:sz w:val="24"/>
          <w:szCs w:val="24"/>
        </w:rPr>
        <w:t>Life Cycle Impact Assessment</w:t>
      </w:r>
    </w:p>
    <w:p w14:paraId="30A782AF" w14:textId="70F4210F" w:rsidR="00A92EB9" w:rsidRPr="00E32653" w:rsidRDefault="00B77303" w:rsidP="0048610E">
      <w:pPr>
        <w:spacing w:line="276" w:lineRule="auto"/>
        <w:ind w:firstLine="720"/>
        <w:jc w:val="both"/>
        <w:rPr>
          <w:rFonts w:asciiTheme="majorBidi" w:hAnsiTheme="majorBidi" w:cstheme="majorBidi"/>
        </w:rPr>
      </w:pPr>
      <w:r w:rsidRPr="00E32653">
        <w:rPr>
          <w:rFonts w:asciiTheme="majorBidi" w:hAnsiTheme="majorBidi" w:cstheme="majorBidi"/>
        </w:rPr>
        <w:t>Life Cycle Impact Assessment (</w:t>
      </w:r>
      <w:r w:rsidR="002C3EB2" w:rsidRPr="00E32653">
        <w:rPr>
          <w:rFonts w:asciiTheme="majorBidi" w:hAnsiTheme="majorBidi" w:cstheme="majorBidi"/>
        </w:rPr>
        <w:t>LCIA</w:t>
      </w:r>
      <w:r w:rsidRPr="00E32653">
        <w:rPr>
          <w:rFonts w:asciiTheme="majorBidi" w:hAnsiTheme="majorBidi" w:cstheme="majorBidi"/>
        </w:rPr>
        <w:t>)</w:t>
      </w:r>
      <w:r w:rsidR="002C3EB2" w:rsidRPr="00E32653">
        <w:rPr>
          <w:rFonts w:asciiTheme="majorBidi" w:hAnsiTheme="majorBidi" w:cstheme="majorBidi"/>
        </w:rPr>
        <w:t xml:space="preserve"> </w:t>
      </w:r>
      <w:r w:rsidR="00247D1E" w:rsidRPr="00E32653">
        <w:rPr>
          <w:rFonts w:asciiTheme="majorBidi" w:hAnsiTheme="majorBidi" w:cstheme="majorBidi"/>
        </w:rPr>
        <w:t xml:space="preserve">is the stage </w:t>
      </w:r>
      <w:r w:rsidR="000131AB" w:rsidRPr="00E32653">
        <w:rPr>
          <w:rFonts w:asciiTheme="majorBidi" w:hAnsiTheme="majorBidi" w:cstheme="majorBidi"/>
        </w:rPr>
        <w:t xml:space="preserve">defined by ISO 14040 </w:t>
      </w:r>
      <w:r w:rsidR="006B0651" w:rsidRPr="00E32653">
        <w:rPr>
          <w:rFonts w:asciiTheme="majorBidi" w:hAnsiTheme="majorBidi" w:cstheme="majorBidi"/>
        </w:rPr>
        <w:t xml:space="preserve">as analyzing </w:t>
      </w:r>
      <w:r w:rsidR="00247D1E" w:rsidRPr="00E32653">
        <w:rPr>
          <w:rFonts w:asciiTheme="majorBidi" w:hAnsiTheme="majorBidi" w:cstheme="majorBidi"/>
        </w:rPr>
        <w:t xml:space="preserve">the environmental impacts of the inputs from LCI </w:t>
      </w:r>
      <w:r w:rsidR="00B10CA6" w:rsidRPr="00E32653">
        <w:rPr>
          <w:rFonts w:asciiTheme="majorBidi" w:hAnsiTheme="majorBidi" w:cstheme="majorBidi"/>
        </w:rPr>
        <w:fldChar w:fldCharType="begin" w:fldLock="1"/>
      </w:r>
      <w:r w:rsidR="00B10CA6" w:rsidRPr="00E32653">
        <w:rPr>
          <w:rFonts w:asciiTheme="majorBidi" w:hAnsiTheme="majorBidi" w:cstheme="majorBidi"/>
        </w:rPr>
        <w:instrText>ADDIN CSL_CITATION {"citationItems":[{"id":"ITEM-1","itemData":{"author":[{"dropping-particle":"","family":"Henkel","given":"Hans-Jürgen Klüppel","non-dropping-particle":"","parse-names":false,"suffix":""}],"container-title":"International Journal of Life Cycle Assessment","id":"ITEM-1","issue":"3","issued":{"date-parts":[["2005"]]},"page":"1","title":"Editorial The Revision of ISO Standards 14040 − 3","type":"article-journal","volume":"10"},"uris":["http://www.mendeley.com/documents/?uuid=4e40f55f-fc23-433f-bc61-3dfbda48b149"]}],"mendeley":{"formattedCitation":"(Henkel, 2005)","plainTextFormattedCitation":"(Henkel, 2005)","previouslyFormattedCitation":"(Henkel, 2005)"},"properties":{"noteIndex":0},"schema":"https://github.com/citation-style-language/schema/raw/master/csl-citation.json"}</w:instrText>
      </w:r>
      <w:r w:rsidR="00B10CA6" w:rsidRPr="00E32653">
        <w:rPr>
          <w:rFonts w:asciiTheme="majorBidi" w:hAnsiTheme="majorBidi" w:cstheme="majorBidi"/>
        </w:rPr>
        <w:fldChar w:fldCharType="separate"/>
      </w:r>
      <w:r w:rsidR="00B10CA6" w:rsidRPr="00E32653">
        <w:rPr>
          <w:rFonts w:asciiTheme="majorBidi" w:hAnsiTheme="majorBidi" w:cstheme="majorBidi"/>
          <w:noProof/>
        </w:rPr>
        <w:t>(Henkel, 2005)</w:t>
      </w:r>
      <w:r w:rsidR="00B10CA6" w:rsidRPr="00E32653">
        <w:rPr>
          <w:rFonts w:asciiTheme="majorBidi" w:hAnsiTheme="majorBidi" w:cstheme="majorBidi"/>
        </w:rPr>
        <w:fldChar w:fldCharType="end"/>
      </w:r>
      <w:r w:rsidR="002C3EB2" w:rsidRPr="00E32653">
        <w:rPr>
          <w:rFonts w:asciiTheme="majorBidi" w:hAnsiTheme="majorBidi" w:cstheme="majorBidi"/>
        </w:rPr>
        <w:t>.</w:t>
      </w:r>
      <w:r w:rsidR="002A1284" w:rsidRPr="00E32653">
        <w:rPr>
          <w:rFonts w:asciiTheme="majorBidi" w:hAnsiTheme="majorBidi" w:cstheme="majorBidi"/>
        </w:rPr>
        <w:t xml:space="preserve"> </w:t>
      </w:r>
      <w:r w:rsidR="000131AB" w:rsidRPr="00E32653">
        <w:rPr>
          <w:rFonts w:asciiTheme="majorBidi" w:hAnsiTheme="majorBidi" w:cstheme="majorBidi"/>
        </w:rPr>
        <w:t>LCIA aims to quantify and understand</w:t>
      </w:r>
      <w:r w:rsidR="002A1284" w:rsidRPr="00E32653">
        <w:rPr>
          <w:rFonts w:asciiTheme="majorBidi" w:hAnsiTheme="majorBidi" w:cstheme="majorBidi"/>
        </w:rPr>
        <w:t xml:space="preserve"> the significance of </w:t>
      </w:r>
      <w:r w:rsidR="000131AB" w:rsidRPr="00E32653">
        <w:rPr>
          <w:rFonts w:asciiTheme="majorBidi" w:hAnsiTheme="majorBidi" w:cstheme="majorBidi"/>
        </w:rPr>
        <w:t xml:space="preserve">the </w:t>
      </w:r>
      <w:r w:rsidR="002A1284" w:rsidRPr="00E32653">
        <w:rPr>
          <w:rFonts w:asciiTheme="majorBidi" w:hAnsiTheme="majorBidi" w:cstheme="majorBidi"/>
        </w:rPr>
        <w:t xml:space="preserve">possibility for environmental impacts </w:t>
      </w:r>
      <w:r w:rsidR="000271F1" w:rsidRPr="00E32653">
        <w:rPr>
          <w:rFonts w:asciiTheme="majorBidi" w:hAnsiTheme="majorBidi" w:cstheme="majorBidi"/>
        </w:rPr>
        <w:t>of materials</w:t>
      </w:r>
      <w:r w:rsidR="002A1284" w:rsidRPr="00E32653">
        <w:rPr>
          <w:rFonts w:asciiTheme="majorBidi" w:hAnsiTheme="majorBidi" w:cstheme="majorBidi"/>
        </w:rPr>
        <w:t xml:space="preserve"> during their </w:t>
      </w:r>
      <w:r w:rsidR="006B0651" w:rsidRPr="00E32653">
        <w:rPr>
          <w:rFonts w:asciiTheme="majorBidi" w:hAnsiTheme="majorBidi" w:cstheme="majorBidi"/>
        </w:rPr>
        <w:t xml:space="preserve">entire </w:t>
      </w:r>
      <w:r w:rsidR="002A1284" w:rsidRPr="00E32653">
        <w:rPr>
          <w:rFonts w:asciiTheme="majorBidi" w:hAnsiTheme="majorBidi" w:cstheme="majorBidi"/>
        </w:rPr>
        <w:t>life cycle.</w:t>
      </w:r>
      <w:r w:rsidR="00247D1E" w:rsidRPr="00E32653">
        <w:rPr>
          <w:rFonts w:asciiTheme="majorBidi" w:hAnsiTheme="majorBidi" w:cstheme="majorBidi"/>
        </w:rPr>
        <w:t xml:space="preserve"> </w:t>
      </w:r>
      <w:r w:rsidR="006B0651" w:rsidRPr="00E32653">
        <w:rPr>
          <w:rFonts w:asciiTheme="majorBidi" w:hAnsiTheme="majorBidi" w:cstheme="majorBidi"/>
        </w:rPr>
        <w:t>T</w:t>
      </w:r>
      <w:r w:rsidR="000271F1" w:rsidRPr="00E32653">
        <w:rPr>
          <w:rFonts w:asciiTheme="majorBidi" w:hAnsiTheme="majorBidi" w:cstheme="majorBidi"/>
        </w:rPr>
        <w:t xml:space="preserve">he LCIA stage </w:t>
      </w:r>
      <w:r w:rsidR="00FD66B2" w:rsidRPr="00E32653">
        <w:rPr>
          <w:rFonts w:asciiTheme="majorBidi" w:hAnsiTheme="majorBidi" w:cstheme="majorBidi"/>
        </w:rPr>
        <w:t xml:space="preserve">provides a </w:t>
      </w:r>
      <w:r w:rsidR="000271F1" w:rsidRPr="00E32653">
        <w:rPr>
          <w:rFonts w:asciiTheme="majorBidi" w:hAnsiTheme="majorBidi" w:cstheme="majorBidi"/>
        </w:rPr>
        <w:t xml:space="preserve">bridge between LCI and LCA </w:t>
      </w:r>
      <w:r w:rsidR="006B0651" w:rsidRPr="00E32653">
        <w:rPr>
          <w:rFonts w:asciiTheme="majorBidi" w:hAnsiTheme="majorBidi" w:cstheme="majorBidi"/>
        </w:rPr>
        <w:t>results</w:t>
      </w:r>
      <w:r w:rsidR="000271F1" w:rsidRPr="00E32653">
        <w:rPr>
          <w:rFonts w:asciiTheme="majorBidi" w:hAnsiTheme="majorBidi" w:cstheme="majorBidi"/>
        </w:rPr>
        <w:t>.</w:t>
      </w:r>
      <w:r w:rsidR="00A92EB9" w:rsidRPr="00E32653">
        <w:rPr>
          <w:rFonts w:asciiTheme="majorBidi" w:hAnsiTheme="majorBidi" w:cstheme="majorBidi"/>
        </w:rPr>
        <w:t xml:space="preserve"> </w:t>
      </w:r>
      <w:r w:rsidR="000131AB" w:rsidRPr="00E32653">
        <w:rPr>
          <w:rFonts w:asciiTheme="majorBidi" w:hAnsiTheme="majorBidi" w:cstheme="majorBidi"/>
        </w:rPr>
        <w:t>Several LCIA methods have been proposed and applied to evaluate</w:t>
      </w:r>
      <w:r w:rsidR="00247D1E" w:rsidRPr="00E32653">
        <w:rPr>
          <w:rFonts w:asciiTheme="majorBidi" w:hAnsiTheme="majorBidi" w:cstheme="majorBidi"/>
        </w:rPr>
        <w:t xml:space="preserve"> products </w:t>
      </w:r>
      <w:r w:rsidR="000131AB" w:rsidRPr="00E32653">
        <w:rPr>
          <w:rFonts w:asciiTheme="majorBidi" w:hAnsiTheme="majorBidi" w:cstheme="majorBidi"/>
        </w:rPr>
        <w:t>under</w:t>
      </w:r>
      <w:r w:rsidR="00247D1E" w:rsidRPr="00E32653">
        <w:rPr>
          <w:rFonts w:asciiTheme="majorBidi" w:hAnsiTheme="majorBidi" w:cstheme="majorBidi"/>
        </w:rPr>
        <w:t xml:space="preserve"> different circumstance</w:t>
      </w:r>
      <w:r w:rsidR="000131AB" w:rsidRPr="00E32653">
        <w:rPr>
          <w:rFonts w:asciiTheme="majorBidi" w:hAnsiTheme="majorBidi" w:cstheme="majorBidi"/>
        </w:rPr>
        <w:t>s</w:t>
      </w:r>
      <w:r w:rsidR="00FD66B2" w:rsidRPr="00E32653">
        <w:rPr>
          <w:rFonts w:asciiTheme="majorBidi" w:hAnsiTheme="majorBidi" w:cstheme="majorBidi"/>
        </w:rPr>
        <w:t>. S</w:t>
      </w:r>
      <w:r w:rsidR="00247D1E" w:rsidRPr="00E32653">
        <w:rPr>
          <w:rFonts w:asciiTheme="majorBidi" w:hAnsiTheme="majorBidi" w:cstheme="majorBidi"/>
        </w:rPr>
        <w:t xml:space="preserve">ome only present a single issue or </w:t>
      </w:r>
      <w:r w:rsidR="00FD66B2" w:rsidRPr="00E32653">
        <w:rPr>
          <w:rFonts w:asciiTheme="majorBidi" w:hAnsiTheme="majorBidi" w:cstheme="majorBidi"/>
        </w:rPr>
        <w:t xml:space="preserve">address </w:t>
      </w:r>
      <w:r w:rsidR="00247D1E" w:rsidRPr="00E32653">
        <w:rPr>
          <w:rFonts w:asciiTheme="majorBidi" w:hAnsiTheme="majorBidi" w:cstheme="majorBidi"/>
        </w:rPr>
        <w:t xml:space="preserve">European </w:t>
      </w:r>
      <w:r w:rsidR="00FD66B2" w:rsidRPr="00E32653">
        <w:rPr>
          <w:rFonts w:asciiTheme="majorBidi" w:hAnsiTheme="majorBidi" w:cstheme="majorBidi"/>
        </w:rPr>
        <w:t>conditions</w:t>
      </w:r>
      <w:r w:rsidR="00247D1E" w:rsidRPr="00E32653">
        <w:rPr>
          <w:rFonts w:asciiTheme="majorBidi" w:hAnsiTheme="majorBidi" w:cstheme="majorBidi"/>
        </w:rPr>
        <w:t xml:space="preserve">. In this </w:t>
      </w:r>
      <w:r w:rsidR="00FD66B2" w:rsidRPr="00E32653">
        <w:rPr>
          <w:rFonts w:asciiTheme="majorBidi" w:hAnsiTheme="majorBidi" w:cstheme="majorBidi"/>
        </w:rPr>
        <w:t>study</w:t>
      </w:r>
      <w:r w:rsidR="00247D1E" w:rsidRPr="00E32653">
        <w:rPr>
          <w:rFonts w:asciiTheme="majorBidi" w:hAnsiTheme="majorBidi" w:cstheme="majorBidi"/>
        </w:rPr>
        <w:t>, environmental analysis was based on the LCA with the ReCiPe method</w:t>
      </w:r>
      <w:r w:rsidR="00FD66B2" w:rsidRPr="00E32653">
        <w:rPr>
          <w:rFonts w:asciiTheme="majorBidi" w:hAnsiTheme="majorBidi" w:cstheme="majorBidi"/>
        </w:rPr>
        <w:t xml:space="preserve">. This approach </w:t>
      </w:r>
      <w:r w:rsidR="000131AB" w:rsidRPr="00E32653">
        <w:rPr>
          <w:rFonts w:asciiTheme="majorBidi" w:hAnsiTheme="majorBidi" w:cstheme="majorBidi"/>
        </w:rPr>
        <w:t xml:space="preserve">is </w:t>
      </w:r>
      <w:r w:rsidR="00247D1E" w:rsidRPr="00E32653">
        <w:rPr>
          <w:rFonts w:asciiTheme="majorBidi" w:hAnsiTheme="majorBidi" w:cstheme="majorBidi"/>
        </w:rPr>
        <w:t>recognized global</w:t>
      </w:r>
      <w:r w:rsidR="00FD66B2" w:rsidRPr="00E32653">
        <w:rPr>
          <w:rFonts w:asciiTheme="majorBidi" w:hAnsiTheme="majorBidi" w:cstheme="majorBidi"/>
        </w:rPr>
        <w:t>ly</w:t>
      </w:r>
      <w:r w:rsidR="00247D1E" w:rsidRPr="00E32653">
        <w:rPr>
          <w:rFonts w:asciiTheme="majorBidi" w:hAnsiTheme="majorBidi" w:cstheme="majorBidi"/>
        </w:rPr>
        <w:t xml:space="preserve"> to </w:t>
      </w:r>
      <w:r w:rsidR="00FD66B2" w:rsidRPr="00E32653">
        <w:rPr>
          <w:rFonts w:asciiTheme="majorBidi" w:hAnsiTheme="majorBidi" w:cstheme="majorBidi"/>
        </w:rPr>
        <w:t xml:space="preserve">reflect </w:t>
      </w:r>
      <w:r w:rsidR="00247D1E" w:rsidRPr="00E32653">
        <w:rPr>
          <w:rFonts w:asciiTheme="majorBidi" w:hAnsiTheme="majorBidi" w:cstheme="majorBidi"/>
        </w:rPr>
        <w:t xml:space="preserve">the impact of the different </w:t>
      </w:r>
      <w:r w:rsidR="00007283" w:rsidRPr="00E32653">
        <w:rPr>
          <w:rFonts w:asciiTheme="majorBidi" w:hAnsiTheme="majorBidi" w:cstheme="majorBidi"/>
        </w:rPr>
        <w:t>mass timber</w:t>
      </w:r>
      <w:r w:rsidR="00FD66B2" w:rsidRPr="00E32653">
        <w:rPr>
          <w:rFonts w:asciiTheme="majorBidi" w:hAnsiTheme="majorBidi" w:cstheme="majorBidi"/>
        </w:rPr>
        <w:t xml:space="preserve"> products</w:t>
      </w:r>
      <w:r w:rsidR="00247D1E" w:rsidRPr="00E32653">
        <w:rPr>
          <w:rFonts w:asciiTheme="majorBidi" w:hAnsiTheme="majorBidi" w:cstheme="majorBidi"/>
        </w:rPr>
        <w:t xml:space="preserve">. </w:t>
      </w:r>
      <w:r w:rsidR="00A92EB9" w:rsidRPr="00E32653">
        <w:rPr>
          <w:rFonts w:asciiTheme="majorBidi" w:hAnsiTheme="majorBidi" w:cstheme="majorBidi"/>
        </w:rPr>
        <w:t xml:space="preserve">The LCIA estimated </w:t>
      </w:r>
      <w:r w:rsidR="000131AB" w:rsidRPr="00E32653">
        <w:rPr>
          <w:rFonts w:asciiTheme="majorBidi" w:hAnsiTheme="majorBidi" w:cstheme="majorBidi"/>
        </w:rPr>
        <w:t xml:space="preserve">the </w:t>
      </w:r>
      <w:r w:rsidR="00A92EB9" w:rsidRPr="00E32653">
        <w:rPr>
          <w:rFonts w:asciiTheme="majorBidi" w:hAnsiTheme="majorBidi" w:cstheme="majorBidi"/>
        </w:rPr>
        <w:t xml:space="preserve">impact of products </w:t>
      </w:r>
      <w:r w:rsidR="00FD66B2" w:rsidRPr="00E32653">
        <w:rPr>
          <w:rFonts w:asciiTheme="majorBidi" w:hAnsiTheme="majorBidi" w:cstheme="majorBidi"/>
        </w:rPr>
        <w:t>according to</w:t>
      </w:r>
      <w:r w:rsidR="00A92EB9" w:rsidRPr="00E32653">
        <w:rPr>
          <w:rFonts w:asciiTheme="majorBidi" w:hAnsiTheme="majorBidi" w:cstheme="majorBidi"/>
        </w:rPr>
        <w:t xml:space="preserve"> various indicators such as </w:t>
      </w:r>
      <w:r w:rsidR="00FD66B2" w:rsidRPr="00E32653">
        <w:rPr>
          <w:rFonts w:asciiTheme="majorBidi" w:hAnsiTheme="majorBidi" w:cstheme="majorBidi"/>
        </w:rPr>
        <w:t>G</w:t>
      </w:r>
      <w:r w:rsidR="00DA4595" w:rsidRPr="00E32653">
        <w:rPr>
          <w:rFonts w:asciiTheme="majorBidi" w:hAnsiTheme="majorBidi" w:cstheme="majorBidi"/>
        </w:rPr>
        <w:t>lo</w:t>
      </w:r>
      <w:r w:rsidR="00FD66B2" w:rsidRPr="00E32653">
        <w:rPr>
          <w:rFonts w:asciiTheme="majorBidi" w:hAnsiTheme="majorBidi" w:cstheme="majorBidi"/>
        </w:rPr>
        <w:t>bal Warming Potential (</w:t>
      </w:r>
      <w:r w:rsidR="00A92EB9" w:rsidRPr="00E32653">
        <w:rPr>
          <w:rFonts w:asciiTheme="majorBidi" w:hAnsiTheme="majorBidi" w:cstheme="majorBidi"/>
        </w:rPr>
        <w:t>GWP</w:t>
      </w:r>
      <w:r w:rsidR="00FD66B2" w:rsidRPr="00E32653">
        <w:rPr>
          <w:rFonts w:asciiTheme="majorBidi" w:hAnsiTheme="majorBidi" w:cstheme="majorBidi"/>
        </w:rPr>
        <w:t>)</w:t>
      </w:r>
      <w:r w:rsidR="00A92EB9" w:rsidRPr="00E32653">
        <w:rPr>
          <w:rFonts w:asciiTheme="majorBidi" w:hAnsiTheme="majorBidi" w:cstheme="majorBidi"/>
        </w:rPr>
        <w:t xml:space="preserve">, Human Carcinogenic Toxicity (HCT), Fossil Depletion Potential (FDP), Ozone Layer Depletion (OLD), Terrestrial Acidification (TA), and Land Use (LU). An equivalent coefficient for emissions and energy related to the LVL materials being used was obtained from the EPiC database </w:t>
      </w:r>
      <w:r w:rsidR="00A92EB9" w:rsidRPr="00E32653">
        <w:rPr>
          <w:rFonts w:asciiTheme="majorBidi" w:hAnsiTheme="majorBidi" w:cstheme="majorBidi"/>
        </w:rPr>
        <w:fldChar w:fldCharType="begin" w:fldLock="1"/>
      </w:r>
      <w:r w:rsidR="00A92EB9" w:rsidRPr="00E32653">
        <w:rPr>
          <w:rFonts w:asciiTheme="majorBidi" w:hAnsiTheme="majorBidi" w:cstheme="majorBidi"/>
        </w:rPr>
        <w:instrText>ADDIN CSL_CITATION {"citationItems":[{"id":"ITEM-1","itemData":{"abstract":"The Environmental Performance in Construction (EPiC) database is a free resource that contains embodied environmental flow coefficients for over 250 construction materials using a comprehensive hybrid life cycle inventory approach.","author":[{"dropping-particle":"","family":"Crawford","given":"Robert","non-dropping-particle":"","parse-names":false,"suffix":""},{"dropping-particle":"","family":"Stephan","given":"André","non-dropping-particle":"","parse-names":false,"suffix":""}],"id":"ITEM-1","issued":{"date-parts":[["2019"]]},"page":"268","title":"Environmental Performance in Construction","type":"article-journal"},"uris":["http://www.mendeley.com/documents/?uuid=fe89f9cf-d8d6-43f9-9f93-a9b13bb32240"]}],"mendeley":{"formattedCitation":"(Crawford &amp; Stephan, 2019)","plainTextFormattedCitation":"(Crawford &amp; Stephan, 2019)","previouslyFormattedCitation":"(Crawford &amp; Stephan, 2019)"},"properties":{"noteIndex":0},"schema":"https://github.com/citation-style-language/schema/raw/master/csl-citation.json"}</w:instrText>
      </w:r>
      <w:r w:rsidR="00A92EB9" w:rsidRPr="00E32653">
        <w:rPr>
          <w:rFonts w:asciiTheme="majorBidi" w:hAnsiTheme="majorBidi" w:cstheme="majorBidi"/>
        </w:rPr>
        <w:fldChar w:fldCharType="separate"/>
      </w:r>
      <w:r w:rsidR="00A92EB9" w:rsidRPr="00E32653">
        <w:rPr>
          <w:rFonts w:asciiTheme="majorBidi" w:hAnsiTheme="majorBidi" w:cstheme="majorBidi"/>
          <w:noProof/>
        </w:rPr>
        <w:t>(Crawford &amp; Stephan, 2019)</w:t>
      </w:r>
      <w:r w:rsidR="00A92EB9" w:rsidRPr="00E32653">
        <w:rPr>
          <w:rFonts w:asciiTheme="majorBidi" w:hAnsiTheme="majorBidi" w:cstheme="majorBidi"/>
        </w:rPr>
        <w:fldChar w:fldCharType="end"/>
      </w:r>
      <w:r w:rsidR="00A92EB9" w:rsidRPr="00E32653">
        <w:rPr>
          <w:rFonts w:asciiTheme="majorBidi" w:hAnsiTheme="majorBidi" w:cstheme="majorBidi"/>
        </w:rPr>
        <w:t xml:space="preserve">. </w:t>
      </w:r>
    </w:p>
    <w:p w14:paraId="6875D5A8" w14:textId="7684D306" w:rsidR="00A92EB9" w:rsidRPr="00E32653" w:rsidRDefault="00A92EB9" w:rsidP="000131AB">
      <w:pPr>
        <w:spacing w:line="276" w:lineRule="auto"/>
        <w:ind w:firstLine="720"/>
        <w:jc w:val="both"/>
        <w:rPr>
          <w:rFonts w:asciiTheme="majorBidi" w:hAnsiTheme="majorBidi" w:cstheme="majorBidi"/>
        </w:rPr>
      </w:pPr>
      <w:r w:rsidRPr="00E32653">
        <w:rPr>
          <w:rFonts w:asciiTheme="majorBidi" w:hAnsiTheme="majorBidi" w:cstheme="majorBidi"/>
        </w:rPr>
        <w:t>The other impact category calculated by differ</w:t>
      </w:r>
      <w:r w:rsidR="000131AB" w:rsidRPr="00E32653">
        <w:rPr>
          <w:rFonts w:asciiTheme="majorBidi" w:hAnsiTheme="majorBidi" w:cstheme="majorBidi"/>
        </w:rPr>
        <w:t>en</w:t>
      </w:r>
      <w:r w:rsidRPr="00E32653">
        <w:rPr>
          <w:rFonts w:asciiTheme="majorBidi" w:hAnsiTheme="majorBidi" w:cstheme="majorBidi"/>
        </w:rPr>
        <w:t>t LCIA method</w:t>
      </w:r>
      <w:r w:rsidR="000131AB" w:rsidRPr="00E32653">
        <w:rPr>
          <w:rFonts w:asciiTheme="majorBidi" w:hAnsiTheme="majorBidi" w:cstheme="majorBidi"/>
        </w:rPr>
        <w:t>s</w:t>
      </w:r>
      <w:r w:rsidR="00FD66B2" w:rsidRPr="00E32653">
        <w:rPr>
          <w:rFonts w:asciiTheme="majorBidi" w:hAnsiTheme="majorBidi" w:cstheme="majorBidi"/>
        </w:rPr>
        <w:t xml:space="preserve"> is embodied energy</w:t>
      </w:r>
      <w:r w:rsidRPr="00E32653">
        <w:rPr>
          <w:rFonts w:asciiTheme="majorBidi" w:hAnsiTheme="majorBidi" w:cstheme="majorBidi"/>
        </w:rPr>
        <w:t>. Embodied energy</w:t>
      </w:r>
      <w:r w:rsidRPr="00E32653">
        <w:rPr>
          <w:rFonts w:asciiTheme="majorBidi" w:hAnsiTheme="majorBidi" w:cstheme="majorBidi"/>
          <w:shd w:val="clear" w:color="auto" w:fill="FFFFFF"/>
        </w:rPr>
        <w:t xml:space="preserve"> is measured as the quantity of non-renewable energy per unit of a building material, component or system. </w:t>
      </w:r>
      <w:r w:rsidRPr="00E32653">
        <w:rPr>
          <w:rFonts w:asciiTheme="majorBidi" w:hAnsiTheme="majorBidi" w:cstheme="majorBidi"/>
        </w:rPr>
        <w:t>Embodied energy values have been calculated using the LCIA Cumulative Energy Demand method version 1.04.</w:t>
      </w:r>
      <w:r w:rsidRPr="00E32653">
        <w:rPr>
          <w:rFonts w:asciiTheme="majorBidi" w:hAnsiTheme="majorBidi" w:cstheme="majorBidi"/>
          <w:shd w:val="clear" w:color="auto" w:fill="FFFFFF"/>
        </w:rPr>
        <w:t xml:space="preserve"> </w:t>
      </w:r>
      <w:r w:rsidR="00FD66B2" w:rsidRPr="00E32653">
        <w:rPr>
          <w:rFonts w:asciiTheme="majorBidi" w:hAnsiTheme="majorBidi" w:cstheme="majorBidi"/>
          <w:shd w:val="clear" w:color="auto" w:fill="FFFFFF"/>
        </w:rPr>
        <w:t>E</w:t>
      </w:r>
      <w:r w:rsidRPr="00E32653">
        <w:rPr>
          <w:rFonts w:asciiTheme="majorBidi" w:hAnsiTheme="majorBidi" w:cstheme="majorBidi"/>
          <w:shd w:val="clear" w:color="auto" w:fill="FFFFFF"/>
        </w:rPr>
        <w:t>mbodied energy is expressed in megaj</w:t>
      </w:r>
      <w:r w:rsidR="00A25EEA" w:rsidRPr="00E32653">
        <w:rPr>
          <w:rFonts w:asciiTheme="majorBidi" w:hAnsiTheme="majorBidi" w:cstheme="majorBidi"/>
          <w:shd w:val="clear" w:color="auto" w:fill="FFFFFF"/>
        </w:rPr>
        <w:t>oules (MJ) per unit of weight (K</w:t>
      </w:r>
      <w:r w:rsidRPr="00E32653">
        <w:rPr>
          <w:rFonts w:asciiTheme="majorBidi" w:hAnsiTheme="majorBidi" w:cstheme="majorBidi"/>
          <w:shd w:val="clear" w:color="auto" w:fill="FFFFFF"/>
        </w:rPr>
        <w:t xml:space="preserve">g or tonne). </w:t>
      </w:r>
      <w:r w:rsidR="002C3EB2" w:rsidRPr="00E32653">
        <w:rPr>
          <w:rFonts w:asciiTheme="majorBidi" w:hAnsiTheme="majorBidi" w:cstheme="majorBidi"/>
        </w:rPr>
        <w:t>The environment</w:t>
      </w:r>
      <w:r w:rsidR="006F69E5" w:rsidRPr="00E32653">
        <w:rPr>
          <w:rFonts w:asciiTheme="majorBidi" w:hAnsiTheme="majorBidi" w:cstheme="majorBidi"/>
        </w:rPr>
        <w:t>al</w:t>
      </w:r>
      <w:r w:rsidR="002C3EB2" w:rsidRPr="00E32653">
        <w:rPr>
          <w:rFonts w:asciiTheme="majorBidi" w:hAnsiTheme="majorBidi" w:cstheme="majorBidi"/>
        </w:rPr>
        <w:t xml:space="preserve"> indicator </w:t>
      </w:r>
      <w:r w:rsidR="006F69E5" w:rsidRPr="00E32653">
        <w:rPr>
          <w:rFonts w:asciiTheme="majorBidi" w:hAnsiTheme="majorBidi" w:cstheme="majorBidi"/>
        </w:rPr>
        <w:t xml:space="preserve">of </w:t>
      </w:r>
      <w:r w:rsidR="002C3EB2" w:rsidRPr="00E32653">
        <w:rPr>
          <w:rFonts w:asciiTheme="majorBidi" w:hAnsiTheme="majorBidi" w:cstheme="majorBidi"/>
        </w:rPr>
        <w:t xml:space="preserve">the energy consumed for </w:t>
      </w:r>
      <w:r w:rsidR="00CB485C" w:rsidRPr="00E32653">
        <w:rPr>
          <w:rFonts w:asciiTheme="majorBidi" w:hAnsiTheme="majorBidi" w:cstheme="majorBidi"/>
        </w:rPr>
        <w:t xml:space="preserve">the </w:t>
      </w:r>
      <w:r w:rsidR="002C3EB2" w:rsidRPr="00E32653">
        <w:rPr>
          <w:rFonts w:asciiTheme="majorBidi" w:hAnsiTheme="majorBidi" w:cstheme="majorBidi"/>
        </w:rPr>
        <w:t xml:space="preserve">total life cycle of </w:t>
      </w:r>
      <w:r w:rsidR="006F69E5" w:rsidRPr="00E32653">
        <w:rPr>
          <w:rFonts w:asciiTheme="majorBidi" w:hAnsiTheme="majorBidi" w:cstheme="majorBidi"/>
        </w:rPr>
        <w:t xml:space="preserve">a </w:t>
      </w:r>
      <w:r w:rsidR="002C3EB2" w:rsidRPr="00E32653">
        <w:rPr>
          <w:rFonts w:asciiTheme="majorBidi" w:hAnsiTheme="majorBidi" w:cstheme="majorBidi"/>
        </w:rPr>
        <w:t xml:space="preserve">product </w:t>
      </w:r>
      <w:r w:rsidR="006F69E5" w:rsidRPr="00E32653">
        <w:rPr>
          <w:rFonts w:asciiTheme="majorBidi" w:hAnsiTheme="majorBidi" w:cstheme="majorBidi"/>
        </w:rPr>
        <w:t>is embodied energy. It needs to be quantified</w:t>
      </w:r>
      <w:r w:rsidR="002C3EB2" w:rsidRPr="00E32653">
        <w:rPr>
          <w:rFonts w:asciiTheme="majorBidi" w:hAnsiTheme="majorBidi" w:cstheme="majorBidi"/>
        </w:rPr>
        <w:t xml:space="preserve"> </w:t>
      </w:r>
      <w:r w:rsidR="006F69E5" w:rsidRPr="00E32653">
        <w:rPr>
          <w:rFonts w:asciiTheme="majorBidi" w:hAnsiTheme="majorBidi" w:cstheme="majorBidi"/>
        </w:rPr>
        <w:t>and</w:t>
      </w:r>
      <w:r w:rsidR="002C3EB2" w:rsidRPr="00E32653">
        <w:rPr>
          <w:rFonts w:asciiTheme="majorBidi" w:hAnsiTheme="majorBidi" w:cstheme="majorBidi"/>
        </w:rPr>
        <w:t xml:space="preserve"> incor</w:t>
      </w:r>
      <w:r w:rsidR="00813BB1" w:rsidRPr="00E32653">
        <w:rPr>
          <w:rFonts w:asciiTheme="majorBidi" w:hAnsiTheme="majorBidi" w:cstheme="majorBidi"/>
        </w:rPr>
        <w:t>porated in</w:t>
      </w:r>
      <w:r w:rsidR="006F69E5" w:rsidRPr="00E32653">
        <w:rPr>
          <w:rFonts w:asciiTheme="majorBidi" w:hAnsiTheme="majorBidi" w:cstheme="majorBidi"/>
        </w:rPr>
        <w:t xml:space="preserve"> energy measure</w:t>
      </w:r>
      <w:r w:rsidR="009D6DDD" w:rsidRPr="00E32653">
        <w:rPr>
          <w:rFonts w:asciiTheme="majorBidi" w:hAnsiTheme="majorBidi" w:cstheme="majorBidi"/>
        </w:rPr>
        <w:t>ment</w:t>
      </w:r>
      <w:r w:rsidR="006F69E5" w:rsidRPr="00E32653">
        <w:rPr>
          <w:rFonts w:asciiTheme="majorBidi" w:hAnsiTheme="majorBidi" w:cstheme="majorBidi"/>
        </w:rPr>
        <w:t>s of</w:t>
      </w:r>
      <w:r w:rsidR="00813BB1" w:rsidRPr="00E32653">
        <w:rPr>
          <w:rFonts w:asciiTheme="majorBidi" w:hAnsiTheme="majorBidi" w:cstheme="majorBidi"/>
        </w:rPr>
        <w:t xml:space="preserve"> the material itself. </w:t>
      </w:r>
      <w:r w:rsidR="00AA670C" w:rsidRPr="00E32653">
        <w:rPr>
          <w:rFonts w:asciiTheme="majorBidi" w:hAnsiTheme="majorBidi" w:cstheme="majorBidi"/>
        </w:rPr>
        <w:t xml:space="preserve">The determination of embodied energy (energy used for </w:t>
      </w:r>
      <w:r w:rsidRPr="00E32653">
        <w:rPr>
          <w:rFonts w:asciiTheme="majorBidi" w:hAnsiTheme="majorBidi" w:cstheme="majorBidi"/>
        </w:rPr>
        <w:t>manufacturing the</w:t>
      </w:r>
      <w:r w:rsidR="00AA670C" w:rsidRPr="00E32653">
        <w:rPr>
          <w:rFonts w:asciiTheme="majorBidi" w:hAnsiTheme="majorBidi" w:cstheme="majorBidi"/>
        </w:rPr>
        <w:t xml:space="preserve"> materials, transporti</w:t>
      </w:r>
      <w:r w:rsidR="006F69E5" w:rsidRPr="00E32653">
        <w:rPr>
          <w:rFonts w:asciiTheme="majorBidi" w:hAnsiTheme="majorBidi" w:cstheme="majorBidi"/>
        </w:rPr>
        <w:t>ng</w:t>
      </w:r>
      <w:r w:rsidR="00AA670C" w:rsidRPr="00E32653">
        <w:rPr>
          <w:rFonts w:asciiTheme="majorBidi" w:hAnsiTheme="majorBidi" w:cstheme="majorBidi"/>
        </w:rPr>
        <w:t xml:space="preserve"> </w:t>
      </w:r>
      <w:r w:rsidR="006F69E5" w:rsidRPr="00E32653">
        <w:rPr>
          <w:rFonts w:asciiTheme="majorBidi" w:hAnsiTheme="majorBidi" w:cstheme="majorBidi"/>
        </w:rPr>
        <w:t>them to site, incorporating them in</w:t>
      </w:r>
      <w:r w:rsidR="00AA670C" w:rsidRPr="00E32653">
        <w:rPr>
          <w:rFonts w:asciiTheme="majorBidi" w:hAnsiTheme="majorBidi" w:cstheme="majorBidi"/>
        </w:rPr>
        <w:t xml:space="preserve"> a building, maint</w:t>
      </w:r>
      <w:r w:rsidR="006F69E5" w:rsidRPr="00E32653">
        <w:rPr>
          <w:rFonts w:asciiTheme="majorBidi" w:hAnsiTheme="majorBidi" w:cstheme="majorBidi"/>
        </w:rPr>
        <w:t>ai</w:t>
      </w:r>
      <w:r w:rsidR="00AA670C" w:rsidRPr="00E32653">
        <w:rPr>
          <w:rFonts w:asciiTheme="majorBidi" w:hAnsiTheme="majorBidi" w:cstheme="majorBidi"/>
        </w:rPr>
        <w:t>n</w:t>
      </w:r>
      <w:r w:rsidR="006F69E5" w:rsidRPr="00E32653">
        <w:rPr>
          <w:rFonts w:asciiTheme="majorBidi" w:hAnsiTheme="majorBidi" w:cstheme="majorBidi"/>
        </w:rPr>
        <w:t xml:space="preserve">ing buildings as well as eventual </w:t>
      </w:r>
      <w:r w:rsidR="00AA670C" w:rsidRPr="00E32653">
        <w:rPr>
          <w:rFonts w:asciiTheme="majorBidi" w:hAnsiTheme="majorBidi" w:cstheme="majorBidi"/>
        </w:rPr>
        <w:t>demolition or</w:t>
      </w:r>
      <w:r w:rsidR="006F69E5" w:rsidRPr="00E32653">
        <w:rPr>
          <w:rFonts w:asciiTheme="majorBidi" w:hAnsiTheme="majorBidi" w:cstheme="majorBidi"/>
        </w:rPr>
        <w:t xml:space="preserve"> de-</w:t>
      </w:r>
      <w:r w:rsidR="00AA670C" w:rsidRPr="00E32653">
        <w:rPr>
          <w:rFonts w:asciiTheme="majorBidi" w:hAnsiTheme="majorBidi" w:cstheme="majorBidi"/>
        </w:rPr>
        <w:t xml:space="preserve">construction) is complicated. </w:t>
      </w:r>
      <w:r w:rsidR="002C3EB2" w:rsidRPr="00E32653">
        <w:rPr>
          <w:rFonts w:asciiTheme="majorBidi" w:hAnsiTheme="majorBidi" w:cstheme="majorBidi"/>
        </w:rPr>
        <w:t>It includes non-renewable primary energy and excludes the renewable energy consumed for production and construction</w:t>
      </w:r>
      <w:r w:rsidR="00B10CA6" w:rsidRPr="00E32653">
        <w:rPr>
          <w:rFonts w:asciiTheme="majorBidi" w:hAnsiTheme="majorBidi" w:cstheme="majorBidi"/>
        </w:rPr>
        <w:t xml:space="preserve"> </w:t>
      </w:r>
      <w:r w:rsidR="00B10CA6" w:rsidRPr="00E32653">
        <w:rPr>
          <w:rFonts w:asciiTheme="majorBidi" w:hAnsiTheme="majorBidi" w:cstheme="majorBidi"/>
        </w:rPr>
        <w:fldChar w:fldCharType="begin" w:fldLock="1"/>
      </w:r>
      <w:r w:rsidR="00432928" w:rsidRPr="00E32653">
        <w:rPr>
          <w:rFonts w:asciiTheme="majorBidi" w:hAnsiTheme="majorBidi" w:cstheme="majorBidi"/>
        </w:rPr>
        <w:instrText>ADDIN CSL_CITATION {"citationItems":[{"id":"ITEM-1","itemData":{"DOI":"10.1016/j.energy.2006.03.013","ISSN":"03605442","abstract":"Biofuels are expected to play an increasingly important role in the transportation market, as we search for ways to reduce fossil fuels depletion and emissions. However, the extent to which biofuel can displace petroleum-based fuels depends on the efficiency with which it can be produced. To demonstrate that biofuel has a positive energy balance-i.e. more energy is contained in the fuel than is used in the production-a life-cycle approach must be employed. This paper presents a Life-Cycle Energy Analysis of bioethanol (from sugar beet or wheat) and bioETBE systems in France. Physical and economic data was collected. A systemic description was implemented and the energy used throughout was calculated. A novel indicator aiming at characterizing the renewability of (bio)energy sources is proposed-the energy renewability efficiency (ERenEf). ERenEf measures the fraction of final fuel energy obtained from renewable sources. Inventory results-calculated using four different allocation approaches and ignoring co-product credits-are analyzed in order to understand the effect of allocation in the energy efficiency and renewability results. Sensitivity analysis shows that allocation has a major influence in the results. This research concludes that bioethanol produced in France is clearly favorable in terms of primary energy. A maximum ERenEf value of 48% was obtained for wheat-based ethanol (mass allocation), meaning that 48% of the biofuel energy content is indeed renewable energy. Fossil energy savings when gasoline is displaced by bioethanol, bioETBE or E5 are calculated. In particular, pure bioethanol may save up to 0.70 MJ, depending on whether wheat or sugar beet is used and on the allocation procedure adopted. © 2006.","author":[{"dropping-particle":"","family":"Malça","given":"João","non-dropping-particle":"","parse-names":false,"suffix":""},{"dropping-particle":"","family":"Freire","given":"Fausto","non-dropping-particle":"","parse-names":false,"suffix":""}],"container-title":"Energy","id":"ITEM-1","issue":"15","issued":{"date-parts":[["2006"]]},"page":"3362-3380","title":"Renewability and life-cycle energy efficiency of bioethanol and bio-ethyl tertiary butyl ether (bioETBE): Assessing the implications of allocation","type":"article-journal","volume":"31"},"uris":["http://www.mendeley.com/documents/?uuid=a65cafa6-9ef2-4fda-8fe8-d4cb61b12418"]}],"mendeley":{"formattedCitation":"(Malça &amp; Freire, 2006)","plainTextFormattedCitation":"(Malça &amp; Freire, 2006)","previouslyFormattedCitation":"(Malça &amp; Freire, 2006)"},"properties":{"noteIndex":0},"schema":"https://github.com/citation-style-language/schema/raw/master/csl-citation.json"}</w:instrText>
      </w:r>
      <w:r w:rsidR="00B10CA6" w:rsidRPr="00E32653">
        <w:rPr>
          <w:rFonts w:asciiTheme="majorBidi" w:hAnsiTheme="majorBidi" w:cstheme="majorBidi"/>
        </w:rPr>
        <w:fldChar w:fldCharType="separate"/>
      </w:r>
      <w:r w:rsidR="00B10CA6" w:rsidRPr="00E32653">
        <w:rPr>
          <w:rFonts w:asciiTheme="majorBidi" w:hAnsiTheme="majorBidi" w:cstheme="majorBidi"/>
          <w:noProof/>
        </w:rPr>
        <w:t>(Malça &amp; Freire, 2006)</w:t>
      </w:r>
      <w:r w:rsidR="00B10CA6" w:rsidRPr="00E32653">
        <w:rPr>
          <w:rFonts w:asciiTheme="majorBidi" w:hAnsiTheme="majorBidi" w:cstheme="majorBidi"/>
        </w:rPr>
        <w:fldChar w:fldCharType="end"/>
      </w:r>
      <w:r w:rsidR="00030460" w:rsidRPr="00E32653">
        <w:rPr>
          <w:rFonts w:asciiTheme="majorBidi" w:hAnsiTheme="majorBidi" w:cstheme="majorBidi"/>
        </w:rPr>
        <w:t xml:space="preserve">. </w:t>
      </w:r>
      <w:r w:rsidR="00640BE1" w:rsidRPr="00E32653">
        <w:rPr>
          <w:rFonts w:asciiTheme="majorBidi" w:hAnsiTheme="majorBidi" w:cstheme="majorBidi"/>
          <w:shd w:val="clear" w:color="auto" w:fill="FFFFFF"/>
        </w:rPr>
        <w:t>A</w:t>
      </w:r>
      <w:r w:rsidR="0035233D" w:rsidRPr="00E32653">
        <w:rPr>
          <w:rFonts w:asciiTheme="majorBidi" w:hAnsiTheme="majorBidi" w:cstheme="majorBidi"/>
          <w:shd w:val="clear" w:color="auto" w:fill="FFFFFF"/>
        </w:rPr>
        <w:t xml:space="preserve"> building</w:t>
      </w:r>
      <w:r w:rsidR="000131AB" w:rsidRPr="00E32653">
        <w:rPr>
          <w:rFonts w:asciiTheme="majorBidi" w:hAnsiTheme="majorBidi" w:cstheme="majorBidi"/>
          <w:shd w:val="clear" w:color="auto" w:fill="FFFFFF"/>
        </w:rPr>
        <w:t>'</w:t>
      </w:r>
      <w:r w:rsidR="0035233D" w:rsidRPr="00E32653">
        <w:rPr>
          <w:rFonts w:asciiTheme="majorBidi" w:hAnsiTheme="majorBidi" w:cstheme="majorBidi"/>
          <w:shd w:val="clear" w:color="auto" w:fill="FFFFFF"/>
        </w:rPr>
        <w:t xml:space="preserve">s </w:t>
      </w:r>
      <w:r w:rsidR="00A80AE1" w:rsidRPr="00E32653">
        <w:rPr>
          <w:rFonts w:asciiTheme="majorBidi" w:hAnsiTheme="majorBidi" w:cstheme="majorBidi"/>
          <w:shd w:val="clear" w:color="auto" w:fill="FFFFFF"/>
        </w:rPr>
        <w:t xml:space="preserve">energy for heating and cooling and </w:t>
      </w:r>
      <w:r w:rsidR="006C6106" w:rsidRPr="00E32653">
        <w:rPr>
          <w:rFonts w:asciiTheme="majorBidi" w:hAnsiTheme="majorBidi" w:cstheme="majorBidi"/>
          <w:shd w:val="clear" w:color="auto" w:fill="FFFFFF"/>
        </w:rPr>
        <w:t xml:space="preserve">for </w:t>
      </w:r>
      <w:r w:rsidR="00A80AE1" w:rsidRPr="00E32653">
        <w:rPr>
          <w:rFonts w:asciiTheme="majorBidi" w:hAnsiTheme="majorBidi" w:cstheme="majorBidi"/>
          <w:shd w:val="clear" w:color="auto" w:fill="FFFFFF"/>
        </w:rPr>
        <w:t>lighting should be excluded from the measurement of the product</w:t>
      </w:r>
      <w:r w:rsidR="000131AB" w:rsidRPr="00E32653">
        <w:rPr>
          <w:rFonts w:asciiTheme="majorBidi" w:hAnsiTheme="majorBidi" w:cstheme="majorBidi"/>
          <w:shd w:val="clear" w:color="auto" w:fill="FFFFFF"/>
        </w:rPr>
        <w:t>'</w:t>
      </w:r>
      <w:r w:rsidR="00A80AE1" w:rsidRPr="00E32653">
        <w:rPr>
          <w:rFonts w:asciiTheme="majorBidi" w:hAnsiTheme="majorBidi" w:cstheme="majorBidi"/>
          <w:shd w:val="clear" w:color="auto" w:fill="FFFFFF"/>
        </w:rPr>
        <w:t>s embodied energy</w:t>
      </w:r>
      <w:r w:rsidR="00877B49" w:rsidRPr="00E32653">
        <w:rPr>
          <w:rFonts w:asciiTheme="majorBidi" w:hAnsiTheme="majorBidi" w:cstheme="majorBidi"/>
          <w:shd w:val="clear" w:color="auto" w:fill="FFFFFF"/>
        </w:rPr>
        <w:t>.</w:t>
      </w:r>
      <w:r w:rsidR="00813BB1" w:rsidRPr="00E32653">
        <w:rPr>
          <w:rFonts w:asciiTheme="majorBidi" w:hAnsiTheme="majorBidi" w:cstheme="majorBidi"/>
        </w:rPr>
        <w:t xml:space="preserve"> </w:t>
      </w:r>
    </w:p>
    <w:p w14:paraId="0128C070" w14:textId="0C9B25EA" w:rsidR="00645D2D" w:rsidRPr="00E32653" w:rsidRDefault="00F2485C" w:rsidP="005D3A30">
      <w:pPr>
        <w:ind w:firstLine="720"/>
        <w:jc w:val="both"/>
        <w:rPr>
          <w:rFonts w:asciiTheme="majorBidi" w:hAnsiTheme="majorBidi" w:cstheme="majorBidi"/>
        </w:rPr>
      </w:pPr>
      <w:r w:rsidRPr="00E32653">
        <w:rPr>
          <w:rFonts w:asciiTheme="majorBidi" w:hAnsiTheme="majorBidi" w:cstheme="majorBidi"/>
        </w:rPr>
        <w:t>I</w:t>
      </w:r>
      <w:r w:rsidR="00247994" w:rsidRPr="00E32653">
        <w:rPr>
          <w:rFonts w:asciiTheme="majorBidi" w:hAnsiTheme="majorBidi" w:cstheme="majorBidi"/>
        </w:rPr>
        <w:t xml:space="preserve">ncineration </w:t>
      </w:r>
      <w:r w:rsidRPr="00E32653">
        <w:rPr>
          <w:rFonts w:asciiTheme="majorBidi" w:hAnsiTheme="majorBidi" w:cstheme="majorBidi"/>
        </w:rPr>
        <w:t xml:space="preserve">and recycling </w:t>
      </w:r>
      <w:r w:rsidR="00247994" w:rsidRPr="00E32653">
        <w:rPr>
          <w:rFonts w:asciiTheme="majorBidi" w:hAnsiTheme="majorBidi" w:cstheme="majorBidi"/>
        </w:rPr>
        <w:t xml:space="preserve">of </w:t>
      </w:r>
      <w:r w:rsidR="009512DC" w:rsidRPr="00E32653">
        <w:rPr>
          <w:rFonts w:asciiTheme="majorBidi" w:hAnsiTheme="majorBidi" w:cstheme="majorBidi"/>
        </w:rPr>
        <w:t>LVL</w:t>
      </w:r>
      <w:r w:rsidR="004E7270" w:rsidRPr="00E32653">
        <w:rPr>
          <w:rFonts w:asciiTheme="majorBidi" w:hAnsiTheme="majorBidi" w:cstheme="majorBidi"/>
        </w:rPr>
        <w:t xml:space="preserve"> products can have posi</w:t>
      </w:r>
      <w:r w:rsidR="00247994" w:rsidRPr="00E32653">
        <w:rPr>
          <w:rFonts w:asciiTheme="majorBidi" w:hAnsiTheme="majorBidi" w:cstheme="majorBidi"/>
        </w:rPr>
        <w:t xml:space="preserve">tive impacts on </w:t>
      </w:r>
      <w:r w:rsidR="00640BE1" w:rsidRPr="00E32653">
        <w:rPr>
          <w:rFonts w:asciiTheme="majorBidi" w:hAnsiTheme="majorBidi" w:cstheme="majorBidi"/>
        </w:rPr>
        <w:t xml:space="preserve">the </w:t>
      </w:r>
      <w:r w:rsidRPr="00E32653">
        <w:rPr>
          <w:rFonts w:asciiTheme="majorBidi" w:hAnsiTheme="majorBidi" w:cstheme="majorBidi"/>
        </w:rPr>
        <w:t>environment</w:t>
      </w:r>
      <w:r w:rsidR="00640BE1" w:rsidRPr="00E32653">
        <w:rPr>
          <w:rFonts w:asciiTheme="majorBidi" w:hAnsiTheme="majorBidi" w:cstheme="majorBidi"/>
        </w:rPr>
        <w:t xml:space="preserve"> (</w:t>
      </w:r>
      <w:r w:rsidR="00F94A27" w:rsidRPr="00E32653">
        <w:rPr>
          <w:rFonts w:asciiTheme="majorBidi" w:hAnsiTheme="majorBidi" w:cstheme="majorBidi"/>
        </w:rPr>
        <w:t>such as GWP</w:t>
      </w:r>
      <w:r w:rsidR="00640BE1" w:rsidRPr="00E32653">
        <w:rPr>
          <w:rFonts w:asciiTheme="majorBidi" w:hAnsiTheme="majorBidi" w:cstheme="majorBidi"/>
        </w:rPr>
        <w:t>)</w:t>
      </w:r>
      <w:r w:rsidR="00247994" w:rsidRPr="00E32653">
        <w:rPr>
          <w:rFonts w:asciiTheme="majorBidi" w:hAnsiTheme="majorBidi" w:cstheme="majorBidi"/>
        </w:rPr>
        <w:t xml:space="preserve"> and are there</w:t>
      </w:r>
      <w:r w:rsidR="00640BE1" w:rsidRPr="00E32653">
        <w:rPr>
          <w:rFonts w:asciiTheme="majorBidi" w:hAnsiTheme="majorBidi" w:cstheme="majorBidi"/>
        </w:rPr>
        <w:t>fore</w:t>
      </w:r>
      <w:r w:rsidR="00247994" w:rsidRPr="00E32653">
        <w:rPr>
          <w:rFonts w:asciiTheme="majorBidi" w:hAnsiTheme="majorBidi" w:cstheme="majorBidi"/>
        </w:rPr>
        <w:t xml:space="preserve"> considered in this study.</w:t>
      </w:r>
      <w:r w:rsidR="00813BB1" w:rsidRPr="00E32653">
        <w:rPr>
          <w:rFonts w:asciiTheme="majorBidi" w:hAnsiTheme="majorBidi" w:cstheme="majorBidi"/>
          <w:b/>
          <w:bCs/>
        </w:rPr>
        <w:t xml:space="preserve"> </w:t>
      </w:r>
      <w:r w:rsidR="002D44DE" w:rsidRPr="00E32653">
        <w:rPr>
          <w:rFonts w:asciiTheme="majorBidi" w:hAnsiTheme="majorBidi" w:cstheme="majorBidi"/>
        </w:rPr>
        <w:t xml:space="preserve">According </w:t>
      </w:r>
      <w:r w:rsidR="002D44DE" w:rsidRPr="00E32653">
        <w:rPr>
          <w:rFonts w:asciiTheme="majorBidi" w:hAnsiTheme="majorBidi" w:cstheme="majorBidi"/>
          <w:shd w:val="clear" w:color="auto" w:fill="FFFFFF"/>
        </w:rPr>
        <w:t>to</w:t>
      </w:r>
      <w:r w:rsidR="00733166" w:rsidRPr="00E32653">
        <w:rPr>
          <w:rFonts w:asciiTheme="majorBidi" w:hAnsiTheme="majorBidi" w:cstheme="majorBidi"/>
          <w:shd w:val="clear" w:color="auto" w:fill="FFFFFF"/>
        </w:rPr>
        <w:t xml:space="preserve"> </w:t>
      </w:r>
      <w:r w:rsidR="00733166" w:rsidRPr="00E32653">
        <w:rPr>
          <w:rFonts w:asciiTheme="majorBidi" w:hAnsiTheme="majorBidi" w:cstheme="majorBidi"/>
        </w:rPr>
        <w:t xml:space="preserve">Zhang, </w:t>
      </w:r>
      <w:r w:rsidR="00E9583A" w:rsidRPr="00E32653">
        <w:rPr>
          <w:rFonts w:asciiTheme="majorBidi" w:hAnsiTheme="majorBidi" w:cstheme="majorBidi"/>
        </w:rPr>
        <w:t>(</w:t>
      </w:r>
      <w:r w:rsidR="00733166" w:rsidRPr="00E32653">
        <w:rPr>
          <w:rFonts w:asciiTheme="majorBidi" w:hAnsiTheme="majorBidi" w:cstheme="majorBidi"/>
        </w:rPr>
        <w:t>X. 2014)</w:t>
      </w:r>
      <w:r w:rsidR="00A80AE1" w:rsidRPr="00E32653">
        <w:rPr>
          <w:rFonts w:asciiTheme="majorBidi" w:hAnsiTheme="majorBidi" w:cstheme="majorBidi"/>
          <w:shd w:val="clear" w:color="auto" w:fill="FFFFFF"/>
        </w:rPr>
        <w:t xml:space="preserve">, </w:t>
      </w:r>
      <w:r w:rsidR="002D44DE" w:rsidRPr="00E32653">
        <w:rPr>
          <w:rFonts w:asciiTheme="majorBidi" w:hAnsiTheme="majorBidi" w:cstheme="majorBidi"/>
          <w:shd w:val="clear" w:color="auto" w:fill="FFFFFF"/>
        </w:rPr>
        <w:t>energy</w:t>
      </w:r>
      <w:r w:rsidR="002D44DE" w:rsidRPr="00E32653">
        <w:rPr>
          <w:rFonts w:asciiTheme="majorBidi" w:hAnsiTheme="majorBidi" w:cstheme="majorBidi"/>
        </w:rPr>
        <w:t xml:space="preserve"> for demolition of a building can be assumed </w:t>
      </w:r>
      <w:r w:rsidR="00A80AE1" w:rsidRPr="00E32653">
        <w:rPr>
          <w:rFonts w:asciiTheme="majorBidi" w:hAnsiTheme="majorBidi" w:cstheme="majorBidi"/>
        </w:rPr>
        <w:t xml:space="preserve">as </w:t>
      </w:r>
      <w:r w:rsidR="002D44DE" w:rsidRPr="00E32653">
        <w:rPr>
          <w:rFonts w:asciiTheme="majorBidi" w:hAnsiTheme="majorBidi" w:cstheme="majorBidi"/>
        </w:rPr>
        <w:t xml:space="preserve">90% of the energy required in </w:t>
      </w:r>
      <w:r w:rsidR="00640BE1" w:rsidRPr="00E32653">
        <w:rPr>
          <w:rFonts w:asciiTheme="majorBidi" w:hAnsiTheme="majorBidi" w:cstheme="majorBidi"/>
        </w:rPr>
        <w:t xml:space="preserve">its </w:t>
      </w:r>
      <w:r w:rsidR="002D44DE" w:rsidRPr="00E32653">
        <w:rPr>
          <w:rFonts w:asciiTheme="majorBidi" w:hAnsiTheme="majorBidi" w:cstheme="majorBidi"/>
        </w:rPr>
        <w:t>erection</w:t>
      </w:r>
      <w:r w:rsidR="007D0457" w:rsidRPr="00E32653">
        <w:rPr>
          <w:rFonts w:asciiTheme="majorBidi" w:hAnsiTheme="majorBidi" w:cstheme="majorBidi"/>
        </w:rPr>
        <w:t>.</w:t>
      </w:r>
      <w:r w:rsidR="002D44DE" w:rsidRPr="00E32653">
        <w:rPr>
          <w:rFonts w:asciiTheme="majorBidi" w:hAnsiTheme="majorBidi" w:cstheme="majorBidi"/>
        </w:rPr>
        <w:t xml:space="preserve"> For the </w:t>
      </w:r>
      <w:r w:rsidR="009512DC" w:rsidRPr="00E32653">
        <w:rPr>
          <w:rFonts w:asciiTheme="majorBidi" w:hAnsiTheme="majorBidi" w:cstheme="majorBidi"/>
        </w:rPr>
        <w:t>LVL</w:t>
      </w:r>
      <w:r w:rsidR="002D44DE" w:rsidRPr="00E32653">
        <w:rPr>
          <w:rFonts w:asciiTheme="majorBidi" w:hAnsiTheme="majorBidi" w:cstheme="majorBidi"/>
        </w:rPr>
        <w:t xml:space="preserve"> building, a </w:t>
      </w:r>
      <w:r w:rsidR="0035233D" w:rsidRPr="00E32653">
        <w:rPr>
          <w:rFonts w:asciiTheme="majorBidi" w:hAnsiTheme="majorBidi" w:cstheme="majorBidi"/>
        </w:rPr>
        <w:t xml:space="preserve">recycling </w:t>
      </w:r>
      <w:r w:rsidR="002D44DE" w:rsidRPr="00E32653">
        <w:rPr>
          <w:rFonts w:asciiTheme="majorBidi" w:hAnsiTheme="majorBidi" w:cstheme="majorBidi"/>
        </w:rPr>
        <w:t xml:space="preserve">rate of </w:t>
      </w:r>
      <w:r w:rsidR="003E193F" w:rsidRPr="00E32653">
        <w:rPr>
          <w:rFonts w:asciiTheme="majorBidi" w:hAnsiTheme="majorBidi" w:cstheme="majorBidi"/>
        </w:rPr>
        <w:t>4</w:t>
      </w:r>
      <w:r w:rsidR="002D44DE" w:rsidRPr="00E32653">
        <w:rPr>
          <w:rFonts w:asciiTheme="majorBidi" w:hAnsiTheme="majorBidi" w:cstheme="majorBidi"/>
        </w:rPr>
        <w:t xml:space="preserve">0% </w:t>
      </w:r>
      <w:r w:rsidR="0035233D" w:rsidRPr="00E32653">
        <w:rPr>
          <w:rFonts w:asciiTheme="majorBidi" w:hAnsiTheme="majorBidi" w:cstheme="majorBidi"/>
        </w:rPr>
        <w:t xml:space="preserve">has been </w:t>
      </w:r>
      <w:r w:rsidR="002D44DE" w:rsidRPr="00E32653">
        <w:rPr>
          <w:rFonts w:asciiTheme="majorBidi" w:hAnsiTheme="majorBidi" w:cstheme="majorBidi"/>
        </w:rPr>
        <w:t xml:space="preserve">assumed with </w:t>
      </w:r>
      <w:r w:rsidR="003E193F" w:rsidRPr="00E32653">
        <w:rPr>
          <w:rFonts w:asciiTheme="majorBidi" w:hAnsiTheme="majorBidi" w:cstheme="majorBidi"/>
        </w:rPr>
        <w:t>4</w:t>
      </w:r>
      <w:r w:rsidR="002D44DE" w:rsidRPr="00E32653">
        <w:rPr>
          <w:rFonts w:asciiTheme="majorBidi" w:hAnsiTheme="majorBidi" w:cstheme="majorBidi"/>
        </w:rPr>
        <w:t>0% used for biomass energy</w:t>
      </w:r>
      <w:r w:rsidR="005D3A30" w:rsidRPr="00E32653">
        <w:rPr>
          <w:rFonts w:asciiTheme="majorBidi" w:hAnsiTheme="majorBidi" w:cstheme="majorBidi"/>
        </w:rPr>
        <w:t xml:space="preserve"> </w:t>
      </w:r>
      <w:r w:rsidR="005D3A30" w:rsidRPr="00E32653">
        <w:rPr>
          <w:rFonts w:asciiTheme="majorBidi" w:hAnsiTheme="majorBidi" w:cstheme="majorBidi"/>
        </w:rPr>
        <w:fldChar w:fldCharType="begin" w:fldLock="1"/>
      </w:r>
      <w:r w:rsidR="005D3A30" w:rsidRPr="00E32653">
        <w:rPr>
          <w:rFonts w:asciiTheme="majorBidi" w:hAnsiTheme="majorBidi" w:cstheme="majorBidi"/>
        </w:rPr>
        <w:instrText>ADDIN CSL_CITATION {"citationItems":[{"id":"ITEM-1","itemData":{"DOI":"10.3390/su8101047","ISSN":"20711050","abstract":"Timber building has gained more and more attention worldwide due to it being a generic renewable material and having low environmental impact. It is widely accepted that the use of timber may be able to reduce the embodied energy of a building. However, the development of timber buildings in China is not as rapid as in some other countries. This may be because of the limitations of building regulations and technological development. Several new policies have been or are being implemented in China in order to encourage the use of timber in building construction and this could lead to a revolutionary change in the building industry in China. This paper is the first one to examine the feasibility of using Cross Laminated Timber (CLT) as an alternative solution to concrete by means of a cradle-to-grave life-cycle assessment in China. A seven-storey reference concrete building in Xi'an was selected as a case study in comparison with a redesigned CLT building. Two cities in China, in cold and severe cold regions (Xi'an and Harbin), were selected for this research. The assessment includes three different stages of the life span of a building: materialisation, operation, and end-of-life. The inventory data used in the materialisation stage was mostly local, in order to ensure that the assessment appropriately reflects the situation in China. Energy consumption in the operation stage was obtained from simulation by commercialised software IESTM, and different scenarios for recycling of timber material in the end-of-life are discussed in this paper. The results from this paper show that using CLT to replace conventional carbon intensive material would reduce energy consumption by more than 30% and reduce CO2 emission by more than 40% in both cities. This paper supports, and has shown the potential of, CLT being used in cold regions with proper detailing to minimise environmental impact.","author":[{"dropping-particle":"","family":"Liu","given":"Ying","non-dropping-particle":"","parse-names":false,"suffix":""},{"dropping-particle":"","family":"Guo","given":"Haibo","non-dropping-particle":"","parse-names":false,"suffix":""},{"dropping-particle":"","family":"Sun","given":"Cheng","non-dropping-particle":"","parse-names":false,"suffix":""},{"dropping-particle":"","family":"Chang","given":"Wen Shao","non-dropping-particle":"","parse-names":false,"suffix":""}],"container-title":"Sustainability (Switzerland)","id":"ITEM-1","issue":"10","issued":{"date-parts":[["2016"]]},"title":"Assessing cross laminated timber (CLT) as an alternative material for mid-rise residential buildings in cold regions in China-A life-cycle assessment approach","type":"article-journal","volume":"8"},"uris":["http://www.mendeley.com/documents/?uuid=f11aacc0-be4b-4f2b-943c-8455e7bf7e93"]}],"mendeley":{"formattedCitation":"(Liu et al., 2016)","plainTextFormattedCitation":"(Liu et al., 2016)","previouslyFormattedCitation":"(Liu et al., 2016)"},"properties":{"noteIndex":0},"schema":"https://github.com/citation-style-language/schema/raw/master/csl-citation.json"}</w:instrText>
      </w:r>
      <w:r w:rsidR="005D3A30" w:rsidRPr="00E32653">
        <w:rPr>
          <w:rFonts w:asciiTheme="majorBidi" w:hAnsiTheme="majorBidi" w:cstheme="majorBidi"/>
        </w:rPr>
        <w:fldChar w:fldCharType="separate"/>
      </w:r>
      <w:r w:rsidR="005D3A30" w:rsidRPr="00E32653">
        <w:rPr>
          <w:rFonts w:asciiTheme="majorBidi" w:hAnsiTheme="majorBidi" w:cstheme="majorBidi"/>
          <w:noProof/>
        </w:rPr>
        <w:t>(Liu et al., 2016)</w:t>
      </w:r>
      <w:r w:rsidR="005D3A30" w:rsidRPr="00E32653">
        <w:rPr>
          <w:rFonts w:asciiTheme="majorBidi" w:hAnsiTheme="majorBidi" w:cstheme="majorBidi"/>
        </w:rPr>
        <w:fldChar w:fldCharType="end"/>
      </w:r>
      <w:r w:rsidR="002D44DE" w:rsidRPr="00E32653">
        <w:rPr>
          <w:rFonts w:asciiTheme="majorBidi" w:hAnsiTheme="majorBidi" w:cstheme="majorBidi"/>
        </w:rPr>
        <w:t>.</w:t>
      </w:r>
      <w:r w:rsidR="00813BB1" w:rsidRPr="00E32653">
        <w:rPr>
          <w:rFonts w:asciiTheme="majorBidi" w:hAnsiTheme="majorBidi" w:cstheme="majorBidi"/>
        </w:rPr>
        <w:t xml:space="preserve"> </w:t>
      </w:r>
      <w:r w:rsidR="00645D2D" w:rsidRPr="00E32653">
        <w:rPr>
          <w:rFonts w:asciiTheme="majorBidi" w:hAnsiTheme="majorBidi" w:cstheme="majorBidi"/>
        </w:rPr>
        <w:t>These strategies aimed to avoid the waste sen</w:t>
      </w:r>
      <w:r w:rsidR="000131AB" w:rsidRPr="00E32653">
        <w:rPr>
          <w:rFonts w:asciiTheme="majorBidi" w:hAnsiTheme="majorBidi" w:cstheme="majorBidi"/>
        </w:rPr>
        <w:t>t to landfills and save</w:t>
      </w:r>
      <w:r w:rsidR="00645D2D" w:rsidRPr="00E32653">
        <w:rPr>
          <w:rFonts w:asciiTheme="majorBidi" w:hAnsiTheme="majorBidi" w:cstheme="majorBidi"/>
        </w:rPr>
        <w:t xml:space="preserve"> energy by considering reuse and recycling. </w:t>
      </w:r>
    </w:p>
    <w:p w14:paraId="03902BDD" w14:textId="6AF2B165" w:rsidR="00055467" w:rsidRPr="00E32653" w:rsidRDefault="00055467" w:rsidP="005D3A30">
      <w:pPr>
        <w:ind w:firstLine="720"/>
        <w:jc w:val="both"/>
        <w:rPr>
          <w:rFonts w:asciiTheme="majorBidi" w:hAnsiTheme="majorBidi" w:cstheme="majorBidi"/>
        </w:rPr>
      </w:pPr>
    </w:p>
    <w:p w14:paraId="4028824A" w14:textId="35DCC444" w:rsidR="00530F57" w:rsidRPr="00E32653" w:rsidRDefault="00284D99" w:rsidP="00933252">
      <w:pPr>
        <w:pStyle w:val="ListParagraph"/>
        <w:numPr>
          <w:ilvl w:val="1"/>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t xml:space="preserve">Life </w:t>
      </w:r>
      <w:r w:rsidR="00F12516" w:rsidRPr="00E32653">
        <w:rPr>
          <w:rFonts w:asciiTheme="majorBidi" w:hAnsiTheme="majorBidi" w:cstheme="majorBidi"/>
          <w:b/>
          <w:bCs/>
          <w:i/>
          <w:iCs/>
          <w:sz w:val="24"/>
          <w:szCs w:val="24"/>
        </w:rPr>
        <w:t>cycle costing</w:t>
      </w:r>
    </w:p>
    <w:p w14:paraId="6D1B2CBE" w14:textId="55F43A9B" w:rsidR="00BA3EF3" w:rsidRPr="00E32653" w:rsidRDefault="00BD2A06" w:rsidP="12C241C3">
      <w:pPr>
        <w:spacing w:line="276" w:lineRule="auto"/>
        <w:ind w:firstLine="720"/>
        <w:jc w:val="both"/>
        <w:rPr>
          <w:rFonts w:asciiTheme="majorBidi" w:hAnsiTheme="majorBidi" w:cstheme="majorBidi"/>
          <w:rtl/>
        </w:rPr>
      </w:pPr>
      <w:r w:rsidRPr="00E32653">
        <w:rPr>
          <w:rFonts w:asciiTheme="majorBidi" w:hAnsiTheme="majorBidi" w:cstheme="majorBidi"/>
        </w:rPr>
        <w:t xml:space="preserve">LCC needs to be </w:t>
      </w:r>
      <w:r w:rsidR="007705EF" w:rsidRPr="00E32653">
        <w:rPr>
          <w:rFonts w:asciiTheme="majorBidi" w:hAnsiTheme="majorBidi" w:cstheme="majorBidi"/>
        </w:rPr>
        <w:t xml:space="preserve">implemented </w:t>
      </w:r>
      <w:r w:rsidRPr="00E32653">
        <w:rPr>
          <w:rFonts w:asciiTheme="majorBidi" w:hAnsiTheme="majorBidi" w:cstheme="majorBidi"/>
        </w:rPr>
        <w:t xml:space="preserve">in the design stages of construction to help decision-makers make informed choices about building materials. Buildings are long-term investments with potential environmental impacts (Raymond et al., 2000). Research regarding the cost of buildings in Malaysia </w:t>
      </w:r>
      <w:r w:rsidRPr="00E32653">
        <w:rPr>
          <w:rFonts w:asciiTheme="majorBidi" w:hAnsiTheme="majorBidi" w:cstheme="majorBidi"/>
        </w:rPr>
        <w:lastRenderedPageBreak/>
        <w:t xml:space="preserve">(Akasah et al., 2011) has shown that </w:t>
      </w:r>
      <w:r w:rsidR="000131AB" w:rsidRPr="00E32653">
        <w:rPr>
          <w:rFonts w:asciiTheme="majorBidi" w:hAnsiTheme="majorBidi" w:cstheme="majorBidi"/>
        </w:rPr>
        <w:t>most</w:t>
      </w:r>
      <w:r w:rsidRPr="00E32653">
        <w:rPr>
          <w:rFonts w:asciiTheme="majorBidi" w:hAnsiTheme="majorBidi" w:cstheme="majorBidi"/>
        </w:rPr>
        <w:t xml:space="preserve"> construction projects started without robust LCC assessments. </w:t>
      </w:r>
      <w:r w:rsidR="00040FF6" w:rsidRPr="00E32653">
        <w:rPr>
          <w:rFonts w:asciiTheme="majorBidi" w:hAnsiTheme="majorBidi" w:cstheme="majorBidi"/>
        </w:rPr>
        <w:t>Optimiz</w:t>
      </w:r>
      <w:r w:rsidR="000131AB" w:rsidRPr="00E32653">
        <w:rPr>
          <w:rFonts w:asciiTheme="majorBidi" w:hAnsiTheme="majorBidi" w:cstheme="majorBidi"/>
        </w:rPr>
        <w:t>ing</w:t>
      </w:r>
      <w:r w:rsidR="00040FF6" w:rsidRPr="00E32653">
        <w:rPr>
          <w:rFonts w:asciiTheme="majorBidi" w:hAnsiTheme="majorBidi" w:cstheme="majorBidi"/>
        </w:rPr>
        <w:t xml:space="preserve"> LCC is one of the main pillar</w:t>
      </w:r>
      <w:r w:rsidR="000131AB" w:rsidRPr="00E32653">
        <w:rPr>
          <w:rFonts w:asciiTheme="majorBidi" w:hAnsiTheme="majorBidi" w:cstheme="majorBidi"/>
        </w:rPr>
        <w:t>s</w:t>
      </w:r>
      <w:r w:rsidR="00040FF6" w:rsidRPr="00E32653">
        <w:rPr>
          <w:rFonts w:asciiTheme="majorBidi" w:hAnsiTheme="majorBidi" w:cstheme="majorBidi"/>
        </w:rPr>
        <w:t xml:space="preserve"> of sustainability and </w:t>
      </w:r>
      <w:r w:rsidR="00753712" w:rsidRPr="00E32653">
        <w:rPr>
          <w:rFonts w:asciiTheme="majorBidi" w:hAnsiTheme="majorBidi" w:cstheme="majorBidi"/>
        </w:rPr>
        <w:t xml:space="preserve">a </w:t>
      </w:r>
      <w:r w:rsidR="00040FF6" w:rsidRPr="00E32653">
        <w:rPr>
          <w:rFonts w:asciiTheme="majorBidi" w:hAnsiTheme="majorBidi" w:cstheme="majorBidi"/>
        </w:rPr>
        <w:t>requirement for</w:t>
      </w:r>
      <w:r w:rsidR="000131AB" w:rsidRPr="00E32653">
        <w:rPr>
          <w:rFonts w:asciiTheme="majorBidi" w:hAnsiTheme="majorBidi" w:cstheme="majorBidi"/>
        </w:rPr>
        <w:t xml:space="preserve"> </w:t>
      </w:r>
      <w:r w:rsidR="00040FF6" w:rsidRPr="00E32653">
        <w:rPr>
          <w:rFonts w:asciiTheme="majorBidi" w:hAnsiTheme="majorBidi" w:cstheme="majorBidi"/>
        </w:rPr>
        <w:t>successful construction project</w:t>
      </w:r>
      <w:r w:rsidR="00753712" w:rsidRPr="00E32653">
        <w:rPr>
          <w:rFonts w:asciiTheme="majorBidi" w:hAnsiTheme="majorBidi" w:cstheme="majorBidi"/>
        </w:rPr>
        <w:t>s</w:t>
      </w:r>
      <w:r w:rsidR="00040FF6" w:rsidRPr="00E32653">
        <w:rPr>
          <w:rFonts w:asciiTheme="majorBidi" w:hAnsiTheme="majorBidi" w:cstheme="majorBidi"/>
        </w:rPr>
        <w:t>. Therefore, comparing the cost of alternative</w:t>
      </w:r>
      <w:r w:rsidR="00753712" w:rsidRPr="00E32653">
        <w:rPr>
          <w:rFonts w:asciiTheme="majorBidi" w:hAnsiTheme="majorBidi" w:cstheme="majorBidi"/>
        </w:rPr>
        <w:t xml:space="preserve"> materials</w:t>
      </w:r>
      <w:r w:rsidR="00040FF6" w:rsidRPr="00E32653">
        <w:rPr>
          <w:rFonts w:asciiTheme="majorBidi" w:hAnsiTheme="majorBidi" w:cstheme="majorBidi"/>
        </w:rPr>
        <w:t xml:space="preserve"> </w:t>
      </w:r>
      <w:r w:rsidR="00753712" w:rsidRPr="00E32653">
        <w:rPr>
          <w:rFonts w:asciiTheme="majorBidi" w:hAnsiTheme="majorBidi" w:cstheme="majorBidi"/>
        </w:rPr>
        <w:t xml:space="preserve">is </w:t>
      </w:r>
      <w:r w:rsidR="000131AB" w:rsidRPr="00E32653">
        <w:rPr>
          <w:rFonts w:asciiTheme="majorBidi" w:hAnsiTheme="majorBidi" w:cstheme="majorBidi"/>
        </w:rPr>
        <w:t xml:space="preserve">essential and </w:t>
      </w:r>
      <w:r w:rsidR="00753712" w:rsidRPr="00E32653">
        <w:rPr>
          <w:rFonts w:asciiTheme="majorBidi" w:hAnsiTheme="majorBidi" w:cstheme="majorBidi"/>
        </w:rPr>
        <w:t>helps</w:t>
      </w:r>
      <w:r w:rsidR="00040FF6" w:rsidRPr="00E32653">
        <w:rPr>
          <w:rFonts w:asciiTheme="majorBidi" w:hAnsiTheme="majorBidi" w:cstheme="majorBidi"/>
        </w:rPr>
        <w:t xml:space="preserve"> stakeholder</w:t>
      </w:r>
      <w:r w:rsidR="00753712" w:rsidRPr="00E32653">
        <w:rPr>
          <w:rFonts w:asciiTheme="majorBidi" w:hAnsiTheme="majorBidi" w:cstheme="majorBidi"/>
        </w:rPr>
        <w:t>s</w:t>
      </w:r>
      <w:r w:rsidR="00040FF6" w:rsidRPr="00E32653">
        <w:rPr>
          <w:rFonts w:asciiTheme="majorBidi" w:hAnsiTheme="majorBidi" w:cstheme="majorBidi"/>
        </w:rPr>
        <w:t xml:space="preserve"> mak</w:t>
      </w:r>
      <w:r w:rsidR="00753712" w:rsidRPr="00E32653">
        <w:rPr>
          <w:rFonts w:asciiTheme="majorBidi" w:hAnsiTheme="majorBidi" w:cstheme="majorBidi"/>
        </w:rPr>
        <w:t>e evidence-based</w:t>
      </w:r>
      <w:r w:rsidR="00040FF6" w:rsidRPr="00E32653">
        <w:rPr>
          <w:rFonts w:asciiTheme="majorBidi" w:hAnsiTheme="majorBidi" w:cstheme="majorBidi"/>
        </w:rPr>
        <w:t xml:space="preserve"> cho</w:t>
      </w:r>
      <w:r w:rsidR="00753712" w:rsidRPr="00E32653">
        <w:rPr>
          <w:rFonts w:asciiTheme="majorBidi" w:hAnsiTheme="majorBidi" w:cstheme="majorBidi"/>
        </w:rPr>
        <w:t>ices</w:t>
      </w:r>
      <w:r w:rsidR="00040FF6" w:rsidRPr="00E32653">
        <w:rPr>
          <w:rFonts w:asciiTheme="majorBidi" w:hAnsiTheme="majorBidi" w:cstheme="majorBidi"/>
        </w:rPr>
        <w:t xml:space="preserve"> </w:t>
      </w:r>
      <w:r w:rsidR="00753712" w:rsidRPr="00E32653">
        <w:rPr>
          <w:rFonts w:asciiTheme="majorBidi" w:hAnsiTheme="majorBidi" w:cstheme="majorBidi"/>
        </w:rPr>
        <w:t>of</w:t>
      </w:r>
      <w:r w:rsidR="00040FF6" w:rsidRPr="00E32653">
        <w:rPr>
          <w:rFonts w:asciiTheme="majorBidi" w:hAnsiTheme="majorBidi" w:cstheme="majorBidi"/>
        </w:rPr>
        <w:t xml:space="preserve"> materials. In this research, LCC was evaluated </w:t>
      </w:r>
      <w:r w:rsidR="00753712" w:rsidRPr="00E32653">
        <w:rPr>
          <w:rFonts w:asciiTheme="majorBidi" w:hAnsiTheme="majorBidi" w:cstheme="majorBidi"/>
        </w:rPr>
        <w:t>via an</w:t>
      </w:r>
      <w:r w:rsidR="00040FF6" w:rsidRPr="00E32653">
        <w:rPr>
          <w:rFonts w:asciiTheme="majorBidi" w:hAnsiTheme="majorBidi" w:cstheme="majorBidi"/>
        </w:rPr>
        <w:t xml:space="preserve"> Excel spreadsheet to calculate the 50-year costs of </w:t>
      </w:r>
      <w:r w:rsidR="00007283" w:rsidRPr="00E32653">
        <w:rPr>
          <w:rFonts w:asciiTheme="majorBidi" w:hAnsiTheme="majorBidi" w:cstheme="majorBidi"/>
        </w:rPr>
        <w:t>mass timber</w:t>
      </w:r>
      <w:r w:rsidR="00040FF6" w:rsidRPr="00E32653">
        <w:rPr>
          <w:rFonts w:asciiTheme="majorBidi" w:hAnsiTheme="majorBidi" w:cstheme="majorBidi"/>
        </w:rPr>
        <w:t xml:space="preserve">. </w:t>
      </w:r>
      <w:r w:rsidR="0071529E" w:rsidRPr="00E32653">
        <w:rPr>
          <w:rFonts w:asciiTheme="majorBidi" w:hAnsiTheme="majorBidi" w:cstheme="majorBidi"/>
        </w:rPr>
        <w:t>The data relat</w:t>
      </w:r>
      <w:r w:rsidR="000131AB" w:rsidRPr="00E32653">
        <w:rPr>
          <w:rFonts w:asciiTheme="majorBidi" w:hAnsiTheme="majorBidi" w:cstheme="majorBidi"/>
        </w:rPr>
        <w:t>ing</w:t>
      </w:r>
      <w:r w:rsidR="0071529E" w:rsidRPr="00E32653">
        <w:rPr>
          <w:rFonts w:asciiTheme="majorBidi" w:hAnsiTheme="majorBidi" w:cstheme="majorBidi"/>
        </w:rPr>
        <w:t xml:space="preserve"> to the </w:t>
      </w:r>
      <w:r w:rsidR="005D6D30" w:rsidRPr="00E32653">
        <w:rPr>
          <w:rFonts w:asciiTheme="majorBidi" w:hAnsiTheme="majorBidi" w:cstheme="majorBidi"/>
        </w:rPr>
        <w:t xml:space="preserve">raw </w:t>
      </w:r>
      <w:r w:rsidR="0071529E" w:rsidRPr="00E32653">
        <w:rPr>
          <w:rFonts w:asciiTheme="majorBidi" w:hAnsiTheme="majorBidi" w:cstheme="majorBidi"/>
        </w:rPr>
        <w:t>materials, transportation</w:t>
      </w:r>
      <w:r w:rsidR="000131AB" w:rsidRPr="00E32653">
        <w:rPr>
          <w:rFonts w:asciiTheme="majorBidi" w:hAnsiTheme="majorBidi" w:cstheme="majorBidi"/>
        </w:rPr>
        <w:t>,</w:t>
      </w:r>
      <w:r w:rsidR="0071529E" w:rsidRPr="00E32653">
        <w:rPr>
          <w:rFonts w:asciiTheme="majorBidi" w:hAnsiTheme="majorBidi" w:cstheme="majorBidi"/>
        </w:rPr>
        <w:t xml:space="preserve"> and construction wages </w:t>
      </w:r>
      <w:r w:rsidR="00753712" w:rsidRPr="00E32653">
        <w:rPr>
          <w:rFonts w:asciiTheme="majorBidi" w:hAnsiTheme="majorBidi" w:cstheme="majorBidi"/>
        </w:rPr>
        <w:t>were</w:t>
      </w:r>
      <w:r w:rsidR="0071529E" w:rsidRPr="00E32653">
        <w:rPr>
          <w:rFonts w:asciiTheme="majorBidi" w:hAnsiTheme="majorBidi" w:cstheme="majorBidi"/>
        </w:rPr>
        <w:t xml:space="preserve"> extracted from National Construction Cost Centre (CIDB Official Portal) in Malaysian Ringgit (MYR) and also </w:t>
      </w:r>
      <w:r w:rsidR="000131AB" w:rsidRPr="00E32653">
        <w:rPr>
          <w:rFonts w:asciiTheme="majorBidi" w:hAnsiTheme="majorBidi" w:cstheme="majorBidi"/>
        </w:rPr>
        <w:t xml:space="preserve">the </w:t>
      </w:r>
      <w:r w:rsidR="0071529E" w:rsidRPr="00E32653">
        <w:rPr>
          <w:rFonts w:asciiTheme="majorBidi" w:hAnsiTheme="majorBidi" w:cstheme="majorBidi"/>
        </w:rPr>
        <w:t xml:space="preserve">Malaysian construction cost handbook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{"citationItems":[{"id":"ITEM-1","itemData":{"id":"ITEM-1","issue":"032500","issued":{"date-parts":[["2021"]]},"title":"Malaysia 2021","type":"article-journal","volume":"1976010018"},"uris":["http://www.mendeley.com/documents/?uuid=abc0b26c-6def-4728-906b-aca2b3f89aaa"]}],"mendeley":{"formattedCitation":"(&lt;i&gt;Malaysia 2021&lt;/i&gt;, 2021)","manualFormatting":"(JUBM &amp; Arcadis, 2021)","plainTextFormattedCitation":"(Malaysia 2021, 2021)","previouslyFormattedCitation":"(&lt;i&gt;Malaysia 2021&lt;/i&gt;, 2021)"},"properties":{"noteIndex":0},"schema":"https://github.com/citation-style-language/schema/raw/master/csl-citation.json"}</w:instrText>
      </w:r>
      <w:r w:rsidRPr="00E32653">
        <w:rPr>
          <w:rFonts w:asciiTheme="majorBidi" w:hAnsiTheme="majorBidi" w:cstheme="majorBidi"/>
        </w:rPr>
        <w:fldChar w:fldCharType="separate"/>
      </w:r>
      <w:r w:rsidR="0071529E" w:rsidRPr="00E32653">
        <w:rPr>
          <w:rFonts w:asciiTheme="majorBidi" w:hAnsiTheme="majorBidi" w:cstheme="majorBidi"/>
          <w:noProof/>
        </w:rPr>
        <w:t>(</w:t>
      </w:r>
      <w:r w:rsidR="00A85471" w:rsidRPr="00E32653">
        <w:rPr>
          <w:rFonts w:asciiTheme="majorBidi" w:hAnsiTheme="majorBidi" w:cstheme="majorBidi"/>
        </w:rPr>
        <w:t>JUBM &amp; Arcadis,</w:t>
      </w:r>
      <w:r w:rsidR="0071529E" w:rsidRPr="00E32653">
        <w:rPr>
          <w:rFonts w:asciiTheme="majorBidi" w:hAnsiTheme="majorBidi" w:cstheme="majorBidi"/>
          <w:noProof/>
        </w:rPr>
        <w:t xml:space="preserve"> 2021)</w:t>
      </w:r>
      <w:r w:rsidRPr="00E32653">
        <w:rPr>
          <w:rFonts w:asciiTheme="majorBidi" w:hAnsiTheme="majorBidi" w:cstheme="majorBidi"/>
        </w:rPr>
        <w:fldChar w:fldCharType="end"/>
      </w:r>
      <w:r w:rsidR="0071529E" w:rsidRPr="00E32653">
        <w:rPr>
          <w:rFonts w:asciiTheme="majorBidi" w:hAnsiTheme="majorBidi" w:cstheme="majorBidi"/>
        </w:rPr>
        <w:t xml:space="preserve">. </w:t>
      </w:r>
      <w:r w:rsidR="005D6D30" w:rsidRPr="00E32653">
        <w:rPr>
          <w:rFonts w:asciiTheme="majorBidi" w:hAnsiTheme="majorBidi" w:cstheme="majorBidi"/>
        </w:rPr>
        <w:t xml:space="preserve">The data of </w:t>
      </w:r>
      <w:r w:rsidR="2A20E948" w:rsidRPr="00E32653">
        <w:rPr>
          <w:rFonts w:asciiTheme="majorBidi" w:hAnsiTheme="majorBidi" w:cstheme="majorBidi"/>
        </w:rPr>
        <w:t>end-of-life</w:t>
      </w:r>
      <w:r w:rsidR="005D6D30" w:rsidRPr="00E32653">
        <w:rPr>
          <w:rFonts w:asciiTheme="majorBidi" w:hAnsiTheme="majorBidi" w:cstheme="majorBidi"/>
        </w:rPr>
        <w:t xml:space="preserve"> materials ha</w:t>
      </w:r>
      <w:r w:rsidR="207FEB25" w:rsidRPr="00E32653">
        <w:rPr>
          <w:rFonts w:asciiTheme="majorBidi" w:hAnsiTheme="majorBidi" w:cstheme="majorBidi"/>
        </w:rPr>
        <w:t>ve</w:t>
      </w:r>
      <w:r w:rsidR="005D6D30" w:rsidRPr="00E32653">
        <w:rPr>
          <w:rFonts w:asciiTheme="majorBidi" w:hAnsiTheme="majorBidi" w:cstheme="majorBidi"/>
        </w:rPr>
        <w:t xml:space="preserve"> been collected from </w:t>
      </w:r>
      <w:r w:rsidR="71502F3E" w:rsidRPr="00E32653">
        <w:rPr>
          <w:rFonts w:asciiTheme="majorBidi" w:hAnsiTheme="majorBidi" w:cstheme="majorBidi"/>
        </w:rPr>
        <w:t xml:space="preserve">observations </w:t>
      </w:r>
      <w:r w:rsidR="33CBCFB4" w:rsidRPr="00E32653">
        <w:rPr>
          <w:rFonts w:asciiTheme="majorBidi" w:hAnsiTheme="majorBidi" w:cstheme="majorBidi"/>
        </w:rPr>
        <w:t>of</w:t>
      </w:r>
      <w:r w:rsidR="34EBB65A" w:rsidRPr="00E32653">
        <w:rPr>
          <w:rFonts w:asciiTheme="majorBidi" w:hAnsiTheme="majorBidi" w:cstheme="majorBidi"/>
        </w:rPr>
        <w:t xml:space="preserve"> </w:t>
      </w:r>
      <w:r w:rsidR="005D6D30" w:rsidRPr="00E32653">
        <w:rPr>
          <w:rFonts w:asciiTheme="majorBidi" w:hAnsiTheme="majorBidi" w:cstheme="majorBidi"/>
        </w:rPr>
        <w:t>demolition site</w:t>
      </w:r>
      <w:r w:rsidR="43E69158" w:rsidRPr="00E32653">
        <w:rPr>
          <w:rFonts w:asciiTheme="majorBidi" w:hAnsiTheme="majorBidi" w:cstheme="majorBidi"/>
        </w:rPr>
        <w:t>s</w:t>
      </w:r>
      <w:r w:rsidR="005D6D30" w:rsidRPr="00E32653">
        <w:rPr>
          <w:rFonts w:asciiTheme="majorBidi" w:hAnsiTheme="majorBidi" w:cstheme="majorBidi"/>
        </w:rPr>
        <w:t xml:space="preserve">. </w:t>
      </w:r>
      <w:r w:rsidR="00AF33AE" w:rsidRPr="00E32653">
        <w:rPr>
          <w:rFonts w:asciiTheme="majorBidi" w:hAnsiTheme="majorBidi" w:cstheme="majorBidi"/>
        </w:rPr>
        <w:t xml:space="preserve">The fundamental elements of LCC are </w:t>
      </w:r>
      <w:r w:rsidR="000131AB" w:rsidRPr="00E32653">
        <w:rPr>
          <w:rFonts w:asciiTheme="majorBidi" w:hAnsiTheme="majorBidi" w:cstheme="majorBidi"/>
        </w:rPr>
        <w:t xml:space="preserve">the </w:t>
      </w:r>
      <w:r w:rsidR="00AF33AE" w:rsidRPr="00E32653">
        <w:rPr>
          <w:rFonts w:asciiTheme="majorBidi" w:hAnsiTheme="majorBidi" w:cstheme="majorBidi"/>
        </w:rPr>
        <w:t>production of materials, transportation, wages, maintenance cost</w:t>
      </w:r>
      <w:r w:rsidR="00753712" w:rsidRPr="00E32653">
        <w:rPr>
          <w:rFonts w:asciiTheme="majorBidi" w:hAnsiTheme="majorBidi" w:cstheme="majorBidi"/>
        </w:rPr>
        <w:t>s</w:t>
      </w:r>
      <w:r w:rsidR="000131AB" w:rsidRPr="00E32653">
        <w:rPr>
          <w:rFonts w:asciiTheme="majorBidi" w:hAnsiTheme="majorBidi" w:cstheme="majorBidi"/>
        </w:rPr>
        <w:t>,</w:t>
      </w:r>
      <w:r w:rsidR="00AF33AE" w:rsidRPr="00E32653">
        <w:rPr>
          <w:rFonts w:asciiTheme="majorBidi" w:hAnsiTheme="majorBidi" w:cstheme="majorBidi"/>
        </w:rPr>
        <w:t xml:space="preserve"> and end of life for each mass timber building. </w:t>
      </w:r>
      <w:r w:rsidR="00BA3EF3" w:rsidRPr="00E32653">
        <w:rPr>
          <w:rFonts w:asciiTheme="majorBidi" w:hAnsiTheme="majorBidi" w:cstheme="majorBidi"/>
        </w:rPr>
        <w:t>Th</w:t>
      </w:r>
      <w:r w:rsidR="005B624B" w:rsidRPr="00E32653">
        <w:rPr>
          <w:rFonts w:asciiTheme="majorBidi" w:hAnsiTheme="majorBidi" w:cstheme="majorBidi"/>
        </w:rPr>
        <w:t xml:space="preserve">is study </w:t>
      </w:r>
      <w:r w:rsidR="00BA3EF3" w:rsidRPr="00E32653">
        <w:rPr>
          <w:rFonts w:asciiTheme="majorBidi" w:hAnsiTheme="majorBidi" w:cstheme="majorBidi"/>
        </w:rPr>
        <w:t>assessed cost</w:t>
      </w:r>
      <w:r w:rsidR="005B624B" w:rsidRPr="00E32653">
        <w:rPr>
          <w:rFonts w:asciiTheme="majorBidi" w:hAnsiTheme="majorBidi" w:cstheme="majorBidi"/>
        </w:rPr>
        <w:t>s</w:t>
      </w:r>
      <w:r w:rsidR="00BA3EF3" w:rsidRPr="00E32653">
        <w:rPr>
          <w:rFonts w:asciiTheme="majorBidi" w:hAnsiTheme="majorBidi" w:cstheme="majorBidi"/>
        </w:rPr>
        <w:t xml:space="preserve"> b</w:t>
      </w:r>
      <w:r w:rsidR="0004207A" w:rsidRPr="00E32653">
        <w:rPr>
          <w:rFonts w:asciiTheme="majorBidi" w:hAnsiTheme="majorBidi" w:cstheme="majorBidi"/>
        </w:rPr>
        <w:t xml:space="preserve">ased on </w:t>
      </w:r>
      <w:r w:rsidR="001F785F" w:rsidRPr="00E32653">
        <w:rPr>
          <w:rFonts w:asciiTheme="majorBidi" w:hAnsiTheme="majorBidi" w:cstheme="majorBidi"/>
        </w:rPr>
        <w:t xml:space="preserve">the Present Value (PV) of </w:t>
      </w:r>
      <w:r w:rsidR="0004207A" w:rsidRPr="00E32653">
        <w:rPr>
          <w:rFonts w:asciiTheme="majorBidi" w:hAnsiTheme="majorBidi" w:cstheme="majorBidi"/>
        </w:rPr>
        <w:t>Malaysian ringgit</w:t>
      </w:r>
      <w:r w:rsidR="001F785F" w:rsidRPr="00E32653">
        <w:rPr>
          <w:rFonts w:asciiTheme="majorBidi" w:hAnsiTheme="majorBidi" w:cstheme="majorBidi"/>
        </w:rPr>
        <w:t xml:space="preserve"> in 2020.</w:t>
      </w:r>
      <w:r w:rsidR="0004207A" w:rsidRPr="00E32653">
        <w:rPr>
          <w:rFonts w:asciiTheme="majorBidi" w:hAnsiTheme="majorBidi" w:cstheme="majorBidi"/>
        </w:rPr>
        <w:t xml:space="preserve"> The </w:t>
      </w:r>
      <w:r w:rsidR="00BA3EF3" w:rsidRPr="00E32653">
        <w:rPr>
          <w:rFonts w:asciiTheme="majorBidi" w:hAnsiTheme="majorBidi" w:cstheme="majorBidi"/>
        </w:rPr>
        <w:t xml:space="preserve">LCC </w:t>
      </w:r>
      <w:r w:rsidR="005B624B" w:rsidRPr="00E32653">
        <w:rPr>
          <w:rFonts w:asciiTheme="majorBidi" w:hAnsiTheme="majorBidi" w:cstheme="majorBidi"/>
        </w:rPr>
        <w:t xml:space="preserve">was </w:t>
      </w:r>
      <w:r w:rsidR="00BA3EF3" w:rsidRPr="00E32653">
        <w:rPr>
          <w:rFonts w:asciiTheme="majorBidi" w:hAnsiTheme="majorBidi" w:cstheme="majorBidi"/>
        </w:rPr>
        <w:t xml:space="preserve">calculated using equation (1): </w:t>
      </w:r>
    </w:p>
    <w:p w14:paraId="46906963" w14:textId="6C6569EC" w:rsidR="00BA3EF3" w:rsidRPr="00E32653" w:rsidRDefault="00BA3EF3" w:rsidP="005A7806">
      <w:pPr>
        <w:spacing w:before="240" w:line="276" w:lineRule="auto"/>
        <w:ind w:firstLine="720"/>
        <w:jc w:val="both"/>
        <w:rPr>
          <w:rFonts w:asciiTheme="majorBidi" w:eastAsiaTheme="minorEastAsia" w:hAnsiTheme="majorBidi" w:cstheme="majorBidi"/>
        </w:rPr>
      </w:pPr>
      <m:oMath>
        <m:r>
          <m:rPr>
            <m:sty m:val="p"/>
          </m:rPr>
          <w:rPr>
            <w:rFonts w:ascii="Cambria Math" w:hAnsi="Cambria Math" w:cstheme="majorBidi"/>
          </w:rPr>
          <m:t>LCC</m:t>
        </m:r>
        <m:r>
          <w:rPr>
            <w:rFonts w:ascii="Cambria Math" w:hAnsi="Cambria Math" w:cstheme="majorBidi"/>
          </w:rPr>
          <m:t>=</m:t>
        </m:r>
        <m:r>
          <m:rPr>
            <m:sty m:val="p"/>
          </m:rPr>
          <w:rPr>
            <w:rFonts w:ascii="Cambria Math" w:hAnsi="Cambria Math" w:cstheme="majorBidi"/>
          </w:rPr>
          <m:t xml:space="preserve">Initial Cost +  </m:t>
        </m:r>
        <m:sSub>
          <m:sSubPr>
            <m:ctrlPr>
              <w:rPr>
                <w:rFonts w:ascii="Cambria Math" w:hAnsi="Cambria Math" w:cstheme="majorBidi"/>
              </w:rPr>
            </m:ctrlPr>
          </m:sSubPr>
          <m:e>
            <m:r>
              <m:rPr>
                <m:sty m:val="p"/>
              </m:rPr>
              <w:rPr>
                <w:rFonts w:ascii="Cambria Math" w:hAnsi="Cambria Math" w:cstheme="majorBidi"/>
              </w:rPr>
              <m:t>PV</m:t>
            </m:r>
          </m:e>
          <m:sub>
            <m:r>
              <m:rPr>
                <m:sty m:val="p"/>
              </m:rPr>
              <w:rPr>
                <w:rFonts w:ascii="Cambria Math" w:hAnsi="Cambria Math" w:cstheme="majorBidi"/>
              </w:rPr>
              <m:t>Use</m:t>
            </m:r>
          </m:sub>
        </m:sSub>
        <m:r>
          <m:rPr>
            <m:sty m:val="p"/>
          </m:rPr>
          <w:rPr>
            <w:rFonts w:ascii="Cambria Math" w:hAnsi="Cambria Math" w:cstheme="majorBidi"/>
          </w:rPr>
          <m:t xml:space="preserve">phase Cost + PV_Demolition Cost    </m:t>
        </m:r>
      </m:oMath>
      <w:r w:rsidRPr="00E32653">
        <w:rPr>
          <w:rFonts w:asciiTheme="majorBidi" w:eastAsiaTheme="minorEastAsia" w:hAnsiTheme="majorBidi" w:cstheme="majorBidi"/>
        </w:rPr>
        <w:t xml:space="preserve">               </w:t>
      </w:r>
      <w:r w:rsidRPr="00E32653">
        <w:rPr>
          <w:rFonts w:asciiTheme="majorBidi" w:hAnsiTheme="majorBidi" w:cstheme="majorBidi"/>
        </w:rPr>
        <w:t>Equation 1</w:t>
      </w:r>
    </w:p>
    <w:p w14:paraId="1B969027" w14:textId="7F20300F" w:rsidR="00CE0253" w:rsidRPr="00E32653" w:rsidRDefault="00657DD7" w:rsidP="00F2485C">
      <w:pPr>
        <w:spacing w:before="240" w:line="276" w:lineRule="auto"/>
        <w:ind w:firstLine="720"/>
        <w:jc w:val="both"/>
        <w:rPr>
          <w:rFonts w:asciiTheme="majorBidi" w:hAnsiTheme="majorBidi" w:cstheme="majorBidi"/>
        </w:rPr>
      </w:pPr>
      <w:r w:rsidRPr="00E32653">
        <w:rPr>
          <w:rFonts w:asciiTheme="majorBidi" w:hAnsiTheme="majorBidi" w:cstheme="majorBidi"/>
        </w:rPr>
        <w:t xml:space="preserve">The cost estimation was </w:t>
      </w:r>
      <w:r w:rsidR="006A3E3E" w:rsidRPr="00E32653">
        <w:rPr>
          <w:rFonts w:asciiTheme="majorBidi" w:hAnsiTheme="majorBidi" w:cstheme="majorBidi"/>
        </w:rPr>
        <w:t xml:space="preserve">based </w:t>
      </w:r>
      <w:r w:rsidR="00F2485C" w:rsidRPr="00E32653">
        <w:rPr>
          <w:rFonts w:asciiTheme="majorBidi" w:hAnsiTheme="majorBidi" w:cstheme="majorBidi"/>
        </w:rPr>
        <w:t xml:space="preserve">on </w:t>
      </w:r>
      <w:r w:rsidRPr="00E32653">
        <w:rPr>
          <w:rFonts w:asciiTheme="majorBidi" w:hAnsiTheme="majorBidi" w:cstheme="majorBidi"/>
        </w:rPr>
        <w:t>a</w:t>
      </w:r>
      <w:r w:rsidR="000131AB" w:rsidRPr="00E32653">
        <w:rPr>
          <w:rFonts w:asciiTheme="majorBidi" w:hAnsiTheme="majorBidi" w:cstheme="majorBidi"/>
        </w:rPr>
        <w:t xml:space="preserve">n average discount rate of 4.5%, an electricity cost of 38 Cent/ kWh, a transportation cost of 0.31 MYR for each tonne per kilometer, and a related inflation rate </w:t>
      </w:r>
      <w:r w:rsidR="006A3E3E" w:rsidRPr="00E32653">
        <w:rPr>
          <w:rFonts w:asciiTheme="majorBidi" w:hAnsiTheme="majorBidi" w:cstheme="majorBidi"/>
        </w:rPr>
        <w:t xml:space="preserve">of </w:t>
      </w:r>
      <w:r w:rsidR="000131AB" w:rsidRPr="00E32653">
        <w:rPr>
          <w:rFonts w:asciiTheme="majorBidi" w:hAnsiTheme="majorBidi" w:cstheme="majorBidi"/>
        </w:rPr>
        <w:t>3.4% following recent research</w:t>
      </w:r>
      <w:r w:rsidRPr="00E32653">
        <w:rPr>
          <w:rFonts w:asciiTheme="majorBidi" w:hAnsiTheme="majorBidi" w:cstheme="majorBidi"/>
        </w:rPr>
        <w:t xml:space="preserve"> </w:t>
      </w:r>
      <w:r w:rsidR="006A3E3E" w:rsidRPr="00E32653">
        <w:rPr>
          <w:rFonts w:asciiTheme="majorBidi" w:hAnsiTheme="majorBidi" w:cstheme="majorBidi"/>
        </w:rPr>
        <w:t xml:space="preserve">on </w:t>
      </w:r>
      <w:r w:rsidRPr="00E32653">
        <w:rPr>
          <w:rFonts w:asciiTheme="majorBidi" w:hAnsiTheme="majorBidi" w:cstheme="majorBidi"/>
        </w:rPr>
        <w:t>bul</w:t>
      </w:r>
      <w:r w:rsidR="006A3E3E" w:rsidRPr="00E32653">
        <w:rPr>
          <w:rFonts w:asciiTheme="majorBidi" w:hAnsiTheme="majorBidi" w:cstheme="majorBidi"/>
        </w:rPr>
        <w:t>d</w:t>
      </w:r>
      <w:r w:rsidRPr="00E32653">
        <w:rPr>
          <w:rFonts w:asciiTheme="majorBidi" w:hAnsiTheme="majorBidi" w:cstheme="majorBidi"/>
        </w:rPr>
        <w:t>ing materials cost</w:t>
      </w:r>
      <w:r w:rsidR="006A3E3E" w:rsidRPr="00E32653">
        <w:rPr>
          <w:rFonts w:asciiTheme="majorBidi" w:hAnsiTheme="majorBidi" w:cstheme="majorBidi"/>
        </w:rPr>
        <w:t>s</w:t>
      </w:r>
      <w:r w:rsidRPr="00E32653">
        <w:rPr>
          <w:rFonts w:asciiTheme="majorBidi" w:hAnsiTheme="majorBidi" w:cstheme="majorBidi"/>
        </w:rPr>
        <w:t xml:space="preserve"> by </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{"citationItems":[{"id":"ITEM-1","itemData":{"DOI":"10.1016/j.jobe.2020.101784","ISSN":"23527102","abstract":"Because of the significant increase in the number of noise complaints, reducing and limiting noise pollution have become prevalent subjects related to the retrofitting of school buildings. The present case study considers a multi-apartment school building in the city of Johor, Malaysia. The life cycle criteria evaluated in this study are carbon dioxide (CO2) emissions and the cost and social impacts of each window type. The preliminary assessment showed that the school's current noise level is 74.31 dB (A), which exceeds the acceptable threshold of 55 dB (A). In the next step, three more windows were applied and reevaluated, with the triple glazing window performing the best (48.66 dB (A)), followed by the double glazing window (51.3 dB (A)). In terms of carbon emissions and cost, the preference window had the best performance. Meanwhile, considering the social aspect, the double glazing window performed the best. Because three different windows were deemed the best choice depending on which of the four criteria was considered, multi-criteria decision making (MCDM) was applied by TOPSIS to weigh and estimate each alternative. The final decision was made by giving priority to the four criteria as follows: noise (0.322), cost (0.257), CO2 emissions (0.227), and SLCA (0.194). The MCDM process revealed that the double glazing window is the most sustainable choice for school buildings. Furthermore, two sensitivity analyses were performed to eliminate human subjectivity involved in AHP.","author":[{"dropping-particle":"","family":"Balasbaneh","given":"Ali Tighnavard","non-dropping-particle":"","parse-names":false,"suffix":""},{"dropping-particle":"","family":"Yeoh","given":"David","non-dropping-particle":"","parse-names":false,"suffix":""},{"dropping-particle":"","family":"Zainal Abidin","given":"Ahmad Razin","non-dropping-particle":"","parse-names":false,"suffix":""}],"container-title":"Journal of Building Engineering","id":"ITEM-1","issue":"September","issued":{"date-parts":[["2020"]]},"page":"101784","publisher":"Elsevier Ltd","title":"Life cycle sustainability assessment of window renovations in schools against noise pollution in tropical climates","type":"article-journal","volume":"32"},"uris":["http://www.mendeley.com/documents/?uuid=4e6282f4-396c-40df-a0a9-21a0e6f38bba"]}],"mendeley":{"formattedCitation":"(Ali Tighnavard Balasbaneh et al., 2020)","manualFormatting":"Balasbaneh et al., (2020)","plainTextFormattedCitation":"(Ali Tighnavard Balasbaneh et al., 2020)","previouslyFormattedCitation":"(Ali Tighnavard Balasbaneh et al., 2020)"},"properties":{"noteIndex":0},"schema":"https://github.com/citation-style-language/schema/raw/master/csl-citation.json"}</w:instrText>
      </w:r>
      <w:r w:rsidRPr="00E32653">
        <w:rPr>
          <w:rFonts w:asciiTheme="majorBidi" w:hAnsiTheme="majorBidi" w:cstheme="majorBidi"/>
        </w:rPr>
        <w:fldChar w:fldCharType="separate"/>
      </w:r>
      <w:r w:rsidRPr="00E32653">
        <w:rPr>
          <w:rFonts w:asciiTheme="majorBidi" w:hAnsiTheme="majorBidi" w:cstheme="majorBidi"/>
          <w:noProof/>
        </w:rPr>
        <w:t>Balasbaneh et al., (2020)</w:t>
      </w:r>
      <w:r w:rsidRPr="00E32653">
        <w:rPr>
          <w:rFonts w:asciiTheme="majorBidi" w:hAnsiTheme="majorBidi" w:cstheme="majorBidi"/>
        </w:rPr>
        <w:fldChar w:fldCharType="end"/>
      </w:r>
      <w:r w:rsidRPr="00E32653">
        <w:rPr>
          <w:rFonts w:asciiTheme="majorBidi" w:hAnsiTheme="majorBidi" w:cstheme="majorBidi"/>
        </w:rPr>
        <w:t xml:space="preserve">. One Malaysian Ringgit </w:t>
      </w:r>
      <w:r w:rsidR="006A3E3E" w:rsidRPr="00E32653">
        <w:rPr>
          <w:rFonts w:asciiTheme="majorBidi" w:hAnsiTheme="majorBidi" w:cstheme="majorBidi"/>
        </w:rPr>
        <w:t xml:space="preserve">was </w:t>
      </w:r>
      <w:r w:rsidRPr="00E32653">
        <w:rPr>
          <w:rFonts w:asciiTheme="majorBidi" w:hAnsiTheme="majorBidi" w:cstheme="majorBidi"/>
        </w:rPr>
        <w:t xml:space="preserve">equal to 0.25 United States Dollar </w:t>
      </w:r>
      <w:r w:rsidR="006A3E3E" w:rsidRPr="00E32653">
        <w:rPr>
          <w:rFonts w:asciiTheme="majorBidi" w:hAnsiTheme="majorBidi" w:cstheme="majorBidi"/>
        </w:rPr>
        <w:t xml:space="preserve">at the time </w:t>
      </w:r>
      <w:r w:rsidRPr="00E32653">
        <w:rPr>
          <w:rFonts w:asciiTheme="majorBidi" w:hAnsiTheme="majorBidi" w:cstheme="majorBidi"/>
        </w:rPr>
        <w:t>(December 2020).</w:t>
      </w:r>
    </w:p>
    <w:p w14:paraId="4242EFF2" w14:textId="77777777" w:rsidR="00404F6D" w:rsidRPr="00E32653" w:rsidRDefault="00404F6D" w:rsidP="000131AB">
      <w:pPr>
        <w:spacing w:before="240" w:line="276" w:lineRule="auto"/>
        <w:ind w:firstLine="720"/>
        <w:jc w:val="both"/>
        <w:rPr>
          <w:rFonts w:asciiTheme="majorBidi" w:hAnsiTheme="majorBidi" w:cstheme="majorBidi"/>
          <w:b/>
          <w:bCs/>
        </w:rPr>
      </w:pPr>
    </w:p>
    <w:p w14:paraId="06217FBA" w14:textId="77777777" w:rsidR="00450BB7" w:rsidRPr="00E32653" w:rsidRDefault="002D3F7E" w:rsidP="00450BB7">
      <w:pPr>
        <w:pStyle w:val="ListParagraph"/>
        <w:numPr>
          <w:ilvl w:val="1"/>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t>Multi-</w:t>
      </w:r>
      <w:r w:rsidR="00450BB7" w:rsidRPr="00E32653">
        <w:rPr>
          <w:rFonts w:asciiTheme="majorBidi" w:hAnsiTheme="majorBidi" w:cstheme="majorBidi"/>
          <w:b/>
          <w:bCs/>
          <w:i/>
          <w:iCs/>
          <w:sz w:val="24"/>
          <w:szCs w:val="24"/>
        </w:rPr>
        <w:t>Criteria Decision Making</w:t>
      </w:r>
    </w:p>
    <w:p w14:paraId="4C18909C" w14:textId="2805166F" w:rsidR="00840301" w:rsidRPr="00E32653" w:rsidRDefault="000131AB" w:rsidP="00165F2B">
      <w:pPr>
        <w:spacing w:line="276" w:lineRule="auto"/>
        <w:ind w:firstLine="720"/>
        <w:jc w:val="both"/>
        <w:rPr>
          <w:rFonts w:asciiTheme="majorBidi" w:hAnsiTheme="majorBidi" w:cstheme="majorBidi"/>
        </w:rPr>
      </w:pPr>
      <w:r w:rsidRPr="00E32653">
        <w:rPr>
          <w:rFonts w:asciiTheme="majorBidi" w:hAnsiTheme="majorBidi" w:cstheme="majorBidi"/>
        </w:rPr>
        <w:t>The f</w:t>
      </w:r>
      <w:r w:rsidR="00E53D40" w:rsidRPr="00E32653">
        <w:rPr>
          <w:rFonts w:asciiTheme="majorBidi" w:hAnsiTheme="majorBidi" w:cstheme="majorBidi"/>
        </w:rPr>
        <w:t xml:space="preserve">irst step </w:t>
      </w:r>
      <w:r w:rsidR="006A3E3E" w:rsidRPr="00E32653">
        <w:rPr>
          <w:rFonts w:asciiTheme="majorBidi" w:hAnsiTheme="majorBidi" w:cstheme="majorBidi"/>
        </w:rPr>
        <w:t>in</w:t>
      </w:r>
      <w:r w:rsidR="00E53D40" w:rsidRPr="00E32653">
        <w:rPr>
          <w:rFonts w:asciiTheme="majorBidi" w:hAnsiTheme="majorBidi" w:cstheme="majorBidi"/>
        </w:rPr>
        <w:t xml:space="preserve"> </w:t>
      </w:r>
      <w:r w:rsidRPr="00E32653">
        <w:rPr>
          <w:rFonts w:asciiTheme="majorBidi" w:hAnsiTheme="majorBidi" w:cstheme="majorBidi"/>
        </w:rPr>
        <w:t xml:space="preserve">the Analytic Hierarchy Process (AHP) method </w:t>
      </w:r>
      <w:r w:rsidR="006A3E3E" w:rsidRPr="00E32653">
        <w:rPr>
          <w:rFonts w:asciiTheme="majorBidi" w:hAnsiTheme="majorBidi" w:cstheme="majorBidi"/>
        </w:rPr>
        <w:t xml:space="preserve">is </w:t>
      </w:r>
      <w:r w:rsidRPr="00E32653">
        <w:rPr>
          <w:rFonts w:asciiTheme="majorBidi" w:hAnsiTheme="majorBidi" w:cstheme="majorBidi"/>
        </w:rPr>
        <w:t xml:space="preserve">to discover and weigh </w:t>
      </w:r>
      <w:r w:rsidR="006A3E3E" w:rsidRPr="00E32653">
        <w:rPr>
          <w:rFonts w:asciiTheme="majorBidi" w:hAnsiTheme="majorBidi" w:cstheme="majorBidi"/>
        </w:rPr>
        <w:t xml:space="preserve">the </w:t>
      </w:r>
      <w:r w:rsidRPr="00E32653">
        <w:rPr>
          <w:rFonts w:asciiTheme="majorBidi" w:hAnsiTheme="majorBidi" w:cstheme="majorBidi"/>
        </w:rPr>
        <w:t>alternative criteria</w:t>
      </w:r>
      <w:r w:rsidR="00E53D40" w:rsidRPr="00E32653">
        <w:rPr>
          <w:rFonts w:asciiTheme="majorBidi" w:hAnsiTheme="majorBidi" w:cstheme="majorBidi"/>
        </w:rPr>
        <w:t xml:space="preserve"> cited in table </w:t>
      </w:r>
      <w:r w:rsidR="00165F2B" w:rsidRPr="00E32653">
        <w:rPr>
          <w:rFonts w:asciiTheme="majorBidi" w:hAnsiTheme="majorBidi" w:cstheme="majorBidi"/>
        </w:rPr>
        <w:t>1</w:t>
      </w:r>
      <w:r w:rsidR="00E53D40" w:rsidRPr="00E32653">
        <w:rPr>
          <w:rFonts w:asciiTheme="majorBidi" w:hAnsiTheme="majorBidi" w:cstheme="majorBidi"/>
        </w:rPr>
        <w:t xml:space="preserve">. AHP was applied to </w:t>
      </w:r>
      <w:r w:rsidR="000375D4" w:rsidRPr="00E32653">
        <w:rPr>
          <w:rFonts w:asciiTheme="majorBidi" w:hAnsiTheme="majorBidi" w:cstheme="majorBidi"/>
        </w:rPr>
        <w:t xml:space="preserve">identify </w:t>
      </w:r>
      <w:r w:rsidR="00E53D40" w:rsidRPr="00E32653">
        <w:rPr>
          <w:rFonts w:asciiTheme="majorBidi" w:hAnsiTheme="majorBidi" w:cstheme="majorBidi"/>
        </w:rPr>
        <w:t>the dependency and importance of each criteri</w:t>
      </w:r>
      <w:r w:rsidRPr="00E32653">
        <w:rPr>
          <w:rFonts w:asciiTheme="majorBidi" w:hAnsiTheme="majorBidi" w:cstheme="majorBidi"/>
        </w:rPr>
        <w:t>on</w:t>
      </w:r>
      <w:r w:rsidR="00E53D40" w:rsidRPr="00E32653">
        <w:rPr>
          <w:rFonts w:asciiTheme="majorBidi" w:hAnsiTheme="majorBidi" w:cstheme="majorBidi"/>
        </w:rPr>
        <w:t xml:space="preserve"> on different case studies. This method shows the weights and value</w:t>
      </w:r>
      <w:r w:rsidRPr="00E32653">
        <w:rPr>
          <w:rFonts w:asciiTheme="majorBidi" w:hAnsiTheme="majorBidi" w:cstheme="majorBidi"/>
        </w:rPr>
        <w:t>s</w:t>
      </w:r>
      <w:r w:rsidR="00E53D40" w:rsidRPr="00E32653">
        <w:rPr>
          <w:rFonts w:asciiTheme="majorBidi" w:hAnsiTheme="majorBidi" w:cstheme="majorBidi"/>
        </w:rPr>
        <w:t xml:space="preserve"> of eight criteria based on expert opinion </w:t>
      </w:r>
      <w:r w:rsidR="00E53D40" w:rsidRPr="00E32653">
        <w:rPr>
          <w:rFonts w:asciiTheme="majorBidi" w:hAnsiTheme="majorBidi" w:cstheme="majorBidi"/>
        </w:rPr>
        <w:fldChar w:fldCharType="begin" w:fldLock="1"/>
      </w:r>
      <w:r w:rsidR="00E53D40" w:rsidRPr="00E32653">
        <w:rPr>
          <w:rFonts w:asciiTheme="majorBidi" w:hAnsiTheme="majorBidi" w:cstheme="majorBidi"/>
        </w:rPr>
        <w:instrText>ADDIN CSL_CITATION {"citationItems":[{"id":"ITEM-1","itemData":{"DOI":"10.5755/j01.ee.61.1.11571","ISSN":"13922785","abstract":"All new ideas and possible variants of decisions must be compared according to many criteria. The complex nature of decision-making requires practitioners to select investment options based on a wider variety of policy considerations in addition to cost benefit analysis and pure technical considerations. In economics and decision making it is essential to be able to take into account the impacts of cultural, social, moral, legislative, demographic, economic, environmental, governmental and technological change, as well as changes in the business world on international, national, regional and local markets. Cost benefit analysis approach is a useful tool for investment decision-making from an economic perspective. Cautions should also be given to the methods of determining the value of social and local interests. Some social externalities, such as employment and regional economic impacts, are generally omitted in current practices. Current practices tend to use cardinal or ordinal scales in measure in non-monetized criteria. The use of unreasonable monetization methods in some cases has discredited cost benefit analysis in the eyes of decision makers and the public. It may be appropriate to consider these externalities in qualitative forms in a multi-criteria analysis. Multi-criteria decision making is used in various areas of human activities. The Criteria can be qualitative and quantitative. They usually have different units of measurement and differ in optimization direction. The normalization aims at obtaining comparable scales of criteria values. In the new version of the program LEVI 4 the normalization methods are including vector, linear scale, non-linear and new logarithmic techniques may be used. This software considers the main aspects of two-sided game problems. The following strategic principles are used: Wald's rule, Savage criterion, Hurwicz's rule, Laplace's rule, Bayes's rule and Hodges-Lehmann rule. This program is demonstrated by considering a real case study involving 4 evaluation criteria of the currently used external walls of individual residential buildings.","author":[{"dropping-particle":"","family":"Turskis","given":"Zenonas","non-dropping-particle":"","parse-names":false,"suffix":""},{"dropping-particle":"","family":"Zavadskas","given":"Edmundas Kazimieras","non-dropping-particle":"","parse-names":false,"suffix":""},{"dropping-particle":"","family":"Peldschus","given":"Friedel","non-dropping-particle":"","parse-names":false,"suffix":""}],"container-title":"Engineering Economics","id":"ITEM-1","issue":"61","issued":{"date-parts":[["2009"]]},"page":"7-17","title":"Multi-criteria optimization system for decision making in construction design and management","type":"article-journal","volume":"1"},"uris":["http://www.mendeley.com/documents/?uuid=05e841a9-ab6c-4083-8578-7933c44eccfd"]}],"mendeley":{"formattedCitation":"(Turskis et al., 2009)","plainTextFormattedCitation":"(Turskis et al., 2009)","previouslyFormattedCitation":"(Turskis et al., 2009)"},"properties":{"noteIndex":0},"schema":"https://github.com/citation-style-language/schema/raw/master/csl-citation.json"}</w:instrText>
      </w:r>
      <w:r w:rsidR="00E53D40" w:rsidRPr="00E32653">
        <w:rPr>
          <w:rFonts w:asciiTheme="majorBidi" w:hAnsiTheme="majorBidi" w:cstheme="majorBidi"/>
        </w:rPr>
        <w:fldChar w:fldCharType="separate"/>
      </w:r>
      <w:r w:rsidR="00E53D40" w:rsidRPr="00E32653">
        <w:rPr>
          <w:rFonts w:asciiTheme="majorBidi" w:hAnsiTheme="majorBidi" w:cstheme="majorBidi"/>
          <w:noProof/>
        </w:rPr>
        <w:t>(Turskis et al., 2009)</w:t>
      </w:r>
      <w:r w:rsidR="00E53D40" w:rsidRPr="00E32653">
        <w:rPr>
          <w:rFonts w:asciiTheme="majorBidi" w:hAnsiTheme="majorBidi" w:cstheme="majorBidi"/>
        </w:rPr>
        <w:fldChar w:fldCharType="end"/>
      </w:r>
      <w:r w:rsidR="00E53D40" w:rsidRPr="00E32653">
        <w:rPr>
          <w:rFonts w:asciiTheme="majorBidi" w:hAnsiTheme="majorBidi" w:cstheme="majorBidi"/>
        </w:rPr>
        <w:t>. Since no criteri</w:t>
      </w:r>
      <w:r w:rsidR="000375D4" w:rsidRPr="00E32653">
        <w:rPr>
          <w:rFonts w:asciiTheme="majorBidi" w:hAnsiTheme="majorBidi" w:cstheme="majorBidi"/>
        </w:rPr>
        <w:t>on (</w:t>
      </w:r>
      <w:r w:rsidR="00E53D40" w:rsidRPr="00E32653">
        <w:rPr>
          <w:rFonts w:asciiTheme="majorBidi" w:hAnsiTheme="majorBidi" w:cstheme="majorBidi"/>
        </w:rPr>
        <w:t>such as GWP, embodied energy, cost</w:t>
      </w:r>
      <w:r w:rsidRPr="00E32653">
        <w:rPr>
          <w:rFonts w:asciiTheme="majorBidi" w:hAnsiTheme="majorBidi" w:cstheme="majorBidi"/>
        </w:rPr>
        <w:t>,</w:t>
      </w:r>
      <w:r w:rsidR="00E53D40" w:rsidRPr="00E32653">
        <w:rPr>
          <w:rFonts w:asciiTheme="majorBidi" w:hAnsiTheme="majorBidi" w:cstheme="majorBidi"/>
        </w:rPr>
        <w:t xml:space="preserve"> </w:t>
      </w:r>
      <w:r w:rsidR="005B450B" w:rsidRPr="00E32653">
        <w:rPr>
          <w:rFonts w:asciiTheme="majorBidi" w:hAnsiTheme="majorBidi" w:cstheme="majorBidi"/>
        </w:rPr>
        <w:t>etc</w:t>
      </w:r>
      <w:r w:rsidR="00241342" w:rsidRPr="00E32653">
        <w:rPr>
          <w:rFonts w:asciiTheme="majorBidi" w:hAnsiTheme="majorBidi" w:cstheme="majorBidi"/>
        </w:rPr>
        <w:t xml:space="preserve">) </w:t>
      </w:r>
      <w:r w:rsidR="00E53D40" w:rsidRPr="00E32653">
        <w:rPr>
          <w:rFonts w:asciiTheme="majorBidi" w:hAnsiTheme="majorBidi" w:cstheme="majorBidi"/>
        </w:rPr>
        <w:t xml:space="preserve">has priority and importance over </w:t>
      </w:r>
      <w:r w:rsidRPr="00E32653">
        <w:rPr>
          <w:rFonts w:asciiTheme="majorBidi" w:hAnsiTheme="majorBidi" w:cstheme="majorBidi"/>
        </w:rPr>
        <w:t>an</w:t>
      </w:r>
      <w:r w:rsidR="00E53D40" w:rsidRPr="00E32653">
        <w:rPr>
          <w:rFonts w:asciiTheme="majorBidi" w:hAnsiTheme="majorBidi" w:cstheme="majorBidi"/>
        </w:rPr>
        <w:t xml:space="preserve">other, there is no proof that all these criteria have </w:t>
      </w:r>
      <w:r w:rsidRPr="00E32653">
        <w:rPr>
          <w:rFonts w:asciiTheme="majorBidi" w:hAnsiTheme="majorBidi" w:cstheme="majorBidi"/>
        </w:rPr>
        <w:t>the</w:t>
      </w:r>
      <w:r w:rsidR="00E53D40" w:rsidRPr="00E32653">
        <w:rPr>
          <w:rFonts w:asciiTheme="majorBidi" w:hAnsiTheme="majorBidi" w:cstheme="majorBidi"/>
        </w:rPr>
        <w:t xml:space="preserve"> same value. </w:t>
      </w:r>
    </w:p>
    <w:p w14:paraId="49B0C769" w14:textId="624D7958" w:rsidR="00450BB7" w:rsidRPr="00E32653" w:rsidRDefault="00AF41C2" w:rsidP="00165F2B">
      <w:pPr>
        <w:spacing w:after="0"/>
        <w:ind w:firstLine="720"/>
        <w:jc w:val="both"/>
        <w:rPr>
          <w:rFonts w:asciiTheme="majorBidi" w:hAnsiTheme="majorBidi" w:cstheme="majorBidi"/>
        </w:rPr>
      </w:pPr>
      <w:r w:rsidRPr="00E32653">
        <w:rPr>
          <w:rFonts w:asciiTheme="majorBidi" w:hAnsiTheme="majorBidi" w:cstheme="majorBidi"/>
        </w:rPr>
        <w:t>Sixty-two construction professionals were invited to participate in this study. They were drawn from</w:t>
      </w:r>
      <w:r w:rsidR="007E44BF" w:rsidRPr="00E32653">
        <w:rPr>
          <w:rFonts w:asciiTheme="majorBidi" w:hAnsiTheme="majorBidi" w:cstheme="majorBidi"/>
        </w:rPr>
        <w:t xml:space="preserve"> three different </w:t>
      </w:r>
      <w:r w:rsidRPr="00E32653">
        <w:rPr>
          <w:rFonts w:asciiTheme="majorBidi" w:hAnsiTheme="majorBidi" w:cstheme="majorBidi"/>
        </w:rPr>
        <w:t>sectors</w:t>
      </w:r>
      <w:r w:rsidR="000131AB" w:rsidRPr="00E32653">
        <w:rPr>
          <w:rFonts w:asciiTheme="majorBidi" w:hAnsiTheme="majorBidi" w:cstheme="majorBidi"/>
        </w:rPr>
        <w:t>: construction managers, designers, and stakeholders</w:t>
      </w:r>
      <w:r w:rsidRPr="00E32653">
        <w:rPr>
          <w:rFonts w:asciiTheme="majorBidi" w:hAnsiTheme="majorBidi" w:cstheme="majorBidi"/>
        </w:rPr>
        <w:t xml:space="preserve"> all of whom were</w:t>
      </w:r>
      <w:r w:rsidR="000131AB" w:rsidRPr="00E32653">
        <w:rPr>
          <w:rFonts w:asciiTheme="majorBidi" w:hAnsiTheme="majorBidi" w:cstheme="majorBidi"/>
        </w:rPr>
        <w:t xml:space="preserve"> involved in </w:t>
      </w:r>
      <w:r w:rsidR="00007283" w:rsidRPr="00E32653">
        <w:rPr>
          <w:rFonts w:asciiTheme="majorBidi" w:hAnsiTheme="majorBidi" w:cstheme="majorBidi"/>
        </w:rPr>
        <w:t xml:space="preserve">mass timber </w:t>
      </w:r>
      <w:r w:rsidR="000131AB" w:rsidRPr="00E32653">
        <w:rPr>
          <w:rFonts w:asciiTheme="majorBidi" w:hAnsiTheme="majorBidi" w:cstheme="majorBidi"/>
        </w:rPr>
        <w:t>construction</w:t>
      </w:r>
      <w:r w:rsidR="007E44BF" w:rsidRPr="00E32653">
        <w:rPr>
          <w:rFonts w:asciiTheme="majorBidi" w:hAnsiTheme="majorBidi" w:cstheme="majorBidi"/>
        </w:rPr>
        <w:t xml:space="preserve">. </w:t>
      </w:r>
      <w:r w:rsidR="000131AB" w:rsidRPr="00E32653">
        <w:rPr>
          <w:rFonts w:asciiTheme="majorBidi" w:hAnsiTheme="majorBidi" w:cstheme="majorBidi"/>
        </w:rPr>
        <w:t>A q</w:t>
      </w:r>
      <w:r w:rsidR="004A571E" w:rsidRPr="00E32653">
        <w:rPr>
          <w:rFonts w:asciiTheme="majorBidi" w:hAnsiTheme="majorBidi" w:cstheme="majorBidi"/>
        </w:rPr>
        <w:t xml:space="preserve">uestionnaire </w:t>
      </w:r>
      <w:r w:rsidRPr="00E32653">
        <w:rPr>
          <w:rFonts w:asciiTheme="majorBidi" w:hAnsiTheme="majorBidi" w:cstheme="majorBidi"/>
        </w:rPr>
        <w:t>was</w:t>
      </w:r>
      <w:r w:rsidR="004A571E" w:rsidRPr="00E32653">
        <w:rPr>
          <w:rFonts w:asciiTheme="majorBidi" w:hAnsiTheme="majorBidi" w:cstheme="majorBidi"/>
        </w:rPr>
        <w:t xml:space="preserve"> </w:t>
      </w:r>
      <w:r w:rsidRPr="00E32653">
        <w:rPr>
          <w:rFonts w:asciiTheme="majorBidi" w:hAnsiTheme="majorBidi" w:cstheme="majorBidi"/>
        </w:rPr>
        <w:t>administered to elicit data about eight parameters concerning</w:t>
      </w:r>
      <w:r w:rsidR="004A571E" w:rsidRPr="00E32653">
        <w:rPr>
          <w:rFonts w:asciiTheme="majorBidi" w:hAnsiTheme="majorBidi" w:cstheme="majorBidi"/>
        </w:rPr>
        <w:t xml:space="preserve"> </w:t>
      </w:r>
      <w:r w:rsidR="000131AB" w:rsidRPr="00E32653">
        <w:rPr>
          <w:rFonts w:asciiTheme="majorBidi" w:hAnsiTheme="majorBidi" w:cstheme="majorBidi"/>
        </w:rPr>
        <w:t>each criteri</w:t>
      </w:r>
      <w:r w:rsidRPr="00E32653">
        <w:rPr>
          <w:rFonts w:asciiTheme="majorBidi" w:hAnsiTheme="majorBidi" w:cstheme="majorBidi"/>
        </w:rPr>
        <w:t>on</w:t>
      </w:r>
      <w:r w:rsidR="000131AB" w:rsidRPr="00E32653">
        <w:rPr>
          <w:rFonts w:asciiTheme="majorBidi" w:hAnsiTheme="majorBidi" w:cstheme="majorBidi"/>
        </w:rPr>
        <w:t>'s weights</w:t>
      </w:r>
      <w:r w:rsidR="004A571E" w:rsidRPr="00E32653">
        <w:rPr>
          <w:rFonts w:asciiTheme="majorBidi" w:hAnsiTheme="majorBidi" w:cstheme="majorBidi"/>
        </w:rPr>
        <w:t xml:space="preserve"> and their respective priorities</w:t>
      </w:r>
      <w:r w:rsidR="00092E82" w:rsidRPr="00E32653">
        <w:rPr>
          <w:rFonts w:asciiTheme="majorBidi" w:hAnsiTheme="majorBidi" w:cstheme="majorBidi"/>
        </w:rPr>
        <w:t xml:space="preserve">. </w:t>
      </w:r>
      <w:r w:rsidR="00450BB7" w:rsidRPr="00E32653">
        <w:rPr>
          <w:rFonts w:asciiTheme="majorBidi" w:hAnsiTheme="majorBidi" w:cstheme="majorBidi"/>
        </w:rPr>
        <w:t xml:space="preserve">The criteria and their corresponding weights (w) </w:t>
      </w:r>
      <w:r w:rsidR="001B639D" w:rsidRPr="00E32653">
        <w:rPr>
          <w:rFonts w:asciiTheme="majorBidi" w:hAnsiTheme="majorBidi" w:cstheme="majorBidi"/>
        </w:rPr>
        <w:t>were</w:t>
      </w:r>
      <w:r w:rsidR="00450BB7" w:rsidRPr="00E32653">
        <w:rPr>
          <w:rFonts w:asciiTheme="majorBidi" w:hAnsiTheme="majorBidi" w:cstheme="majorBidi"/>
        </w:rPr>
        <w:t xml:space="preserve"> placed in </w:t>
      </w:r>
      <w:r w:rsidR="001B639D" w:rsidRPr="00E32653">
        <w:rPr>
          <w:rFonts w:asciiTheme="majorBidi" w:hAnsiTheme="majorBidi" w:cstheme="majorBidi"/>
        </w:rPr>
        <w:t xml:space="preserve">a </w:t>
      </w:r>
      <w:r w:rsidR="00450BB7" w:rsidRPr="00E32653">
        <w:rPr>
          <w:rFonts w:asciiTheme="majorBidi" w:hAnsiTheme="majorBidi" w:cstheme="majorBidi"/>
        </w:rPr>
        <w:t xml:space="preserve">pairwise comparison matrix in line with Saaty (2008): </w:t>
      </w:r>
      <w:r w:rsidR="005017F1" w:rsidRPr="00E32653">
        <w:rPr>
          <w:rFonts w:asciiTheme="majorBidi" w:hAnsiTheme="majorBidi" w:cstheme="majorBidi"/>
        </w:rPr>
        <w:t>GWP (Y1), HCT (Y2), FDP (Y3), OLD (Y4), TA (Y5), LU (Y6),</w:t>
      </w:r>
      <w:r w:rsidR="00450BB7" w:rsidRPr="00E32653">
        <w:rPr>
          <w:rFonts w:asciiTheme="majorBidi" w:hAnsiTheme="majorBidi" w:cstheme="majorBidi"/>
        </w:rPr>
        <w:t xml:space="preserve"> </w:t>
      </w:r>
      <w:r w:rsidR="005017F1" w:rsidRPr="00E32653">
        <w:rPr>
          <w:rFonts w:asciiTheme="majorBidi" w:hAnsiTheme="majorBidi" w:cstheme="majorBidi"/>
        </w:rPr>
        <w:t>e</w:t>
      </w:r>
      <w:r w:rsidR="00450BB7" w:rsidRPr="00E32653">
        <w:rPr>
          <w:rFonts w:asciiTheme="majorBidi" w:hAnsiTheme="majorBidi" w:cstheme="majorBidi"/>
        </w:rPr>
        <w:t xml:space="preserve">mbodied energy </w:t>
      </w:r>
      <w:r w:rsidR="0037606D" w:rsidRPr="00E32653">
        <w:rPr>
          <w:rFonts w:asciiTheme="majorBidi" w:hAnsiTheme="majorBidi" w:cstheme="majorBidi"/>
        </w:rPr>
        <w:t>(Y</w:t>
      </w:r>
      <w:r w:rsidR="005017F1" w:rsidRPr="00E32653">
        <w:rPr>
          <w:rFonts w:asciiTheme="majorBidi" w:hAnsiTheme="majorBidi" w:cstheme="majorBidi"/>
        </w:rPr>
        <w:t>7</w:t>
      </w:r>
      <w:r w:rsidR="0037606D" w:rsidRPr="00E32653">
        <w:rPr>
          <w:rFonts w:asciiTheme="majorBidi" w:hAnsiTheme="majorBidi" w:cstheme="majorBidi"/>
        </w:rPr>
        <w:t>)</w:t>
      </w:r>
      <w:r w:rsidR="005017F1" w:rsidRPr="00E32653">
        <w:rPr>
          <w:rFonts w:asciiTheme="majorBidi" w:hAnsiTheme="majorBidi" w:cstheme="majorBidi"/>
        </w:rPr>
        <w:t>,</w:t>
      </w:r>
      <w:r w:rsidR="0037606D" w:rsidRPr="00E32653">
        <w:rPr>
          <w:rFonts w:asciiTheme="majorBidi" w:hAnsiTheme="majorBidi" w:cstheme="majorBidi"/>
        </w:rPr>
        <w:t xml:space="preserve"> and</w:t>
      </w:r>
      <w:r w:rsidR="00450BB7" w:rsidRPr="00E32653">
        <w:rPr>
          <w:rFonts w:asciiTheme="majorBidi" w:hAnsiTheme="majorBidi" w:cstheme="majorBidi"/>
        </w:rPr>
        <w:t xml:space="preserve"> </w:t>
      </w:r>
      <w:r w:rsidR="005017F1" w:rsidRPr="00E32653">
        <w:rPr>
          <w:rFonts w:asciiTheme="majorBidi" w:hAnsiTheme="majorBidi" w:cstheme="majorBidi"/>
        </w:rPr>
        <w:t>c</w:t>
      </w:r>
      <w:r w:rsidR="008C6E5E" w:rsidRPr="00E32653">
        <w:rPr>
          <w:rFonts w:asciiTheme="majorBidi" w:hAnsiTheme="majorBidi" w:cstheme="majorBidi"/>
        </w:rPr>
        <w:t xml:space="preserve">ost </w:t>
      </w:r>
      <w:r w:rsidR="00450BB7" w:rsidRPr="00E32653">
        <w:rPr>
          <w:rFonts w:asciiTheme="majorBidi" w:hAnsiTheme="majorBidi" w:cstheme="majorBidi"/>
        </w:rPr>
        <w:t>(Y</w:t>
      </w:r>
      <w:r w:rsidR="005017F1" w:rsidRPr="00E32653">
        <w:rPr>
          <w:rFonts w:asciiTheme="majorBidi" w:hAnsiTheme="majorBidi" w:cstheme="majorBidi"/>
        </w:rPr>
        <w:t>8</w:t>
      </w:r>
      <w:r w:rsidR="00450BB7" w:rsidRPr="00E32653">
        <w:rPr>
          <w:rFonts w:asciiTheme="majorBidi" w:hAnsiTheme="majorBidi" w:cstheme="majorBidi"/>
        </w:rPr>
        <w:t>). The pairwise comparison matrix is shown in T</w:t>
      </w:r>
      <w:r w:rsidR="00F618BC" w:rsidRPr="00E32653">
        <w:rPr>
          <w:rFonts w:asciiTheme="majorBidi" w:hAnsiTheme="majorBidi" w:cstheme="majorBidi"/>
        </w:rPr>
        <w:t xml:space="preserve">able </w:t>
      </w:r>
      <w:r w:rsidR="00165F2B" w:rsidRPr="00E32653">
        <w:rPr>
          <w:rFonts w:asciiTheme="majorBidi" w:hAnsiTheme="majorBidi" w:cstheme="majorBidi"/>
        </w:rPr>
        <w:t>1</w:t>
      </w:r>
      <w:r w:rsidR="00450BB7" w:rsidRPr="00E32653">
        <w:rPr>
          <w:rFonts w:asciiTheme="majorBidi" w:hAnsiTheme="majorBidi" w:cstheme="majorBidi"/>
        </w:rPr>
        <w:t xml:space="preserve">. </w:t>
      </w:r>
    </w:p>
    <w:p w14:paraId="388C9E7C" w14:textId="2F095221" w:rsidR="00E27593" w:rsidRPr="00E32653" w:rsidRDefault="00E27593" w:rsidP="00E27593">
      <w:pPr>
        <w:spacing w:before="240" w:line="276" w:lineRule="auto"/>
        <w:ind w:firstLine="720"/>
        <w:jc w:val="lowKashida"/>
        <w:rPr>
          <w:rFonts w:asciiTheme="majorBidi" w:hAnsiTheme="majorBidi" w:cstheme="majorBidi"/>
        </w:rPr>
      </w:pPr>
      <w:r w:rsidRPr="00E32653">
        <w:rPr>
          <w:rFonts w:asciiTheme="majorBidi" w:hAnsiTheme="majorBidi" w:cstheme="majorBidi"/>
        </w:rPr>
        <w:t xml:space="preserve">The survey was conducted to establish which of the eight different scales and their relative weightings might affect the MCDM results. The relative significance scale ranged between one and nine. The inclination scale for the pairwise comparison of </w:t>
      </w:r>
      <w:r w:rsidR="00780A5F" w:rsidRPr="00E32653">
        <w:rPr>
          <w:rFonts w:asciiTheme="majorBidi" w:hAnsiTheme="majorBidi" w:cstheme="majorBidi"/>
        </w:rPr>
        <w:t xml:space="preserve">the </w:t>
      </w:r>
      <w:r w:rsidRPr="00E32653">
        <w:rPr>
          <w:rFonts w:asciiTheme="majorBidi" w:hAnsiTheme="majorBidi" w:cstheme="majorBidi"/>
        </w:rPr>
        <w:t xml:space="preserve">two parameters ranged from the most extreme of 9 to 1. To ensure consistency of the comparison, the Consistency Ratio (CR) value should be less than 0.1. </w:t>
      </w:r>
    </w:p>
    <w:p w14:paraId="27CF308B" w14:textId="11744FF0" w:rsidR="008C2680" w:rsidRPr="00E32653" w:rsidRDefault="008C2680" w:rsidP="00E27593">
      <w:pPr>
        <w:spacing w:before="240" w:line="276" w:lineRule="auto"/>
        <w:ind w:firstLine="720"/>
        <w:jc w:val="lowKashida"/>
        <w:rPr>
          <w:rFonts w:asciiTheme="majorBidi" w:hAnsiTheme="majorBidi" w:cstheme="majorBidi"/>
        </w:rPr>
      </w:pPr>
    </w:p>
    <w:p w14:paraId="362B62C2" w14:textId="7BEE6EDA" w:rsidR="00950DD9" w:rsidRPr="00E32653" w:rsidRDefault="00950DD9" w:rsidP="00E27593">
      <w:pPr>
        <w:spacing w:before="240" w:line="276" w:lineRule="auto"/>
        <w:ind w:firstLine="720"/>
        <w:jc w:val="lowKashida"/>
        <w:rPr>
          <w:rFonts w:asciiTheme="majorBidi" w:hAnsiTheme="majorBidi" w:cstheme="majorBidi"/>
        </w:rPr>
      </w:pPr>
    </w:p>
    <w:p w14:paraId="051F96B0" w14:textId="77777777" w:rsidR="00950DD9" w:rsidRPr="00E32653" w:rsidRDefault="00950DD9" w:rsidP="00E27593">
      <w:pPr>
        <w:spacing w:before="240" w:line="276" w:lineRule="auto"/>
        <w:ind w:firstLine="720"/>
        <w:jc w:val="lowKashida"/>
        <w:rPr>
          <w:rFonts w:asciiTheme="majorBidi" w:hAnsiTheme="majorBidi" w:cstheme="majorBidi"/>
        </w:rPr>
      </w:pPr>
    </w:p>
    <w:p w14:paraId="1DDEF1EB" w14:textId="394F61D1" w:rsidR="00450BB7" w:rsidRPr="00E32653" w:rsidRDefault="00165F2B" w:rsidP="00C8751B">
      <w:pPr>
        <w:autoSpaceDE w:val="0"/>
        <w:autoSpaceDN w:val="0"/>
        <w:adjustRightInd w:val="0"/>
        <w:spacing w:before="240" w:after="0" w:line="240" w:lineRule="auto"/>
        <w:ind w:left="2160" w:firstLine="180"/>
        <w:rPr>
          <w:rFonts w:asciiTheme="majorBidi" w:hAnsiTheme="majorBidi" w:cstheme="majorBidi"/>
          <w:sz w:val="18"/>
          <w:szCs w:val="18"/>
        </w:rPr>
      </w:pPr>
      <w:r w:rsidRPr="00E32653">
        <w:rPr>
          <w:rFonts w:asciiTheme="majorBidi" w:hAnsiTheme="majorBidi" w:cstheme="majorBidi"/>
          <w:sz w:val="18"/>
          <w:szCs w:val="18"/>
        </w:rPr>
        <w:lastRenderedPageBreak/>
        <w:t>Table 1</w:t>
      </w:r>
      <w:r w:rsidR="00450BB7" w:rsidRPr="00E32653">
        <w:rPr>
          <w:rFonts w:asciiTheme="majorBidi" w:hAnsiTheme="majorBidi" w:cstheme="majorBidi"/>
          <w:sz w:val="18"/>
          <w:szCs w:val="18"/>
        </w:rPr>
        <w:t>. Comparison matrix related to the four objectives</w:t>
      </w:r>
    </w:p>
    <w:p w14:paraId="3015DA36" w14:textId="5755160D" w:rsidR="00C8751B" w:rsidRPr="00E32653" w:rsidRDefault="00C8751B" w:rsidP="00C8751B">
      <w:pPr>
        <w:autoSpaceDE w:val="0"/>
        <w:autoSpaceDN w:val="0"/>
        <w:adjustRightInd w:val="0"/>
        <w:spacing w:after="0" w:line="240" w:lineRule="auto"/>
        <w:ind w:firstLine="720"/>
        <w:jc w:val="center"/>
        <w:rPr>
          <w:rFonts w:asciiTheme="majorBidi" w:hAnsiTheme="majorBidi" w:cstheme="majorBidi"/>
          <w:sz w:val="18"/>
          <w:szCs w:val="18"/>
        </w:rPr>
      </w:pPr>
      <w:r w:rsidRPr="00E32653">
        <w:rPr>
          <w:rFonts w:asciiTheme="majorBidi" w:hAnsiTheme="majorBidi" w:cstheme="majorBidi"/>
          <w:noProof/>
          <w:sz w:val="18"/>
          <w:szCs w:val="18"/>
        </w:rPr>
        <w:drawing>
          <wp:inline distT="0" distB="0" distL="0" distR="0" wp14:anchorId="763BCC48" wp14:editId="5FF502B7">
            <wp:extent cx="3429000" cy="1356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46742" cy="1363426"/>
                    </a:xfrm>
                    <a:prstGeom prst="rect">
                      <a:avLst/>
                    </a:prstGeom>
                  </pic:spPr>
                </pic:pic>
              </a:graphicData>
            </a:graphic>
          </wp:inline>
        </w:drawing>
      </w:r>
    </w:p>
    <w:p w14:paraId="5032AC6D" w14:textId="1FC54B0B" w:rsidR="00B751A8" w:rsidRPr="00E32653" w:rsidRDefault="00772A7F" w:rsidP="00051645">
      <w:pPr>
        <w:spacing w:before="240" w:line="276" w:lineRule="auto"/>
        <w:ind w:firstLine="720"/>
        <w:jc w:val="lowKashida"/>
        <w:rPr>
          <w:rFonts w:asciiTheme="majorBidi" w:hAnsiTheme="majorBidi" w:cstheme="majorBidi"/>
        </w:rPr>
      </w:pPr>
      <w:r w:rsidRPr="00E32653">
        <w:rPr>
          <w:rFonts w:asciiTheme="majorBidi" w:hAnsiTheme="majorBidi" w:cstheme="majorBidi"/>
        </w:rPr>
        <w:t xml:space="preserve">Secondly, </w:t>
      </w:r>
      <w:r w:rsidR="00E53D40" w:rsidRPr="00E32653">
        <w:rPr>
          <w:rFonts w:asciiTheme="majorBidi" w:hAnsiTheme="majorBidi" w:cstheme="majorBidi"/>
        </w:rPr>
        <w:t>MCDM is a decision-making tool that allows problems to be investigated by prioritizing alternatives. These alternatives are based on individual criteria measured in units that differ from other</w:t>
      </w:r>
      <w:r w:rsidR="00654920" w:rsidRPr="00E32653">
        <w:rPr>
          <w:rFonts w:asciiTheme="majorBidi" w:hAnsiTheme="majorBidi" w:cstheme="majorBidi"/>
        </w:rPr>
        <w:t xml:space="preserve"> criteria</w:t>
      </w:r>
      <w:r w:rsidR="00E53D40" w:rsidRPr="00E32653">
        <w:rPr>
          <w:rFonts w:asciiTheme="majorBidi" w:hAnsiTheme="majorBidi" w:cstheme="majorBidi"/>
        </w:rPr>
        <w:t xml:space="preserve"> (Hermann et al., 2007; </w:t>
      </w:r>
      <w:r w:rsidR="00E53D40" w:rsidRPr="00E32653">
        <w:rPr>
          <w:rFonts w:ascii="Times New Roman" w:hAnsi="Times New Roman" w:cs="Times New Roman"/>
          <w:noProof/>
        </w:rPr>
        <w:t>Lipušček</w:t>
      </w:r>
      <w:r w:rsidR="00E53D40" w:rsidRPr="00E32653">
        <w:rPr>
          <w:rFonts w:asciiTheme="majorBidi" w:hAnsiTheme="majorBidi" w:cstheme="majorBidi"/>
        </w:rPr>
        <w:t xml:space="preserve"> et al., </w:t>
      </w:r>
      <w:r w:rsidR="00E53D40" w:rsidRPr="00E32653">
        <w:rPr>
          <w:rFonts w:ascii="Times New Roman" w:hAnsi="Times New Roman" w:cs="Times New Roman"/>
          <w:noProof/>
        </w:rPr>
        <w:t>2010</w:t>
      </w:r>
      <w:r w:rsidR="00E53D40" w:rsidRPr="00E32653">
        <w:rPr>
          <w:rFonts w:asciiTheme="majorBidi" w:hAnsiTheme="majorBidi" w:cstheme="majorBidi"/>
        </w:rPr>
        <w:t>).</w:t>
      </w:r>
      <w:r w:rsidRPr="00E32653">
        <w:rPr>
          <w:rFonts w:asciiTheme="majorBidi" w:hAnsiTheme="majorBidi" w:cstheme="majorBidi"/>
        </w:rPr>
        <w:t xml:space="preserve"> </w:t>
      </w:r>
      <w:r w:rsidR="00D65C31" w:rsidRPr="00E32653">
        <w:rPr>
          <w:rFonts w:asciiTheme="majorBidi" w:hAnsiTheme="majorBidi" w:cstheme="majorBidi"/>
        </w:rPr>
        <w:t xml:space="preserve">The </w:t>
      </w:r>
      <w:r w:rsidR="00B751A8" w:rsidRPr="00E32653">
        <w:rPr>
          <w:rFonts w:asciiTheme="majorBidi" w:hAnsiTheme="majorBidi" w:cstheme="majorBidi"/>
        </w:rPr>
        <w:t>Weighted Aggregated Sum Product Assessment (WASPAS) method</w:t>
      </w:r>
      <w:r w:rsidR="008C5325" w:rsidRPr="00E32653">
        <w:rPr>
          <w:rFonts w:asciiTheme="majorBidi" w:hAnsiTheme="majorBidi" w:cstheme="majorBidi"/>
        </w:rPr>
        <w:t xml:space="preserve"> was used. This was</w:t>
      </w:r>
      <w:r w:rsidR="00D65C31" w:rsidRPr="00E32653">
        <w:rPr>
          <w:rFonts w:asciiTheme="majorBidi" w:hAnsiTheme="majorBidi" w:cstheme="majorBidi"/>
        </w:rPr>
        <w:t xml:space="preserve"> </w:t>
      </w:r>
      <w:r w:rsidR="00B751A8" w:rsidRPr="00E32653">
        <w:rPr>
          <w:rFonts w:asciiTheme="majorBidi" w:hAnsiTheme="majorBidi" w:cstheme="majorBidi"/>
        </w:rPr>
        <w:t xml:space="preserve">developed by </w:t>
      </w:r>
      <w:r w:rsidR="00B751A8" w:rsidRPr="00E32653">
        <w:rPr>
          <w:rFonts w:asciiTheme="majorBidi" w:hAnsiTheme="majorBidi" w:cstheme="majorBidi"/>
        </w:rPr>
        <w:fldChar w:fldCharType="begin" w:fldLock="1"/>
      </w:r>
      <w:r w:rsidR="00E6313B" w:rsidRPr="00E32653">
        <w:rPr>
          <w:rFonts w:asciiTheme="majorBidi" w:hAnsiTheme="majorBidi" w:cstheme="majorBidi"/>
        </w:rPr>
        <w:instrText>ADDIN CSL_CITATION {"citationItems":[{"id":"ITEM-1","itemData":{"DOI":"10.5755/j01.eee.122.6.1810","ISSN":"13921215","abstract":"One of important parts of every computer-aided multiple criteria decision support system is selection of a proper MCDM (Multiple Criteria Decision Making) method. WSM (Weighted Sum Model) and WPM (Weighted Product Model) are analyzed in the current research. The aim of the research is to measure the accuracy of the latter methods and to propose a method to increase the ranking accuracy of alternatives. It is proposed to apply joint WASPAS (Weighted Aggregates Sum Product Assessment) method. Methodology for evaluation of accuracy, based on initial criteria values, is developed. Optimization of weighted aggregated function is suggested, that enables to reach the highest accuracy of measurement. An example of application of the proposed methodology is presented.","author":[{"dropping-particle":"","family":"Zavadskas","given":"E. K.","non-dropping-particle":"","parse-names":false,"suffix":""},{"dropping-particle":"","family":"Turskis","given":"Z.","non-dropping-particle":"","parse-names":false,"suffix":""},{"dropping-particle":"","family":"Antucheviciene","given":"J.","non-dropping-particle":"","parse-names":false,"suffix":""},{"dropping-particle":"","family":"Zakarevicius","given":"A.","non-dropping-particle":"","parse-names":false,"suffix":""}],"container-title":"Elektronika ir Elektrotechnika","id":"ITEM-1","issue":"6","issued":{"date-parts":[["2012"]]},"page":"3-6","title":"Optimization of weighted aggregated sum product assessment","type":"article-journal","volume":"122"},"uris":["http://www.mendeley.com/documents/?uuid=4b78daee-73c9-46c2-8c79-17ddaba81593"]}],"mendeley":{"formattedCitation":"(Zavadskas et al., 2012)","plainTextFormattedCitation":"(Zavadskas et al., 2012)","previouslyFormattedCitation":"(Zavadskas et al., 2012)"},"properties":{"noteIndex":0},"schema":"https://github.com/citation-style-language/schema/raw/master/csl-citation.json"}</w:instrText>
      </w:r>
      <w:r w:rsidR="00B751A8" w:rsidRPr="00E32653">
        <w:rPr>
          <w:rFonts w:asciiTheme="majorBidi" w:hAnsiTheme="majorBidi" w:cstheme="majorBidi"/>
        </w:rPr>
        <w:fldChar w:fldCharType="separate"/>
      </w:r>
      <w:r w:rsidR="00E6313B" w:rsidRPr="00E32653">
        <w:rPr>
          <w:rFonts w:asciiTheme="majorBidi" w:hAnsiTheme="majorBidi" w:cstheme="majorBidi"/>
          <w:noProof/>
        </w:rPr>
        <w:t>(Zavadskas et al., 2012)</w:t>
      </w:r>
      <w:r w:rsidR="00B751A8" w:rsidRPr="00E32653">
        <w:rPr>
          <w:rFonts w:asciiTheme="majorBidi" w:hAnsiTheme="majorBidi" w:cstheme="majorBidi"/>
        </w:rPr>
        <w:fldChar w:fldCharType="end"/>
      </w:r>
      <w:r w:rsidR="00D65C31" w:rsidRPr="00E32653">
        <w:rPr>
          <w:rFonts w:asciiTheme="majorBidi" w:hAnsiTheme="majorBidi" w:cstheme="majorBidi"/>
        </w:rPr>
        <w:t>,</w:t>
      </w:r>
      <w:r w:rsidR="00B751A8" w:rsidRPr="00E32653">
        <w:rPr>
          <w:rFonts w:asciiTheme="majorBidi" w:hAnsiTheme="majorBidi" w:cstheme="majorBidi"/>
        </w:rPr>
        <w:t xml:space="preserve"> </w:t>
      </w:r>
      <w:r w:rsidR="008C5325" w:rsidRPr="00E32653">
        <w:rPr>
          <w:rFonts w:asciiTheme="majorBidi" w:hAnsiTheme="majorBidi" w:cstheme="majorBidi"/>
        </w:rPr>
        <w:t xml:space="preserve">and </w:t>
      </w:r>
      <w:r w:rsidR="00B751A8" w:rsidRPr="00E32653">
        <w:rPr>
          <w:rFonts w:asciiTheme="majorBidi" w:hAnsiTheme="majorBidi" w:cstheme="majorBidi"/>
        </w:rPr>
        <w:t>is a group of two methods</w:t>
      </w:r>
      <w:r w:rsidR="0092752B" w:rsidRPr="00E32653">
        <w:rPr>
          <w:rFonts w:asciiTheme="majorBidi" w:hAnsiTheme="majorBidi" w:cstheme="majorBidi"/>
        </w:rPr>
        <w:t xml:space="preserve"> including</w:t>
      </w:r>
      <w:r w:rsidR="00B751A8" w:rsidRPr="00E32653">
        <w:rPr>
          <w:rFonts w:asciiTheme="majorBidi" w:hAnsiTheme="majorBidi" w:cstheme="majorBidi"/>
        </w:rPr>
        <w:t xml:space="preserve"> Weighted Sum Method (WSM) (MacCrimon, 1968) and Weighted Product Method (WPM).The detailed procedure of </w:t>
      </w:r>
      <w:r w:rsidR="0092752B" w:rsidRPr="00E32653">
        <w:rPr>
          <w:rFonts w:asciiTheme="majorBidi" w:hAnsiTheme="majorBidi" w:cstheme="majorBidi"/>
        </w:rPr>
        <w:t xml:space="preserve">the </w:t>
      </w:r>
      <w:r w:rsidR="00B751A8" w:rsidRPr="00E32653">
        <w:rPr>
          <w:rFonts w:asciiTheme="majorBidi" w:hAnsiTheme="majorBidi" w:cstheme="majorBidi"/>
        </w:rPr>
        <w:t xml:space="preserve">WASPAS method is as follows: </w:t>
      </w:r>
    </w:p>
    <w:p w14:paraId="7E4E7B2B" w14:textId="77777777" w:rsidR="00B751A8" w:rsidRPr="00E32653" w:rsidRDefault="00B751A8" w:rsidP="00B751A8">
      <w:pPr>
        <w:autoSpaceDE w:val="0"/>
        <w:autoSpaceDN w:val="0"/>
        <w:adjustRightInd w:val="0"/>
        <w:spacing w:after="0" w:line="240" w:lineRule="auto"/>
        <w:jc w:val="both"/>
        <w:rPr>
          <w:rFonts w:asciiTheme="majorBidi" w:hAnsiTheme="majorBidi" w:cstheme="majorBidi"/>
        </w:rPr>
      </w:pPr>
      <w:r w:rsidRPr="00E32653">
        <w:rPr>
          <w:rFonts w:asciiTheme="majorBidi" w:hAnsiTheme="majorBidi" w:cstheme="majorBidi"/>
        </w:rPr>
        <w:t>Step 1: Initialize the matrix for solving the selection problem.</w:t>
      </w:r>
    </w:p>
    <w:p w14:paraId="23D80D58" w14:textId="57112729" w:rsidR="0092752B" w:rsidRPr="00E32653" w:rsidRDefault="00B751A8" w:rsidP="00B76029">
      <w:pPr>
        <w:autoSpaceDE w:val="0"/>
        <w:autoSpaceDN w:val="0"/>
        <w:adjustRightInd w:val="0"/>
        <w:spacing w:after="0" w:line="240" w:lineRule="auto"/>
        <w:jc w:val="both"/>
        <w:rPr>
          <w:rFonts w:asciiTheme="majorBidi" w:hAnsiTheme="majorBidi" w:cstheme="majorBidi"/>
        </w:rPr>
      </w:pPr>
      <w:r w:rsidRPr="00E32653">
        <w:rPr>
          <w:rFonts w:asciiTheme="majorBidi" w:hAnsiTheme="majorBidi" w:cstheme="majorBidi"/>
        </w:rPr>
        <w:t xml:space="preserve">Step 2: Normalize the decision matrix </w:t>
      </w:r>
      <w:r w:rsidR="0092752B" w:rsidRPr="00E32653">
        <w:rPr>
          <w:rFonts w:asciiTheme="majorBidi" w:hAnsiTheme="majorBidi" w:cstheme="majorBidi"/>
        </w:rPr>
        <w:t xml:space="preserve">using </w:t>
      </w:r>
      <w:r w:rsidRPr="00E32653">
        <w:rPr>
          <w:rFonts w:asciiTheme="majorBidi" w:hAnsiTheme="majorBidi" w:cstheme="majorBidi"/>
        </w:rPr>
        <w:t>equation</w:t>
      </w:r>
      <w:r w:rsidR="0092752B" w:rsidRPr="00E32653">
        <w:rPr>
          <w:rFonts w:asciiTheme="majorBidi" w:hAnsiTheme="majorBidi" w:cstheme="majorBidi"/>
        </w:rPr>
        <w:t>s</w:t>
      </w:r>
      <w:r w:rsidRPr="00E32653">
        <w:rPr>
          <w:rFonts w:asciiTheme="majorBidi" w:hAnsiTheme="majorBidi" w:cstheme="majorBidi"/>
        </w:rPr>
        <w:t xml:space="preserve"> </w:t>
      </w:r>
      <w:r w:rsidR="00B76029" w:rsidRPr="00E32653">
        <w:rPr>
          <w:rFonts w:asciiTheme="majorBidi" w:hAnsiTheme="majorBidi" w:cstheme="majorBidi"/>
        </w:rPr>
        <w:t>2</w:t>
      </w:r>
      <w:r w:rsidRPr="00E32653">
        <w:rPr>
          <w:rFonts w:asciiTheme="majorBidi" w:hAnsiTheme="majorBidi" w:cstheme="majorBidi"/>
        </w:rPr>
        <w:t xml:space="preserve"> and </w:t>
      </w:r>
      <w:r w:rsidR="00B76029" w:rsidRPr="00E32653">
        <w:rPr>
          <w:rFonts w:asciiTheme="majorBidi" w:hAnsiTheme="majorBidi" w:cstheme="majorBidi"/>
        </w:rPr>
        <w:t>3</w:t>
      </w:r>
    </w:p>
    <w:p w14:paraId="3284B206" w14:textId="77777777" w:rsidR="00B751A8" w:rsidRPr="00E32653" w:rsidRDefault="0092752B" w:rsidP="00030460">
      <w:pPr>
        <w:autoSpaceDE w:val="0"/>
        <w:autoSpaceDN w:val="0"/>
        <w:adjustRightInd w:val="0"/>
        <w:spacing w:after="0" w:line="240" w:lineRule="auto"/>
        <w:jc w:val="both"/>
        <w:rPr>
          <w:rFonts w:asciiTheme="majorBidi" w:hAnsiTheme="majorBidi" w:cstheme="majorBidi"/>
        </w:rPr>
      </w:pPr>
      <w:r w:rsidRPr="00E32653">
        <w:rPr>
          <w:rFonts w:asciiTheme="majorBidi" w:hAnsiTheme="majorBidi" w:cstheme="majorBidi"/>
        </w:rPr>
        <w:t xml:space="preserve">                                                                                                         </w:t>
      </w:r>
    </w:p>
    <w:p w14:paraId="27AE6DD8" w14:textId="192AAF66" w:rsidR="00030460" w:rsidRPr="00E32653" w:rsidRDefault="00000000" w:rsidP="000D1D9E">
      <w:pPr>
        <w:tabs>
          <w:tab w:val="left" w:pos="7920"/>
        </w:tabs>
        <w:spacing w:before="240" w:line="276" w:lineRule="auto"/>
        <w:ind w:firstLine="900"/>
        <w:jc w:val="both"/>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num>
          <m:den>
            <m:r>
              <m:rPr>
                <m:sty m:val="p"/>
              </m:rPr>
              <w:rPr>
                <w:rFonts w:ascii="Cambria Math" w:hAnsi="Cambria Math" w:cstheme="majorBidi"/>
              </w:rPr>
              <m:t>max</m:t>
            </m:r>
            <m:sSub>
              <m:sSubPr>
                <m:ctrlPr>
                  <w:rPr>
                    <w:rFonts w:ascii="Cambria Math" w:hAnsi="Cambria Math" w:cstheme="majorBidi"/>
                  </w:rPr>
                </m:ctrlPr>
              </m:sSubPr>
              <m:e>
                <m:r>
                  <m:rPr>
                    <m:sty m:val="p"/>
                  </m:rPr>
                  <w:rPr>
                    <w:rFonts w:ascii="Cambria Math" w:hAnsi="Cambria Math" w:cstheme="majorBidi"/>
                  </w:rPr>
                  <m:t xml:space="preserve"> </m:t>
                </m:r>
                <m:r>
                  <w:rPr>
                    <w:rFonts w:ascii="Cambria Math" w:hAnsi="Cambria Math" w:cstheme="majorBidi"/>
                  </w:rPr>
                  <m:t>x</m:t>
                </m:r>
              </m:e>
              <m:sub>
                <m:r>
                  <w:rPr>
                    <w:rFonts w:ascii="Cambria Math" w:hAnsi="Cambria Math" w:cstheme="majorBidi"/>
                  </w:rPr>
                  <m:t>ij</m:t>
                </m:r>
              </m:sub>
            </m:sSub>
          </m:den>
        </m:f>
      </m:oMath>
      <w:r w:rsidR="00954D70" w:rsidRPr="00E32653">
        <w:rPr>
          <w:rFonts w:asciiTheme="majorBidi" w:hAnsiTheme="majorBidi" w:cstheme="majorBidi"/>
        </w:rPr>
        <w:t xml:space="preserve"> </w:t>
      </w:r>
      <w:r w:rsidR="00B751A8" w:rsidRPr="00E32653">
        <w:rPr>
          <w:rFonts w:asciiTheme="majorBidi" w:hAnsiTheme="majorBidi" w:cstheme="majorBidi"/>
        </w:rPr>
        <w:t xml:space="preserve">                                                                                </w:t>
      </w:r>
      <w:r w:rsidR="00030460" w:rsidRPr="00E32653">
        <w:rPr>
          <w:rFonts w:asciiTheme="majorBidi" w:hAnsiTheme="majorBidi" w:cstheme="majorBidi"/>
        </w:rPr>
        <w:t xml:space="preserve">                 </w:t>
      </w:r>
      <w:r w:rsidR="000D1D9E" w:rsidRPr="00E32653">
        <w:rPr>
          <w:rFonts w:asciiTheme="majorBidi" w:hAnsiTheme="majorBidi" w:cstheme="majorBidi"/>
        </w:rPr>
        <w:t xml:space="preserve">         </w:t>
      </w:r>
      <w:r w:rsidR="00030460" w:rsidRPr="00E32653">
        <w:rPr>
          <w:rFonts w:asciiTheme="majorBidi" w:hAnsiTheme="majorBidi" w:cstheme="majorBidi"/>
        </w:rPr>
        <w:t xml:space="preserve"> Equation 2</w:t>
      </w:r>
      <w:r w:rsidR="00B751A8" w:rsidRPr="00E32653">
        <w:rPr>
          <w:rFonts w:asciiTheme="majorBidi" w:hAnsiTheme="majorBidi" w:cstheme="majorBidi"/>
        </w:rPr>
        <w:t xml:space="preserve"> </w:t>
      </w:r>
    </w:p>
    <w:p w14:paraId="69B8ACE4" w14:textId="2631C950" w:rsidR="00B751A8" w:rsidRPr="00E32653" w:rsidRDefault="00030460" w:rsidP="00030460">
      <w:pPr>
        <w:spacing w:before="240" w:line="276" w:lineRule="auto"/>
        <w:jc w:val="both"/>
        <w:rPr>
          <w:rFonts w:asciiTheme="majorBidi" w:hAnsiTheme="majorBidi" w:cstheme="majorBidi"/>
        </w:rPr>
      </w:pPr>
      <w:r w:rsidRPr="00E32653">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r>
          <m:rPr>
            <m:sty m:val="p"/>
          </m:rP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num>
          <m:den>
            <m:r>
              <m:rPr>
                <m:sty m:val="p"/>
              </m:rPr>
              <w:rPr>
                <w:rFonts w:ascii="Cambria Math" w:hAnsi="Cambria Math" w:cstheme="majorBidi"/>
              </w:rPr>
              <m:t>min</m:t>
            </m:r>
            <m:sSub>
              <m:sSubPr>
                <m:ctrlPr>
                  <w:rPr>
                    <w:rFonts w:ascii="Cambria Math" w:hAnsi="Cambria Math" w:cstheme="majorBidi"/>
                  </w:rPr>
                </m:ctrlPr>
              </m:sSubPr>
              <m:e>
                <m:r>
                  <m:rPr>
                    <m:sty m:val="p"/>
                  </m:rPr>
                  <w:rPr>
                    <w:rFonts w:ascii="Cambria Math" w:hAnsi="Cambria Math" w:cstheme="majorBidi"/>
                  </w:rPr>
                  <m:t xml:space="preserve"> </m:t>
                </m:r>
                <m:r>
                  <w:rPr>
                    <w:rFonts w:ascii="Cambria Math" w:hAnsi="Cambria Math" w:cstheme="majorBidi"/>
                  </w:rPr>
                  <m:t>x</m:t>
                </m:r>
              </m:e>
              <m:sub>
                <m:r>
                  <w:rPr>
                    <w:rFonts w:ascii="Cambria Math" w:hAnsi="Cambria Math" w:cstheme="majorBidi"/>
                  </w:rPr>
                  <m:t>ij</m:t>
                </m:r>
              </m:sub>
            </m:sSub>
          </m:den>
        </m:f>
      </m:oMath>
      <w:r w:rsidRPr="00E32653">
        <w:rPr>
          <w:rFonts w:asciiTheme="majorBidi" w:hAnsiTheme="majorBidi" w:cstheme="majorBidi"/>
        </w:rPr>
        <w:t xml:space="preserve">                                                                                                    </w:t>
      </w:r>
      <w:r w:rsidR="000D1D9E" w:rsidRPr="00E32653">
        <w:rPr>
          <w:rFonts w:asciiTheme="majorBidi" w:hAnsiTheme="majorBidi" w:cstheme="majorBidi"/>
        </w:rPr>
        <w:t xml:space="preserve">        </w:t>
      </w:r>
      <w:r w:rsidRPr="00E32653">
        <w:rPr>
          <w:rFonts w:asciiTheme="majorBidi" w:hAnsiTheme="majorBidi" w:cstheme="majorBidi"/>
        </w:rPr>
        <w:t xml:space="preserve"> Equation 3</w:t>
      </w:r>
    </w:p>
    <w:p w14:paraId="6CCD9439" w14:textId="6EDCA655" w:rsidR="00B751A8" w:rsidRPr="00E32653" w:rsidRDefault="00B751A8" w:rsidP="000906E3">
      <w:pPr>
        <w:autoSpaceDE w:val="0"/>
        <w:autoSpaceDN w:val="0"/>
        <w:adjustRightInd w:val="0"/>
        <w:spacing w:after="0" w:line="240" w:lineRule="auto"/>
        <w:ind w:firstLine="720"/>
        <w:jc w:val="both"/>
        <w:rPr>
          <w:rFonts w:asciiTheme="majorBidi" w:hAnsiTheme="majorBidi" w:cstheme="majorBidi"/>
        </w:rPr>
      </w:pPr>
      <w:r w:rsidRPr="00E32653">
        <w:rPr>
          <w:rFonts w:asciiTheme="majorBidi" w:hAnsiTheme="majorBidi" w:cstheme="majorBidi"/>
        </w:rPr>
        <w:t xml:space="preserve">where </w:t>
      </w:r>
      <m:oMath>
        <m:r>
          <w:rPr>
            <w:rFonts w:ascii="Cambria Math" w:hAnsi="Cambria Math" w:cstheme="majorBidi"/>
          </w:rPr>
          <m:t>x</m:t>
        </m:r>
      </m:oMath>
      <w:r w:rsidRPr="00E32653">
        <w:rPr>
          <w:rFonts w:asciiTheme="majorBidi" w:hAnsiTheme="majorBidi" w:cstheme="majorBidi"/>
        </w:rPr>
        <w:t xml:space="preserve"> </w:t>
      </w:r>
      <w:r w:rsidR="000039DC" w:rsidRPr="00E32653">
        <w:rPr>
          <w:rFonts w:asciiTheme="majorBidi" w:hAnsiTheme="majorBidi" w:cstheme="majorBidi"/>
        </w:rPr>
        <w:t xml:space="preserve">represents </w:t>
      </w:r>
      <w:r w:rsidRPr="00E32653">
        <w:rPr>
          <w:rFonts w:asciiTheme="majorBidi" w:hAnsiTheme="majorBidi" w:cstheme="majorBidi"/>
        </w:rPr>
        <w:t>the</w:t>
      </w:r>
      <w:r w:rsidR="00030460" w:rsidRPr="00E32653">
        <w:rPr>
          <w:rFonts w:asciiTheme="majorBidi" w:hAnsiTheme="majorBidi" w:cstheme="majorBidi"/>
        </w:rPr>
        <w:t xml:space="preserve"> assessment values. Equations (2) and (3</w:t>
      </w:r>
      <w:r w:rsidRPr="00E32653">
        <w:rPr>
          <w:rFonts w:asciiTheme="majorBidi" w:hAnsiTheme="majorBidi" w:cstheme="majorBidi"/>
        </w:rPr>
        <w:t>) are used for maximization (beneficial) and minimization (no benefi</w:t>
      </w:r>
      <w:r w:rsidR="00654920" w:rsidRPr="00E32653">
        <w:rPr>
          <w:rFonts w:asciiTheme="majorBidi" w:hAnsiTheme="majorBidi" w:cstheme="majorBidi"/>
        </w:rPr>
        <w:t>t</w:t>
      </w:r>
      <w:r w:rsidRPr="00E32653">
        <w:rPr>
          <w:rFonts w:asciiTheme="majorBidi" w:hAnsiTheme="majorBidi" w:cstheme="majorBidi"/>
        </w:rPr>
        <w:t xml:space="preserve">) criteria, respectively. </w:t>
      </w:r>
    </w:p>
    <w:p w14:paraId="25BC300A" w14:textId="77777777" w:rsidR="00B751A8" w:rsidRPr="00E32653" w:rsidRDefault="00B751A8" w:rsidP="00B751A8">
      <w:pPr>
        <w:autoSpaceDE w:val="0"/>
        <w:autoSpaceDN w:val="0"/>
        <w:adjustRightInd w:val="0"/>
        <w:spacing w:after="0" w:line="240" w:lineRule="auto"/>
        <w:jc w:val="both"/>
        <w:rPr>
          <w:rFonts w:asciiTheme="majorBidi" w:hAnsiTheme="majorBidi" w:cstheme="majorBidi"/>
        </w:rPr>
      </w:pPr>
    </w:p>
    <w:p w14:paraId="3F8BC7AD" w14:textId="77777777" w:rsidR="00B751A8" w:rsidRPr="00E32653" w:rsidRDefault="00B751A8" w:rsidP="000906E3">
      <w:pPr>
        <w:autoSpaceDE w:val="0"/>
        <w:autoSpaceDN w:val="0"/>
        <w:adjustRightInd w:val="0"/>
        <w:spacing w:after="0" w:line="240" w:lineRule="auto"/>
        <w:ind w:firstLine="720"/>
        <w:jc w:val="both"/>
        <w:rPr>
          <w:rFonts w:asciiTheme="majorBidi" w:hAnsiTheme="majorBidi" w:cstheme="majorBidi"/>
        </w:rPr>
      </w:pPr>
      <w:r w:rsidRPr="00E32653">
        <w:rPr>
          <w:rFonts w:asciiTheme="majorBidi" w:hAnsiTheme="majorBidi" w:cstheme="majorBidi"/>
        </w:rPr>
        <w:t xml:space="preserve">Step 3: Calculate the total relative importance based on </w:t>
      </w:r>
      <w:r w:rsidR="00030460" w:rsidRPr="00E32653">
        <w:rPr>
          <w:rFonts w:asciiTheme="majorBidi" w:hAnsiTheme="majorBidi" w:cstheme="majorBidi"/>
        </w:rPr>
        <w:t>the WSM method using equation (4</w:t>
      </w:r>
      <w:r w:rsidRPr="00E32653">
        <w:rPr>
          <w:rFonts w:asciiTheme="majorBidi" w:hAnsiTheme="majorBidi" w:cstheme="majorBidi"/>
        </w:rPr>
        <w:t>).</w:t>
      </w:r>
    </w:p>
    <w:p w14:paraId="7077FBBB" w14:textId="271A7653" w:rsidR="00B751A8" w:rsidRPr="00E32653" w:rsidRDefault="00000000" w:rsidP="00B751A8">
      <w:pPr>
        <w:spacing w:before="240" w:line="276" w:lineRule="auto"/>
        <w:ind w:firstLine="900"/>
        <w:jc w:val="both"/>
        <w:rPr>
          <w:rFonts w:asciiTheme="majorBidi" w:hAnsiTheme="majorBidi" w:cstheme="majorBidi"/>
        </w:rPr>
      </w:pPr>
      <m:oMath>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(1)</m:t>
            </m:r>
          </m:sup>
        </m:sSubSup>
        <m:r>
          <m:rPr>
            <m:sty m:val="p"/>
          </m:rPr>
          <w:rPr>
            <w:rFonts w:ascii="Cambria Math" w:eastAsia="Cambria Math" w:hAnsi="Cambria Math" w:cstheme="majorBidi"/>
          </w:rPr>
          <m:t>=</m:t>
        </m:r>
        <m:nary>
          <m:naryPr>
            <m:chr m:val="∑"/>
            <m:grow m:val="1"/>
            <m:ctrlPr>
              <w:rPr>
                <w:rFonts w:ascii="Cambria Math" w:hAnsi="Cambria Math" w:cstheme="majorBidi"/>
              </w:rPr>
            </m:ctrlPr>
          </m:naryPr>
          <m:sub>
            <m:r>
              <w:rPr>
                <w:rFonts w:ascii="Cambria Math" w:eastAsia="Cambria Math" w:hAnsi="Cambria Math" w:cstheme="majorBidi"/>
              </w:rPr>
              <m:t>j</m:t>
            </m:r>
            <m:r>
              <m:rPr>
                <m:sty m:val="p"/>
              </m:rPr>
              <w:rPr>
                <w:rFonts w:ascii="Cambria Math" w:eastAsia="Cambria Math" w:hAnsi="Cambria Math" w:cstheme="majorBidi"/>
              </w:rPr>
              <m:t>=1</m:t>
            </m:r>
          </m:sub>
          <m:sup>
            <m:r>
              <w:rPr>
                <w:rFonts w:ascii="Cambria Math" w:eastAsia="Cambria Math" w:hAnsi="Cambria Math" w:cstheme="majorBidi"/>
              </w:rPr>
              <m:t>n</m:t>
            </m:r>
          </m:sup>
          <m:e>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e>
        </m:nary>
        <m:r>
          <m:rPr>
            <m:sty m:val="p"/>
          </m:rPr>
          <w:rPr>
            <w:rFonts w:ascii="Cambria Math" w:hAnsi="Cambria Math" w:cstheme="majorBidi"/>
          </w:rPr>
          <m:t xml:space="preserve"> . </m:t>
        </m:r>
        <m:sSub>
          <m:sSubPr>
            <m:ctrlPr>
              <w:rPr>
                <w:rFonts w:ascii="Cambria Math" w:hAnsi="Cambria Math" w:cstheme="majorBidi"/>
              </w:rPr>
            </m:ctrlPr>
          </m:sSubPr>
          <m:e>
            <m:r>
              <w:rPr>
                <w:rFonts w:ascii="Cambria Math" w:hAnsi="Cambria Math" w:cstheme="majorBidi"/>
              </w:rPr>
              <m:t>w</m:t>
            </m:r>
          </m:e>
          <m:sub>
            <m:r>
              <w:rPr>
                <w:rFonts w:ascii="Cambria Math" w:hAnsi="Cambria Math" w:cstheme="majorBidi"/>
              </w:rPr>
              <m:t>j</m:t>
            </m:r>
          </m:sub>
        </m:sSub>
      </m:oMath>
      <w:r w:rsidR="00B751A8" w:rsidRPr="00E32653">
        <w:rPr>
          <w:rFonts w:asciiTheme="majorBidi" w:hAnsiTheme="majorBidi" w:cstheme="majorBidi"/>
        </w:rPr>
        <w:t xml:space="preserve">                                                                   </w:t>
      </w:r>
      <w:r w:rsidR="00030460" w:rsidRPr="00E32653">
        <w:rPr>
          <w:rFonts w:asciiTheme="majorBidi" w:hAnsiTheme="majorBidi" w:cstheme="majorBidi"/>
        </w:rPr>
        <w:t xml:space="preserve">                    </w:t>
      </w:r>
      <w:r w:rsidR="000D1D9E" w:rsidRPr="00E32653">
        <w:rPr>
          <w:rFonts w:asciiTheme="majorBidi" w:hAnsiTheme="majorBidi" w:cstheme="majorBidi"/>
        </w:rPr>
        <w:t xml:space="preserve">     </w:t>
      </w:r>
      <w:r w:rsidR="00030460" w:rsidRPr="00E32653">
        <w:rPr>
          <w:rFonts w:asciiTheme="majorBidi" w:hAnsiTheme="majorBidi" w:cstheme="majorBidi"/>
        </w:rPr>
        <w:t xml:space="preserve">  Equation 4</w:t>
      </w:r>
    </w:p>
    <w:p w14:paraId="46012480" w14:textId="77777777" w:rsidR="00B751A8" w:rsidRPr="00E32653" w:rsidRDefault="00B751A8" w:rsidP="000906E3">
      <w:pPr>
        <w:autoSpaceDE w:val="0"/>
        <w:autoSpaceDN w:val="0"/>
        <w:adjustRightInd w:val="0"/>
        <w:spacing w:after="0" w:line="240" w:lineRule="auto"/>
        <w:ind w:firstLine="720"/>
        <w:jc w:val="both"/>
        <w:rPr>
          <w:rFonts w:asciiTheme="majorBidi" w:hAnsiTheme="majorBidi" w:cstheme="majorBidi"/>
        </w:rPr>
      </w:pPr>
      <w:r w:rsidRPr="00E32653">
        <w:rPr>
          <w:rFonts w:asciiTheme="majorBidi" w:hAnsiTheme="majorBidi" w:cstheme="majorBidi"/>
        </w:rPr>
        <w:t xml:space="preserve">Step 4: Calculate the total relative importance based on </w:t>
      </w:r>
      <w:r w:rsidR="0092752B" w:rsidRPr="00E32653">
        <w:rPr>
          <w:rFonts w:asciiTheme="majorBidi" w:hAnsiTheme="majorBidi" w:cstheme="majorBidi"/>
        </w:rPr>
        <w:t xml:space="preserve">the </w:t>
      </w:r>
      <w:r w:rsidR="00030460" w:rsidRPr="00E32653">
        <w:rPr>
          <w:rFonts w:asciiTheme="majorBidi" w:hAnsiTheme="majorBidi" w:cstheme="majorBidi"/>
        </w:rPr>
        <w:t>WPM method using equation (5</w:t>
      </w:r>
      <w:r w:rsidRPr="00E32653">
        <w:rPr>
          <w:rFonts w:asciiTheme="majorBidi" w:hAnsiTheme="majorBidi" w:cstheme="majorBidi"/>
        </w:rPr>
        <w:t>).</w:t>
      </w:r>
    </w:p>
    <w:p w14:paraId="34E22E2C" w14:textId="6B0AD66C" w:rsidR="00B751A8" w:rsidRPr="00E32653" w:rsidRDefault="00000000" w:rsidP="00B751A8">
      <w:pPr>
        <w:spacing w:before="240" w:line="276" w:lineRule="auto"/>
        <w:ind w:firstLine="900"/>
        <w:jc w:val="both"/>
        <w:rPr>
          <w:rFonts w:asciiTheme="majorBidi" w:hAnsiTheme="majorBidi" w:cstheme="majorBidi"/>
        </w:rPr>
      </w:pPr>
      <m:oMath>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(2)</m:t>
            </m:r>
          </m:sup>
        </m:sSubSup>
        <m:r>
          <m:rPr>
            <m:sty m:val="p"/>
          </m:rPr>
          <w:rPr>
            <w:rFonts w:ascii="Cambria Math" w:eastAsia="Cambria Math" w:hAnsi="Cambria Math" w:cstheme="majorBidi"/>
          </w:rPr>
          <m:t xml:space="preserve">= </m:t>
        </m:r>
        <m:sSubSup>
          <m:sSubSupPr>
            <m:ctrlPr>
              <w:rPr>
                <w:rFonts w:ascii="Cambria Math" w:eastAsia="Cambria Math" w:hAnsi="Cambria Math" w:cstheme="majorBidi"/>
              </w:rPr>
            </m:ctrlPr>
          </m:sSubSupPr>
          <m:e>
            <m:r>
              <m:rPr>
                <m:sty m:val="p"/>
              </m:rPr>
              <w:rPr>
                <w:rFonts w:ascii="Cambria Math" w:eastAsia="Cambria Math" w:hAnsi="Cambria Math" w:cstheme="majorBidi"/>
              </w:rPr>
              <m:t>Π</m:t>
            </m:r>
          </m:e>
          <m:sub>
            <m:r>
              <w:rPr>
                <w:rFonts w:ascii="Cambria Math" w:eastAsia="Cambria Math" w:hAnsi="Cambria Math" w:cstheme="majorBidi"/>
              </w:rPr>
              <m:t>j=1</m:t>
            </m:r>
          </m:sub>
          <m:sup>
            <m:r>
              <w:rPr>
                <w:rFonts w:ascii="Cambria Math" w:eastAsia="Cambria Math" w:hAnsi="Cambria Math" w:cstheme="majorBidi"/>
              </w:rPr>
              <m:t>n</m:t>
            </m:r>
          </m:sup>
        </m:sSubSup>
        <m:r>
          <w:rPr>
            <w:rFonts w:ascii="Cambria Math" w:eastAsia="Cambria Math" w:hAnsi="Cambria Math" w:cstheme="majorBidi"/>
          </w:rPr>
          <m:t xml:space="preserve"> </m:t>
        </m:r>
        <m:sSup>
          <m:sSupPr>
            <m:ctrlPr>
              <w:rPr>
                <w:rFonts w:ascii="Cambria Math" w:eastAsia="Cambria Math" w:hAnsi="Cambria Math" w:cstheme="majorBidi"/>
                <w:i/>
              </w:rPr>
            </m:ctrlPr>
          </m:sSupPr>
          <m:e>
            <m:r>
              <w:rPr>
                <w:rFonts w:ascii="Cambria Math" w:eastAsia="Cambria Math" w:hAnsi="Cambria Math" w:cstheme="majorBidi"/>
              </w:rPr>
              <m:t>(</m:t>
            </m:r>
            <m:sSub>
              <m:sSubPr>
                <m:ctrlPr>
                  <w:rPr>
                    <w:rFonts w:ascii="Cambria Math" w:eastAsia="Cambria Math" w:hAnsi="Cambria Math" w:cstheme="majorBidi"/>
                    <w:i/>
                  </w:rPr>
                </m:ctrlPr>
              </m:sSubPr>
              <m:e>
                <m:r>
                  <w:rPr>
                    <w:rFonts w:ascii="Cambria Math" w:eastAsia="Cambria Math" w:hAnsi="Cambria Math" w:cstheme="majorBidi"/>
                  </w:rPr>
                  <m:t>x</m:t>
                </m:r>
              </m:e>
              <m:sub>
                <m:r>
                  <w:rPr>
                    <w:rFonts w:ascii="Cambria Math" w:eastAsia="Cambria Math" w:hAnsi="Cambria Math" w:cstheme="majorBidi"/>
                  </w:rPr>
                  <m:t>ij</m:t>
                </m:r>
              </m:sub>
            </m:sSub>
            <m:r>
              <w:rPr>
                <w:rFonts w:ascii="Cambria Math" w:eastAsia="Cambria Math" w:hAnsi="Cambria Math" w:cstheme="majorBidi"/>
              </w:rPr>
              <m:t>)</m:t>
            </m:r>
          </m:e>
          <m:sup>
            <m:sSub>
              <m:sSubPr>
                <m:ctrlPr>
                  <w:rPr>
                    <w:rFonts w:ascii="Cambria Math" w:hAnsi="Cambria Math" w:cstheme="majorBidi"/>
                  </w:rPr>
                </m:ctrlPr>
              </m:sSubPr>
              <m:e>
                <m:r>
                  <m:rPr>
                    <m:sty m:val="p"/>
                  </m:rPr>
                  <w:rPr>
                    <w:rFonts w:ascii="Cambria Math" w:hAnsi="Cambria Math" w:cstheme="majorBidi"/>
                  </w:rPr>
                  <m:t xml:space="preserve"> </m:t>
                </m:r>
                <m:r>
                  <w:rPr>
                    <w:rFonts w:ascii="Cambria Math" w:hAnsi="Cambria Math" w:cstheme="majorBidi"/>
                  </w:rPr>
                  <m:t>w</m:t>
                </m:r>
              </m:e>
              <m:sub>
                <m:r>
                  <w:rPr>
                    <w:rFonts w:ascii="Cambria Math" w:hAnsi="Cambria Math" w:cstheme="majorBidi"/>
                  </w:rPr>
                  <m:t>j</m:t>
                </m:r>
              </m:sub>
            </m:sSub>
          </m:sup>
        </m:sSup>
        <m:r>
          <m:rPr>
            <m:sty m:val="p"/>
          </m:rPr>
          <w:rPr>
            <w:rFonts w:ascii="Cambria Math" w:hAnsi="Cambria Math" w:cstheme="majorBidi"/>
          </w:rPr>
          <m:t xml:space="preserve"> </m:t>
        </m:r>
      </m:oMath>
      <w:r w:rsidR="00B751A8" w:rsidRPr="00E32653">
        <w:rPr>
          <w:rFonts w:asciiTheme="majorBidi" w:hAnsiTheme="majorBidi" w:cstheme="majorBidi"/>
        </w:rPr>
        <w:t xml:space="preserve">                                                                       </w:t>
      </w:r>
      <w:r w:rsidR="00030460" w:rsidRPr="00E32653">
        <w:rPr>
          <w:rFonts w:asciiTheme="majorBidi" w:hAnsiTheme="majorBidi" w:cstheme="majorBidi"/>
        </w:rPr>
        <w:t xml:space="preserve">                </w:t>
      </w:r>
      <w:r w:rsidR="000D1D9E" w:rsidRPr="00E32653">
        <w:rPr>
          <w:rFonts w:asciiTheme="majorBidi" w:hAnsiTheme="majorBidi" w:cstheme="majorBidi"/>
        </w:rPr>
        <w:t xml:space="preserve">    </w:t>
      </w:r>
      <w:r w:rsidR="00030460" w:rsidRPr="00E32653">
        <w:rPr>
          <w:rFonts w:asciiTheme="majorBidi" w:hAnsiTheme="majorBidi" w:cstheme="majorBidi"/>
        </w:rPr>
        <w:t xml:space="preserve">   Equation 5</w:t>
      </w:r>
    </w:p>
    <w:p w14:paraId="6412287F" w14:textId="77777777" w:rsidR="00B751A8" w:rsidRPr="00E32653" w:rsidRDefault="00B751A8" w:rsidP="000906E3">
      <w:pPr>
        <w:autoSpaceDE w:val="0"/>
        <w:autoSpaceDN w:val="0"/>
        <w:adjustRightInd w:val="0"/>
        <w:spacing w:after="0" w:line="240" w:lineRule="auto"/>
        <w:ind w:firstLine="720"/>
        <w:jc w:val="both"/>
        <w:rPr>
          <w:rFonts w:asciiTheme="majorBidi" w:hAnsiTheme="majorBidi" w:cstheme="majorBidi"/>
        </w:rPr>
      </w:pPr>
      <w:r w:rsidRPr="00E32653">
        <w:rPr>
          <w:rFonts w:asciiTheme="majorBidi" w:hAnsiTheme="majorBidi" w:cstheme="majorBidi"/>
        </w:rPr>
        <w:t xml:space="preserve">Step 5: </w:t>
      </w:r>
      <w:r w:rsidR="0092752B" w:rsidRPr="00E32653">
        <w:rPr>
          <w:rFonts w:asciiTheme="majorBidi" w:hAnsiTheme="majorBidi" w:cstheme="majorBidi"/>
        </w:rPr>
        <w:t>Calculate the total relative importance based on the</w:t>
      </w:r>
      <w:r w:rsidR="00030460" w:rsidRPr="00E32653">
        <w:rPr>
          <w:rFonts w:asciiTheme="majorBidi" w:hAnsiTheme="majorBidi" w:cstheme="majorBidi"/>
        </w:rPr>
        <w:t xml:space="preserve"> WASPAS method using equation (6</w:t>
      </w:r>
      <w:r w:rsidR="0092752B" w:rsidRPr="00E32653">
        <w:rPr>
          <w:rFonts w:asciiTheme="majorBidi" w:hAnsiTheme="majorBidi" w:cstheme="majorBidi"/>
        </w:rPr>
        <w:t xml:space="preserve">). </w:t>
      </w:r>
    </w:p>
    <w:p w14:paraId="27A87A29" w14:textId="77777777" w:rsidR="00B751A8" w:rsidRPr="00E32653" w:rsidRDefault="00B751A8" w:rsidP="00B751A8">
      <w:pPr>
        <w:autoSpaceDE w:val="0"/>
        <w:autoSpaceDN w:val="0"/>
        <w:adjustRightInd w:val="0"/>
        <w:spacing w:after="0" w:line="240" w:lineRule="auto"/>
        <w:jc w:val="both"/>
        <w:rPr>
          <w:rFonts w:asciiTheme="majorBidi" w:hAnsiTheme="majorBidi" w:cstheme="majorBidi"/>
        </w:rPr>
      </w:pPr>
    </w:p>
    <w:p w14:paraId="05635190" w14:textId="52BEF520" w:rsidR="00B751A8" w:rsidRPr="00E32653" w:rsidRDefault="00000000" w:rsidP="00B751A8">
      <w:pPr>
        <w:spacing w:line="276" w:lineRule="auto"/>
        <w:ind w:firstLine="900"/>
        <w:jc w:val="both"/>
        <w:rPr>
          <w:rFonts w:asciiTheme="majorBidi" w:hAnsiTheme="majorBidi" w:cstheme="majorBidi"/>
        </w:rPr>
      </w:pPr>
      <m:oMath>
        <m:sSub>
          <m:sSubPr>
            <m:ctrlPr>
              <w:rPr>
                <w:rFonts w:ascii="Cambria Math" w:hAnsi="Cambria Math" w:cstheme="majorBidi"/>
              </w:rPr>
            </m:ctrlPr>
          </m:sSubPr>
          <m:e>
            <m:r>
              <m:rPr>
                <m:scr m:val="monospace"/>
                <m:sty m:val="p"/>
              </m:rPr>
              <w:rPr>
                <w:rFonts w:ascii="Cambria Math" w:hAnsi="Cambria Math" w:cstheme="majorBidi"/>
              </w:rPr>
              <m:t>Q</m:t>
            </m:r>
          </m:e>
          <m:sub>
            <m:r>
              <w:rPr>
                <w:rFonts w:ascii="Cambria Math" w:hAnsi="Cambria Math" w:cstheme="majorBidi"/>
              </w:rPr>
              <m:t>i</m:t>
            </m:r>
          </m:sub>
        </m:sSub>
        <m:r>
          <m:rPr>
            <m:sty m:val="p"/>
          </m:rPr>
          <w:rPr>
            <w:rFonts w:ascii="Cambria Math" w:hAnsi="Cambria Math" w:cstheme="majorBidi"/>
          </w:rPr>
          <m:t>=</m:t>
        </m:r>
        <m:r>
          <w:rPr>
            <w:rFonts w:ascii="Cambria Math" w:hAnsi="Cambria Math" w:cstheme="majorBidi"/>
          </w:rPr>
          <m:t>λ</m:t>
        </m:r>
        <m:r>
          <m:rPr>
            <m:sty m:val="p"/>
          </m:rPr>
          <w:rPr>
            <w:rFonts w:ascii="Cambria Math" w:hAnsi="Cambria Math" w:cstheme="majorBidi"/>
          </w:rPr>
          <m:t>.</m:t>
        </m:r>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(1)</m:t>
            </m:r>
          </m:sup>
        </m:sSubSup>
        <m:r>
          <m:rPr>
            <m:sty m:val="p"/>
          </m:rPr>
          <w:rPr>
            <w:rFonts w:ascii="Cambria Math" w:hAnsi="Cambria Math" w:cstheme="majorBidi"/>
          </w:rPr>
          <m:t>+</m:t>
        </m:r>
        <m:d>
          <m:dPr>
            <m:ctrlPr>
              <w:rPr>
                <w:rFonts w:ascii="Cambria Math" w:hAnsi="Cambria Math" w:cstheme="majorBidi"/>
              </w:rPr>
            </m:ctrlPr>
          </m:dPr>
          <m:e>
            <m:r>
              <m:rPr>
                <m:sty m:val="p"/>
              </m:rPr>
              <w:rPr>
                <w:rFonts w:ascii="Cambria Math" w:hAnsi="Cambria Math" w:cstheme="majorBidi"/>
              </w:rPr>
              <m:t>1-</m:t>
            </m:r>
            <m:r>
              <w:rPr>
                <w:rFonts w:ascii="Cambria Math" w:hAnsi="Cambria Math" w:cstheme="majorBidi"/>
              </w:rPr>
              <m:t>λ</m:t>
            </m:r>
          </m:e>
        </m:d>
        <m:r>
          <m:rPr>
            <m:sty m:val="p"/>
          </m:rPr>
          <w:rPr>
            <w:rFonts w:ascii="Cambria Math" w:hAnsi="Cambria Math" w:cstheme="majorBidi"/>
          </w:rPr>
          <m:t>.</m:t>
        </m:r>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(2)</m:t>
            </m:r>
          </m:sup>
        </m:sSubSup>
        <m:r>
          <m:rPr>
            <m:sty m:val="p"/>
          </m:rPr>
          <w:rPr>
            <w:rFonts w:ascii="Cambria Math" w:hAnsi="Cambria Math" w:cstheme="majorBidi"/>
          </w:rPr>
          <m:t xml:space="preserve"> </m:t>
        </m:r>
      </m:oMath>
      <w:r w:rsidR="00B751A8" w:rsidRPr="00E32653">
        <w:rPr>
          <w:rFonts w:asciiTheme="majorBidi" w:hAnsiTheme="majorBidi" w:cstheme="majorBidi"/>
        </w:rPr>
        <w:t xml:space="preserve">                                                          </w:t>
      </w:r>
      <w:r w:rsidR="00030460" w:rsidRPr="00E32653">
        <w:rPr>
          <w:rFonts w:asciiTheme="majorBidi" w:hAnsiTheme="majorBidi" w:cstheme="majorBidi"/>
        </w:rPr>
        <w:t xml:space="preserve">                </w:t>
      </w:r>
      <w:r w:rsidR="000D1D9E" w:rsidRPr="00E32653">
        <w:rPr>
          <w:rFonts w:asciiTheme="majorBidi" w:hAnsiTheme="majorBidi" w:cstheme="majorBidi"/>
        </w:rPr>
        <w:t xml:space="preserve">   </w:t>
      </w:r>
      <w:r w:rsidR="00030460" w:rsidRPr="00E32653">
        <w:rPr>
          <w:rFonts w:asciiTheme="majorBidi" w:hAnsiTheme="majorBidi" w:cstheme="majorBidi"/>
        </w:rPr>
        <w:t xml:space="preserve">      Equation 6</w:t>
      </w:r>
    </w:p>
    <w:p w14:paraId="4E3CAC8C" w14:textId="2B821DE5" w:rsidR="00B751A8" w:rsidRPr="00E32653" w:rsidRDefault="00B751A8" w:rsidP="000906E3">
      <w:pPr>
        <w:autoSpaceDE w:val="0"/>
        <w:autoSpaceDN w:val="0"/>
        <w:adjustRightInd w:val="0"/>
        <w:spacing w:after="0" w:line="240" w:lineRule="auto"/>
        <w:ind w:firstLine="720"/>
        <w:jc w:val="both"/>
        <w:rPr>
          <w:rFonts w:asciiTheme="majorBidi" w:hAnsiTheme="majorBidi" w:cstheme="majorBidi"/>
        </w:rPr>
      </w:pPr>
      <w:r w:rsidRPr="00E32653">
        <w:rPr>
          <w:rFonts w:asciiTheme="majorBidi" w:hAnsiTheme="majorBidi" w:cstheme="majorBidi"/>
        </w:rPr>
        <w:t xml:space="preserve">where </w:t>
      </w:r>
      <m:oMath>
        <m:r>
          <w:rPr>
            <w:rFonts w:ascii="Cambria Math" w:hAnsi="Cambria Math" w:cstheme="majorBidi"/>
          </w:rPr>
          <m:t>λ</m:t>
        </m:r>
      </m:oMath>
      <w:r w:rsidRPr="00E32653">
        <w:rPr>
          <w:rFonts w:asciiTheme="majorBidi" w:hAnsiTheme="majorBidi" w:cstheme="majorBidi"/>
        </w:rPr>
        <w:t xml:space="preserve"> </w:t>
      </w:r>
      <w:r w:rsidR="0070588C" w:rsidRPr="00E32653">
        <w:rPr>
          <w:rFonts w:asciiTheme="majorBidi" w:hAnsiTheme="majorBidi" w:cstheme="majorBidi"/>
        </w:rPr>
        <w:t>is a constant and equals to</w:t>
      </w:r>
      <w:r w:rsidRPr="00E32653">
        <w:rPr>
          <w:rFonts w:asciiTheme="majorBidi" w:hAnsiTheme="majorBidi" w:cstheme="majorBidi"/>
        </w:rPr>
        <w:t xml:space="preserve"> 0.5.</w:t>
      </w:r>
    </w:p>
    <w:p w14:paraId="39C193E3" w14:textId="31FCBB7B" w:rsidR="00714E94" w:rsidRPr="00E32653" w:rsidRDefault="00714E94" w:rsidP="0070588C">
      <w:pPr>
        <w:autoSpaceDE w:val="0"/>
        <w:autoSpaceDN w:val="0"/>
        <w:adjustRightInd w:val="0"/>
        <w:spacing w:after="0" w:line="240" w:lineRule="auto"/>
        <w:jc w:val="both"/>
        <w:rPr>
          <w:rFonts w:asciiTheme="majorBidi" w:hAnsiTheme="majorBidi" w:cstheme="majorBidi"/>
        </w:rPr>
      </w:pPr>
    </w:p>
    <w:p w14:paraId="47B13221" w14:textId="35CD3C8F" w:rsidR="00714E94" w:rsidRPr="00E32653" w:rsidRDefault="00714E94" w:rsidP="0070588C">
      <w:pPr>
        <w:autoSpaceDE w:val="0"/>
        <w:autoSpaceDN w:val="0"/>
        <w:adjustRightInd w:val="0"/>
        <w:spacing w:after="0" w:line="240" w:lineRule="auto"/>
        <w:jc w:val="both"/>
        <w:rPr>
          <w:rFonts w:asciiTheme="majorBidi" w:hAnsiTheme="majorBidi" w:cstheme="majorBidi"/>
        </w:rPr>
      </w:pPr>
    </w:p>
    <w:p w14:paraId="5A32A172" w14:textId="77777777" w:rsidR="00AA3424" w:rsidRPr="00E32653" w:rsidRDefault="00AA3424" w:rsidP="0070588C">
      <w:pPr>
        <w:autoSpaceDE w:val="0"/>
        <w:autoSpaceDN w:val="0"/>
        <w:adjustRightInd w:val="0"/>
        <w:spacing w:after="0" w:line="240" w:lineRule="auto"/>
        <w:jc w:val="both"/>
        <w:rPr>
          <w:rFonts w:asciiTheme="majorBidi" w:hAnsiTheme="majorBidi" w:cstheme="majorBidi"/>
        </w:rPr>
      </w:pPr>
    </w:p>
    <w:p w14:paraId="2B09D432" w14:textId="77777777" w:rsidR="00B1432E" w:rsidRPr="00E32653" w:rsidRDefault="00B1432E" w:rsidP="00B1432E">
      <w:pPr>
        <w:pStyle w:val="ListParagraph"/>
        <w:numPr>
          <w:ilvl w:val="0"/>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t>Case studies and materials</w:t>
      </w:r>
    </w:p>
    <w:p w14:paraId="45CABD49" w14:textId="38450627" w:rsidR="008A44DD" w:rsidRPr="00E32653" w:rsidRDefault="00C40353" w:rsidP="00007283">
      <w:pPr>
        <w:spacing w:line="276" w:lineRule="auto"/>
        <w:ind w:firstLine="720"/>
        <w:jc w:val="both"/>
        <w:rPr>
          <w:rFonts w:asciiTheme="majorBidi" w:hAnsiTheme="majorBidi" w:cstheme="majorBidi"/>
        </w:rPr>
      </w:pPr>
      <w:r w:rsidRPr="00E32653">
        <w:rPr>
          <w:rFonts w:asciiTheme="majorBidi" w:hAnsiTheme="majorBidi" w:cstheme="majorBidi"/>
        </w:rPr>
        <w:t xml:space="preserve">A hypothetical case study </w:t>
      </w:r>
      <w:r w:rsidR="00DE1319" w:rsidRPr="00E32653">
        <w:rPr>
          <w:rFonts w:asciiTheme="majorBidi" w:hAnsiTheme="majorBidi" w:cstheme="majorBidi"/>
        </w:rPr>
        <w:t xml:space="preserve">was used </w:t>
      </w:r>
      <w:r w:rsidRPr="00E32653">
        <w:rPr>
          <w:rFonts w:asciiTheme="majorBidi" w:hAnsiTheme="majorBidi" w:cstheme="majorBidi"/>
        </w:rPr>
        <w:t xml:space="preserve">to assess </w:t>
      </w:r>
      <w:r w:rsidR="00DE1319" w:rsidRPr="00E32653">
        <w:rPr>
          <w:rFonts w:asciiTheme="majorBidi" w:hAnsiTheme="majorBidi" w:cstheme="majorBidi"/>
        </w:rPr>
        <w:t xml:space="preserve">two different </w:t>
      </w:r>
      <w:r w:rsidR="00007283" w:rsidRPr="00E32653">
        <w:rPr>
          <w:rFonts w:asciiTheme="majorBidi" w:hAnsiTheme="majorBidi" w:cstheme="majorBidi"/>
        </w:rPr>
        <w:t xml:space="preserve">mass timber </w:t>
      </w:r>
      <w:r w:rsidRPr="00E32653">
        <w:rPr>
          <w:rFonts w:asciiTheme="majorBidi" w:hAnsiTheme="majorBidi" w:cstheme="majorBidi"/>
        </w:rPr>
        <w:t xml:space="preserve">buildings. Two types of </w:t>
      </w:r>
      <w:r w:rsidR="00007283" w:rsidRPr="00E32653">
        <w:rPr>
          <w:rFonts w:asciiTheme="majorBidi" w:hAnsiTheme="majorBidi" w:cstheme="majorBidi"/>
        </w:rPr>
        <w:t>mass timber</w:t>
      </w:r>
      <w:r w:rsidR="00D02BE0" w:rsidRPr="00E32653">
        <w:rPr>
          <w:rFonts w:asciiTheme="majorBidi" w:hAnsiTheme="majorBidi" w:cstheme="majorBidi"/>
        </w:rPr>
        <w:t>,</w:t>
      </w:r>
      <w:r w:rsidR="00DE1319" w:rsidRPr="00E32653">
        <w:rPr>
          <w:rFonts w:asciiTheme="majorBidi" w:hAnsiTheme="majorBidi" w:cstheme="majorBidi"/>
        </w:rPr>
        <w:t xml:space="preserve"> </w:t>
      </w:r>
      <w:r w:rsidRPr="00E32653">
        <w:rPr>
          <w:rFonts w:asciiTheme="majorBidi" w:hAnsiTheme="majorBidi" w:cstheme="majorBidi"/>
        </w:rPr>
        <w:t>GLT and LVL</w:t>
      </w:r>
      <w:r w:rsidR="00D56DC5" w:rsidRPr="00E32653">
        <w:rPr>
          <w:rFonts w:asciiTheme="majorBidi" w:hAnsiTheme="majorBidi" w:cstheme="majorBidi"/>
        </w:rPr>
        <w:t>,</w:t>
      </w:r>
      <w:r w:rsidR="00DE1319" w:rsidRPr="00E32653">
        <w:rPr>
          <w:rFonts w:asciiTheme="majorBidi" w:hAnsiTheme="majorBidi" w:cstheme="majorBidi"/>
        </w:rPr>
        <w:t xml:space="preserve"> </w:t>
      </w:r>
      <w:r w:rsidRPr="00E32653">
        <w:rPr>
          <w:rFonts w:asciiTheme="majorBidi" w:hAnsiTheme="majorBidi" w:cstheme="majorBidi"/>
        </w:rPr>
        <w:t>were chosen</w:t>
      </w:r>
      <w:r w:rsidR="00DE1319" w:rsidRPr="00E32653">
        <w:rPr>
          <w:rFonts w:asciiTheme="majorBidi" w:hAnsiTheme="majorBidi" w:cstheme="majorBidi"/>
        </w:rPr>
        <w:t xml:space="preserve"> because </w:t>
      </w:r>
      <w:r w:rsidR="00D56DC5" w:rsidRPr="00E32653">
        <w:rPr>
          <w:rFonts w:asciiTheme="majorBidi" w:hAnsiTheme="majorBidi" w:cstheme="majorBidi"/>
        </w:rPr>
        <w:t xml:space="preserve">of </w:t>
      </w:r>
      <w:r w:rsidR="00DE1319" w:rsidRPr="00E32653">
        <w:rPr>
          <w:rFonts w:asciiTheme="majorBidi" w:hAnsiTheme="majorBidi" w:cstheme="majorBidi"/>
        </w:rPr>
        <w:t>the</w:t>
      </w:r>
      <w:r w:rsidR="00D56DC5" w:rsidRPr="00E32653">
        <w:rPr>
          <w:rFonts w:asciiTheme="majorBidi" w:hAnsiTheme="majorBidi" w:cstheme="majorBidi"/>
        </w:rPr>
        <w:t>i</w:t>
      </w:r>
      <w:r w:rsidR="00DE1319" w:rsidRPr="00E32653">
        <w:rPr>
          <w:rFonts w:asciiTheme="majorBidi" w:hAnsiTheme="majorBidi" w:cstheme="majorBidi"/>
        </w:rPr>
        <w:t xml:space="preserve">r importance as building materials. The popularity </w:t>
      </w:r>
      <w:r w:rsidR="00DE1319" w:rsidRPr="00E32653">
        <w:rPr>
          <w:rFonts w:asciiTheme="majorBidi" w:hAnsiTheme="majorBidi" w:cstheme="majorBidi"/>
        </w:rPr>
        <w:lastRenderedPageBreak/>
        <w:t xml:space="preserve">of these </w:t>
      </w:r>
      <w:r w:rsidR="00D56DC5" w:rsidRPr="00E32653">
        <w:rPr>
          <w:rFonts w:asciiTheme="majorBidi" w:hAnsiTheme="majorBidi" w:cstheme="majorBidi"/>
        </w:rPr>
        <w:t>products</w:t>
      </w:r>
      <w:r w:rsidR="00DE1319" w:rsidRPr="00E32653">
        <w:rPr>
          <w:rFonts w:asciiTheme="majorBidi" w:hAnsiTheme="majorBidi" w:cstheme="majorBidi"/>
        </w:rPr>
        <w:t xml:space="preserve"> </w:t>
      </w:r>
      <w:r w:rsidR="00D02BE0" w:rsidRPr="00E32653">
        <w:rPr>
          <w:rFonts w:asciiTheme="majorBidi" w:hAnsiTheme="majorBidi" w:cstheme="majorBidi"/>
        </w:rPr>
        <w:t xml:space="preserve">is </w:t>
      </w:r>
      <w:r w:rsidR="00DE1319" w:rsidRPr="00E32653">
        <w:rPr>
          <w:rFonts w:asciiTheme="majorBidi" w:hAnsiTheme="majorBidi" w:cstheme="majorBidi"/>
        </w:rPr>
        <w:t xml:space="preserve">that </w:t>
      </w:r>
      <w:r w:rsidR="00D02BE0" w:rsidRPr="00E32653">
        <w:rPr>
          <w:rFonts w:asciiTheme="majorBidi" w:hAnsiTheme="majorBidi" w:cstheme="majorBidi"/>
        </w:rPr>
        <w:t>they</w:t>
      </w:r>
      <w:r w:rsidR="00DE1319" w:rsidRPr="00E32653">
        <w:rPr>
          <w:rFonts w:asciiTheme="majorBidi" w:hAnsiTheme="majorBidi" w:cstheme="majorBidi"/>
        </w:rPr>
        <w:t xml:space="preserve"> </w:t>
      </w:r>
      <w:r w:rsidR="00D56DC5" w:rsidRPr="00E32653">
        <w:rPr>
          <w:rFonts w:asciiTheme="majorBidi" w:hAnsiTheme="majorBidi" w:cstheme="majorBidi"/>
        </w:rPr>
        <w:t xml:space="preserve">may </w:t>
      </w:r>
      <w:r w:rsidR="00DE1319" w:rsidRPr="00E32653">
        <w:rPr>
          <w:rFonts w:asciiTheme="majorBidi" w:hAnsiTheme="majorBidi" w:cstheme="majorBidi"/>
        </w:rPr>
        <w:t>be used as wall panel</w:t>
      </w:r>
      <w:r w:rsidR="00D02BE0" w:rsidRPr="00E32653">
        <w:rPr>
          <w:rFonts w:asciiTheme="majorBidi" w:hAnsiTheme="majorBidi" w:cstheme="majorBidi"/>
        </w:rPr>
        <w:t>s</w:t>
      </w:r>
      <w:r w:rsidR="00DE1319" w:rsidRPr="00E32653">
        <w:rPr>
          <w:rFonts w:asciiTheme="majorBidi" w:hAnsiTheme="majorBidi" w:cstheme="majorBidi"/>
        </w:rPr>
        <w:t xml:space="preserve"> and column-beam system</w:t>
      </w:r>
      <w:r w:rsidR="00D02BE0" w:rsidRPr="00E32653">
        <w:rPr>
          <w:rFonts w:asciiTheme="majorBidi" w:hAnsiTheme="majorBidi" w:cstheme="majorBidi"/>
        </w:rPr>
        <w:t>s</w:t>
      </w:r>
      <w:r w:rsidR="00DE1319" w:rsidRPr="00E32653">
        <w:rPr>
          <w:rFonts w:asciiTheme="majorBidi" w:hAnsiTheme="majorBidi" w:cstheme="majorBidi"/>
        </w:rPr>
        <w:t xml:space="preserve"> </w:t>
      </w:r>
      <w:r w:rsidR="00DE1319" w:rsidRPr="00E32653">
        <w:rPr>
          <w:rFonts w:asciiTheme="majorBidi" w:hAnsiTheme="majorBidi" w:cstheme="majorBidi"/>
        </w:rPr>
        <w:fldChar w:fldCharType="begin" w:fldLock="1"/>
      </w:r>
      <w:r w:rsidR="003D5EAA" w:rsidRPr="00E32653">
        <w:rPr>
          <w:rFonts w:asciiTheme="majorBidi" w:hAnsiTheme="majorBidi" w:cstheme="majorBidi"/>
        </w:rPr>
        <w:instrText>ADDIN CSL_CITATION {"citationItems":[{"id":"ITEM-1","itemData":{"ISBN":"9789187017919","abstract":"The construction sector is responsible for a large share of society’s greenhouse gas emissions. This calls for measures towards a more sustainable built environment. Bio-based products are in general more climate-efficient than fossil or mineral-based products. The extent of the role of bio-based products in the carbon footprint of a building case study have been explored using Life Cycle Assessment (LCA), a well-accepted tool for the assessment of the environmental impact of design alternatives using a life-cycle perspective. A full LCA was conducted for eight different design alternatives with the same functionality based on Wälludden, a four-storey residential building in Växjö, Sweden. The designs consist of three different building systems, each under standard and passive house energy efficiency categories; as well as the original design of the building both with wood and concrete frame structures. The evaluated building systems are prefabricated volume elements, massive timber structural elements and a column-beam structure. The scope of the LCA is cradle-to-grave, including the raw material extraction and material production processes, construction, heat and electricity production and supply for the use phase, demolition and end-of-life scenarios. A square meter of living area for one hundred years was assumed as the functional unit. The data used for the study comes mainly from literature and EPDs of construction products, while the environmental impact categories included are global warming potential and primary energy demand. The results show that the selection of wood building system does not dramatically influence the carbon footprint of the building, as does the use phase energy efficiency or the type of additional and alternative materials and building systems. The production phase becomes more influential with increased use phase energy efficiency. Mineral and fossil based materials have a higher contribution to the production phase carbon footprint than bio-based materials, which is evident in the analysed wood building systems as well as in the concrete structure alternative design. Increasing the share of bio-based products can decrease significantly the carbon footprint of the production phase of a building, no matter which building system is chosen. Bio-based materials have higher potential environmental benefits for the end-use phase, depending on the fate of the material.","author":[{"dropping-particle":"","family":"Peñaloza","given":"D","non-dropping-particle":"","parse-names":false,"suffix":""},{"dropping-particle":"","family":"Norén","given":"J","non-dropping-particle":"","parse-names":false,"suffix":""},{"dropping-particle":"","family":"Eriksson","given":"PE","non-dropping-particle":"","parse-names":false,"suffix":""}],"id":"ITEM-1","issued":{"date-parts":[["2013"]]},"number-of-pages":"58","title":"Life cycle assessment of different building systems: The Wälludden case study","type":"book"},"uris":["http://www.mendeley.com/documents/?uuid=dd1b025b-1669-47aa-9aac-63292da96cc2"]}],"mendeley":{"formattedCitation":"(Peñaloza et al., 2013)","plainTextFormattedCitation":"(Peñaloza et al., 2013)","previouslyFormattedCitation":"(Peñaloza et al., 2013)"},"properties":{"noteIndex":0},"schema":"https://github.com/citation-style-language/schema/raw/master/csl-citation.json"}</w:instrText>
      </w:r>
      <w:r w:rsidR="00DE1319" w:rsidRPr="00E32653">
        <w:rPr>
          <w:rFonts w:asciiTheme="majorBidi" w:hAnsiTheme="majorBidi" w:cstheme="majorBidi"/>
        </w:rPr>
        <w:fldChar w:fldCharType="separate"/>
      </w:r>
      <w:r w:rsidR="00DE1319" w:rsidRPr="00E32653">
        <w:rPr>
          <w:rFonts w:asciiTheme="majorBidi" w:hAnsiTheme="majorBidi" w:cstheme="majorBidi"/>
          <w:noProof/>
        </w:rPr>
        <w:t>(Peñaloza et al., 2013)</w:t>
      </w:r>
      <w:r w:rsidR="00DE1319" w:rsidRPr="00E32653">
        <w:rPr>
          <w:rFonts w:asciiTheme="majorBidi" w:hAnsiTheme="majorBidi" w:cstheme="majorBidi"/>
        </w:rPr>
        <w:fldChar w:fldCharType="end"/>
      </w:r>
      <w:r w:rsidR="00DE1319" w:rsidRPr="00E32653">
        <w:rPr>
          <w:rFonts w:asciiTheme="majorBidi" w:hAnsiTheme="majorBidi" w:cstheme="majorBidi"/>
        </w:rPr>
        <w:t xml:space="preserve">. </w:t>
      </w:r>
      <w:r w:rsidR="004E18FE" w:rsidRPr="00E32653">
        <w:rPr>
          <w:rFonts w:asciiTheme="majorBidi" w:hAnsiTheme="majorBidi" w:cstheme="majorBidi"/>
        </w:rPr>
        <w:t>E</w:t>
      </w:r>
      <w:r w:rsidR="003D5EAA" w:rsidRPr="00E32653">
        <w:rPr>
          <w:rFonts w:asciiTheme="majorBidi" w:hAnsiTheme="majorBidi" w:cstheme="majorBidi"/>
        </w:rPr>
        <w:t xml:space="preserve">ach veneer in LVL </w:t>
      </w:r>
      <w:r w:rsidR="004E18FE" w:rsidRPr="00E32653">
        <w:rPr>
          <w:rFonts w:asciiTheme="majorBidi" w:hAnsiTheme="majorBidi" w:cstheme="majorBidi"/>
        </w:rPr>
        <w:t>is arranged in a way that provides</w:t>
      </w:r>
      <w:r w:rsidR="003D5EAA" w:rsidRPr="00E32653">
        <w:rPr>
          <w:rFonts w:asciiTheme="majorBidi" w:hAnsiTheme="majorBidi" w:cstheme="majorBidi"/>
        </w:rPr>
        <w:t xml:space="preserve"> similar strength </w:t>
      </w:r>
      <w:r w:rsidR="004E18FE" w:rsidRPr="00E32653">
        <w:rPr>
          <w:rFonts w:asciiTheme="majorBidi" w:hAnsiTheme="majorBidi" w:cstheme="majorBidi"/>
        </w:rPr>
        <w:t>to</w:t>
      </w:r>
      <w:r w:rsidR="003D5EAA" w:rsidRPr="00E32653">
        <w:rPr>
          <w:rFonts w:asciiTheme="majorBidi" w:hAnsiTheme="majorBidi" w:cstheme="majorBidi"/>
        </w:rPr>
        <w:t xml:space="preserve"> GLT. </w:t>
      </w:r>
      <w:r w:rsidR="00C831C9" w:rsidRPr="00E32653">
        <w:rPr>
          <w:rFonts w:asciiTheme="majorBidi" w:hAnsiTheme="majorBidi" w:cstheme="majorBidi"/>
        </w:rPr>
        <w:t>A</w:t>
      </w:r>
      <w:r w:rsidR="003D5EAA" w:rsidRPr="00E32653">
        <w:rPr>
          <w:rFonts w:asciiTheme="majorBidi" w:hAnsiTheme="majorBidi" w:cstheme="majorBidi"/>
        </w:rPr>
        <w:t xml:space="preserve"> single</w:t>
      </w:r>
      <w:r w:rsidR="00D02BE0" w:rsidRPr="00E32653">
        <w:rPr>
          <w:rFonts w:asciiTheme="majorBidi" w:hAnsiTheme="majorBidi" w:cstheme="majorBidi"/>
        </w:rPr>
        <w:t>-</w:t>
      </w:r>
      <w:r w:rsidR="003D5EAA" w:rsidRPr="00E32653">
        <w:rPr>
          <w:rFonts w:asciiTheme="majorBidi" w:hAnsiTheme="majorBidi" w:cstheme="majorBidi"/>
        </w:rPr>
        <w:t>story building comprise</w:t>
      </w:r>
      <w:r w:rsidR="00D02BE0" w:rsidRPr="00E32653">
        <w:rPr>
          <w:rFonts w:asciiTheme="majorBidi" w:hAnsiTheme="majorBidi" w:cstheme="majorBidi"/>
        </w:rPr>
        <w:t>d</w:t>
      </w:r>
      <w:r w:rsidR="003D5EAA" w:rsidRPr="00E32653">
        <w:rPr>
          <w:rFonts w:asciiTheme="majorBidi" w:hAnsiTheme="majorBidi" w:cstheme="majorBidi"/>
        </w:rPr>
        <w:t xml:space="preserve"> of three bedrooms, </w:t>
      </w:r>
      <w:r w:rsidR="00D02BE0" w:rsidRPr="00E32653">
        <w:rPr>
          <w:rFonts w:asciiTheme="majorBidi" w:hAnsiTheme="majorBidi" w:cstheme="majorBidi"/>
        </w:rPr>
        <w:t xml:space="preserve">a </w:t>
      </w:r>
      <w:r w:rsidR="003D5EAA" w:rsidRPr="00E32653">
        <w:rPr>
          <w:rFonts w:asciiTheme="majorBidi" w:hAnsiTheme="majorBidi" w:cstheme="majorBidi"/>
        </w:rPr>
        <w:t>living room</w:t>
      </w:r>
      <w:r w:rsidR="00D02BE0" w:rsidRPr="00E32653">
        <w:rPr>
          <w:rFonts w:asciiTheme="majorBidi" w:hAnsiTheme="majorBidi" w:cstheme="majorBidi"/>
        </w:rPr>
        <w:t>,</w:t>
      </w:r>
      <w:r w:rsidR="003D5EAA" w:rsidRPr="00E32653">
        <w:rPr>
          <w:rFonts w:asciiTheme="majorBidi" w:hAnsiTheme="majorBidi" w:cstheme="majorBidi"/>
        </w:rPr>
        <w:t xml:space="preserve"> and </w:t>
      </w:r>
      <w:r w:rsidR="00D02BE0" w:rsidRPr="00E32653">
        <w:rPr>
          <w:rFonts w:asciiTheme="majorBidi" w:hAnsiTheme="majorBidi" w:cstheme="majorBidi"/>
        </w:rPr>
        <w:t xml:space="preserve">a </w:t>
      </w:r>
      <w:r w:rsidR="003D5EAA" w:rsidRPr="00E32653">
        <w:rPr>
          <w:rFonts w:asciiTheme="majorBidi" w:hAnsiTheme="majorBidi" w:cstheme="majorBidi"/>
        </w:rPr>
        <w:t>kitchen (Figure 3)</w:t>
      </w:r>
      <w:r w:rsidR="00C831C9" w:rsidRPr="00E32653">
        <w:rPr>
          <w:rFonts w:asciiTheme="majorBidi" w:hAnsiTheme="majorBidi" w:cstheme="majorBidi"/>
        </w:rPr>
        <w:t xml:space="preserve"> </w:t>
      </w:r>
      <w:r w:rsidR="004E18FE" w:rsidRPr="00E32653">
        <w:rPr>
          <w:rFonts w:asciiTheme="majorBidi" w:hAnsiTheme="majorBidi" w:cstheme="majorBidi"/>
        </w:rPr>
        <w:t xml:space="preserve">was </w:t>
      </w:r>
      <w:r w:rsidR="00C831C9" w:rsidRPr="00E32653">
        <w:rPr>
          <w:rFonts w:asciiTheme="majorBidi" w:hAnsiTheme="majorBidi" w:cstheme="majorBidi"/>
        </w:rPr>
        <w:t>chosen as cas</w:t>
      </w:r>
      <w:r w:rsidR="004E18FE" w:rsidRPr="00E32653">
        <w:rPr>
          <w:rFonts w:asciiTheme="majorBidi" w:hAnsiTheme="majorBidi" w:cstheme="majorBidi"/>
        </w:rPr>
        <w:t xml:space="preserve">e </w:t>
      </w:r>
      <w:r w:rsidR="00C831C9" w:rsidRPr="00E32653">
        <w:rPr>
          <w:rFonts w:asciiTheme="majorBidi" w:hAnsiTheme="majorBidi" w:cstheme="majorBidi"/>
        </w:rPr>
        <w:t>study</w:t>
      </w:r>
      <w:r w:rsidR="003D5EAA" w:rsidRPr="00E32653">
        <w:rPr>
          <w:rFonts w:asciiTheme="majorBidi" w:hAnsiTheme="majorBidi" w:cstheme="majorBidi"/>
        </w:rPr>
        <w:t xml:space="preserve">. </w:t>
      </w:r>
      <w:r w:rsidR="008A44DD" w:rsidRPr="00E32653">
        <w:rPr>
          <w:rFonts w:asciiTheme="majorBidi" w:hAnsiTheme="majorBidi" w:cstheme="majorBidi"/>
        </w:rPr>
        <w:t>The analysis provide</w:t>
      </w:r>
      <w:r w:rsidR="00D02BE0" w:rsidRPr="00E32653">
        <w:rPr>
          <w:rFonts w:asciiTheme="majorBidi" w:hAnsiTheme="majorBidi" w:cstheme="majorBidi"/>
        </w:rPr>
        <w:t>d</w:t>
      </w:r>
      <w:r w:rsidR="008A44DD" w:rsidRPr="00E32653">
        <w:rPr>
          <w:rFonts w:asciiTheme="majorBidi" w:hAnsiTheme="majorBidi" w:cstheme="majorBidi"/>
        </w:rPr>
        <w:t xml:space="preserve"> below may be generalized for buildings </w:t>
      </w:r>
      <w:r w:rsidR="00D02BE0" w:rsidRPr="00E32653">
        <w:rPr>
          <w:rFonts w:asciiTheme="majorBidi" w:hAnsiTheme="majorBidi" w:cstheme="majorBidi"/>
        </w:rPr>
        <w:t>that</w:t>
      </w:r>
      <w:r w:rsidR="008A44DD" w:rsidRPr="00E32653">
        <w:rPr>
          <w:rFonts w:asciiTheme="majorBidi" w:hAnsiTheme="majorBidi" w:cstheme="majorBidi"/>
        </w:rPr>
        <w:t xml:space="preserve"> are currently manufactured in South Asia countries. </w:t>
      </w:r>
    </w:p>
    <w:p w14:paraId="57BB493C" w14:textId="5916D87E" w:rsidR="00D57AEC" w:rsidRPr="00E32653" w:rsidRDefault="00D30799" w:rsidP="00A25EEA">
      <w:pPr>
        <w:spacing w:line="276" w:lineRule="auto"/>
        <w:ind w:firstLine="720"/>
        <w:jc w:val="both"/>
        <w:rPr>
          <w:rFonts w:asciiTheme="majorBidi" w:hAnsiTheme="majorBidi" w:cstheme="majorBidi"/>
        </w:rPr>
      </w:pPr>
      <w:r w:rsidRPr="00E32653">
        <w:rPr>
          <w:rFonts w:asciiTheme="majorBidi" w:hAnsiTheme="majorBidi" w:cstheme="majorBidi"/>
        </w:rPr>
        <w:t xml:space="preserve">The first </w:t>
      </w:r>
      <w:r w:rsidR="003707A4" w:rsidRPr="00E32653">
        <w:rPr>
          <w:rFonts w:asciiTheme="majorBidi" w:hAnsiTheme="majorBidi" w:cstheme="majorBidi"/>
        </w:rPr>
        <w:t xml:space="preserve">case study building is based on </w:t>
      </w:r>
      <w:r w:rsidR="00777F8A" w:rsidRPr="00E32653">
        <w:rPr>
          <w:rFonts w:asciiTheme="majorBidi" w:hAnsiTheme="majorBidi" w:cstheme="majorBidi"/>
        </w:rPr>
        <w:t>glulam</w:t>
      </w:r>
      <w:r w:rsidRPr="00E32653">
        <w:rPr>
          <w:rFonts w:asciiTheme="majorBidi" w:hAnsiTheme="majorBidi" w:cstheme="majorBidi"/>
        </w:rPr>
        <w:t xml:space="preserve"> or GLT. </w:t>
      </w:r>
      <w:r w:rsidR="00777F8A" w:rsidRPr="00E32653">
        <w:rPr>
          <w:rFonts w:asciiTheme="majorBidi" w:hAnsiTheme="majorBidi" w:cstheme="majorBidi"/>
        </w:rPr>
        <w:t>This material allow</w:t>
      </w:r>
      <w:r w:rsidR="004E18FE" w:rsidRPr="00E32653">
        <w:rPr>
          <w:rFonts w:asciiTheme="majorBidi" w:hAnsiTheme="majorBidi" w:cstheme="majorBidi"/>
        </w:rPr>
        <w:t>s</w:t>
      </w:r>
      <w:r w:rsidR="00777F8A" w:rsidRPr="00E32653">
        <w:rPr>
          <w:rFonts w:asciiTheme="majorBidi" w:hAnsiTheme="majorBidi" w:cstheme="majorBidi"/>
        </w:rPr>
        <w:t xml:space="preserve"> for </w:t>
      </w:r>
      <w:r w:rsidR="00D02BE0" w:rsidRPr="00E32653">
        <w:rPr>
          <w:rFonts w:asciiTheme="majorBidi" w:hAnsiTheme="majorBidi" w:cstheme="majorBidi"/>
        </w:rPr>
        <w:t xml:space="preserve">the </w:t>
      </w:r>
      <w:r w:rsidR="00777F8A" w:rsidRPr="00E32653">
        <w:rPr>
          <w:rFonts w:asciiTheme="majorBidi" w:hAnsiTheme="majorBidi" w:cstheme="majorBidi"/>
        </w:rPr>
        <w:t xml:space="preserve">fabrication of components </w:t>
      </w:r>
      <w:r w:rsidR="004E18FE" w:rsidRPr="00E32653">
        <w:rPr>
          <w:rFonts w:asciiTheme="majorBidi" w:hAnsiTheme="majorBidi" w:cstheme="majorBidi"/>
        </w:rPr>
        <w:t xml:space="preserve">to </w:t>
      </w:r>
      <w:r w:rsidR="00777F8A" w:rsidRPr="00E32653">
        <w:rPr>
          <w:rFonts w:asciiTheme="majorBidi" w:hAnsiTheme="majorBidi" w:cstheme="majorBidi"/>
        </w:rPr>
        <w:t xml:space="preserve">any depth and width. </w:t>
      </w:r>
      <w:r w:rsidR="00D57AEC" w:rsidRPr="00E32653">
        <w:rPr>
          <w:rFonts w:asciiTheme="majorBidi" w:hAnsiTheme="majorBidi" w:cstheme="majorBidi"/>
        </w:rPr>
        <w:t>The</w:t>
      </w:r>
      <w:r w:rsidR="003707A4" w:rsidRPr="00E32653">
        <w:rPr>
          <w:rFonts w:asciiTheme="majorBidi" w:hAnsiTheme="majorBidi" w:cstheme="majorBidi"/>
        </w:rPr>
        <w:t xml:space="preserve"> members are constructed of </w:t>
      </w:r>
      <w:r w:rsidR="00D57AEC" w:rsidRPr="00E32653">
        <w:rPr>
          <w:rFonts w:asciiTheme="majorBidi" w:hAnsiTheme="majorBidi" w:cstheme="majorBidi"/>
        </w:rPr>
        <w:t xml:space="preserve">five wood </w:t>
      </w:r>
      <w:r w:rsidR="004E18FE" w:rsidRPr="00E32653">
        <w:rPr>
          <w:rFonts w:asciiTheme="majorBidi" w:hAnsiTheme="majorBidi" w:cstheme="majorBidi"/>
        </w:rPr>
        <w:t>laminations arranged</w:t>
      </w:r>
      <w:r w:rsidR="00D57AEC" w:rsidRPr="00E32653">
        <w:rPr>
          <w:rFonts w:asciiTheme="majorBidi" w:hAnsiTheme="majorBidi" w:cstheme="majorBidi"/>
        </w:rPr>
        <w:t xml:space="preserve"> </w:t>
      </w:r>
      <w:r w:rsidR="00D02BE0" w:rsidRPr="00E32653">
        <w:rPr>
          <w:rFonts w:asciiTheme="majorBidi" w:hAnsiTheme="majorBidi" w:cstheme="majorBidi"/>
        </w:rPr>
        <w:t>i</w:t>
      </w:r>
      <w:r w:rsidR="00D57AEC" w:rsidRPr="00E32653">
        <w:rPr>
          <w:rFonts w:asciiTheme="majorBidi" w:hAnsiTheme="majorBidi" w:cstheme="majorBidi"/>
        </w:rPr>
        <w:t>n the same direction</w:t>
      </w:r>
      <w:r w:rsidR="00E65E26" w:rsidRPr="00E32653">
        <w:rPr>
          <w:rFonts w:asciiTheme="majorBidi" w:hAnsiTheme="majorBidi" w:cstheme="majorBidi"/>
        </w:rPr>
        <w:t xml:space="preserve"> </w:t>
      </w:r>
      <w:r w:rsidR="004E18FE" w:rsidRPr="00E32653">
        <w:rPr>
          <w:rFonts w:asciiTheme="majorBidi" w:hAnsiTheme="majorBidi" w:cstheme="majorBidi"/>
        </w:rPr>
        <w:t xml:space="preserve">and </w:t>
      </w:r>
      <w:r w:rsidR="00E65E26" w:rsidRPr="00E32653">
        <w:rPr>
          <w:rFonts w:asciiTheme="majorBidi" w:hAnsiTheme="majorBidi" w:cstheme="majorBidi"/>
        </w:rPr>
        <w:t xml:space="preserve">to the length of </w:t>
      </w:r>
      <w:r w:rsidR="00D02BE0" w:rsidRPr="00E32653">
        <w:rPr>
          <w:rFonts w:asciiTheme="majorBidi" w:hAnsiTheme="majorBidi" w:cstheme="majorBidi"/>
        </w:rPr>
        <w:t xml:space="preserve">the </w:t>
      </w:r>
      <w:r w:rsidR="00E65E26" w:rsidRPr="00E32653">
        <w:rPr>
          <w:rFonts w:asciiTheme="majorBidi" w:hAnsiTheme="majorBidi" w:cstheme="majorBidi"/>
        </w:rPr>
        <w:t>member</w:t>
      </w:r>
      <w:r w:rsidR="00D57AEC" w:rsidRPr="00E32653">
        <w:rPr>
          <w:rFonts w:asciiTheme="majorBidi" w:hAnsiTheme="majorBidi" w:cstheme="majorBidi"/>
        </w:rPr>
        <w:t>. The layers are glue</w:t>
      </w:r>
      <w:r w:rsidR="00E65E26" w:rsidRPr="00E32653">
        <w:rPr>
          <w:rFonts w:asciiTheme="majorBidi" w:hAnsiTheme="majorBidi" w:cstheme="majorBidi"/>
        </w:rPr>
        <w:t>d</w:t>
      </w:r>
      <w:r w:rsidR="00D57AEC" w:rsidRPr="00E32653">
        <w:rPr>
          <w:rFonts w:asciiTheme="majorBidi" w:hAnsiTheme="majorBidi" w:cstheme="majorBidi"/>
        </w:rPr>
        <w:t xml:space="preserve"> to</w:t>
      </w:r>
      <w:r w:rsidR="003707A4" w:rsidRPr="00E32653">
        <w:rPr>
          <w:rFonts w:asciiTheme="majorBidi" w:hAnsiTheme="majorBidi" w:cstheme="majorBidi"/>
        </w:rPr>
        <w:t>ge</w:t>
      </w:r>
      <w:r w:rsidR="00D57AEC" w:rsidRPr="00E32653">
        <w:rPr>
          <w:rFonts w:asciiTheme="majorBidi" w:hAnsiTheme="majorBidi" w:cstheme="majorBidi"/>
        </w:rPr>
        <w:t>ther</w:t>
      </w:r>
      <w:r w:rsidR="003707A4" w:rsidRPr="00E32653">
        <w:rPr>
          <w:rFonts w:asciiTheme="majorBidi" w:hAnsiTheme="majorBidi" w:cstheme="majorBidi"/>
        </w:rPr>
        <w:t>, creating</w:t>
      </w:r>
      <w:r w:rsidR="00D02BE0" w:rsidRPr="00E32653">
        <w:rPr>
          <w:rFonts w:asciiTheme="majorBidi" w:hAnsiTheme="majorBidi" w:cstheme="majorBidi"/>
        </w:rPr>
        <w:t xml:space="preserve"> </w:t>
      </w:r>
      <w:r w:rsidR="00D57AEC" w:rsidRPr="00E32653">
        <w:rPr>
          <w:rFonts w:asciiTheme="majorBidi" w:hAnsiTheme="majorBidi" w:cstheme="majorBidi"/>
        </w:rPr>
        <w:t>strong joint</w:t>
      </w:r>
      <w:r w:rsidR="003707A4" w:rsidRPr="00E32653">
        <w:rPr>
          <w:rFonts w:asciiTheme="majorBidi" w:hAnsiTheme="majorBidi" w:cstheme="majorBidi"/>
        </w:rPr>
        <w:t>s</w:t>
      </w:r>
      <w:r w:rsidR="00D57AEC" w:rsidRPr="00E32653">
        <w:rPr>
          <w:rFonts w:asciiTheme="majorBidi" w:hAnsiTheme="majorBidi" w:cstheme="majorBidi"/>
        </w:rPr>
        <w:t xml:space="preserve">. The </w:t>
      </w:r>
      <w:r w:rsidR="003707A4" w:rsidRPr="00E32653">
        <w:rPr>
          <w:rFonts w:asciiTheme="majorBidi" w:hAnsiTheme="majorBidi" w:cstheme="majorBidi"/>
        </w:rPr>
        <w:t xml:space="preserve">density </w:t>
      </w:r>
      <w:r w:rsidR="00D57AEC" w:rsidRPr="00E32653">
        <w:rPr>
          <w:rFonts w:asciiTheme="majorBidi" w:hAnsiTheme="majorBidi" w:cstheme="majorBidi"/>
        </w:rPr>
        <w:t xml:space="preserve">of </w:t>
      </w:r>
      <w:r w:rsidR="003707A4" w:rsidRPr="00E32653">
        <w:rPr>
          <w:rFonts w:asciiTheme="majorBidi" w:hAnsiTheme="majorBidi" w:cstheme="majorBidi"/>
        </w:rPr>
        <w:t xml:space="preserve">the </w:t>
      </w:r>
      <w:r w:rsidR="00D57AEC" w:rsidRPr="00E32653">
        <w:rPr>
          <w:rFonts w:asciiTheme="majorBidi" w:hAnsiTheme="majorBidi" w:cstheme="majorBidi"/>
        </w:rPr>
        <w:t>GLT</w:t>
      </w:r>
      <w:r w:rsidR="00EF1949" w:rsidRPr="00E32653">
        <w:rPr>
          <w:rFonts w:asciiTheme="majorBidi" w:hAnsiTheme="majorBidi" w:cstheme="majorBidi"/>
        </w:rPr>
        <w:t xml:space="preserve"> </w:t>
      </w:r>
      <w:r w:rsidR="00D57AEC" w:rsidRPr="00E32653">
        <w:rPr>
          <w:rFonts w:asciiTheme="majorBidi" w:hAnsiTheme="majorBidi" w:cstheme="majorBidi"/>
        </w:rPr>
        <w:t xml:space="preserve">panels </w:t>
      </w:r>
      <w:r w:rsidR="00D02BE0" w:rsidRPr="00E32653">
        <w:rPr>
          <w:rFonts w:asciiTheme="majorBidi" w:hAnsiTheme="majorBidi" w:cstheme="majorBidi"/>
        </w:rPr>
        <w:t xml:space="preserve">is </w:t>
      </w:r>
      <w:r w:rsidR="00A343BC" w:rsidRPr="00E32653">
        <w:rPr>
          <w:rFonts w:asciiTheme="majorBidi" w:hAnsiTheme="majorBidi" w:cstheme="majorBidi"/>
        </w:rPr>
        <w:t xml:space="preserve">approximately </w:t>
      </w:r>
      <w:r w:rsidR="00D57AEC" w:rsidRPr="00E32653">
        <w:rPr>
          <w:rFonts w:asciiTheme="majorBidi" w:hAnsiTheme="majorBidi" w:cstheme="majorBidi"/>
        </w:rPr>
        <w:t xml:space="preserve">430 </w:t>
      </w:r>
      <w:r w:rsidR="00A25EEA" w:rsidRPr="00E32653">
        <w:rPr>
          <w:rFonts w:asciiTheme="majorBidi" w:hAnsiTheme="majorBidi" w:cstheme="majorBidi"/>
        </w:rPr>
        <w:t>K</w:t>
      </w:r>
      <w:r w:rsidR="000D27D8" w:rsidRPr="00E32653">
        <w:rPr>
          <w:rFonts w:asciiTheme="majorBidi" w:hAnsiTheme="majorBidi" w:cstheme="majorBidi"/>
        </w:rPr>
        <w:t>g/M</w:t>
      </w:r>
      <w:r w:rsidR="00D57AEC" w:rsidRPr="00E32653">
        <w:rPr>
          <w:rFonts w:asciiTheme="majorBidi" w:hAnsiTheme="majorBidi" w:cstheme="majorBidi"/>
          <w:vertAlign w:val="superscript"/>
        </w:rPr>
        <w:t>3</w:t>
      </w:r>
      <w:r w:rsidR="00A343BC" w:rsidRPr="00E32653">
        <w:rPr>
          <w:rFonts w:asciiTheme="majorBidi" w:hAnsiTheme="majorBidi" w:cstheme="majorBidi"/>
          <w:vertAlign w:val="superscript"/>
        </w:rPr>
        <w:t xml:space="preserve"> </w:t>
      </w:r>
      <w:r w:rsidR="00A343BC" w:rsidRPr="00E32653">
        <w:rPr>
          <w:rFonts w:asciiTheme="majorBidi" w:hAnsiTheme="majorBidi" w:cstheme="majorBidi"/>
        </w:rPr>
        <w:t xml:space="preserve">and 470 </w:t>
      </w:r>
      <w:r w:rsidR="00A25EEA" w:rsidRPr="00E32653">
        <w:rPr>
          <w:rFonts w:asciiTheme="majorBidi" w:hAnsiTheme="majorBidi" w:cstheme="majorBidi"/>
        </w:rPr>
        <w:t>K</w:t>
      </w:r>
      <w:r w:rsidR="000D27D8" w:rsidRPr="00E32653">
        <w:rPr>
          <w:rFonts w:asciiTheme="majorBidi" w:hAnsiTheme="majorBidi" w:cstheme="majorBidi"/>
        </w:rPr>
        <w:t>g/M</w:t>
      </w:r>
      <w:r w:rsidR="00A343BC" w:rsidRPr="00E32653">
        <w:rPr>
          <w:rFonts w:asciiTheme="majorBidi" w:hAnsiTheme="majorBidi" w:cstheme="majorBidi"/>
          <w:vertAlign w:val="superscript"/>
        </w:rPr>
        <w:t>3</w:t>
      </w:r>
      <w:r w:rsidR="00D57AEC" w:rsidRPr="00E32653">
        <w:rPr>
          <w:rFonts w:asciiTheme="majorBidi" w:hAnsiTheme="majorBidi" w:cstheme="majorBidi"/>
        </w:rPr>
        <w:t xml:space="preserve">. The mass of </w:t>
      </w:r>
      <w:r w:rsidR="00D02BE0" w:rsidRPr="00E32653">
        <w:rPr>
          <w:rFonts w:asciiTheme="majorBidi" w:hAnsiTheme="majorBidi" w:cstheme="majorBidi"/>
        </w:rPr>
        <w:t xml:space="preserve">the </w:t>
      </w:r>
      <w:r w:rsidR="00747918" w:rsidRPr="00E32653">
        <w:rPr>
          <w:rFonts w:asciiTheme="majorBidi" w:hAnsiTheme="majorBidi" w:cstheme="majorBidi"/>
        </w:rPr>
        <w:t>GLT</w:t>
      </w:r>
      <w:r w:rsidR="00D57AEC" w:rsidRPr="00E32653">
        <w:rPr>
          <w:rFonts w:asciiTheme="majorBidi" w:hAnsiTheme="majorBidi" w:cstheme="majorBidi"/>
        </w:rPr>
        <w:t xml:space="preserve"> panel for walls </w:t>
      </w:r>
      <w:r w:rsidR="003707A4" w:rsidRPr="00E32653">
        <w:rPr>
          <w:rFonts w:asciiTheme="majorBidi" w:hAnsiTheme="majorBidi" w:cstheme="majorBidi"/>
        </w:rPr>
        <w:t xml:space="preserve">140 mm </w:t>
      </w:r>
      <w:r w:rsidR="00A25EEA" w:rsidRPr="00E32653">
        <w:rPr>
          <w:rFonts w:asciiTheme="majorBidi" w:hAnsiTheme="majorBidi" w:cstheme="majorBidi"/>
        </w:rPr>
        <w:t>thick is 72 K</w:t>
      </w:r>
      <w:r w:rsidR="00D57AEC" w:rsidRPr="00E32653">
        <w:rPr>
          <w:rFonts w:asciiTheme="majorBidi" w:hAnsiTheme="majorBidi" w:cstheme="majorBidi"/>
        </w:rPr>
        <w:t>g/m</w:t>
      </w:r>
      <w:r w:rsidR="00D57AEC" w:rsidRPr="00E32653">
        <w:rPr>
          <w:rFonts w:asciiTheme="majorBidi" w:hAnsiTheme="majorBidi" w:cstheme="majorBidi"/>
          <w:vertAlign w:val="superscript"/>
        </w:rPr>
        <w:t>2</w:t>
      </w:r>
      <w:r w:rsidR="00D57AEC" w:rsidRPr="00E32653">
        <w:rPr>
          <w:rFonts w:asciiTheme="majorBidi" w:hAnsiTheme="majorBidi" w:cstheme="majorBidi"/>
        </w:rPr>
        <w:fldChar w:fldCharType="begin" w:fldLock="1"/>
      </w:r>
      <w:r w:rsidR="00D57AEC" w:rsidRPr="00E32653">
        <w:rPr>
          <w:rFonts w:asciiTheme="majorBidi" w:hAnsiTheme="majorBidi" w:cstheme="majorBidi"/>
        </w:rPr>
        <w:instrText>ADDIN CSL_CITATION {"citationItems":[{"id":"ITEM-1","itemData":{"author":[{"dropping-particle":"","family":"Members","given":"Bending","non-dropping-particle":"","parse-names":false,"suffix":""}],"id":"ITEM-1","issue":"February","issued":{"date-parts":[["2020"]]},"title":"Decking Selection Tables Com Commercial Grade","type":"article-journal"},"uris":["http://www.mendeley.com/documents/?uuid=cf7597bb-2b7c-4203-81d2-2e0e52f3487d"]}],"mendeley":{"formattedCitation":"(Members, 2020)","manualFormatting":" (Althaus, 2003). ","plainTextFormattedCitation":"(Members, 2020)","previouslyFormattedCitation":"(Members, 2020)"},"properties":{"noteIndex":0},"schema":"https://github.com/citation-style-language/schema/raw/master/csl-citation.json"}</w:instrText>
      </w:r>
      <w:r w:rsidR="00D57AEC" w:rsidRPr="00E32653">
        <w:rPr>
          <w:rFonts w:asciiTheme="majorBidi" w:hAnsiTheme="majorBidi" w:cstheme="majorBidi"/>
        </w:rPr>
        <w:fldChar w:fldCharType="separate"/>
      </w:r>
      <w:r w:rsidR="00D57AEC" w:rsidRPr="00E32653">
        <w:rPr>
          <w:rFonts w:asciiTheme="majorBidi" w:hAnsiTheme="majorBidi" w:cstheme="majorBidi"/>
          <w:noProof/>
        </w:rPr>
        <w:t xml:space="preserve"> </w:t>
      </w:r>
      <w:r w:rsidR="00D57AEC" w:rsidRPr="00E32653">
        <w:rPr>
          <w:rFonts w:asciiTheme="majorBidi" w:hAnsiTheme="majorBidi" w:cstheme="majorBidi"/>
          <w:noProof/>
        </w:rPr>
        <w:fldChar w:fldCharType="begin" w:fldLock="1"/>
      </w:r>
      <w:r w:rsidR="005E772A" w:rsidRPr="00E32653">
        <w:rPr>
          <w:rFonts w:asciiTheme="majorBidi" w:hAnsiTheme="majorBidi" w:cstheme="majorBidi"/>
          <w:noProof/>
        </w:rPr>
        <w:instrText>ADDIN CSL_CITATION {"citationItems":[{"id":"ITEM-1","itemData":{"author":[{"dropping-particle":"","family":"Althaus","given":"Hans-jörg","non-dropping-particle":"","parse-names":false,"suffix":""}],"id":"ITEM-1","issued":{"date-parts":[["2003"]]},"title":"Hans-Jörg Althaus","type":"article-journal"},"uris":["http://www.mendeley.com/documents/?uuid=38664a2b-43fc-4cca-8855-37759d18ae4f"]}],"mendeley":{"formattedCitation":"(Althaus, 2003)","manualFormatting":"(Doka, 2003)","plainTextFormattedCitation":"(Althaus, 2003)","previouslyFormattedCitation":"(Althaus, 2003)"},"properties":{"noteIndex":0},"schema":"https://github.com/citation-style-language/schema/raw/master/csl-citation.json"}</w:instrText>
      </w:r>
      <w:r w:rsidR="00D57AEC" w:rsidRPr="00E32653">
        <w:rPr>
          <w:rFonts w:asciiTheme="majorBidi" w:hAnsiTheme="majorBidi" w:cstheme="majorBidi"/>
          <w:noProof/>
        </w:rPr>
        <w:fldChar w:fldCharType="separate"/>
      </w:r>
      <w:r w:rsidR="00D57AEC" w:rsidRPr="00E32653">
        <w:rPr>
          <w:rFonts w:asciiTheme="majorBidi" w:hAnsiTheme="majorBidi" w:cstheme="majorBidi"/>
          <w:noProof/>
        </w:rPr>
        <w:t>(</w:t>
      </w:r>
      <w:r w:rsidR="005E772A" w:rsidRPr="00E32653">
        <w:rPr>
          <w:rFonts w:asciiTheme="majorBidi" w:hAnsiTheme="majorBidi" w:cstheme="majorBidi"/>
          <w:noProof/>
        </w:rPr>
        <w:t>Doka</w:t>
      </w:r>
      <w:r w:rsidR="00D57AEC" w:rsidRPr="00E32653">
        <w:rPr>
          <w:rFonts w:asciiTheme="majorBidi" w:hAnsiTheme="majorBidi" w:cstheme="majorBidi"/>
          <w:noProof/>
        </w:rPr>
        <w:t>, 2003)</w:t>
      </w:r>
      <w:r w:rsidR="00D57AEC" w:rsidRPr="00E32653">
        <w:rPr>
          <w:rFonts w:asciiTheme="majorBidi" w:hAnsiTheme="majorBidi" w:cstheme="majorBidi"/>
          <w:noProof/>
        </w:rPr>
        <w:fldChar w:fldCharType="end"/>
      </w:r>
      <w:r w:rsidR="00D57AEC" w:rsidRPr="00E32653">
        <w:rPr>
          <w:rFonts w:asciiTheme="majorBidi" w:hAnsiTheme="majorBidi" w:cstheme="majorBidi"/>
          <w:noProof/>
        </w:rPr>
        <w:t xml:space="preserve">. </w:t>
      </w:r>
      <w:r w:rsidR="00D57AEC" w:rsidRPr="00E32653">
        <w:rPr>
          <w:rFonts w:asciiTheme="majorBidi" w:hAnsiTheme="majorBidi" w:cstheme="majorBidi"/>
        </w:rPr>
        <w:fldChar w:fldCharType="end"/>
      </w:r>
    </w:p>
    <w:p w14:paraId="355192F6" w14:textId="44BED7C6" w:rsidR="008A44DD" w:rsidRPr="00E32653" w:rsidRDefault="008A44DD" w:rsidP="00A25EEA">
      <w:pPr>
        <w:spacing w:line="276" w:lineRule="auto"/>
        <w:ind w:firstLine="720"/>
        <w:jc w:val="both"/>
        <w:rPr>
          <w:rFonts w:asciiTheme="majorBidi" w:hAnsiTheme="majorBidi" w:cstheme="majorBidi"/>
        </w:rPr>
      </w:pPr>
      <w:r w:rsidRPr="00E32653">
        <w:rPr>
          <w:rFonts w:asciiTheme="majorBidi" w:hAnsiTheme="majorBidi" w:cstheme="majorBidi"/>
        </w:rPr>
        <w:t xml:space="preserve">The </w:t>
      </w:r>
      <w:r w:rsidR="003707A4" w:rsidRPr="00E32653">
        <w:rPr>
          <w:rFonts w:asciiTheme="majorBidi" w:hAnsiTheme="majorBidi" w:cstheme="majorBidi"/>
        </w:rPr>
        <w:t>second case study building</w:t>
      </w:r>
      <w:r w:rsidRPr="00E32653">
        <w:rPr>
          <w:rFonts w:asciiTheme="majorBidi" w:hAnsiTheme="majorBidi" w:cstheme="majorBidi"/>
        </w:rPr>
        <w:t xml:space="preserve"> uses LVL load-bearing wall panels that do not incorporate post and beam components. LVL is manufactured f</w:t>
      </w:r>
      <w:r w:rsidR="00D02BE0" w:rsidRPr="00E32653">
        <w:rPr>
          <w:rFonts w:asciiTheme="majorBidi" w:hAnsiTheme="majorBidi" w:cstheme="majorBidi"/>
        </w:rPr>
        <w:t>ro</w:t>
      </w:r>
      <w:r w:rsidRPr="00E32653">
        <w:rPr>
          <w:rFonts w:asciiTheme="majorBidi" w:hAnsiTheme="majorBidi" w:cstheme="majorBidi"/>
        </w:rPr>
        <w:t xml:space="preserve">m </w:t>
      </w:r>
      <w:r w:rsidR="00733607" w:rsidRPr="00E32653">
        <w:rPr>
          <w:rFonts w:asciiTheme="majorBidi" w:hAnsiTheme="majorBidi" w:cstheme="majorBidi"/>
        </w:rPr>
        <w:t xml:space="preserve">timber </w:t>
      </w:r>
      <w:r w:rsidRPr="00E32653">
        <w:rPr>
          <w:rFonts w:asciiTheme="majorBidi" w:hAnsiTheme="majorBidi" w:cstheme="majorBidi"/>
        </w:rPr>
        <w:t>veneer</w:t>
      </w:r>
      <w:r w:rsidR="00733607" w:rsidRPr="00E32653">
        <w:rPr>
          <w:rFonts w:asciiTheme="majorBidi" w:hAnsiTheme="majorBidi" w:cstheme="majorBidi"/>
        </w:rPr>
        <w:t>s</w:t>
      </w:r>
      <w:r w:rsidRPr="00E32653">
        <w:rPr>
          <w:rFonts w:asciiTheme="majorBidi" w:hAnsiTheme="majorBidi" w:cstheme="majorBidi"/>
        </w:rPr>
        <w:t xml:space="preserve"> </w:t>
      </w:r>
      <w:r w:rsidR="00733607" w:rsidRPr="00E32653">
        <w:rPr>
          <w:rFonts w:asciiTheme="majorBidi" w:hAnsiTheme="majorBidi" w:cstheme="majorBidi"/>
        </w:rPr>
        <w:t xml:space="preserve">and is </w:t>
      </w:r>
      <w:r w:rsidRPr="00E32653">
        <w:rPr>
          <w:rFonts w:asciiTheme="majorBidi" w:hAnsiTheme="majorBidi" w:cstheme="majorBidi"/>
        </w:rPr>
        <w:t xml:space="preserve">similar to plywood. However, the </w:t>
      </w:r>
      <w:r w:rsidR="00B307F1" w:rsidRPr="00E32653">
        <w:rPr>
          <w:rFonts w:asciiTheme="majorBidi" w:hAnsiTheme="majorBidi" w:cstheme="majorBidi"/>
        </w:rPr>
        <w:t xml:space="preserve">LVL </w:t>
      </w:r>
      <w:r w:rsidRPr="00E32653">
        <w:rPr>
          <w:rFonts w:asciiTheme="majorBidi" w:hAnsiTheme="majorBidi" w:cstheme="majorBidi"/>
        </w:rPr>
        <w:t>veneer</w:t>
      </w:r>
      <w:r w:rsidR="00B307F1" w:rsidRPr="00E32653">
        <w:rPr>
          <w:rFonts w:asciiTheme="majorBidi" w:hAnsiTheme="majorBidi" w:cstheme="majorBidi"/>
        </w:rPr>
        <w:t>s</w:t>
      </w:r>
      <w:r w:rsidRPr="00E32653">
        <w:rPr>
          <w:rFonts w:asciiTheme="majorBidi" w:hAnsiTheme="majorBidi" w:cstheme="majorBidi"/>
        </w:rPr>
        <w:t xml:space="preserve"> </w:t>
      </w:r>
      <w:r w:rsidR="00B307F1" w:rsidRPr="00E32653">
        <w:rPr>
          <w:rFonts w:asciiTheme="majorBidi" w:hAnsiTheme="majorBidi" w:cstheme="majorBidi"/>
        </w:rPr>
        <w:t>are</w:t>
      </w:r>
      <w:r w:rsidR="00D02BE0" w:rsidRPr="00E32653">
        <w:rPr>
          <w:rFonts w:asciiTheme="majorBidi" w:hAnsiTheme="majorBidi" w:cstheme="majorBidi"/>
        </w:rPr>
        <w:t xml:space="preserve"> laid up the entire layer running in the</w:t>
      </w:r>
      <w:r w:rsidRPr="00E32653">
        <w:rPr>
          <w:rFonts w:asciiTheme="majorBidi" w:hAnsiTheme="majorBidi" w:cstheme="majorBidi"/>
        </w:rPr>
        <w:t xml:space="preserve"> same direction and parallel to the length of each layer. This orientation of </w:t>
      </w:r>
      <w:r w:rsidR="00D02BE0" w:rsidRPr="00E32653">
        <w:rPr>
          <w:rFonts w:asciiTheme="majorBidi" w:hAnsiTheme="majorBidi" w:cstheme="majorBidi"/>
        </w:rPr>
        <w:t xml:space="preserve">the </w:t>
      </w:r>
      <w:r w:rsidRPr="00E32653">
        <w:rPr>
          <w:rFonts w:asciiTheme="majorBidi" w:hAnsiTheme="majorBidi" w:cstheme="majorBidi"/>
        </w:rPr>
        <w:t xml:space="preserve">same direction of </w:t>
      </w:r>
      <w:r w:rsidR="00D02BE0" w:rsidRPr="00E32653">
        <w:rPr>
          <w:rFonts w:asciiTheme="majorBidi" w:hAnsiTheme="majorBidi" w:cstheme="majorBidi"/>
        </w:rPr>
        <w:t xml:space="preserve">the </w:t>
      </w:r>
      <w:r w:rsidRPr="00E32653">
        <w:rPr>
          <w:rFonts w:asciiTheme="majorBidi" w:hAnsiTheme="majorBidi" w:cstheme="majorBidi"/>
        </w:rPr>
        <w:t xml:space="preserve">wood layer in </w:t>
      </w:r>
      <w:r w:rsidR="00D02BE0" w:rsidRPr="00E32653">
        <w:rPr>
          <w:rFonts w:asciiTheme="majorBidi" w:hAnsiTheme="majorBidi" w:cstheme="majorBidi"/>
        </w:rPr>
        <w:t>LVL configuration</w:t>
      </w:r>
      <w:r w:rsidRPr="00E32653">
        <w:rPr>
          <w:rFonts w:asciiTheme="majorBidi" w:hAnsiTheme="majorBidi" w:cstheme="majorBidi"/>
        </w:rPr>
        <w:t xml:space="preserve"> is the main reason behind its high design value </w:t>
      </w:r>
      <w:r w:rsidRPr="00E32653">
        <w:rPr>
          <w:rFonts w:asciiTheme="majorBidi" w:hAnsiTheme="majorBidi" w:cstheme="majorBidi"/>
        </w:rPr>
        <w:fldChar w:fldCharType="begin" w:fldLock="1"/>
      </w:r>
      <w:r w:rsidR="001F4D5A" w:rsidRPr="00E32653">
        <w:rPr>
          <w:rFonts w:asciiTheme="majorBidi" w:hAnsiTheme="majorBidi" w:cstheme="majorBidi"/>
        </w:rPr>
        <w:instrText>ADDIN CSL_CITATION {"citationItems":[{"id":"ITEM-1","itemData":{"ISBN":"0071745610","abstract":"THE DEFINITIVE WOOD STRUCTURE DESIGN GUIDE -- FULLY UPDATED Thoroughly revised to incorporate the latest codes and standards, the seventh edition of this comprehensive resource leads you through the complete design of a wood structure following the same sequence of materials and elements used in actual design. Detailed equations, clear illustrations, and practical design examples are featured throughout the text. THIS NEW EDITION: Conforms to the 2012 International Building Code (IBC) Addresses the new 2012 National Design Specification for Wood Construction (NDS) Contains dual-format Allowable Stress Design/Load and Resistance Factor Design (ASD/LRFD) specifications, equations, and problems Includes ASCE/SEI 7-10 load provisions DESIGN OF WOOD STRUCTURES--ASD/LRFD, SEVENTH EDITION, COVERS: Wood buildings and design criteria Design loads Behavior of structures under loads and forces Properties of wood and lumber grades Structural glued laminated timber Beam design Axial forces and combined loading Wood structural panels Diaphragms Shearwalls Wood connections Nailed connections Bolts, lag bolts, and other connectors Connection details and hardware Diaphragm-to-shearwall anchorage Advanced topics in lateral force design","author":[{"dropping-particle":"","family":"Breyer","given":"Donald","non-dropping-particle":"","parse-names":false,"suffix":""},{"dropping-particle":"","family":"Fridley","given":"Kenneth","non-dropping-particle":"","parse-names":false,"suffix":""},{"dropping-particle":"","family":"Jr.","given":"Pollock","non-dropping-particle":"","parse-names":false,"suffix":""},{"dropping-particle":"","family":"Cobeen","given":"Kelly","non-dropping-particle":"","parse-names":false,"suffix":""}],"id":"ITEM-1","issued":{"date-parts":[["2014"]]},"number-of-pages":"1008","title":"Design of Wood Structures-ASD/LRFD","type":"book"},"uris":["http://www.mendeley.com/documents/?uuid=7123489e-5109-4050-b7d8-c13eb58688a0"]}],"mendeley":{"formattedCitation":"(Breyer et al., 2014)","plainTextFormattedCitation":"(Breyer et al., 2014)","previouslyFormattedCitation":"(Breyer et al., 2014)"},"properties":{"noteIndex":0},"schema":"https://github.com/citation-style-language/schema/raw/master/csl-citation.json"}</w:instrText>
      </w:r>
      <w:r w:rsidRPr="00E32653">
        <w:rPr>
          <w:rFonts w:asciiTheme="majorBidi" w:hAnsiTheme="majorBidi" w:cstheme="majorBidi"/>
        </w:rPr>
        <w:fldChar w:fldCharType="separate"/>
      </w:r>
      <w:r w:rsidRPr="00E32653">
        <w:rPr>
          <w:rFonts w:asciiTheme="majorBidi" w:hAnsiTheme="majorBidi" w:cstheme="majorBidi"/>
          <w:noProof/>
        </w:rPr>
        <w:t>(Breyer et al., 2014)</w:t>
      </w:r>
      <w:r w:rsidRPr="00E32653">
        <w:rPr>
          <w:rFonts w:asciiTheme="majorBidi" w:hAnsiTheme="majorBidi" w:cstheme="majorBidi"/>
        </w:rPr>
        <w:fldChar w:fldCharType="end"/>
      </w:r>
      <w:r w:rsidRPr="00E32653">
        <w:rPr>
          <w:rFonts w:asciiTheme="majorBidi" w:hAnsiTheme="majorBidi" w:cstheme="majorBidi"/>
        </w:rPr>
        <w:t xml:space="preserve">. The </w:t>
      </w:r>
      <w:r w:rsidR="00733607" w:rsidRPr="00E32653">
        <w:rPr>
          <w:rFonts w:asciiTheme="majorBidi" w:hAnsiTheme="majorBidi" w:cstheme="majorBidi"/>
        </w:rPr>
        <w:t>density of the</w:t>
      </w:r>
      <w:r w:rsidRPr="00E32653">
        <w:rPr>
          <w:rFonts w:asciiTheme="majorBidi" w:hAnsiTheme="majorBidi" w:cstheme="majorBidi"/>
        </w:rPr>
        <w:t xml:space="preserve"> LVL panels </w:t>
      </w:r>
      <w:r w:rsidR="00D02BE0" w:rsidRPr="00E32653">
        <w:rPr>
          <w:rFonts w:asciiTheme="majorBidi" w:hAnsiTheme="majorBidi" w:cstheme="majorBidi"/>
        </w:rPr>
        <w:t xml:space="preserve">is </w:t>
      </w:r>
      <w:r w:rsidR="00733607" w:rsidRPr="00E32653">
        <w:rPr>
          <w:rFonts w:asciiTheme="majorBidi" w:hAnsiTheme="majorBidi" w:cstheme="majorBidi"/>
        </w:rPr>
        <w:t>between</w:t>
      </w:r>
      <w:r w:rsidR="00A343BC" w:rsidRPr="00E32653">
        <w:rPr>
          <w:rFonts w:asciiTheme="majorBidi" w:hAnsiTheme="majorBidi" w:cstheme="majorBidi"/>
        </w:rPr>
        <w:t xml:space="preserve"> </w:t>
      </w:r>
      <w:r w:rsidRPr="00E32653">
        <w:rPr>
          <w:rFonts w:asciiTheme="majorBidi" w:hAnsiTheme="majorBidi" w:cstheme="majorBidi"/>
        </w:rPr>
        <w:t xml:space="preserve">500 </w:t>
      </w:r>
      <w:r w:rsidR="00A25EEA" w:rsidRPr="00E32653">
        <w:rPr>
          <w:rFonts w:asciiTheme="majorBidi" w:hAnsiTheme="majorBidi" w:cstheme="majorBidi"/>
        </w:rPr>
        <w:t>K</w:t>
      </w:r>
      <w:r w:rsidR="000D27D8" w:rsidRPr="00E32653">
        <w:rPr>
          <w:rFonts w:asciiTheme="majorBidi" w:hAnsiTheme="majorBidi" w:cstheme="majorBidi"/>
        </w:rPr>
        <w:t>g/M</w:t>
      </w:r>
      <w:r w:rsidRPr="00E32653">
        <w:rPr>
          <w:rFonts w:asciiTheme="majorBidi" w:hAnsiTheme="majorBidi" w:cstheme="majorBidi"/>
          <w:vertAlign w:val="superscript"/>
        </w:rPr>
        <w:t>3</w:t>
      </w:r>
      <w:r w:rsidR="00A343BC" w:rsidRPr="00E32653">
        <w:rPr>
          <w:rFonts w:asciiTheme="majorBidi" w:hAnsiTheme="majorBidi" w:cstheme="majorBidi"/>
          <w:vertAlign w:val="superscript"/>
        </w:rPr>
        <w:t xml:space="preserve"> </w:t>
      </w:r>
      <w:r w:rsidR="00A343BC" w:rsidRPr="00E32653">
        <w:rPr>
          <w:rFonts w:asciiTheme="majorBidi" w:hAnsiTheme="majorBidi" w:cstheme="majorBidi"/>
        </w:rPr>
        <w:t>and 550</w:t>
      </w:r>
      <w:r w:rsidR="00A343BC" w:rsidRPr="00E32653">
        <w:rPr>
          <w:rFonts w:asciiTheme="majorBidi" w:hAnsiTheme="majorBidi" w:cstheme="majorBidi"/>
          <w:vertAlign w:val="superscript"/>
        </w:rPr>
        <w:t xml:space="preserve"> </w:t>
      </w:r>
      <w:r w:rsidR="00A25EEA" w:rsidRPr="00E32653">
        <w:rPr>
          <w:rFonts w:asciiTheme="majorBidi" w:hAnsiTheme="majorBidi" w:cstheme="majorBidi"/>
        </w:rPr>
        <w:t>K</w:t>
      </w:r>
      <w:r w:rsidR="000D27D8" w:rsidRPr="00E32653">
        <w:rPr>
          <w:rFonts w:asciiTheme="majorBidi" w:hAnsiTheme="majorBidi" w:cstheme="majorBidi"/>
        </w:rPr>
        <w:t>g/M</w:t>
      </w:r>
      <w:r w:rsidR="00A343BC" w:rsidRPr="00E32653">
        <w:rPr>
          <w:rFonts w:asciiTheme="majorBidi" w:hAnsiTheme="majorBidi" w:cstheme="majorBidi"/>
          <w:vertAlign w:val="superscript"/>
        </w:rPr>
        <w:t>3</w:t>
      </w:r>
      <w:r w:rsidRPr="00E32653">
        <w:rPr>
          <w:rFonts w:asciiTheme="majorBidi" w:hAnsiTheme="majorBidi" w:cstheme="majorBidi"/>
        </w:rPr>
        <w:t xml:space="preserve">. The mass of </w:t>
      </w:r>
      <w:r w:rsidR="00D02BE0" w:rsidRPr="00E32653">
        <w:rPr>
          <w:rFonts w:asciiTheme="majorBidi" w:hAnsiTheme="majorBidi" w:cstheme="majorBidi"/>
        </w:rPr>
        <w:t xml:space="preserve">the </w:t>
      </w:r>
      <w:r w:rsidRPr="00E32653">
        <w:rPr>
          <w:rFonts w:asciiTheme="majorBidi" w:hAnsiTheme="majorBidi" w:cstheme="majorBidi"/>
        </w:rPr>
        <w:t xml:space="preserve">LVL panel for walls </w:t>
      </w:r>
      <w:r w:rsidR="00733607" w:rsidRPr="00E32653">
        <w:rPr>
          <w:rFonts w:asciiTheme="majorBidi" w:hAnsiTheme="majorBidi" w:cstheme="majorBidi"/>
        </w:rPr>
        <w:t xml:space="preserve">120 mm </w:t>
      </w:r>
      <w:r w:rsidRPr="00E32653">
        <w:rPr>
          <w:rFonts w:asciiTheme="majorBidi" w:hAnsiTheme="majorBidi" w:cstheme="majorBidi"/>
        </w:rPr>
        <w:t xml:space="preserve">thick is 72 </w:t>
      </w:r>
      <w:r w:rsidR="00A25EEA" w:rsidRPr="00E32653">
        <w:rPr>
          <w:rFonts w:asciiTheme="majorBidi" w:hAnsiTheme="majorBidi" w:cstheme="majorBidi"/>
        </w:rPr>
        <w:t>K</w:t>
      </w:r>
      <w:r w:rsidRPr="00E32653">
        <w:rPr>
          <w:rFonts w:asciiTheme="majorBidi" w:hAnsiTheme="majorBidi" w:cstheme="majorBidi"/>
        </w:rPr>
        <w:t>g/m</w:t>
      </w:r>
      <w:r w:rsidRPr="00E32653">
        <w:rPr>
          <w:rFonts w:asciiTheme="majorBidi" w:hAnsiTheme="majorBidi" w:cstheme="majorBidi"/>
          <w:vertAlign w:val="superscript"/>
        </w:rPr>
        <w:t>2</w:t>
      </w:r>
      <w:r w:rsidRPr="00E32653">
        <w:rPr>
          <w:rFonts w:asciiTheme="majorBidi" w:hAnsiTheme="majorBidi" w:cstheme="majorBidi"/>
        </w:rPr>
        <w:fldChar w:fldCharType="begin" w:fldLock="1"/>
      </w:r>
      <w:r w:rsidRPr="00E32653">
        <w:rPr>
          <w:rFonts w:asciiTheme="majorBidi" w:hAnsiTheme="majorBidi" w:cstheme="majorBidi"/>
        </w:rPr>
        <w:instrText>ADDIN CSL_CITATION {"citationItems":[{"id":"ITEM-1","itemData":{"author":[{"dropping-particle":"","family":"Members","given":"Bending","non-dropping-particle":"","parse-names":false,"suffix":""}],"id":"ITEM-1","issue":"February","issued":{"date-parts":[["2020"]]},"title":"Decking Selection Tables Com Commercial Grade","type":"article-journal"},"uris":["http://www.mendeley.com/documents/?uuid=cf7597bb-2b7c-4203-81d2-2e0e52f3487d"]}],"mendeley":{"formattedCitation":"(Members, 2020)","manualFormatting":" (Members, 2020)","plainTextFormattedCitation":"(Members, 2020)","previouslyFormattedCitation":"(Members, 2020)"},"properties":{"noteIndex":0},"schema":"https://github.com/citation-style-language/schema/raw/master/csl-citation.json"}</w:instrText>
      </w:r>
      <w:r w:rsidRPr="00E32653">
        <w:rPr>
          <w:rFonts w:asciiTheme="majorBidi" w:hAnsiTheme="majorBidi" w:cstheme="majorBidi"/>
        </w:rPr>
        <w:fldChar w:fldCharType="separate"/>
      </w:r>
      <w:r w:rsidRPr="00E32653">
        <w:rPr>
          <w:rFonts w:asciiTheme="majorBidi" w:hAnsiTheme="majorBidi" w:cstheme="majorBidi"/>
          <w:noProof/>
        </w:rPr>
        <w:t xml:space="preserve"> (Members, 2020)</w:t>
      </w:r>
      <w:r w:rsidRPr="00E32653">
        <w:rPr>
          <w:rFonts w:asciiTheme="majorBidi" w:hAnsiTheme="majorBidi" w:cstheme="majorBidi"/>
        </w:rPr>
        <w:fldChar w:fldCharType="end"/>
      </w:r>
      <w:r w:rsidR="00165F2B" w:rsidRPr="00E32653">
        <w:rPr>
          <w:rFonts w:asciiTheme="majorBidi" w:hAnsiTheme="majorBidi" w:cstheme="majorBidi"/>
        </w:rPr>
        <w:t>. Table 2</w:t>
      </w:r>
      <w:r w:rsidRPr="00E32653">
        <w:rPr>
          <w:rFonts w:asciiTheme="majorBidi" w:hAnsiTheme="majorBidi" w:cstheme="majorBidi"/>
        </w:rPr>
        <w:t xml:space="preserve"> displays the quantity and characterization </w:t>
      </w:r>
      <w:r w:rsidR="00D02BE0" w:rsidRPr="00E32653">
        <w:rPr>
          <w:rFonts w:asciiTheme="majorBidi" w:hAnsiTheme="majorBidi" w:cstheme="majorBidi"/>
        </w:rPr>
        <w:t>of</w:t>
      </w:r>
      <w:r w:rsidRPr="00E32653">
        <w:rPr>
          <w:rFonts w:asciiTheme="majorBidi" w:hAnsiTheme="majorBidi" w:cstheme="majorBidi"/>
        </w:rPr>
        <w:t xml:space="preserve"> materials used in the </w:t>
      </w:r>
      <w:r w:rsidR="00733607" w:rsidRPr="00E32653">
        <w:rPr>
          <w:rFonts w:asciiTheme="majorBidi" w:hAnsiTheme="majorBidi" w:cstheme="majorBidi"/>
        </w:rPr>
        <w:t xml:space="preserve">two case study </w:t>
      </w:r>
      <w:r w:rsidRPr="00E32653">
        <w:rPr>
          <w:rFonts w:asciiTheme="majorBidi" w:hAnsiTheme="majorBidi" w:cstheme="majorBidi"/>
        </w:rPr>
        <w:t>building</w:t>
      </w:r>
      <w:r w:rsidR="00733607" w:rsidRPr="00E32653">
        <w:rPr>
          <w:rFonts w:asciiTheme="majorBidi" w:hAnsiTheme="majorBidi" w:cstheme="majorBidi"/>
        </w:rPr>
        <w:t>s</w:t>
      </w:r>
      <w:r w:rsidRPr="00E32653">
        <w:rPr>
          <w:rFonts w:asciiTheme="majorBidi" w:hAnsiTheme="majorBidi" w:cstheme="majorBidi"/>
        </w:rPr>
        <w:t xml:space="preserve"> . Foundations have been excluded from the study as they have been assumed to be identical for both buildings.</w:t>
      </w:r>
    </w:p>
    <w:p w14:paraId="2CA89BF6" w14:textId="77777777" w:rsidR="00B1432E" w:rsidRPr="00E32653" w:rsidRDefault="00B1432E" w:rsidP="00B1432E">
      <w:pPr>
        <w:spacing w:after="0"/>
        <w:ind w:firstLine="720"/>
        <w:jc w:val="center"/>
        <w:rPr>
          <w:rFonts w:asciiTheme="majorBidi" w:hAnsiTheme="majorBidi" w:cstheme="majorBidi"/>
        </w:rPr>
      </w:pPr>
      <w:r w:rsidRPr="00E32653">
        <w:rPr>
          <w:rFonts w:asciiTheme="majorBidi" w:hAnsiTheme="majorBidi" w:cstheme="majorBidi"/>
          <w:noProof/>
        </w:rPr>
        <w:drawing>
          <wp:inline distT="0" distB="0" distL="0" distR="0" wp14:anchorId="02284169" wp14:editId="130F2443">
            <wp:extent cx="3709915" cy="2368062"/>
            <wp:effectExtent l="0" t="0" r="5080" b="0"/>
            <wp:docPr id="7" name="Picture 7" descr="C:\Users\Ali\Desktop\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s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1857" cy="2413983"/>
                    </a:xfrm>
                    <a:prstGeom prst="rect">
                      <a:avLst/>
                    </a:prstGeom>
                    <a:noFill/>
                    <a:ln>
                      <a:noFill/>
                    </a:ln>
                  </pic:spPr>
                </pic:pic>
              </a:graphicData>
            </a:graphic>
          </wp:inline>
        </w:drawing>
      </w:r>
    </w:p>
    <w:p w14:paraId="5B7400E3" w14:textId="77777777" w:rsidR="00B1432E" w:rsidRPr="00E32653" w:rsidRDefault="00B1432E" w:rsidP="00B1432E">
      <w:pPr>
        <w:ind w:firstLine="720"/>
        <w:jc w:val="center"/>
        <w:rPr>
          <w:rFonts w:asciiTheme="majorBidi" w:hAnsiTheme="majorBidi" w:cstheme="majorBidi"/>
          <w:sz w:val="18"/>
          <w:szCs w:val="18"/>
        </w:rPr>
      </w:pPr>
      <w:r w:rsidRPr="00E32653">
        <w:rPr>
          <w:rFonts w:asciiTheme="majorBidi" w:hAnsiTheme="majorBidi" w:cstheme="majorBidi"/>
          <w:sz w:val="18"/>
          <w:szCs w:val="18"/>
        </w:rPr>
        <w:t>Figure 3.The schematic plan of the case study</w:t>
      </w:r>
    </w:p>
    <w:p w14:paraId="0C52DA1D" w14:textId="45BFC828" w:rsidR="00B1432E" w:rsidRPr="00E32653" w:rsidRDefault="00B1432E" w:rsidP="00004835">
      <w:pPr>
        <w:ind w:firstLine="720"/>
        <w:jc w:val="both"/>
        <w:rPr>
          <w:rFonts w:asciiTheme="majorBidi" w:hAnsiTheme="majorBidi" w:cstheme="majorBidi"/>
        </w:rPr>
      </w:pPr>
      <w:r w:rsidRPr="00E32653">
        <w:rPr>
          <w:rFonts w:asciiTheme="majorBidi" w:hAnsiTheme="majorBidi" w:cstheme="majorBidi"/>
        </w:rPr>
        <w:t xml:space="preserve">To simplify assessment, some assumptions have been made. In the transportation stage, the distance </w:t>
      </w:r>
      <w:r w:rsidR="009F2CD3" w:rsidRPr="00E32653">
        <w:rPr>
          <w:rFonts w:asciiTheme="majorBidi" w:hAnsiTheme="majorBidi" w:cstheme="majorBidi"/>
        </w:rPr>
        <w:t>from the factory for either raw materials or prefabricated components</w:t>
      </w:r>
      <w:r w:rsidR="00E658D8" w:rsidRPr="00E32653">
        <w:rPr>
          <w:rFonts w:asciiTheme="majorBidi" w:hAnsiTheme="majorBidi" w:cstheme="majorBidi"/>
        </w:rPr>
        <w:t xml:space="preserve"> has been assumed to be 50 Km</w:t>
      </w:r>
      <w:r w:rsidR="008D7068" w:rsidRPr="00E32653">
        <w:rPr>
          <w:rFonts w:asciiTheme="majorBidi" w:hAnsiTheme="majorBidi" w:cstheme="majorBidi"/>
        </w:rPr>
        <w:t xml:space="preserve"> </w:t>
      </w:r>
      <w:r w:rsidR="008D7068" w:rsidRPr="00E32653">
        <w:rPr>
          <w:rFonts w:asciiTheme="majorBidi" w:hAnsiTheme="majorBidi" w:cstheme="majorBidi"/>
        </w:rPr>
        <w:fldChar w:fldCharType="begin" w:fldLock="1"/>
      </w:r>
      <w:r w:rsidR="008D7068" w:rsidRPr="00E32653">
        <w:rPr>
          <w:rFonts w:asciiTheme="majorBidi" w:hAnsiTheme="majorBidi" w:cstheme="majorBidi"/>
        </w:rPr>
        <w:instrText>ADDIN CSL_CITATION {"citationItems":[{"id":"ITEM-1","itemData":{"DOI":"10.1016/B978-0-12-812817-6.00010-3","ISBN":"9780128128176","author":[{"dropping-particle":"","family":"Hernandez","given":"Patxi","non-dropping-particle":"","parse-names":false,"suffix":""},{"dropping-particle":"","family":"Oregi","given":"Xabat","non-dropping-particle":"","parse-names":false,"suffix":""},{"dropping-particle":"","family":"Longo","given":"Sonia","non-dropping-particle":"","parse-names":false,"suffix":""},{"dropping-particle":"","family":"Cellura","given":"Maurizio","non-dropping-particle":"","parse-names":false,"suffix":""}],"container-title":"Handbook of Energy Efficiency in Buildings","id":"ITEM-1","issued":{"date-parts":[["2019"]]},"number-of-pages":"207-261","publisher":"Elsevier Inc.","title":"Life-Cycle Assessment of Buildings","type":"book"},"uris":["http://www.mendeley.com/documents/?uuid=77ee3f6c-6cd0-4881-af02-0f9fb8837f89"]}],"mendeley":{"formattedCitation":"(Hernandez et al., 2019)","plainTextFormattedCitation":"(Hernandez et al., 2019)"},"properties":{"noteIndex":0},"schema":"https://github.com/citation-style-language/schema/raw/master/csl-citation.json"}</w:instrText>
      </w:r>
      <w:r w:rsidR="008D7068" w:rsidRPr="00E32653">
        <w:rPr>
          <w:rFonts w:asciiTheme="majorBidi" w:hAnsiTheme="majorBidi" w:cstheme="majorBidi"/>
        </w:rPr>
        <w:fldChar w:fldCharType="separate"/>
      </w:r>
      <w:r w:rsidR="008D7068" w:rsidRPr="00E32653">
        <w:rPr>
          <w:rFonts w:asciiTheme="majorBidi" w:hAnsiTheme="majorBidi" w:cstheme="majorBidi"/>
          <w:noProof/>
        </w:rPr>
        <w:t>(Hernandez et al., 2019)</w:t>
      </w:r>
      <w:r w:rsidR="008D7068" w:rsidRPr="00E32653">
        <w:rPr>
          <w:rFonts w:asciiTheme="majorBidi" w:hAnsiTheme="majorBidi" w:cstheme="majorBidi"/>
        </w:rPr>
        <w:fldChar w:fldCharType="end"/>
      </w:r>
      <w:r w:rsidR="009F2CD3" w:rsidRPr="00E32653">
        <w:rPr>
          <w:rFonts w:asciiTheme="majorBidi" w:hAnsiTheme="majorBidi" w:cstheme="majorBidi"/>
        </w:rPr>
        <w:t xml:space="preserve">. The production stage of </w:t>
      </w:r>
      <w:r w:rsidR="00007283" w:rsidRPr="00E32653">
        <w:rPr>
          <w:rFonts w:asciiTheme="majorBidi" w:hAnsiTheme="majorBidi" w:cstheme="majorBidi"/>
        </w:rPr>
        <w:t xml:space="preserve">mass timber </w:t>
      </w:r>
      <w:r w:rsidR="009F2CD3" w:rsidRPr="00E32653">
        <w:rPr>
          <w:rFonts w:asciiTheme="majorBidi" w:hAnsiTheme="majorBidi" w:cstheme="majorBidi"/>
        </w:rPr>
        <w:t>start</w:t>
      </w:r>
      <w:r w:rsidR="00E658D8" w:rsidRPr="00E32653">
        <w:rPr>
          <w:rFonts w:asciiTheme="majorBidi" w:hAnsiTheme="majorBidi" w:cstheme="majorBidi"/>
        </w:rPr>
        <w:t>s</w:t>
      </w:r>
      <w:r w:rsidR="009F2CD3" w:rsidRPr="00E32653">
        <w:rPr>
          <w:rFonts w:asciiTheme="majorBidi" w:hAnsiTheme="majorBidi" w:cstheme="majorBidi"/>
        </w:rPr>
        <w:t xml:space="preserve"> with </w:t>
      </w:r>
      <w:r w:rsidR="000131AB" w:rsidRPr="00E32653">
        <w:rPr>
          <w:rFonts w:asciiTheme="majorBidi" w:hAnsiTheme="majorBidi" w:cstheme="majorBidi"/>
        </w:rPr>
        <w:t xml:space="preserve">the </w:t>
      </w:r>
      <w:r w:rsidR="009F2CD3" w:rsidRPr="00E32653">
        <w:rPr>
          <w:rFonts w:asciiTheme="majorBidi" w:hAnsiTheme="majorBidi" w:cstheme="majorBidi"/>
        </w:rPr>
        <w:t xml:space="preserve">extraction of raw materials </w:t>
      </w:r>
      <w:r w:rsidR="00EC2262" w:rsidRPr="00E32653">
        <w:rPr>
          <w:rFonts w:asciiTheme="majorBidi" w:hAnsiTheme="majorBidi" w:cstheme="majorBidi"/>
        </w:rPr>
        <w:t xml:space="preserve">(A1), transport to the </w:t>
      </w:r>
      <w:r w:rsidR="00E57367" w:rsidRPr="00E32653">
        <w:rPr>
          <w:rFonts w:asciiTheme="majorBidi" w:hAnsiTheme="majorBidi" w:cstheme="majorBidi"/>
        </w:rPr>
        <w:t>saw</w:t>
      </w:r>
      <w:r w:rsidR="00EC2262" w:rsidRPr="00E32653">
        <w:rPr>
          <w:rFonts w:asciiTheme="majorBidi" w:hAnsiTheme="majorBidi" w:cstheme="majorBidi"/>
        </w:rPr>
        <w:t>mill (A2), processing</w:t>
      </w:r>
      <w:r w:rsidR="000131AB" w:rsidRPr="00E32653">
        <w:rPr>
          <w:rFonts w:asciiTheme="majorBidi" w:hAnsiTheme="majorBidi" w:cstheme="majorBidi"/>
        </w:rPr>
        <w:t>,</w:t>
      </w:r>
      <w:r w:rsidR="00EC2262" w:rsidRPr="00E32653">
        <w:rPr>
          <w:rFonts w:asciiTheme="majorBidi" w:hAnsiTheme="majorBidi" w:cstheme="majorBidi"/>
        </w:rPr>
        <w:t xml:space="preserve"> and producing both </w:t>
      </w:r>
      <w:r w:rsidR="00E57367" w:rsidRPr="00E32653">
        <w:rPr>
          <w:rFonts w:asciiTheme="majorBidi" w:hAnsiTheme="majorBidi" w:cstheme="majorBidi"/>
        </w:rPr>
        <w:t xml:space="preserve">types of </w:t>
      </w:r>
      <w:r w:rsidR="00007283" w:rsidRPr="00E32653">
        <w:rPr>
          <w:rFonts w:asciiTheme="majorBidi" w:hAnsiTheme="majorBidi" w:cstheme="majorBidi"/>
        </w:rPr>
        <w:t xml:space="preserve">mass timber </w:t>
      </w:r>
      <w:r w:rsidR="00E57367" w:rsidRPr="00E32653">
        <w:rPr>
          <w:rFonts w:asciiTheme="majorBidi" w:hAnsiTheme="majorBidi" w:cstheme="majorBidi"/>
        </w:rPr>
        <w:t>in</w:t>
      </w:r>
      <w:r w:rsidR="00EC2262" w:rsidRPr="00E32653">
        <w:rPr>
          <w:rFonts w:asciiTheme="majorBidi" w:hAnsiTheme="majorBidi" w:cstheme="majorBidi"/>
        </w:rPr>
        <w:t xml:space="preserve"> differ</w:t>
      </w:r>
      <w:r w:rsidR="000131AB" w:rsidRPr="00E32653">
        <w:rPr>
          <w:rFonts w:asciiTheme="majorBidi" w:hAnsiTheme="majorBidi" w:cstheme="majorBidi"/>
        </w:rPr>
        <w:t>en</w:t>
      </w:r>
      <w:r w:rsidR="00EC2262" w:rsidRPr="00E32653">
        <w:rPr>
          <w:rFonts w:asciiTheme="majorBidi" w:hAnsiTheme="majorBidi" w:cstheme="majorBidi"/>
        </w:rPr>
        <w:t xml:space="preserve">t </w:t>
      </w:r>
      <w:r w:rsidR="00E57367" w:rsidRPr="00E32653">
        <w:rPr>
          <w:rFonts w:asciiTheme="majorBidi" w:hAnsiTheme="majorBidi" w:cstheme="majorBidi"/>
        </w:rPr>
        <w:t xml:space="preserve">ways </w:t>
      </w:r>
      <w:r w:rsidR="00EC2262" w:rsidRPr="00E32653">
        <w:rPr>
          <w:rFonts w:asciiTheme="majorBidi" w:hAnsiTheme="majorBidi" w:cstheme="majorBidi"/>
        </w:rPr>
        <w:t xml:space="preserve">(A3) </w:t>
      </w:r>
      <w:r w:rsidR="00E57367" w:rsidRPr="00E32653">
        <w:rPr>
          <w:rFonts w:asciiTheme="majorBidi" w:hAnsiTheme="majorBidi" w:cstheme="majorBidi"/>
        </w:rPr>
        <w:t xml:space="preserve">resulting in </w:t>
      </w:r>
      <w:r w:rsidR="00EC2262" w:rsidRPr="00E32653">
        <w:rPr>
          <w:rFonts w:asciiTheme="majorBidi" w:hAnsiTheme="majorBidi" w:cstheme="majorBidi"/>
        </w:rPr>
        <w:t>different environmental emission</w:t>
      </w:r>
      <w:r w:rsidR="000131AB" w:rsidRPr="00E32653">
        <w:rPr>
          <w:rFonts w:asciiTheme="majorBidi" w:hAnsiTheme="majorBidi" w:cstheme="majorBidi"/>
        </w:rPr>
        <w:t>s</w:t>
      </w:r>
      <w:r w:rsidR="00EC2262" w:rsidRPr="00E32653">
        <w:rPr>
          <w:rFonts w:asciiTheme="majorBidi" w:hAnsiTheme="majorBidi" w:cstheme="majorBidi"/>
        </w:rPr>
        <w:t xml:space="preserve"> </w:t>
      </w:r>
      <w:r w:rsidR="00E57367" w:rsidRPr="00E32653">
        <w:rPr>
          <w:rFonts w:asciiTheme="majorBidi" w:hAnsiTheme="majorBidi" w:cstheme="majorBidi"/>
        </w:rPr>
        <w:t xml:space="preserve">for </w:t>
      </w:r>
      <w:r w:rsidR="00EC2262" w:rsidRPr="00E32653">
        <w:rPr>
          <w:rFonts w:asciiTheme="majorBidi" w:hAnsiTheme="majorBidi" w:cstheme="majorBidi"/>
        </w:rPr>
        <w:t xml:space="preserve">this stage. </w:t>
      </w:r>
      <w:r w:rsidR="004C1283" w:rsidRPr="00E32653">
        <w:rPr>
          <w:rFonts w:asciiTheme="majorBidi" w:hAnsiTheme="majorBidi" w:cstheme="majorBidi"/>
        </w:rPr>
        <w:t>A3</w:t>
      </w:r>
      <w:r w:rsidR="00004835" w:rsidRPr="00E32653">
        <w:rPr>
          <w:rFonts w:asciiTheme="majorBidi" w:hAnsiTheme="majorBidi" w:cstheme="majorBidi"/>
        </w:rPr>
        <w:t xml:space="preserve"> </w:t>
      </w:r>
      <w:r w:rsidR="00B94A55" w:rsidRPr="00E32653">
        <w:rPr>
          <w:rFonts w:asciiTheme="majorBidi" w:hAnsiTheme="majorBidi" w:cstheme="majorBidi"/>
        </w:rPr>
        <w:t xml:space="preserve">is </w:t>
      </w:r>
      <w:r w:rsidR="004C1283" w:rsidRPr="00E32653">
        <w:rPr>
          <w:rFonts w:asciiTheme="majorBidi" w:hAnsiTheme="majorBidi" w:cstheme="majorBidi"/>
        </w:rPr>
        <w:t>relate</w:t>
      </w:r>
      <w:r w:rsidR="00E57367" w:rsidRPr="00E32653">
        <w:rPr>
          <w:rFonts w:asciiTheme="majorBidi" w:hAnsiTheme="majorBidi" w:cstheme="majorBidi"/>
        </w:rPr>
        <w:t>s</w:t>
      </w:r>
      <w:r w:rsidR="004C1283" w:rsidRPr="00E32653">
        <w:rPr>
          <w:rFonts w:asciiTheme="majorBidi" w:hAnsiTheme="majorBidi" w:cstheme="majorBidi"/>
        </w:rPr>
        <w:t xml:space="preserve"> to preparing the product</w:t>
      </w:r>
      <w:r w:rsidR="000131AB" w:rsidRPr="00E32653">
        <w:rPr>
          <w:rFonts w:asciiTheme="majorBidi" w:hAnsiTheme="majorBidi" w:cstheme="majorBidi"/>
        </w:rPr>
        <w:t>,</w:t>
      </w:r>
      <w:r w:rsidR="004C1283" w:rsidRPr="00E32653">
        <w:rPr>
          <w:rFonts w:asciiTheme="majorBidi" w:hAnsiTheme="majorBidi" w:cstheme="majorBidi"/>
        </w:rPr>
        <w:t xml:space="preserve"> and has </w:t>
      </w:r>
      <w:r w:rsidR="00716B01" w:rsidRPr="00E32653">
        <w:rPr>
          <w:rFonts w:asciiTheme="majorBidi" w:hAnsiTheme="majorBidi" w:cstheme="majorBidi"/>
        </w:rPr>
        <w:t xml:space="preserve">several </w:t>
      </w:r>
      <w:r w:rsidR="004C1283" w:rsidRPr="00E32653">
        <w:rPr>
          <w:rFonts w:asciiTheme="majorBidi" w:hAnsiTheme="majorBidi" w:cstheme="majorBidi"/>
        </w:rPr>
        <w:t xml:space="preserve">stages. </w:t>
      </w:r>
      <w:r w:rsidRPr="00E32653">
        <w:rPr>
          <w:rFonts w:asciiTheme="majorBidi" w:hAnsiTheme="majorBidi" w:cstheme="majorBidi"/>
        </w:rPr>
        <w:t>In this process</w:t>
      </w:r>
      <w:r w:rsidR="00716B01" w:rsidRPr="00E32653">
        <w:rPr>
          <w:rFonts w:asciiTheme="majorBidi" w:hAnsiTheme="majorBidi" w:cstheme="majorBidi"/>
        </w:rPr>
        <w:t>,</w:t>
      </w:r>
      <w:r w:rsidRPr="00E32653">
        <w:rPr>
          <w:rFonts w:asciiTheme="majorBidi" w:hAnsiTheme="majorBidi" w:cstheme="majorBidi"/>
        </w:rPr>
        <w:t xml:space="preserve"> wood is cut in a sawmill and then transferred to </w:t>
      </w:r>
      <w:r w:rsidR="004C1283" w:rsidRPr="00E32653">
        <w:rPr>
          <w:rFonts w:asciiTheme="majorBidi" w:hAnsiTheme="majorBidi" w:cstheme="majorBidi"/>
        </w:rPr>
        <w:t xml:space="preserve">the </w:t>
      </w:r>
      <w:r w:rsidRPr="00E32653">
        <w:rPr>
          <w:rFonts w:asciiTheme="majorBidi" w:hAnsiTheme="majorBidi" w:cstheme="majorBidi"/>
        </w:rPr>
        <w:t>factory where it is converted into GLT and LVL using adhesives</w:t>
      </w:r>
      <w:r w:rsidR="0028733B" w:rsidRPr="00E32653">
        <w:rPr>
          <w:rFonts w:asciiTheme="majorBidi" w:hAnsiTheme="majorBidi" w:cstheme="majorBidi"/>
        </w:rPr>
        <w:t xml:space="preserve"> resins</w:t>
      </w:r>
      <w:r w:rsidRPr="00E32653">
        <w:rPr>
          <w:rFonts w:asciiTheme="majorBidi" w:hAnsiTheme="majorBidi" w:cstheme="majorBidi"/>
        </w:rPr>
        <w:t>, chemical processes, pressure and heat. A4</w:t>
      </w:r>
      <w:r w:rsidR="004C1283" w:rsidRPr="00E32653">
        <w:rPr>
          <w:rFonts w:asciiTheme="majorBidi" w:hAnsiTheme="majorBidi" w:cstheme="majorBidi"/>
        </w:rPr>
        <w:t xml:space="preserve"> </w:t>
      </w:r>
      <w:r w:rsidRPr="00E32653">
        <w:rPr>
          <w:rFonts w:asciiTheme="majorBidi" w:hAnsiTheme="majorBidi" w:cstheme="majorBidi"/>
        </w:rPr>
        <w:t>relate</w:t>
      </w:r>
      <w:r w:rsidR="00E57367" w:rsidRPr="00E32653">
        <w:rPr>
          <w:rFonts w:asciiTheme="majorBidi" w:hAnsiTheme="majorBidi" w:cstheme="majorBidi"/>
        </w:rPr>
        <w:t>s</w:t>
      </w:r>
      <w:r w:rsidRPr="00E32653">
        <w:rPr>
          <w:rFonts w:asciiTheme="majorBidi" w:hAnsiTheme="majorBidi" w:cstheme="majorBidi"/>
        </w:rPr>
        <w:t xml:space="preserve"> to transport</w:t>
      </w:r>
      <w:r w:rsidR="00E57367" w:rsidRPr="00E32653">
        <w:rPr>
          <w:rFonts w:asciiTheme="majorBidi" w:hAnsiTheme="majorBidi" w:cstheme="majorBidi"/>
        </w:rPr>
        <w:t>ing</w:t>
      </w:r>
      <w:r w:rsidRPr="00E32653">
        <w:rPr>
          <w:rFonts w:asciiTheme="majorBidi" w:hAnsiTheme="majorBidi" w:cstheme="majorBidi"/>
        </w:rPr>
        <w:t xml:space="preserve"> </w:t>
      </w:r>
      <w:r w:rsidR="004C1283" w:rsidRPr="00E32653">
        <w:rPr>
          <w:rFonts w:asciiTheme="majorBidi" w:hAnsiTheme="majorBidi" w:cstheme="majorBidi"/>
        </w:rPr>
        <w:t xml:space="preserve">LVL and </w:t>
      </w:r>
      <w:r w:rsidRPr="00E32653">
        <w:rPr>
          <w:rFonts w:asciiTheme="majorBidi" w:hAnsiTheme="majorBidi" w:cstheme="majorBidi"/>
        </w:rPr>
        <w:t>GLT to</w:t>
      </w:r>
      <w:r w:rsidR="004C1283" w:rsidRPr="00E32653">
        <w:rPr>
          <w:rFonts w:asciiTheme="majorBidi" w:hAnsiTheme="majorBidi" w:cstheme="majorBidi"/>
        </w:rPr>
        <w:t xml:space="preserve"> </w:t>
      </w:r>
      <w:r w:rsidRPr="00E32653">
        <w:rPr>
          <w:rFonts w:asciiTheme="majorBidi" w:hAnsiTheme="majorBidi" w:cstheme="majorBidi"/>
        </w:rPr>
        <w:t>site.</w:t>
      </w:r>
      <w:r w:rsidRPr="00E32653">
        <w:t xml:space="preserve"> </w:t>
      </w:r>
      <w:r w:rsidRPr="00E32653">
        <w:rPr>
          <w:rFonts w:asciiTheme="majorBidi" w:hAnsiTheme="majorBidi" w:cstheme="majorBidi"/>
        </w:rPr>
        <w:t>A5 is the installation process of the GLT and LVL with each building using a different construction technique. The LVL is</w:t>
      </w:r>
      <w:r w:rsidRPr="00E32653">
        <w:t xml:space="preserve"> </w:t>
      </w:r>
      <w:r w:rsidRPr="00E32653">
        <w:rPr>
          <w:rFonts w:asciiTheme="majorBidi" w:hAnsiTheme="majorBidi" w:cstheme="majorBidi"/>
        </w:rPr>
        <w:t>constructed in the factory and then transferred to the site as Prefabricated Prefinished Volumetric Construction (PPVC), while the GLT is constructed on site and comprise</w:t>
      </w:r>
      <w:r w:rsidR="00E57367" w:rsidRPr="00E32653">
        <w:rPr>
          <w:rFonts w:asciiTheme="majorBidi" w:hAnsiTheme="majorBidi" w:cstheme="majorBidi"/>
        </w:rPr>
        <w:t>s</w:t>
      </w:r>
      <w:r w:rsidRPr="00E32653">
        <w:rPr>
          <w:rFonts w:asciiTheme="majorBidi" w:hAnsiTheme="majorBidi" w:cstheme="majorBidi"/>
        </w:rPr>
        <w:t xml:space="preserve"> columns, beams, floor slabs and walls. </w:t>
      </w:r>
      <w:r w:rsidR="006E4688" w:rsidRPr="00E32653">
        <w:rPr>
          <w:rFonts w:asciiTheme="majorBidi" w:hAnsiTheme="majorBidi" w:cstheme="majorBidi"/>
          <w:sz w:val="20"/>
          <w:szCs w:val="20"/>
          <w:shd w:val="clear" w:color="auto" w:fill="FFFFFF"/>
        </w:rPr>
        <w:t xml:space="preserve">The extraction phase of wood production involves moving </w:t>
      </w:r>
      <w:r w:rsidR="006E4688" w:rsidRPr="00E32653">
        <w:rPr>
          <w:rFonts w:asciiTheme="majorBidi" w:hAnsiTheme="majorBidi" w:cstheme="majorBidi"/>
          <w:sz w:val="20"/>
          <w:szCs w:val="20"/>
          <w:shd w:val="clear" w:color="auto" w:fill="FFFFFF"/>
        </w:rPr>
        <w:lastRenderedPageBreak/>
        <w:t>logs from tree stumps to the roadside, where they are processed or piled in stacks. This process has been assumed to be the same for all species of timber.</w:t>
      </w:r>
      <w:r w:rsidR="006E4688" w:rsidRPr="00E32653">
        <w:rPr>
          <w:rFonts w:ascii="Arial" w:hAnsi="Arial" w:cs="Arial"/>
          <w:sz w:val="20"/>
          <w:szCs w:val="20"/>
          <w:shd w:val="clear" w:color="auto" w:fill="FFFFFF"/>
        </w:rPr>
        <w:t xml:space="preserve"> </w:t>
      </w:r>
    </w:p>
    <w:p w14:paraId="61862F40" w14:textId="36244144" w:rsidR="00B1432E" w:rsidRPr="00E32653" w:rsidRDefault="00165F2B" w:rsidP="00007283">
      <w:pPr>
        <w:spacing w:after="0"/>
        <w:ind w:firstLine="720"/>
        <w:jc w:val="both"/>
        <w:rPr>
          <w:rFonts w:asciiTheme="majorBidi" w:hAnsiTheme="majorBidi" w:cstheme="majorBidi"/>
          <w:b/>
          <w:bCs/>
        </w:rPr>
      </w:pPr>
      <w:r w:rsidRPr="00E32653">
        <w:rPr>
          <w:rFonts w:asciiTheme="majorBidi" w:hAnsiTheme="majorBidi" w:cstheme="majorBidi"/>
          <w:sz w:val="20"/>
          <w:szCs w:val="20"/>
        </w:rPr>
        <w:t>Table 2</w:t>
      </w:r>
      <w:r w:rsidR="00B1432E" w:rsidRPr="00E32653">
        <w:rPr>
          <w:rFonts w:asciiTheme="majorBidi" w:hAnsiTheme="majorBidi" w:cstheme="majorBidi"/>
          <w:sz w:val="20"/>
          <w:szCs w:val="20"/>
        </w:rPr>
        <w:t xml:space="preserve">. </w:t>
      </w:r>
      <w:r w:rsidR="0012306F" w:rsidRPr="00E32653">
        <w:rPr>
          <w:rFonts w:asciiTheme="majorBidi" w:hAnsiTheme="majorBidi" w:cstheme="majorBidi"/>
          <w:sz w:val="20"/>
          <w:szCs w:val="20"/>
        </w:rPr>
        <w:t>Details</w:t>
      </w:r>
      <w:r w:rsidR="00AD622D" w:rsidRPr="00E32653">
        <w:rPr>
          <w:rFonts w:asciiTheme="majorBidi" w:hAnsiTheme="majorBidi" w:cstheme="majorBidi"/>
          <w:sz w:val="20"/>
          <w:szCs w:val="20"/>
        </w:rPr>
        <w:t xml:space="preserve"> of two </w:t>
      </w:r>
      <w:r w:rsidR="00007283" w:rsidRPr="00E32653">
        <w:rPr>
          <w:rFonts w:asciiTheme="majorBidi" w:hAnsiTheme="majorBidi" w:cstheme="majorBidi"/>
        </w:rPr>
        <w:t xml:space="preserve">mass timber </w:t>
      </w:r>
      <w:r w:rsidR="00AD622D" w:rsidRPr="00E32653">
        <w:rPr>
          <w:rFonts w:asciiTheme="majorBidi" w:hAnsiTheme="majorBidi" w:cstheme="majorBidi"/>
          <w:sz w:val="20"/>
          <w:szCs w:val="20"/>
        </w:rPr>
        <w:t xml:space="preserve">quantity </w:t>
      </w:r>
    </w:p>
    <w:tbl>
      <w:tblPr>
        <w:tblStyle w:val="TableGrid"/>
        <w:tblpPr w:leftFromText="180" w:rightFromText="180" w:vertAnchor="text" w:tblpXSpec="center" w:tblpY="1"/>
        <w:tblOverlap w:val="never"/>
        <w:tblW w:w="9118" w:type="dxa"/>
        <w:tblLook w:val="04A0" w:firstRow="1" w:lastRow="0" w:firstColumn="1" w:lastColumn="0" w:noHBand="0" w:noVBand="1"/>
      </w:tblPr>
      <w:tblGrid>
        <w:gridCol w:w="1784"/>
        <w:gridCol w:w="2645"/>
        <w:gridCol w:w="1452"/>
        <w:gridCol w:w="1538"/>
        <w:gridCol w:w="1699"/>
      </w:tblGrid>
      <w:tr w:rsidR="00E32653" w:rsidRPr="00E32653" w14:paraId="03D26F15" w14:textId="77777777" w:rsidTr="00450BE6">
        <w:trPr>
          <w:trHeight w:val="23"/>
        </w:trPr>
        <w:tc>
          <w:tcPr>
            <w:tcW w:w="1784" w:type="dxa"/>
            <w:vAlign w:val="center"/>
          </w:tcPr>
          <w:p w14:paraId="7B10F7C4" w14:textId="76C57EB8" w:rsidR="00B1432E" w:rsidRPr="00E32653" w:rsidRDefault="0046331B" w:rsidP="0012306F">
            <w:pPr>
              <w:rPr>
                <w:rFonts w:asciiTheme="majorBidi" w:hAnsiTheme="majorBidi" w:cstheme="majorBidi"/>
                <w:b/>
                <w:bCs/>
                <w:sz w:val="18"/>
                <w:szCs w:val="18"/>
              </w:rPr>
            </w:pPr>
            <w:r w:rsidRPr="00E32653">
              <w:rPr>
                <w:rFonts w:asciiTheme="majorBidi" w:hAnsiTheme="majorBidi" w:cstheme="majorBidi"/>
                <w:b/>
                <w:bCs/>
                <w:sz w:val="18"/>
                <w:szCs w:val="18"/>
              </w:rPr>
              <w:t>Building</w:t>
            </w:r>
            <w:r w:rsidR="0012306F" w:rsidRPr="00E32653">
              <w:rPr>
                <w:rFonts w:asciiTheme="majorBidi" w:hAnsiTheme="majorBidi" w:cstheme="majorBidi"/>
                <w:b/>
                <w:bCs/>
                <w:sz w:val="18"/>
                <w:szCs w:val="18"/>
              </w:rPr>
              <w:t xml:space="preserve"> System</w:t>
            </w:r>
          </w:p>
        </w:tc>
        <w:tc>
          <w:tcPr>
            <w:tcW w:w="2645" w:type="dxa"/>
            <w:vAlign w:val="center"/>
          </w:tcPr>
          <w:p w14:paraId="54FE11B6" w14:textId="3121B29B" w:rsidR="00B1432E" w:rsidRPr="00E32653" w:rsidRDefault="00B1432E" w:rsidP="00B5788C">
            <w:pPr>
              <w:rPr>
                <w:rFonts w:asciiTheme="majorBidi" w:hAnsiTheme="majorBidi" w:cstheme="majorBidi"/>
                <w:b/>
                <w:bCs/>
                <w:sz w:val="18"/>
                <w:szCs w:val="18"/>
              </w:rPr>
            </w:pPr>
            <w:r w:rsidRPr="00E32653">
              <w:rPr>
                <w:rFonts w:asciiTheme="majorBidi" w:hAnsiTheme="majorBidi" w:cstheme="majorBidi"/>
                <w:b/>
                <w:bCs/>
                <w:sz w:val="18"/>
                <w:szCs w:val="18"/>
              </w:rPr>
              <w:t>Materials</w:t>
            </w:r>
            <w:r w:rsidR="0046331B" w:rsidRPr="00E32653">
              <w:rPr>
                <w:rFonts w:asciiTheme="majorBidi" w:hAnsiTheme="majorBidi" w:cstheme="majorBidi"/>
                <w:b/>
                <w:bCs/>
                <w:sz w:val="18"/>
                <w:szCs w:val="18"/>
              </w:rPr>
              <w:t xml:space="preserve"> components </w:t>
            </w:r>
          </w:p>
        </w:tc>
        <w:tc>
          <w:tcPr>
            <w:tcW w:w="0" w:type="auto"/>
            <w:vAlign w:val="center"/>
          </w:tcPr>
          <w:p w14:paraId="31FA6888" w14:textId="61444B0B" w:rsidR="00B1432E" w:rsidRPr="00E32653" w:rsidRDefault="005C5DCE" w:rsidP="00B5788C">
            <w:pPr>
              <w:rPr>
                <w:rFonts w:asciiTheme="majorBidi" w:hAnsiTheme="majorBidi" w:cstheme="majorBidi"/>
                <w:b/>
                <w:bCs/>
                <w:sz w:val="18"/>
                <w:szCs w:val="18"/>
              </w:rPr>
            </w:pPr>
            <w:r w:rsidRPr="00E32653">
              <w:rPr>
                <w:rFonts w:asciiTheme="majorBidi" w:hAnsiTheme="majorBidi" w:cstheme="majorBidi"/>
                <w:b/>
                <w:bCs/>
                <w:sz w:val="18"/>
                <w:szCs w:val="18"/>
              </w:rPr>
              <w:t>Thickness (</w:t>
            </w:r>
            <w:r w:rsidR="00B1432E" w:rsidRPr="00E32653">
              <w:rPr>
                <w:rFonts w:asciiTheme="majorBidi" w:hAnsiTheme="majorBidi" w:cstheme="majorBidi"/>
                <w:b/>
                <w:bCs/>
                <w:sz w:val="18"/>
                <w:szCs w:val="18"/>
              </w:rPr>
              <w:t>mm</w:t>
            </w:r>
            <w:r w:rsidRPr="00E32653">
              <w:rPr>
                <w:rFonts w:asciiTheme="majorBidi" w:hAnsiTheme="majorBidi" w:cstheme="majorBidi"/>
                <w:b/>
                <w:bCs/>
                <w:sz w:val="18"/>
                <w:szCs w:val="18"/>
              </w:rPr>
              <w:t>)</w:t>
            </w:r>
          </w:p>
        </w:tc>
        <w:tc>
          <w:tcPr>
            <w:tcW w:w="1538" w:type="dxa"/>
            <w:vAlign w:val="center"/>
          </w:tcPr>
          <w:p w14:paraId="6E88F515" w14:textId="54F894B2" w:rsidR="00B1432E" w:rsidRPr="00E32653" w:rsidRDefault="00B1432E" w:rsidP="00B5788C">
            <w:pPr>
              <w:jc w:val="center"/>
              <w:rPr>
                <w:rFonts w:asciiTheme="majorBidi" w:hAnsiTheme="majorBidi" w:cstheme="majorBidi"/>
                <w:b/>
                <w:bCs/>
                <w:sz w:val="18"/>
                <w:szCs w:val="18"/>
              </w:rPr>
            </w:pPr>
            <w:r w:rsidRPr="00E32653">
              <w:rPr>
                <w:rFonts w:asciiTheme="majorBidi" w:hAnsiTheme="majorBidi" w:cstheme="majorBidi"/>
                <w:b/>
                <w:bCs/>
                <w:sz w:val="18"/>
                <w:szCs w:val="18"/>
              </w:rPr>
              <w:t xml:space="preserve">Weight  </w:t>
            </w:r>
            <w:r w:rsidR="005C5DCE" w:rsidRPr="00E32653">
              <w:rPr>
                <w:rFonts w:asciiTheme="majorBidi" w:hAnsiTheme="majorBidi" w:cstheme="majorBidi"/>
                <w:b/>
                <w:bCs/>
                <w:sz w:val="18"/>
                <w:szCs w:val="18"/>
              </w:rPr>
              <w:t>(</w:t>
            </w:r>
            <w:r w:rsidR="000D27D8" w:rsidRPr="00E32653">
              <w:rPr>
                <w:rFonts w:asciiTheme="majorBidi" w:hAnsiTheme="majorBidi" w:cstheme="majorBidi"/>
                <w:b/>
                <w:bCs/>
                <w:sz w:val="18"/>
                <w:szCs w:val="18"/>
              </w:rPr>
              <w:t>Kg/M</w:t>
            </w:r>
            <w:r w:rsidRPr="00E32653">
              <w:rPr>
                <w:rFonts w:asciiTheme="majorBidi" w:hAnsiTheme="majorBidi" w:cstheme="majorBidi"/>
                <w:b/>
                <w:bCs/>
                <w:sz w:val="18"/>
                <w:szCs w:val="18"/>
                <w:vertAlign w:val="superscript"/>
              </w:rPr>
              <w:t>3</w:t>
            </w:r>
            <w:r w:rsidR="005C5DCE" w:rsidRPr="00E32653">
              <w:rPr>
                <w:rFonts w:asciiTheme="majorBidi" w:hAnsiTheme="majorBidi" w:cstheme="majorBidi"/>
                <w:b/>
                <w:bCs/>
                <w:sz w:val="18"/>
                <w:szCs w:val="18"/>
              </w:rPr>
              <w:t>)</w:t>
            </w:r>
          </w:p>
        </w:tc>
        <w:tc>
          <w:tcPr>
            <w:tcW w:w="1699" w:type="dxa"/>
            <w:vAlign w:val="center"/>
          </w:tcPr>
          <w:p w14:paraId="172F1201" w14:textId="5C8FE625" w:rsidR="00B1432E" w:rsidRPr="00E32653" w:rsidRDefault="005C5DCE" w:rsidP="0046331B">
            <w:pPr>
              <w:jc w:val="center"/>
              <w:rPr>
                <w:rFonts w:asciiTheme="majorBidi" w:hAnsiTheme="majorBidi" w:cstheme="majorBidi"/>
                <w:b/>
                <w:bCs/>
                <w:sz w:val="18"/>
                <w:szCs w:val="18"/>
              </w:rPr>
            </w:pPr>
            <w:r w:rsidRPr="00E32653">
              <w:rPr>
                <w:rFonts w:asciiTheme="majorBidi" w:hAnsiTheme="majorBidi" w:cstheme="majorBidi"/>
                <w:b/>
                <w:bCs/>
                <w:sz w:val="18"/>
                <w:szCs w:val="18"/>
              </w:rPr>
              <w:t>Total (</w:t>
            </w:r>
            <w:r w:rsidR="00B1432E" w:rsidRPr="00E32653">
              <w:rPr>
                <w:rFonts w:asciiTheme="majorBidi" w:hAnsiTheme="majorBidi" w:cstheme="majorBidi"/>
                <w:b/>
                <w:bCs/>
                <w:sz w:val="18"/>
                <w:szCs w:val="18"/>
              </w:rPr>
              <w:t>Kg</w:t>
            </w:r>
            <w:r w:rsidRPr="00E32653">
              <w:rPr>
                <w:rFonts w:asciiTheme="majorBidi" w:hAnsiTheme="majorBidi" w:cstheme="majorBidi"/>
                <w:b/>
                <w:bCs/>
                <w:sz w:val="18"/>
                <w:szCs w:val="18"/>
              </w:rPr>
              <w:t>)</w:t>
            </w:r>
          </w:p>
        </w:tc>
      </w:tr>
      <w:tr w:rsidR="00E32653" w:rsidRPr="00E32653" w14:paraId="29E5E331" w14:textId="77777777" w:rsidTr="00450BE6">
        <w:trPr>
          <w:trHeight w:val="23"/>
        </w:trPr>
        <w:tc>
          <w:tcPr>
            <w:tcW w:w="1784" w:type="dxa"/>
            <w:vMerge w:val="restart"/>
            <w:vAlign w:val="center"/>
          </w:tcPr>
          <w:p w14:paraId="3AFC2D61" w14:textId="346DB78F" w:rsidR="00B1432E" w:rsidRPr="00E32653" w:rsidRDefault="007423BC" w:rsidP="00B5788C">
            <w:pPr>
              <w:rPr>
                <w:rFonts w:asciiTheme="majorBidi" w:hAnsiTheme="majorBidi" w:cstheme="majorBidi"/>
                <w:sz w:val="20"/>
                <w:szCs w:val="20"/>
              </w:rPr>
            </w:pPr>
            <w:r w:rsidRPr="00E32653">
              <w:rPr>
                <w:rFonts w:asciiTheme="majorBidi" w:hAnsiTheme="majorBidi" w:cstheme="majorBidi"/>
                <w:sz w:val="20"/>
                <w:szCs w:val="20"/>
              </w:rPr>
              <w:t>Glued Laminate Timber</w:t>
            </w:r>
            <w:r w:rsidR="00B1432E" w:rsidRPr="00E32653">
              <w:rPr>
                <w:rFonts w:asciiTheme="majorBidi" w:hAnsiTheme="majorBidi" w:cstheme="majorBidi"/>
                <w:sz w:val="20"/>
                <w:szCs w:val="20"/>
              </w:rPr>
              <w:t xml:space="preserve"> (GLT)</w:t>
            </w:r>
          </w:p>
        </w:tc>
        <w:tc>
          <w:tcPr>
            <w:tcW w:w="2645" w:type="dxa"/>
            <w:vAlign w:val="center"/>
          </w:tcPr>
          <w:p w14:paraId="7765B747"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GLT panel</w:t>
            </w:r>
          </w:p>
        </w:tc>
        <w:tc>
          <w:tcPr>
            <w:tcW w:w="0" w:type="auto"/>
            <w:vAlign w:val="center"/>
          </w:tcPr>
          <w:p w14:paraId="14352538" w14:textId="249734C8" w:rsidR="00B1432E" w:rsidRPr="00E32653" w:rsidRDefault="00D57AEC" w:rsidP="00B5788C">
            <w:pPr>
              <w:jc w:val="center"/>
              <w:rPr>
                <w:rFonts w:asciiTheme="majorBidi" w:hAnsiTheme="majorBidi" w:cstheme="majorBidi"/>
                <w:sz w:val="20"/>
                <w:szCs w:val="20"/>
              </w:rPr>
            </w:pPr>
            <w:r w:rsidRPr="00E32653">
              <w:rPr>
                <w:rFonts w:asciiTheme="majorBidi" w:hAnsiTheme="majorBidi" w:cstheme="majorBidi"/>
                <w:sz w:val="20"/>
                <w:szCs w:val="20"/>
              </w:rPr>
              <w:t>14</w:t>
            </w:r>
            <w:r w:rsidR="00B1432E" w:rsidRPr="00E32653">
              <w:rPr>
                <w:rFonts w:asciiTheme="majorBidi" w:hAnsiTheme="majorBidi" w:cstheme="majorBidi"/>
                <w:sz w:val="20"/>
                <w:szCs w:val="20"/>
              </w:rPr>
              <w:t>0</w:t>
            </w:r>
          </w:p>
        </w:tc>
        <w:tc>
          <w:tcPr>
            <w:tcW w:w="1538" w:type="dxa"/>
          </w:tcPr>
          <w:p w14:paraId="55E183B9"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430</w:t>
            </w:r>
          </w:p>
        </w:tc>
        <w:tc>
          <w:tcPr>
            <w:tcW w:w="1699" w:type="dxa"/>
            <w:vAlign w:val="center"/>
          </w:tcPr>
          <w:p w14:paraId="47873AC1"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14400</w:t>
            </w:r>
          </w:p>
        </w:tc>
      </w:tr>
      <w:tr w:rsidR="00E32653" w:rsidRPr="00E32653" w14:paraId="343AB056" w14:textId="77777777" w:rsidTr="00450BE6">
        <w:trPr>
          <w:trHeight w:val="23"/>
        </w:trPr>
        <w:tc>
          <w:tcPr>
            <w:tcW w:w="1784" w:type="dxa"/>
            <w:vMerge/>
            <w:vAlign w:val="center"/>
          </w:tcPr>
          <w:p w14:paraId="7349A9E9" w14:textId="77777777" w:rsidR="00B1432E" w:rsidRPr="00E32653" w:rsidRDefault="00B1432E" w:rsidP="00B5788C">
            <w:pPr>
              <w:rPr>
                <w:rFonts w:asciiTheme="majorBidi" w:hAnsiTheme="majorBidi" w:cstheme="majorBidi"/>
                <w:sz w:val="20"/>
                <w:szCs w:val="20"/>
              </w:rPr>
            </w:pPr>
          </w:p>
        </w:tc>
        <w:tc>
          <w:tcPr>
            <w:tcW w:w="2645" w:type="dxa"/>
            <w:vAlign w:val="center"/>
          </w:tcPr>
          <w:p w14:paraId="6C084B0D"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GLT floor panel </w:t>
            </w:r>
          </w:p>
        </w:tc>
        <w:tc>
          <w:tcPr>
            <w:tcW w:w="0" w:type="auto"/>
            <w:vAlign w:val="center"/>
          </w:tcPr>
          <w:p w14:paraId="153411DC"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100</w:t>
            </w:r>
          </w:p>
        </w:tc>
        <w:tc>
          <w:tcPr>
            <w:tcW w:w="1538" w:type="dxa"/>
            <w:vAlign w:val="center"/>
          </w:tcPr>
          <w:p w14:paraId="099DDA33"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430</w:t>
            </w:r>
          </w:p>
        </w:tc>
        <w:tc>
          <w:tcPr>
            <w:tcW w:w="1699" w:type="dxa"/>
            <w:vAlign w:val="center"/>
          </w:tcPr>
          <w:p w14:paraId="07C88FA0"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7200</w:t>
            </w:r>
          </w:p>
        </w:tc>
      </w:tr>
      <w:tr w:rsidR="00E32653" w:rsidRPr="00E32653" w14:paraId="63A12B5F" w14:textId="77777777" w:rsidTr="00450BE6">
        <w:trPr>
          <w:trHeight w:val="23"/>
        </w:trPr>
        <w:tc>
          <w:tcPr>
            <w:tcW w:w="1784" w:type="dxa"/>
            <w:vMerge/>
            <w:vAlign w:val="center"/>
          </w:tcPr>
          <w:p w14:paraId="4A8BAA75" w14:textId="77777777" w:rsidR="00B1432E" w:rsidRPr="00E32653" w:rsidRDefault="00B1432E" w:rsidP="00B5788C">
            <w:pPr>
              <w:rPr>
                <w:rFonts w:asciiTheme="majorBidi" w:hAnsiTheme="majorBidi" w:cstheme="majorBidi"/>
                <w:sz w:val="20"/>
                <w:szCs w:val="20"/>
              </w:rPr>
            </w:pPr>
          </w:p>
        </w:tc>
        <w:tc>
          <w:tcPr>
            <w:tcW w:w="2645" w:type="dxa"/>
            <w:vAlign w:val="center"/>
          </w:tcPr>
          <w:p w14:paraId="6B1734D3"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GLT roof panel </w:t>
            </w:r>
          </w:p>
        </w:tc>
        <w:tc>
          <w:tcPr>
            <w:tcW w:w="0" w:type="auto"/>
            <w:vAlign w:val="center"/>
          </w:tcPr>
          <w:p w14:paraId="74527930"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100</w:t>
            </w:r>
          </w:p>
        </w:tc>
        <w:tc>
          <w:tcPr>
            <w:tcW w:w="1538" w:type="dxa"/>
            <w:vAlign w:val="center"/>
          </w:tcPr>
          <w:p w14:paraId="1B000E11"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430</w:t>
            </w:r>
          </w:p>
        </w:tc>
        <w:tc>
          <w:tcPr>
            <w:tcW w:w="1699" w:type="dxa"/>
            <w:vAlign w:val="center"/>
          </w:tcPr>
          <w:p w14:paraId="6C285DBE"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7200</w:t>
            </w:r>
          </w:p>
        </w:tc>
      </w:tr>
      <w:tr w:rsidR="00E32653" w:rsidRPr="00E32653" w14:paraId="79974213" w14:textId="77777777" w:rsidTr="00450BE6">
        <w:trPr>
          <w:trHeight w:val="23"/>
        </w:trPr>
        <w:tc>
          <w:tcPr>
            <w:tcW w:w="1784" w:type="dxa"/>
            <w:vMerge/>
            <w:vAlign w:val="center"/>
          </w:tcPr>
          <w:p w14:paraId="3909C456" w14:textId="77777777" w:rsidR="00B1432E" w:rsidRPr="00E32653" w:rsidRDefault="00B1432E" w:rsidP="00B5788C">
            <w:pPr>
              <w:rPr>
                <w:rFonts w:asciiTheme="majorBidi" w:hAnsiTheme="majorBidi" w:cstheme="majorBidi"/>
                <w:sz w:val="20"/>
                <w:szCs w:val="20"/>
              </w:rPr>
            </w:pPr>
          </w:p>
        </w:tc>
        <w:tc>
          <w:tcPr>
            <w:tcW w:w="2645" w:type="dxa"/>
            <w:vAlign w:val="center"/>
          </w:tcPr>
          <w:p w14:paraId="46BDF580"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Steel</w:t>
            </w:r>
          </w:p>
        </w:tc>
        <w:tc>
          <w:tcPr>
            <w:tcW w:w="0" w:type="auto"/>
            <w:vAlign w:val="center"/>
          </w:tcPr>
          <w:p w14:paraId="00801CAD"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w:t>
            </w:r>
          </w:p>
        </w:tc>
        <w:tc>
          <w:tcPr>
            <w:tcW w:w="1538" w:type="dxa"/>
            <w:vAlign w:val="center"/>
          </w:tcPr>
          <w:p w14:paraId="4DD8BEE9"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7850</w:t>
            </w:r>
          </w:p>
        </w:tc>
        <w:tc>
          <w:tcPr>
            <w:tcW w:w="1699" w:type="dxa"/>
            <w:vAlign w:val="center"/>
          </w:tcPr>
          <w:p w14:paraId="0F20D4FA"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w:t>
            </w:r>
          </w:p>
        </w:tc>
      </w:tr>
      <w:tr w:rsidR="00E32653" w:rsidRPr="00E32653" w14:paraId="795B0520" w14:textId="77777777" w:rsidTr="00450BE6">
        <w:trPr>
          <w:trHeight w:val="23"/>
        </w:trPr>
        <w:tc>
          <w:tcPr>
            <w:tcW w:w="1784" w:type="dxa"/>
            <w:vMerge/>
            <w:vAlign w:val="center"/>
          </w:tcPr>
          <w:p w14:paraId="3ACEC924" w14:textId="77777777" w:rsidR="00B1432E" w:rsidRPr="00E32653" w:rsidRDefault="00B1432E" w:rsidP="00B5788C">
            <w:pPr>
              <w:rPr>
                <w:rFonts w:asciiTheme="majorBidi" w:hAnsiTheme="majorBidi" w:cstheme="majorBidi"/>
                <w:sz w:val="20"/>
                <w:szCs w:val="20"/>
              </w:rPr>
            </w:pPr>
          </w:p>
        </w:tc>
        <w:tc>
          <w:tcPr>
            <w:tcW w:w="2645" w:type="dxa"/>
            <w:vAlign w:val="center"/>
          </w:tcPr>
          <w:p w14:paraId="2A0735D5"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Glass wool insulation</w:t>
            </w:r>
          </w:p>
        </w:tc>
        <w:tc>
          <w:tcPr>
            <w:tcW w:w="0" w:type="auto"/>
            <w:vAlign w:val="center"/>
          </w:tcPr>
          <w:p w14:paraId="71A8F85A"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80</w:t>
            </w:r>
          </w:p>
        </w:tc>
        <w:tc>
          <w:tcPr>
            <w:tcW w:w="1538" w:type="dxa"/>
            <w:vAlign w:val="center"/>
          </w:tcPr>
          <w:p w14:paraId="7A4C9BF0"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12</w:t>
            </w:r>
          </w:p>
        </w:tc>
        <w:tc>
          <w:tcPr>
            <w:tcW w:w="1699" w:type="dxa"/>
            <w:vAlign w:val="center"/>
          </w:tcPr>
          <w:p w14:paraId="68074125"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170</w:t>
            </w:r>
          </w:p>
        </w:tc>
      </w:tr>
      <w:tr w:rsidR="00E32653" w:rsidRPr="00E32653" w14:paraId="4C0D4725" w14:textId="77777777" w:rsidTr="00450BE6">
        <w:trPr>
          <w:trHeight w:val="23"/>
        </w:trPr>
        <w:tc>
          <w:tcPr>
            <w:tcW w:w="1784" w:type="dxa"/>
            <w:vMerge/>
            <w:vAlign w:val="center"/>
          </w:tcPr>
          <w:p w14:paraId="33E090EA" w14:textId="77777777" w:rsidR="00B1432E" w:rsidRPr="00E32653" w:rsidRDefault="00B1432E" w:rsidP="00B5788C">
            <w:pPr>
              <w:rPr>
                <w:rFonts w:asciiTheme="majorBidi" w:hAnsiTheme="majorBidi" w:cstheme="majorBidi"/>
                <w:sz w:val="20"/>
                <w:szCs w:val="20"/>
              </w:rPr>
            </w:pPr>
          </w:p>
        </w:tc>
        <w:tc>
          <w:tcPr>
            <w:tcW w:w="2645" w:type="dxa"/>
            <w:vAlign w:val="center"/>
          </w:tcPr>
          <w:p w14:paraId="49243740"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Gypsum board</w:t>
            </w:r>
          </w:p>
        </w:tc>
        <w:tc>
          <w:tcPr>
            <w:tcW w:w="0" w:type="auto"/>
            <w:vAlign w:val="center"/>
          </w:tcPr>
          <w:p w14:paraId="0D686EB7"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13</w:t>
            </w:r>
          </w:p>
        </w:tc>
        <w:tc>
          <w:tcPr>
            <w:tcW w:w="1538" w:type="dxa"/>
            <w:vAlign w:val="center"/>
          </w:tcPr>
          <w:p w14:paraId="7A6C1B7F"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724</w:t>
            </w:r>
          </w:p>
        </w:tc>
        <w:tc>
          <w:tcPr>
            <w:tcW w:w="1699" w:type="dxa"/>
            <w:vAlign w:val="center"/>
          </w:tcPr>
          <w:p w14:paraId="2067E01C"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1350</w:t>
            </w:r>
          </w:p>
        </w:tc>
      </w:tr>
      <w:tr w:rsidR="00E32653" w:rsidRPr="00E32653" w14:paraId="7692B88B" w14:textId="77777777" w:rsidTr="00450BE6">
        <w:trPr>
          <w:trHeight w:val="23"/>
        </w:trPr>
        <w:tc>
          <w:tcPr>
            <w:tcW w:w="1784" w:type="dxa"/>
            <w:vMerge/>
            <w:vAlign w:val="center"/>
          </w:tcPr>
          <w:p w14:paraId="346F4064" w14:textId="77777777" w:rsidR="00B1432E" w:rsidRPr="00E32653" w:rsidRDefault="00B1432E" w:rsidP="00B5788C">
            <w:pPr>
              <w:rPr>
                <w:rFonts w:asciiTheme="majorBidi" w:hAnsiTheme="majorBidi" w:cstheme="majorBidi"/>
                <w:sz w:val="20"/>
                <w:szCs w:val="20"/>
              </w:rPr>
            </w:pPr>
          </w:p>
        </w:tc>
        <w:tc>
          <w:tcPr>
            <w:tcW w:w="2645" w:type="dxa"/>
            <w:vAlign w:val="center"/>
          </w:tcPr>
          <w:p w14:paraId="2B061006"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Glulam columns and beams</w:t>
            </w:r>
          </w:p>
        </w:tc>
        <w:tc>
          <w:tcPr>
            <w:tcW w:w="0" w:type="auto"/>
            <w:vAlign w:val="center"/>
          </w:tcPr>
          <w:p w14:paraId="22A18BE6"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200</w:t>
            </w:r>
          </w:p>
        </w:tc>
        <w:tc>
          <w:tcPr>
            <w:tcW w:w="1538" w:type="dxa"/>
            <w:vAlign w:val="center"/>
          </w:tcPr>
          <w:p w14:paraId="2A80C89A"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430</w:t>
            </w:r>
          </w:p>
        </w:tc>
        <w:tc>
          <w:tcPr>
            <w:tcW w:w="1699" w:type="dxa"/>
            <w:vAlign w:val="center"/>
          </w:tcPr>
          <w:p w14:paraId="299C91D1"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3312</w:t>
            </w:r>
          </w:p>
        </w:tc>
      </w:tr>
      <w:tr w:rsidR="00E32653" w:rsidRPr="00E32653" w14:paraId="248F012D" w14:textId="77777777" w:rsidTr="00450BE6">
        <w:trPr>
          <w:trHeight w:val="23"/>
        </w:trPr>
        <w:tc>
          <w:tcPr>
            <w:tcW w:w="1784" w:type="dxa"/>
            <w:vMerge w:val="restart"/>
            <w:vAlign w:val="center"/>
          </w:tcPr>
          <w:p w14:paraId="75BEA07B"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Laminated Veneer Lumber (LVL) </w:t>
            </w:r>
          </w:p>
        </w:tc>
        <w:tc>
          <w:tcPr>
            <w:tcW w:w="2645" w:type="dxa"/>
            <w:vAlign w:val="center"/>
          </w:tcPr>
          <w:p w14:paraId="2D1F95C8"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LVL  façade panel</w:t>
            </w:r>
          </w:p>
        </w:tc>
        <w:tc>
          <w:tcPr>
            <w:tcW w:w="0" w:type="auto"/>
            <w:vAlign w:val="center"/>
          </w:tcPr>
          <w:p w14:paraId="2FC1E051"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120</w:t>
            </w:r>
          </w:p>
        </w:tc>
        <w:tc>
          <w:tcPr>
            <w:tcW w:w="1538" w:type="dxa"/>
            <w:vAlign w:val="center"/>
          </w:tcPr>
          <w:p w14:paraId="3BC741EB"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500</w:t>
            </w:r>
          </w:p>
        </w:tc>
        <w:tc>
          <w:tcPr>
            <w:tcW w:w="1699" w:type="dxa"/>
            <w:vAlign w:val="center"/>
          </w:tcPr>
          <w:p w14:paraId="66389A94"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8400</w:t>
            </w:r>
          </w:p>
        </w:tc>
      </w:tr>
      <w:tr w:rsidR="00E32653" w:rsidRPr="00E32653" w14:paraId="294E27FC" w14:textId="77777777" w:rsidTr="00450BE6">
        <w:trPr>
          <w:trHeight w:val="23"/>
        </w:trPr>
        <w:tc>
          <w:tcPr>
            <w:tcW w:w="1784" w:type="dxa"/>
            <w:vMerge/>
            <w:vAlign w:val="center"/>
          </w:tcPr>
          <w:p w14:paraId="1D2CD3EC"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5BCABD87"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Steel</w:t>
            </w:r>
          </w:p>
        </w:tc>
        <w:tc>
          <w:tcPr>
            <w:tcW w:w="0" w:type="auto"/>
            <w:vAlign w:val="center"/>
          </w:tcPr>
          <w:p w14:paraId="0BD5D81C"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w:t>
            </w:r>
          </w:p>
        </w:tc>
        <w:tc>
          <w:tcPr>
            <w:tcW w:w="1538" w:type="dxa"/>
            <w:vAlign w:val="center"/>
          </w:tcPr>
          <w:p w14:paraId="25D06B83"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7850</w:t>
            </w:r>
          </w:p>
        </w:tc>
        <w:tc>
          <w:tcPr>
            <w:tcW w:w="1699" w:type="dxa"/>
            <w:vAlign w:val="center"/>
          </w:tcPr>
          <w:p w14:paraId="47B9430D"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w:t>
            </w:r>
          </w:p>
        </w:tc>
      </w:tr>
      <w:tr w:rsidR="00E32653" w:rsidRPr="00E32653" w14:paraId="48F1E16A" w14:textId="77777777" w:rsidTr="00450BE6">
        <w:trPr>
          <w:trHeight w:val="23"/>
        </w:trPr>
        <w:tc>
          <w:tcPr>
            <w:tcW w:w="1784" w:type="dxa"/>
            <w:vMerge/>
            <w:vAlign w:val="center"/>
          </w:tcPr>
          <w:p w14:paraId="3660B55B"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371A307C"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Glass wool</w:t>
            </w:r>
          </w:p>
        </w:tc>
        <w:tc>
          <w:tcPr>
            <w:tcW w:w="0" w:type="auto"/>
            <w:vAlign w:val="center"/>
          </w:tcPr>
          <w:p w14:paraId="02C2E961"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80</w:t>
            </w:r>
          </w:p>
        </w:tc>
        <w:tc>
          <w:tcPr>
            <w:tcW w:w="1538" w:type="dxa"/>
            <w:vAlign w:val="center"/>
          </w:tcPr>
          <w:p w14:paraId="0A7FEA09"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12</w:t>
            </w:r>
          </w:p>
        </w:tc>
        <w:tc>
          <w:tcPr>
            <w:tcW w:w="1699" w:type="dxa"/>
            <w:vAlign w:val="center"/>
          </w:tcPr>
          <w:p w14:paraId="68420CCC"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170</w:t>
            </w:r>
          </w:p>
        </w:tc>
      </w:tr>
      <w:tr w:rsidR="00E32653" w:rsidRPr="00E32653" w14:paraId="1CE1A8B5" w14:textId="77777777" w:rsidTr="00450BE6">
        <w:trPr>
          <w:trHeight w:val="23"/>
        </w:trPr>
        <w:tc>
          <w:tcPr>
            <w:tcW w:w="1784" w:type="dxa"/>
            <w:vMerge/>
            <w:vAlign w:val="center"/>
          </w:tcPr>
          <w:p w14:paraId="02617EF8"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7150B34D"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LVL interior wall panel </w:t>
            </w:r>
          </w:p>
        </w:tc>
        <w:tc>
          <w:tcPr>
            <w:tcW w:w="0" w:type="auto"/>
            <w:vAlign w:val="center"/>
          </w:tcPr>
          <w:p w14:paraId="3FFB8E8E"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100</w:t>
            </w:r>
          </w:p>
        </w:tc>
        <w:tc>
          <w:tcPr>
            <w:tcW w:w="1538" w:type="dxa"/>
            <w:vAlign w:val="center"/>
          </w:tcPr>
          <w:p w14:paraId="3098B8A0"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500</w:t>
            </w:r>
          </w:p>
        </w:tc>
        <w:tc>
          <w:tcPr>
            <w:tcW w:w="1699" w:type="dxa"/>
            <w:vAlign w:val="center"/>
          </w:tcPr>
          <w:p w14:paraId="6DEFA033"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6000</w:t>
            </w:r>
          </w:p>
        </w:tc>
      </w:tr>
      <w:tr w:rsidR="00E32653" w:rsidRPr="00E32653" w14:paraId="1EF3B7A6" w14:textId="77777777" w:rsidTr="00450BE6">
        <w:trPr>
          <w:trHeight w:val="23"/>
        </w:trPr>
        <w:tc>
          <w:tcPr>
            <w:tcW w:w="1784" w:type="dxa"/>
            <w:vMerge/>
            <w:vAlign w:val="center"/>
          </w:tcPr>
          <w:p w14:paraId="1811FC0D"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04FF3F77"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LVL floor panel </w:t>
            </w:r>
          </w:p>
        </w:tc>
        <w:tc>
          <w:tcPr>
            <w:tcW w:w="0" w:type="auto"/>
            <w:vAlign w:val="center"/>
          </w:tcPr>
          <w:p w14:paraId="4F32694F"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100</w:t>
            </w:r>
          </w:p>
        </w:tc>
        <w:tc>
          <w:tcPr>
            <w:tcW w:w="1538" w:type="dxa"/>
            <w:vAlign w:val="center"/>
          </w:tcPr>
          <w:p w14:paraId="5BFED490"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500</w:t>
            </w:r>
          </w:p>
        </w:tc>
        <w:tc>
          <w:tcPr>
            <w:tcW w:w="1699" w:type="dxa"/>
            <w:vAlign w:val="center"/>
          </w:tcPr>
          <w:p w14:paraId="5A2D827C"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7200</w:t>
            </w:r>
          </w:p>
        </w:tc>
      </w:tr>
      <w:tr w:rsidR="00E32653" w:rsidRPr="00E32653" w14:paraId="03BDD4D8" w14:textId="77777777" w:rsidTr="00450BE6">
        <w:trPr>
          <w:trHeight w:val="23"/>
        </w:trPr>
        <w:tc>
          <w:tcPr>
            <w:tcW w:w="1784" w:type="dxa"/>
            <w:vMerge/>
            <w:vAlign w:val="center"/>
          </w:tcPr>
          <w:p w14:paraId="06D924AA"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53603A90"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 xml:space="preserve">LVL roof panel </w:t>
            </w:r>
          </w:p>
        </w:tc>
        <w:tc>
          <w:tcPr>
            <w:tcW w:w="0" w:type="auto"/>
            <w:vAlign w:val="center"/>
          </w:tcPr>
          <w:p w14:paraId="2DB397FB"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100</w:t>
            </w:r>
          </w:p>
        </w:tc>
        <w:tc>
          <w:tcPr>
            <w:tcW w:w="1538" w:type="dxa"/>
            <w:vAlign w:val="center"/>
          </w:tcPr>
          <w:p w14:paraId="5DDA40B6"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500</w:t>
            </w:r>
          </w:p>
        </w:tc>
        <w:tc>
          <w:tcPr>
            <w:tcW w:w="1699" w:type="dxa"/>
            <w:vAlign w:val="center"/>
          </w:tcPr>
          <w:p w14:paraId="18F17FBA"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7200</w:t>
            </w:r>
          </w:p>
        </w:tc>
      </w:tr>
      <w:tr w:rsidR="00E32653" w:rsidRPr="00E32653" w14:paraId="5A1678CA" w14:textId="77777777" w:rsidTr="00450BE6">
        <w:trPr>
          <w:trHeight w:val="23"/>
        </w:trPr>
        <w:tc>
          <w:tcPr>
            <w:tcW w:w="1784" w:type="dxa"/>
            <w:vMerge/>
            <w:vAlign w:val="center"/>
          </w:tcPr>
          <w:p w14:paraId="249B26E1" w14:textId="77777777" w:rsidR="00B1432E" w:rsidRPr="00E32653" w:rsidRDefault="00B1432E" w:rsidP="00B5788C">
            <w:pPr>
              <w:pStyle w:val="ListParagraph"/>
              <w:rPr>
                <w:rFonts w:asciiTheme="majorBidi" w:hAnsiTheme="majorBidi" w:cstheme="majorBidi"/>
                <w:sz w:val="20"/>
                <w:szCs w:val="20"/>
              </w:rPr>
            </w:pPr>
          </w:p>
        </w:tc>
        <w:tc>
          <w:tcPr>
            <w:tcW w:w="2645" w:type="dxa"/>
            <w:vAlign w:val="center"/>
          </w:tcPr>
          <w:p w14:paraId="6F2F595B" w14:textId="77777777" w:rsidR="00B1432E" w:rsidRPr="00E32653" w:rsidRDefault="00B1432E" w:rsidP="00B5788C">
            <w:pPr>
              <w:rPr>
                <w:rFonts w:asciiTheme="majorBidi" w:hAnsiTheme="majorBidi" w:cstheme="majorBidi"/>
                <w:sz w:val="20"/>
                <w:szCs w:val="20"/>
              </w:rPr>
            </w:pPr>
            <w:r w:rsidRPr="00E32653">
              <w:rPr>
                <w:rFonts w:asciiTheme="majorBidi" w:hAnsiTheme="majorBidi" w:cstheme="majorBidi"/>
                <w:sz w:val="20"/>
                <w:szCs w:val="20"/>
              </w:rPr>
              <w:t>Gypsum board</w:t>
            </w:r>
          </w:p>
        </w:tc>
        <w:tc>
          <w:tcPr>
            <w:tcW w:w="0" w:type="auto"/>
            <w:vAlign w:val="center"/>
          </w:tcPr>
          <w:p w14:paraId="0683ED2D"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13</w:t>
            </w:r>
          </w:p>
        </w:tc>
        <w:tc>
          <w:tcPr>
            <w:tcW w:w="1538" w:type="dxa"/>
            <w:vAlign w:val="center"/>
          </w:tcPr>
          <w:p w14:paraId="0E2E873B"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724</w:t>
            </w:r>
          </w:p>
        </w:tc>
        <w:tc>
          <w:tcPr>
            <w:tcW w:w="1699" w:type="dxa"/>
            <w:vAlign w:val="center"/>
          </w:tcPr>
          <w:p w14:paraId="2A069889" w14:textId="77777777" w:rsidR="00B1432E" w:rsidRPr="00E32653" w:rsidRDefault="00B1432E" w:rsidP="00B5788C">
            <w:pPr>
              <w:jc w:val="center"/>
              <w:rPr>
                <w:rFonts w:asciiTheme="majorBidi" w:hAnsiTheme="majorBidi" w:cstheme="majorBidi"/>
                <w:sz w:val="20"/>
                <w:szCs w:val="20"/>
              </w:rPr>
            </w:pPr>
            <w:r w:rsidRPr="00E32653">
              <w:rPr>
                <w:rFonts w:asciiTheme="majorBidi" w:hAnsiTheme="majorBidi" w:cstheme="majorBidi"/>
                <w:sz w:val="20"/>
                <w:szCs w:val="20"/>
              </w:rPr>
              <w:t>1350</w:t>
            </w:r>
          </w:p>
        </w:tc>
      </w:tr>
    </w:tbl>
    <w:p w14:paraId="3BE62840" w14:textId="3E884C6D" w:rsidR="00B1432E" w:rsidRPr="00E32653" w:rsidRDefault="00C45229" w:rsidP="00762122">
      <w:pPr>
        <w:spacing w:before="240"/>
        <w:ind w:firstLine="720"/>
        <w:jc w:val="both"/>
        <w:rPr>
          <w:rFonts w:asciiTheme="majorBidi" w:hAnsiTheme="majorBidi" w:cstheme="majorBidi"/>
        </w:rPr>
      </w:pPr>
      <w:r w:rsidRPr="00E32653">
        <w:rPr>
          <w:rFonts w:asciiTheme="majorBidi" w:hAnsiTheme="majorBidi" w:cstheme="majorBidi"/>
        </w:rPr>
        <w:t>Maintenance (B2)</w:t>
      </w:r>
      <w:r w:rsidR="00E21EEC" w:rsidRPr="00E32653">
        <w:rPr>
          <w:rFonts w:asciiTheme="majorBidi" w:hAnsiTheme="majorBidi" w:cstheme="majorBidi"/>
        </w:rPr>
        <w:t>, repair (B3)</w:t>
      </w:r>
      <w:r w:rsidR="000131AB" w:rsidRPr="00E32653">
        <w:rPr>
          <w:rFonts w:asciiTheme="majorBidi" w:hAnsiTheme="majorBidi" w:cstheme="majorBidi"/>
        </w:rPr>
        <w:t>,</w:t>
      </w:r>
      <w:r w:rsidR="00E21EEC" w:rsidRPr="00E32653">
        <w:rPr>
          <w:rFonts w:asciiTheme="majorBidi" w:hAnsiTheme="majorBidi" w:cstheme="majorBidi"/>
        </w:rPr>
        <w:t xml:space="preserve"> and replacement (B4) have</w:t>
      </w:r>
      <w:r w:rsidRPr="00E32653">
        <w:rPr>
          <w:rFonts w:asciiTheme="majorBidi" w:hAnsiTheme="majorBidi" w:cstheme="majorBidi"/>
        </w:rPr>
        <w:t xml:space="preserve"> </w:t>
      </w:r>
      <w:r w:rsidR="000131AB" w:rsidRPr="00E32653">
        <w:rPr>
          <w:rFonts w:asciiTheme="majorBidi" w:hAnsiTheme="majorBidi" w:cstheme="majorBidi"/>
        </w:rPr>
        <w:t xml:space="preserve">been </w:t>
      </w:r>
      <w:r w:rsidRPr="00E32653">
        <w:rPr>
          <w:rFonts w:asciiTheme="majorBidi" w:hAnsiTheme="majorBidi" w:cstheme="majorBidi"/>
        </w:rPr>
        <w:t xml:space="preserve">considered for </w:t>
      </w:r>
      <w:r w:rsidR="000131AB" w:rsidRPr="00E32653">
        <w:rPr>
          <w:rFonts w:asciiTheme="majorBidi" w:hAnsiTheme="majorBidi" w:cstheme="majorBidi"/>
        </w:rPr>
        <w:t xml:space="preserve">the </w:t>
      </w:r>
      <w:r w:rsidRPr="00E32653">
        <w:rPr>
          <w:rFonts w:asciiTheme="majorBidi" w:hAnsiTheme="majorBidi" w:cstheme="majorBidi"/>
        </w:rPr>
        <w:t>use phase</w:t>
      </w:r>
      <w:r w:rsidR="002247D2" w:rsidRPr="00E32653">
        <w:rPr>
          <w:rFonts w:asciiTheme="majorBidi" w:hAnsiTheme="majorBidi" w:cstheme="majorBidi"/>
        </w:rPr>
        <w:t>. These</w:t>
      </w:r>
      <w:r w:rsidRPr="00E32653">
        <w:rPr>
          <w:rFonts w:asciiTheme="majorBidi" w:hAnsiTheme="majorBidi" w:cstheme="majorBidi"/>
        </w:rPr>
        <w:t xml:space="preserve"> involve </w:t>
      </w:r>
      <w:r w:rsidR="00E21EEC" w:rsidRPr="00E32653">
        <w:rPr>
          <w:rFonts w:asciiTheme="majorBidi" w:hAnsiTheme="majorBidi" w:cstheme="majorBidi"/>
        </w:rPr>
        <w:t>periodic replacement, minor repairs</w:t>
      </w:r>
      <w:r w:rsidR="000131AB" w:rsidRPr="00E32653">
        <w:rPr>
          <w:rFonts w:asciiTheme="majorBidi" w:hAnsiTheme="majorBidi" w:cstheme="majorBidi"/>
        </w:rPr>
        <w:t>,</w:t>
      </w:r>
      <w:r w:rsidR="00E21EEC" w:rsidRPr="00E32653">
        <w:rPr>
          <w:rFonts w:asciiTheme="majorBidi" w:hAnsiTheme="majorBidi" w:cstheme="majorBidi"/>
        </w:rPr>
        <w:t xml:space="preserve"> and </w:t>
      </w:r>
      <w:r w:rsidR="002247D2" w:rsidRPr="00E32653">
        <w:rPr>
          <w:rFonts w:asciiTheme="majorBidi" w:hAnsiTheme="majorBidi" w:cstheme="majorBidi"/>
        </w:rPr>
        <w:t>exterior </w:t>
      </w:r>
      <w:hyperlink r:id="rId14" w:tooltip="Painting" w:history="1">
        <w:r w:rsidR="00E21EEC" w:rsidRPr="00E32653">
          <w:rPr>
            <w:rFonts w:asciiTheme="majorBidi" w:hAnsiTheme="majorBidi" w:cstheme="majorBidi"/>
          </w:rPr>
          <w:t>painting</w:t>
        </w:r>
      </w:hyperlink>
      <w:r w:rsidR="00E21EEC" w:rsidRPr="00E32653">
        <w:rPr>
          <w:rFonts w:asciiTheme="majorBidi" w:hAnsiTheme="majorBidi" w:cstheme="majorBidi"/>
        </w:rPr>
        <w:t xml:space="preserve"> for building materials such as wall</w:t>
      </w:r>
      <w:r w:rsidR="002247D2" w:rsidRPr="00E32653">
        <w:rPr>
          <w:rFonts w:asciiTheme="majorBidi" w:hAnsiTheme="majorBidi" w:cstheme="majorBidi"/>
        </w:rPr>
        <w:t>s</w:t>
      </w:r>
      <w:r w:rsidR="00E21EEC" w:rsidRPr="00E32653">
        <w:rPr>
          <w:rFonts w:asciiTheme="majorBidi" w:hAnsiTheme="majorBidi" w:cstheme="majorBidi"/>
        </w:rPr>
        <w:t xml:space="preserve"> and floor</w:t>
      </w:r>
      <w:r w:rsidR="002247D2" w:rsidRPr="00E32653">
        <w:rPr>
          <w:rFonts w:asciiTheme="majorBidi" w:hAnsiTheme="majorBidi" w:cstheme="majorBidi"/>
        </w:rPr>
        <w:t>s</w:t>
      </w:r>
      <w:r w:rsidR="00E21EEC" w:rsidRPr="00E32653">
        <w:rPr>
          <w:rFonts w:asciiTheme="majorBidi" w:hAnsiTheme="majorBidi" w:cstheme="majorBidi"/>
        </w:rPr>
        <w:t xml:space="preserve"> during </w:t>
      </w:r>
      <w:r w:rsidR="000131AB" w:rsidRPr="00E32653">
        <w:rPr>
          <w:rFonts w:asciiTheme="majorBidi" w:hAnsiTheme="majorBidi" w:cstheme="majorBidi"/>
        </w:rPr>
        <w:t xml:space="preserve">the </w:t>
      </w:r>
      <w:r w:rsidR="00E21EEC" w:rsidRPr="00E32653">
        <w:rPr>
          <w:rFonts w:asciiTheme="majorBidi" w:hAnsiTheme="majorBidi" w:cstheme="majorBidi"/>
        </w:rPr>
        <w:t xml:space="preserve">expected life span. </w:t>
      </w:r>
      <w:r w:rsidR="002247D2" w:rsidRPr="00E32653">
        <w:rPr>
          <w:rFonts w:asciiTheme="majorBidi" w:hAnsiTheme="majorBidi" w:cstheme="majorBidi"/>
        </w:rPr>
        <w:t>It is difficult to</w:t>
      </w:r>
      <w:r w:rsidR="00065939" w:rsidRPr="00E32653">
        <w:rPr>
          <w:rFonts w:asciiTheme="majorBidi" w:hAnsiTheme="majorBidi" w:cstheme="majorBidi"/>
        </w:rPr>
        <w:t xml:space="preserve"> assess the </w:t>
      </w:r>
      <w:r w:rsidR="002247D2" w:rsidRPr="00E32653">
        <w:rPr>
          <w:rFonts w:asciiTheme="majorBidi" w:hAnsiTheme="majorBidi" w:cstheme="majorBidi"/>
        </w:rPr>
        <w:t xml:space="preserve">scope of the </w:t>
      </w:r>
      <w:r w:rsidR="00065939" w:rsidRPr="00E32653">
        <w:rPr>
          <w:rFonts w:asciiTheme="majorBidi" w:hAnsiTheme="majorBidi" w:cstheme="majorBidi"/>
        </w:rPr>
        <w:t>use stage. For example, the</w:t>
      </w:r>
      <w:r w:rsidR="002247D2" w:rsidRPr="00E32653">
        <w:rPr>
          <w:rFonts w:asciiTheme="majorBidi" w:hAnsiTheme="majorBidi" w:cstheme="majorBidi"/>
        </w:rPr>
        <w:t xml:space="preserve"> floor plan of</w:t>
      </w:r>
      <w:r w:rsidR="000131AB" w:rsidRPr="00E32653">
        <w:rPr>
          <w:rFonts w:asciiTheme="majorBidi" w:hAnsiTheme="majorBidi" w:cstheme="majorBidi"/>
        </w:rPr>
        <w:t xml:space="preserve"> </w:t>
      </w:r>
      <w:r w:rsidR="00065939" w:rsidRPr="00E32653">
        <w:rPr>
          <w:rFonts w:asciiTheme="majorBidi" w:hAnsiTheme="majorBidi" w:cstheme="majorBidi"/>
        </w:rPr>
        <w:t>building</w:t>
      </w:r>
      <w:r w:rsidR="002247D2" w:rsidRPr="00E32653">
        <w:rPr>
          <w:rFonts w:asciiTheme="majorBidi" w:hAnsiTheme="majorBidi" w:cstheme="majorBidi"/>
        </w:rPr>
        <w:t>s</w:t>
      </w:r>
      <w:r w:rsidR="00065939" w:rsidRPr="00E32653">
        <w:rPr>
          <w:rFonts w:asciiTheme="majorBidi" w:hAnsiTheme="majorBidi" w:cstheme="majorBidi"/>
        </w:rPr>
        <w:t xml:space="preserve"> </w:t>
      </w:r>
      <w:r w:rsidR="002247D2" w:rsidRPr="00E32653">
        <w:rPr>
          <w:rFonts w:asciiTheme="majorBidi" w:hAnsiTheme="majorBidi" w:cstheme="majorBidi"/>
        </w:rPr>
        <w:t>do not change</w:t>
      </w:r>
      <w:r w:rsidR="00065939" w:rsidRPr="00E32653">
        <w:rPr>
          <w:rFonts w:asciiTheme="majorBidi" w:hAnsiTheme="majorBidi" w:cstheme="majorBidi"/>
        </w:rPr>
        <w:t xml:space="preserve">, major rebuilds </w:t>
      </w:r>
      <w:r w:rsidR="002247D2" w:rsidRPr="00E32653">
        <w:rPr>
          <w:rFonts w:asciiTheme="majorBidi" w:hAnsiTheme="majorBidi" w:cstheme="majorBidi"/>
        </w:rPr>
        <w:t xml:space="preserve">are not </w:t>
      </w:r>
      <w:r w:rsidR="00065939" w:rsidRPr="00E32653">
        <w:rPr>
          <w:rFonts w:asciiTheme="majorBidi" w:hAnsiTheme="majorBidi" w:cstheme="majorBidi"/>
        </w:rPr>
        <w:t xml:space="preserve">considered for </w:t>
      </w:r>
      <w:r w:rsidR="002247D2" w:rsidRPr="00E32653">
        <w:rPr>
          <w:rFonts w:asciiTheme="majorBidi" w:hAnsiTheme="majorBidi" w:cstheme="majorBidi"/>
        </w:rPr>
        <w:t xml:space="preserve">this </w:t>
      </w:r>
      <w:r w:rsidR="00065939" w:rsidRPr="00E32653">
        <w:rPr>
          <w:rFonts w:asciiTheme="majorBidi" w:hAnsiTheme="majorBidi" w:cstheme="majorBidi"/>
        </w:rPr>
        <w:t>stage</w:t>
      </w:r>
      <w:r w:rsidR="000131AB" w:rsidRPr="00E32653">
        <w:rPr>
          <w:rFonts w:asciiTheme="majorBidi" w:hAnsiTheme="majorBidi" w:cstheme="majorBidi"/>
        </w:rPr>
        <w:t>,</w:t>
      </w:r>
      <w:r w:rsidR="00065939" w:rsidRPr="00E32653">
        <w:rPr>
          <w:rFonts w:asciiTheme="majorBidi" w:hAnsiTheme="majorBidi" w:cstheme="majorBidi"/>
        </w:rPr>
        <w:t xml:space="preserve"> and it assumed building service</w:t>
      </w:r>
      <w:r w:rsidR="002247D2" w:rsidRPr="00E32653">
        <w:rPr>
          <w:rFonts w:asciiTheme="majorBidi" w:hAnsiTheme="majorBidi" w:cstheme="majorBidi"/>
        </w:rPr>
        <w:t>s</w:t>
      </w:r>
      <w:r w:rsidR="00065939" w:rsidRPr="00E32653">
        <w:rPr>
          <w:rFonts w:asciiTheme="majorBidi" w:hAnsiTheme="majorBidi" w:cstheme="majorBidi"/>
        </w:rPr>
        <w:t xml:space="preserve"> continue</w:t>
      </w:r>
      <w:r w:rsidR="002247D2" w:rsidRPr="00E32653">
        <w:rPr>
          <w:rFonts w:asciiTheme="majorBidi" w:hAnsiTheme="majorBidi" w:cstheme="majorBidi"/>
        </w:rPr>
        <w:t xml:space="preserve"> in accordance</w:t>
      </w:r>
      <w:r w:rsidR="00065939" w:rsidRPr="00E32653">
        <w:rPr>
          <w:rFonts w:asciiTheme="majorBidi" w:hAnsiTheme="majorBidi" w:cstheme="majorBidi"/>
        </w:rPr>
        <w:t xml:space="preserve"> with current plan</w:t>
      </w:r>
      <w:r w:rsidR="002247D2" w:rsidRPr="00E32653">
        <w:rPr>
          <w:rFonts w:asciiTheme="majorBidi" w:hAnsiTheme="majorBidi" w:cstheme="majorBidi"/>
        </w:rPr>
        <w:t>s</w:t>
      </w:r>
      <w:r w:rsidR="00065939" w:rsidRPr="00E32653">
        <w:rPr>
          <w:rFonts w:asciiTheme="majorBidi" w:hAnsiTheme="majorBidi" w:cstheme="majorBidi"/>
        </w:rPr>
        <w:t xml:space="preserve">. </w:t>
      </w:r>
      <w:r w:rsidR="00B1432E" w:rsidRPr="00E32653">
        <w:rPr>
          <w:rFonts w:asciiTheme="majorBidi" w:hAnsiTheme="majorBidi" w:cstheme="majorBidi"/>
        </w:rPr>
        <w:t xml:space="preserve">The values for the </w:t>
      </w:r>
      <w:r w:rsidR="002247D2" w:rsidRPr="00E32653">
        <w:rPr>
          <w:rFonts w:asciiTheme="majorBidi" w:hAnsiTheme="majorBidi" w:cstheme="majorBidi"/>
        </w:rPr>
        <w:t>lifespan</w:t>
      </w:r>
      <w:r w:rsidR="00B1432E" w:rsidRPr="00E32653">
        <w:rPr>
          <w:rFonts w:asciiTheme="majorBidi" w:hAnsiTheme="majorBidi" w:cstheme="majorBidi"/>
        </w:rPr>
        <w:t xml:space="preserve"> of the building elements were estimated based on literature (Mithraratne, 2001).</w:t>
      </w:r>
      <w:r w:rsidR="00B1432E" w:rsidRPr="00E32653">
        <w:rPr>
          <w:rFonts w:asciiTheme="majorBidi" w:hAnsiTheme="majorBidi" w:cstheme="majorBidi"/>
          <w:b/>
          <w:bCs/>
        </w:rPr>
        <w:t xml:space="preserve"> </w:t>
      </w:r>
      <w:r w:rsidR="00065939" w:rsidRPr="00E32653">
        <w:rPr>
          <w:rFonts w:asciiTheme="majorBidi" w:hAnsiTheme="majorBidi" w:cstheme="majorBidi"/>
        </w:rPr>
        <w:t xml:space="preserve">For </w:t>
      </w:r>
      <w:r w:rsidR="00424C5B" w:rsidRPr="00E32653">
        <w:rPr>
          <w:rFonts w:asciiTheme="majorBidi" w:hAnsiTheme="majorBidi" w:cstheme="majorBidi"/>
        </w:rPr>
        <w:t xml:space="preserve">work on </w:t>
      </w:r>
      <w:r w:rsidR="00065939" w:rsidRPr="00E32653">
        <w:rPr>
          <w:rFonts w:asciiTheme="majorBidi" w:hAnsiTheme="majorBidi" w:cstheme="majorBidi"/>
        </w:rPr>
        <w:t>the use phase, 1 kWh/m</w:t>
      </w:r>
      <w:r w:rsidR="00065939" w:rsidRPr="00E32653">
        <w:rPr>
          <w:rFonts w:asciiTheme="majorBidi" w:hAnsiTheme="majorBidi" w:cstheme="majorBidi"/>
          <w:vertAlign w:val="superscript"/>
        </w:rPr>
        <w:t>2</w:t>
      </w:r>
      <w:r w:rsidR="00065939" w:rsidRPr="00E32653">
        <w:rPr>
          <w:rFonts w:asciiTheme="majorBidi" w:hAnsiTheme="majorBidi" w:cstheme="majorBidi"/>
        </w:rPr>
        <w:t xml:space="preserve"> </w:t>
      </w:r>
      <w:r w:rsidR="00931C9E" w:rsidRPr="00E32653">
        <w:rPr>
          <w:rFonts w:asciiTheme="majorBidi" w:hAnsiTheme="majorBidi" w:cstheme="majorBidi"/>
        </w:rPr>
        <w:t xml:space="preserve">of </w:t>
      </w:r>
      <w:r w:rsidR="00065939" w:rsidRPr="00E32653">
        <w:rPr>
          <w:rFonts w:asciiTheme="majorBidi" w:hAnsiTheme="majorBidi" w:cstheme="majorBidi"/>
        </w:rPr>
        <w:t xml:space="preserve">electricity was </w:t>
      </w:r>
      <w:r w:rsidR="00931C9E" w:rsidRPr="00E32653">
        <w:rPr>
          <w:rFonts w:asciiTheme="majorBidi" w:hAnsiTheme="majorBidi" w:cstheme="majorBidi"/>
        </w:rPr>
        <w:t>equal to 9.12E-01</w:t>
      </w:r>
      <w:r w:rsidR="002B7647" w:rsidRPr="00E32653">
        <w:rPr>
          <w:rFonts w:asciiTheme="majorBidi" w:hAnsiTheme="majorBidi" w:cstheme="majorBidi"/>
        </w:rPr>
        <w:t xml:space="preserve"> </w:t>
      </w:r>
      <w:r w:rsidR="002B7647" w:rsidRPr="00E32653">
        <w:rPr>
          <w:rFonts w:asciiTheme="majorBidi" w:hAnsiTheme="majorBidi" w:cstheme="majorBidi"/>
        </w:rPr>
        <w:fldChar w:fldCharType="begin" w:fldLock="1"/>
      </w:r>
      <w:r w:rsidR="002B7647" w:rsidRPr="00E32653">
        <w:rPr>
          <w:rFonts w:asciiTheme="majorBidi" w:hAnsiTheme="majorBidi" w:cstheme="majorBidi"/>
        </w:rPr>
        <w:instrText>ADDIN CSL_CITATION {"citationItems":[{"id":"ITEM-1","itemData":{"author":[{"dropping-particle":"","family":"Horváth","given":"Sára Erzsébet","non-dropping-particle":"","parse-names":false,"suffix":""},{"dropping-particle":"","family":"Szalay","given":"Zsuzsa","non-dropping-particle":"","parse-names":false,"suffix":""}],"id":"ITEM-1","issue":"1","issued":{"date-parts":[["0"]]},"page":"116-124","title":"Decision-making case study for retrofit of high-rise concrete buildings based on life cycle assessment scenarios","type":"article-journal"},"uris":["http://www.mendeley.com/documents/?uuid=49a113d8-be1c-4ca4-8288-27b2d6f8f6a6"]}],"mendeley":{"formattedCitation":"(Horváth &amp; Szalay, n.d.)","manualFormatting":"(Horváth &amp; Szalay, 2012)","plainTextFormattedCitation":"(Horváth &amp; Szalay, n.d.)","previouslyFormattedCitation":"(Horváth &amp; Szalay, n.d.)"},"properties":{"noteIndex":0},"schema":"https://github.com/citation-style-language/schema/raw/master/csl-citation.json"}</w:instrText>
      </w:r>
      <w:r w:rsidR="002B7647" w:rsidRPr="00E32653">
        <w:rPr>
          <w:rFonts w:asciiTheme="majorBidi" w:hAnsiTheme="majorBidi" w:cstheme="majorBidi"/>
        </w:rPr>
        <w:fldChar w:fldCharType="separate"/>
      </w:r>
      <w:r w:rsidR="002B7647" w:rsidRPr="00E32653">
        <w:rPr>
          <w:rFonts w:asciiTheme="majorBidi" w:hAnsiTheme="majorBidi" w:cstheme="majorBidi"/>
          <w:noProof/>
        </w:rPr>
        <w:t>(Horváth &amp; Szalay, 2012)</w:t>
      </w:r>
      <w:r w:rsidR="002B7647" w:rsidRPr="00E32653">
        <w:rPr>
          <w:rFonts w:asciiTheme="majorBidi" w:hAnsiTheme="majorBidi" w:cstheme="majorBidi"/>
        </w:rPr>
        <w:fldChar w:fldCharType="end"/>
      </w:r>
      <w:r w:rsidR="00065939" w:rsidRPr="00E32653">
        <w:rPr>
          <w:rFonts w:asciiTheme="majorBidi" w:hAnsiTheme="majorBidi" w:cstheme="majorBidi"/>
        </w:rPr>
        <w:t>.</w:t>
      </w:r>
    </w:p>
    <w:p w14:paraId="757FA2D5" w14:textId="1BBCD5B0" w:rsidR="008C2680" w:rsidRPr="00E32653" w:rsidRDefault="00B1432E" w:rsidP="008057F0">
      <w:pPr>
        <w:spacing w:line="276" w:lineRule="auto"/>
        <w:ind w:firstLine="720"/>
        <w:jc w:val="both"/>
        <w:rPr>
          <w:rFonts w:asciiTheme="majorBidi" w:hAnsiTheme="majorBidi" w:cstheme="majorBidi"/>
          <w:shd w:val="clear" w:color="auto" w:fill="FFFFFF"/>
        </w:rPr>
      </w:pPr>
      <w:r w:rsidRPr="00E32653">
        <w:rPr>
          <w:rFonts w:asciiTheme="majorBidi" w:hAnsiTheme="majorBidi" w:cstheme="majorBidi"/>
        </w:rPr>
        <w:t>In the en</w:t>
      </w:r>
      <w:r w:rsidR="007B75BE" w:rsidRPr="00E32653">
        <w:rPr>
          <w:rFonts w:asciiTheme="majorBidi" w:hAnsiTheme="majorBidi" w:cstheme="majorBidi"/>
        </w:rPr>
        <w:t xml:space="preserve">d of life stage (Fig 2), C1, </w:t>
      </w:r>
      <w:r w:rsidRPr="00E32653">
        <w:rPr>
          <w:rFonts w:asciiTheme="majorBidi" w:hAnsiTheme="majorBidi" w:cstheme="majorBidi"/>
        </w:rPr>
        <w:t>C2</w:t>
      </w:r>
      <w:r w:rsidR="007B75BE" w:rsidRPr="00E32653">
        <w:rPr>
          <w:rFonts w:asciiTheme="majorBidi" w:hAnsiTheme="majorBidi" w:cstheme="majorBidi"/>
        </w:rPr>
        <w:t>, C3 and C4</w:t>
      </w:r>
      <w:r w:rsidRPr="00E32653">
        <w:rPr>
          <w:rFonts w:asciiTheme="majorBidi" w:hAnsiTheme="majorBidi" w:cstheme="majorBidi"/>
        </w:rPr>
        <w:t xml:space="preserve"> denote the demolition or reassembly of building materials on-site and their transfer from the site after the building</w:t>
      </w:r>
      <w:r w:rsidR="000131AB" w:rsidRPr="00E32653">
        <w:rPr>
          <w:rFonts w:asciiTheme="majorBidi" w:hAnsiTheme="majorBidi" w:cstheme="majorBidi"/>
        </w:rPr>
        <w:t>'</w:t>
      </w:r>
      <w:r w:rsidRPr="00E32653">
        <w:rPr>
          <w:rFonts w:asciiTheme="majorBidi" w:hAnsiTheme="majorBidi" w:cstheme="majorBidi"/>
        </w:rPr>
        <w:t xml:space="preserve">s end of life, respectively. The fuel used for demolition machinery and transport away from site was assumed to be diesel. The </w:t>
      </w:r>
      <w:r w:rsidR="00424C5B" w:rsidRPr="00E32653">
        <w:rPr>
          <w:rFonts w:asciiTheme="majorBidi" w:hAnsiTheme="majorBidi" w:cstheme="majorBidi"/>
        </w:rPr>
        <w:t>‘</w:t>
      </w:r>
      <w:r w:rsidRPr="00E32653">
        <w:rPr>
          <w:rFonts w:asciiTheme="majorBidi" w:hAnsiTheme="majorBidi" w:cstheme="majorBidi"/>
        </w:rPr>
        <w:t>Benefit and loads</w:t>
      </w:r>
      <w:r w:rsidR="00424C5B" w:rsidRPr="00E32653">
        <w:rPr>
          <w:rFonts w:asciiTheme="majorBidi" w:hAnsiTheme="majorBidi" w:cstheme="majorBidi"/>
        </w:rPr>
        <w:t>’</w:t>
      </w:r>
      <w:r w:rsidRPr="00E32653">
        <w:rPr>
          <w:rFonts w:asciiTheme="majorBidi" w:hAnsiTheme="majorBidi" w:cstheme="majorBidi"/>
        </w:rPr>
        <w:t xml:space="preserve"> s</w:t>
      </w:r>
      <w:r w:rsidR="0097489F" w:rsidRPr="00E32653">
        <w:rPr>
          <w:rFonts w:asciiTheme="majorBidi" w:hAnsiTheme="majorBidi" w:cstheme="majorBidi"/>
        </w:rPr>
        <w:t xml:space="preserve">tage for wood products included </w:t>
      </w:r>
      <w:r w:rsidR="00424C5B" w:rsidRPr="00E32653">
        <w:rPr>
          <w:rFonts w:asciiTheme="majorBidi" w:hAnsiTheme="majorBidi" w:cstheme="majorBidi"/>
        </w:rPr>
        <w:t xml:space="preserve">30% </w:t>
      </w:r>
      <w:r w:rsidR="0097489F" w:rsidRPr="00E32653">
        <w:rPr>
          <w:rFonts w:asciiTheme="majorBidi" w:hAnsiTheme="majorBidi" w:cstheme="majorBidi"/>
        </w:rPr>
        <w:t xml:space="preserve">reuse ( D1), </w:t>
      </w:r>
      <w:r w:rsidRPr="00E32653">
        <w:rPr>
          <w:rFonts w:asciiTheme="majorBidi" w:hAnsiTheme="majorBidi" w:cstheme="majorBidi"/>
        </w:rPr>
        <w:t>recovering energy (D2) by incinerating the material to generate electricity</w:t>
      </w:r>
      <w:r w:rsidR="0097489F" w:rsidRPr="00E32653">
        <w:rPr>
          <w:rFonts w:asciiTheme="majorBidi" w:hAnsiTheme="majorBidi" w:cstheme="majorBidi"/>
        </w:rPr>
        <w:t xml:space="preserve"> by 30% and </w:t>
      </w:r>
      <w:r w:rsidR="00424C5B" w:rsidRPr="00E32653">
        <w:rPr>
          <w:rFonts w:asciiTheme="majorBidi" w:hAnsiTheme="majorBidi" w:cstheme="majorBidi"/>
        </w:rPr>
        <w:t xml:space="preserve">40%. </w:t>
      </w:r>
      <w:r w:rsidR="0097489F" w:rsidRPr="00E32653">
        <w:rPr>
          <w:rFonts w:asciiTheme="majorBidi" w:hAnsiTheme="majorBidi" w:cstheme="majorBidi"/>
        </w:rPr>
        <w:t>recycling (D3)</w:t>
      </w:r>
      <w:r w:rsidR="00424C5B" w:rsidRPr="00E32653">
        <w:rPr>
          <w:rFonts w:asciiTheme="majorBidi" w:hAnsiTheme="majorBidi" w:cstheme="majorBidi"/>
        </w:rPr>
        <w:t xml:space="preserve">. </w:t>
      </w:r>
      <w:r w:rsidR="003E193F" w:rsidRPr="00E32653">
        <w:rPr>
          <w:rFonts w:asciiTheme="majorBidi" w:hAnsiTheme="majorBidi" w:cstheme="majorBidi"/>
        </w:rPr>
        <w:t>D2</w:t>
      </w:r>
      <w:r w:rsidRPr="00E32653">
        <w:rPr>
          <w:rFonts w:asciiTheme="majorBidi" w:hAnsiTheme="majorBidi" w:cstheme="majorBidi"/>
        </w:rPr>
        <w:t xml:space="preserve"> has been used in Malaysia as an alternative to coal. </w:t>
      </w:r>
      <w:r w:rsidR="003E193F" w:rsidRPr="00E32653">
        <w:rPr>
          <w:rFonts w:asciiTheme="majorBidi" w:hAnsiTheme="majorBidi" w:cstheme="majorBidi"/>
        </w:rPr>
        <w:t xml:space="preserve">Other non-structural materials such as gypsum board and insulation were </w:t>
      </w:r>
      <w:r w:rsidRPr="00E32653">
        <w:rPr>
          <w:rFonts w:asciiTheme="majorBidi" w:hAnsiTheme="majorBidi" w:cstheme="majorBidi"/>
        </w:rPr>
        <w:t xml:space="preserve">considered as landfill (D4) due to uncertainty about their impact when recycled. In this study, Eurocode 5 and relevant documents European Committee for Standardization (CEN) were adopted as the design standards for LVL structures. Each </w:t>
      </w:r>
      <w:r w:rsidR="00007283" w:rsidRPr="00E32653">
        <w:rPr>
          <w:rFonts w:asciiTheme="majorBidi" w:hAnsiTheme="majorBidi" w:cstheme="majorBidi"/>
        </w:rPr>
        <w:t>mass timber</w:t>
      </w:r>
      <w:r w:rsidR="00972C66" w:rsidRPr="00E32653">
        <w:rPr>
          <w:rFonts w:asciiTheme="majorBidi" w:hAnsiTheme="majorBidi" w:cstheme="majorBidi"/>
        </w:rPr>
        <w:t xml:space="preserve"> product</w:t>
      </w:r>
      <w:r w:rsidR="00603DD4" w:rsidRPr="00E32653">
        <w:rPr>
          <w:rFonts w:asciiTheme="majorBidi" w:hAnsiTheme="majorBidi" w:cstheme="majorBidi"/>
        </w:rPr>
        <w:t xml:space="preserve"> </w:t>
      </w:r>
      <w:r w:rsidRPr="00E32653">
        <w:rPr>
          <w:rFonts w:asciiTheme="majorBidi" w:hAnsiTheme="majorBidi" w:cstheme="majorBidi"/>
        </w:rPr>
        <w:t xml:space="preserve">has been considered in both hardwood and softwood variants. Evergreen trees tend to be less dense than deciduous trees, and </w:t>
      </w:r>
      <w:r w:rsidR="00972C66" w:rsidRPr="00E32653">
        <w:rPr>
          <w:rFonts w:asciiTheme="majorBidi" w:hAnsiTheme="majorBidi" w:cstheme="majorBidi"/>
        </w:rPr>
        <w:t xml:space="preserve">are </w:t>
      </w:r>
      <w:r w:rsidRPr="00E32653">
        <w:rPr>
          <w:rFonts w:asciiTheme="majorBidi" w:hAnsiTheme="majorBidi" w:cstheme="majorBidi"/>
        </w:rPr>
        <w:t xml:space="preserve">therefore easier to cut, while most hardwoods tend to be more dense, and therefore sturdier. </w:t>
      </w:r>
      <w:r w:rsidR="003E193F" w:rsidRPr="00E32653">
        <w:rPr>
          <w:rFonts w:asciiTheme="majorBidi" w:hAnsiTheme="majorBidi" w:cstheme="majorBidi"/>
        </w:rPr>
        <w:t xml:space="preserve">The hardwood trees </w:t>
      </w:r>
      <w:r w:rsidR="00972C66" w:rsidRPr="00E32653">
        <w:rPr>
          <w:rFonts w:asciiTheme="majorBidi" w:hAnsiTheme="majorBidi" w:cstheme="majorBidi"/>
        </w:rPr>
        <w:t>grow at</w:t>
      </w:r>
      <w:r w:rsidR="003E193F" w:rsidRPr="00E32653">
        <w:rPr>
          <w:rFonts w:asciiTheme="majorBidi" w:hAnsiTheme="majorBidi" w:cstheme="majorBidi"/>
        </w:rPr>
        <w:t xml:space="preserve"> a slower </w:t>
      </w:r>
      <w:r w:rsidR="00972C66" w:rsidRPr="00E32653">
        <w:rPr>
          <w:rFonts w:asciiTheme="majorBidi" w:hAnsiTheme="majorBidi" w:cstheme="majorBidi"/>
        </w:rPr>
        <w:t>rate and are generally</w:t>
      </w:r>
      <w:r w:rsidR="003E193F" w:rsidRPr="00E32653">
        <w:rPr>
          <w:rFonts w:asciiTheme="majorBidi" w:hAnsiTheme="majorBidi" w:cstheme="majorBidi"/>
        </w:rPr>
        <w:t xml:space="preserve"> denser </w:t>
      </w:r>
      <w:r w:rsidR="00972C66" w:rsidRPr="00E32653">
        <w:rPr>
          <w:rFonts w:asciiTheme="majorBidi" w:hAnsiTheme="majorBidi" w:cstheme="majorBidi"/>
        </w:rPr>
        <w:t>than softwood trees</w:t>
      </w:r>
      <w:r w:rsidR="003E193F" w:rsidRPr="00E32653">
        <w:rPr>
          <w:rFonts w:asciiTheme="majorBidi" w:hAnsiTheme="majorBidi" w:cstheme="majorBidi"/>
        </w:rPr>
        <w:t xml:space="preserve">. </w:t>
      </w:r>
      <w:r w:rsidR="008C2680" w:rsidRPr="00E32653">
        <w:rPr>
          <w:rFonts w:asciiTheme="majorBidi" w:hAnsiTheme="majorBidi" w:cstheme="majorBidi"/>
        </w:rPr>
        <w:t>T</w:t>
      </w:r>
      <w:r w:rsidR="00972C66" w:rsidRPr="00E32653">
        <w:rPr>
          <w:rFonts w:asciiTheme="majorBidi" w:hAnsiTheme="majorBidi" w:cstheme="majorBidi"/>
        </w:rPr>
        <w:t>he t</w:t>
      </w:r>
      <w:r w:rsidR="008C2680" w:rsidRPr="00E32653">
        <w:rPr>
          <w:rFonts w:asciiTheme="majorBidi" w:hAnsiTheme="majorBidi" w:cstheme="majorBidi"/>
        </w:rPr>
        <w:t>ype</w:t>
      </w:r>
      <w:r w:rsidR="00972C66" w:rsidRPr="00E32653">
        <w:rPr>
          <w:rFonts w:asciiTheme="majorBidi" w:hAnsiTheme="majorBidi" w:cstheme="majorBidi"/>
        </w:rPr>
        <w:t>s</w:t>
      </w:r>
      <w:r w:rsidR="008C2680" w:rsidRPr="00E32653">
        <w:rPr>
          <w:rFonts w:asciiTheme="majorBidi" w:hAnsiTheme="majorBidi" w:cstheme="majorBidi"/>
        </w:rPr>
        <w:t xml:space="preserve"> of wood evaluated in </w:t>
      </w:r>
      <w:r w:rsidR="00972C66" w:rsidRPr="00E32653">
        <w:rPr>
          <w:rFonts w:asciiTheme="majorBidi" w:hAnsiTheme="majorBidi" w:cstheme="majorBidi"/>
        </w:rPr>
        <w:t xml:space="preserve">this </w:t>
      </w:r>
      <w:r w:rsidR="008C2680" w:rsidRPr="00E32653">
        <w:rPr>
          <w:rFonts w:asciiTheme="majorBidi" w:hAnsiTheme="majorBidi" w:cstheme="majorBidi"/>
        </w:rPr>
        <w:t xml:space="preserve">study are </w:t>
      </w:r>
      <w:r w:rsidR="008C2680" w:rsidRPr="00E32653">
        <w:rPr>
          <w:rFonts w:asciiTheme="majorBidi" w:hAnsiTheme="majorBidi" w:cstheme="majorBidi"/>
          <w:shd w:val="clear" w:color="auto" w:fill="FFFFFF"/>
        </w:rPr>
        <w:t>oak as a hardwood specie</w:t>
      </w:r>
      <w:r w:rsidR="00972C66" w:rsidRPr="00E32653">
        <w:rPr>
          <w:rFonts w:asciiTheme="majorBidi" w:hAnsiTheme="majorBidi" w:cstheme="majorBidi"/>
          <w:shd w:val="clear" w:color="auto" w:fill="FFFFFF"/>
        </w:rPr>
        <w:t>s</w:t>
      </w:r>
      <w:r w:rsidR="008C2680" w:rsidRPr="00E32653">
        <w:rPr>
          <w:rFonts w:asciiTheme="majorBidi" w:hAnsiTheme="majorBidi" w:cstheme="majorBidi"/>
          <w:shd w:val="clear" w:color="auto" w:fill="FFFFFF"/>
        </w:rPr>
        <w:t xml:space="preserve"> and spruce as a softwood specie</w:t>
      </w:r>
      <w:r w:rsidR="00972C66" w:rsidRPr="00E32653">
        <w:rPr>
          <w:rFonts w:asciiTheme="majorBidi" w:hAnsiTheme="majorBidi" w:cstheme="majorBidi"/>
          <w:shd w:val="clear" w:color="auto" w:fill="FFFFFF"/>
        </w:rPr>
        <w:t>s</w:t>
      </w:r>
      <w:r w:rsidR="008C2680" w:rsidRPr="00E32653">
        <w:rPr>
          <w:rFonts w:asciiTheme="majorBidi" w:hAnsiTheme="majorBidi" w:cstheme="majorBidi"/>
          <w:shd w:val="clear" w:color="auto" w:fill="FFFFFF"/>
        </w:rPr>
        <w:t xml:space="preserve">. </w:t>
      </w:r>
    </w:p>
    <w:p w14:paraId="365E8BF1" w14:textId="77777777" w:rsidR="0009001B" w:rsidRPr="00E32653" w:rsidRDefault="0009001B" w:rsidP="008057F0">
      <w:pPr>
        <w:spacing w:line="276" w:lineRule="auto"/>
        <w:ind w:firstLine="720"/>
        <w:jc w:val="both"/>
        <w:rPr>
          <w:rFonts w:asciiTheme="majorBidi" w:hAnsiTheme="majorBidi" w:cstheme="majorBidi"/>
          <w:shd w:val="clear" w:color="auto" w:fill="FFFFFF"/>
        </w:rPr>
      </w:pPr>
    </w:p>
    <w:p w14:paraId="5A4E1D3D" w14:textId="2E45CF43" w:rsidR="000018C2" w:rsidRPr="00E32653" w:rsidRDefault="000018C2" w:rsidP="0009001B">
      <w:pPr>
        <w:pStyle w:val="ListParagraph"/>
        <w:numPr>
          <w:ilvl w:val="0"/>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t>Results</w:t>
      </w:r>
      <w:r w:rsidR="00297560" w:rsidRPr="00E32653">
        <w:rPr>
          <w:rFonts w:asciiTheme="majorBidi" w:hAnsiTheme="majorBidi" w:cstheme="majorBidi"/>
          <w:b/>
          <w:bCs/>
          <w:i/>
          <w:iCs/>
          <w:sz w:val="24"/>
          <w:szCs w:val="24"/>
        </w:rPr>
        <w:t xml:space="preserve"> </w:t>
      </w:r>
    </w:p>
    <w:p w14:paraId="1F31FF01" w14:textId="3435051E" w:rsidR="00050E27" w:rsidRPr="00E32653" w:rsidRDefault="00763EAE" w:rsidP="00762122">
      <w:pPr>
        <w:ind w:firstLine="720"/>
        <w:jc w:val="both"/>
        <w:rPr>
          <w:rFonts w:asciiTheme="majorBidi" w:hAnsiTheme="majorBidi" w:cstheme="majorBidi"/>
        </w:rPr>
      </w:pPr>
      <w:r w:rsidRPr="00E32653">
        <w:rPr>
          <w:rFonts w:asciiTheme="majorBidi" w:hAnsiTheme="majorBidi" w:cstheme="majorBidi"/>
        </w:rPr>
        <w:t>The construction method</w:t>
      </w:r>
      <w:r w:rsidR="000039DC" w:rsidRPr="00E32653">
        <w:rPr>
          <w:rFonts w:asciiTheme="majorBidi" w:hAnsiTheme="majorBidi" w:cstheme="majorBidi"/>
        </w:rPr>
        <w:t>s used for</w:t>
      </w:r>
      <w:r w:rsidRPr="00E32653">
        <w:rPr>
          <w:rFonts w:asciiTheme="majorBidi" w:hAnsiTheme="majorBidi" w:cstheme="majorBidi"/>
        </w:rPr>
        <w:t xml:space="preserve"> </w:t>
      </w:r>
      <w:r w:rsidR="0070588C" w:rsidRPr="00E32653">
        <w:rPr>
          <w:rFonts w:asciiTheme="majorBidi" w:hAnsiTheme="majorBidi" w:cstheme="majorBidi"/>
        </w:rPr>
        <w:t>GLT and LVL</w:t>
      </w:r>
      <w:r w:rsidRPr="00E32653">
        <w:rPr>
          <w:rFonts w:asciiTheme="majorBidi" w:hAnsiTheme="majorBidi" w:cstheme="majorBidi"/>
        </w:rPr>
        <w:t xml:space="preserve"> are different</w:t>
      </w:r>
      <w:r w:rsidR="000039DC" w:rsidRPr="00E32653">
        <w:rPr>
          <w:rFonts w:asciiTheme="majorBidi" w:hAnsiTheme="majorBidi" w:cstheme="majorBidi"/>
        </w:rPr>
        <w:t xml:space="preserve"> and are illustrated in Figures 4 and 5. </w:t>
      </w:r>
      <w:r w:rsidR="00F117A1" w:rsidRPr="00E32653">
        <w:rPr>
          <w:rFonts w:asciiTheme="majorBidi" w:hAnsiTheme="majorBidi" w:cstheme="majorBidi"/>
        </w:rPr>
        <w:t>These are limited to the construction stage for GLT and LVL (A1, A2, A3, A4 and A5). As mentioned before, all previous research ha</w:t>
      </w:r>
      <w:r w:rsidR="000131AB" w:rsidRPr="00E32653">
        <w:rPr>
          <w:rFonts w:asciiTheme="majorBidi" w:hAnsiTheme="majorBidi" w:cstheme="majorBidi"/>
        </w:rPr>
        <w:t xml:space="preserve">s claimed that </w:t>
      </w:r>
      <w:r w:rsidR="00007283" w:rsidRPr="00E32653">
        <w:rPr>
          <w:rFonts w:asciiTheme="majorBidi" w:hAnsiTheme="majorBidi" w:cstheme="majorBidi"/>
        </w:rPr>
        <w:t xml:space="preserve">mass timber </w:t>
      </w:r>
      <w:r w:rsidR="000131AB" w:rsidRPr="00E32653">
        <w:rPr>
          <w:rFonts w:asciiTheme="majorBidi" w:hAnsiTheme="majorBidi" w:cstheme="majorBidi"/>
        </w:rPr>
        <w:t>is a good alternative to concrete and steel</w:t>
      </w:r>
      <w:r w:rsidR="00F117A1" w:rsidRPr="00E32653">
        <w:rPr>
          <w:rFonts w:asciiTheme="majorBidi" w:hAnsiTheme="majorBidi" w:cstheme="majorBidi"/>
        </w:rPr>
        <w:t xml:space="preserve"> </w:t>
      </w:r>
      <w:r w:rsidR="001E5086" w:rsidRPr="00E32653">
        <w:rPr>
          <w:rFonts w:asciiTheme="majorBidi" w:hAnsiTheme="majorBidi" w:cstheme="majorBidi"/>
        </w:rPr>
        <w:t>because timber produces</w:t>
      </w:r>
      <w:r w:rsidR="00F117A1" w:rsidRPr="00E32653">
        <w:rPr>
          <w:rFonts w:asciiTheme="majorBidi" w:hAnsiTheme="majorBidi" w:cstheme="majorBidi"/>
        </w:rPr>
        <w:t xml:space="preserve"> </w:t>
      </w:r>
      <w:r w:rsidR="001E5086" w:rsidRPr="00E32653">
        <w:rPr>
          <w:rFonts w:asciiTheme="majorBidi" w:hAnsiTheme="majorBidi" w:cstheme="majorBidi"/>
        </w:rPr>
        <w:t>fe</w:t>
      </w:r>
      <w:r w:rsidR="00F117A1" w:rsidRPr="00E32653">
        <w:rPr>
          <w:rFonts w:asciiTheme="majorBidi" w:hAnsiTheme="majorBidi" w:cstheme="majorBidi"/>
        </w:rPr>
        <w:t xml:space="preserve">wer environmental emission. </w:t>
      </w:r>
      <w:r w:rsidR="001E5086" w:rsidRPr="00E32653">
        <w:rPr>
          <w:rFonts w:asciiTheme="majorBidi" w:hAnsiTheme="majorBidi" w:cstheme="majorBidi"/>
        </w:rPr>
        <w:t>I</w:t>
      </w:r>
      <w:r w:rsidR="00F117A1" w:rsidRPr="00E32653">
        <w:rPr>
          <w:rFonts w:asciiTheme="majorBidi" w:hAnsiTheme="majorBidi" w:cstheme="majorBidi"/>
        </w:rPr>
        <w:t xml:space="preserve">n </w:t>
      </w:r>
      <w:r w:rsidR="001E5086" w:rsidRPr="00E32653">
        <w:rPr>
          <w:rFonts w:asciiTheme="majorBidi" w:hAnsiTheme="majorBidi" w:cstheme="majorBidi"/>
        </w:rPr>
        <w:t>this study</w:t>
      </w:r>
      <w:r w:rsidR="00F117A1" w:rsidRPr="00E32653">
        <w:rPr>
          <w:rFonts w:asciiTheme="majorBidi" w:hAnsiTheme="majorBidi" w:cstheme="majorBidi"/>
        </w:rPr>
        <w:t xml:space="preserve">, </w:t>
      </w:r>
      <w:r w:rsidR="000131AB" w:rsidRPr="00E32653">
        <w:rPr>
          <w:rFonts w:asciiTheme="majorBidi" w:hAnsiTheme="majorBidi" w:cstheme="majorBidi"/>
        </w:rPr>
        <w:t xml:space="preserve">the </w:t>
      </w:r>
      <w:r w:rsidR="00F117A1" w:rsidRPr="00E32653">
        <w:rPr>
          <w:rFonts w:asciiTheme="majorBidi" w:hAnsiTheme="majorBidi" w:cstheme="majorBidi"/>
        </w:rPr>
        <w:t xml:space="preserve">authors have focused on two types of </w:t>
      </w:r>
      <w:r w:rsidR="00007283" w:rsidRPr="00E32653">
        <w:rPr>
          <w:rFonts w:asciiTheme="majorBidi" w:hAnsiTheme="majorBidi" w:cstheme="majorBidi"/>
        </w:rPr>
        <w:lastRenderedPageBreak/>
        <w:t xml:space="preserve">mass timber </w:t>
      </w:r>
      <w:r w:rsidR="001E5086" w:rsidRPr="00E32653">
        <w:rPr>
          <w:rFonts w:asciiTheme="majorBidi" w:hAnsiTheme="majorBidi" w:cstheme="majorBidi"/>
        </w:rPr>
        <w:t xml:space="preserve">as well as two methods of </w:t>
      </w:r>
      <w:r w:rsidR="00F117A1" w:rsidRPr="00E32653">
        <w:rPr>
          <w:rFonts w:asciiTheme="majorBidi" w:hAnsiTheme="majorBidi" w:cstheme="majorBidi"/>
        </w:rPr>
        <w:t xml:space="preserve">construction. For transparency, </w:t>
      </w:r>
      <w:r w:rsidR="000131AB" w:rsidRPr="00E32653">
        <w:rPr>
          <w:rFonts w:asciiTheme="majorBidi" w:hAnsiTheme="majorBidi" w:cstheme="majorBidi"/>
        </w:rPr>
        <w:t>f</w:t>
      </w:r>
      <w:r w:rsidR="00F117A1" w:rsidRPr="00E32653">
        <w:rPr>
          <w:rFonts w:asciiTheme="majorBidi" w:hAnsiTheme="majorBidi" w:cstheme="majorBidi"/>
        </w:rPr>
        <w:t>igure</w:t>
      </w:r>
      <w:r w:rsidR="000131AB" w:rsidRPr="00E32653">
        <w:rPr>
          <w:rFonts w:asciiTheme="majorBidi" w:hAnsiTheme="majorBidi" w:cstheme="majorBidi"/>
        </w:rPr>
        <w:t>s</w:t>
      </w:r>
      <w:r w:rsidR="00F117A1" w:rsidRPr="00E32653">
        <w:rPr>
          <w:rFonts w:asciiTheme="majorBidi" w:hAnsiTheme="majorBidi" w:cstheme="majorBidi"/>
        </w:rPr>
        <w:t xml:space="preserve"> 4 and 5 show the difference</w:t>
      </w:r>
      <w:r w:rsidR="001E5086" w:rsidRPr="00E32653">
        <w:rPr>
          <w:rFonts w:asciiTheme="majorBidi" w:hAnsiTheme="majorBidi" w:cstheme="majorBidi"/>
        </w:rPr>
        <w:t>s</w:t>
      </w:r>
      <w:r w:rsidR="00F117A1" w:rsidRPr="00E32653">
        <w:rPr>
          <w:rFonts w:asciiTheme="majorBidi" w:hAnsiTheme="majorBidi" w:cstheme="majorBidi"/>
        </w:rPr>
        <w:t xml:space="preserve"> </w:t>
      </w:r>
      <w:r w:rsidR="000131AB" w:rsidRPr="00E32653">
        <w:rPr>
          <w:rFonts w:asciiTheme="majorBidi" w:hAnsiTheme="majorBidi" w:cstheme="majorBidi"/>
        </w:rPr>
        <w:t>between</w:t>
      </w:r>
      <w:r w:rsidR="00F117A1" w:rsidRPr="00E32653">
        <w:rPr>
          <w:rFonts w:asciiTheme="majorBidi" w:hAnsiTheme="majorBidi" w:cstheme="majorBidi"/>
        </w:rPr>
        <w:t xml:space="preserve"> </w:t>
      </w:r>
      <w:r w:rsidR="000131AB" w:rsidRPr="00E32653">
        <w:rPr>
          <w:rFonts w:asciiTheme="majorBidi" w:hAnsiTheme="majorBidi" w:cstheme="majorBidi"/>
        </w:rPr>
        <w:t xml:space="preserve">the </w:t>
      </w:r>
      <w:r w:rsidR="00F117A1" w:rsidRPr="00E32653">
        <w:rPr>
          <w:rFonts w:asciiTheme="majorBidi" w:hAnsiTheme="majorBidi" w:cstheme="majorBidi"/>
        </w:rPr>
        <w:t>manufacturing and construction stage</w:t>
      </w:r>
      <w:r w:rsidR="000131AB" w:rsidRPr="00E32653">
        <w:rPr>
          <w:rFonts w:asciiTheme="majorBidi" w:hAnsiTheme="majorBidi" w:cstheme="majorBidi"/>
        </w:rPr>
        <w:t>s</w:t>
      </w:r>
      <w:r w:rsidR="00F117A1" w:rsidRPr="00E32653">
        <w:rPr>
          <w:rFonts w:asciiTheme="majorBidi" w:hAnsiTheme="majorBidi" w:cstheme="majorBidi"/>
        </w:rPr>
        <w:t xml:space="preserve"> of </w:t>
      </w:r>
      <w:r w:rsidR="001E5086" w:rsidRPr="00E32653">
        <w:rPr>
          <w:rFonts w:asciiTheme="majorBidi" w:hAnsiTheme="majorBidi" w:cstheme="majorBidi"/>
        </w:rPr>
        <w:t xml:space="preserve">the </w:t>
      </w:r>
      <w:r w:rsidR="00F117A1" w:rsidRPr="00E32653">
        <w:rPr>
          <w:rFonts w:asciiTheme="majorBidi" w:hAnsiTheme="majorBidi" w:cstheme="majorBidi"/>
        </w:rPr>
        <w:t xml:space="preserve">case studies materials. </w:t>
      </w:r>
      <w:r w:rsidR="00165F2B" w:rsidRPr="00E32653">
        <w:rPr>
          <w:rFonts w:asciiTheme="majorBidi" w:hAnsiTheme="majorBidi" w:cstheme="majorBidi"/>
        </w:rPr>
        <w:t xml:space="preserve">Figure 4 shows the processing of the GLT material from extraction to manufacturing and construction. The extraction stage includes the log yard, debarking of wood and transfer to the mill by lorry. The process of manufacturing includes drying, sawing, grading, adhesive application, pressing, curing, and trimming. The GLT components are sent to site to construct the building. Two different types of GLT were assumed - GLT-h for mature hardwood and GLT-s for mature softwood. The method of construction is considered as on-site. </w:t>
      </w:r>
    </w:p>
    <w:p w14:paraId="6FAEEC4D" w14:textId="77777777" w:rsidR="00382E55" w:rsidRPr="00E32653" w:rsidRDefault="00A9464E" w:rsidP="00A9464E">
      <w:pPr>
        <w:spacing w:after="0"/>
        <w:ind w:firstLine="720"/>
        <w:jc w:val="center"/>
        <w:rPr>
          <w:rFonts w:asciiTheme="majorBidi" w:hAnsiTheme="majorBidi" w:cstheme="majorBidi"/>
        </w:rPr>
      </w:pPr>
      <w:r w:rsidRPr="00E32653">
        <w:rPr>
          <w:rFonts w:asciiTheme="majorBidi" w:hAnsiTheme="majorBidi" w:cstheme="majorBidi"/>
          <w:noProof/>
        </w:rPr>
        <w:drawing>
          <wp:inline distT="0" distB="0" distL="0" distR="0" wp14:anchorId="1CFC0D19" wp14:editId="370BECED">
            <wp:extent cx="5125136" cy="2717800"/>
            <wp:effectExtent l="0" t="0" r="0" b="6350"/>
            <wp:docPr id="24" name="Picture 24" descr="C:\Users\Ali\Desktop\Screenshot 2020-12-22 162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i\Desktop\Screenshot 2020-12-22 1625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8798" cy="2762165"/>
                    </a:xfrm>
                    <a:prstGeom prst="rect">
                      <a:avLst/>
                    </a:prstGeom>
                    <a:noFill/>
                    <a:ln>
                      <a:noFill/>
                    </a:ln>
                  </pic:spPr>
                </pic:pic>
              </a:graphicData>
            </a:graphic>
          </wp:inline>
        </w:drawing>
      </w:r>
    </w:p>
    <w:p w14:paraId="24AC3EFC" w14:textId="1D361D1C" w:rsidR="003A1145" w:rsidRPr="00E32653" w:rsidRDefault="0070588C" w:rsidP="00CC4ADD">
      <w:pPr>
        <w:jc w:val="center"/>
        <w:rPr>
          <w:rFonts w:asciiTheme="majorBidi" w:hAnsiTheme="majorBidi" w:cstheme="majorBidi"/>
          <w:sz w:val="18"/>
          <w:szCs w:val="18"/>
          <w:shd w:val="clear" w:color="auto" w:fill="FFFFFF"/>
        </w:rPr>
      </w:pPr>
      <w:r w:rsidRPr="00E32653">
        <w:rPr>
          <w:rFonts w:asciiTheme="majorBidi" w:hAnsiTheme="majorBidi" w:cstheme="majorBidi"/>
          <w:sz w:val="18"/>
          <w:szCs w:val="18"/>
        </w:rPr>
        <w:t>Figure</w:t>
      </w:r>
      <w:r w:rsidR="0019214A" w:rsidRPr="00E32653">
        <w:rPr>
          <w:rFonts w:asciiTheme="majorBidi" w:hAnsiTheme="majorBidi" w:cstheme="majorBidi"/>
          <w:sz w:val="18"/>
          <w:szCs w:val="18"/>
        </w:rPr>
        <w:t xml:space="preserve"> 4. </w:t>
      </w:r>
      <w:r w:rsidR="003A1145" w:rsidRPr="00E32653">
        <w:rPr>
          <w:rFonts w:asciiTheme="majorBidi" w:hAnsiTheme="majorBidi" w:cstheme="majorBidi"/>
          <w:sz w:val="18"/>
          <w:szCs w:val="18"/>
        </w:rPr>
        <w:t>The process o</w:t>
      </w:r>
      <w:r w:rsidR="00CC4ADD" w:rsidRPr="00E32653">
        <w:rPr>
          <w:rFonts w:asciiTheme="majorBidi" w:hAnsiTheme="majorBidi" w:cstheme="majorBidi"/>
          <w:sz w:val="18"/>
          <w:szCs w:val="18"/>
        </w:rPr>
        <w:t xml:space="preserve">f constructing </w:t>
      </w:r>
      <w:r w:rsidR="000131AB" w:rsidRPr="00E32653">
        <w:rPr>
          <w:rFonts w:asciiTheme="majorBidi" w:hAnsiTheme="majorBidi" w:cstheme="majorBidi"/>
          <w:sz w:val="18"/>
          <w:szCs w:val="18"/>
        </w:rPr>
        <w:t xml:space="preserve">the </w:t>
      </w:r>
      <w:r w:rsidR="00CC4ADD" w:rsidRPr="00E32653">
        <w:rPr>
          <w:rFonts w:asciiTheme="majorBidi" w:hAnsiTheme="majorBidi" w:cstheme="majorBidi"/>
          <w:sz w:val="18"/>
          <w:szCs w:val="18"/>
        </w:rPr>
        <w:t>building with</w:t>
      </w:r>
      <w:r w:rsidR="0010687B" w:rsidRPr="00E32653">
        <w:rPr>
          <w:rFonts w:asciiTheme="majorBidi" w:hAnsiTheme="majorBidi" w:cstheme="majorBidi"/>
          <w:sz w:val="18"/>
          <w:szCs w:val="18"/>
        </w:rPr>
        <w:t xml:space="preserve"> </w:t>
      </w:r>
      <w:r w:rsidR="00207ECF" w:rsidRPr="00E32653">
        <w:rPr>
          <w:rFonts w:asciiTheme="majorBidi" w:hAnsiTheme="majorBidi" w:cstheme="majorBidi"/>
          <w:sz w:val="18"/>
          <w:szCs w:val="18"/>
          <w:shd w:val="clear" w:color="auto" w:fill="FFFFFF"/>
        </w:rPr>
        <w:t>GLT</w:t>
      </w:r>
    </w:p>
    <w:p w14:paraId="3684A200" w14:textId="1E4B9F0F" w:rsidR="00CC4ADD" w:rsidRPr="00E32653" w:rsidRDefault="0070588C" w:rsidP="004D5F6F">
      <w:pPr>
        <w:ind w:firstLine="720"/>
        <w:jc w:val="both"/>
        <w:rPr>
          <w:rFonts w:asciiTheme="majorBidi" w:hAnsiTheme="majorBidi" w:cstheme="majorBidi"/>
        </w:rPr>
      </w:pPr>
      <w:r w:rsidRPr="00E32653">
        <w:rPr>
          <w:rFonts w:asciiTheme="majorBidi" w:hAnsiTheme="majorBidi" w:cstheme="majorBidi"/>
        </w:rPr>
        <w:t xml:space="preserve">Figure </w:t>
      </w:r>
      <w:r w:rsidR="00041FA6" w:rsidRPr="00E32653">
        <w:rPr>
          <w:rFonts w:asciiTheme="majorBidi" w:hAnsiTheme="majorBidi" w:cstheme="majorBidi"/>
        </w:rPr>
        <w:t>5</w:t>
      </w:r>
      <w:r w:rsidR="00CC4ADD" w:rsidRPr="00E32653">
        <w:rPr>
          <w:rFonts w:asciiTheme="majorBidi" w:hAnsiTheme="majorBidi" w:cstheme="majorBidi"/>
        </w:rPr>
        <w:t xml:space="preserve"> illustrat</w:t>
      </w:r>
      <w:r w:rsidR="00B466C2" w:rsidRPr="00E32653">
        <w:rPr>
          <w:rFonts w:asciiTheme="majorBidi" w:hAnsiTheme="majorBidi" w:cstheme="majorBidi"/>
        </w:rPr>
        <w:t>es</w:t>
      </w:r>
      <w:r w:rsidR="00CC4ADD" w:rsidRPr="00E32653">
        <w:rPr>
          <w:rFonts w:asciiTheme="majorBidi" w:hAnsiTheme="majorBidi" w:cstheme="majorBidi"/>
        </w:rPr>
        <w:t xml:space="preserve"> the </w:t>
      </w:r>
      <w:r w:rsidR="00041FA6" w:rsidRPr="00E32653">
        <w:rPr>
          <w:rFonts w:asciiTheme="majorBidi" w:hAnsiTheme="majorBidi" w:cstheme="majorBidi"/>
        </w:rPr>
        <w:t>construction process</w:t>
      </w:r>
      <w:r w:rsidR="00CC4ADD" w:rsidRPr="00E32653">
        <w:rPr>
          <w:rFonts w:asciiTheme="majorBidi" w:hAnsiTheme="majorBidi" w:cstheme="majorBidi"/>
        </w:rPr>
        <w:t xml:space="preserve"> </w:t>
      </w:r>
      <w:r w:rsidR="005B450B" w:rsidRPr="00E32653">
        <w:rPr>
          <w:rFonts w:asciiTheme="majorBidi" w:hAnsiTheme="majorBidi" w:cstheme="majorBidi"/>
        </w:rPr>
        <w:t>for</w:t>
      </w:r>
      <w:r w:rsidR="001B339B" w:rsidRPr="00E32653">
        <w:rPr>
          <w:rFonts w:asciiTheme="majorBidi" w:hAnsiTheme="majorBidi" w:cstheme="majorBidi"/>
        </w:rPr>
        <w:t xml:space="preserve"> </w:t>
      </w:r>
      <w:r w:rsidR="00CC4ADD" w:rsidRPr="00E32653">
        <w:rPr>
          <w:rFonts w:asciiTheme="majorBidi" w:hAnsiTheme="majorBidi" w:cstheme="majorBidi"/>
          <w:shd w:val="clear" w:color="auto" w:fill="FFFFFF"/>
        </w:rPr>
        <w:t xml:space="preserve">LVL materials. </w:t>
      </w:r>
      <w:r w:rsidR="00F300C0" w:rsidRPr="00E32653">
        <w:rPr>
          <w:rFonts w:asciiTheme="majorBidi" w:hAnsiTheme="majorBidi" w:cstheme="majorBidi"/>
          <w:shd w:val="clear" w:color="auto" w:fill="FFFFFF"/>
        </w:rPr>
        <w:t xml:space="preserve">The </w:t>
      </w:r>
      <w:r w:rsidR="00CD5EB9" w:rsidRPr="00E32653">
        <w:rPr>
          <w:rFonts w:asciiTheme="majorBidi" w:hAnsiTheme="majorBidi" w:cstheme="majorBidi"/>
          <w:shd w:val="clear" w:color="auto" w:fill="FFFFFF"/>
        </w:rPr>
        <w:t xml:space="preserve">extraction </w:t>
      </w:r>
      <w:r w:rsidR="00F300C0" w:rsidRPr="00E32653">
        <w:rPr>
          <w:rFonts w:asciiTheme="majorBidi" w:hAnsiTheme="majorBidi" w:cstheme="majorBidi"/>
          <w:shd w:val="clear" w:color="auto" w:fill="FFFFFF"/>
        </w:rPr>
        <w:t xml:space="preserve">stage is </w:t>
      </w:r>
      <w:r w:rsidR="00CD5EB9" w:rsidRPr="00E32653">
        <w:rPr>
          <w:rFonts w:asciiTheme="majorBidi" w:hAnsiTheme="majorBidi" w:cstheme="majorBidi"/>
          <w:shd w:val="clear" w:color="auto" w:fill="FFFFFF"/>
        </w:rPr>
        <w:t xml:space="preserve">similar to the </w:t>
      </w:r>
      <w:r w:rsidR="00F300C0" w:rsidRPr="00E32653">
        <w:rPr>
          <w:rFonts w:asciiTheme="majorBidi" w:hAnsiTheme="majorBidi" w:cstheme="majorBidi"/>
          <w:shd w:val="clear" w:color="auto" w:fill="FFFFFF"/>
        </w:rPr>
        <w:t xml:space="preserve">GLT. </w:t>
      </w:r>
      <w:r w:rsidR="001B339B" w:rsidRPr="00E32653">
        <w:rPr>
          <w:rFonts w:asciiTheme="majorBidi" w:hAnsiTheme="majorBidi" w:cstheme="majorBidi"/>
          <w:shd w:val="clear" w:color="auto" w:fill="FFFFFF"/>
        </w:rPr>
        <w:t>M</w:t>
      </w:r>
      <w:r w:rsidR="00CD5EB9" w:rsidRPr="00E32653">
        <w:rPr>
          <w:rFonts w:asciiTheme="majorBidi" w:hAnsiTheme="majorBidi" w:cstheme="majorBidi"/>
          <w:shd w:val="clear" w:color="auto" w:fill="FFFFFF"/>
        </w:rPr>
        <w:t xml:space="preserve">anufacturing includes </w:t>
      </w:r>
      <w:r w:rsidR="00B02421" w:rsidRPr="00E32653">
        <w:rPr>
          <w:rFonts w:asciiTheme="majorBidi" w:hAnsiTheme="majorBidi" w:cstheme="majorBidi"/>
          <w:shd w:val="clear" w:color="auto" w:fill="FFFFFF"/>
        </w:rPr>
        <w:t>steaming, veneer production, drying, adhesive application, press</w:t>
      </w:r>
      <w:r w:rsidR="001B339B" w:rsidRPr="00E32653">
        <w:rPr>
          <w:rFonts w:asciiTheme="majorBidi" w:hAnsiTheme="majorBidi" w:cstheme="majorBidi"/>
          <w:shd w:val="clear" w:color="auto" w:fill="FFFFFF"/>
        </w:rPr>
        <w:t>ing</w:t>
      </w:r>
      <w:r w:rsidR="00B02421" w:rsidRPr="00E32653">
        <w:rPr>
          <w:rFonts w:asciiTheme="majorBidi" w:hAnsiTheme="majorBidi" w:cstheme="majorBidi"/>
          <w:shd w:val="clear" w:color="auto" w:fill="FFFFFF"/>
        </w:rPr>
        <w:t xml:space="preserve"> and sawing</w:t>
      </w:r>
      <w:r w:rsidR="00A836E6" w:rsidRPr="00E32653">
        <w:rPr>
          <w:rFonts w:asciiTheme="majorBidi" w:hAnsiTheme="majorBidi" w:cstheme="majorBidi"/>
          <w:shd w:val="clear" w:color="auto" w:fill="FFFFFF"/>
        </w:rPr>
        <w:t>.</w:t>
      </w:r>
      <w:r w:rsidR="00B02421" w:rsidRPr="00E32653">
        <w:rPr>
          <w:rFonts w:asciiTheme="majorBidi" w:hAnsiTheme="majorBidi" w:cstheme="majorBidi"/>
          <w:shd w:val="clear" w:color="auto" w:fill="FFFFFF"/>
        </w:rPr>
        <w:t xml:space="preserve"> </w:t>
      </w:r>
      <w:r w:rsidR="000D31EA" w:rsidRPr="00E32653">
        <w:rPr>
          <w:rFonts w:asciiTheme="majorBidi" w:hAnsiTheme="majorBidi" w:cstheme="majorBidi"/>
          <w:shd w:val="clear" w:color="auto" w:fill="FFFFFF"/>
        </w:rPr>
        <w:t>Based on the real</w:t>
      </w:r>
      <w:r w:rsidR="00321F77" w:rsidRPr="00E32653">
        <w:rPr>
          <w:rFonts w:asciiTheme="majorBidi" w:hAnsiTheme="majorBidi" w:cstheme="majorBidi"/>
          <w:shd w:val="clear" w:color="auto" w:fill="FFFFFF"/>
        </w:rPr>
        <w:t>-life</w:t>
      </w:r>
      <w:r w:rsidR="000D31EA" w:rsidRPr="00E32653">
        <w:rPr>
          <w:rFonts w:asciiTheme="majorBidi" w:hAnsiTheme="majorBidi" w:cstheme="majorBidi"/>
          <w:shd w:val="clear" w:color="auto" w:fill="FFFFFF"/>
        </w:rPr>
        <w:t xml:space="preserve"> scenario, the prefabricated method was used for the</w:t>
      </w:r>
      <w:r w:rsidR="00C16DCA" w:rsidRPr="00E32653">
        <w:rPr>
          <w:rFonts w:asciiTheme="majorBidi" w:hAnsiTheme="majorBidi" w:cstheme="majorBidi"/>
          <w:shd w:val="clear" w:color="auto" w:fill="FFFFFF"/>
        </w:rPr>
        <w:t xml:space="preserve"> construction of </w:t>
      </w:r>
      <w:r w:rsidR="00CD5EB9" w:rsidRPr="00E32653">
        <w:rPr>
          <w:rFonts w:asciiTheme="majorBidi" w:hAnsiTheme="majorBidi" w:cstheme="majorBidi"/>
          <w:shd w:val="clear" w:color="auto" w:fill="FFFFFF"/>
        </w:rPr>
        <w:t xml:space="preserve">the </w:t>
      </w:r>
      <w:r w:rsidR="00CF4AA1" w:rsidRPr="00E32653">
        <w:rPr>
          <w:rFonts w:asciiTheme="majorBidi" w:hAnsiTheme="majorBidi" w:cstheme="majorBidi"/>
          <w:shd w:val="clear" w:color="auto" w:fill="FFFFFF"/>
        </w:rPr>
        <w:t>LVL</w:t>
      </w:r>
      <w:r w:rsidR="00CD5EB9" w:rsidRPr="00E32653">
        <w:rPr>
          <w:rFonts w:asciiTheme="majorBidi" w:hAnsiTheme="majorBidi" w:cstheme="majorBidi"/>
          <w:shd w:val="clear" w:color="auto" w:fill="FFFFFF"/>
        </w:rPr>
        <w:t>.</w:t>
      </w:r>
      <w:r w:rsidR="00F712D9" w:rsidRPr="00E32653">
        <w:rPr>
          <w:rFonts w:asciiTheme="majorBidi" w:hAnsiTheme="majorBidi" w:cstheme="majorBidi"/>
          <w:shd w:val="clear" w:color="auto" w:fill="FFFFFF"/>
        </w:rPr>
        <w:t xml:space="preserve"> I</w:t>
      </w:r>
      <w:r w:rsidR="00C16DCA" w:rsidRPr="00E32653">
        <w:rPr>
          <w:rFonts w:asciiTheme="majorBidi" w:hAnsiTheme="majorBidi" w:cstheme="majorBidi"/>
          <w:shd w:val="clear" w:color="auto" w:fill="FFFFFF"/>
        </w:rPr>
        <w:t>n the n</w:t>
      </w:r>
      <w:r w:rsidR="00F712D9" w:rsidRPr="00E32653">
        <w:rPr>
          <w:rFonts w:asciiTheme="majorBidi" w:hAnsiTheme="majorBidi" w:cstheme="majorBidi"/>
          <w:shd w:val="clear" w:color="auto" w:fill="FFFFFF"/>
        </w:rPr>
        <w:t xml:space="preserve">ext stage, LVL materials </w:t>
      </w:r>
      <w:r w:rsidR="001B339B" w:rsidRPr="00E32653">
        <w:rPr>
          <w:rFonts w:asciiTheme="majorBidi" w:hAnsiTheme="majorBidi" w:cstheme="majorBidi"/>
          <w:shd w:val="clear" w:color="auto" w:fill="FFFFFF"/>
        </w:rPr>
        <w:t xml:space="preserve">are </w:t>
      </w:r>
      <w:r w:rsidR="00F712D9" w:rsidRPr="00E32653">
        <w:rPr>
          <w:rFonts w:asciiTheme="majorBidi" w:hAnsiTheme="majorBidi" w:cstheme="majorBidi"/>
          <w:shd w:val="clear" w:color="auto" w:fill="FFFFFF"/>
        </w:rPr>
        <w:t>sen</w:t>
      </w:r>
      <w:r w:rsidR="001B339B" w:rsidRPr="00E32653">
        <w:rPr>
          <w:rFonts w:asciiTheme="majorBidi" w:hAnsiTheme="majorBidi" w:cstheme="majorBidi"/>
          <w:shd w:val="clear" w:color="auto" w:fill="FFFFFF"/>
        </w:rPr>
        <w:t>t</w:t>
      </w:r>
      <w:r w:rsidR="00C16DCA" w:rsidRPr="00E32653">
        <w:rPr>
          <w:rFonts w:asciiTheme="majorBidi" w:hAnsiTheme="majorBidi" w:cstheme="majorBidi"/>
          <w:shd w:val="clear" w:color="auto" w:fill="FFFFFF"/>
        </w:rPr>
        <w:t xml:space="preserve"> to </w:t>
      </w:r>
      <w:r w:rsidR="001B339B" w:rsidRPr="00E32653">
        <w:rPr>
          <w:rFonts w:asciiTheme="majorBidi" w:hAnsiTheme="majorBidi" w:cstheme="majorBidi"/>
          <w:shd w:val="clear" w:color="auto" w:fill="FFFFFF"/>
        </w:rPr>
        <w:t xml:space="preserve">the </w:t>
      </w:r>
      <w:r w:rsidR="00C16DCA" w:rsidRPr="00E32653">
        <w:rPr>
          <w:rFonts w:asciiTheme="majorBidi" w:hAnsiTheme="majorBidi" w:cstheme="majorBidi"/>
          <w:shd w:val="clear" w:color="auto" w:fill="FFFFFF"/>
        </w:rPr>
        <w:t xml:space="preserve">factory </w:t>
      </w:r>
      <w:r w:rsidR="001B339B" w:rsidRPr="00E32653">
        <w:rPr>
          <w:rFonts w:asciiTheme="majorBidi" w:hAnsiTheme="majorBidi" w:cstheme="majorBidi"/>
          <w:shd w:val="clear" w:color="auto" w:fill="FFFFFF"/>
        </w:rPr>
        <w:t xml:space="preserve">to </w:t>
      </w:r>
      <w:r w:rsidR="00C16DCA" w:rsidRPr="00E32653">
        <w:rPr>
          <w:rFonts w:asciiTheme="majorBidi" w:hAnsiTheme="majorBidi" w:cstheme="majorBidi"/>
          <w:shd w:val="clear" w:color="auto" w:fill="FFFFFF"/>
        </w:rPr>
        <w:t>creat</w:t>
      </w:r>
      <w:r w:rsidR="001B339B" w:rsidRPr="00E32653">
        <w:rPr>
          <w:rFonts w:asciiTheme="majorBidi" w:hAnsiTheme="majorBidi" w:cstheme="majorBidi"/>
          <w:shd w:val="clear" w:color="auto" w:fill="FFFFFF"/>
        </w:rPr>
        <w:t>e</w:t>
      </w:r>
      <w:r w:rsidR="00C16DCA" w:rsidRPr="00E32653">
        <w:rPr>
          <w:rFonts w:asciiTheme="majorBidi" w:hAnsiTheme="majorBidi" w:cstheme="majorBidi"/>
          <w:shd w:val="clear" w:color="auto" w:fill="FFFFFF"/>
        </w:rPr>
        <w:t xml:space="preserve"> prefabricated wall</w:t>
      </w:r>
      <w:r w:rsidR="001B339B" w:rsidRPr="00E32653">
        <w:rPr>
          <w:rFonts w:asciiTheme="majorBidi" w:hAnsiTheme="majorBidi" w:cstheme="majorBidi"/>
          <w:shd w:val="clear" w:color="auto" w:fill="FFFFFF"/>
        </w:rPr>
        <w:t>s</w:t>
      </w:r>
      <w:r w:rsidR="00C16DCA" w:rsidRPr="00E32653">
        <w:rPr>
          <w:rFonts w:asciiTheme="majorBidi" w:hAnsiTheme="majorBidi" w:cstheme="majorBidi"/>
          <w:shd w:val="clear" w:color="auto" w:fill="FFFFFF"/>
        </w:rPr>
        <w:t>, column</w:t>
      </w:r>
      <w:r w:rsidR="001B339B" w:rsidRPr="00E32653">
        <w:rPr>
          <w:rFonts w:asciiTheme="majorBidi" w:hAnsiTheme="majorBidi" w:cstheme="majorBidi"/>
          <w:shd w:val="clear" w:color="auto" w:fill="FFFFFF"/>
        </w:rPr>
        <w:t>s</w:t>
      </w:r>
      <w:r w:rsidR="00C16DCA" w:rsidRPr="00E32653">
        <w:rPr>
          <w:rFonts w:asciiTheme="majorBidi" w:hAnsiTheme="majorBidi" w:cstheme="majorBidi"/>
          <w:shd w:val="clear" w:color="auto" w:fill="FFFFFF"/>
        </w:rPr>
        <w:t xml:space="preserve"> and beam</w:t>
      </w:r>
      <w:r w:rsidR="001B339B" w:rsidRPr="00E32653">
        <w:rPr>
          <w:rFonts w:asciiTheme="majorBidi" w:hAnsiTheme="majorBidi" w:cstheme="majorBidi"/>
          <w:shd w:val="clear" w:color="auto" w:fill="FFFFFF"/>
        </w:rPr>
        <w:t>s</w:t>
      </w:r>
      <w:r w:rsidR="00C16DCA" w:rsidRPr="00E32653">
        <w:rPr>
          <w:rFonts w:asciiTheme="majorBidi" w:hAnsiTheme="majorBidi" w:cstheme="majorBidi"/>
          <w:shd w:val="clear" w:color="auto" w:fill="FFFFFF"/>
        </w:rPr>
        <w:t xml:space="preserve">. </w:t>
      </w:r>
      <w:r w:rsidR="00041FA6" w:rsidRPr="00E32653">
        <w:rPr>
          <w:rFonts w:asciiTheme="majorBidi" w:hAnsiTheme="majorBidi" w:cstheme="majorBidi"/>
          <w:shd w:val="clear" w:color="auto" w:fill="FFFFFF"/>
        </w:rPr>
        <w:t>Then,</w:t>
      </w:r>
      <w:r w:rsidR="007B4043" w:rsidRPr="00E32653">
        <w:rPr>
          <w:rFonts w:asciiTheme="majorBidi" w:hAnsiTheme="majorBidi" w:cstheme="majorBidi"/>
          <w:shd w:val="clear" w:color="auto" w:fill="FFFFFF"/>
        </w:rPr>
        <w:t xml:space="preserve"> th</w:t>
      </w:r>
      <w:r w:rsidR="00F712D9" w:rsidRPr="00E32653">
        <w:rPr>
          <w:rFonts w:asciiTheme="majorBidi" w:hAnsiTheme="majorBidi" w:cstheme="majorBidi"/>
          <w:shd w:val="clear" w:color="auto" w:fill="FFFFFF"/>
        </w:rPr>
        <w:t xml:space="preserve">e prefabricated material </w:t>
      </w:r>
      <w:r w:rsidR="001B339B" w:rsidRPr="00E32653">
        <w:rPr>
          <w:rFonts w:asciiTheme="majorBidi" w:hAnsiTheme="majorBidi" w:cstheme="majorBidi"/>
          <w:shd w:val="clear" w:color="auto" w:fill="FFFFFF"/>
        </w:rPr>
        <w:t xml:space="preserve">is sent </w:t>
      </w:r>
      <w:r w:rsidR="007B4043" w:rsidRPr="00E32653">
        <w:rPr>
          <w:rFonts w:asciiTheme="majorBidi" w:hAnsiTheme="majorBidi" w:cstheme="majorBidi"/>
          <w:shd w:val="clear" w:color="auto" w:fill="FFFFFF"/>
        </w:rPr>
        <w:t xml:space="preserve">to site and </w:t>
      </w:r>
      <w:r w:rsidR="001B339B" w:rsidRPr="00E32653">
        <w:rPr>
          <w:rFonts w:asciiTheme="majorBidi" w:hAnsiTheme="majorBidi" w:cstheme="majorBidi"/>
          <w:shd w:val="clear" w:color="auto" w:fill="FFFFFF"/>
        </w:rPr>
        <w:t>assembled</w:t>
      </w:r>
      <w:r w:rsidR="007B4043" w:rsidRPr="00E32653">
        <w:rPr>
          <w:rFonts w:asciiTheme="majorBidi" w:hAnsiTheme="majorBidi" w:cstheme="majorBidi"/>
          <w:shd w:val="clear" w:color="auto" w:fill="FFFFFF"/>
        </w:rPr>
        <w:t xml:space="preserve"> using </w:t>
      </w:r>
      <w:r w:rsidR="001B339B" w:rsidRPr="00E32653">
        <w:rPr>
          <w:rFonts w:asciiTheme="majorBidi" w:hAnsiTheme="majorBidi" w:cstheme="majorBidi"/>
          <w:shd w:val="clear" w:color="auto" w:fill="FFFFFF"/>
        </w:rPr>
        <w:t xml:space="preserve">a </w:t>
      </w:r>
      <w:r w:rsidR="007B4043" w:rsidRPr="00E32653">
        <w:rPr>
          <w:rFonts w:asciiTheme="majorBidi" w:hAnsiTheme="majorBidi" w:cstheme="majorBidi"/>
          <w:shd w:val="clear" w:color="auto" w:fill="FFFFFF"/>
        </w:rPr>
        <w:t xml:space="preserve">crane. </w:t>
      </w:r>
      <w:r w:rsidR="00F712D9" w:rsidRPr="00E32653">
        <w:rPr>
          <w:rFonts w:asciiTheme="majorBidi" w:hAnsiTheme="majorBidi" w:cstheme="majorBidi"/>
        </w:rPr>
        <w:t xml:space="preserve">Two different types of LVL are assumed including </w:t>
      </w:r>
      <w:r w:rsidR="007B4043" w:rsidRPr="00E32653">
        <w:rPr>
          <w:rFonts w:asciiTheme="majorBidi" w:hAnsiTheme="majorBidi" w:cstheme="majorBidi"/>
        </w:rPr>
        <w:t>LVL-h for mature hardwood and LVL-s for mature softwood.</w:t>
      </w:r>
    </w:p>
    <w:p w14:paraId="1947AB73" w14:textId="77777777" w:rsidR="003A1145" w:rsidRPr="00E32653" w:rsidRDefault="00CD2BE4" w:rsidP="00CD2BE4">
      <w:pPr>
        <w:spacing w:after="0"/>
        <w:ind w:firstLine="720"/>
        <w:jc w:val="center"/>
        <w:rPr>
          <w:rFonts w:asciiTheme="majorBidi" w:hAnsiTheme="majorBidi" w:cstheme="majorBidi"/>
          <w:sz w:val="20"/>
          <w:szCs w:val="20"/>
          <w:shd w:val="clear" w:color="auto" w:fill="FFFFFF"/>
        </w:rPr>
      </w:pPr>
      <w:r w:rsidRPr="00E32653">
        <w:rPr>
          <w:rFonts w:asciiTheme="majorBidi" w:hAnsiTheme="majorBidi" w:cstheme="majorBidi"/>
          <w:noProof/>
          <w:sz w:val="20"/>
          <w:szCs w:val="20"/>
          <w:shd w:val="clear" w:color="auto" w:fill="FFFFFF"/>
        </w:rPr>
        <w:drawing>
          <wp:inline distT="0" distB="0" distL="0" distR="0" wp14:anchorId="6EF956EA" wp14:editId="1F51B79D">
            <wp:extent cx="5444976" cy="2514600"/>
            <wp:effectExtent l="0" t="0" r="3810" b="0"/>
            <wp:docPr id="25" name="Picture 25" descr="C:\Users\Ali\Desktop\Screenshot 2020-12-22 162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Desktop\Screenshot 2020-12-22 16264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3945" cy="2523360"/>
                    </a:xfrm>
                    <a:prstGeom prst="rect">
                      <a:avLst/>
                    </a:prstGeom>
                    <a:noFill/>
                    <a:ln>
                      <a:noFill/>
                    </a:ln>
                  </pic:spPr>
                </pic:pic>
              </a:graphicData>
            </a:graphic>
          </wp:inline>
        </w:drawing>
      </w:r>
    </w:p>
    <w:p w14:paraId="6D891F42" w14:textId="4D9CD690" w:rsidR="00970C6E" w:rsidRPr="00E32653" w:rsidRDefault="0019214A" w:rsidP="00041FA6">
      <w:pPr>
        <w:jc w:val="center"/>
        <w:rPr>
          <w:rFonts w:asciiTheme="majorBidi" w:hAnsiTheme="majorBidi" w:cstheme="majorBidi"/>
          <w:sz w:val="18"/>
          <w:szCs w:val="18"/>
          <w:shd w:val="clear" w:color="auto" w:fill="FFFFFF"/>
        </w:rPr>
      </w:pPr>
      <w:r w:rsidRPr="00E32653">
        <w:rPr>
          <w:rFonts w:asciiTheme="majorBidi" w:hAnsiTheme="majorBidi" w:cstheme="majorBidi"/>
          <w:sz w:val="18"/>
          <w:szCs w:val="18"/>
        </w:rPr>
        <w:t xml:space="preserve">Fig. 5. </w:t>
      </w:r>
      <w:r w:rsidR="00CC4ADD" w:rsidRPr="00E32653">
        <w:rPr>
          <w:rFonts w:asciiTheme="majorBidi" w:hAnsiTheme="majorBidi" w:cstheme="majorBidi"/>
          <w:sz w:val="18"/>
          <w:szCs w:val="18"/>
        </w:rPr>
        <w:t xml:space="preserve">The </w:t>
      </w:r>
      <w:r w:rsidR="00041FA6" w:rsidRPr="00E32653">
        <w:rPr>
          <w:rFonts w:asciiTheme="majorBidi" w:hAnsiTheme="majorBidi" w:cstheme="majorBidi"/>
          <w:sz w:val="18"/>
          <w:szCs w:val="18"/>
        </w:rPr>
        <w:t>construction process</w:t>
      </w:r>
      <w:r w:rsidR="00CC4ADD" w:rsidRPr="00E32653">
        <w:rPr>
          <w:rFonts w:asciiTheme="majorBidi" w:hAnsiTheme="majorBidi" w:cstheme="majorBidi"/>
          <w:sz w:val="18"/>
          <w:szCs w:val="18"/>
        </w:rPr>
        <w:t xml:space="preserve"> with </w:t>
      </w:r>
      <w:r w:rsidR="00CC4ADD" w:rsidRPr="00E32653">
        <w:rPr>
          <w:rFonts w:asciiTheme="majorBidi" w:hAnsiTheme="majorBidi" w:cstheme="majorBidi"/>
          <w:sz w:val="18"/>
          <w:szCs w:val="18"/>
          <w:shd w:val="clear" w:color="auto" w:fill="FFFFFF"/>
        </w:rPr>
        <w:t>LVL</w:t>
      </w:r>
    </w:p>
    <w:p w14:paraId="35E5A02A" w14:textId="1D8FC3E3" w:rsidR="002C10A6" w:rsidRPr="00E32653" w:rsidRDefault="000018C2" w:rsidP="0052317F">
      <w:pPr>
        <w:pStyle w:val="ListParagraph"/>
        <w:numPr>
          <w:ilvl w:val="1"/>
          <w:numId w:val="1"/>
        </w:numPr>
        <w:spacing w:line="276" w:lineRule="auto"/>
        <w:rPr>
          <w:rFonts w:asciiTheme="majorBidi" w:hAnsiTheme="majorBidi" w:cstheme="majorBidi"/>
          <w:b/>
          <w:bCs/>
          <w:i/>
          <w:iCs/>
          <w:sz w:val="24"/>
          <w:szCs w:val="24"/>
        </w:rPr>
      </w:pPr>
      <w:r w:rsidRPr="00E32653">
        <w:rPr>
          <w:rFonts w:asciiTheme="majorBidi" w:hAnsiTheme="majorBidi" w:cstheme="majorBidi"/>
          <w:b/>
          <w:bCs/>
          <w:i/>
          <w:iCs/>
          <w:sz w:val="24"/>
          <w:szCs w:val="24"/>
        </w:rPr>
        <w:lastRenderedPageBreak/>
        <w:t xml:space="preserve">Life cycle </w:t>
      </w:r>
      <w:r w:rsidR="0052317F" w:rsidRPr="00E32653">
        <w:rPr>
          <w:rFonts w:asciiTheme="majorBidi" w:hAnsiTheme="majorBidi" w:cstheme="majorBidi"/>
          <w:b/>
          <w:bCs/>
          <w:i/>
          <w:iCs/>
          <w:sz w:val="24"/>
          <w:szCs w:val="24"/>
        </w:rPr>
        <w:t>assessment</w:t>
      </w:r>
    </w:p>
    <w:p w14:paraId="017A7B6C" w14:textId="0DEDCD7A" w:rsidR="002940D8" w:rsidRPr="00E32653" w:rsidRDefault="0019214A" w:rsidP="00051645">
      <w:pPr>
        <w:spacing w:line="276" w:lineRule="auto"/>
        <w:ind w:firstLine="720"/>
        <w:jc w:val="both"/>
        <w:rPr>
          <w:rFonts w:asciiTheme="majorBidi" w:hAnsiTheme="majorBidi" w:cstheme="majorBidi"/>
        </w:rPr>
      </w:pPr>
      <w:r w:rsidRPr="00E32653">
        <w:rPr>
          <w:rFonts w:asciiTheme="majorBidi" w:hAnsiTheme="majorBidi" w:cstheme="majorBidi"/>
        </w:rPr>
        <w:t xml:space="preserve">The LCA </w:t>
      </w:r>
      <w:r w:rsidR="0052317F" w:rsidRPr="00E32653">
        <w:rPr>
          <w:rFonts w:asciiTheme="majorBidi" w:hAnsiTheme="majorBidi" w:cstheme="majorBidi"/>
        </w:rPr>
        <w:t>outcomes</w:t>
      </w:r>
      <w:r w:rsidRPr="00E32653">
        <w:rPr>
          <w:rFonts w:asciiTheme="majorBidi" w:hAnsiTheme="majorBidi" w:cstheme="majorBidi"/>
        </w:rPr>
        <w:t xml:space="preserve"> </w:t>
      </w:r>
      <w:r w:rsidR="00041FA6" w:rsidRPr="00E32653">
        <w:rPr>
          <w:rFonts w:asciiTheme="majorBidi" w:hAnsiTheme="majorBidi" w:cstheme="majorBidi"/>
        </w:rPr>
        <w:t>are</w:t>
      </w:r>
      <w:r w:rsidR="003B5EF7" w:rsidRPr="00E32653">
        <w:rPr>
          <w:rFonts w:asciiTheme="majorBidi" w:hAnsiTheme="majorBidi" w:cstheme="majorBidi"/>
        </w:rPr>
        <w:t xml:space="preserve"> </w:t>
      </w:r>
      <w:r w:rsidR="00321F77" w:rsidRPr="00E32653">
        <w:rPr>
          <w:rFonts w:asciiTheme="majorBidi" w:hAnsiTheme="majorBidi" w:cstheme="majorBidi"/>
        </w:rPr>
        <w:t xml:space="preserve">shown </w:t>
      </w:r>
      <w:r w:rsidR="003B5EF7" w:rsidRPr="00E32653">
        <w:rPr>
          <w:rFonts w:asciiTheme="majorBidi" w:hAnsiTheme="majorBidi" w:cstheme="majorBidi"/>
        </w:rPr>
        <w:t>in Fig</w:t>
      </w:r>
      <w:r w:rsidR="00041FA6" w:rsidRPr="00E32653">
        <w:rPr>
          <w:rFonts w:asciiTheme="majorBidi" w:hAnsiTheme="majorBidi" w:cstheme="majorBidi"/>
        </w:rPr>
        <w:t xml:space="preserve">ures 6 and </w:t>
      </w:r>
      <w:r w:rsidR="003B5EF7" w:rsidRPr="00E32653">
        <w:rPr>
          <w:rFonts w:asciiTheme="majorBidi" w:hAnsiTheme="majorBidi" w:cstheme="majorBidi"/>
        </w:rPr>
        <w:t>7</w:t>
      </w:r>
      <w:r w:rsidR="003A468B" w:rsidRPr="00E32653">
        <w:rPr>
          <w:rFonts w:asciiTheme="majorBidi" w:hAnsiTheme="majorBidi" w:cstheme="majorBidi"/>
        </w:rPr>
        <w:t>.</w:t>
      </w:r>
      <w:r w:rsidR="00965EA3" w:rsidRPr="00E32653">
        <w:rPr>
          <w:rFonts w:asciiTheme="majorBidi" w:hAnsiTheme="majorBidi" w:cstheme="majorBidi"/>
        </w:rPr>
        <w:t xml:space="preserve"> </w:t>
      </w:r>
      <w:r w:rsidR="002B1CE8" w:rsidRPr="00E32653">
        <w:rPr>
          <w:rFonts w:asciiTheme="majorBidi" w:hAnsiTheme="majorBidi" w:cstheme="majorBidi"/>
        </w:rPr>
        <w:t xml:space="preserve">GLT-h has </w:t>
      </w:r>
      <w:r w:rsidR="00321F77" w:rsidRPr="00E32653">
        <w:rPr>
          <w:rFonts w:asciiTheme="majorBidi" w:hAnsiTheme="majorBidi" w:cstheme="majorBidi"/>
        </w:rPr>
        <w:t xml:space="preserve">the </w:t>
      </w:r>
      <w:r w:rsidR="002B1CE8" w:rsidRPr="00E32653">
        <w:rPr>
          <w:rFonts w:asciiTheme="majorBidi" w:hAnsiTheme="majorBidi" w:cstheme="majorBidi"/>
        </w:rPr>
        <w:t>highest environment</w:t>
      </w:r>
      <w:r w:rsidR="00E97B7B" w:rsidRPr="00E32653">
        <w:rPr>
          <w:rFonts w:asciiTheme="majorBidi" w:hAnsiTheme="majorBidi" w:cstheme="majorBidi"/>
        </w:rPr>
        <w:t>al</w:t>
      </w:r>
      <w:r w:rsidR="002B1CE8" w:rsidRPr="00E32653">
        <w:rPr>
          <w:rFonts w:asciiTheme="majorBidi" w:hAnsiTheme="majorBidi" w:cstheme="majorBidi"/>
        </w:rPr>
        <w:t xml:space="preserve"> burden in </w:t>
      </w:r>
      <w:r w:rsidR="00321F77" w:rsidRPr="00E32653">
        <w:rPr>
          <w:rFonts w:asciiTheme="majorBidi" w:hAnsiTheme="majorBidi" w:cstheme="majorBidi"/>
        </w:rPr>
        <w:t xml:space="preserve">the </w:t>
      </w:r>
      <w:r w:rsidR="002B1CE8" w:rsidRPr="00E32653">
        <w:rPr>
          <w:rFonts w:asciiTheme="majorBidi" w:hAnsiTheme="majorBidi" w:cstheme="majorBidi"/>
        </w:rPr>
        <w:t>GWP, OLD</w:t>
      </w:r>
      <w:r w:rsidR="00A31B63" w:rsidRPr="00E32653">
        <w:rPr>
          <w:rFonts w:asciiTheme="majorBidi" w:hAnsiTheme="majorBidi" w:cstheme="majorBidi"/>
        </w:rPr>
        <w:t>,</w:t>
      </w:r>
      <w:r w:rsidR="002B1CE8" w:rsidRPr="00E32653">
        <w:rPr>
          <w:rFonts w:asciiTheme="majorBidi" w:hAnsiTheme="majorBidi" w:cstheme="majorBidi"/>
        </w:rPr>
        <w:t xml:space="preserve"> and </w:t>
      </w:r>
      <w:r w:rsidR="00A31B63" w:rsidRPr="00E32653">
        <w:rPr>
          <w:rFonts w:asciiTheme="majorBidi" w:hAnsiTheme="majorBidi" w:cstheme="majorBidi"/>
        </w:rPr>
        <w:t xml:space="preserve">LU </w:t>
      </w:r>
      <w:r w:rsidR="002B1CE8" w:rsidRPr="00E32653">
        <w:rPr>
          <w:rFonts w:asciiTheme="majorBidi" w:hAnsiTheme="majorBidi" w:cstheme="majorBidi"/>
        </w:rPr>
        <w:t xml:space="preserve">categories. </w:t>
      </w:r>
      <w:r w:rsidR="008E7D5C" w:rsidRPr="00E32653">
        <w:rPr>
          <w:rFonts w:asciiTheme="majorBidi" w:hAnsiTheme="majorBidi" w:cstheme="majorBidi"/>
        </w:rPr>
        <w:t xml:space="preserve">GLT-s </w:t>
      </w:r>
      <w:r w:rsidR="00E97B7B" w:rsidRPr="00E32653">
        <w:rPr>
          <w:rFonts w:asciiTheme="majorBidi" w:hAnsiTheme="majorBidi" w:cstheme="majorBidi"/>
        </w:rPr>
        <w:t>has the</w:t>
      </w:r>
      <w:r w:rsidR="008E7D5C" w:rsidRPr="00E32653">
        <w:rPr>
          <w:rFonts w:asciiTheme="majorBidi" w:hAnsiTheme="majorBidi" w:cstheme="majorBidi"/>
        </w:rPr>
        <w:t xml:space="preserve"> second highest burden in </w:t>
      </w:r>
      <w:r w:rsidR="00E97B7B" w:rsidRPr="00E32653">
        <w:rPr>
          <w:rFonts w:asciiTheme="majorBidi" w:hAnsiTheme="majorBidi" w:cstheme="majorBidi"/>
        </w:rPr>
        <w:t xml:space="preserve">the </w:t>
      </w:r>
      <w:r w:rsidR="008E7D5C" w:rsidRPr="00E32653">
        <w:rPr>
          <w:rFonts w:asciiTheme="majorBidi" w:hAnsiTheme="majorBidi" w:cstheme="majorBidi"/>
        </w:rPr>
        <w:t>GWP, OLD</w:t>
      </w:r>
      <w:r w:rsidR="00A31B63" w:rsidRPr="00E32653">
        <w:rPr>
          <w:rFonts w:asciiTheme="majorBidi" w:hAnsiTheme="majorBidi" w:cstheme="majorBidi"/>
        </w:rPr>
        <w:t>,</w:t>
      </w:r>
      <w:r w:rsidR="008E7D5C" w:rsidRPr="00E32653">
        <w:rPr>
          <w:rFonts w:asciiTheme="majorBidi" w:hAnsiTheme="majorBidi" w:cstheme="majorBidi"/>
        </w:rPr>
        <w:t xml:space="preserve"> and </w:t>
      </w:r>
      <w:r w:rsidR="00A31B63" w:rsidRPr="00E32653">
        <w:rPr>
          <w:rFonts w:asciiTheme="majorBidi" w:hAnsiTheme="majorBidi" w:cstheme="majorBidi"/>
        </w:rPr>
        <w:t>LU</w:t>
      </w:r>
      <w:r w:rsidR="008E7D5C" w:rsidRPr="00E32653">
        <w:rPr>
          <w:rFonts w:asciiTheme="majorBidi" w:hAnsiTheme="majorBidi" w:cstheme="majorBidi"/>
        </w:rPr>
        <w:t xml:space="preserve"> </w:t>
      </w:r>
      <w:r w:rsidR="00A31B63" w:rsidRPr="00E32653">
        <w:rPr>
          <w:rFonts w:asciiTheme="majorBidi" w:hAnsiTheme="majorBidi" w:cstheme="majorBidi"/>
        </w:rPr>
        <w:t xml:space="preserve">environmental categories mainly </w:t>
      </w:r>
      <w:r w:rsidR="008E7D5C" w:rsidRPr="00E32653">
        <w:rPr>
          <w:rFonts w:asciiTheme="majorBidi" w:hAnsiTheme="majorBidi" w:cstheme="majorBidi"/>
        </w:rPr>
        <w:t xml:space="preserve">due to </w:t>
      </w:r>
      <w:r w:rsidR="00A31B63" w:rsidRPr="00E32653">
        <w:rPr>
          <w:rFonts w:asciiTheme="majorBidi" w:hAnsiTheme="majorBidi" w:cstheme="majorBidi"/>
        </w:rPr>
        <w:t xml:space="preserve">existing </w:t>
      </w:r>
      <w:r w:rsidR="008E7D5C" w:rsidRPr="00E32653">
        <w:rPr>
          <w:rFonts w:asciiTheme="majorBidi" w:hAnsiTheme="majorBidi" w:cstheme="majorBidi"/>
        </w:rPr>
        <w:t xml:space="preserve">softwood </w:t>
      </w:r>
      <w:r w:rsidR="00321F77" w:rsidRPr="00E32653">
        <w:rPr>
          <w:rFonts w:asciiTheme="majorBidi" w:hAnsiTheme="majorBidi" w:cstheme="majorBidi"/>
        </w:rPr>
        <w:t xml:space="preserve">being used </w:t>
      </w:r>
      <w:r w:rsidR="00A31B63" w:rsidRPr="00E32653">
        <w:rPr>
          <w:rFonts w:asciiTheme="majorBidi" w:hAnsiTheme="majorBidi" w:cstheme="majorBidi"/>
        </w:rPr>
        <w:t xml:space="preserve">in its </w:t>
      </w:r>
      <w:r w:rsidR="00EE5317" w:rsidRPr="00E32653">
        <w:rPr>
          <w:rFonts w:asciiTheme="majorBidi" w:hAnsiTheme="majorBidi" w:cstheme="majorBidi"/>
        </w:rPr>
        <w:t>manufactur</w:t>
      </w:r>
      <w:r w:rsidR="00321F77" w:rsidRPr="00E32653">
        <w:rPr>
          <w:rFonts w:asciiTheme="majorBidi" w:hAnsiTheme="majorBidi" w:cstheme="majorBidi"/>
        </w:rPr>
        <w:t>e</w:t>
      </w:r>
      <w:r w:rsidR="008E7D5C" w:rsidRPr="00E32653">
        <w:rPr>
          <w:rFonts w:asciiTheme="majorBidi" w:hAnsiTheme="majorBidi" w:cstheme="majorBidi"/>
        </w:rPr>
        <w:t xml:space="preserve">. </w:t>
      </w:r>
      <w:r w:rsidR="001B339B" w:rsidRPr="00E32653">
        <w:rPr>
          <w:rFonts w:asciiTheme="majorBidi" w:hAnsiTheme="majorBidi" w:cstheme="majorBidi"/>
        </w:rPr>
        <w:t xml:space="preserve">This </w:t>
      </w:r>
      <w:r w:rsidR="00A31B63" w:rsidRPr="00E32653">
        <w:rPr>
          <w:rFonts w:asciiTheme="majorBidi" w:hAnsiTheme="majorBidi" w:cstheme="majorBidi"/>
        </w:rPr>
        <w:t xml:space="preserve">indicates </w:t>
      </w:r>
      <w:r w:rsidR="00C351A9" w:rsidRPr="00E32653">
        <w:rPr>
          <w:rFonts w:asciiTheme="majorBidi" w:hAnsiTheme="majorBidi" w:cstheme="majorBidi"/>
        </w:rPr>
        <w:t>th</w:t>
      </w:r>
      <w:r w:rsidR="000131AB" w:rsidRPr="00E32653">
        <w:rPr>
          <w:rFonts w:asciiTheme="majorBidi" w:hAnsiTheme="majorBidi" w:cstheme="majorBidi"/>
        </w:rPr>
        <w:t>at the materials</w:t>
      </w:r>
      <w:r w:rsidR="00C351A9" w:rsidRPr="00E32653">
        <w:rPr>
          <w:rFonts w:asciiTheme="majorBidi" w:hAnsiTheme="majorBidi" w:cstheme="majorBidi"/>
        </w:rPr>
        <w:t xml:space="preserve"> </w:t>
      </w:r>
      <w:r w:rsidR="004943EE" w:rsidRPr="00E32653">
        <w:rPr>
          <w:rFonts w:asciiTheme="majorBidi" w:hAnsiTheme="majorBidi" w:cstheme="majorBidi"/>
        </w:rPr>
        <w:t>manufactured</w:t>
      </w:r>
      <w:r w:rsidR="00C351A9" w:rsidRPr="00E32653">
        <w:rPr>
          <w:rFonts w:asciiTheme="majorBidi" w:hAnsiTheme="majorBidi" w:cstheme="majorBidi"/>
        </w:rPr>
        <w:t xml:space="preserve"> using </w:t>
      </w:r>
      <w:r w:rsidR="00397E90" w:rsidRPr="00E32653">
        <w:rPr>
          <w:rFonts w:asciiTheme="majorBidi" w:hAnsiTheme="majorBidi" w:cstheme="majorBidi"/>
        </w:rPr>
        <w:t>softwood ha</w:t>
      </w:r>
      <w:r w:rsidR="000131AB" w:rsidRPr="00E32653">
        <w:rPr>
          <w:rFonts w:asciiTheme="majorBidi" w:hAnsiTheme="majorBidi" w:cstheme="majorBidi"/>
        </w:rPr>
        <w:t>ve</w:t>
      </w:r>
      <w:r w:rsidR="00397E90" w:rsidRPr="00E32653">
        <w:rPr>
          <w:rFonts w:asciiTheme="majorBidi" w:hAnsiTheme="majorBidi" w:cstheme="majorBidi"/>
        </w:rPr>
        <w:t xml:space="preserve"> a lower environmental impact compare</w:t>
      </w:r>
      <w:r w:rsidR="00A31B63" w:rsidRPr="00E32653">
        <w:rPr>
          <w:rFonts w:asciiTheme="majorBidi" w:hAnsiTheme="majorBidi" w:cstheme="majorBidi"/>
        </w:rPr>
        <w:t>d</w:t>
      </w:r>
      <w:r w:rsidR="00397E90" w:rsidRPr="00E32653">
        <w:rPr>
          <w:rFonts w:asciiTheme="majorBidi" w:hAnsiTheme="majorBidi" w:cstheme="majorBidi"/>
        </w:rPr>
        <w:t xml:space="preserve"> to hardwood. </w:t>
      </w:r>
      <w:r w:rsidR="001B3C87" w:rsidRPr="00E32653">
        <w:rPr>
          <w:rFonts w:asciiTheme="majorBidi" w:hAnsiTheme="majorBidi" w:cstheme="majorBidi"/>
        </w:rPr>
        <w:t xml:space="preserve">Furthermore, </w:t>
      </w:r>
      <w:r w:rsidR="007456FC" w:rsidRPr="00E32653">
        <w:rPr>
          <w:rFonts w:asciiTheme="majorBidi" w:hAnsiTheme="majorBidi" w:cstheme="majorBidi"/>
        </w:rPr>
        <w:t xml:space="preserve">the </w:t>
      </w:r>
      <w:r w:rsidR="001B3C87" w:rsidRPr="00E32653">
        <w:rPr>
          <w:rFonts w:asciiTheme="majorBidi" w:hAnsiTheme="majorBidi" w:cstheme="majorBidi"/>
        </w:rPr>
        <w:t xml:space="preserve">LVL-h has </w:t>
      </w:r>
      <w:r w:rsidR="001B339B" w:rsidRPr="00E32653">
        <w:rPr>
          <w:rFonts w:asciiTheme="majorBidi" w:hAnsiTheme="majorBidi" w:cstheme="majorBidi"/>
        </w:rPr>
        <w:t xml:space="preserve">the </w:t>
      </w:r>
      <w:r w:rsidR="007B55F0" w:rsidRPr="00E32653">
        <w:rPr>
          <w:rFonts w:asciiTheme="majorBidi" w:hAnsiTheme="majorBidi" w:cstheme="majorBidi"/>
        </w:rPr>
        <w:t>highest</w:t>
      </w:r>
      <w:r w:rsidR="001B3C87" w:rsidRPr="00E32653">
        <w:rPr>
          <w:rFonts w:asciiTheme="majorBidi" w:hAnsiTheme="majorBidi" w:cstheme="majorBidi"/>
        </w:rPr>
        <w:t xml:space="preserve"> environmental emission</w:t>
      </w:r>
      <w:r w:rsidR="001B339B" w:rsidRPr="00E32653">
        <w:rPr>
          <w:rFonts w:asciiTheme="majorBidi" w:hAnsiTheme="majorBidi" w:cstheme="majorBidi"/>
        </w:rPr>
        <w:t>s</w:t>
      </w:r>
      <w:r w:rsidR="001B3C87" w:rsidRPr="00E32653">
        <w:rPr>
          <w:rFonts w:asciiTheme="majorBidi" w:hAnsiTheme="majorBidi" w:cstheme="majorBidi"/>
        </w:rPr>
        <w:t xml:space="preserve"> in HCT, FD</w:t>
      </w:r>
      <w:r w:rsidR="007456FC" w:rsidRPr="00E32653">
        <w:rPr>
          <w:rFonts w:asciiTheme="majorBidi" w:hAnsiTheme="majorBidi" w:cstheme="majorBidi"/>
        </w:rPr>
        <w:t>,</w:t>
      </w:r>
      <w:r w:rsidR="00D10038" w:rsidRPr="00E32653">
        <w:rPr>
          <w:rFonts w:asciiTheme="majorBidi" w:hAnsiTheme="majorBidi" w:cstheme="majorBidi"/>
        </w:rPr>
        <w:t xml:space="preserve"> and TA</w:t>
      </w:r>
      <w:r w:rsidR="00A31B63" w:rsidRPr="00E32653">
        <w:rPr>
          <w:rFonts w:asciiTheme="majorBidi" w:hAnsiTheme="majorBidi" w:cstheme="majorBidi"/>
        </w:rPr>
        <w:t>,</w:t>
      </w:r>
      <w:r w:rsidR="007B55F0" w:rsidRPr="00E32653">
        <w:rPr>
          <w:rFonts w:asciiTheme="majorBidi" w:hAnsiTheme="majorBidi" w:cstheme="majorBidi"/>
        </w:rPr>
        <w:t xml:space="preserve"> follow</w:t>
      </w:r>
      <w:r w:rsidR="00A31B63" w:rsidRPr="00E32653">
        <w:rPr>
          <w:rFonts w:asciiTheme="majorBidi" w:hAnsiTheme="majorBidi" w:cstheme="majorBidi"/>
        </w:rPr>
        <w:t>ed</w:t>
      </w:r>
      <w:r w:rsidR="007B55F0" w:rsidRPr="00E32653">
        <w:rPr>
          <w:rFonts w:asciiTheme="majorBidi" w:hAnsiTheme="majorBidi" w:cstheme="majorBidi"/>
        </w:rPr>
        <w:t xml:space="preserve"> by LVL-s. </w:t>
      </w:r>
      <w:r w:rsidR="007456FC" w:rsidRPr="00E32653">
        <w:rPr>
          <w:rFonts w:asciiTheme="majorBidi" w:hAnsiTheme="majorBidi" w:cstheme="majorBidi"/>
        </w:rPr>
        <w:t>So, it can be conclude</w:t>
      </w:r>
      <w:r w:rsidR="001B339B" w:rsidRPr="00E32653">
        <w:rPr>
          <w:rFonts w:asciiTheme="majorBidi" w:hAnsiTheme="majorBidi" w:cstheme="majorBidi"/>
        </w:rPr>
        <w:t>d</w:t>
      </w:r>
      <w:r w:rsidR="007456FC" w:rsidRPr="00E32653">
        <w:rPr>
          <w:rFonts w:asciiTheme="majorBidi" w:hAnsiTheme="majorBidi" w:cstheme="majorBidi"/>
        </w:rPr>
        <w:t xml:space="preserve"> that that </w:t>
      </w:r>
      <w:r w:rsidR="007B55F0" w:rsidRPr="00E32653">
        <w:rPr>
          <w:rFonts w:asciiTheme="majorBidi" w:hAnsiTheme="majorBidi" w:cstheme="majorBidi"/>
        </w:rPr>
        <w:t xml:space="preserve">softwood has a lower </w:t>
      </w:r>
      <w:r w:rsidR="005A7E9D" w:rsidRPr="00E32653">
        <w:rPr>
          <w:rFonts w:asciiTheme="majorBidi" w:hAnsiTheme="majorBidi" w:cstheme="majorBidi"/>
        </w:rPr>
        <w:t>environmental</w:t>
      </w:r>
      <w:r w:rsidR="007B55F0" w:rsidRPr="00E32653">
        <w:rPr>
          <w:rFonts w:asciiTheme="majorBidi" w:hAnsiTheme="majorBidi" w:cstheme="majorBidi"/>
        </w:rPr>
        <w:t xml:space="preserve"> </w:t>
      </w:r>
      <w:r w:rsidR="005A7E9D" w:rsidRPr="00E32653">
        <w:rPr>
          <w:rFonts w:asciiTheme="majorBidi" w:hAnsiTheme="majorBidi" w:cstheme="majorBidi"/>
        </w:rPr>
        <w:t>burden</w:t>
      </w:r>
      <w:r w:rsidR="007456FC" w:rsidRPr="00E32653">
        <w:rPr>
          <w:rFonts w:asciiTheme="majorBidi" w:hAnsiTheme="majorBidi" w:cstheme="majorBidi"/>
        </w:rPr>
        <w:t xml:space="preserve"> </w:t>
      </w:r>
      <w:r w:rsidR="001B339B" w:rsidRPr="00E32653">
        <w:rPr>
          <w:rFonts w:asciiTheme="majorBidi" w:hAnsiTheme="majorBidi" w:cstheme="majorBidi"/>
        </w:rPr>
        <w:t xml:space="preserve">than hardwood when used </w:t>
      </w:r>
      <w:r w:rsidR="007B55F0" w:rsidRPr="00E32653">
        <w:rPr>
          <w:rFonts w:asciiTheme="majorBidi" w:hAnsiTheme="majorBidi" w:cstheme="majorBidi"/>
        </w:rPr>
        <w:t xml:space="preserve">either </w:t>
      </w:r>
      <w:r w:rsidR="001B339B" w:rsidRPr="00E32653">
        <w:rPr>
          <w:rFonts w:asciiTheme="majorBidi" w:hAnsiTheme="majorBidi" w:cstheme="majorBidi"/>
        </w:rPr>
        <w:t>as</w:t>
      </w:r>
      <w:r w:rsidR="007B55F0" w:rsidRPr="00E32653">
        <w:rPr>
          <w:rFonts w:asciiTheme="majorBidi" w:hAnsiTheme="majorBidi" w:cstheme="majorBidi"/>
        </w:rPr>
        <w:t xml:space="preserve"> GLT or LVL. </w:t>
      </w:r>
      <w:r w:rsidR="00481836" w:rsidRPr="00E32653">
        <w:rPr>
          <w:rFonts w:asciiTheme="majorBidi" w:hAnsiTheme="majorBidi" w:cstheme="majorBidi"/>
        </w:rPr>
        <w:t>Between</w:t>
      </w:r>
      <w:r w:rsidR="007F3AA5" w:rsidRPr="00E32653">
        <w:rPr>
          <w:rFonts w:asciiTheme="majorBidi" w:hAnsiTheme="majorBidi" w:cstheme="majorBidi"/>
        </w:rPr>
        <w:t xml:space="preserve"> the</w:t>
      </w:r>
      <w:r w:rsidR="007C5B47" w:rsidRPr="00E32653">
        <w:rPr>
          <w:rFonts w:asciiTheme="majorBidi" w:hAnsiTheme="majorBidi" w:cstheme="majorBidi"/>
        </w:rPr>
        <w:t xml:space="preserve"> two</w:t>
      </w:r>
      <w:r w:rsidR="007456FC" w:rsidRPr="00E32653">
        <w:rPr>
          <w:rFonts w:asciiTheme="majorBidi" w:hAnsiTheme="majorBidi" w:cstheme="majorBidi"/>
        </w:rPr>
        <w:t xml:space="preserve"> LVL options, LVL-s i</w:t>
      </w:r>
      <w:r w:rsidR="007F3AA5" w:rsidRPr="00E32653">
        <w:rPr>
          <w:rFonts w:asciiTheme="majorBidi" w:hAnsiTheme="majorBidi" w:cstheme="majorBidi"/>
        </w:rPr>
        <w:t xml:space="preserve">s the option with the lowest environmental burden. </w:t>
      </w:r>
      <w:r w:rsidR="002940D8" w:rsidRPr="00E32653">
        <w:rPr>
          <w:rFonts w:asciiTheme="majorBidi" w:hAnsiTheme="majorBidi" w:cstheme="majorBidi"/>
        </w:rPr>
        <w:t>Mean</w:t>
      </w:r>
      <w:r w:rsidR="00E97B7B" w:rsidRPr="00E32653">
        <w:rPr>
          <w:rFonts w:asciiTheme="majorBidi" w:hAnsiTheme="majorBidi" w:cstheme="majorBidi"/>
        </w:rPr>
        <w:t>wh</w:t>
      </w:r>
      <w:r w:rsidR="002940D8" w:rsidRPr="00E32653">
        <w:rPr>
          <w:rFonts w:asciiTheme="majorBidi" w:hAnsiTheme="majorBidi" w:cstheme="majorBidi"/>
        </w:rPr>
        <w:t>i</w:t>
      </w:r>
      <w:r w:rsidR="00E97B7B" w:rsidRPr="00E32653">
        <w:rPr>
          <w:rFonts w:asciiTheme="majorBidi" w:hAnsiTheme="majorBidi" w:cstheme="majorBidi"/>
        </w:rPr>
        <w:t>l</w:t>
      </w:r>
      <w:r w:rsidR="002940D8" w:rsidRPr="00E32653">
        <w:rPr>
          <w:rFonts w:asciiTheme="majorBidi" w:hAnsiTheme="majorBidi" w:cstheme="majorBidi"/>
        </w:rPr>
        <w:t>e, GLT has</w:t>
      </w:r>
      <w:r w:rsidR="001B339B" w:rsidRPr="00E32653">
        <w:rPr>
          <w:rFonts w:asciiTheme="majorBidi" w:hAnsiTheme="majorBidi" w:cstheme="majorBidi"/>
        </w:rPr>
        <w:t xml:space="preserve"> a</w:t>
      </w:r>
      <w:r w:rsidR="002940D8" w:rsidRPr="00E32653">
        <w:rPr>
          <w:rFonts w:asciiTheme="majorBidi" w:hAnsiTheme="majorBidi" w:cstheme="majorBidi"/>
        </w:rPr>
        <w:t xml:space="preserve"> higher environment burden and emission</w:t>
      </w:r>
      <w:r w:rsidR="00E97B7B" w:rsidRPr="00E32653">
        <w:rPr>
          <w:rFonts w:asciiTheme="majorBidi" w:hAnsiTheme="majorBidi" w:cstheme="majorBidi"/>
        </w:rPr>
        <w:t>s</w:t>
      </w:r>
      <w:r w:rsidR="002940D8" w:rsidRPr="00E32653">
        <w:rPr>
          <w:rFonts w:asciiTheme="majorBidi" w:hAnsiTheme="majorBidi" w:cstheme="majorBidi"/>
        </w:rPr>
        <w:t xml:space="preserve"> than LVL </w:t>
      </w:r>
      <w:r w:rsidR="007456FC" w:rsidRPr="00E32653">
        <w:rPr>
          <w:rFonts w:asciiTheme="majorBidi" w:hAnsiTheme="majorBidi" w:cstheme="majorBidi"/>
        </w:rPr>
        <w:t>in</w:t>
      </w:r>
      <w:r w:rsidR="003C5C3A" w:rsidRPr="00E32653">
        <w:rPr>
          <w:rFonts w:asciiTheme="majorBidi" w:hAnsiTheme="majorBidi" w:cstheme="majorBidi"/>
        </w:rPr>
        <w:t xml:space="preserve"> the</w:t>
      </w:r>
      <w:r w:rsidR="007456FC" w:rsidRPr="00E32653">
        <w:rPr>
          <w:rFonts w:asciiTheme="majorBidi" w:hAnsiTheme="majorBidi" w:cstheme="majorBidi"/>
        </w:rPr>
        <w:t xml:space="preserve"> </w:t>
      </w:r>
      <w:r w:rsidR="002940D8" w:rsidRPr="00E32653">
        <w:rPr>
          <w:rFonts w:asciiTheme="majorBidi" w:hAnsiTheme="majorBidi" w:cstheme="majorBidi"/>
        </w:rPr>
        <w:t>GWP, O</w:t>
      </w:r>
      <w:r w:rsidR="00091E93" w:rsidRPr="00E32653">
        <w:rPr>
          <w:rFonts w:asciiTheme="majorBidi" w:hAnsiTheme="majorBidi" w:cstheme="majorBidi"/>
        </w:rPr>
        <w:t>L</w:t>
      </w:r>
      <w:r w:rsidR="002940D8" w:rsidRPr="00E32653">
        <w:rPr>
          <w:rFonts w:asciiTheme="majorBidi" w:hAnsiTheme="majorBidi" w:cstheme="majorBidi"/>
        </w:rPr>
        <w:t>D</w:t>
      </w:r>
      <w:r w:rsidR="007456FC" w:rsidRPr="00E32653">
        <w:rPr>
          <w:rFonts w:asciiTheme="majorBidi" w:hAnsiTheme="majorBidi" w:cstheme="majorBidi"/>
        </w:rPr>
        <w:t>,</w:t>
      </w:r>
      <w:r w:rsidR="002940D8" w:rsidRPr="00E32653">
        <w:rPr>
          <w:rFonts w:asciiTheme="majorBidi" w:hAnsiTheme="majorBidi" w:cstheme="majorBidi"/>
        </w:rPr>
        <w:t xml:space="preserve"> and LU</w:t>
      </w:r>
      <w:r w:rsidR="007456FC" w:rsidRPr="00E32653">
        <w:rPr>
          <w:rFonts w:asciiTheme="majorBidi" w:hAnsiTheme="majorBidi" w:cstheme="majorBidi"/>
        </w:rPr>
        <w:t xml:space="preserve"> categories</w:t>
      </w:r>
      <w:r w:rsidR="002940D8" w:rsidRPr="00E32653">
        <w:rPr>
          <w:rFonts w:asciiTheme="majorBidi" w:hAnsiTheme="majorBidi" w:cstheme="majorBidi"/>
        </w:rPr>
        <w:t xml:space="preserve">. The impact of GLT </w:t>
      </w:r>
      <w:r w:rsidR="007456FC" w:rsidRPr="00E32653">
        <w:rPr>
          <w:rFonts w:asciiTheme="majorBidi" w:hAnsiTheme="majorBidi" w:cstheme="majorBidi"/>
        </w:rPr>
        <w:t xml:space="preserve">is </w:t>
      </w:r>
      <w:r w:rsidR="002940D8" w:rsidRPr="00E32653">
        <w:rPr>
          <w:rFonts w:asciiTheme="majorBidi" w:hAnsiTheme="majorBidi" w:cstheme="majorBidi"/>
        </w:rPr>
        <w:t>nearly 29%, 38%</w:t>
      </w:r>
      <w:r w:rsidR="007456FC" w:rsidRPr="00E32653">
        <w:rPr>
          <w:rFonts w:asciiTheme="majorBidi" w:hAnsiTheme="majorBidi" w:cstheme="majorBidi"/>
        </w:rPr>
        <w:t>,</w:t>
      </w:r>
      <w:r w:rsidR="002940D8" w:rsidRPr="00E32653">
        <w:rPr>
          <w:rFonts w:asciiTheme="majorBidi" w:hAnsiTheme="majorBidi" w:cstheme="majorBidi"/>
        </w:rPr>
        <w:t xml:space="preserve"> and 35% higher </w:t>
      </w:r>
      <w:r w:rsidR="003C5C3A" w:rsidRPr="00E32653">
        <w:rPr>
          <w:rFonts w:asciiTheme="majorBidi" w:hAnsiTheme="majorBidi" w:cstheme="majorBidi"/>
        </w:rPr>
        <w:t xml:space="preserve">for </w:t>
      </w:r>
      <w:r w:rsidR="002940D8" w:rsidRPr="00E32653">
        <w:rPr>
          <w:rFonts w:asciiTheme="majorBidi" w:hAnsiTheme="majorBidi" w:cstheme="majorBidi"/>
        </w:rPr>
        <w:t>GWP, O</w:t>
      </w:r>
      <w:r w:rsidR="00091E93" w:rsidRPr="00E32653">
        <w:rPr>
          <w:rFonts w:asciiTheme="majorBidi" w:hAnsiTheme="majorBidi" w:cstheme="majorBidi"/>
        </w:rPr>
        <w:t>L</w:t>
      </w:r>
      <w:r w:rsidR="002940D8" w:rsidRPr="00E32653">
        <w:rPr>
          <w:rFonts w:asciiTheme="majorBidi" w:hAnsiTheme="majorBidi" w:cstheme="majorBidi"/>
        </w:rPr>
        <w:t>D</w:t>
      </w:r>
      <w:r w:rsidR="007456FC" w:rsidRPr="00E32653">
        <w:rPr>
          <w:rFonts w:asciiTheme="majorBidi" w:hAnsiTheme="majorBidi" w:cstheme="majorBidi"/>
        </w:rPr>
        <w:t>,</w:t>
      </w:r>
      <w:r w:rsidR="002940D8" w:rsidRPr="00E32653">
        <w:rPr>
          <w:rFonts w:asciiTheme="majorBidi" w:hAnsiTheme="majorBidi" w:cstheme="majorBidi"/>
        </w:rPr>
        <w:t xml:space="preserve"> and LU</w:t>
      </w:r>
      <w:r w:rsidR="000131AB" w:rsidRPr="00E32653">
        <w:rPr>
          <w:rFonts w:asciiTheme="majorBidi" w:hAnsiTheme="majorBidi" w:cstheme="majorBidi"/>
        </w:rPr>
        <w:t>,</w:t>
      </w:r>
      <w:r w:rsidR="00E97B7B" w:rsidRPr="00E32653">
        <w:rPr>
          <w:rFonts w:asciiTheme="majorBidi" w:hAnsiTheme="majorBidi" w:cstheme="majorBidi"/>
        </w:rPr>
        <w:t xml:space="preserve"> respectively</w:t>
      </w:r>
      <w:r w:rsidR="002940D8" w:rsidRPr="00E32653">
        <w:rPr>
          <w:rFonts w:asciiTheme="majorBidi" w:hAnsiTheme="majorBidi" w:cstheme="majorBidi"/>
        </w:rPr>
        <w:t xml:space="preserve">. </w:t>
      </w:r>
      <w:r w:rsidR="00443D41" w:rsidRPr="00E32653">
        <w:rPr>
          <w:rFonts w:asciiTheme="majorBidi" w:hAnsiTheme="majorBidi" w:cstheme="majorBidi"/>
        </w:rPr>
        <w:t xml:space="preserve">The </w:t>
      </w:r>
      <w:r w:rsidR="002940D8" w:rsidRPr="00E32653">
        <w:rPr>
          <w:rFonts w:asciiTheme="majorBidi" w:hAnsiTheme="majorBidi" w:cstheme="majorBidi"/>
        </w:rPr>
        <w:t xml:space="preserve">LVL </w:t>
      </w:r>
      <w:r w:rsidR="00E97B7B" w:rsidRPr="00E32653">
        <w:rPr>
          <w:rFonts w:asciiTheme="majorBidi" w:hAnsiTheme="majorBidi" w:cstheme="majorBidi"/>
        </w:rPr>
        <w:t xml:space="preserve">had </w:t>
      </w:r>
      <w:r w:rsidR="00A707E5" w:rsidRPr="00E32653">
        <w:rPr>
          <w:rFonts w:asciiTheme="majorBidi" w:hAnsiTheme="majorBidi" w:cstheme="majorBidi"/>
        </w:rPr>
        <w:t xml:space="preserve">a </w:t>
      </w:r>
      <w:r w:rsidR="00443D41" w:rsidRPr="00E32653">
        <w:rPr>
          <w:rFonts w:asciiTheme="majorBidi" w:hAnsiTheme="majorBidi" w:cstheme="majorBidi"/>
        </w:rPr>
        <w:t>higher environment</w:t>
      </w:r>
      <w:r w:rsidR="00E97B7B" w:rsidRPr="00E32653">
        <w:rPr>
          <w:rFonts w:asciiTheme="majorBidi" w:hAnsiTheme="majorBidi" w:cstheme="majorBidi"/>
        </w:rPr>
        <w:t>al</w:t>
      </w:r>
      <w:r w:rsidR="00443D41" w:rsidRPr="00E32653">
        <w:rPr>
          <w:rFonts w:asciiTheme="majorBidi" w:hAnsiTheme="majorBidi" w:cstheme="majorBidi"/>
        </w:rPr>
        <w:t xml:space="preserve"> impact </w:t>
      </w:r>
      <w:r w:rsidR="00A707E5" w:rsidRPr="00E32653">
        <w:rPr>
          <w:rFonts w:asciiTheme="majorBidi" w:hAnsiTheme="majorBidi" w:cstheme="majorBidi"/>
        </w:rPr>
        <w:t xml:space="preserve">of </w:t>
      </w:r>
      <w:r w:rsidR="00443D41" w:rsidRPr="00E32653">
        <w:rPr>
          <w:rFonts w:asciiTheme="majorBidi" w:hAnsiTheme="majorBidi" w:cstheme="majorBidi"/>
        </w:rPr>
        <w:t xml:space="preserve">approximately </w:t>
      </w:r>
      <w:r w:rsidR="002940D8" w:rsidRPr="00E32653">
        <w:rPr>
          <w:rFonts w:asciiTheme="majorBidi" w:hAnsiTheme="majorBidi" w:cstheme="majorBidi"/>
        </w:rPr>
        <w:t>14%, 28% and 30% on H</w:t>
      </w:r>
      <w:r w:rsidR="000D31EA" w:rsidRPr="00E32653">
        <w:rPr>
          <w:rFonts w:asciiTheme="majorBidi" w:hAnsiTheme="majorBidi" w:cstheme="majorBidi"/>
        </w:rPr>
        <w:t>CT</w:t>
      </w:r>
      <w:r w:rsidR="002940D8" w:rsidRPr="00E32653">
        <w:rPr>
          <w:rFonts w:asciiTheme="majorBidi" w:hAnsiTheme="majorBidi" w:cstheme="majorBidi"/>
        </w:rPr>
        <w:t>, FD and</w:t>
      </w:r>
      <w:r w:rsidR="00443D41" w:rsidRPr="00E32653">
        <w:rPr>
          <w:rFonts w:asciiTheme="majorBidi" w:hAnsiTheme="majorBidi" w:cstheme="majorBidi"/>
        </w:rPr>
        <w:t>,</w:t>
      </w:r>
      <w:r w:rsidR="002940D8" w:rsidRPr="00E32653">
        <w:rPr>
          <w:rFonts w:asciiTheme="majorBidi" w:hAnsiTheme="majorBidi" w:cstheme="majorBidi"/>
        </w:rPr>
        <w:t xml:space="preserve"> TA</w:t>
      </w:r>
      <w:r w:rsidR="00443D41" w:rsidRPr="00E32653">
        <w:rPr>
          <w:rFonts w:asciiTheme="majorBidi" w:hAnsiTheme="majorBidi" w:cstheme="majorBidi"/>
        </w:rPr>
        <w:t>,</w:t>
      </w:r>
      <w:r w:rsidR="002940D8" w:rsidRPr="00E32653">
        <w:rPr>
          <w:rFonts w:asciiTheme="majorBidi" w:hAnsiTheme="majorBidi" w:cstheme="majorBidi"/>
        </w:rPr>
        <w:t xml:space="preserve"> respectively. </w:t>
      </w:r>
    </w:p>
    <w:p w14:paraId="399E7A73" w14:textId="0D0354BD" w:rsidR="00CD2855" w:rsidRPr="00E32653" w:rsidRDefault="005B4B9D" w:rsidP="00CD2855">
      <w:pPr>
        <w:pStyle w:val="ListParagraph"/>
        <w:spacing w:before="240" w:line="276" w:lineRule="auto"/>
        <w:ind w:left="0" w:firstLine="720"/>
        <w:jc w:val="both"/>
        <w:rPr>
          <w:rFonts w:asciiTheme="majorBidi" w:hAnsiTheme="majorBidi" w:cstheme="majorBidi"/>
        </w:rPr>
      </w:pPr>
      <w:r w:rsidRPr="00E32653">
        <w:rPr>
          <w:rFonts w:asciiTheme="majorBidi" w:hAnsiTheme="majorBidi" w:cstheme="majorBidi"/>
        </w:rPr>
        <w:t>Figure 7 shows the emissions related to each environmental category. Analyses of GWP emissions shows that material production makes the largest contribution. Transportation distance and construction process have the lowest impact. However, the two transport alternatives result in different impacts (GLT: on-site, LVL: prefabricated off-site). The emissions for GLT are 150 Kg CO</w:t>
      </w:r>
      <w:r w:rsidRPr="00E32653">
        <w:rPr>
          <w:rFonts w:asciiTheme="majorBidi" w:hAnsiTheme="majorBidi" w:cstheme="majorBidi"/>
          <w:vertAlign w:val="subscript"/>
        </w:rPr>
        <w:t>2</w:t>
      </w:r>
      <w:r w:rsidRPr="00E32653">
        <w:rPr>
          <w:rFonts w:asciiTheme="majorBidi" w:hAnsiTheme="majorBidi" w:cstheme="majorBidi"/>
        </w:rPr>
        <w:t>eq and for LVL are 600 Kg CO</w:t>
      </w:r>
      <w:r w:rsidRPr="00E32653">
        <w:rPr>
          <w:rFonts w:asciiTheme="majorBidi" w:hAnsiTheme="majorBidi" w:cstheme="majorBidi"/>
          <w:vertAlign w:val="subscript"/>
        </w:rPr>
        <w:t>2</w:t>
      </w:r>
      <w:r w:rsidRPr="00E32653">
        <w:rPr>
          <w:rFonts w:asciiTheme="majorBidi" w:hAnsiTheme="majorBidi" w:cstheme="majorBidi"/>
        </w:rPr>
        <w:t>eq for transportation. Interestingly, the emissions related to the construction process for GLT (320 Kg CO</w:t>
      </w:r>
      <w:r w:rsidRPr="00E32653">
        <w:rPr>
          <w:rFonts w:asciiTheme="majorBidi" w:hAnsiTheme="majorBidi" w:cstheme="majorBidi"/>
          <w:vertAlign w:val="subscript"/>
        </w:rPr>
        <w:t>2</w:t>
      </w:r>
      <w:r w:rsidRPr="00E32653">
        <w:rPr>
          <w:rFonts w:asciiTheme="majorBidi" w:hAnsiTheme="majorBidi" w:cstheme="majorBidi"/>
        </w:rPr>
        <w:t>eq) is higher than LVL (210 Kg CO</w:t>
      </w:r>
      <w:r w:rsidRPr="00E32653">
        <w:rPr>
          <w:rFonts w:asciiTheme="majorBidi" w:hAnsiTheme="majorBidi" w:cstheme="majorBidi"/>
          <w:vertAlign w:val="subscript"/>
        </w:rPr>
        <w:t>2</w:t>
      </w:r>
      <w:r w:rsidRPr="00E32653">
        <w:rPr>
          <w:rFonts w:asciiTheme="majorBidi" w:hAnsiTheme="majorBidi" w:cstheme="majorBidi"/>
        </w:rPr>
        <w:t>eq). This is mostly because on-site construction is resource intensive, and consequently, produces more waste. Maintenance has a negligible impact of GWP emissions although the emissions for GLT are slightly higher than for LVL (1100 Kg CO</w:t>
      </w:r>
      <w:r w:rsidRPr="00E32653">
        <w:rPr>
          <w:rFonts w:asciiTheme="majorBidi" w:hAnsiTheme="majorBidi" w:cstheme="majorBidi"/>
          <w:vertAlign w:val="subscript"/>
        </w:rPr>
        <w:t>2</w:t>
      </w:r>
      <w:r w:rsidRPr="00E32653">
        <w:rPr>
          <w:rFonts w:asciiTheme="majorBidi" w:hAnsiTheme="majorBidi" w:cstheme="majorBidi"/>
        </w:rPr>
        <w:t>eq versus 900 Kg CO</w:t>
      </w:r>
      <w:r w:rsidRPr="00E32653">
        <w:rPr>
          <w:rFonts w:asciiTheme="majorBidi" w:hAnsiTheme="majorBidi" w:cstheme="majorBidi"/>
          <w:vertAlign w:val="subscript"/>
        </w:rPr>
        <w:t>2</w:t>
      </w:r>
      <w:r w:rsidRPr="00E32653">
        <w:rPr>
          <w:rFonts w:asciiTheme="majorBidi" w:hAnsiTheme="majorBidi" w:cstheme="majorBidi"/>
        </w:rPr>
        <w:t>eq). Benefits and loads have a positive impact on total emissions, which contributes to eliminating the extra emissions by returning the materials to the cycle. This positive impact reduces the transportation impact related to transferring the materials from site. The result shows that GLT potentially has a better GWP impact than LVL.</w:t>
      </w:r>
    </w:p>
    <w:p w14:paraId="732CF3D5" w14:textId="69ECB9BD" w:rsidR="00CD2855" w:rsidRPr="00E32653" w:rsidRDefault="005B4B9D" w:rsidP="00CD2855">
      <w:pPr>
        <w:pStyle w:val="ListParagraph"/>
        <w:spacing w:before="240" w:line="276" w:lineRule="auto"/>
        <w:ind w:left="0" w:firstLine="720"/>
        <w:jc w:val="both"/>
        <w:rPr>
          <w:rFonts w:asciiTheme="majorBidi" w:hAnsiTheme="majorBidi" w:cstheme="majorBidi"/>
        </w:rPr>
      </w:pPr>
      <w:r w:rsidRPr="00E32653">
        <w:rPr>
          <w:rFonts w:asciiTheme="majorBidi" w:hAnsiTheme="majorBidi" w:cstheme="majorBidi"/>
        </w:rPr>
        <w:t xml:space="preserve"> </w:t>
      </w:r>
    </w:p>
    <w:p w14:paraId="01A07F57" w14:textId="5F33DD65" w:rsidR="005B4B9D" w:rsidRPr="00E32653" w:rsidRDefault="005B4B9D" w:rsidP="00CD2855">
      <w:pPr>
        <w:pStyle w:val="ListParagraph"/>
        <w:spacing w:line="276" w:lineRule="auto"/>
        <w:ind w:left="0" w:firstLine="720"/>
        <w:jc w:val="both"/>
        <w:rPr>
          <w:rFonts w:asciiTheme="majorBidi" w:hAnsiTheme="majorBidi" w:cstheme="majorBidi"/>
        </w:rPr>
      </w:pPr>
      <w:r w:rsidRPr="00E32653">
        <w:rPr>
          <w:rFonts w:asciiTheme="majorBidi" w:hAnsiTheme="majorBidi" w:cstheme="majorBidi"/>
        </w:rPr>
        <w:t>The ‘Benefit and load phase’ has a positive net impact of its total carbon emission regarding recycling of steel, which reduced environmental impact significantly, and using wood (GLT or LVL) as energy recovery by -8500 Kg CO</w:t>
      </w:r>
      <w:r w:rsidRPr="00E32653">
        <w:rPr>
          <w:rFonts w:asciiTheme="majorBidi" w:hAnsiTheme="majorBidi" w:cstheme="majorBidi"/>
          <w:vertAlign w:val="subscript"/>
        </w:rPr>
        <w:t>2</w:t>
      </w:r>
      <w:r w:rsidRPr="00E32653">
        <w:rPr>
          <w:rFonts w:asciiTheme="majorBidi" w:hAnsiTheme="majorBidi" w:cstheme="majorBidi"/>
        </w:rPr>
        <w:t>eq versus -3200 Kg CO</w:t>
      </w:r>
      <w:r w:rsidRPr="00E32653">
        <w:rPr>
          <w:rFonts w:asciiTheme="majorBidi" w:hAnsiTheme="majorBidi" w:cstheme="majorBidi"/>
          <w:vertAlign w:val="subscript"/>
        </w:rPr>
        <w:t>2</w:t>
      </w:r>
      <w:r w:rsidRPr="00E32653">
        <w:rPr>
          <w:rFonts w:asciiTheme="majorBidi" w:hAnsiTheme="majorBidi" w:cstheme="majorBidi"/>
        </w:rPr>
        <w:t>eq respectively for GLT and LVL. The total GWP emission</w:t>
      </w:r>
      <w:r w:rsidR="00C41013" w:rsidRPr="00E32653">
        <w:rPr>
          <w:rFonts w:asciiTheme="majorBidi" w:hAnsiTheme="majorBidi" w:cstheme="majorBidi"/>
        </w:rPr>
        <w:t>s</w:t>
      </w:r>
      <w:r w:rsidRPr="00E32653">
        <w:rPr>
          <w:rFonts w:asciiTheme="majorBidi" w:hAnsiTheme="majorBidi" w:cstheme="majorBidi"/>
        </w:rPr>
        <w:t xml:space="preserve"> are </w:t>
      </w:r>
      <w:r w:rsidRPr="00E32653">
        <w:rPr>
          <w:rFonts w:asciiTheme="majorBidi" w:eastAsia="Times New Roman" w:hAnsiTheme="majorBidi" w:cstheme="majorBidi"/>
        </w:rPr>
        <w:t>58470</w:t>
      </w:r>
      <w:r w:rsidRPr="00E32653">
        <w:rPr>
          <w:rFonts w:asciiTheme="majorBidi" w:hAnsiTheme="majorBidi" w:cstheme="majorBidi"/>
        </w:rPr>
        <w:t xml:space="preserve"> Kg CO</w:t>
      </w:r>
      <w:r w:rsidRPr="00E32653">
        <w:rPr>
          <w:rFonts w:asciiTheme="majorBidi" w:hAnsiTheme="majorBidi" w:cstheme="majorBidi"/>
          <w:vertAlign w:val="subscript"/>
        </w:rPr>
        <w:t>2</w:t>
      </w:r>
      <w:r w:rsidRPr="00E32653">
        <w:rPr>
          <w:rFonts w:asciiTheme="majorBidi" w:hAnsiTheme="majorBidi" w:cstheme="majorBidi"/>
        </w:rPr>
        <w:t xml:space="preserve">eq, </w:t>
      </w:r>
      <w:r w:rsidRPr="00E32653">
        <w:rPr>
          <w:rFonts w:asciiTheme="majorBidi" w:eastAsia="Times New Roman" w:hAnsiTheme="majorBidi" w:cstheme="majorBidi"/>
        </w:rPr>
        <w:t>57730</w:t>
      </w:r>
      <w:r w:rsidRPr="00E32653">
        <w:rPr>
          <w:rFonts w:asciiTheme="majorBidi" w:hAnsiTheme="majorBidi" w:cstheme="majorBidi"/>
        </w:rPr>
        <w:t xml:space="preserve"> Kg CO</w:t>
      </w:r>
      <w:r w:rsidRPr="00E32653">
        <w:rPr>
          <w:rFonts w:asciiTheme="majorBidi" w:hAnsiTheme="majorBidi" w:cstheme="majorBidi"/>
          <w:vertAlign w:val="subscript"/>
        </w:rPr>
        <w:t>2</w:t>
      </w:r>
      <w:r w:rsidRPr="00E32653">
        <w:rPr>
          <w:rFonts w:asciiTheme="majorBidi" w:hAnsiTheme="majorBidi" w:cstheme="majorBidi"/>
        </w:rPr>
        <w:t>eq</w:t>
      </w:r>
      <w:r w:rsidRPr="00E32653">
        <w:rPr>
          <w:rFonts w:asciiTheme="majorBidi" w:eastAsia="Times New Roman" w:hAnsiTheme="majorBidi" w:cstheme="majorBidi"/>
        </w:rPr>
        <w:t>, 41620</w:t>
      </w:r>
      <w:r w:rsidRPr="00E32653">
        <w:rPr>
          <w:rFonts w:asciiTheme="majorBidi" w:hAnsiTheme="majorBidi" w:cstheme="majorBidi"/>
        </w:rPr>
        <w:t xml:space="preserve"> Kg CO</w:t>
      </w:r>
      <w:r w:rsidRPr="00E32653">
        <w:rPr>
          <w:rFonts w:asciiTheme="majorBidi" w:hAnsiTheme="majorBidi" w:cstheme="majorBidi"/>
          <w:vertAlign w:val="subscript"/>
        </w:rPr>
        <w:t>2</w:t>
      </w:r>
      <w:r w:rsidRPr="00E32653">
        <w:rPr>
          <w:rFonts w:asciiTheme="majorBidi" w:hAnsiTheme="majorBidi" w:cstheme="majorBidi"/>
        </w:rPr>
        <w:t>eq</w:t>
      </w:r>
      <w:r w:rsidRPr="00E32653">
        <w:rPr>
          <w:rFonts w:asciiTheme="majorBidi" w:eastAsia="Times New Roman" w:hAnsiTheme="majorBidi" w:cstheme="majorBidi"/>
        </w:rPr>
        <w:t>, and 41088</w:t>
      </w:r>
      <w:r w:rsidRPr="00E32653">
        <w:rPr>
          <w:rFonts w:asciiTheme="majorBidi" w:hAnsiTheme="majorBidi" w:cstheme="majorBidi"/>
        </w:rPr>
        <w:t xml:space="preserve"> Kg CO</w:t>
      </w:r>
      <w:r w:rsidRPr="00E32653">
        <w:rPr>
          <w:rFonts w:asciiTheme="majorBidi" w:hAnsiTheme="majorBidi" w:cstheme="majorBidi"/>
          <w:vertAlign w:val="subscript"/>
        </w:rPr>
        <w:t>2</w:t>
      </w:r>
      <w:r w:rsidRPr="00E32653">
        <w:rPr>
          <w:rFonts w:asciiTheme="majorBidi" w:hAnsiTheme="majorBidi" w:cstheme="majorBidi"/>
        </w:rPr>
        <w:t>eq respectively for GLT (hardwood/softwood) and LVL</w:t>
      </w:r>
      <w:r w:rsidR="00A25EEA" w:rsidRPr="00E32653">
        <w:rPr>
          <w:rFonts w:asciiTheme="majorBidi" w:hAnsiTheme="majorBidi" w:cstheme="majorBidi"/>
        </w:rPr>
        <w:t xml:space="preserve"> </w:t>
      </w:r>
      <w:r w:rsidRPr="00E32653">
        <w:rPr>
          <w:rFonts w:asciiTheme="majorBidi" w:hAnsiTheme="majorBidi" w:cstheme="majorBidi"/>
        </w:rPr>
        <w:t>(hardwood/softwood).</w:t>
      </w:r>
    </w:p>
    <w:p w14:paraId="0BD775E6" w14:textId="77777777" w:rsidR="005B4B9D" w:rsidRPr="00E32653" w:rsidRDefault="005B4B9D" w:rsidP="000131AB">
      <w:pPr>
        <w:spacing w:line="276" w:lineRule="auto"/>
        <w:ind w:firstLine="720"/>
        <w:jc w:val="both"/>
        <w:rPr>
          <w:rFonts w:asciiTheme="majorBidi" w:hAnsiTheme="majorBidi" w:cstheme="majorBidi"/>
        </w:rPr>
      </w:pPr>
    </w:p>
    <w:p w14:paraId="17967707" w14:textId="77777777" w:rsidR="00112011" w:rsidRPr="00E32653" w:rsidRDefault="000236EF" w:rsidP="006A77E1">
      <w:pPr>
        <w:pStyle w:val="ListParagraph"/>
        <w:spacing w:line="276" w:lineRule="auto"/>
        <w:ind w:left="0"/>
        <w:jc w:val="center"/>
        <w:rPr>
          <w:rFonts w:asciiTheme="majorBidi" w:hAnsiTheme="majorBidi" w:cstheme="majorBidi"/>
          <w:noProof/>
        </w:rPr>
      </w:pPr>
      <w:r w:rsidRPr="00E32653">
        <w:rPr>
          <w:rFonts w:asciiTheme="majorBidi" w:hAnsiTheme="majorBidi" w:cstheme="majorBidi"/>
          <w:noProof/>
        </w:rPr>
        <w:lastRenderedPageBreak/>
        <w:drawing>
          <wp:inline distT="0" distB="0" distL="0" distR="0" wp14:anchorId="7E61FBA4" wp14:editId="07C700EC">
            <wp:extent cx="2628900" cy="2383971"/>
            <wp:effectExtent l="0" t="0" r="0" b="165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DE21A1" w:rsidRPr="00E32653">
        <w:rPr>
          <w:rFonts w:asciiTheme="majorBidi" w:hAnsiTheme="majorBidi" w:cstheme="majorBidi"/>
          <w:noProof/>
        </w:rPr>
        <w:drawing>
          <wp:inline distT="0" distB="0" distL="0" distR="0" wp14:anchorId="5EBB689D" wp14:editId="194A4B48">
            <wp:extent cx="2555875" cy="2392045"/>
            <wp:effectExtent l="0" t="0" r="1587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610BA8" w14:textId="77777777" w:rsidR="00705F45" w:rsidRPr="00E32653" w:rsidRDefault="007F105B" w:rsidP="12C241C3">
      <w:pPr>
        <w:pStyle w:val="ListParagraph"/>
        <w:spacing w:line="276" w:lineRule="auto"/>
        <w:ind w:left="0"/>
        <w:jc w:val="center"/>
        <w:rPr>
          <w:rFonts w:asciiTheme="majorBidi" w:hAnsiTheme="majorBidi" w:cstheme="majorBidi"/>
          <w:b/>
          <w:bCs/>
        </w:rPr>
      </w:pPr>
      <w:r w:rsidRPr="00E32653">
        <w:rPr>
          <w:rFonts w:asciiTheme="majorBidi" w:hAnsiTheme="majorBidi" w:cstheme="majorBidi"/>
          <w:noProof/>
        </w:rPr>
        <w:drawing>
          <wp:inline distT="0" distB="0" distL="0" distR="0" wp14:anchorId="33FEFAA0" wp14:editId="715F7007">
            <wp:extent cx="2650490" cy="2389415"/>
            <wp:effectExtent l="0" t="0" r="16510" b="1143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05F45" w:rsidRPr="00E32653">
        <w:rPr>
          <w:rFonts w:asciiTheme="majorBidi" w:hAnsiTheme="majorBidi" w:cstheme="majorBidi"/>
          <w:noProof/>
        </w:rPr>
        <w:drawing>
          <wp:inline distT="0" distB="0" distL="0" distR="0" wp14:anchorId="02E5D1BB" wp14:editId="722D4DC9">
            <wp:extent cx="2560320" cy="2392045"/>
            <wp:effectExtent l="0" t="0" r="11430"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08E3C7" w14:textId="77777777" w:rsidR="00491AE0" w:rsidRPr="00E32653" w:rsidRDefault="006E158F" w:rsidP="12C241C3">
      <w:pPr>
        <w:pStyle w:val="ListParagraph"/>
        <w:spacing w:after="0" w:line="276" w:lineRule="auto"/>
        <w:ind w:left="0"/>
        <w:jc w:val="center"/>
        <w:rPr>
          <w:rFonts w:asciiTheme="majorBidi" w:hAnsiTheme="majorBidi" w:cstheme="majorBidi"/>
          <w:b/>
          <w:bCs/>
        </w:rPr>
      </w:pPr>
      <w:r w:rsidRPr="00E32653">
        <w:rPr>
          <w:rFonts w:asciiTheme="majorBidi" w:hAnsiTheme="majorBidi" w:cstheme="majorBidi"/>
          <w:noProof/>
        </w:rPr>
        <w:drawing>
          <wp:inline distT="0" distB="0" distL="0" distR="0" wp14:anchorId="64F67D7F" wp14:editId="255A22D3">
            <wp:extent cx="2612390" cy="2471057"/>
            <wp:effectExtent l="0" t="0" r="16510" b="57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7B3726" w:rsidRPr="00E32653">
        <w:rPr>
          <w:rFonts w:asciiTheme="majorBidi" w:hAnsiTheme="majorBidi" w:cstheme="majorBidi"/>
          <w:noProof/>
        </w:rPr>
        <w:drawing>
          <wp:inline distT="0" distB="0" distL="0" distR="0" wp14:anchorId="39A6E950" wp14:editId="4D4BD647">
            <wp:extent cx="2604135" cy="2462348"/>
            <wp:effectExtent l="0" t="0" r="571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A6B6C3" w14:textId="0B1082B7" w:rsidR="00D807AD" w:rsidRPr="00E32653" w:rsidRDefault="003A468B" w:rsidP="00D807AD">
      <w:pPr>
        <w:pStyle w:val="ListParagraph"/>
        <w:spacing w:line="276" w:lineRule="auto"/>
        <w:jc w:val="center"/>
        <w:rPr>
          <w:rFonts w:asciiTheme="majorBidi" w:hAnsiTheme="majorBidi" w:cstheme="majorBidi"/>
          <w:sz w:val="18"/>
          <w:szCs w:val="18"/>
        </w:rPr>
      </w:pPr>
      <w:r w:rsidRPr="00E32653">
        <w:rPr>
          <w:rFonts w:asciiTheme="majorBidi" w:hAnsiTheme="majorBidi" w:cstheme="majorBidi"/>
        </w:rPr>
        <w:t>Figure</w:t>
      </w:r>
      <w:r w:rsidR="0019214A" w:rsidRPr="00E32653">
        <w:rPr>
          <w:rFonts w:asciiTheme="majorBidi" w:hAnsiTheme="majorBidi" w:cstheme="majorBidi"/>
        </w:rPr>
        <w:t xml:space="preserve"> 6. </w:t>
      </w:r>
      <w:r w:rsidR="003B5E13" w:rsidRPr="00E32653">
        <w:rPr>
          <w:rFonts w:asciiTheme="majorBidi" w:hAnsiTheme="majorBidi" w:cstheme="majorBidi"/>
        </w:rPr>
        <w:t>Life cycle results of building frame design in four scenarios</w:t>
      </w:r>
      <w:r w:rsidR="00D807AD" w:rsidRPr="00E32653">
        <w:rPr>
          <w:rFonts w:asciiTheme="majorBidi" w:hAnsiTheme="majorBidi" w:cstheme="majorBidi"/>
          <w:sz w:val="18"/>
          <w:szCs w:val="18"/>
        </w:rPr>
        <w:t>. GLT-h hardwood, GLT-s softwood, LVL-h hardwood and LVL-s softwood</w:t>
      </w:r>
    </w:p>
    <w:p w14:paraId="724F2F4E" w14:textId="20BF2668" w:rsidR="00904DC9" w:rsidRPr="00E32653" w:rsidRDefault="00904DC9" w:rsidP="00D807AD">
      <w:pPr>
        <w:pStyle w:val="ListParagraph"/>
        <w:spacing w:line="276" w:lineRule="auto"/>
        <w:ind w:hanging="90"/>
        <w:jc w:val="center"/>
        <w:rPr>
          <w:rFonts w:asciiTheme="majorBidi" w:hAnsiTheme="majorBidi" w:cstheme="majorBidi"/>
        </w:rPr>
      </w:pPr>
    </w:p>
    <w:p w14:paraId="6031311B" w14:textId="77777777" w:rsidR="00D807AD" w:rsidRPr="00E32653" w:rsidRDefault="00D807AD" w:rsidP="00D807AD">
      <w:pPr>
        <w:pStyle w:val="ListParagraph"/>
        <w:spacing w:line="276" w:lineRule="auto"/>
        <w:ind w:hanging="90"/>
        <w:jc w:val="center"/>
        <w:rPr>
          <w:rFonts w:asciiTheme="majorBidi" w:hAnsiTheme="majorBidi" w:cstheme="majorBidi"/>
        </w:rPr>
      </w:pPr>
    </w:p>
    <w:p w14:paraId="1AC01C13" w14:textId="7C83AECE" w:rsidR="008B1778" w:rsidRPr="00E32653" w:rsidRDefault="008D0822" w:rsidP="00427863">
      <w:pPr>
        <w:pStyle w:val="ListParagraph"/>
        <w:spacing w:line="276" w:lineRule="auto"/>
        <w:ind w:left="0" w:firstLine="720"/>
        <w:jc w:val="both"/>
        <w:rPr>
          <w:rFonts w:asciiTheme="majorBidi" w:hAnsiTheme="majorBidi" w:cstheme="majorBidi"/>
        </w:rPr>
      </w:pPr>
      <w:r w:rsidRPr="00E32653">
        <w:rPr>
          <w:rFonts w:asciiTheme="majorBidi" w:hAnsiTheme="majorBidi" w:cstheme="majorBidi"/>
        </w:rPr>
        <w:lastRenderedPageBreak/>
        <w:t>The second environment</w:t>
      </w:r>
      <w:r w:rsidR="007C7370" w:rsidRPr="00E32653">
        <w:rPr>
          <w:rFonts w:asciiTheme="majorBidi" w:hAnsiTheme="majorBidi" w:cstheme="majorBidi"/>
        </w:rPr>
        <w:t>al</w:t>
      </w:r>
      <w:r w:rsidRPr="00E32653">
        <w:rPr>
          <w:rFonts w:asciiTheme="majorBidi" w:hAnsiTheme="majorBidi" w:cstheme="majorBidi"/>
        </w:rPr>
        <w:t xml:space="preserve"> category </w:t>
      </w:r>
      <w:r w:rsidR="007C7370" w:rsidRPr="00E32653">
        <w:rPr>
          <w:rFonts w:asciiTheme="majorBidi" w:hAnsiTheme="majorBidi" w:cstheme="majorBidi"/>
        </w:rPr>
        <w:t xml:space="preserve">where </w:t>
      </w:r>
      <w:r w:rsidRPr="00E32653">
        <w:rPr>
          <w:rFonts w:asciiTheme="majorBidi" w:hAnsiTheme="majorBidi" w:cstheme="majorBidi"/>
        </w:rPr>
        <w:t xml:space="preserve">GLT has a higher burden than LVL is </w:t>
      </w:r>
      <w:r w:rsidR="00FF6846" w:rsidRPr="00E32653">
        <w:rPr>
          <w:rFonts w:asciiTheme="majorBidi" w:hAnsiTheme="majorBidi" w:cstheme="majorBidi"/>
        </w:rPr>
        <w:t>O</w:t>
      </w:r>
      <w:r w:rsidR="008B1778" w:rsidRPr="00E32653">
        <w:rPr>
          <w:rFonts w:asciiTheme="majorBidi" w:hAnsiTheme="majorBidi" w:cstheme="majorBidi"/>
        </w:rPr>
        <w:t>L</w:t>
      </w:r>
      <w:r w:rsidR="00FF6846" w:rsidRPr="00E32653">
        <w:rPr>
          <w:rFonts w:asciiTheme="majorBidi" w:hAnsiTheme="majorBidi" w:cstheme="majorBidi"/>
        </w:rPr>
        <w:t>D</w:t>
      </w:r>
      <w:r w:rsidRPr="00E32653">
        <w:rPr>
          <w:rFonts w:asciiTheme="majorBidi" w:hAnsiTheme="majorBidi" w:cstheme="majorBidi"/>
        </w:rPr>
        <w:t>.</w:t>
      </w:r>
      <w:r w:rsidR="00EC6AC1" w:rsidRPr="00E32653">
        <w:rPr>
          <w:rFonts w:asciiTheme="majorBidi" w:hAnsiTheme="majorBidi" w:cstheme="majorBidi"/>
        </w:rPr>
        <w:t xml:space="preserve"> The extraction and production stages </w:t>
      </w:r>
      <w:r w:rsidR="0038284C" w:rsidRPr="00E32653">
        <w:rPr>
          <w:rFonts w:asciiTheme="majorBidi" w:hAnsiTheme="majorBidi" w:cstheme="majorBidi"/>
        </w:rPr>
        <w:t xml:space="preserve">(A1, A2 and A3) </w:t>
      </w:r>
      <w:r w:rsidR="00EC6AC1" w:rsidRPr="00E32653">
        <w:rPr>
          <w:rFonts w:asciiTheme="majorBidi" w:hAnsiTheme="majorBidi" w:cstheme="majorBidi"/>
        </w:rPr>
        <w:t>were the main contributors to OD</w:t>
      </w:r>
      <w:r w:rsidR="007C7370" w:rsidRPr="00E32653">
        <w:rPr>
          <w:rFonts w:asciiTheme="majorBidi" w:hAnsiTheme="majorBidi" w:cstheme="majorBidi"/>
        </w:rPr>
        <w:t xml:space="preserve">. These </w:t>
      </w:r>
      <w:r w:rsidR="00EC6AC1" w:rsidRPr="00E32653">
        <w:rPr>
          <w:rFonts w:asciiTheme="majorBidi" w:hAnsiTheme="majorBidi" w:cstheme="majorBidi"/>
        </w:rPr>
        <w:t>related to the production stage for chemical</w:t>
      </w:r>
      <w:r w:rsidR="00CD00EA" w:rsidRPr="00E32653">
        <w:rPr>
          <w:rFonts w:asciiTheme="majorBidi" w:hAnsiTheme="majorBidi" w:cstheme="majorBidi"/>
        </w:rPr>
        <w:t>s</w:t>
      </w:r>
      <w:r w:rsidR="00EC6AC1" w:rsidRPr="00E32653">
        <w:rPr>
          <w:rFonts w:asciiTheme="majorBidi" w:hAnsiTheme="majorBidi" w:cstheme="majorBidi"/>
        </w:rPr>
        <w:t>, adhesive</w:t>
      </w:r>
      <w:r w:rsidR="0028733B" w:rsidRPr="00E32653">
        <w:rPr>
          <w:rFonts w:asciiTheme="majorBidi" w:hAnsiTheme="majorBidi" w:cstheme="majorBidi"/>
        </w:rPr>
        <w:t xml:space="preserve"> resins</w:t>
      </w:r>
      <w:r w:rsidR="007E22A7" w:rsidRPr="00E32653">
        <w:rPr>
          <w:rFonts w:asciiTheme="majorBidi" w:hAnsiTheme="majorBidi" w:cstheme="majorBidi"/>
        </w:rPr>
        <w:t>,</w:t>
      </w:r>
      <w:r w:rsidR="00EC6AC1" w:rsidRPr="00E32653">
        <w:rPr>
          <w:rFonts w:asciiTheme="majorBidi" w:hAnsiTheme="majorBidi" w:cstheme="majorBidi"/>
        </w:rPr>
        <w:t xml:space="preserve"> and wood, while the emissions released during maintenance and transportation were negligible. </w:t>
      </w:r>
      <w:r w:rsidR="00B16AC6" w:rsidRPr="00E32653">
        <w:rPr>
          <w:rFonts w:asciiTheme="majorBidi" w:hAnsiTheme="majorBidi" w:cstheme="majorBidi"/>
        </w:rPr>
        <w:t>The emission</w:t>
      </w:r>
      <w:r w:rsidR="008B10EF" w:rsidRPr="00E32653">
        <w:rPr>
          <w:rFonts w:asciiTheme="majorBidi" w:hAnsiTheme="majorBidi" w:cstheme="majorBidi"/>
        </w:rPr>
        <w:t>s</w:t>
      </w:r>
      <w:r w:rsidR="00B16AC6" w:rsidRPr="00E32653">
        <w:rPr>
          <w:rFonts w:asciiTheme="majorBidi" w:hAnsiTheme="majorBidi" w:cstheme="majorBidi"/>
        </w:rPr>
        <w:t xml:space="preserve"> </w:t>
      </w:r>
      <w:r w:rsidR="008B10EF" w:rsidRPr="00E32653">
        <w:rPr>
          <w:rFonts w:asciiTheme="majorBidi" w:hAnsiTheme="majorBidi" w:cstheme="majorBidi"/>
        </w:rPr>
        <w:t xml:space="preserve">for </w:t>
      </w:r>
      <w:r w:rsidR="00B16AC6" w:rsidRPr="00E32653">
        <w:rPr>
          <w:rFonts w:asciiTheme="majorBidi" w:hAnsiTheme="majorBidi" w:cstheme="majorBidi"/>
        </w:rPr>
        <w:t>GLT-h and GLT-s for wood, adhesive</w:t>
      </w:r>
      <w:r w:rsidR="0028733B" w:rsidRPr="00E32653">
        <w:rPr>
          <w:rFonts w:asciiTheme="majorBidi" w:hAnsiTheme="majorBidi" w:cstheme="majorBidi"/>
        </w:rPr>
        <w:t xml:space="preserve"> resins</w:t>
      </w:r>
      <w:r w:rsidR="007E22A7" w:rsidRPr="00E32653">
        <w:rPr>
          <w:rFonts w:asciiTheme="majorBidi" w:hAnsiTheme="majorBidi" w:cstheme="majorBidi"/>
        </w:rPr>
        <w:t>, and chemical</w:t>
      </w:r>
      <w:r w:rsidR="00CD00EA" w:rsidRPr="00E32653">
        <w:rPr>
          <w:rFonts w:asciiTheme="majorBidi" w:hAnsiTheme="majorBidi" w:cstheme="majorBidi"/>
        </w:rPr>
        <w:t>s</w:t>
      </w:r>
      <w:r w:rsidR="007E22A7" w:rsidRPr="00E32653">
        <w:rPr>
          <w:rFonts w:asciiTheme="majorBidi" w:hAnsiTheme="majorBidi" w:cstheme="majorBidi"/>
        </w:rPr>
        <w:t xml:space="preserve"> are (49 Kg CFC11eq/ 44.4 Kg CFC11eq), (67.5 Kg CFC11eq/67.5 Kg CFC11</w:t>
      </w:r>
      <w:r w:rsidR="00B16AC6" w:rsidRPr="00E32653">
        <w:rPr>
          <w:rFonts w:asciiTheme="majorBidi" w:hAnsiTheme="majorBidi" w:cstheme="majorBidi"/>
        </w:rPr>
        <w:t xml:space="preserve">eq) and </w:t>
      </w:r>
      <w:r w:rsidR="00CA76A4" w:rsidRPr="00E32653">
        <w:rPr>
          <w:rFonts w:asciiTheme="majorBidi" w:hAnsiTheme="majorBidi" w:cstheme="majorBidi"/>
        </w:rPr>
        <w:t>(</w:t>
      </w:r>
      <w:r w:rsidR="007E22A7" w:rsidRPr="00E32653">
        <w:rPr>
          <w:rFonts w:asciiTheme="majorBidi" w:hAnsiTheme="majorBidi" w:cstheme="majorBidi"/>
        </w:rPr>
        <w:t>112.5 Kg CFC11eq /112.5 Kg CFC11</w:t>
      </w:r>
      <w:r w:rsidR="00B16AC6" w:rsidRPr="00E32653">
        <w:rPr>
          <w:rFonts w:asciiTheme="majorBidi" w:hAnsiTheme="majorBidi" w:cstheme="majorBidi"/>
        </w:rPr>
        <w:t>eq)</w:t>
      </w:r>
      <w:r w:rsidR="007E22A7" w:rsidRPr="00E32653">
        <w:rPr>
          <w:rFonts w:asciiTheme="majorBidi" w:hAnsiTheme="majorBidi" w:cstheme="majorBidi"/>
        </w:rPr>
        <w:t>,</w:t>
      </w:r>
      <w:r w:rsidR="00B16AC6" w:rsidRPr="00E32653">
        <w:rPr>
          <w:rFonts w:asciiTheme="majorBidi" w:hAnsiTheme="majorBidi" w:cstheme="majorBidi"/>
        </w:rPr>
        <w:t xml:space="preserve"> respectively. </w:t>
      </w:r>
      <w:r w:rsidR="001162EB" w:rsidRPr="00E32653">
        <w:rPr>
          <w:rFonts w:asciiTheme="majorBidi" w:hAnsiTheme="majorBidi" w:cstheme="majorBidi"/>
        </w:rPr>
        <w:t xml:space="preserve">LVL has a lower emission for both softwood and hardwood production. The </w:t>
      </w:r>
      <w:r w:rsidR="00E66F62" w:rsidRPr="00E32653">
        <w:rPr>
          <w:rFonts w:asciiTheme="majorBidi" w:hAnsiTheme="majorBidi" w:cstheme="majorBidi"/>
        </w:rPr>
        <w:t>wood, adhesive</w:t>
      </w:r>
      <w:r w:rsidR="007E22A7" w:rsidRPr="00E32653">
        <w:rPr>
          <w:rFonts w:asciiTheme="majorBidi" w:hAnsiTheme="majorBidi" w:cstheme="majorBidi"/>
        </w:rPr>
        <w:t>,</w:t>
      </w:r>
      <w:r w:rsidR="00E66F62" w:rsidRPr="00E32653">
        <w:rPr>
          <w:rFonts w:asciiTheme="majorBidi" w:hAnsiTheme="majorBidi" w:cstheme="majorBidi"/>
        </w:rPr>
        <w:t xml:space="preserve"> and chemical</w:t>
      </w:r>
      <w:r w:rsidR="007E22A7" w:rsidRPr="00E32653">
        <w:rPr>
          <w:rFonts w:asciiTheme="majorBidi" w:hAnsiTheme="majorBidi" w:cstheme="majorBidi"/>
        </w:rPr>
        <w:t xml:space="preserve"> </w:t>
      </w:r>
      <w:r w:rsidR="00626175" w:rsidRPr="00E32653">
        <w:rPr>
          <w:rFonts w:asciiTheme="majorBidi" w:hAnsiTheme="majorBidi" w:cstheme="majorBidi"/>
        </w:rPr>
        <w:t xml:space="preserve">emissions </w:t>
      </w:r>
      <w:r w:rsidR="007E22A7" w:rsidRPr="00E32653">
        <w:rPr>
          <w:rFonts w:asciiTheme="majorBidi" w:hAnsiTheme="majorBidi" w:cstheme="majorBidi"/>
        </w:rPr>
        <w:t>for LVL-h and LVL-s are 28 CFC11eq / 25.8 CFC11eq, 39.3 CFC11eq /39.3 CFC11eq and 65.5 CFC11eq /65.5 CFC11</w:t>
      </w:r>
      <w:r w:rsidR="001162EB" w:rsidRPr="00E32653">
        <w:rPr>
          <w:rFonts w:asciiTheme="majorBidi" w:hAnsiTheme="majorBidi" w:cstheme="majorBidi"/>
        </w:rPr>
        <w:t>eq</w:t>
      </w:r>
      <w:r w:rsidR="007E22A7" w:rsidRPr="00E32653">
        <w:rPr>
          <w:rFonts w:asciiTheme="majorBidi" w:hAnsiTheme="majorBidi" w:cstheme="majorBidi"/>
        </w:rPr>
        <w:t>,</w:t>
      </w:r>
      <w:r w:rsidR="001162EB" w:rsidRPr="00E32653">
        <w:rPr>
          <w:rFonts w:asciiTheme="majorBidi" w:hAnsiTheme="majorBidi" w:cstheme="majorBidi"/>
        </w:rPr>
        <w:t xml:space="preserve"> respectively. </w:t>
      </w:r>
      <w:r w:rsidR="004317CA" w:rsidRPr="00E32653">
        <w:rPr>
          <w:rFonts w:asciiTheme="majorBidi" w:hAnsiTheme="majorBidi" w:cstheme="majorBidi"/>
        </w:rPr>
        <w:t xml:space="preserve">This </w:t>
      </w:r>
      <w:r w:rsidR="00726986" w:rsidRPr="00E32653">
        <w:rPr>
          <w:rFonts w:asciiTheme="majorBidi" w:hAnsiTheme="majorBidi" w:cstheme="majorBidi"/>
        </w:rPr>
        <w:t>shows that GLT buildings ha</w:t>
      </w:r>
      <w:r w:rsidR="004317CA" w:rsidRPr="00E32653">
        <w:rPr>
          <w:rFonts w:asciiTheme="majorBidi" w:hAnsiTheme="majorBidi" w:cstheme="majorBidi"/>
        </w:rPr>
        <w:t xml:space="preserve">ve </w:t>
      </w:r>
      <w:r w:rsidR="00726986" w:rsidRPr="00E32653">
        <w:rPr>
          <w:rFonts w:asciiTheme="majorBidi" w:hAnsiTheme="majorBidi" w:cstheme="majorBidi"/>
        </w:rPr>
        <w:t xml:space="preserve">a higher positive value in the last stage of </w:t>
      </w:r>
      <w:r w:rsidR="004317CA" w:rsidRPr="00E32653">
        <w:rPr>
          <w:rFonts w:asciiTheme="majorBidi" w:hAnsiTheme="majorBidi" w:cstheme="majorBidi"/>
        </w:rPr>
        <w:t xml:space="preserve">a </w:t>
      </w:r>
      <w:r w:rsidR="00726986" w:rsidRPr="00E32653">
        <w:rPr>
          <w:rFonts w:asciiTheme="majorBidi" w:hAnsiTheme="majorBidi" w:cstheme="majorBidi"/>
        </w:rPr>
        <w:t>building</w:t>
      </w:r>
      <w:r w:rsidR="000131AB" w:rsidRPr="00E32653">
        <w:rPr>
          <w:rFonts w:asciiTheme="majorBidi" w:hAnsiTheme="majorBidi" w:cstheme="majorBidi"/>
        </w:rPr>
        <w:t>'</w:t>
      </w:r>
      <w:r w:rsidR="007E22A7" w:rsidRPr="00E32653">
        <w:rPr>
          <w:rFonts w:asciiTheme="majorBidi" w:hAnsiTheme="majorBidi" w:cstheme="majorBidi"/>
        </w:rPr>
        <w:t>s</w:t>
      </w:r>
      <w:r w:rsidR="00726986" w:rsidRPr="00E32653">
        <w:rPr>
          <w:rFonts w:asciiTheme="majorBidi" w:hAnsiTheme="majorBidi" w:cstheme="majorBidi"/>
        </w:rPr>
        <w:t xml:space="preserve"> life span. </w:t>
      </w:r>
      <w:r w:rsidR="00187896" w:rsidRPr="00E32653">
        <w:rPr>
          <w:rFonts w:asciiTheme="majorBidi" w:hAnsiTheme="majorBidi" w:cstheme="majorBidi"/>
        </w:rPr>
        <w:t xml:space="preserve">This </w:t>
      </w:r>
      <w:r w:rsidR="00D63802" w:rsidRPr="00E32653">
        <w:rPr>
          <w:rFonts w:asciiTheme="majorBidi" w:hAnsiTheme="majorBidi" w:cstheme="majorBidi"/>
        </w:rPr>
        <w:t>includes deductions for</w:t>
      </w:r>
      <w:r w:rsidR="007E22A7" w:rsidRPr="00E32653">
        <w:rPr>
          <w:rFonts w:asciiTheme="majorBidi" w:hAnsiTheme="majorBidi" w:cstheme="majorBidi"/>
        </w:rPr>
        <w:t xml:space="preserve"> </w:t>
      </w:r>
      <w:r w:rsidR="00656FDA" w:rsidRPr="00E32653">
        <w:rPr>
          <w:rFonts w:asciiTheme="majorBidi" w:hAnsiTheme="majorBidi" w:cstheme="majorBidi"/>
        </w:rPr>
        <w:t>the emission</w:t>
      </w:r>
      <w:r w:rsidR="004317CA" w:rsidRPr="00E32653">
        <w:rPr>
          <w:rFonts w:asciiTheme="majorBidi" w:hAnsiTheme="majorBidi" w:cstheme="majorBidi"/>
        </w:rPr>
        <w:t>s</w:t>
      </w:r>
      <w:r w:rsidR="00656FDA" w:rsidRPr="00E32653">
        <w:rPr>
          <w:rFonts w:asciiTheme="majorBidi" w:hAnsiTheme="majorBidi" w:cstheme="majorBidi"/>
        </w:rPr>
        <w:t xml:space="preserve"> </w:t>
      </w:r>
      <w:r w:rsidR="004317CA" w:rsidRPr="00E32653">
        <w:rPr>
          <w:rFonts w:asciiTheme="majorBidi" w:hAnsiTheme="majorBidi" w:cstheme="majorBidi"/>
        </w:rPr>
        <w:t xml:space="preserve">from the </w:t>
      </w:r>
      <w:r w:rsidR="00656FDA" w:rsidRPr="00E32653">
        <w:rPr>
          <w:rFonts w:asciiTheme="majorBidi" w:hAnsiTheme="majorBidi" w:cstheme="majorBidi"/>
        </w:rPr>
        <w:t>demolition and transportation stage</w:t>
      </w:r>
      <w:r w:rsidR="00F81741" w:rsidRPr="00E32653">
        <w:rPr>
          <w:rFonts w:asciiTheme="majorBidi" w:hAnsiTheme="majorBidi" w:cstheme="majorBidi"/>
        </w:rPr>
        <w:t>s</w:t>
      </w:r>
      <w:r w:rsidR="00656FDA" w:rsidRPr="00E32653">
        <w:rPr>
          <w:rFonts w:asciiTheme="majorBidi" w:hAnsiTheme="majorBidi" w:cstheme="majorBidi"/>
        </w:rPr>
        <w:t xml:space="preserve"> (C1 &amp; C2). </w:t>
      </w:r>
      <w:r w:rsidR="008B1778" w:rsidRPr="00E32653">
        <w:rPr>
          <w:rFonts w:asciiTheme="majorBidi" w:hAnsiTheme="majorBidi" w:cstheme="majorBidi"/>
        </w:rPr>
        <w:t>The total OLD emission</w:t>
      </w:r>
      <w:r w:rsidR="00C41013" w:rsidRPr="00E32653">
        <w:rPr>
          <w:rFonts w:asciiTheme="majorBidi" w:hAnsiTheme="majorBidi" w:cstheme="majorBidi"/>
        </w:rPr>
        <w:t>s</w:t>
      </w:r>
      <w:r w:rsidR="008B1778" w:rsidRPr="00E32653">
        <w:rPr>
          <w:rFonts w:asciiTheme="majorBidi" w:hAnsiTheme="majorBidi" w:cstheme="majorBidi"/>
        </w:rPr>
        <w:t xml:space="preserve"> are </w:t>
      </w:r>
      <w:r w:rsidR="008B1778" w:rsidRPr="00E32653">
        <w:rPr>
          <w:rFonts w:asciiTheme="majorBidi" w:eastAsia="Times New Roman" w:hAnsiTheme="majorBidi" w:cstheme="majorBidi"/>
        </w:rPr>
        <w:t>208.9</w:t>
      </w:r>
      <w:r w:rsidR="008B1778" w:rsidRPr="00E32653">
        <w:rPr>
          <w:rFonts w:asciiTheme="majorBidi" w:hAnsiTheme="majorBidi" w:cstheme="majorBidi"/>
        </w:rPr>
        <w:t xml:space="preserve"> Kg CFC11eq, </w:t>
      </w:r>
      <w:r w:rsidR="008B1778" w:rsidRPr="00E32653">
        <w:rPr>
          <w:rFonts w:asciiTheme="majorBidi" w:eastAsia="Times New Roman" w:hAnsiTheme="majorBidi" w:cstheme="majorBidi"/>
        </w:rPr>
        <w:t>204.7</w:t>
      </w:r>
      <w:r w:rsidR="008B1778" w:rsidRPr="00E32653">
        <w:rPr>
          <w:rFonts w:asciiTheme="majorBidi" w:hAnsiTheme="majorBidi" w:cstheme="majorBidi"/>
        </w:rPr>
        <w:t xml:space="preserve"> Kg CFC11eq</w:t>
      </w:r>
      <w:r w:rsidR="008B1778" w:rsidRPr="00E32653">
        <w:rPr>
          <w:rFonts w:asciiTheme="majorBidi" w:eastAsia="Times New Roman" w:hAnsiTheme="majorBidi" w:cstheme="majorBidi"/>
        </w:rPr>
        <w:t>, 130.8</w:t>
      </w:r>
      <w:r w:rsidR="008B1778" w:rsidRPr="00E32653">
        <w:rPr>
          <w:rFonts w:asciiTheme="majorBidi" w:hAnsiTheme="majorBidi" w:cstheme="majorBidi"/>
        </w:rPr>
        <w:t xml:space="preserve"> Kg CFC11eq</w:t>
      </w:r>
      <w:r w:rsidR="008B1778" w:rsidRPr="00E32653">
        <w:rPr>
          <w:rFonts w:asciiTheme="majorBidi" w:eastAsia="Times New Roman" w:hAnsiTheme="majorBidi" w:cstheme="majorBidi"/>
        </w:rPr>
        <w:t>, and 128</w:t>
      </w:r>
      <w:r w:rsidR="008B1778" w:rsidRPr="00E32653">
        <w:rPr>
          <w:rFonts w:asciiTheme="majorBidi" w:hAnsiTheme="majorBidi" w:cstheme="majorBidi"/>
        </w:rPr>
        <w:t xml:space="preserve"> Kg CFC11eq respectively for GLT (hardwood/softwood) and LVL(hardwood/softwood).</w:t>
      </w:r>
    </w:p>
    <w:p w14:paraId="685F9C37" w14:textId="0294D366" w:rsidR="00583430" w:rsidRPr="00E32653" w:rsidRDefault="007561FE" w:rsidP="00427863">
      <w:pPr>
        <w:pStyle w:val="ListParagraph"/>
        <w:spacing w:line="276" w:lineRule="auto"/>
        <w:ind w:left="0" w:firstLine="720"/>
        <w:jc w:val="both"/>
        <w:rPr>
          <w:rFonts w:asciiTheme="majorBidi" w:hAnsiTheme="majorBidi" w:cstheme="majorBidi"/>
        </w:rPr>
      </w:pPr>
      <w:r w:rsidRPr="00E32653">
        <w:rPr>
          <w:rFonts w:asciiTheme="majorBidi" w:hAnsiTheme="majorBidi" w:cstheme="majorBidi"/>
        </w:rPr>
        <w:t>The third environment</w:t>
      </w:r>
      <w:r w:rsidR="001967AC" w:rsidRPr="00E32653">
        <w:rPr>
          <w:rFonts w:asciiTheme="majorBidi" w:hAnsiTheme="majorBidi" w:cstheme="majorBidi"/>
        </w:rPr>
        <w:t>al</w:t>
      </w:r>
      <w:r w:rsidRPr="00E32653">
        <w:rPr>
          <w:rFonts w:asciiTheme="majorBidi" w:hAnsiTheme="majorBidi" w:cstheme="majorBidi"/>
        </w:rPr>
        <w:t xml:space="preserve"> category </w:t>
      </w:r>
      <w:r w:rsidR="001967AC" w:rsidRPr="00E32653">
        <w:rPr>
          <w:rFonts w:asciiTheme="majorBidi" w:hAnsiTheme="majorBidi" w:cstheme="majorBidi"/>
        </w:rPr>
        <w:t>where</w:t>
      </w:r>
      <w:r w:rsidR="00F81741" w:rsidRPr="00E32653">
        <w:rPr>
          <w:rFonts w:asciiTheme="majorBidi" w:hAnsiTheme="majorBidi" w:cstheme="majorBidi"/>
        </w:rPr>
        <w:t xml:space="preserve"> </w:t>
      </w:r>
      <w:r w:rsidRPr="00E32653">
        <w:rPr>
          <w:rFonts w:asciiTheme="majorBidi" w:hAnsiTheme="majorBidi" w:cstheme="majorBidi"/>
        </w:rPr>
        <w:t>GLT</w:t>
      </w:r>
      <w:r w:rsidR="00F81741" w:rsidRPr="00E32653">
        <w:rPr>
          <w:rFonts w:asciiTheme="majorBidi" w:hAnsiTheme="majorBidi" w:cstheme="majorBidi"/>
        </w:rPr>
        <w:t xml:space="preserve"> shows</w:t>
      </w:r>
      <w:r w:rsidRPr="00E32653">
        <w:rPr>
          <w:rFonts w:asciiTheme="majorBidi" w:hAnsiTheme="majorBidi" w:cstheme="majorBidi"/>
        </w:rPr>
        <w:t xml:space="preserve"> higher emission</w:t>
      </w:r>
      <w:r w:rsidR="001967AC" w:rsidRPr="00E32653">
        <w:rPr>
          <w:rFonts w:asciiTheme="majorBidi" w:hAnsiTheme="majorBidi" w:cstheme="majorBidi"/>
        </w:rPr>
        <w:t>s</w:t>
      </w:r>
      <w:r w:rsidRPr="00E32653">
        <w:rPr>
          <w:rFonts w:asciiTheme="majorBidi" w:hAnsiTheme="majorBidi" w:cstheme="majorBidi"/>
        </w:rPr>
        <w:t xml:space="preserve"> than LVL is </w:t>
      </w:r>
      <w:r w:rsidR="001967AC" w:rsidRPr="00E32653">
        <w:rPr>
          <w:rFonts w:asciiTheme="majorBidi" w:hAnsiTheme="majorBidi" w:cstheme="majorBidi"/>
        </w:rPr>
        <w:t>Land Use (</w:t>
      </w:r>
      <w:r w:rsidR="00F81741" w:rsidRPr="00E32653">
        <w:rPr>
          <w:rFonts w:asciiTheme="majorBidi" w:hAnsiTheme="majorBidi" w:cstheme="majorBidi"/>
        </w:rPr>
        <w:t>LU</w:t>
      </w:r>
      <w:r w:rsidR="001967AC" w:rsidRPr="00E32653">
        <w:rPr>
          <w:rFonts w:asciiTheme="majorBidi" w:hAnsiTheme="majorBidi" w:cstheme="majorBidi"/>
        </w:rPr>
        <w:t>)</w:t>
      </w:r>
      <w:r w:rsidRPr="00E32653">
        <w:rPr>
          <w:rFonts w:asciiTheme="majorBidi" w:hAnsiTheme="majorBidi" w:cstheme="majorBidi"/>
        </w:rPr>
        <w:t xml:space="preserve">. </w:t>
      </w:r>
      <w:r w:rsidR="001052BF" w:rsidRPr="00E32653">
        <w:rPr>
          <w:rFonts w:asciiTheme="majorBidi" w:hAnsiTheme="majorBidi" w:cstheme="majorBidi"/>
        </w:rPr>
        <w:t>The manufacturing emission</w:t>
      </w:r>
      <w:r w:rsidR="001967AC" w:rsidRPr="00E32653">
        <w:rPr>
          <w:rFonts w:asciiTheme="majorBidi" w:hAnsiTheme="majorBidi" w:cstheme="majorBidi"/>
        </w:rPr>
        <w:t>s for</w:t>
      </w:r>
      <w:r w:rsidR="001052BF" w:rsidRPr="00E32653">
        <w:rPr>
          <w:rFonts w:asciiTheme="majorBidi" w:hAnsiTheme="majorBidi" w:cstheme="majorBidi"/>
        </w:rPr>
        <w:t xml:space="preserve"> GLT </w:t>
      </w:r>
      <w:r w:rsidR="001967AC" w:rsidRPr="00E32653">
        <w:rPr>
          <w:rFonts w:asciiTheme="majorBidi" w:hAnsiTheme="majorBidi" w:cstheme="majorBidi"/>
        </w:rPr>
        <w:t xml:space="preserve">are </w:t>
      </w:r>
      <w:r w:rsidR="001052BF" w:rsidRPr="00E32653">
        <w:rPr>
          <w:rFonts w:asciiTheme="majorBidi" w:hAnsiTheme="majorBidi" w:cstheme="majorBidi"/>
        </w:rPr>
        <w:t xml:space="preserve">58% higher than LVL. </w:t>
      </w:r>
      <w:r w:rsidR="00D81459" w:rsidRPr="00E32653">
        <w:rPr>
          <w:rFonts w:asciiTheme="majorBidi" w:hAnsiTheme="majorBidi" w:cstheme="majorBidi"/>
        </w:rPr>
        <w:t>The high LU impact of GLT relate</w:t>
      </w:r>
      <w:r w:rsidR="001967AC" w:rsidRPr="00E32653">
        <w:rPr>
          <w:rFonts w:asciiTheme="majorBidi" w:hAnsiTheme="majorBidi" w:cstheme="majorBidi"/>
        </w:rPr>
        <w:t>s</w:t>
      </w:r>
      <w:r w:rsidR="00D81459" w:rsidRPr="00E32653">
        <w:rPr>
          <w:rFonts w:asciiTheme="majorBidi" w:hAnsiTheme="majorBidi" w:cstheme="majorBidi"/>
        </w:rPr>
        <w:t xml:space="preserve"> to the use of chemical</w:t>
      </w:r>
      <w:r w:rsidR="00F81741" w:rsidRPr="00E32653">
        <w:rPr>
          <w:rFonts w:asciiTheme="majorBidi" w:hAnsiTheme="majorBidi" w:cstheme="majorBidi"/>
        </w:rPr>
        <w:t>s</w:t>
      </w:r>
      <w:r w:rsidR="00D81459" w:rsidRPr="00E32653">
        <w:rPr>
          <w:rFonts w:asciiTheme="majorBidi" w:hAnsiTheme="majorBidi" w:cstheme="majorBidi"/>
        </w:rPr>
        <w:t xml:space="preserve"> during manufacturing</w:t>
      </w:r>
      <w:r w:rsidR="001967AC" w:rsidRPr="00E32653">
        <w:rPr>
          <w:rFonts w:asciiTheme="majorBidi" w:hAnsiTheme="majorBidi" w:cstheme="majorBidi"/>
        </w:rPr>
        <w:t>. These</w:t>
      </w:r>
      <w:r w:rsidR="00D81459" w:rsidRPr="00E32653">
        <w:rPr>
          <w:rFonts w:asciiTheme="majorBidi" w:hAnsiTheme="majorBidi" w:cstheme="majorBidi"/>
        </w:rPr>
        <w:t xml:space="preserve"> contributed almost 40% of </w:t>
      </w:r>
      <w:r w:rsidR="00AB0523" w:rsidRPr="00E32653">
        <w:rPr>
          <w:rFonts w:asciiTheme="majorBidi" w:hAnsiTheme="majorBidi" w:cstheme="majorBidi"/>
        </w:rPr>
        <w:t xml:space="preserve">the </w:t>
      </w:r>
      <w:r w:rsidR="00D81459" w:rsidRPr="00E32653">
        <w:rPr>
          <w:rFonts w:asciiTheme="majorBidi" w:hAnsiTheme="majorBidi" w:cstheme="majorBidi"/>
        </w:rPr>
        <w:t>total LU manufacturing stage emission</w:t>
      </w:r>
      <w:r w:rsidR="00CD00EA" w:rsidRPr="00E32653">
        <w:rPr>
          <w:rFonts w:asciiTheme="majorBidi" w:hAnsiTheme="majorBidi" w:cstheme="majorBidi"/>
        </w:rPr>
        <w:t>s</w:t>
      </w:r>
      <w:r w:rsidR="00D81459" w:rsidRPr="00E32653">
        <w:rPr>
          <w:rFonts w:asciiTheme="majorBidi" w:hAnsiTheme="majorBidi" w:cstheme="majorBidi"/>
        </w:rPr>
        <w:t>.</w:t>
      </w:r>
      <w:r w:rsidR="001052BF" w:rsidRPr="00E32653">
        <w:rPr>
          <w:rFonts w:asciiTheme="majorBidi" w:hAnsiTheme="majorBidi" w:cstheme="majorBidi"/>
        </w:rPr>
        <w:t xml:space="preserve"> </w:t>
      </w:r>
      <w:r w:rsidR="00D81459" w:rsidRPr="00E32653">
        <w:rPr>
          <w:rFonts w:asciiTheme="majorBidi" w:hAnsiTheme="majorBidi" w:cstheme="majorBidi"/>
        </w:rPr>
        <w:t>The adhesive</w:t>
      </w:r>
      <w:r w:rsidR="00855FF3" w:rsidRPr="00E32653">
        <w:rPr>
          <w:rFonts w:asciiTheme="majorBidi" w:hAnsiTheme="majorBidi" w:cstheme="majorBidi"/>
        </w:rPr>
        <w:t>s</w:t>
      </w:r>
      <w:r w:rsidR="00D81459" w:rsidRPr="00E32653">
        <w:rPr>
          <w:rFonts w:asciiTheme="majorBidi" w:hAnsiTheme="majorBidi" w:cstheme="majorBidi"/>
        </w:rPr>
        <w:t xml:space="preserve"> </w:t>
      </w:r>
      <w:r w:rsidR="001967AC" w:rsidRPr="00E32653">
        <w:rPr>
          <w:rFonts w:asciiTheme="majorBidi" w:hAnsiTheme="majorBidi" w:cstheme="majorBidi"/>
        </w:rPr>
        <w:t>had the</w:t>
      </w:r>
      <w:r w:rsidR="00D81459" w:rsidRPr="00E32653">
        <w:rPr>
          <w:rFonts w:asciiTheme="majorBidi" w:hAnsiTheme="majorBidi" w:cstheme="majorBidi"/>
        </w:rPr>
        <w:t xml:space="preserve"> second major LU </w:t>
      </w:r>
      <w:r w:rsidR="00DF1846" w:rsidRPr="00E32653">
        <w:rPr>
          <w:rFonts w:asciiTheme="majorBidi" w:hAnsiTheme="majorBidi" w:cstheme="majorBidi"/>
        </w:rPr>
        <w:t xml:space="preserve">impact, </w:t>
      </w:r>
      <w:r w:rsidR="001967AC" w:rsidRPr="00E32653">
        <w:rPr>
          <w:rFonts w:asciiTheme="majorBidi" w:hAnsiTheme="majorBidi" w:cstheme="majorBidi"/>
        </w:rPr>
        <w:t xml:space="preserve">and </w:t>
      </w:r>
      <w:r w:rsidR="00D81459" w:rsidRPr="00E32653">
        <w:rPr>
          <w:rFonts w:asciiTheme="majorBidi" w:hAnsiTheme="majorBidi" w:cstheme="majorBidi"/>
        </w:rPr>
        <w:t xml:space="preserve">contributed 35% of </w:t>
      </w:r>
      <w:r w:rsidR="001967AC" w:rsidRPr="00E32653">
        <w:rPr>
          <w:rFonts w:asciiTheme="majorBidi" w:hAnsiTheme="majorBidi" w:cstheme="majorBidi"/>
        </w:rPr>
        <w:t xml:space="preserve">total </w:t>
      </w:r>
      <w:r w:rsidR="00D81459" w:rsidRPr="00E32653">
        <w:rPr>
          <w:rFonts w:asciiTheme="majorBidi" w:hAnsiTheme="majorBidi" w:cstheme="majorBidi"/>
        </w:rPr>
        <w:t>emission</w:t>
      </w:r>
      <w:r w:rsidR="001967AC" w:rsidRPr="00E32653">
        <w:rPr>
          <w:rFonts w:asciiTheme="majorBidi" w:hAnsiTheme="majorBidi" w:cstheme="majorBidi"/>
        </w:rPr>
        <w:t>s</w:t>
      </w:r>
      <w:r w:rsidR="00D81459" w:rsidRPr="00E32653">
        <w:rPr>
          <w:rFonts w:asciiTheme="majorBidi" w:hAnsiTheme="majorBidi" w:cstheme="majorBidi"/>
        </w:rPr>
        <w:t xml:space="preserve"> </w:t>
      </w:r>
      <w:r w:rsidR="00F81741" w:rsidRPr="00E32653">
        <w:rPr>
          <w:rFonts w:asciiTheme="majorBidi" w:hAnsiTheme="majorBidi" w:cstheme="majorBidi"/>
        </w:rPr>
        <w:t>in</w:t>
      </w:r>
      <w:r w:rsidR="00D81459" w:rsidRPr="00E32653">
        <w:rPr>
          <w:rFonts w:asciiTheme="majorBidi" w:hAnsiTheme="majorBidi" w:cstheme="majorBidi"/>
        </w:rPr>
        <w:t xml:space="preserve"> </w:t>
      </w:r>
      <w:r w:rsidR="001967AC" w:rsidRPr="00E32653">
        <w:rPr>
          <w:rFonts w:asciiTheme="majorBidi" w:hAnsiTheme="majorBidi" w:cstheme="majorBidi"/>
        </w:rPr>
        <w:t xml:space="preserve">the </w:t>
      </w:r>
      <w:r w:rsidR="00D81459" w:rsidRPr="00E32653">
        <w:rPr>
          <w:rFonts w:asciiTheme="majorBidi" w:hAnsiTheme="majorBidi" w:cstheme="majorBidi"/>
        </w:rPr>
        <w:t xml:space="preserve">manufacturing stage for both LVL and GLT. </w:t>
      </w:r>
      <w:r w:rsidR="00155FFE" w:rsidRPr="00E32653">
        <w:rPr>
          <w:rFonts w:asciiTheme="majorBidi" w:hAnsiTheme="majorBidi" w:cstheme="majorBidi"/>
        </w:rPr>
        <w:t>Transportation</w:t>
      </w:r>
      <w:r w:rsidR="00F822DE" w:rsidRPr="00E32653">
        <w:rPr>
          <w:rFonts w:asciiTheme="majorBidi" w:hAnsiTheme="majorBidi" w:cstheme="majorBidi"/>
        </w:rPr>
        <w:t xml:space="preserve"> ha</w:t>
      </w:r>
      <w:r w:rsidR="00855FF3" w:rsidRPr="00E32653">
        <w:rPr>
          <w:rFonts w:asciiTheme="majorBidi" w:hAnsiTheme="majorBidi" w:cstheme="majorBidi"/>
        </w:rPr>
        <w:t>d</w:t>
      </w:r>
      <w:r w:rsidR="00F822DE" w:rsidRPr="00E32653">
        <w:rPr>
          <w:rFonts w:asciiTheme="majorBidi" w:hAnsiTheme="majorBidi" w:cstheme="majorBidi"/>
        </w:rPr>
        <w:t xml:space="preserve"> a negligible impact</w:t>
      </w:r>
      <w:r w:rsidR="006B1608" w:rsidRPr="00E32653">
        <w:rPr>
          <w:rFonts w:asciiTheme="majorBidi" w:hAnsiTheme="majorBidi" w:cstheme="majorBidi"/>
        </w:rPr>
        <w:t xml:space="preserve"> (2.2%)</w:t>
      </w:r>
      <w:r w:rsidR="00F822DE" w:rsidRPr="00E32653">
        <w:rPr>
          <w:rFonts w:asciiTheme="majorBidi" w:hAnsiTheme="majorBidi" w:cstheme="majorBidi"/>
        </w:rPr>
        <w:t xml:space="preserve"> for all four scenario</w:t>
      </w:r>
      <w:r w:rsidR="00F81741" w:rsidRPr="00E32653">
        <w:rPr>
          <w:rFonts w:asciiTheme="majorBidi" w:hAnsiTheme="majorBidi" w:cstheme="majorBidi"/>
        </w:rPr>
        <w:t>s</w:t>
      </w:r>
      <w:r w:rsidR="00F822DE" w:rsidRPr="00E32653">
        <w:rPr>
          <w:rFonts w:asciiTheme="majorBidi" w:hAnsiTheme="majorBidi" w:cstheme="majorBidi"/>
        </w:rPr>
        <w:t xml:space="preserve"> while it contributed slightly higher emission</w:t>
      </w:r>
      <w:r w:rsidR="001967AC" w:rsidRPr="00E32653">
        <w:rPr>
          <w:rFonts w:asciiTheme="majorBidi" w:hAnsiTheme="majorBidi" w:cstheme="majorBidi"/>
        </w:rPr>
        <w:t>s</w:t>
      </w:r>
      <w:r w:rsidR="00F822DE" w:rsidRPr="00E32653">
        <w:rPr>
          <w:rFonts w:asciiTheme="majorBidi" w:hAnsiTheme="majorBidi" w:cstheme="majorBidi"/>
        </w:rPr>
        <w:t xml:space="preserve"> for LVL due to </w:t>
      </w:r>
      <w:r w:rsidR="001967AC" w:rsidRPr="00E32653">
        <w:rPr>
          <w:rFonts w:asciiTheme="majorBidi" w:hAnsiTheme="majorBidi" w:cstheme="majorBidi"/>
        </w:rPr>
        <w:t xml:space="preserve">the </w:t>
      </w:r>
      <w:r w:rsidR="00F822DE" w:rsidRPr="00E32653">
        <w:rPr>
          <w:rFonts w:asciiTheme="majorBidi" w:hAnsiTheme="majorBidi" w:cstheme="majorBidi"/>
        </w:rPr>
        <w:t>prefabricated construction method</w:t>
      </w:r>
      <w:r w:rsidR="001967AC" w:rsidRPr="00E32653">
        <w:rPr>
          <w:rFonts w:asciiTheme="majorBidi" w:hAnsiTheme="majorBidi" w:cstheme="majorBidi"/>
        </w:rPr>
        <w:t xml:space="preserve"> of this approach</w:t>
      </w:r>
      <w:r w:rsidR="00F822DE" w:rsidRPr="00E32653">
        <w:rPr>
          <w:rFonts w:asciiTheme="majorBidi" w:hAnsiTheme="majorBidi" w:cstheme="majorBidi"/>
        </w:rPr>
        <w:t xml:space="preserve">. </w:t>
      </w:r>
      <w:r w:rsidR="00C558FC" w:rsidRPr="00E32653">
        <w:rPr>
          <w:rFonts w:asciiTheme="majorBidi" w:hAnsiTheme="majorBidi" w:cstheme="majorBidi"/>
        </w:rPr>
        <w:t>Additionally,</w:t>
      </w:r>
      <w:r w:rsidR="00484832" w:rsidRPr="00E32653">
        <w:rPr>
          <w:rFonts w:asciiTheme="majorBidi" w:hAnsiTheme="majorBidi" w:cstheme="majorBidi"/>
        </w:rPr>
        <w:t xml:space="preserve"> </w:t>
      </w:r>
      <w:r w:rsidR="001052BF" w:rsidRPr="00E32653">
        <w:rPr>
          <w:rFonts w:asciiTheme="majorBidi" w:hAnsiTheme="majorBidi" w:cstheme="majorBidi"/>
        </w:rPr>
        <w:t xml:space="preserve">the </w:t>
      </w:r>
      <w:r w:rsidR="003001E8" w:rsidRPr="00E32653">
        <w:rPr>
          <w:rFonts w:asciiTheme="majorBidi" w:hAnsiTheme="majorBidi" w:cstheme="majorBidi"/>
        </w:rPr>
        <w:t>end-of-life</w:t>
      </w:r>
      <w:r w:rsidR="001052BF" w:rsidRPr="00E32653">
        <w:rPr>
          <w:rFonts w:asciiTheme="majorBidi" w:hAnsiTheme="majorBidi" w:cstheme="majorBidi"/>
        </w:rPr>
        <w:t xml:space="preserve"> saving</w:t>
      </w:r>
      <w:r w:rsidR="003001E8" w:rsidRPr="00E32653">
        <w:rPr>
          <w:rFonts w:asciiTheme="majorBidi" w:hAnsiTheme="majorBidi" w:cstheme="majorBidi"/>
        </w:rPr>
        <w:t>s</w:t>
      </w:r>
      <w:r w:rsidR="001052BF" w:rsidRPr="00E32653">
        <w:rPr>
          <w:rFonts w:asciiTheme="majorBidi" w:hAnsiTheme="majorBidi" w:cstheme="majorBidi"/>
        </w:rPr>
        <w:t xml:space="preserve"> </w:t>
      </w:r>
      <w:r w:rsidR="00AB1899" w:rsidRPr="00E32653">
        <w:rPr>
          <w:rFonts w:asciiTheme="majorBidi" w:hAnsiTheme="majorBidi" w:cstheme="majorBidi"/>
        </w:rPr>
        <w:t xml:space="preserve">of </w:t>
      </w:r>
      <w:r w:rsidR="00155FFE" w:rsidRPr="00E32653">
        <w:rPr>
          <w:rFonts w:asciiTheme="majorBidi" w:hAnsiTheme="majorBidi" w:cstheme="majorBidi"/>
        </w:rPr>
        <w:t xml:space="preserve">GLT </w:t>
      </w:r>
      <w:r w:rsidR="00855FF3" w:rsidRPr="00E32653">
        <w:rPr>
          <w:rFonts w:asciiTheme="majorBidi" w:hAnsiTheme="majorBidi" w:cstheme="majorBidi"/>
        </w:rPr>
        <w:t xml:space="preserve">were </w:t>
      </w:r>
      <w:r w:rsidR="00155FFE" w:rsidRPr="00E32653">
        <w:rPr>
          <w:rFonts w:asciiTheme="majorBidi" w:hAnsiTheme="majorBidi" w:cstheme="majorBidi"/>
        </w:rPr>
        <w:t>higher than</w:t>
      </w:r>
      <w:r w:rsidR="00AB1899" w:rsidRPr="00E32653">
        <w:rPr>
          <w:rFonts w:asciiTheme="majorBidi" w:hAnsiTheme="majorBidi" w:cstheme="majorBidi"/>
        </w:rPr>
        <w:t xml:space="preserve"> </w:t>
      </w:r>
      <w:r w:rsidR="001052BF" w:rsidRPr="00E32653">
        <w:rPr>
          <w:rFonts w:asciiTheme="majorBidi" w:hAnsiTheme="majorBidi" w:cstheme="majorBidi"/>
        </w:rPr>
        <w:t xml:space="preserve">LVL by 34%. </w:t>
      </w:r>
      <w:r w:rsidR="00583430" w:rsidRPr="00E32653">
        <w:rPr>
          <w:rFonts w:asciiTheme="majorBidi" w:hAnsiTheme="majorBidi" w:cstheme="majorBidi"/>
        </w:rPr>
        <w:t xml:space="preserve">The total LU impacts are </w:t>
      </w:r>
      <w:r w:rsidR="00583430" w:rsidRPr="00E32653">
        <w:rPr>
          <w:rFonts w:asciiTheme="majorBidi" w:eastAsia="Times New Roman" w:hAnsiTheme="majorBidi" w:cstheme="majorBidi"/>
        </w:rPr>
        <w:t>72.8, 73, 47, and 46 (</w:t>
      </w:r>
      <w:r w:rsidR="00583430" w:rsidRPr="00E32653">
        <w:rPr>
          <w:rFonts w:asciiTheme="majorBidi" w:hAnsiTheme="majorBidi" w:cstheme="majorBidi"/>
        </w:rPr>
        <w:t>m2a crop eq) respectively for GLT (hardwood/softwood) and LVL(hardwood/softwood).</w:t>
      </w:r>
    </w:p>
    <w:p w14:paraId="67ACA0B0" w14:textId="28FC7922" w:rsidR="00583430" w:rsidRPr="00E32653" w:rsidRDefault="00AB1899" w:rsidP="00427863">
      <w:pPr>
        <w:pStyle w:val="ListParagraph"/>
        <w:spacing w:line="276" w:lineRule="auto"/>
        <w:ind w:left="0" w:firstLine="720"/>
        <w:jc w:val="both"/>
        <w:rPr>
          <w:rFonts w:asciiTheme="majorBidi" w:hAnsiTheme="majorBidi" w:cstheme="majorBidi"/>
        </w:rPr>
      </w:pPr>
      <w:r w:rsidRPr="00E32653">
        <w:rPr>
          <w:rFonts w:asciiTheme="majorBidi" w:hAnsiTheme="majorBidi" w:cstheme="majorBidi"/>
        </w:rPr>
        <w:t>The total emission</w:t>
      </w:r>
      <w:r w:rsidR="003001E8" w:rsidRPr="00E32653">
        <w:rPr>
          <w:rFonts w:asciiTheme="majorBidi" w:hAnsiTheme="majorBidi" w:cstheme="majorBidi"/>
        </w:rPr>
        <w:t>s</w:t>
      </w:r>
      <w:r w:rsidRPr="00E32653">
        <w:rPr>
          <w:rFonts w:asciiTheme="majorBidi" w:hAnsiTheme="majorBidi" w:cstheme="majorBidi"/>
        </w:rPr>
        <w:t xml:space="preserve"> </w:t>
      </w:r>
      <w:r w:rsidR="003001E8" w:rsidRPr="00E32653">
        <w:rPr>
          <w:rFonts w:asciiTheme="majorBidi" w:hAnsiTheme="majorBidi" w:cstheme="majorBidi"/>
        </w:rPr>
        <w:t xml:space="preserve">for </w:t>
      </w:r>
      <w:r w:rsidR="00814282" w:rsidRPr="00E32653">
        <w:rPr>
          <w:rFonts w:asciiTheme="majorBidi" w:hAnsiTheme="majorBidi" w:cstheme="majorBidi"/>
        </w:rPr>
        <w:t xml:space="preserve">LVL from environmental impact </w:t>
      </w:r>
      <w:r w:rsidR="004A6AB1" w:rsidRPr="00E32653">
        <w:rPr>
          <w:rFonts w:asciiTheme="majorBidi" w:hAnsiTheme="majorBidi" w:cstheme="majorBidi"/>
        </w:rPr>
        <w:t xml:space="preserve">were </w:t>
      </w:r>
      <w:r w:rsidR="00814282" w:rsidRPr="00E32653">
        <w:rPr>
          <w:rFonts w:asciiTheme="majorBidi" w:hAnsiTheme="majorBidi" w:cstheme="majorBidi"/>
        </w:rPr>
        <w:t>higher for HCT, FD</w:t>
      </w:r>
      <w:r w:rsidRPr="00E32653">
        <w:rPr>
          <w:rFonts w:asciiTheme="majorBidi" w:hAnsiTheme="majorBidi" w:cstheme="majorBidi"/>
        </w:rPr>
        <w:t>,</w:t>
      </w:r>
      <w:r w:rsidR="00814282" w:rsidRPr="00E32653">
        <w:rPr>
          <w:rFonts w:asciiTheme="majorBidi" w:hAnsiTheme="majorBidi" w:cstheme="majorBidi"/>
        </w:rPr>
        <w:t xml:space="preserve"> and TA of LVL compare</w:t>
      </w:r>
      <w:r w:rsidRPr="00E32653">
        <w:rPr>
          <w:rFonts w:asciiTheme="majorBidi" w:hAnsiTheme="majorBidi" w:cstheme="majorBidi"/>
        </w:rPr>
        <w:t>d</w:t>
      </w:r>
      <w:r w:rsidR="00814282" w:rsidRPr="00E32653">
        <w:rPr>
          <w:rFonts w:asciiTheme="majorBidi" w:hAnsiTheme="majorBidi" w:cstheme="majorBidi"/>
        </w:rPr>
        <w:t xml:space="preserve"> to GLT. HCT </w:t>
      </w:r>
      <w:r w:rsidR="004A6AB1" w:rsidRPr="00E32653">
        <w:rPr>
          <w:rFonts w:asciiTheme="majorBidi" w:hAnsiTheme="majorBidi" w:cstheme="majorBidi"/>
        </w:rPr>
        <w:t xml:space="preserve">had </w:t>
      </w:r>
      <w:r w:rsidR="003001E8" w:rsidRPr="00E32653">
        <w:rPr>
          <w:rFonts w:asciiTheme="majorBidi" w:hAnsiTheme="majorBidi" w:cstheme="majorBidi"/>
        </w:rPr>
        <w:t xml:space="preserve">the </w:t>
      </w:r>
      <w:r w:rsidR="00045420" w:rsidRPr="00E32653">
        <w:rPr>
          <w:rFonts w:asciiTheme="majorBidi" w:hAnsiTheme="majorBidi" w:cstheme="majorBidi"/>
        </w:rPr>
        <w:t>highest emission</w:t>
      </w:r>
      <w:r w:rsidR="004A6AB1" w:rsidRPr="00E32653">
        <w:rPr>
          <w:rFonts w:asciiTheme="majorBidi" w:hAnsiTheme="majorBidi" w:cstheme="majorBidi"/>
        </w:rPr>
        <w:t>s</w:t>
      </w:r>
      <w:r w:rsidR="00045420" w:rsidRPr="00E32653">
        <w:rPr>
          <w:rFonts w:asciiTheme="majorBidi" w:hAnsiTheme="majorBidi" w:cstheme="majorBidi"/>
        </w:rPr>
        <w:t xml:space="preserve"> related to</w:t>
      </w:r>
      <w:r w:rsidR="00E0407B" w:rsidRPr="00E32653">
        <w:rPr>
          <w:rFonts w:asciiTheme="majorBidi" w:hAnsiTheme="majorBidi" w:cstheme="majorBidi"/>
        </w:rPr>
        <w:t xml:space="preserve"> </w:t>
      </w:r>
      <w:r w:rsidR="00CD00EA" w:rsidRPr="00E32653">
        <w:rPr>
          <w:rFonts w:asciiTheme="majorBidi" w:hAnsiTheme="majorBidi" w:cstheme="majorBidi"/>
        </w:rPr>
        <w:t xml:space="preserve">the </w:t>
      </w:r>
      <w:r w:rsidR="00E0407B" w:rsidRPr="00E32653">
        <w:rPr>
          <w:rFonts w:asciiTheme="majorBidi" w:hAnsiTheme="majorBidi" w:cstheme="majorBidi"/>
        </w:rPr>
        <w:t xml:space="preserve">chemistry </w:t>
      </w:r>
      <w:r w:rsidR="00045420" w:rsidRPr="00E32653">
        <w:rPr>
          <w:rFonts w:asciiTheme="majorBidi" w:hAnsiTheme="majorBidi" w:cstheme="majorBidi"/>
        </w:rPr>
        <w:t xml:space="preserve">of </w:t>
      </w:r>
      <w:r w:rsidR="00007283" w:rsidRPr="00E32653">
        <w:rPr>
          <w:rFonts w:asciiTheme="majorBidi" w:hAnsiTheme="majorBidi" w:cstheme="majorBidi"/>
        </w:rPr>
        <w:t xml:space="preserve">mass timber </w:t>
      </w:r>
      <w:r w:rsidR="00045420" w:rsidRPr="00E32653">
        <w:rPr>
          <w:rFonts w:asciiTheme="majorBidi" w:hAnsiTheme="majorBidi" w:cstheme="majorBidi"/>
        </w:rPr>
        <w:t>production which contributed 42%. The chemical impact</w:t>
      </w:r>
      <w:r w:rsidR="00153DBE" w:rsidRPr="00E32653">
        <w:rPr>
          <w:rFonts w:asciiTheme="majorBidi" w:hAnsiTheme="majorBidi" w:cstheme="majorBidi"/>
        </w:rPr>
        <w:t>s</w:t>
      </w:r>
      <w:r w:rsidR="00045420" w:rsidRPr="00E32653">
        <w:rPr>
          <w:rFonts w:asciiTheme="majorBidi" w:hAnsiTheme="majorBidi" w:cstheme="majorBidi"/>
        </w:rPr>
        <w:t xml:space="preserve"> for GLT and </w:t>
      </w:r>
      <w:r w:rsidR="00BC0EAE" w:rsidRPr="00E32653">
        <w:rPr>
          <w:rFonts w:asciiTheme="majorBidi" w:hAnsiTheme="majorBidi" w:cstheme="majorBidi"/>
        </w:rPr>
        <w:t>LVL</w:t>
      </w:r>
      <w:r w:rsidR="00045420" w:rsidRPr="00E32653">
        <w:rPr>
          <w:rFonts w:asciiTheme="majorBidi" w:hAnsiTheme="majorBidi" w:cstheme="majorBidi"/>
        </w:rPr>
        <w:t xml:space="preserve"> </w:t>
      </w:r>
      <w:r w:rsidR="004A6AB1" w:rsidRPr="00E32653">
        <w:rPr>
          <w:rFonts w:asciiTheme="majorBidi" w:hAnsiTheme="majorBidi" w:cstheme="majorBidi"/>
        </w:rPr>
        <w:t xml:space="preserve">were </w:t>
      </w:r>
      <w:r w:rsidR="00045420" w:rsidRPr="00E32653">
        <w:rPr>
          <w:rFonts w:asciiTheme="majorBidi" w:hAnsiTheme="majorBidi" w:cstheme="majorBidi"/>
        </w:rPr>
        <w:t xml:space="preserve">779 Kg 1,4 DCB and 879 Kg 1,4 DCB. </w:t>
      </w:r>
      <w:r w:rsidR="00153DBE" w:rsidRPr="00E32653">
        <w:rPr>
          <w:rFonts w:asciiTheme="majorBidi" w:hAnsiTheme="majorBidi" w:cstheme="majorBidi"/>
        </w:rPr>
        <w:t>O</w:t>
      </w:r>
      <w:r w:rsidR="00045420" w:rsidRPr="00E32653">
        <w:rPr>
          <w:rFonts w:asciiTheme="majorBidi" w:hAnsiTheme="majorBidi" w:cstheme="majorBidi"/>
        </w:rPr>
        <w:t xml:space="preserve">verall, </w:t>
      </w:r>
      <w:r w:rsidR="00153DBE" w:rsidRPr="00E32653">
        <w:rPr>
          <w:rFonts w:asciiTheme="majorBidi" w:hAnsiTheme="majorBidi" w:cstheme="majorBidi"/>
        </w:rPr>
        <w:t xml:space="preserve">the </w:t>
      </w:r>
      <w:r w:rsidR="00045420" w:rsidRPr="00E32653">
        <w:rPr>
          <w:rFonts w:asciiTheme="majorBidi" w:hAnsiTheme="majorBidi" w:cstheme="majorBidi"/>
        </w:rPr>
        <w:t xml:space="preserve">manufacturing stage </w:t>
      </w:r>
      <w:r w:rsidR="004A6AB1" w:rsidRPr="00E32653">
        <w:rPr>
          <w:rFonts w:asciiTheme="majorBidi" w:hAnsiTheme="majorBidi" w:cstheme="majorBidi"/>
        </w:rPr>
        <w:t xml:space="preserve">had </w:t>
      </w:r>
      <w:r w:rsidRPr="00E32653">
        <w:rPr>
          <w:rFonts w:asciiTheme="majorBidi" w:hAnsiTheme="majorBidi" w:cstheme="majorBidi"/>
        </w:rPr>
        <w:t xml:space="preserve">the </w:t>
      </w:r>
      <w:r w:rsidR="00045420" w:rsidRPr="00E32653">
        <w:rPr>
          <w:rFonts w:asciiTheme="majorBidi" w:hAnsiTheme="majorBidi" w:cstheme="majorBidi"/>
        </w:rPr>
        <w:t xml:space="preserve">highest HCT emission for all 4 alternatives </w:t>
      </w:r>
      <w:r w:rsidR="00CD00EA" w:rsidRPr="00E32653">
        <w:rPr>
          <w:rFonts w:asciiTheme="majorBidi" w:hAnsiTheme="majorBidi" w:cstheme="majorBidi"/>
        </w:rPr>
        <w:t xml:space="preserve">- </w:t>
      </w:r>
      <w:r w:rsidR="00045420" w:rsidRPr="00E32653">
        <w:rPr>
          <w:rFonts w:asciiTheme="majorBidi" w:hAnsiTheme="majorBidi" w:cstheme="majorBidi"/>
        </w:rPr>
        <w:t>about 194</w:t>
      </w:r>
      <w:r w:rsidR="00AB0523" w:rsidRPr="00E32653">
        <w:rPr>
          <w:rFonts w:asciiTheme="majorBidi" w:hAnsiTheme="majorBidi" w:cstheme="majorBidi"/>
        </w:rPr>
        <w:t>8 Kg 1,4 DCB to 2164 Kg 1,4 DCB</w:t>
      </w:r>
      <w:r w:rsidR="00B21CB4" w:rsidRPr="00E32653">
        <w:rPr>
          <w:rFonts w:asciiTheme="majorBidi" w:hAnsiTheme="majorBidi" w:cstheme="majorBidi"/>
        </w:rPr>
        <w:t xml:space="preserve">. </w:t>
      </w:r>
      <w:r w:rsidR="00583430" w:rsidRPr="00E32653">
        <w:rPr>
          <w:rFonts w:asciiTheme="majorBidi" w:hAnsiTheme="majorBidi" w:cstheme="majorBidi"/>
        </w:rPr>
        <w:t>The total OLD emission</w:t>
      </w:r>
      <w:r w:rsidR="00C41013" w:rsidRPr="00E32653">
        <w:rPr>
          <w:rFonts w:asciiTheme="majorBidi" w:hAnsiTheme="majorBidi" w:cstheme="majorBidi"/>
        </w:rPr>
        <w:t>s</w:t>
      </w:r>
      <w:r w:rsidR="00583430" w:rsidRPr="00E32653">
        <w:rPr>
          <w:rFonts w:asciiTheme="majorBidi" w:hAnsiTheme="majorBidi" w:cstheme="majorBidi"/>
        </w:rPr>
        <w:t xml:space="preserve"> are </w:t>
      </w:r>
      <w:r w:rsidR="00583430" w:rsidRPr="00E32653">
        <w:rPr>
          <w:rFonts w:asciiTheme="majorBidi" w:eastAsia="Times New Roman" w:hAnsiTheme="majorBidi" w:cstheme="majorBidi"/>
        </w:rPr>
        <w:t xml:space="preserve">1771 </w:t>
      </w:r>
      <w:r w:rsidR="00583430" w:rsidRPr="00E32653">
        <w:rPr>
          <w:rFonts w:asciiTheme="majorBidi" w:hAnsiTheme="majorBidi" w:cstheme="majorBidi"/>
        </w:rPr>
        <w:t xml:space="preserve">Kg 1,4 DCB, </w:t>
      </w:r>
      <w:r w:rsidR="00583430" w:rsidRPr="00E32653">
        <w:rPr>
          <w:rFonts w:asciiTheme="majorBidi" w:eastAsia="Times New Roman" w:hAnsiTheme="majorBidi" w:cstheme="majorBidi"/>
        </w:rPr>
        <w:t>1754.</w:t>
      </w:r>
      <w:r w:rsidR="00583430" w:rsidRPr="00E32653">
        <w:rPr>
          <w:rFonts w:asciiTheme="majorBidi" w:hAnsiTheme="majorBidi" w:cstheme="majorBidi"/>
        </w:rPr>
        <w:t>Kg 1,4 DCB</w:t>
      </w:r>
      <w:r w:rsidR="00583430" w:rsidRPr="00E32653">
        <w:rPr>
          <w:rFonts w:asciiTheme="majorBidi" w:eastAsia="Times New Roman" w:hAnsiTheme="majorBidi" w:cstheme="majorBidi"/>
        </w:rPr>
        <w:t xml:space="preserve">, 2118 </w:t>
      </w:r>
      <w:r w:rsidR="00583430" w:rsidRPr="00E32653">
        <w:rPr>
          <w:rFonts w:asciiTheme="majorBidi" w:hAnsiTheme="majorBidi" w:cstheme="majorBidi"/>
        </w:rPr>
        <w:t>Kg 1,4 DCB</w:t>
      </w:r>
      <w:r w:rsidR="00583430" w:rsidRPr="00E32653">
        <w:rPr>
          <w:rFonts w:asciiTheme="majorBidi" w:eastAsia="Times New Roman" w:hAnsiTheme="majorBidi" w:cstheme="majorBidi"/>
        </w:rPr>
        <w:t>, and 2084</w:t>
      </w:r>
      <w:r w:rsidR="00583430" w:rsidRPr="00E32653">
        <w:rPr>
          <w:rFonts w:asciiTheme="majorBidi" w:hAnsiTheme="majorBidi" w:cstheme="majorBidi"/>
        </w:rPr>
        <w:t xml:space="preserve"> Kg 1,4 DCB respectively for GLT (hardwood/softwood) and LVL(hardwood/softwood).</w:t>
      </w:r>
    </w:p>
    <w:p w14:paraId="464E79CB" w14:textId="7EFDB8F0" w:rsidR="00563C85" w:rsidRPr="00E32653" w:rsidRDefault="00B21CB4" w:rsidP="00427863">
      <w:pPr>
        <w:spacing w:line="276" w:lineRule="auto"/>
        <w:ind w:firstLine="720"/>
        <w:jc w:val="both"/>
        <w:rPr>
          <w:rFonts w:asciiTheme="majorBidi" w:hAnsiTheme="majorBidi" w:cstheme="majorBidi"/>
        </w:rPr>
      </w:pPr>
      <w:r w:rsidRPr="00E32653">
        <w:rPr>
          <w:rFonts w:asciiTheme="majorBidi" w:hAnsiTheme="majorBidi" w:cstheme="majorBidi"/>
        </w:rPr>
        <w:t>The chemical stage</w:t>
      </w:r>
      <w:r w:rsidR="00AB0523" w:rsidRPr="00E32653">
        <w:rPr>
          <w:rFonts w:asciiTheme="majorBidi" w:hAnsiTheme="majorBidi" w:cstheme="majorBidi"/>
        </w:rPr>
        <w:t xml:space="preserve"> of FD and TA</w:t>
      </w:r>
      <w:r w:rsidRPr="00E32653">
        <w:rPr>
          <w:rFonts w:asciiTheme="majorBidi" w:hAnsiTheme="majorBidi" w:cstheme="majorBidi"/>
        </w:rPr>
        <w:t xml:space="preserve"> </w:t>
      </w:r>
      <w:r w:rsidR="00E72331" w:rsidRPr="00E32653">
        <w:rPr>
          <w:rFonts w:asciiTheme="majorBidi" w:hAnsiTheme="majorBidi" w:cstheme="majorBidi"/>
        </w:rPr>
        <w:t>contributed</w:t>
      </w:r>
      <w:r w:rsidRPr="00E32653">
        <w:rPr>
          <w:rFonts w:asciiTheme="majorBidi" w:hAnsiTheme="majorBidi" w:cstheme="majorBidi"/>
        </w:rPr>
        <w:t xml:space="preserve"> </w:t>
      </w:r>
      <w:r w:rsidR="00AB0523" w:rsidRPr="00E32653">
        <w:rPr>
          <w:rFonts w:asciiTheme="majorBidi" w:hAnsiTheme="majorBidi" w:cstheme="majorBidi"/>
        </w:rPr>
        <w:t xml:space="preserve">about </w:t>
      </w:r>
      <w:r w:rsidRPr="00E32653">
        <w:rPr>
          <w:rFonts w:asciiTheme="majorBidi" w:hAnsiTheme="majorBidi" w:cstheme="majorBidi"/>
        </w:rPr>
        <w:t xml:space="preserve">47% to 52% of </w:t>
      </w:r>
      <w:r w:rsidR="00AB1899" w:rsidRPr="00E32653">
        <w:rPr>
          <w:rFonts w:asciiTheme="majorBidi" w:hAnsiTheme="majorBidi" w:cstheme="majorBidi"/>
        </w:rPr>
        <w:t xml:space="preserve">the </w:t>
      </w:r>
      <w:r w:rsidRPr="00E32653">
        <w:rPr>
          <w:rFonts w:asciiTheme="majorBidi" w:hAnsiTheme="majorBidi" w:cstheme="majorBidi"/>
        </w:rPr>
        <w:t>total</w:t>
      </w:r>
      <w:r w:rsidR="00AB0523" w:rsidRPr="00E32653">
        <w:rPr>
          <w:rFonts w:asciiTheme="majorBidi" w:hAnsiTheme="majorBidi" w:cstheme="majorBidi"/>
        </w:rPr>
        <w:t xml:space="preserve"> manufacturing process</w:t>
      </w:r>
      <w:r w:rsidR="00E72331" w:rsidRPr="00E32653">
        <w:rPr>
          <w:rFonts w:asciiTheme="majorBidi" w:hAnsiTheme="majorBidi" w:cstheme="majorBidi"/>
        </w:rPr>
        <w:t>.</w:t>
      </w:r>
      <w:r w:rsidR="00D51DCA" w:rsidRPr="00E32653">
        <w:rPr>
          <w:rFonts w:asciiTheme="majorBidi" w:hAnsiTheme="majorBidi" w:cstheme="majorBidi"/>
        </w:rPr>
        <w:t xml:space="preserve"> </w:t>
      </w:r>
      <w:r w:rsidR="009A275A" w:rsidRPr="00E32653">
        <w:rPr>
          <w:rFonts w:asciiTheme="majorBidi" w:hAnsiTheme="majorBidi" w:cstheme="majorBidi"/>
        </w:rPr>
        <w:t>The total FD emission</w:t>
      </w:r>
      <w:r w:rsidR="00C41013" w:rsidRPr="00E32653">
        <w:rPr>
          <w:rFonts w:asciiTheme="majorBidi" w:hAnsiTheme="majorBidi" w:cstheme="majorBidi"/>
        </w:rPr>
        <w:t>s</w:t>
      </w:r>
      <w:r w:rsidR="009A275A" w:rsidRPr="00E32653">
        <w:rPr>
          <w:rFonts w:asciiTheme="majorBidi" w:hAnsiTheme="majorBidi" w:cstheme="majorBidi"/>
        </w:rPr>
        <w:t xml:space="preserve"> are </w:t>
      </w:r>
      <w:r w:rsidR="009A275A" w:rsidRPr="00E32653">
        <w:rPr>
          <w:rFonts w:asciiTheme="majorBidi" w:eastAsia="Times New Roman" w:hAnsiTheme="majorBidi" w:cstheme="majorBidi"/>
        </w:rPr>
        <w:t xml:space="preserve">15414 </w:t>
      </w:r>
      <w:r w:rsidR="009A275A" w:rsidRPr="00E32653">
        <w:rPr>
          <w:rFonts w:asciiTheme="majorBidi" w:hAnsiTheme="majorBidi" w:cstheme="majorBidi"/>
        </w:rPr>
        <w:t xml:space="preserve">Kg oil eq, </w:t>
      </w:r>
      <w:r w:rsidR="009A275A" w:rsidRPr="00E32653">
        <w:rPr>
          <w:rFonts w:asciiTheme="majorBidi" w:eastAsia="Times New Roman" w:hAnsiTheme="majorBidi" w:cstheme="majorBidi"/>
        </w:rPr>
        <w:t xml:space="preserve">15414 </w:t>
      </w:r>
      <w:r w:rsidR="009A275A" w:rsidRPr="00E32653">
        <w:rPr>
          <w:rFonts w:asciiTheme="majorBidi" w:hAnsiTheme="majorBidi" w:cstheme="majorBidi"/>
        </w:rPr>
        <w:t>Kg oil eq</w:t>
      </w:r>
      <w:r w:rsidR="009A275A" w:rsidRPr="00E32653">
        <w:rPr>
          <w:rFonts w:asciiTheme="majorBidi" w:eastAsia="Times New Roman" w:hAnsiTheme="majorBidi" w:cstheme="majorBidi"/>
        </w:rPr>
        <w:t xml:space="preserve">, 15414 </w:t>
      </w:r>
      <w:r w:rsidR="009A275A" w:rsidRPr="00E32653">
        <w:rPr>
          <w:rFonts w:asciiTheme="majorBidi" w:hAnsiTheme="majorBidi" w:cstheme="majorBidi"/>
        </w:rPr>
        <w:t>Kg oil eq</w:t>
      </w:r>
      <w:r w:rsidR="009A275A" w:rsidRPr="00E32653">
        <w:rPr>
          <w:rFonts w:asciiTheme="majorBidi" w:eastAsia="Times New Roman" w:hAnsiTheme="majorBidi" w:cstheme="majorBidi"/>
        </w:rPr>
        <w:t>, and 15414</w:t>
      </w:r>
      <w:r w:rsidR="009A275A" w:rsidRPr="00E32653">
        <w:rPr>
          <w:rFonts w:asciiTheme="majorBidi" w:hAnsiTheme="majorBidi" w:cstheme="majorBidi"/>
        </w:rPr>
        <w:t xml:space="preserve"> Kg oil eq respectively for GLT (hardwood/softwood) and LVL(hardwood/softwood). On the other hand, The total FD emission</w:t>
      </w:r>
      <w:r w:rsidR="00C41013" w:rsidRPr="00E32653">
        <w:rPr>
          <w:rFonts w:asciiTheme="majorBidi" w:hAnsiTheme="majorBidi" w:cstheme="majorBidi"/>
        </w:rPr>
        <w:t>s</w:t>
      </w:r>
      <w:r w:rsidR="009A275A" w:rsidRPr="00E32653">
        <w:rPr>
          <w:rFonts w:asciiTheme="majorBidi" w:hAnsiTheme="majorBidi" w:cstheme="majorBidi"/>
        </w:rPr>
        <w:t xml:space="preserve"> are </w:t>
      </w:r>
      <w:r w:rsidR="009A275A" w:rsidRPr="00E32653">
        <w:rPr>
          <w:rFonts w:asciiTheme="majorBidi" w:eastAsia="Times New Roman" w:hAnsiTheme="majorBidi" w:cstheme="majorBidi"/>
        </w:rPr>
        <w:t xml:space="preserve">281.4 </w:t>
      </w:r>
      <w:r w:rsidR="009A275A" w:rsidRPr="00E32653">
        <w:rPr>
          <w:rFonts w:asciiTheme="majorBidi" w:hAnsiTheme="majorBidi" w:cstheme="majorBidi"/>
        </w:rPr>
        <w:t xml:space="preserve">Kg SO2eq, </w:t>
      </w:r>
      <w:r w:rsidR="009A275A" w:rsidRPr="00E32653">
        <w:rPr>
          <w:rFonts w:asciiTheme="majorBidi" w:eastAsia="Times New Roman" w:hAnsiTheme="majorBidi" w:cstheme="majorBidi"/>
        </w:rPr>
        <w:t xml:space="preserve">281 </w:t>
      </w:r>
      <w:r w:rsidR="009A275A" w:rsidRPr="00E32653">
        <w:rPr>
          <w:rFonts w:asciiTheme="majorBidi" w:hAnsiTheme="majorBidi" w:cstheme="majorBidi"/>
        </w:rPr>
        <w:t>Kg SO2eq</w:t>
      </w:r>
      <w:r w:rsidR="009A275A" w:rsidRPr="00E32653">
        <w:rPr>
          <w:rFonts w:asciiTheme="majorBidi" w:eastAsia="Times New Roman" w:hAnsiTheme="majorBidi" w:cstheme="majorBidi"/>
        </w:rPr>
        <w:t xml:space="preserve">, 402.02 </w:t>
      </w:r>
      <w:r w:rsidR="009A275A" w:rsidRPr="00E32653">
        <w:rPr>
          <w:rFonts w:asciiTheme="majorBidi" w:hAnsiTheme="majorBidi" w:cstheme="majorBidi"/>
        </w:rPr>
        <w:t>Kg SO2eq</w:t>
      </w:r>
      <w:r w:rsidR="009A275A" w:rsidRPr="00E32653">
        <w:rPr>
          <w:rFonts w:asciiTheme="majorBidi" w:eastAsia="Times New Roman" w:hAnsiTheme="majorBidi" w:cstheme="majorBidi"/>
        </w:rPr>
        <w:t>, and 396.34</w:t>
      </w:r>
      <w:r w:rsidR="009A275A" w:rsidRPr="00E32653">
        <w:rPr>
          <w:rFonts w:asciiTheme="majorBidi" w:hAnsiTheme="majorBidi" w:cstheme="majorBidi"/>
        </w:rPr>
        <w:t xml:space="preserve"> Kg SO2eq respectively for GLT (hardwood/softwood) and LVL(hardwood/softwood).</w:t>
      </w:r>
      <w:r w:rsidR="00D51DCA" w:rsidRPr="00E32653">
        <w:rPr>
          <w:rFonts w:asciiTheme="majorBidi" w:hAnsiTheme="majorBidi" w:cstheme="majorBidi"/>
        </w:rPr>
        <w:t xml:space="preserve"> </w:t>
      </w:r>
      <w:r w:rsidR="00563C85" w:rsidRPr="00E32653">
        <w:rPr>
          <w:rFonts w:asciiTheme="majorBidi" w:hAnsiTheme="majorBidi" w:cstheme="majorBidi"/>
        </w:rPr>
        <w:t xml:space="preserve">In conclusion, </w:t>
      </w:r>
      <w:r w:rsidR="000131AB" w:rsidRPr="00E32653">
        <w:rPr>
          <w:rFonts w:asciiTheme="majorBidi" w:hAnsiTheme="majorBidi" w:cstheme="majorBidi"/>
        </w:rPr>
        <w:t xml:space="preserve">the outcome </w:t>
      </w:r>
      <w:r w:rsidR="004A6AB1" w:rsidRPr="00E32653">
        <w:rPr>
          <w:rFonts w:asciiTheme="majorBidi" w:hAnsiTheme="majorBidi" w:cstheme="majorBidi"/>
        </w:rPr>
        <w:t xml:space="preserve">for </w:t>
      </w:r>
      <w:r w:rsidR="000131AB" w:rsidRPr="00E32653">
        <w:rPr>
          <w:rFonts w:asciiTheme="majorBidi" w:hAnsiTheme="majorBidi" w:cstheme="majorBidi"/>
        </w:rPr>
        <w:t>environmental assessment</w:t>
      </w:r>
      <w:r w:rsidR="004A6AB1" w:rsidRPr="00E32653">
        <w:rPr>
          <w:rFonts w:asciiTheme="majorBidi" w:hAnsiTheme="majorBidi" w:cstheme="majorBidi"/>
        </w:rPr>
        <w:t xml:space="preserve"> is mixed</w:t>
      </w:r>
      <w:r w:rsidR="000131AB" w:rsidRPr="00E32653">
        <w:rPr>
          <w:rFonts w:asciiTheme="majorBidi" w:hAnsiTheme="majorBidi" w:cstheme="majorBidi"/>
        </w:rPr>
        <w:t>,</w:t>
      </w:r>
      <w:r w:rsidR="00563C85" w:rsidRPr="00E32653">
        <w:rPr>
          <w:rFonts w:asciiTheme="majorBidi" w:hAnsiTheme="majorBidi" w:cstheme="majorBidi"/>
        </w:rPr>
        <w:t xml:space="preserve"> and </w:t>
      </w:r>
      <w:r w:rsidR="000131AB" w:rsidRPr="00E32653">
        <w:rPr>
          <w:rFonts w:asciiTheme="majorBidi" w:hAnsiTheme="majorBidi" w:cstheme="majorBidi"/>
        </w:rPr>
        <w:t>a</w:t>
      </w:r>
      <w:r w:rsidR="00563C85" w:rsidRPr="00E32653">
        <w:rPr>
          <w:rFonts w:asciiTheme="majorBidi" w:hAnsiTheme="majorBidi" w:cstheme="majorBidi"/>
        </w:rPr>
        <w:t xml:space="preserve"> transparent final decision</w:t>
      </w:r>
      <w:r w:rsidR="004A6AB1" w:rsidRPr="00E32653">
        <w:rPr>
          <w:rFonts w:asciiTheme="majorBidi" w:hAnsiTheme="majorBidi" w:cstheme="majorBidi"/>
        </w:rPr>
        <w:t xml:space="preserve"> is not obvious</w:t>
      </w:r>
      <w:r w:rsidR="00563C85" w:rsidRPr="00E32653">
        <w:rPr>
          <w:rFonts w:asciiTheme="majorBidi" w:hAnsiTheme="majorBidi" w:cstheme="majorBidi"/>
        </w:rPr>
        <w:t xml:space="preserve">. </w:t>
      </w:r>
      <w:r w:rsidR="000131AB" w:rsidRPr="00E32653">
        <w:rPr>
          <w:rFonts w:asciiTheme="majorBidi" w:hAnsiTheme="majorBidi" w:cstheme="majorBidi"/>
        </w:rPr>
        <w:t>O</w:t>
      </w:r>
      <w:r w:rsidR="00563C85" w:rsidRPr="00E32653">
        <w:rPr>
          <w:rFonts w:asciiTheme="majorBidi" w:hAnsiTheme="majorBidi" w:cstheme="majorBidi"/>
        </w:rPr>
        <w:t>n</w:t>
      </w:r>
      <w:r w:rsidR="000131AB" w:rsidRPr="00E32653">
        <w:rPr>
          <w:rFonts w:asciiTheme="majorBidi" w:hAnsiTheme="majorBidi" w:cstheme="majorBidi"/>
        </w:rPr>
        <w:t xml:space="preserve"> the</w:t>
      </w:r>
      <w:r w:rsidR="00563C85" w:rsidRPr="00E32653">
        <w:rPr>
          <w:rFonts w:asciiTheme="majorBidi" w:hAnsiTheme="majorBidi" w:cstheme="majorBidi"/>
        </w:rPr>
        <w:t xml:space="preserve"> one hand, </w:t>
      </w:r>
      <w:r w:rsidR="00ED3679" w:rsidRPr="00E32653">
        <w:rPr>
          <w:rFonts w:asciiTheme="majorBidi" w:hAnsiTheme="majorBidi" w:cstheme="majorBidi"/>
        </w:rPr>
        <w:t>LVL</w:t>
      </w:r>
      <w:r w:rsidR="00563C85" w:rsidRPr="00E32653">
        <w:rPr>
          <w:rFonts w:asciiTheme="majorBidi" w:hAnsiTheme="majorBidi" w:cstheme="majorBidi"/>
        </w:rPr>
        <w:t xml:space="preserve"> is a superior choice in OLD, LU, and GWP</w:t>
      </w:r>
      <w:r w:rsidR="000131AB" w:rsidRPr="00E32653">
        <w:rPr>
          <w:rFonts w:asciiTheme="majorBidi" w:hAnsiTheme="majorBidi" w:cstheme="majorBidi"/>
        </w:rPr>
        <w:t>,</w:t>
      </w:r>
      <w:r w:rsidR="006E2551" w:rsidRPr="00E32653">
        <w:rPr>
          <w:rFonts w:asciiTheme="majorBidi" w:hAnsiTheme="majorBidi" w:cstheme="majorBidi"/>
        </w:rPr>
        <w:t xml:space="preserve"> </w:t>
      </w:r>
      <w:r w:rsidR="00563C85" w:rsidRPr="00E32653">
        <w:rPr>
          <w:rFonts w:asciiTheme="majorBidi" w:hAnsiTheme="majorBidi" w:cstheme="majorBidi"/>
        </w:rPr>
        <w:t xml:space="preserve">while </w:t>
      </w:r>
      <w:r w:rsidR="00ED3679" w:rsidRPr="00E32653">
        <w:rPr>
          <w:rFonts w:asciiTheme="majorBidi" w:hAnsiTheme="majorBidi" w:cstheme="majorBidi"/>
        </w:rPr>
        <w:t>GLT</w:t>
      </w:r>
      <w:r w:rsidR="00563C85" w:rsidRPr="00E32653">
        <w:rPr>
          <w:rFonts w:asciiTheme="majorBidi" w:hAnsiTheme="majorBidi" w:cstheme="majorBidi"/>
        </w:rPr>
        <w:t xml:space="preserve"> </w:t>
      </w:r>
      <w:r w:rsidR="000B2B85" w:rsidRPr="00E32653">
        <w:rPr>
          <w:rFonts w:asciiTheme="majorBidi" w:hAnsiTheme="majorBidi" w:cstheme="majorBidi"/>
        </w:rPr>
        <w:t>is preferable</w:t>
      </w:r>
      <w:r w:rsidR="004A6AB1" w:rsidRPr="00E32653">
        <w:rPr>
          <w:rFonts w:asciiTheme="majorBidi" w:hAnsiTheme="majorBidi" w:cstheme="majorBidi"/>
        </w:rPr>
        <w:t xml:space="preserve"> </w:t>
      </w:r>
      <w:r w:rsidR="000B2B85" w:rsidRPr="00E32653">
        <w:rPr>
          <w:rFonts w:asciiTheme="majorBidi" w:hAnsiTheme="majorBidi" w:cstheme="majorBidi"/>
        </w:rPr>
        <w:t xml:space="preserve">for </w:t>
      </w:r>
      <w:r w:rsidR="00563C85" w:rsidRPr="00E32653">
        <w:rPr>
          <w:rFonts w:asciiTheme="majorBidi" w:hAnsiTheme="majorBidi" w:cstheme="majorBidi"/>
        </w:rPr>
        <w:t xml:space="preserve">FD, TA, and HCT. </w:t>
      </w:r>
      <w:r w:rsidR="00AB5125" w:rsidRPr="00E32653">
        <w:rPr>
          <w:rFonts w:asciiTheme="majorBidi" w:hAnsiTheme="majorBidi" w:cstheme="majorBidi"/>
        </w:rPr>
        <w:t>Moreover</w:t>
      </w:r>
      <w:r w:rsidR="00563C85" w:rsidRPr="00E32653">
        <w:rPr>
          <w:rFonts w:asciiTheme="majorBidi" w:hAnsiTheme="majorBidi" w:cstheme="majorBidi"/>
        </w:rPr>
        <w:t xml:space="preserve">, </w:t>
      </w:r>
      <w:r w:rsidR="000131AB" w:rsidRPr="00E32653">
        <w:rPr>
          <w:rFonts w:asciiTheme="majorBidi" w:hAnsiTheme="majorBidi" w:cstheme="majorBidi"/>
        </w:rPr>
        <w:t>the preservatives and adhesive materials</w:t>
      </w:r>
      <w:r w:rsidR="00563C85" w:rsidRPr="00E32653">
        <w:rPr>
          <w:rFonts w:asciiTheme="majorBidi" w:hAnsiTheme="majorBidi" w:cstheme="majorBidi"/>
        </w:rPr>
        <w:t xml:space="preserve"> present </w:t>
      </w:r>
      <w:r w:rsidR="000B2B85" w:rsidRPr="00E32653">
        <w:rPr>
          <w:rFonts w:asciiTheme="majorBidi" w:hAnsiTheme="majorBidi" w:cstheme="majorBidi"/>
        </w:rPr>
        <w:t xml:space="preserve">in all mass timber products raise concerns </w:t>
      </w:r>
      <w:r w:rsidR="00563C85" w:rsidRPr="00E32653">
        <w:rPr>
          <w:rFonts w:asciiTheme="majorBidi" w:hAnsiTheme="majorBidi" w:cstheme="majorBidi"/>
        </w:rPr>
        <w:t>as the</w:t>
      </w:r>
      <w:r w:rsidR="000B2B85" w:rsidRPr="00E32653">
        <w:rPr>
          <w:rFonts w:asciiTheme="majorBidi" w:hAnsiTheme="majorBidi" w:cstheme="majorBidi"/>
        </w:rPr>
        <w:t>y are</w:t>
      </w:r>
      <w:r w:rsidR="00563C85" w:rsidRPr="00E32653">
        <w:rPr>
          <w:rFonts w:asciiTheme="majorBidi" w:hAnsiTheme="majorBidi" w:cstheme="majorBidi"/>
        </w:rPr>
        <w:t xml:space="preserve"> major contributors to environmental emission</w:t>
      </w:r>
      <w:r w:rsidR="000B2B85" w:rsidRPr="00E32653">
        <w:rPr>
          <w:rFonts w:asciiTheme="majorBidi" w:hAnsiTheme="majorBidi" w:cstheme="majorBidi"/>
        </w:rPr>
        <w:t>s</w:t>
      </w:r>
      <w:r w:rsidR="00563C85" w:rsidRPr="00E32653">
        <w:rPr>
          <w:rFonts w:asciiTheme="majorBidi" w:hAnsiTheme="majorBidi" w:cstheme="majorBidi"/>
        </w:rPr>
        <w:t>.</w:t>
      </w:r>
    </w:p>
    <w:p w14:paraId="007DC6DE" w14:textId="230086BC" w:rsidR="0025649E" w:rsidRPr="00E32653" w:rsidRDefault="008C75E5" w:rsidP="12C241C3">
      <w:pPr>
        <w:pStyle w:val="ListParagraph"/>
        <w:spacing w:line="240" w:lineRule="auto"/>
        <w:ind w:left="0"/>
        <w:jc w:val="center"/>
        <w:rPr>
          <w:rFonts w:asciiTheme="majorBidi" w:hAnsiTheme="majorBidi" w:cstheme="majorBidi"/>
          <w:noProof/>
        </w:rPr>
      </w:pPr>
      <w:r w:rsidRPr="00E32653">
        <w:rPr>
          <w:rFonts w:asciiTheme="majorBidi" w:hAnsiTheme="majorBidi" w:cstheme="majorBidi"/>
          <w:noProof/>
          <w:highlight w:val="green"/>
        </w:rPr>
        <w:lastRenderedPageBreak/>
        <w:drawing>
          <wp:inline distT="0" distB="0" distL="0" distR="0" wp14:anchorId="772AE8AD" wp14:editId="090D5740">
            <wp:extent cx="2797175" cy="2769917"/>
            <wp:effectExtent l="0" t="0" r="31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513917" w:rsidRPr="00E32653">
        <w:rPr>
          <w:rFonts w:asciiTheme="majorBidi" w:hAnsiTheme="majorBidi" w:cstheme="majorBidi"/>
          <w:noProof/>
        </w:rPr>
        <w:drawing>
          <wp:inline distT="0" distB="0" distL="0" distR="0" wp14:anchorId="11B5AF60" wp14:editId="55E22913">
            <wp:extent cx="2729230" cy="2762932"/>
            <wp:effectExtent l="0" t="0" r="1397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B1382C" w14:textId="77777777" w:rsidR="00FF4B2A" w:rsidRPr="00E32653" w:rsidRDefault="00701CF8" w:rsidP="12C241C3">
      <w:pPr>
        <w:pStyle w:val="ListParagraph"/>
        <w:spacing w:after="0" w:line="240" w:lineRule="auto"/>
        <w:ind w:left="0"/>
        <w:jc w:val="center"/>
        <w:rPr>
          <w:rFonts w:asciiTheme="majorBidi" w:hAnsiTheme="majorBidi" w:cstheme="majorBidi"/>
          <w:noProof/>
        </w:rPr>
      </w:pPr>
      <w:r w:rsidRPr="00E32653">
        <w:rPr>
          <w:rFonts w:asciiTheme="majorBidi" w:hAnsiTheme="majorBidi" w:cstheme="majorBidi"/>
          <w:noProof/>
        </w:rPr>
        <w:drawing>
          <wp:inline distT="0" distB="0" distL="0" distR="0" wp14:anchorId="13E9550D" wp14:editId="0B27F3D7">
            <wp:extent cx="2830195" cy="2590800"/>
            <wp:effectExtent l="0" t="0" r="825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FF4B2A" w:rsidRPr="00E32653">
        <w:rPr>
          <w:rFonts w:asciiTheme="majorBidi" w:hAnsiTheme="majorBidi" w:cstheme="majorBidi"/>
          <w:noProof/>
        </w:rPr>
        <w:drawing>
          <wp:inline distT="0" distB="0" distL="0" distR="0" wp14:anchorId="6F35DEB9" wp14:editId="6257DDDC">
            <wp:extent cx="2704465" cy="2583180"/>
            <wp:effectExtent l="0" t="0" r="63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2C4E8FE" w14:textId="641DD0B4" w:rsidR="00871F75" w:rsidRPr="00E32653" w:rsidRDefault="00C13997" w:rsidP="12C241C3">
      <w:pPr>
        <w:pStyle w:val="ListParagraph"/>
        <w:spacing w:after="0" w:line="276" w:lineRule="auto"/>
        <w:ind w:left="0"/>
        <w:jc w:val="center"/>
        <w:rPr>
          <w:rFonts w:asciiTheme="majorBidi" w:hAnsiTheme="majorBidi" w:cstheme="majorBidi"/>
          <w:noProof/>
        </w:rPr>
      </w:pPr>
      <w:r w:rsidRPr="00E32653">
        <w:rPr>
          <w:rFonts w:asciiTheme="majorBidi" w:hAnsiTheme="majorBidi" w:cstheme="majorBidi"/>
          <w:noProof/>
        </w:rPr>
        <w:drawing>
          <wp:inline distT="0" distB="0" distL="0" distR="0" wp14:anchorId="3A392BCB" wp14:editId="74987271">
            <wp:extent cx="2830195" cy="2484120"/>
            <wp:effectExtent l="0" t="0" r="8255"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71F75" w:rsidRPr="00E32653">
        <w:rPr>
          <w:rFonts w:asciiTheme="majorBidi" w:hAnsiTheme="majorBidi" w:cstheme="majorBidi"/>
          <w:noProof/>
        </w:rPr>
        <w:drawing>
          <wp:inline distT="0" distB="0" distL="0" distR="0" wp14:anchorId="63EF6BD4" wp14:editId="6F137C63">
            <wp:extent cx="2693670" cy="2484120"/>
            <wp:effectExtent l="0" t="0" r="1143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419C9E8" w14:textId="6389D2CE" w:rsidR="00307482" w:rsidRPr="00E32653" w:rsidRDefault="003A468B" w:rsidP="12C241C3">
      <w:pPr>
        <w:pStyle w:val="ListParagraph"/>
        <w:spacing w:line="276" w:lineRule="auto"/>
        <w:jc w:val="center"/>
        <w:rPr>
          <w:rFonts w:asciiTheme="majorBidi" w:hAnsiTheme="majorBidi" w:cstheme="majorBidi"/>
          <w:sz w:val="18"/>
          <w:szCs w:val="18"/>
        </w:rPr>
      </w:pPr>
      <w:r w:rsidRPr="00E32653">
        <w:rPr>
          <w:rFonts w:asciiTheme="majorBidi" w:hAnsiTheme="majorBidi" w:cstheme="majorBidi"/>
          <w:sz w:val="18"/>
          <w:szCs w:val="18"/>
        </w:rPr>
        <w:t>Figure</w:t>
      </w:r>
      <w:r w:rsidR="0019214A" w:rsidRPr="00E32653">
        <w:rPr>
          <w:rFonts w:asciiTheme="majorBidi" w:hAnsiTheme="majorBidi" w:cstheme="majorBidi"/>
          <w:sz w:val="18"/>
          <w:szCs w:val="18"/>
        </w:rPr>
        <w:t xml:space="preserve"> 7. </w:t>
      </w:r>
      <w:r w:rsidR="00D1309D" w:rsidRPr="00E32653">
        <w:rPr>
          <w:rFonts w:asciiTheme="majorBidi" w:hAnsiTheme="majorBidi" w:cstheme="majorBidi"/>
          <w:sz w:val="18"/>
          <w:szCs w:val="18"/>
        </w:rPr>
        <w:t>Life cycle env</w:t>
      </w:r>
      <w:r w:rsidR="00B82CC8" w:rsidRPr="00E32653">
        <w:rPr>
          <w:rFonts w:asciiTheme="majorBidi" w:hAnsiTheme="majorBidi" w:cstheme="majorBidi"/>
          <w:sz w:val="18"/>
          <w:szCs w:val="18"/>
        </w:rPr>
        <w:t>ironmental emiss</w:t>
      </w:r>
      <w:r w:rsidR="00A06736" w:rsidRPr="00E32653">
        <w:rPr>
          <w:rFonts w:asciiTheme="majorBidi" w:hAnsiTheme="majorBidi" w:cstheme="majorBidi"/>
          <w:sz w:val="18"/>
          <w:szCs w:val="18"/>
        </w:rPr>
        <w:t>ions</w:t>
      </w:r>
      <w:r w:rsidR="00273E11" w:rsidRPr="00E32653">
        <w:rPr>
          <w:rFonts w:asciiTheme="majorBidi" w:hAnsiTheme="majorBidi" w:cstheme="majorBidi"/>
          <w:sz w:val="18"/>
          <w:szCs w:val="18"/>
        </w:rPr>
        <w:t xml:space="preserve"> </w:t>
      </w:r>
      <w:r w:rsidR="00A06736" w:rsidRPr="00E32653">
        <w:rPr>
          <w:rFonts w:asciiTheme="majorBidi" w:hAnsiTheme="majorBidi" w:cstheme="majorBidi"/>
          <w:sz w:val="18"/>
          <w:szCs w:val="18"/>
        </w:rPr>
        <w:t>for four scenarios</w:t>
      </w:r>
      <w:r w:rsidR="00307482" w:rsidRPr="00E32653">
        <w:rPr>
          <w:rFonts w:asciiTheme="majorBidi" w:hAnsiTheme="majorBidi" w:cstheme="majorBidi"/>
          <w:sz w:val="18"/>
          <w:szCs w:val="18"/>
        </w:rPr>
        <w:t>.</w:t>
      </w:r>
      <w:r w:rsidR="00E70CFE" w:rsidRPr="00E32653">
        <w:rPr>
          <w:rFonts w:asciiTheme="majorBidi" w:hAnsiTheme="majorBidi" w:cstheme="majorBidi"/>
          <w:sz w:val="18"/>
          <w:szCs w:val="18"/>
        </w:rPr>
        <w:t xml:space="preserve"> </w:t>
      </w:r>
      <w:r w:rsidR="00307482" w:rsidRPr="00E32653">
        <w:rPr>
          <w:rFonts w:asciiTheme="majorBidi" w:hAnsiTheme="majorBidi" w:cstheme="majorBidi"/>
          <w:sz w:val="18"/>
          <w:szCs w:val="18"/>
        </w:rPr>
        <w:t>GLT-h hardwood, GLT-s softwood, LVL-h hardwood and LVL-s softwood</w:t>
      </w:r>
    </w:p>
    <w:p w14:paraId="6AA318D0" w14:textId="77777777" w:rsidR="002C10A6" w:rsidRPr="00E32653" w:rsidRDefault="002274DA" w:rsidP="00B1432E">
      <w:pPr>
        <w:pStyle w:val="ListParagraph"/>
        <w:numPr>
          <w:ilvl w:val="1"/>
          <w:numId w:val="1"/>
        </w:numPr>
        <w:spacing w:before="240" w:after="0" w:line="276" w:lineRule="auto"/>
        <w:rPr>
          <w:rFonts w:asciiTheme="majorBidi" w:hAnsiTheme="majorBidi" w:cstheme="majorBidi"/>
          <w:b/>
          <w:bCs/>
          <w:i/>
          <w:iCs/>
        </w:rPr>
      </w:pPr>
      <w:r w:rsidRPr="00E32653">
        <w:rPr>
          <w:rFonts w:asciiTheme="majorBidi" w:hAnsiTheme="majorBidi" w:cstheme="majorBidi"/>
          <w:b/>
          <w:bCs/>
          <w:i/>
          <w:iCs/>
        </w:rPr>
        <w:lastRenderedPageBreak/>
        <w:t>Embodied energy</w:t>
      </w:r>
      <w:r w:rsidR="000018C2" w:rsidRPr="00E32653">
        <w:rPr>
          <w:rFonts w:asciiTheme="majorBidi" w:hAnsiTheme="majorBidi" w:cstheme="majorBidi"/>
          <w:b/>
          <w:bCs/>
          <w:i/>
          <w:iCs/>
        </w:rPr>
        <w:t xml:space="preserve"> </w:t>
      </w:r>
    </w:p>
    <w:p w14:paraId="6E52F89E" w14:textId="3D6B50F9" w:rsidR="00482EA4" w:rsidRPr="00E32653" w:rsidRDefault="00E77421" w:rsidP="00B9081A">
      <w:pPr>
        <w:spacing w:line="276" w:lineRule="auto"/>
        <w:ind w:firstLine="720"/>
        <w:jc w:val="both"/>
      </w:pPr>
      <w:r w:rsidRPr="00E32653">
        <w:rPr>
          <w:rFonts w:asciiTheme="majorBidi" w:hAnsiTheme="majorBidi" w:cstheme="majorBidi"/>
        </w:rPr>
        <w:t xml:space="preserve">Embodied energy has been defined in two main ways. Firstly, </w:t>
      </w:r>
      <w:r w:rsidR="000721E6" w:rsidRPr="00E32653">
        <w:rPr>
          <w:rFonts w:asciiTheme="majorBidi" w:hAnsiTheme="majorBidi" w:cstheme="majorBidi"/>
        </w:rPr>
        <w:t xml:space="preserve">it may be </w:t>
      </w:r>
      <w:r w:rsidRPr="00E32653">
        <w:rPr>
          <w:rFonts w:asciiTheme="majorBidi" w:hAnsiTheme="majorBidi" w:cstheme="majorBidi"/>
        </w:rPr>
        <w:t>limited to the construction stage</w:t>
      </w:r>
      <w:r w:rsidR="00482EA4" w:rsidRPr="00E32653">
        <w:rPr>
          <w:rFonts w:asciiTheme="majorBidi" w:hAnsiTheme="majorBidi" w:cstheme="majorBidi"/>
        </w:rPr>
        <w:t>. Secondly, other research expands it</w:t>
      </w:r>
      <w:r w:rsidR="000721E6" w:rsidRPr="00E32653">
        <w:rPr>
          <w:rFonts w:asciiTheme="majorBidi" w:hAnsiTheme="majorBidi" w:cstheme="majorBidi"/>
        </w:rPr>
        <w:t>s remit</w:t>
      </w:r>
      <w:r w:rsidR="00482EA4" w:rsidRPr="00E32653">
        <w:rPr>
          <w:rFonts w:asciiTheme="majorBidi" w:hAnsiTheme="majorBidi" w:cstheme="majorBidi"/>
        </w:rPr>
        <w:t xml:space="preserve"> to the total energy consum</w:t>
      </w:r>
      <w:r w:rsidR="00013ABB" w:rsidRPr="00E32653">
        <w:rPr>
          <w:rFonts w:asciiTheme="majorBidi" w:hAnsiTheme="majorBidi" w:cstheme="majorBidi"/>
        </w:rPr>
        <w:t xml:space="preserve">ed </w:t>
      </w:r>
      <w:r w:rsidR="00482EA4" w:rsidRPr="00E32653">
        <w:rPr>
          <w:rFonts w:asciiTheme="majorBidi" w:hAnsiTheme="majorBidi" w:cstheme="majorBidi"/>
        </w:rPr>
        <w:t xml:space="preserve">during construction, </w:t>
      </w:r>
      <w:r w:rsidRPr="00E32653">
        <w:rPr>
          <w:rFonts w:asciiTheme="majorBidi" w:hAnsiTheme="majorBidi" w:cstheme="majorBidi"/>
        </w:rPr>
        <w:t xml:space="preserve">and end of life </w:t>
      </w:r>
      <w:r w:rsidR="00013ABB" w:rsidRPr="00E32653">
        <w:rPr>
          <w:rFonts w:asciiTheme="majorBidi" w:hAnsiTheme="majorBidi" w:cstheme="majorBidi"/>
        </w:rPr>
        <w:t>of a building</w:t>
      </w:r>
      <w:r w:rsidR="00B9081A" w:rsidRPr="00E32653">
        <w:rPr>
          <w:rFonts w:asciiTheme="majorBidi" w:hAnsiTheme="majorBidi" w:cstheme="majorBidi"/>
        </w:rPr>
        <w:t xml:space="preserve"> </w:t>
      </w:r>
      <w:r w:rsidR="00B9081A" w:rsidRPr="00E32653">
        <w:rPr>
          <w:rFonts w:asciiTheme="majorBidi" w:hAnsiTheme="majorBidi" w:cstheme="majorBidi"/>
        </w:rPr>
        <w:fldChar w:fldCharType="begin" w:fldLock="1"/>
      </w:r>
      <w:r w:rsidR="00B9081A" w:rsidRPr="00E32653">
        <w:rPr>
          <w:rFonts w:asciiTheme="majorBidi" w:hAnsiTheme="majorBidi" w:cstheme="majorBidi"/>
        </w:rPr>
        <w:instrText>ADDIN CSL_CITATION {"citationItems":[{"id":"ITEM-1","itemData":{"DOI":"10.1016/j.enbuild.2018.02.002","ISSN":"03787788","abstract":"Greenhouse gas emissions have been recognized as one of the major cause of the global warming phenomena. The built environment accounts for more than 40% of the overall energy consumption and 36% of the overall CO2 emissions in Europe. Recent studies show that housing is one of the most responsible sector for world ecological impacts. The European Parliament developed the concept of Nearly Zero Energy Buildings (NZEB), characterized by a very low energy demand and a high renewable energy on-site production. In fact, energy efficiency is the first step towards the ambitious aim to reduce of 80% by 2050 the EU carbon emissions. The zero-energy building target is an achievable goal, which relies on a careful design that encompasses a synergy between passive and low-energy strategies. However, considering the whole life cycle of buildings, NZEBs reduce the operational energy close to zero, increasing the relevancy of the embodied energy, which occurs during the construction phase. Balancing the values of the operational and embodied energy is necessary to minimize buildings footprint on the environment. In this paper the renovation and re-use of the Atika building, a demonstrative energy-efficient building, is presented as case study of an environmental efficient methodology for energy retrofitting. The case relies on the methodology developed by Active House, a holistic vision for sustainable buildings labeling.","author":[{"dropping-particle":"","family":"Brambilla","given":"Arianna","non-dropping-particle":"","parse-names":false,"suffix":""},{"dropping-particle":"","family":"Salvalai","given":"Graziano","non-dropping-particle":"","parse-names":false,"suffix":""},{"dropping-particle":"","family":"Imperadori","given":"Marco","non-dropping-particle":"","parse-names":false,"suffix":""},{"dropping-particle":"","family":"Sesana","given":"Marta Maria","non-dropping-particle":"","parse-names":false,"suffix":""}],"container-title":"Energy and Buildings","id":"ITEM-1","issued":{"date-parts":[["2018"]]},"page":"271-283","publisher":"Elsevier B.V.","title":"Nearly zero energy building renovation: From energy efficiency to environmental efficiency, a pilot case study","type":"article-journal","volume":"166"},"uris":["http://www.mendeley.com/documents/?uuid=beb479b2-6c8f-451b-bc18-4aa6310aff65"]}],"mendeley":{"formattedCitation":"(Brambilla et al., 2018)","plainTextFormattedCitation":"(Brambilla et al., 2018)","previouslyFormattedCitation":"(Brambilla et al., 2018)"},"properties":{"noteIndex":0},"schema":"https://github.com/citation-style-language/schema/raw/master/csl-citation.json"}</w:instrText>
      </w:r>
      <w:r w:rsidR="00B9081A" w:rsidRPr="00E32653">
        <w:rPr>
          <w:rFonts w:asciiTheme="majorBidi" w:hAnsiTheme="majorBidi" w:cstheme="majorBidi"/>
        </w:rPr>
        <w:fldChar w:fldCharType="separate"/>
      </w:r>
      <w:r w:rsidR="00B9081A" w:rsidRPr="00E32653">
        <w:rPr>
          <w:rFonts w:asciiTheme="majorBidi" w:hAnsiTheme="majorBidi" w:cstheme="majorBidi"/>
          <w:noProof/>
        </w:rPr>
        <w:t>(Brambilla et al., 2018)</w:t>
      </w:r>
      <w:r w:rsidR="00B9081A" w:rsidRPr="00E32653">
        <w:rPr>
          <w:rFonts w:asciiTheme="majorBidi" w:hAnsiTheme="majorBidi" w:cstheme="majorBidi"/>
        </w:rPr>
        <w:fldChar w:fldCharType="end"/>
      </w:r>
      <w:r w:rsidR="00013ABB" w:rsidRPr="00E32653">
        <w:rPr>
          <w:rFonts w:asciiTheme="majorBidi" w:hAnsiTheme="majorBidi" w:cstheme="majorBidi"/>
        </w:rPr>
        <w:t xml:space="preserve">. The latter definition applies to this </w:t>
      </w:r>
      <w:r w:rsidRPr="00E32653">
        <w:rPr>
          <w:rFonts w:asciiTheme="majorBidi" w:hAnsiTheme="majorBidi" w:cstheme="majorBidi"/>
        </w:rPr>
        <w:t xml:space="preserve">study. </w:t>
      </w:r>
      <w:r w:rsidR="00157569" w:rsidRPr="00E32653">
        <w:rPr>
          <w:rFonts w:asciiTheme="majorBidi" w:hAnsiTheme="majorBidi" w:cstheme="majorBidi"/>
        </w:rPr>
        <w:t xml:space="preserve">Table 3 shows the embodied energy </w:t>
      </w:r>
      <w:r w:rsidR="00013ABB" w:rsidRPr="00E32653">
        <w:rPr>
          <w:rFonts w:asciiTheme="majorBidi" w:hAnsiTheme="majorBidi" w:cstheme="majorBidi"/>
        </w:rPr>
        <w:t>for</w:t>
      </w:r>
      <w:r w:rsidR="00157569" w:rsidRPr="00E32653">
        <w:rPr>
          <w:rFonts w:asciiTheme="majorBidi" w:hAnsiTheme="majorBidi" w:cstheme="majorBidi"/>
        </w:rPr>
        <w:t xml:space="preserve"> different stage</w:t>
      </w:r>
      <w:r w:rsidR="00482EA4" w:rsidRPr="00E32653">
        <w:rPr>
          <w:rFonts w:asciiTheme="majorBidi" w:hAnsiTheme="majorBidi" w:cstheme="majorBidi"/>
        </w:rPr>
        <w:t>s for each case study for</w:t>
      </w:r>
      <w:r w:rsidR="00157569" w:rsidRPr="00E32653">
        <w:rPr>
          <w:rFonts w:asciiTheme="majorBidi" w:hAnsiTheme="majorBidi" w:cstheme="majorBidi"/>
        </w:rPr>
        <w:t xml:space="preserve"> </w:t>
      </w:r>
      <w:r w:rsidR="00013ABB" w:rsidRPr="00E32653">
        <w:rPr>
          <w:rFonts w:asciiTheme="majorBidi" w:hAnsiTheme="majorBidi" w:cstheme="majorBidi"/>
        </w:rPr>
        <w:t xml:space="preserve">new </w:t>
      </w:r>
      <w:r w:rsidR="00157569" w:rsidRPr="00E32653">
        <w:rPr>
          <w:rFonts w:asciiTheme="majorBidi" w:hAnsiTheme="majorBidi" w:cstheme="majorBidi"/>
        </w:rPr>
        <w:t xml:space="preserve">materials usage and transportation. For example, </w:t>
      </w:r>
      <w:r w:rsidR="00482EA4" w:rsidRPr="00E32653">
        <w:rPr>
          <w:rFonts w:asciiTheme="majorBidi" w:hAnsiTheme="majorBidi" w:cstheme="majorBidi"/>
        </w:rPr>
        <w:t>transport for</w:t>
      </w:r>
      <w:r w:rsidR="00013ABB" w:rsidRPr="00E32653">
        <w:rPr>
          <w:rFonts w:asciiTheme="majorBidi" w:hAnsiTheme="majorBidi" w:cstheme="majorBidi"/>
        </w:rPr>
        <w:t xml:space="preserve"> the</w:t>
      </w:r>
      <w:r w:rsidR="00482EA4" w:rsidRPr="00E32653">
        <w:rPr>
          <w:rFonts w:asciiTheme="majorBidi" w:hAnsiTheme="majorBidi" w:cstheme="majorBidi"/>
        </w:rPr>
        <w:t xml:space="preserve"> use stage relate</w:t>
      </w:r>
      <w:r w:rsidR="00B402A7" w:rsidRPr="00E32653">
        <w:rPr>
          <w:rFonts w:asciiTheme="majorBidi" w:hAnsiTheme="majorBidi" w:cstheme="majorBidi"/>
        </w:rPr>
        <w:t>s</w:t>
      </w:r>
      <w:r w:rsidR="00482EA4" w:rsidRPr="00E32653">
        <w:rPr>
          <w:rFonts w:asciiTheme="majorBidi" w:hAnsiTheme="majorBidi" w:cstheme="majorBidi"/>
        </w:rPr>
        <w:t xml:space="preserve"> to transferring new materials to site for the</w:t>
      </w:r>
      <w:r w:rsidR="00157569" w:rsidRPr="00E32653">
        <w:rPr>
          <w:rFonts w:asciiTheme="majorBidi" w:hAnsiTheme="majorBidi" w:cstheme="majorBidi"/>
        </w:rPr>
        <w:t xml:space="preserve"> replacement stage. </w:t>
      </w:r>
      <w:r w:rsidR="00B402A7" w:rsidRPr="00E32653">
        <w:rPr>
          <w:rFonts w:asciiTheme="majorBidi" w:hAnsiTheme="majorBidi" w:cstheme="majorBidi"/>
        </w:rPr>
        <w:t xml:space="preserve">This shows </w:t>
      </w:r>
      <w:r w:rsidR="00AB21D7" w:rsidRPr="00E32653">
        <w:rPr>
          <w:rFonts w:asciiTheme="majorBidi" w:hAnsiTheme="majorBidi" w:cstheme="majorBidi"/>
        </w:rPr>
        <w:t xml:space="preserve">that </w:t>
      </w:r>
      <w:r w:rsidR="00482EA4" w:rsidRPr="00E32653">
        <w:rPr>
          <w:rFonts w:asciiTheme="majorBidi" w:hAnsiTheme="majorBidi" w:cstheme="majorBidi"/>
        </w:rPr>
        <w:t xml:space="preserve">the Manufacturing stage </w:t>
      </w:r>
      <w:r w:rsidR="00B402A7" w:rsidRPr="00E32653">
        <w:rPr>
          <w:rFonts w:asciiTheme="majorBidi" w:hAnsiTheme="majorBidi" w:cstheme="majorBidi"/>
        </w:rPr>
        <w:t xml:space="preserve">consumes </w:t>
      </w:r>
      <w:r w:rsidR="00482EA4" w:rsidRPr="00E32653">
        <w:rPr>
          <w:rFonts w:asciiTheme="majorBidi" w:hAnsiTheme="majorBidi" w:cstheme="majorBidi"/>
        </w:rPr>
        <w:t xml:space="preserve">the </w:t>
      </w:r>
      <w:r w:rsidR="00B402A7" w:rsidRPr="00E32653">
        <w:rPr>
          <w:rFonts w:asciiTheme="majorBidi" w:hAnsiTheme="majorBidi" w:cstheme="majorBidi"/>
        </w:rPr>
        <w:t>most</w:t>
      </w:r>
      <w:r w:rsidR="00482EA4" w:rsidRPr="00E32653">
        <w:rPr>
          <w:rFonts w:asciiTheme="majorBidi" w:hAnsiTheme="majorBidi" w:cstheme="majorBidi"/>
        </w:rPr>
        <w:t xml:space="preserve"> energy. This is related to the </w:t>
      </w:r>
      <w:r w:rsidR="00B402A7" w:rsidRPr="00E32653">
        <w:rPr>
          <w:rFonts w:asciiTheme="majorBidi" w:hAnsiTheme="majorBidi" w:cstheme="majorBidi"/>
        </w:rPr>
        <w:t xml:space="preserve">large </w:t>
      </w:r>
      <w:r w:rsidR="00482EA4" w:rsidRPr="00E32653">
        <w:rPr>
          <w:rFonts w:asciiTheme="majorBidi" w:hAnsiTheme="majorBidi" w:cstheme="majorBidi"/>
        </w:rPr>
        <w:t xml:space="preserve">quantity of materials that need to be </w:t>
      </w:r>
      <w:r w:rsidR="00B402A7" w:rsidRPr="00E32653">
        <w:rPr>
          <w:rFonts w:asciiTheme="majorBidi" w:hAnsiTheme="majorBidi" w:cstheme="majorBidi"/>
        </w:rPr>
        <w:t>manufactured</w:t>
      </w:r>
      <w:r w:rsidR="00AB21D7" w:rsidRPr="00E32653">
        <w:rPr>
          <w:rFonts w:asciiTheme="majorBidi" w:hAnsiTheme="majorBidi" w:cstheme="majorBidi"/>
        </w:rPr>
        <w:t>.</w:t>
      </w:r>
    </w:p>
    <w:p w14:paraId="0643945C" w14:textId="724FD5B1" w:rsidR="00C34FE5" w:rsidRPr="00E32653" w:rsidRDefault="00B402A7" w:rsidP="00482EA4">
      <w:pPr>
        <w:spacing w:before="240" w:line="276" w:lineRule="auto"/>
        <w:ind w:firstLine="720"/>
        <w:jc w:val="both"/>
        <w:rPr>
          <w:rFonts w:asciiTheme="majorBidi" w:hAnsiTheme="majorBidi" w:cstheme="majorBidi"/>
        </w:rPr>
      </w:pPr>
      <w:r w:rsidRPr="00E32653">
        <w:rPr>
          <w:rFonts w:asciiTheme="majorBidi" w:hAnsiTheme="majorBidi" w:cstheme="majorBidi"/>
        </w:rPr>
        <w:t>T</w:t>
      </w:r>
      <w:r w:rsidR="00AB21D7" w:rsidRPr="00E32653">
        <w:rPr>
          <w:rFonts w:asciiTheme="majorBidi" w:hAnsiTheme="majorBidi" w:cstheme="majorBidi"/>
        </w:rPr>
        <w:t xml:space="preserve">he embodied energy of GLT is </w:t>
      </w:r>
      <w:r w:rsidRPr="00E32653">
        <w:rPr>
          <w:rFonts w:asciiTheme="majorBidi" w:hAnsiTheme="majorBidi" w:cstheme="majorBidi"/>
        </w:rPr>
        <w:t xml:space="preserve">approximately 44% </w:t>
      </w:r>
      <w:r w:rsidR="00AB21D7" w:rsidRPr="00E32653">
        <w:rPr>
          <w:rFonts w:asciiTheme="majorBidi" w:hAnsiTheme="majorBidi" w:cstheme="majorBidi"/>
        </w:rPr>
        <w:t>higher than LVL</w:t>
      </w:r>
      <w:r w:rsidR="007D4381" w:rsidRPr="00E32653">
        <w:rPr>
          <w:rFonts w:asciiTheme="majorBidi" w:hAnsiTheme="majorBidi" w:cstheme="majorBidi"/>
        </w:rPr>
        <w:t xml:space="preserve">. </w:t>
      </w:r>
      <w:r w:rsidR="00482EA4" w:rsidRPr="00E32653">
        <w:rPr>
          <w:rFonts w:asciiTheme="majorBidi" w:hAnsiTheme="majorBidi" w:cstheme="majorBidi"/>
        </w:rPr>
        <w:t>The m</w:t>
      </w:r>
      <w:r w:rsidR="00326CAD" w:rsidRPr="00E32653">
        <w:rPr>
          <w:rFonts w:asciiTheme="majorBidi" w:hAnsiTheme="majorBidi" w:cstheme="majorBidi"/>
        </w:rPr>
        <w:t xml:space="preserve">anufacturing stage also contributed 78% to 82% of all energy usage for </w:t>
      </w:r>
      <w:r w:rsidR="00482EA4" w:rsidRPr="00E32653">
        <w:rPr>
          <w:rFonts w:asciiTheme="majorBidi" w:hAnsiTheme="majorBidi" w:cstheme="majorBidi"/>
        </w:rPr>
        <w:t xml:space="preserve">the </w:t>
      </w:r>
      <w:r w:rsidR="00326CAD" w:rsidRPr="00E32653">
        <w:rPr>
          <w:rFonts w:asciiTheme="majorBidi" w:hAnsiTheme="majorBidi" w:cstheme="majorBidi"/>
        </w:rPr>
        <w:t xml:space="preserve">whole life span of </w:t>
      </w:r>
      <w:r w:rsidR="00482EA4" w:rsidRPr="00E32653">
        <w:rPr>
          <w:rFonts w:asciiTheme="majorBidi" w:hAnsiTheme="majorBidi" w:cstheme="majorBidi"/>
        </w:rPr>
        <w:t xml:space="preserve">the </w:t>
      </w:r>
      <w:r w:rsidR="00326CAD" w:rsidRPr="00E32653">
        <w:rPr>
          <w:rFonts w:asciiTheme="majorBidi" w:hAnsiTheme="majorBidi" w:cstheme="majorBidi"/>
        </w:rPr>
        <w:t>building</w:t>
      </w:r>
      <w:r w:rsidRPr="00E32653">
        <w:rPr>
          <w:rFonts w:asciiTheme="majorBidi" w:hAnsiTheme="majorBidi" w:cstheme="majorBidi"/>
        </w:rPr>
        <w:t>s</w:t>
      </w:r>
      <w:r w:rsidR="00482EA4" w:rsidRPr="00E32653">
        <w:rPr>
          <w:rFonts w:asciiTheme="majorBidi" w:hAnsiTheme="majorBidi" w:cstheme="majorBidi"/>
        </w:rPr>
        <w:t>,</w:t>
      </w:r>
      <w:r w:rsidR="00326CAD" w:rsidRPr="00E32653">
        <w:rPr>
          <w:rFonts w:asciiTheme="majorBidi" w:hAnsiTheme="majorBidi" w:cstheme="majorBidi"/>
        </w:rPr>
        <w:t xml:space="preserve"> considering the system boundary of this research. </w:t>
      </w:r>
      <w:r w:rsidRPr="00E32653">
        <w:rPr>
          <w:rFonts w:asciiTheme="majorBidi" w:hAnsiTheme="majorBidi" w:cstheme="majorBidi"/>
        </w:rPr>
        <w:t xml:space="preserve">The </w:t>
      </w:r>
      <w:r w:rsidR="00326CAD" w:rsidRPr="00E32653">
        <w:rPr>
          <w:rFonts w:asciiTheme="majorBidi" w:hAnsiTheme="majorBidi" w:cstheme="majorBidi"/>
        </w:rPr>
        <w:t xml:space="preserve">transportation stage </w:t>
      </w:r>
      <w:r w:rsidRPr="00E32653">
        <w:rPr>
          <w:rFonts w:asciiTheme="majorBidi" w:hAnsiTheme="majorBidi" w:cstheme="majorBidi"/>
        </w:rPr>
        <w:t xml:space="preserve">was </w:t>
      </w:r>
      <w:r w:rsidR="00326CAD" w:rsidRPr="00E32653">
        <w:rPr>
          <w:rFonts w:asciiTheme="majorBidi" w:hAnsiTheme="majorBidi" w:cstheme="majorBidi"/>
        </w:rPr>
        <w:t xml:space="preserve">responsible for almost 5% of total energy usage. </w:t>
      </w:r>
    </w:p>
    <w:p w14:paraId="0EF11AD5" w14:textId="14469661" w:rsidR="00922CD8" w:rsidRPr="00E32653" w:rsidRDefault="00A4555A" w:rsidP="0012306F">
      <w:pPr>
        <w:pStyle w:val="ListParagraph"/>
        <w:spacing w:after="0" w:line="276" w:lineRule="auto"/>
        <w:rPr>
          <w:rFonts w:asciiTheme="majorBidi" w:hAnsiTheme="majorBidi" w:cstheme="majorBidi"/>
          <w:sz w:val="20"/>
          <w:szCs w:val="20"/>
        </w:rPr>
      </w:pPr>
      <w:r w:rsidRPr="00E32653">
        <w:rPr>
          <w:rFonts w:asciiTheme="majorBidi" w:hAnsiTheme="majorBidi" w:cstheme="majorBidi"/>
          <w:sz w:val="20"/>
          <w:szCs w:val="20"/>
        </w:rPr>
        <w:t xml:space="preserve">Table 3 Life cycle embodied energy </w:t>
      </w:r>
    </w:p>
    <w:tbl>
      <w:tblPr>
        <w:tblW w:w="8381" w:type="dxa"/>
        <w:jc w:val="center"/>
        <w:tblLook w:val="04A0" w:firstRow="1" w:lastRow="0" w:firstColumn="1" w:lastColumn="0" w:noHBand="0" w:noVBand="1"/>
      </w:tblPr>
      <w:tblGrid>
        <w:gridCol w:w="1855"/>
        <w:gridCol w:w="1712"/>
        <w:gridCol w:w="763"/>
        <w:gridCol w:w="1025"/>
        <w:gridCol w:w="1025"/>
        <w:gridCol w:w="1011"/>
        <w:gridCol w:w="990"/>
      </w:tblGrid>
      <w:tr w:rsidR="00E32653" w:rsidRPr="00E32653" w14:paraId="2DCF9638" w14:textId="77777777" w:rsidTr="00E40EF1">
        <w:trPr>
          <w:trHeight w:val="360"/>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9F1CD8" w14:textId="77777777" w:rsidR="00AB5125" w:rsidRPr="00E32653" w:rsidRDefault="00AB5125" w:rsidP="00922CD8">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 Category</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D225E8A" w14:textId="77777777" w:rsidR="00AB5125" w:rsidRPr="00E32653" w:rsidRDefault="00AB5125" w:rsidP="00922CD8">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 xml:space="preserve"> Stage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4B7013" w14:textId="279CB08B" w:rsidR="00AB5125" w:rsidRPr="00E32653" w:rsidRDefault="00AB5125" w:rsidP="00922CD8">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 xml:space="preserve">Unit </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A91A654" w14:textId="5771BB45" w:rsidR="00AB5125" w:rsidRPr="00E32653" w:rsidRDefault="00AB5125" w:rsidP="00AB5125">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GLT-h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0A6C851" w14:textId="66313005" w:rsidR="00AB5125" w:rsidRPr="00E32653" w:rsidRDefault="00AB5125" w:rsidP="00AB5125">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GLT-S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95FC988" w14:textId="5A245705" w:rsidR="00AB5125" w:rsidRPr="00E32653" w:rsidRDefault="00AB5125" w:rsidP="00AB5125">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LVL-h</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C334DA" w14:textId="229AFED9" w:rsidR="00AB5125" w:rsidRPr="00E32653" w:rsidRDefault="00AB5125" w:rsidP="00AB5125">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LVL-s</w:t>
            </w:r>
          </w:p>
        </w:tc>
      </w:tr>
      <w:tr w:rsidR="00E32653" w:rsidRPr="00E32653" w14:paraId="56F36315" w14:textId="77777777" w:rsidTr="00E40EF1">
        <w:trPr>
          <w:trHeight w:val="36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0FC2A21C" w14:textId="77777777" w:rsidR="00AB5125" w:rsidRPr="00E32653" w:rsidRDefault="00AB5125" w:rsidP="003F5F00">
            <w:pPr>
              <w:spacing w:after="0" w:line="240" w:lineRule="auto"/>
              <w:rPr>
                <w:rFonts w:asciiTheme="majorBidi" w:eastAsia="Times New Roman" w:hAnsiTheme="majorBidi" w:cstheme="majorBidi"/>
                <w:i/>
                <w:iCs/>
                <w:sz w:val="20"/>
                <w:szCs w:val="20"/>
              </w:rPr>
            </w:pPr>
            <w:r w:rsidRPr="00E32653">
              <w:rPr>
                <w:rFonts w:asciiTheme="majorBidi" w:eastAsia="Times New Roman" w:hAnsiTheme="majorBidi" w:cstheme="majorBidi"/>
                <w:i/>
                <w:iCs/>
                <w:sz w:val="20"/>
                <w:szCs w:val="20"/>
              </w:rPr>
              <w:t xml:space="preserve">Manufacturing </w:t>
            </w:r>
          </w:p>
        </w:tc>
        <w:tc>
          <w:tcPr>
            <w:tcW w:w="0" w:type="auto"/>
            <w:tcBorders>
              <w:top w:val="nil"/>
              <w:left w:val="nil"/>
              <w:bottom w:val="single" w:sz="4" w:space="0" w:color="auto"/>
              <w:right w:val="single" w:sz="4" w:space="0" w:color="auto"/>
            </w:tcBorders>
            <w:shd w:val="clear" w:color="auto" w:fill="auto"/>
            <w:noWrap/>
            <w:vAlign w:val="center"/>
            <w:hideMark/>
          </w:tcPr>
          <w:p w14:paraId="38D1D5C1"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Material</w:t>
            </w:r>
          </w:p>
        </w:tc>
        <w:tc>
          <w:tcPr>
            <w:tcW w:w="0" w:type="auto"/>
            <w:tcBorders>
              <w:top w:val="nil"/>
              <w:left w:val="single" w:sz="4" w:space="0" w:color="auto"/>
              <w:bottom w:val="single" w:sz="4" w:space="0" w:color="auto"/>
              <w:right w:val="single" w:sz="4" w:space="0" w:color="auto"/>
            </w:tcBorders>
            <w:vAlign w:val="center"/>
          </w:tcPr>
          <w:p w14:paraId="7DAF281C" w14:textId="6ECDE78A"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20ED3" w14:textId="6B17734C"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270260</w:t>
            </w:r>
          </w:p>
        </w:tc>
        <w:tc>
          <w:tcPr>
            <w:tcW w:w="0" w:type="auto"/>
            <w:tcBorders>
              <w:top w:val="nil"/>
              <w:left w:val="nil"/>
              <w:bottom w:val="single" w:sz="4" w:space="0" w:color="auto"/>
              <w:right w:val="single" w:sz="4" w:space="0" w:color="auto"/>
            </w:tcBorders>
            <w:shd w:val="clear" w:color="auto" w:fill="auto"/>
            <w:noWrap/>
            <w:vAlign w:val="center"/>
            <w:hideMark/>
          </w:tcPr>
          <w:p w14:paraId="1AFF99F5"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266370</w:t>
            </w:r>
          </w:p>
        </w:tc>
        <w:tc>
          <w:tcPr>
            <w:tcW w:w="0" w:type="auto"/>
            <w:tcBorders>
              <w:top w:val="nil"/>
              <w:left w:val="nil"/>
              <w:bottom w:val="single" w:sz="4" w:space="0" w:color="auto"/>
              <w:right w:val="single" w:sz="4" w:space="0" w:color="auto"/>
            </w:tcBorders>
            <w:shd w:val="clear" w:color="auto" w:fill="auto"/>
            <w:noWrap/>
            <w:vAlign w:val="center"/>
            <w:hideMark/>
          </w:tcPr>
          <w:p w14:paraId="5AC215A8"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150545</w:t>
            </w:r>
          </w:p>
        </w:tc>
        <w:tc>
          <w:tcPr>
            <w:tcW w:w="0" w:type="auto"/>
            <w:tcBorders>
              <w:top w:val="nil"/>
              <w:left w:val="nil"/>
              <w:bottom w:val="single" w:sz="4" w:space="0" w:color="auto"/>
              <w:right w:val="single" w:sz="4" w:space="0" w:color="auto"/>
            </w:tcBorders>
            <w:shd w:val="clear" w:color="auto" w:fill="auto"/>
            <w:noWrap/>
            <w:vAlign w:val="center"/>
            <w:hideMark/>
          </w:tcPr>
          <w:p w14:paraId="62C5BD13"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149740</w:t>
            </w:r>
          </w:p>
        </w:tc>
      </w:tr>
      <w:tr w:rsidR="00E32653" w:rsidRPr="00E32653" w14:paraId="0C7CF25A" w14:textId="77777777" w:rsidTr="00E40EF1">
        <w:trPr>
          <w:trHeight w:val="360"/>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522D0D05" w14:textId="77777777" w:rsidR="00AB5125" w:rsidRPr="00E32653" w:rsidRDefault="00AB5125" w:rsidP="003F5F00">
            <w:pPr>
              <w:spacing w:after="0" w:line="240" w:lineRule="auto"/>
              <w:rPr>
                <w:rFonts w:asciiTheme="majorBidi" w:eastAsia="Times New Roman" w:hAnsiTheme="majorBidi" w:cstheme="majorBidi"/>
                <w:i/>
                <w:iCs/>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25596457"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Transportation</w:t>
            </w:r>
          </w:p>
        </w:tc>
        <w:tc>
          <w:tcPr>
            <w:tcW w:w="0" w:type="auto"/>
            <w:tcBorders>
              <w:top w:val="nil"/>
              <w:left w:val="single" w:sz="4" w:space="0" w:color="auto"/>
              <w:bottom w:val="single" w:sz="4" w:space="0" w:color="auto"/>
              <w:right w:val="single" w:sz="4" w:space="0" w:color="auto"/>
            </w:tcBorders>
            <w:vAlign w:val="center"/>
          </w:tcPr>
          <w:p w14:paraId="5644B611" w14:textId="5ABE0006"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B2A2E" w14:textId="43A2C3F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4120</w:t>
            </w:r>
          </w:p>
        </w:tc>
        <w:tc>
          <w:tcPr>
            <w:tcW w:w="0" w:type="auto"/>
            <w:tcBorders>
              <w:top w:val="nil"/>
              <w:left w:val="nil"/>
              <w:bottom w:val="single" w:sz="4" w:space="0" w:color="auto"/>
              <w:right w:val="single" w:sz="4" w:space="0" w:color="auto"/>
            </w:tcBorders>
            <w:shd w:val="clear" w:color="auto" w:fill="auto"/>
            <w:noWrap/>
            <w:vAlign w:val="center"/>
            <w:hideMark/>
          </w:tcPr>
          <w:p w14:paraId="373E18FA"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4120</w:t>
            </w:r>
          </w:p>
        </w:tc>
        <w:tc>
          <w:tcPr>
            <w:tcW w:w="0" w:type="auto"/>
            <w:tcBorders>
              <w:top w:val="nil"/>
              <w:left w:val="nil"/>
              <w:bottom w:val="single" w:sz="4" w:space="0" w:color="auto"/>
              <w:right w:val="single" w:sz="4" w:space="0" w:color="auto"/>
            </w:tcBorders>
            <w:shd w:val="clear" w:color="auto" w:fill="auto"/>
            <w:noWrap/>
            <w:vAlign w:val="center"/>
            <w:hideMark/>
          </w:tcPr>
          <w:p w14:paraId="645108CF"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4120</w:t>
            </w:r>
          </w:p>
        </w:tc>
        <w:tc>
          <w:tcPr>
            <w:tcW w:w="0" w:type="auto"/>
            <w:tcBorders>
              <w:top w:val="nil"/>
              <w:left w:val="nil"/>
              <w:bottom w:val="single" w:sz="4" w:space="0" w:color="auto"/>
              <w:right w:val="single" w:sz="4" w:space="0" w:color="auto"/>
            </w:tcBorders>
            <w:shd w:val="clear" w:color="auto" w:fill="auto"/>
            <w:noWrap/>
            <w:vAlign w:val="center"/>
            <w:hideMark/>
          </w:tcPr>
          <w:p w14:paraId="13CBCCD0"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4120</w:t>
            </w:r>
          </w:p>
        </w:tc>
      </w:tr>
      <w:tr w:rsidR="00E32653" w:rsidRPr="00E32653" w14:paraId="0D943FE4" w14:textId="77777777" w:rsidTr="00E40EF1">
        <w:trPr>
          <w:trHeight w:val="36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306A0F4F" w14:textId="77777777" w:rsidR="00AB5125" w:rsidRPr="00E32653" w:rsidRDefault="00AB5125" w:rsidP="003F5F00">
            <w:pPr>
              <w:spacing w:after="0" w:line="240" w:lineRule="auto"/>
              <w:rPr>
                <w:rFonts w:asciiTheme="majorBidi" w:eastAsia="Times New Roman" w:hAnsiTheme="majorBidi" w:cstheme="majorBidi"/>
                <w:i/>
                <w:iCs/>
                <w:sz w:val="20"/>
                <w:szCs w:val="20"/>
              </w:rPr>
            </w:pPr>
            <w:r w:rsidRPr="00E32653">
              <w:rPr>
                <w:rFonts w:asciiTheme="majorBidi" w:eastAsia="Times New Roman" w:hAnsiTheme="majorBidi" w:cstheme="majorBidi"/>
                <w:i/>
                <w:iCs/>
                <w:sz w:val="20"/>
                <w:szCs w:val="20"/>
              </w:rPr>
              <w:t xml:space="preserve">Construction </w:t>
            </w:r>
          </w:p>
        </w:tc>
        <w:tc>
          <w:tcPr>
            <w:tcW w:w="0" w:type="auto"/>
            <w:tcBorders>
              <w:top w:val="nil"/>
              <w:left w:val="nil"/>
              <w:bottom w:val="single" w:sz="4" w:space="0" w:color="auto"/>
              <w:right w:val="single" w:sz="4" w:space="0" w:color="auto"/>
            </w:tcBorders>
            <w:shd w:val="clear" w:color="auto" w:fill="auto"/>
            <w:noWrap/>
            <w:vAlign w:val="center"/>
            <w:hideMark/>
          </w:tcPr>
          <w:p w14:paraId="6FDA0E68"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Material</w:t>
            </w:r>
          </w:p>
        </w:tc>
        <w:tc>
          <w:tcPr>
            <w:tcW w:w="0" w:type="auto"/>
            <w:tcBorders>
              <w:top w:val="nil"/>
              <w:left w:val="single" w:sz="4" w:space="0" w:color="auto"/>
              <w:bottom w:val="single" w:sz="4" w:space="0" w:color="auto"/>
              <w:right w:val="single" w:sz="4" w:space="0" w:color="auto"/>
            </w:tcBorders>
            <w:vAlign w:val="center"/>
          </w:tcPr>
          <w:p w14:paraId="7B846351" w14:textId="55EA9032"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79B47" w14:textId="25099420"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7230</w:t>
            </w:r>
          </w:p>
        </w:tc>
        <w:tc>
          <w:tcPr>
            <w:tcW w:w="0" w:type="auto"/>
            <w:tcBorders>
              <w:top w:val="nil"/>
              <w:left w:val="nil"/>
              <w:bottom w:val="single" w:sz="4" w:space="0" w:color="auto"/>
              <w:right w:val="single" w:sz="4" w:space="0" w:color="auto"/>
            </w:tcBorders>
            <w:shd w:val="clear" w:color="auto" w:fill="auto"/>
            <w:noWrap/>
            <w:vAlign w:val="center"/>
            <w:hideMark/>
          </w:tcPr>
          <w:p w14:paraId="70BCB10E"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7230</w:t>
            </w:r>
          </w:p>
        </w:tc>
        <w:tc>
          <w:tcPr>
            <w:tcW w:w="0" w:type="auto"/>
            <w:tcBorders>
              <w:top w:val="nil"/>
              <w:left w:val="nil"/>
              <w:bottom w:val="single" w:sz="4" w:space="0" w:color="auto"/>
              <w:right w:val="single" w:sz="4" w:space="0" w:color="auto"/>
            </w:tcBorders>
            <w:shd w:val="clear" w:color="auto" w:fill="auto"/>
            <w:noWrap/>
            <w:vAlign w:val="center"/>
            <w:hideMark/>
          </w:tcPr>
          <w:p w14:paraId="11E1641E"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4069</w:t>
            </w:r>
          </w:p>
        </w:tc>
        <w:tc>
          <w:tcPr>
            <w:tcW w:w="0" w:type="auto"/>
            <w:tcBorders>
              <w:top w:val="nil"/>
              <w:left w:val="nil"/>
              <w:bottom w:val="single" w:sz="4" w:space="0" w:color="auto"/>
              <w:right w:val="single" w:sz="4" w:space="0" w:color="auto"/>
            </w:tcBorders>
            <w:shd w:val="clear" w:color="auto" w:fill="auto"/>
            <w:noWrap/>
            <w:vAlign w:val="center"/>
            <w:hideMark/>
          </w:tcPr>
          <w:p w14:paraId="0ECA9A75"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4047</w:t>
            </w:r>
          </w:p>
        </w:tc>
      </w:tr>
      <w:tr w:rsidR="00E32653" w:rsidRPr="00E32653" w14:paraId="756AD89D" w14:textId="77777777" w:rsidTr="00E40EF1">
        <w:trPr>
          <w:trHeight w:val="360"/>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0B63C8F3" w14:textId="77777777" w:rsidR="00AB5125" w:rsidRPr="00E32653" w:rsidRDefault="00AB5125" w:rsidP="003F5F00">
            <w:pPr>
              <w:spacing w:after="0" w:line="240" w:lineRule="auto"/>
              <w:rPr>
                <w:rFonts w:asciiTheme="majorBidi" w:eastAsia="Times New Roman" w:hAnsiTheme="majorBidi" w:cstheme="majorBidi"/>
                <w:i/>
                <w:iCs/>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E20D1D2"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Transportation</w:t>
            </w:r>
          </w:p>
        </w:tc>
        <w:tc>
          <w:tcPr>
            <w:tcW w:w="0" w:type="auto"/>
            <w:tcBorders>
              <w:top w:val="nil"/>
              <w:left w:val="single" w:sz="4" w:space="0" w:color="auto"/>
              <w:bottom w:val="single" w:sz="4" w:space="0" w:color="auto"/>
              <w:right w:val="single" w:sz="4" w:space="0" w:color="auto"/>
            </w:tcBorders>
            <w:vAlign w:val="center"/>
          </w:tcPr>
          <w:p w14:paraId="42E34B46" w14:textId="41447DD8"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E19F7" w14:textId="20E31682"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11472</w:t>
            </w:r>
          </w:p>
        </w:tc>
        <w:tc>
          <w:tcPr>
            <w:tcW w:w="0" w:type="auto"/>
            <w:tcBorders>
              <w:top w:val="nil"/>
              <w:left w:val="nil"/>
              <w:bottom w:val="single" w:sz="4" w:space="0" w:color="auto"/>
              <w:right w:val="single" w:sz="4" w:space="0" w:color="auto"/>
            </w:tcBorders>
            <w:shd w:val="clear" w:color="auto" w:fill="auto"/>
            <w:noWrap/>
            <w:vAlign w:val="center"/>
            <w:hideMark/>
          </w:tcPr>
          <w:p w14:paraId="49D6E6CE"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11472</w:t>
            </w:r>
          </w:p>
        </w:tc>
        <w:tc>
          <w:tcPr>
            <w:tcW w:w="0" w:type="auto"/>
            <w:tcBorders>
              <w:top w:val="nil"/>
              <w:left w:val="nil"/>
              <w:bottom w:val="single" w:sz="4" w:space="0" w:color="auto"/>
              <w:right w:val="single" w:sz="4" w:space="0" w:color="auto"/>
            </w:tcBorders>
            <w:shd w:val="clear" w:color="auto" w:fill="auto"/>
            <w:noWrap/>
            <w:vAlign w:val="center"/>
            <w:hideMark/>
          </w:tcPr>
          <w:p w14:paraId="54615104"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11472</w:t>
            </w:r>
          </w:p>
        </w:tc>
        <w:tc>
          <w:tcPr>
            <w:tcW w:w="0" w:type="auto"/>
            <w:tcBorders>
              <w:top w:val="nil"/>
              <w:left w:val="nil"/>
              <w:bottom w:val="single" w:sz="4" w:space="0" w:color="auto"/>
              <w:right w:val="single" w:sz="4" w:space="0" w:color="auto"/>
            </w:tcBorders>
            <w:shd w:val="clear" w:color="auto" w:fill="auto"/>
            <w:noWrap/>
            <w:vAlign w:val="center"/>
            <w:hideMark/>
          </w:tcPr>
          <w:p w14:paraId="346DDAAC"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11472</w:t>
            </w:r>
          </w:p>
        </w:tc>
      </w:tr>
      <w:tr w:rsidR="00E32653" w:rsidRPr="00E32653" w14:paraId="190C4E92" w14:textId="77777777" w:rsidTr="00E40EF1">
        <w:trPr>
          <w:trHeight w:val="36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1F0500F7" w14:textId="29614C84" w:rsidR="00AB5125" w:rsidRPr="00E32653" w:rsidRDefault="00AB21D7" w:rsidP="003F5F00">
            <w:pPr>
              <w:spacing w:after="0" w:line="240" w:lineRule="auto"/>
              <w:rPr>
                <w:rFonts w:asciiTheme="majorBidi" w:eastAsia="Times New Roman" w:hAnsiTheme="majorBidi" w:cstheme="majorBidi"/>
                <w:i/>
                <w:iCs/>
                <w:sz w:val="20"/>
                <w:szCs w:val="20"/>
              </w:rPr>
            </w:pPr>
            <w:r w:rsidRPr="00E32653">
              <w:rPr>
                <w:rFonts w:asciiTheme="majorBidi" w:eastAsia="Times New Roman" w:hAnsiTheme="majorBidi" w:cstheme="majorBidi"/>
                <w:i/>
                <w:iCs/>
                <w:sz w:val="20"/>
                <w:szCs w:val="20"/>
              </w:rPr>
              <w:t>Use stage</w:t>
            </w:r>
          </w:p>
        </w:tc>
        <w:tc>
          <w:tcPr>
            <w:tcW w:w="0" w:type="auto"/>
            <w:tcBorders>
              <w:top w:val="nil"/>
              <w:left w:val="nil"/>
              <w:bottom w:val="single" w:sz="4" w:space="0" w:color="auto"/>
              <w:right w:val="single" w:sz="4" w:space="0" w:color="auto"/>
            </w:tcBorders>
            <w:shd w:val="clear" w:color="auto" w:fill="auto"/>
            <w:noWrap/>
            <w:vAlign w:val="center"/>
            <w:hideMark/>
          </w:tcPr>
          <w:p w14:paraId="1E02B602"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Material</w:t>
            </w:r>
          </w:p>
        </w:tc>
        <w:tc>
          <w:tcPr>
            <w:tcW w:w="0" w:type="auto"/>
            <w:tcBorders>
              <w:top w:val="nil"/>
              <w:left w:val="single" w:sz="4" w:space="0" w:color="auto"/>
              <w:bottom w:val="single" w:sz="4" w:space="0" w:color="auto"/>
              <w:right w:val="single" w:sz="4" w:space="0" w:color="auto"/>
            </w:tcBorders>
            <w:vAlign w:val="center"/>
          </w:tcPr>
          <w:p w14:paraId="30B84D98" w14:textId="2A5798FF"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D3FFE" w14:textId="24CB924D"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24230</w:t>
            </w:r>
          </w:p>
        </w:tc>
        <w:tc>
          <w:tcPr>
            <w:tcW w:w="0" w:type="auto"/>
            <w:tcBorders>
              <w:top w:val="nil"/>
              <w:left w:val="nil"/>
              <w:bottom w:val="single" w:sz="4" w:space="0" w:color="auto"/>
              <w:right w:val="single" w:sz="4" w:space="0" w:color="auto"/>
            </w:tcBorders>
            <w:shd w:val="clear" w:color="auto" w:fill="auto"/>
            <w:noWrap/>
            <w:vAlign w:val="center"/>
            <w:hideMark/>
          </w:tcPr>
          <w:p w14:paraId="3C5CE83D"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23120</w:t>
            </w:r>
          </w:p>
        </w:tc>
        <w:tc>
          <w:tcPr>
            <w:tcW w:w="0" w:type="auto"/>
            <w:tcBorders>
              <w:top w:val="nil"/>
              <w:left w:val="nil"/>
              <w:bottom w:val="single" w:sz="4" w:space="0" w:color="auto"/>
              <w:right w:val="single" w:sz="4" w:space="0" w:color="auto"/>
            </w:tcBorders>
            <w:shd w:val="clear" w:color="auto" w:fill="auto"/>
            <w:noWrap/>
            <w:vAlign w:val="center"/>
            <w:hideMark/>
          </w:tcPr>
          <w:p w14:paraId="53463464"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13686</w:t>
            </w:r>
          </w:p>
        </w:tc>
        <w:tc>
          <w:tcPr>
            <w:tcW w:w="0" w:type="auto"/>
            <w:tcBorders>
              <w:top w:val="nil"/>
              <w:left w:val="nil"/>
              <w:bottom w:val="single" w:sz="4" w:space="0" w:color="auto"/>
              <w:right w:val="single" w:sz="4" w:space="0" w:color="auto"/>
            </w:tcBorders>
            <w:shd w:val="clear" w:color="auto" w:fill="auto"/>
            <w:noWrap/>
            <w:vAlign w:val="center"/>
            <w:hideMark/>
          </w:tcPr>
          <w:p w14:paraId="4754BE10"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13613</w:t>
            </w:r>
          </w:p>
        </w:tc>
      </w:tr>
      <w:tr w:rsidR="00E32653" w:rsidRPr="00E32653" w14:paraId="2839CEF5" w14:textId="77777777" w:rsidTr="00E40EF1">
        <w:trPr>
          <w:trHeight w:val="360"/>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082EF9F4" w14:textId="77777777" w:rsidR="00AB5125" w:rsidRPr="00E32653" w:rsidRDefault="00AB5125" w:rsidP="003F5F00">
            <w:pPr>
              <w:spacing w:after="0" w:line="240" w:lineRule="auto"/>
              <w:rPr>
                <w:rFonts w:asciiTheme="majorBidi" w:eastAsia="Times New Roman" w:hAnsiTheme="majorBidi" w:cstheme="majorBidi"/>
                <w:i/>
                <w:iCs/>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0D37C0FD"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Transportation</w:t>
            </w:r>
          </w:p>
        </w:tc>
        <w:tc>
          <w:tcPr>
            <w:tcW w:w="0" w:type="auto"/>
            <w:tcBorders>
              <w:top w:val="nil"/>
              <w:left w:val="single" w:sz="4" w:space="0" w:color="auto"/>
              <w:bottom w:val="single" w:sz="4" w:space="0" w:color="auto"/>
              <w:right w:val="single" w:sz="4" w:space="0" w:color="auto"/>
            </w:tcBorders>
            <w:vAlign w:val="center"/>
          </w:tcPr>
          <w:p w14:paraId="039F7835" w14:textId="4122B7AC"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357FE" w14:textId="29858DD9"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2296</w:t>
            </w:r>
          </w:p>
        </w:tc>
        <w:tc>
          <w:tcPr>
            <w:tcW w:w="0" w:type="auto"/>
            <w:tcBorders>
              <w:top w:val="nil"/>
              <w:left w:val="nil"/>
              <w:bottom w:val="single" w:sz="4" w:space="0" w:color="auto"/>
              <w:right w:val="single" w:sz="4" w:space="0" w:color="auto"/>
            </w:tcBorders>
            <w:shd w:val="clear" w:color="auto" w:fill="auto"/>
            <w:noWrap/>
            <w:vAlign w:val="center"/>
            <w:hideMark/>
          </w:tcPr>
          <w:p w14:paraId="488379F3"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2296</w:t>
            </w:r>
          </w:p>
        </w:tc>
        <w:tc>
          <w:tcPr>
            <w:tcW w:w="0" w:type="auto"/>
            <w:tcBorders>
              <w:top w:val="nil"/>
              <w:left w:val="nil"/>
              <w:bottom w:val="single" w:sz="4" w:space="0" w:color="auto"/>
              <w:right w:val="single" w:sz="4" w:space="0" w:color="auto"/>
            </w:tcBorders>
            <w:shd w:val="clear" w:color="auto" w:fill="auto"/>
            <w:noWrap/>
            <w:vAlign w:val="center"/>
            <w:hideMark/>
          </w:tcPr>
          <w:p w14:paraId="76EA2E79"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2296</w:t>
            </w:r>
          </w:p>
        </w:tc>
        <w:tc>
          <w:tcPr>
            <w:tcW w:w="0" w:type="auto"/>
            <w:tcBorders>
              <w:top w:val="nil"/>
              <w:left w:val="nil"/>
              <w:bottom w:val="single" w:sz="4" w:space="0" w:color="auto"/>
              <w:right w:val="single" w:sz="4" w:space="0" w:color="auto"/>
            </w:tcBorders>
            <w:shd w:val="clear" w:color="auto" w:fill="auto"/>
            <w:noWrap/>
            <w:vAlign w:val="center"/>
            <w:hideMark/>
          </w:tcPr>
          <w:p w14:paraId="1105D7F0"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2296</w:t>
            </w:r>
          </w:p>
        </w:tc>
      </w:tr>
      <w:tr w:rsidR="00E32653" w:rsidRPr="00E32653" w14:paraId="65449CD0" w14:textId="77777777" w:rsidTr="00E40EF1">
        <w:trPr>
          <w:trHeight w:val="36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4CC54C65" w14:textId="77777777" w:rsidR="00AB5125" w:rsidRPr="00E32653" w:rsidRDefault="00AB5125" w:rsidP="003F5F00">
            <w:pPr>
              <w:spacing w:after="0" w:line="240" w:lineRule="auto"/>
              <w:rPr>
                <w:rFonts w:asciiTheme="majorBidi" w:eastAsia="Times New Roman" w:hAnsiTheme="majorBidi" w:cstheme="majorBidi"/>
                <w:i/>
                <w:iCs/>
                <w:sz w:val="20"/>
                <w:szCs w:val="20"/>
              </w:rPr>
            </w:pPr>
            <w:r w:rsidRPr="00E32653">
              <w:rPr>
                <w:rFonts w:asciiTheme="majorBidi" w:eastAsia="Times New Roman" w:hAnsiTheme="majorBidi" w:cstheme="majorBidi"/>
                <w:i/>
                <w:iCs/>
                <w:sz w:val="20"/>
                <w:szCs w:val="20"/>
              </w:rPr>
              <w:t xml:space="preserve">End of life </w:t>
            </w:r>
          </w:p>
        </w:tc>
        <w:tc>
          <w:tcPr>
            <w:tcW w:w="0" w:type="auto"/>
            <w:tcBorders>
              <w:top w:val="nil"/>
              <w:left w:val="nil"/>
              <w:bottom w:val="single" w:sz="4" w:space="0" w:color="auto"/>
              <w:right w:val="single" w:sz="4" w:space="0" w:color="auto"/>
            </w:tcBorders>
            <w:shd w:val="clear" w:color="auto" w:fill="auto"/>
            <w:noWrap/>
            <w:vAlign w:val="center"/>
            <w:hideMark/>
          </w:tcPr>
          <w:p w14:paraId="48108BCB"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Material</w:t>
            </w:r>
          </w:p>
        </w:tc>
        <w:tc>
          <w:tcPr>
            <w:tcW w:w="0" w:type="auto"/>
            <w:tcBorders>
              <w:top w:val="nil"/>
              <w:left w:val="single" w:sz="4" w:space="0" w:color="auto"/>
              <w:bottom w:val="nil"/>
              <w:right w:val="single" w:sz="4" w:space="0" w:color="auto"/>
            </w:tcBorders>
            <w:vAlign w:val="center"/>
          </w:tcPr>
          <w:p w14:paraId="1AEAE4D8" w14:textId="3C40C6FA"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nil"/>
              <w:left w:val="single" w:sz="4" w:space="0" w:color="auto"/>
              <w:bottom w:val="nil"/>
              <w:right w:val="single" w:sz="4" w:space="0" w:color="auto"/>
            </w:tcBorders>
            <w:shd w:val="clear" w:color="auto" w:fill="auto"/>
            <w:noWrap/>
            <w:vAlign w:val="center"/>
            <w:hideMark/>
          </w:tcPr>
          <w:p w14:paraId="3DCFC110" w14:textId="17D3297A"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8400</w:t>
            </w:r>
          </w:p>
        </w:tc>
        <w:tc>
          <w:tcPr>
            <w:tcW w:w="0" w:type="auto"/>
            <w:tcBorders>
              <w:top w:val="nil"/>
              <w:left w:val="nil"/>
              <w:bottom w:val="nil"/>
              <w:right w:val="single" w:sz="4" w:space="0" w:color="auto"/>
            </w:tcBorders>
            <w:shd w:val="clear" w:color="auto" w:fill="auto"/>
            <w:noWrap/>
            <w:vAlign w:val="center"/>
            <w:hideMark/>
          </w:tcPr>
          <w:p w14:paraId="662E663E"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8400</w:t>
            </w:r>
          </w:p>
        </w:tc>
        <w:tc>
          <w:tcPr>
            <w:tcW w:w="0" w:type="auto"/>
            <w:tcBorders>
              <w:top w:val="nil"/>
              <w:left w:val="nil"/>
              <w:bottom w:val="nil"/>
              <w:right w:val="single" w:sz="4" w:space="0" w:color="auto"/>
            </w:tcBorders>
            <w:shd w:val="clear" w:color="auto" w:fill="auto"/>
            <w:noWrap/>
            <w:vAlign w:val="center"/>
            <w:hideMark/>
          </w:tcPr>
          <w:p w14:paraId="1D1533CA"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4301</w:t>
            </w:r>
          </w:p>
        </w:tc>
        <w:tc>
          <w:tcPr>
            <w:tcW w:w="0" w:type="auto"/>
            <w:tcBorders>
              <w:top w:val="nil"/>
              <w:left w:val="single" w:sz="4" w:space="0" w:color="auto"/>
              <w:bottom w:val="nil"/>
              <w:right w:val="single" w:sz="4" w:space="0" w:color="auto"/>
            </w:tcBorders>
            <w:shd w:val="clear" w:color="auto" w:fill="auto"/>
            <w:noWrap/>
            <w:vAlign w:val="center"/>
            <w:hideMark/>
          </w:tcPr>
          <w:p w14:paraId="51708900"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4278</w:t>
            </w:r>
          </w:p>
        </w:tc>
      </w:tr>
      <w:tr w:rsidR="00AB5125" w:rsidRPr="00E32653" w14:paraId="456E5145" w14:textId="77777777" w:rsidTr="00E40EF1">
        <w:trPr>
          <w:trHeight w:val="360"/>
          <w:jc w:val="center"/>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1440D346" w14:textId="77777777" w:rsidR="00AB5125" w:rsidRPr="00E32653" w:rsidRDefault="00AB5125" w:rsidP="00922CD8">
            <w:pPr>
              <w:spacing w:after="0" w:line="240" w:lineRule="auto"/>
              <w:rPr>
                <w:rFonts w:asciiTheme="majorBidi" w:eastAsia="Times New Roman" w:hAnsiTheme="majorBidi" w:cstheme="majorBidi"/>
                <w:i/>
                <w:iCs/>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15F5D3A3" w14:textId="77777777" w:rsidR="00AB5125" w:rsidRPr="00E32653" w:rsidRDefault="00AB5125" w:rsidP="00922CD8">
            <w:pPr>
              <w:spacing w:after="0" w:line="240" w:lineRule="auto"/>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Transportation</w:t>
            </w:r>
          </w:p>
        </w:tc>
        <w:tc>
          <w:tcPr>
            <w:tcW w:w="0" w:type="auto"/>
            <w:tcBorders>
              <w:top w:val="single" w:sz="4" w:space="0" w:color="auto"/>
              <w:left w:val="single" w:sz="4" w:space="0" w:color="auto"/>
              <w:bottom w:val="single" w:sz="4" w:space="0" w:color="auto"/>
              <w:right w:val="single" w:sz="4" w:space="0" w:color="auto"/>
            </w:tcBorders>
            <w:vAlign w:val="center"/>
          </w:tcPr>
          <w:p w14:paraId="5743FF24" w14:textId="4AF41373" w:rsidR="00AB5125" w:rsidRPr="00E32653" w:rsidRDefault="00AB5125" w:rsidP="00AB5125">
            <w:pPr>
              <w:spacing w:after="0" w:line="240" w:lineRule="auto"/>
              <w:jc w:val="center"/>
              <w:rPr>
                <w:rFonts w:asciiTheme="majorBidi" w:eastAsia="Times New Roman" w:hAnsiTheme="majorBidi" w:cstheme="majorBidi"/>
                <w:i/>
                <w:iCs/>
                <w:sz w:val="16"/>
                <w:szCs w:val="16"/>
              </w:rPr>
            </w:pPr>
            <w:r w:rsidRPr="00E32653">
              <w:rPr>
                <w:rFonts w:asciiTheme="majorBidi" w:eastAsia="Times New Roman" w:hAnsiTheme="majorBidi" w:cstheme="majorBidi"/>
                <w:i/>
                <w:iCs/>
                <w:sz w:val="16"/>
                <w:szCs w:val="16"/>
              </w:rPr>
              <w:t>MJ</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4D854" w14:textId="4059FCCC"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1592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ABC644"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1592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E1D792"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1592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17F713" w14:textId="77777777" w:rsidR="00AB5125" w:rsidRPr="00E32653" w:rsidRDefault="00AB5125" w:rsidP="003F5F00">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1592</w:t>
            </w:r>
          </w:p>
        </w:tc>
      </w:tr>
    </w:tbl>
    <w:p w14:paraId="343094D7" w14:textId="6518AEA6" w:rsidR="00922CD8" w:rsidRPr="00E32653" w:rsidRDefault="00922CD8" w:rsidP="0069742B">
      <w:pPr>
        <w:pStyle w:val="ListParagraph"/>
        <w:spacing w:before="240" w:line="276" w:lineRule="auto"/>
        <w:rPr>
          <w:rFonts w:asciiTheme="majorBidi" w:hAnsiTheme="majorBidi" w:cstheme="majorBidi"/>
          <w:b/>
          <w:bCs/>
        </w:rPr>
      </w:pPr>
    </w:p>
    <w:p w14:paraId="2D3CE4E7" w14:textId="2650651E" w:rsidR="00783B54" w:rsidRPr="00E32653" w:rsidRDefault="00D43E2E" w:rsidP="00F9449B">
      <w:pPr>
        <w:pStyle w:val="ListParagraph"/>
        <w:spacing w:before="240" w:line="276" w:lineRule="auto"/>
        <w:ind w:left="0" w:firstLine="720"/>
        <w:jc w:val="both"/>
        <w:rPr>
          <w:rFonts w:asciiTheme="majorBidi" w:hAnsiTheme="majorBidi" w:cstheme="majorBidi"/>
        </w:rPr>
      </w:pPr>
      <w:r w:rsidRPr="00E32653">
        <w:rPr>
          <w:rFonts w:asciiTheme="majorBidi" w:hAnsiTheme="majorBidi" w:cstheme="majorBidi"/>
        </w:rPr>
        <w:t xml:space="preserve">Figure 8 shows the </w:t>
      </w:r>
      <w:r w:rsidR="003D464C" w:rsidRPr="00E32653">
        <w:rPr>
          <w:rFonts w:asciiTheme="majorBidi" w:hAnsiTheme="majorBidi" w:cstheme="majorBidi"/>
        </w:rPr>
        <w:t xml:space="preserve">embodied energy for </w:t>
      </w:r>
      <w:r w:rsidRPr="00E32653">
        <w:rPr>
          <w:rFonts w:asciiTheme="majorBidi" w:hAnsiTheme="majorBidi" w:cstheme="majorBidi"/>
        </w:rPr>
        <w:t xml:space="preserve">each stage of </w:t>
      </w:r>
      <w:r w:rsidR="003D464C" w:rsidRPr="00E32653">
        <w:rPr>
          <w:rFonts w:asciiTheme="majorBidi" w:hAnsiTheme="majorBidi" w:cstheme="majorBidi"/>
        </w:rPr>
        <w:t xml:space="preserve">a </w:t>
      </w:r>
      <w:r w:rsidRPr="00E32653">
        <w:rPr>
          <w:rFonts w:asciiTheme="majorBidi" w:hAnsiTheme="majorBidi" w:cstheme="majorBidi"/>
        </w:rPr>
        <w:t>building</w:t>
      </w:r>
      <w:r w:rsidR="003D464C" w:rsidRPr="00E32653">
        <w:rPr>
          <w:rFonts w:asciiTheme="majorBidi" w:hAnsiTheme="majorBidi" w:cstheme="majorBidi"/>
        </w:rPr>
        <w:t>’s life</w:t>
      </w:r>
      <w:r w:rsidRPr="00E32653">
        <w:rPr>
          <w:rFonts w:asciiTheme="majorBidi" w:hAnsiTheme="majorBidi" w:cstheme="majorBidi"/>
        </w:rPr>
        <w:t xml:space="preserve"> </w:t>
      </w:r>
      <w:r w:rsidR="003D464C" w:rsidRPr="00E32653">
        <w:rPr>
          <w:rFonts w:asciiTheme="majorBidi" w:hAnsiTheme="majorBidi" w:cstheme="majorBidi"/>
        </w:rPr>
        <w:t>for the</w:t>
      </w:r>
      <w:r w:rsidRPr="00E32653">
        <w:rPr>
          <w:rFonts w:asciiTheme="majorBidi" w:hAnsiTheme="majorBidi" w:cstheme="majorBidi"/>
        </w:rPr>
        <w:t xml:space="preserve"> four alternative</w:t>
      </w:r>
      <w:r w:rsidR="003D464C" w:rsidRPr="00E32653">
        <w:rPr>
          <w:rFonts w:asciiTheme="majorBidi" w:hAnsiTheme="majorBidi" w:cstheme="majorBidi"/>
        </w:rPr>
        <w:t xml:space="preserve"> timber materials</w:t>
      </w:r>
      <w:r w:rsidRPr="00E32653">
        <w:rPr>
          <w:rFonts w:asciiTheme="majorBidi" w:hAnsiTheme="majorBidi" w:cstheme="majorBidi"/>
        </w:rPr>
        <w:t xml:space="preserve">. </w:t>
      </w:r>
      <w:r w:rsidR="008D6A0E" w:rsidRPr="00E32653">
        <w:rPr>
          <w:rFonts w:asciiTheme="majorBidi" w:hAnsiTheme="majorBidi" w:cstheme="majorBidi"/>
        </w:rPr>
        <w:t>T</w:t>
      </w:r>
      <w:r w:rsidR="00383213" w:rsidRPr="00E32653">
        <w:rPr>
          <w:rFonts w:asciiTheme="majorBidi" w:hAnsiTheme="majorBidi" w:cstheme="majorBidi"/>
        </w:rPr>
        <w:t xml:space="preserve">he </w:t>
      </w:r>
      <w:r w:rsidR="003B0479" w:rsidRPr="00E32653">
        <w:rPr>
          <w:rFonts w:asciiTheme="majorBidi" w:hAnsiTheme="majorBidi" w:cstheme="majorBidi"/>
        </w:rPr>
        <w:t xml:space="preserve">embodied </w:t>
      </w:r>
      <w:r w:rsidR="00383213" w:rsidRPr="00E32653">
        <w:rPr>
          <w:rFonts w:asciiTheme="majorBidi" w:hAnsiTheme="majorBidi" w:cstheme="majorBidi"/>
        </w:rPr>
        <w:t>energy for GLT</w:t>
      </w:r>
      <w:r w:rsidR="008D6A0E" w:rsidRPr="00E32653">
        <w:rPr>
          <w:rFonts w:asciiTheme="majorBidi" w:hAnsiTheme="majorBidi" w:cstheme="majorBidi"/>
        </w:rPr>
        <w:t xml:space="preserve"> and LVL</w:t>
      </w:r>
      <w:r w:rsidR="00383213" w:rsidRPr="00E32653">
        <w:rPr>
          <w:rFonts w:asciiTheme="majorBidi" w:hAnsiTheme="majorBidi" w:cstheme="majorBidi"/>
        </w:rPr>
        <w:t xml:space="preserve"> </w:t>
      </w:r>
      <w:r w:rsidR="003D464C" w:rsidRPr="00E32653">
        <w:rPr>
          <w:rFonts w:asciiTheme="majorBidi" w:hAnsiTheme="majorBidi" w:cstheme="majorBidi"/>
        </w:rPr>
        <w:t xml:space="preserve">is </w:t>
      </w:r>
      <w:r w:rsidR="00383213" w:rsidRPr="00E32653">
        <w:rPr>
          <w:rFonts w:asciiTheme="majorBidi" w:hAnsiTheme="majorBidi" w:cstheme="majorBidi"/>
        </w:rPr>
        <w:t>1648 MJ/m</w:t>
      </w:r>
      <w:r w:rsidR="00383213" w:rsidRPr="00E32653">
        <w:rPr>
          <w:rFonts w:asciiTheme="majorBidi" w:hAnsiTheme="majorBidi" w:cstheme="majorBidi"/>
          <w:vertAlign w:val="superscript"/>
        </w:rPr>
        <w:t>2</w:t>
      </w:r>
      <w:r w:rsidR="003D464C" w:rsidRPr="00E32653">
        <w:rPr>
          <w:rFonts w:asciiTheme="majorBidi" w:hAnsiTheme="majorBidi" w:cstheme="majorBidi"/>
        </w:rPr>
        <w:t xml:space="preserve"> and</w:t>
      </w:r>
      <w:r w:rsidR="00383213" w:rsidRPr="00E32653">
        <w:rPr>
          <w:rFonts w:asciiTheme="majorBidi" w:hAnsiTheme="majorBidi" w:cstheme="majorBidi"/>
        </w:rPr>
        <w:t xml:space="preserve"> 960 MJ/m</w:t>
      </w:r>
      <w:r w:rsidR="00383213" w:rsidRPr="00E32653">
        <w:rPr>
          <w:rFonts w:asciiTheme="majorBidi" w:hAnsiTheme="majorBidi" w:cstheme="majorBidi"/>
          <w:vertAlign w:val="superscript"/>
        </w:rPr>
        <w:t>2</w:t>
      </w:r>
      <w:r w:rsidR="008D6A0E" w:rsidRPr="00E32653">
        <w:rPr>
          <w:rFonts w:asciiTheme="majorBidi" w:hAnsiTheme="majorBidi" w:cstheme="majorBidi"/>
        </w:rPr>
        <w:t>,</w:t>
      </w:r>
      <w:r w:rsidRPr="00E32653">
        <w:rPr>
          <w:rFonts w:asciiTheme="majorBidi" w:hAnsiTheme="majorBidi" w:cstheme="majorBidi"/>
        </w:rPr>
        <w:t xml:space="preserve"> for one meter square of wall surface</w:t>
      </w:r>
      <w:r w:rsidR="008D6A0E" w:rsidRPr="00E32653">
        <w:rPr>
          <w:rFonts w:asciiTheme="majorBidi" w:hAnsiTheme="majorBidi" w:cstheme="majorBidi"/>
        </w:rPr>
        <w:t xml:space="preserve"> respectively</w:t>
      </w:r>
      <w:r w:rsidR="00383213" w:rsidRPr="00E32653">
        <w:rPr>
          <w:rFonts w:asciiTheme="majorBidi" w:hAnsiTheme="majorBidi" w:cstheme="majorBidi"/>
        </w:rPr>
        <w:t>.</w:t>
      </w:r>
      <w:r w:rsidRPr="00E32653">
        <w:rPr>
          <w:rFonts w:asciiTheme="majorBidi" w:hAnsiTheme="majorBidi" w:cstheme="majorBidi"/>
        </w:rPr>
        <w:t xml:space="preserve"> </w:t>
      </w:r>
      <w:r w:rsidR="003D464C" w:rsidRPr="00E32653">
        <w:rPr>
          <w:rFonts w:asciiTheme="majorBidi" w:hAnsiTheme="majorBidi" w:cstheme="majorBidi"/>
        </w:rPr>
        <w:t>T</w:t>
      </w:r>
      <w:r w:rsidR="00783B54" w:rsidRPr="00E32653">
        <w:rPr>
          <w:rFonts w:asciiTheme="majorBidi" w:hAnsiTheme="majorBidi" w:cstheme="majorBidi"/>
        </w:rPr>
        <w:t xml:space="preserve">he total embodied energy </w:t>
      </w:r>
      <w:r w:rsidR="003D464C" w:rsidRPr="00E32653">
        <w:rPr>
          <w:rFonts w:asciiTheme="majorBidi" w:hAnsiTheme="majorBidi" w:cstheme="majorBidi"/>
        </w:rPr>
        <w:t xml:space="preserve">for </w:t>
      </w:r>
      <w:r w:rsidR="00783B54" w:rsidRPr="00E32653">
        <w:rPr>
          <w:rFonts w:asciiTheme="majorBidi" w:hAnsiTheme="majorBidi" w:cstheme="majorBidi"/>
        </w:rPr>
        <w:t>all</w:t>
      </w:r>
      <w:r w:rsidR="00007283" w:rsidRPr="00E32653">
        <w:rPr>
          <w:rFonts w:asciiTheme="majorBidi" w:hAnsiTheme="majorBidi" w:cstheme="majorBidi"/>
        </w:rPr>
        <w:t xml:space="preserve"> mass</w:t>
      </w:r>
      <w:r w:rsidR="00783B54" w:rsidRPr="00E32653">
        <w:rPr>
          <w:rFonts w:asciiTheme="majorBidi" w:hAnsiTheme="majorBidi" w:cstheme="majorBidi"/>
        </w:rPr>
        <w:t xml:space="preserve"> timber</w:t>
      </w:r>
      <w:r w:rsidR="003D464C" w:rsidRPr="00E32653">
        <w:rPr>
          <w:rFonts w:asciiTheme="majorBidi" w:hAnsiTheme="majorBidi" w:cstheme="majorBidi"/>
        </w:rPr>
        <w:t xml:space="preserve"> products</w:t>
      </w:r>
      <w:r w:rsidR="00783B54" w:rsidRPr="00E32653">
        <w:rPr>
          <w:rFonts w:asciiTheme="majorBidi" w:hAnsiTheme="majorBidi" w:cstheme="majorBidi"/>
        </w:rPr>
        <w:t xml:space="preserve"> </w:t>
      </w:r>
      <w:r w:rsidR="003D464C" w:rsidRPr="00E32653">
        <w:rPr>
          <w:rFonts w:asciiTheme="majorBidi" w:hAnsiTheme="majorBidi" w:cstheme="majorBidi"/>
        </w:rPr>
        <w:t xml:space="preserve">is </w:t>
      </w:r>
      <w:r w:rsidR="00A25EEA" w:rsidRPr="00E32653">
        <w:rPr>
          <w:rFonts w:asciiTheme="majorBidi" w:hAnsiTheme="majorBidi" w:cstheme="majorBidi"/>
        </w:rPr>
        <w:t>329600 MJ/K</w:t>
      </w:r>
      <w:r w:rsidR="00783B54" w:rsidRPr="00E32653">
        <w:rPr>
          <w:rFonts w:asciiTheme="majorBidi" w:hAnsiTheme="majorBidi" w:cstheme="majorBidi"/>
        </w:rPr>
        <w:t>g, 324600 MJ/</w:t>
      </w:r>
      <w:r w:rsidR="00A25EEA" w:rsidRPr="00E32653">
        <w:rPr>
          <w:rFonts w:asciiTheme="majorBidi" w:hAnsiTheme="majorBidi" w:cstheme="majorBidi"/>
        </w:rPr>
        <w:t>K</w:t>
      </w:r>
      <w:r w:rsidR="00783B54" w:rsidRPr="00E32653">
        <w:rPr>
          <w:rFonts w:asciiTheme="majorBidi" w:hAnsiTheme="majorBidi" w:cstheme="majorBidi"/>
        </w:rPr>
        <w:t>g, 192081 MJ/</w:t>
      </w:r>
      <w:r w:rsidR="00A25EEA" w:rsidRPr="00E32653">
        <w:rPr>
          <w:rFonts w:asciiTheme="majorBidi" w:hAnsiTheme="majorBidi" w:cstheme="majorBidi"/>
        </w:rPr>
        <w:t>K</w:t>
      </w:r>
      <w:r w:rsidR="00783B54" w:rsidRPr="00E32653">
        <w:rPr>
          <w:rFonts w:asciiTheme="majorBidi" w:hAnsiTheme="majorBidi" w:cstheme="majorBidi"/>
        </w:rPr>
        <w:t xml:space="preserve">g, and 191158 MJ/Kg for GLT hardwood, GLT </w:t>
      </w:r>
      <w:r w:rsidR="00F9449B" w:rsidRPr="00E32653">
        <w:rPr>
          <w:rFonts w:asciiTheme="majorBidi" w:hAnsiTheme="majorBidi" w:cstheme="majorBidi"/>
        </w:rPr>
        <w:t>softwood</w:t>
      </w:r>
      <w:r w:rsidR="00783B54" w:rsidRPr="00E32653">
        <w:rPr>
          <w:rFonts w:asciiTheme="majorBidi" w:hAnsiTheme="majorBidi" w:cstheme="majorBidi"/>
        </w:rPr>
        <w:t xml:space="preserve">, LVL hardwood, and LVL softwood respectively. </w:t>
      </w:r>
    </w:p>
    <w:p w14:paraId="435BDDEB" w14:textId="15E112D4" w:rsidR="00F60B68" w:rsidRPr="00E32653" w:rsidRDefault="00F60B68" w:rsidP="00155FFE">
      <w:pPr>
        <w:spacing w:line="276" w:lineRule="auto"/>
        <w:ind w:firstLine="720"/>
        <w:jc w:val="both"/>
        <w:rPr>
          <w:rFonts w:asciiTheme="majorBidi" w:hAnsiTheme="majorBidi" w:cstheme="majorBidi"/>
        </w:rPr>
      </w:pPr>
    </w:p>
    <w:p w14:paraId="6D64C342" w14:textId="08918505" w:rsidR="00763D1B" w:rsidRPr="00E32653" w:rsidRDefault="00F60B68" w:rsidP="12C241C3">
      <w:pPr>
        <w:spacing w:after="0" w:line="276" w:lineRule="auto"/>
        <w:ind w:firstLine="720"/>
        <w:jc w:val="center"/>
        <w:rPr>
          <w:rFonts w:asciiTheme="majorBidi" w:hAnsiTheme="majorBidi" w:cstheme="majorBidi"/>
        </w:rPr>
      </w:pPr>
      <w:r w:rsidRPr="00E32653">
        <w:rPr>
          <w:noProof/>
        </w:rPr>
        <w:lastRenderedPageBreak/>
        <w:drawing>
          <wp:inline distT="0" distB="0" distL="0" distR="0" wp14:anchorId="0EA48255" wp14:editId="32789779">
            <wp:extent cx="4572000" cy="3346938"/>
            <wp:effectExtent l="0" t="0" r="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A3A899" w14:textId="68DAD4D8" w:rsidR="00860748" w:rsidRPr="00E32653" w:rsidRDefault="00AB0523" w:rsidP="00B9374D">
      <w:pPr>
        <w:pStyle w:val="ListParagraph"/>
        <w:spacing w:line="276" w:lineRule="auto"/>
        <w:jc w:val="center"/>
        <w:rPr>
          <w:rFonts w:asciiTheme="majorBidi" w:hAnsiTheme="majorBidi" w:cstheme="majorBidi"/>
          <w:sz w:val="18"/>
          <w:szCs w:val="18"/>
        </w:rPr>
      </w:pPr>
      <w:r w:rsidRPr="00E32653">
        <w:rPr>
          <w:rFonts w:asciiTheme="majorBidi" w:hAnsiTheme="majorBidi" w:cstheme="majorBidi"/>
          <w:sz w:val="18"/>
          <w:szCs w:val="18"/>
        </w:rPr>
        <w:t>Figure</w:t>
      </w:r>
      <w:r w:rsidR="0019214A" w:rsidRPr="00E32653">
        <w:rPr>
          <w:rFonts w:asciiTheme="majorBidi" w:hAnsiTheme="majorBidi" w:cstheme="majorBidi"/>
          <w:sz w:val="18"/>
          <w:szCs w:val="18"/>
        </w:rPr>
        <w:t xml:space="preserve"> 8.</w:t>
      </w:r>
      <w:r w:rsidR="00A53188" w:rsidRPr="00E32653">
        <w:rPr>
          <w:rFonts w:asciiTheme="majorBidi" w:hAnsiTheme="majorBidi" w:cstheme="majorBidi"/>
          <w:sz w:val="18"/>
          <w:szCs w:val="18"/>
        </w:rPr>
        <w:t xml:space="preserve"> Embodied energy of four wood-based materials. GLT-h hardwood, GLT-s softwood, LVL-h hardwood and LVL-s softwood</w:t>
      </w:r>
    </w:p>
    <w:p w14:paraId="2E24484C" w14:textId="77777777" w:rsidR="0069742B" w:rsidRPr="00E32653" w:rsidRDefault="0069742B" w:rsidP="00B9374D">
      <w:pPr>
        <w:pStyle w:val="ListParagraph"/>
        <w:spacing w:line="276" w:lineRule="auto"/>
        <w:jc w:val="center"/>
        <w:rPr>
          <w:rFonts w:asciiTheme="majorBidi" w:hAnsiTheme="majorBidi" w:cstheme="majorBidi"/>
          <w:sz w:val="18"/>
          <w:szCs w:val="18"/>
        </w:rPr>
      </w:pPr>
    </w:p>
    <w:p w14:paraId="1A87C588" w14:textId="77777777" w:rsidR="00B9374D" w:rsidRPr="00E32653" w:rsidRDefault="00B9374D" w:rsidP="00B9374D">
      <w:pPr>
        <w:pStyle w:val="ListParagraph"/>
        <w:spacing w:line="276" w:lineRule="auto"/>
        <w:jc w:val="center"/>
        <w:rPr>
          <w:rFonts w:asciiTheme="majorBidi" w:hAnsiTheme="majorBidi" w:cstheme="majorBidi"/>
          <w:sz w:val="14"/>
          <w:szCs w:val="14"/>
        </w:rPr>
      </w:pPr>
    </w:p>
    <w:p w14:paraId="65B1C4FA" w14:textId="77777777" w:rsidR="00B9374D" w:rsidRPr="00E32653" w:rsidRDefault="00B9374D" w:rsidP="00B9374D">
      <w:pPr>
        <w:pStyle w:val="ListParagraph"/>
        <w:spacing w:line="276" w:lineRule="auto"/>
        <w:jc w:val="center"/>
        <w:rPr>
          <w:rFonts w:asciiTheme="majorBidi" w:hAnsiTheme="majorBidi" w:cstheme="majorBidi"/>
          <w:sz w:val="17"/>
          <w:szCs w:val="17"/>
        </w:rPr>
      </w:pPr>
    </w:p>
    <w:p w14:paraId="6FDE8B1A" w14:textId="059E13D6" w:rsidR="000018C2" w:rsidRPr="00E32653" w:rsidRDefault="00F60D7C" w:rsidP="00B1432E">
      <w:pPr>
        <w:pStyle w:val="ListParagraph"/>
        <w:numPr>
          <w:ilvl w:val="1"/>
          <w:numId w:val="1"/>
        </w:numPr>
        <w:spacing w:line="276" w:lineRule="auto"/>
        <w:rPr>
          <w:rFonts w:asciiTheme="majorBidi" w:hAnsiTheme="majorBidi" w:cstheme="majorBidi"/>
          <w:b/>
          <w:bCs/>
          <w:i/>
          <w:iCs/>
        </w:rPr>
      </w:pPr>
      <w:r w:rsidRPr="00E32653">
        <w:rPr>
          <w:rFonts w:asciiTheme="majorBidi" w:hAnsiTheme="majorBidi" w:cstheme="majorBidi"/>
          <w:b/>
          <w:bCs/>
          <w:i/>
          <w:iCs/>
        </w:rPr>
        <w:t xml:space="preserve">Life Cycle </w:t>
      </w:r>
      <w:r w:rsidR="007A10CD" w:rsidRPr="00E32653">
        <w:rPr>
          <w:rFonts w:asciiTheme="majorBidi" w:hAnsiTheme="majorBidi" w:cstheme="majorBidi"/>
          <w:b/>
          <w:bCs/>
          <w:i/>
          <w:iCs/>
        </w:rPr>
        <w:t>Cost</w:t>
      </w:r>
      <w:r w:rsidR="00297CBB" w:rsidRPr="00E32653">
        <w:rPr>
          <w:rFonts w:asciiTheme="majorBidi" w:hAnsiTheme="majorBidi" w:cstheme="majorBidi"/>
          <w:b/>
          <w:bCs/>
          <w:i/>
          <w:iCs/>
        </w:rPr>
        <w:t>ing</w:t>
      </w:r>
    </w:p>
    <w:p w14:paraId="03C90603" w14:textId="773F3719" w:rsidR="00000E63" w:rsidRPr="00E32653" w:rsidRDefault="00883729" w:rsidP="12C241C3">
      <w:pPr>
        <w:spacing w:before="240" w:line="276" w:lineRule="auto"/>
        <w:ind w:firstLine="720"/>
        <w:jc w:val="both"/>
        <w:rPr>
          <w:rFonts w:asciiTheme="majorBidi" w:hAnsiTheme="majorBidi" w:cstheme="majorBidi"/>
        </w:rPr>
      </w:pPr>
      <w:r w:rsidRPr="00E32653">
        <w:rPr>
          <w:rFonts w:asciiTheme="majorBidi" w:hAnsiTheme="majorBidi" w:cstheme="majorBidi"/>
        </w:rPr>
        <w:t xml:space="preserve">The </w:t>
      </w:r>
      <w:r w:rsidR="008E4A29" w:rsidRPr="00E32653">
        <w:rPr>
          <w:rFonts w:asciiTheme="majorBidi" w:hAnsiTheme="majorBidi" w:cstheme="majorBidi"/>
        </w:rPr>
        <w:t>total</w:t>
      </w:r>
      <w:r w:rsidRPr="00E32653">
        <w:rPr>
          <w:rFonts w:asciiTheme="majorBidi" w:hAnsiTheme="majorBidi" w:cstheme="majorBidi"/>
        </w:rPr>
        <w:t xml:space="preserve"> </w:t>
      </w:r>
      <w:r w:rsidR="00284D99" w:rsidRPr="00E32653">
        <w:rPr>
          <w:rFonts w:asciiTheme="majorBidi" w:hAnsiTheme="majorBidi" w:cstheme="majorBidi"/>
        </w:rPr>
        <w:t>LCC</w:t>
      </w:r>
      <w:r w:rsidRPr="00E32653">
        <w:rPr>
          <w:rFonts w:asciiTheme="majorBidi" w:hAnsiTheme="majorBidi" w:cstheme="majorBidi"/>
        </w:rPr>
        <w:t xml:space="preserve"> </w:t>
      </w:r>
      <w:r w:rsidR="002E3B5A" w:rsidRPr="00E32653">
        <w:rPr>
          <w:rFonts w:asciiTheme="majorBidi" w:hAnsiTheme="majorBidi" w:cstheme="majorBidi"/>
        </w:rPr>
        <w:t>of</w:t>
      </w:r>
      <w:r w:rsidRPr="00E32653">
        <w:rPr>
          <w:rFonts w:asciiTheme="majorBidi" w:hAnsiTheme="majorBidi" w:cstheme="majorBidi"/>
        </w:rPr>
        <w:t xml:space="preserve"> the</w:t>
      </w:r>
      <w:r w:rsidR="00007283" w:rsidRPr="00E32653">
        <w:rPr>
          <w:rFonts w:asciiTheme="majorBidi" w:hAnsiTheme="majorBidi" w:cstheme="majorBidi"/>
        </w:rPr>
        <w:t xml:space="preserve"> mass</w:t>
      </w:r>
      <w:r w:rsidRPr="00E32653">
        <w:rPr>
          <w:rFonts w:asciiTheme="majorBidi" w:hAnsiTheme="majorBidi" w:cstheme="majorBidi"/>
        </w:rPr>
        <w:t xml:space="preserve"> </w:t>
      </w:r>
      <w:r w:rsidR="00007283" w:rsidRPr="00E32653">
        <w:rPr>
          <w:rFonts w:asciiTheme="majorBidi" w:hAnsiTheme="majorBidi" w:cstheme="majorBidi"/>
        </w:rPr>
        <w:t>timber</w:t>
      </w:r>
      <w:r w:rsidRPr="00E32653">
        <w:rPr>
          <w:rFonts w:asciiTheme="majorBidi" w:hAnsiTheme="majorBidi" w:cstheme="majorBidi"/>
        </w:rPr>
        <w:t xml:space="preserve"> materials </w:t>
      </w:r>
      <w:r w:rsidR="00183585" w:rsidRPr="00E32653">
        <w:rPr>
          <w:rFonts w:asciiTheme="majorBidi" w:hAnsiTheme="majorBidi" w:cstheme="majorBidi"/>
        </w:rPr>
        <w:t xml:space="preserve">is </w:t>
      </w:r>
      <w:r w:rsidRPr="00E32653">
        <w:rPr>
          <w:rFonts w:asciiTheme="majorBidi" w:hAnsiTheme="majorBidi" w:cstheme="majorBidi"/>
        </w:rPr>
        <w:t>show</w:t>
      </w:r>
      <w:r w:rsidR="008D6A0E" w:rsidRPr="00E32653">
        <w:rPr>
          <w:rFonts w:asciiTheme="majorBidi" w:hAnsiTheme="majorBidi" w:cstheme="majorBidi"/>
        </w:rPr>
        <w:t>n</w:t>
      </w:r>
      <w:r w:rsidR="00155FFE" w:rsidRPr="00E32653">
        <w:rPr>
          <w:rFonts w:asciiTheme="majorBidi" w:hAnsiTheme="majorBidi" w:cstheme="majorBidi"/>
        </w:rPr>
        <w:t xml:space="preserve"> </w:t>
      </w:r>
      <w:r w:rsidR="008D6A0E" w:rsidRPr="00E32653">
        <w:rPr>
          <w:rFonts w:asciiTheme="majorBidi" w:hAnsiTheme="majorBidi" w:cstheme="majorBidi"/>
        </w:rPr>
        <w:t>in T</w:t>
      </w:r>
      <w:r w:rsidRPr="00E32653">
        <w:rPr>
          <w:rFonts w:asciiTheme="majorBidi" w:hAnsiTheme="majorBidi" w:cstheme="majorBidi"/>
        </w:rPr>
        <w:t xml:space="preserve">able 4. </w:t>
      </w:r>
      <w:r w:rsidR="00B25712" w:rsidRPr="00E32653">
        <w:rPr>
          <w:rFonts w:asciiTheme="majorBidi" w:hAnsiTheme="majorBidi" w:cstheme="majorBidi"/>
        </w:rPr>
        <w:t xml:space="preserve">The </w:t>
      </w:r>
      <w:r w:rsidR="00545EB2" w:rsidRPr="00E32653">
        <w:rPr>
          <w:rFonts w:asciiTheme="majorBidi" w:hAnsiTheme="majorBidi" w:cstheme="majorBidi"/>
        </w:rPr>
        <w:t>material</w:t>
      </w:r>
      <w:r w:rsidR="00B25712" w:rsidRPr="00E32653">
        <w:rPr>
          <w:rFonts w:asciiTheme="majorBidi" w:hAnsiTheme="majorBidi" w:cstheme="majorBidi"/>
        </w:rPr>
        <w:t xml:space="preserve"> cost of GLT-h </w:t>
      </w:r>
      <w:r w:rsidR="008D6A0E" w:rsidRPr="00E32653">
        <w:rPr>
          <w:rFonts w:asciiTheme="majorBidi" w:hAnsiTheme="majorBidi" w:cstheme="majorBidi"/>
        </w:rPr>
        <w:t>(</w:t>
      </w:r>
      <w:r w:rsidR="00BA4CC9" w:rsidRPr="00E32653">
        <w:rPr>
          <w:rFonts w:ascii="Times New Roman" w:eastAsia="Times New Roman" w:hAnsi="Times New Roman" w:cs="Times New Roman"/>
        </w:rPr>
        <w:t>72880</w:t>
      </w:r>
      <w:r w:rsidR="00A65B20" w:rsidRPr="00E32653">
        <w:rPr>
          <w:rFonts w:asciiTheme="majorBidi" w:hAnsiTheme="majorBidi" w:cstheme="majorBidi"/>
        </w:rPr>
        <w:t xml:space="preserve"> MYR</w:t>
      </w:r>
      <w:r w:rsidR="008D6A0E" w:rsidRPr="00E32653">
        <w:rPr>
          <w:rFonts w:asciiTheme="majorBidi" w:hAnsiTheme="majorBidi" w:cstheme="majorBidi"/>
        </w:rPr>
        <w:t>)</w:t>
      </w:r>
      <w:r w:rsidR="00A65B20" w:rsidRPr="00E32653">
        <w:rPr>
          <w:rFonts w:asciiTheme="majorBidi" w:hAnsiTheme="majorBidi" w:cstheme="majorBidi"/>
        </w:rPr>
        <w:t xml:space="preserve"> </w:t>
      </w:r>
      <w:r w:rsidR="008D6A0E" w:rsidRPr="00E32653">
        <w:rPr>
          <w:rFonts w:asciiTheme="majorBidi" w:hAnsiTheme="majorBidi" w:cstheme="majorBidi"/>
        </w:rPr>
        <w:t>is slightly higher than the GLT-s (</w:t>
      </w:r>
      <w:r w:rsidR="00BA4CC9" w:rsidRPr="00E32653">
        <w:rPr>
          <w:rFonts w:ascii="Times New Roman" w:eastAsia="Times New Roman" w:hAnsi="Times New Roman" w:cs="Times New Roman"/>
        </w:rPr>
        <w:t>58300</w:t>
      </w:r>
      <w:r w:rsidR="00A65B20" w:rsidRPr="00E32653">
        <w:rPr>
          <w:rFonts w:asciiTheme="majorBidi" w:hAnsiTheme="majorBidi" w:cstheme="majorBidi"/>
        </w:rPr>
        <w:t xml:space="preserve"> MYR</w:t>
      </w:r>
      <w:r w:rsidR="008D6A0E" w:rsidRPr="00E32653">
        <w:rPr>
          <w:rFonts w:asciiTheme="majorBidi" w:hAnsiTheme="majorBidi" w:cstheme="majorBidi"/>
        </w:rPr>
        <w:t>)</w:t>
      </w:r>
      <w:r w:rsidR="00B25712" w:rsidRPr="00E32653">
        <w:rPr>
          <w:rFonts w:asciiTheme="majorBidi" w:hAnsiTheme="majorBidi" w:cstheme="majorBidi"/>
        </w:rPr>
        <w:t>.</w:t>
      </w:r>
      <w:r w:rsidR="00BA4CC9" w:rsidRPr="00E32653">
        <w:rPr>
          <w:rFonts w:asciiTheme="majorBidi" w:hAnsiTheme="majorBidi" w:cstheme="majorBidi"/>
        </w:rPr>
        <w:t xml:space="preserve"> </w:t>
      </w:r>
      <w:r w:rsidR="00545EB2" w:rsidRPr="00E32653">
        <w:rPr>
          <w:rFonts w:asciiTheme="majorBidi" w:hAnsiTheme="majorBidi" w:cstheme="majorBidi"/>
        </w:rPr>
        <w:t xml:space="preserve">The cost of LVL is </w:t>
      </w:r>
      <w:r w:rsidR="002E3B5A" w:rsidRPr="00E32653">
        <w:rPr>
          <w:rFonts w:asciiTheme="majorBidi" w:hAnsiTheme="majorBidi" w:cstheme="majorBidi"/>
        </w:rPr>
        <w:t xml:space="preserve">much </w:t>
      </w:r>
      <w:r w:rsidR="00545EB2" w:rsidRPr="00E32653">
        <w:rPr>
          <w:rFonts w:asciiTheme="majorBidi" w:hAnsiTheme="majorBidi" w:cstheme="majorBidi"/>
        </w:rPr>
        <w:t>lower than GLT</w:t>
      </w:r>
      <w:r w:rsidR="00785EB9" w:rsidRPr="00E32653">
        <w:rPr>
          <w:rFonts w:asciiTheme="majorBidi" w:hAnsiTheme="majorBidi" w:cstheme="majorBidi"/>
        </w:rPr>
        <w:t xml:space="preserve">. This difference </w:t>
      </w:r>
      <w:r w:rsidR="00545EB2" w:rsidRPr="00E32653">
        <w:rPr>
          <w:rFonts w:asciiTheme="majorBidi" w:hAnsiTheme="majorBidi" w:cstheme="majorBidi"/>
        </w:rPr>
        <w:t>relate</w:t>
      </w:r>
      <w:r w:rsidR="00785EB9" w:rsidRPr="00E32653">
        <w:rPr>
          <w:rFonts w:asciiTheme="majorBidi" w:hAnsiTheme="majorBidi" w:cstheme="majorBidi"/>
        </w:rPr>
        <w:t>s</w:t>
      </w:r>
      <w:r w:rsidR="00545EB2" w:rsidRPr="00E32653">
        <w:rPr>
          <w:rFonts w:asciiTheme="majorBidi" w:hAnsiTheme="majorBidi" w:cstheme="majorBidi"/>
        </w:rPr>
        <w:t xml:space="preserve"> to the</w:t>
      </w:r>
      <w:r w:rsidR="00785EB9" w:rsidRPr="00E32653">
        <w:rPr>
          <w:rFonts w:asciiTheme="majorBidi" w:hAnsiTheme="majorBidi" w:cstheme="majorBidi"/>
        </w:rPr>
        <w:t xml:space="preserve"> </w:t>
      </w:r>
      <w:r w:rsidR="00545EB2" w:rsidRPr="00E32653">
        <w:rPr>
          <w:rFonts w:asciiTheme="majorBidi" w:hAnsiTheme="majorBidi" w:cstheme="majorBidi"/>
        </w:rPr>
        <w:t xml:space="preserve">manufacturing cost and types of wood used in </w:t>
      </w:r>
      <w:r w:rsidR="00785EB9" w:rsidRPr="00E32653">
        <w:rPr>
          <w:rFonts w:asciiTheme="majorBidi" w:hAnsiTheme="majorBidi" w:cstheme="majorBidi"/>
        </w:rPr>
        <w:t>the saw</w:t>
      </w:r>
      <w:r w:rsidR="00545EB2" w:rsidRPr="00E32653">
        <w:rPr>
          <w:rFonts w:asciiTheme="majorBidi" w:hAnsiTheme="majorBidi" w:cstheme="majorBidi"/>
        </w:rPr>
        <w:t xml:space="preserve">mill. The cost of LVL-h and LVL-s </w:t>
      </w:r>
      <w:r w:rsidR="00183585" w:rsidRPr="00E32653">
        <w:rPr>
          <w:rFonts w:asciiTheme="majorBidi" w:hAnsiTheme="majorBidi" w:cstheme="majorBidi"/>
        </w:rPr>
        <w:t xml:space="preserve">is </w:t>
      </w:r>
      <w:r w:rsidR="00BA4CC9" w:rsidRPr="00E32653">
        <w:rPr>
          <w:rFonts w:ascii="Times New Roman" w:eastAsia="Times New Roman" w:hAnsi="Times New Roman" w:cs="Times New Roman"/>
        </w:rPr>
        <w:t>43820</w:t>
      </w:r>
      <w:r w:rsidR="00545EB2" w:rsidRPr="00E32653">
        <w:rPr>
          <w:rFonts w:asciiTheme="majorBidi" w:hAnsiTheme="majorBidi" w:cstheme="majorBidi"/>
        </w:rPr>
        <w:t xml:space="preserve"> MYR and </w:t>
      </w:r>
      <w:r w:rsidR="00BA4CC9" w:rsidRPr="00E32653">
        <w:rPr>
          <w:rFonts w:ascii="Times New Roman" w:eastAsia="Times New Roman" w:hAnsi="Times New Roman" w:cs="Times New Roman"/>
        </w:rPr>
        <w:t>34910</w:t>
      </w:r>
      <w:r w:rsidR="00545EB2" w:rsidRPr="00E32653">
        <w:rPr>
          <w:rFonts w:asciiTheme="majorBidi" w:hAnsiTheme="majorBidi" w:cstheme="majorBidi"/>
        </w:rPr>
        <w:t xml:space="preserve"> MYR</w:t>
      </w:r>
      <w:r w:rsidR="008D6A0E" w:rsidRPr="00E32653">
        <w:rPr>
          <w:rFonts w:asciiTheme="majorBidi" w:hAnsiTheme="majorBidi" w:cstheme="majorBidi"/>
        </w:rPr>
        <w:t>,</w:t>
      </w:r>
      <w:r w:rsidR="00545EB2" w:rsidRPr="00E32653">
        <w:rPr>
          <w:rFonts w:asciiTheme="majorBidi" w:hAnsiTheme="majorBidi" w:cstheme="majorBidi"/>
        </w:rPr>
        <w:t xml:space="preserve"> respectively. </w:t>
      </w:r>
      <w:r w:rsidR="00BA4CC9" w:rsidRPr="00E32653">
        <w:rPr>
          <w:rFonts w:asciiTheme="majorBidi" w:hAnsiTheme="majorBidi" w:cstheme="majorBidi"/>
        </w:rPr>
        <w:t xml:space="preserve">The GLT hardwood is approximately 20% higher than softwood, </w:t>
      </w:r>
      <w:r w:rsidR="00AD0ABE" w:rsidRPr="00E32653">
        <w:rPr>
          <w:rFonts w:asciiTheme="majorBidi" w:hAnsiTheme="majorBidi" w:cstheme="majorBidi"/>
        </w:rPr>
        <w:t xml:space="preserve">and </w:t>
      </w:r>
      <w:r w:rsidR="00BA4CC9" w:rsidRPr="00E32653">
        <w:rPr>
          <w:rFonts w:asciiTheme="majorBidi" w:hAnsiTheme="majorBidi" w:cstheme="majorBidi"/>
        </w:rPr>
        <w:t>this appli</w:t>
      </w:r>
      <w:r w:rsidR="00AD0ABE" w:rsidRPr="00E32653">
        <w:rPr>
          <w:rFonts w:asciiTheme="majorBidi" w:hAnsiTheme="majorBidi" w:cstheme="majorBidi"/>
        </w:rPr>
        <w:t>es</w:t>
      </w:r>
      <w:r w:rsidR="00BA4CC9" w:rsidRPr="00E32653">
        <w:rPr>
          <w:rFonts w:asciiTheme="majorBidi" w:hAnsiTheme="majorBidi" w:cstheme="majorBidi"/>
        </w:rPr>
        <w:t xml:space="preserve"> </w:t>
      </w:r>
      <w:r w:rsidR="00AD0ABE" w:rsidRPr="00E32653">
        <w:rPr>
          <w:rFonts w:asciiTheme="majorBidi" w:hAnsiTheme="majorBidi" w:cstheme="majorBidi"/>
        </w:rPr>
        <w:t xml:space="preserve">to </w:t>
      </w:r>
      <w:r w:rsidR="00BA4CC9" w:rsidRPr="00E32653">
        <w:rPr>
          <w:rFonts w:asciiTheme="majorBidi" w:hAnsiTheme="majorBidi" w:cstheme="majorBidi"/>
        </w:rPr>
        <w:t xml:space="preserve">LVL as well. </w:t>
      </w:r>
      <w:r w:rsidR="00000E63" w:rsidRPr="00E32653">
        <w:rPr>
          <w:rFonts w:asciiTheme="majorBidi" w:hAnsiTheme="majorBidi" w:cstheme="majorBidi"/>
        </w:rPr>
        <w:t xml:space="preserve">Other materials used in the cases studies included steel for joint connections, glass wool insulation, gypsum board, and plasterboard. The buildings are similar in layout and these materials were thus considered as the same for both alternatives. It is worth </w:t>
      </w:r>
      <w:r w:rsidR="00AD0ABE" w:rsidRPr="00E32653">
        <w:rPr>
          <w:rFonts w:asciiTheme="majorBidi" w:hAnsiTheme="majorBidi" w:cstheme="majorBidi"/>
        </w:rPr>
        <w:t>noting</w:t>
      </w:r>
      <w:r w:rsidR="00000E63" w:rsidRPr="00E32653">
        <w:rPr>
          <w:rFonts w:asciiTheme="majorBidi" w:hAnsiTheme="majorBidi" w:cstheme="majorBidi"/>
        </w:rPr>
        <w:t xml:space="preserve"> that the cost of these categories of materials contributed 32% to 46% for GLT structures. </w:t>
      </w:r>
      <w:r w:rsidR="00AD0ABE" w:rsidRPr="00E32653">
        <w:rPr>
          <w:rFonts w:asciiTheme="majorBidi" w:hAnsiTheme="majorBidi" w:cstheme="majorBidi"/>
        </w:rPr>
        <w:t>T</w:t>
      </w:r>
      <w:r w:rsidR="00000E63" w:rsidRPr="00E32653">
        <w:rPr>
          <w:rFonts w:asciiTheme="majorBidi" w:hAnsiTheme="majorBidi" w:cstheme="majorBidi"/>
        </w:rPr>
        <w:t xml:space="preserve">he cost of LVL is even lower than the cumulative cost of steel </w:t>
      </w:r>
      <w:r w:rsidR="00AD0ABE" w:rsidRPr="00E32653">
        <w:rPr>
          <w:rFonts w:asciiTheme="majorBidi" w:hAnsiTheme="majorBidi" w:cstheme="majorBidi"/>
        </w:rPr>
        <w:t>connections</w:t>
      </w:r>
      <w:r w:rsidR="00000E63" w:rsidRPr="00E32653">
        <w:rPr>
          <w:rFonts w:asciiTheme="majorBidi" w:hAnsiTheme="majorBidi" w:cstheme="majorBidi"/>
        </w:rPr>
        <w:t>, gypsum board and glass wool insulation.</w:t>
      </w:r>
    </w:p>
    <w:p w14:paraId="463A0D2A" w14:textId="2EE86FC8" w:rsidR="004505F7" w:rsidRPr="00E32653" w:rsidRDefault="00CB6675" w:rsidP="00CB6675">
      <w:pPr>
        <w:spacing w:before="240" w:after="0"/>
        <w:ind w:firstLine="720"/>
        <w:rPr>
          <w:rFonts w:asciiTheme="majorBidi" w:hAnsiTheme="majorBidi" w:cstheme="majorBidi"/>
        </w:rPr>
      </w:pPr>
      <w:r w:rsidRPr="00E32653">
        <w:rPr>
          <w:rFonts w:asciiTheme="majorBidi" w:hAnsiTheme="majorBidi" w:cstheme="majorBidi"/>
        </w:rPr>
        <w:t xml:space="preserve">Table </w:t>
      </w:r>
      <w:r w:rsidR="00BE71CB" w:rsidRPr="00E32653">
        <w:rPr>
          <w:rFonts w:asciiTheme="majorBidi" w:hAnsiTheme="majorBidi" w:cstheme="majorBidi"/>
        </w:rPr>
        <w:t>4</w:t>
      </w:r>
      <w:r w:rsidR="009165C4" w:rsidRPr="00E32653">
        <w:rPr>
          <w:rFonts w:asciiTheme="majorBidi" w:hAnsiTheme="majorBidi" w:cstheme="majorBidi"/>
        </w:rPr>
        <w:t xml:space="preserve">. </w:t>
      </w:r>
      <w:r w:rsidR="00FE75F7" w:rsidRPr="00E32653">
        <w:rPr>
          <w:rFonts w:asciiTheme="majorBidi" w:hAnsiTheme="majorBidi" w:cstheme="majorBidi"/>
        </w:rPr>
        <w:t>LCC results</w:t>
      </w:r>
      <w:r w:rsidRPr="00E32653">
        <w:rPr>
          <w:rFonts w:asciiTheme="majorBidi" w:hAnsiTheme="majorBidi" w:cstheme="majorBidi"/>
        </w:rPr>
        <w:t xml:space="preserve">. </w:t>
      </w:r>
    </w:p>
    <w:tbl>
      <w:tblPr>
        <w:tblW w:w="8385" w:type="dxa"/>
        <w:jc w:val="center"/>
        <w:tblLook w:val="04A0" w:firstRow="1" w:lastRow="0" w:firstColumn="1" w:lastColumn="0" w:noHBand="0" w:noVBand="1"/>
      </w:tblPr>
      <w:tblGrid>
        <w:gridCol w:w="1800"/>
        <w:gridCol w:w="537"/>
        <w:gridCol w:w="1294"/>
        <w:gridCol w:w="1286"/>
        <w:gridCol w:w="937"/>
        <w:gridCol w:w="696"/>
        <w:gridCol w:w="894"/>
        <w:gridCol w:w="941"/>
      </w:tblGrid>
      <w:tr w:rsidR="00E32653" w:rsidRPr="00E32653" w14:paraId="4B632415" w14:textId="4576D771" w:rsidTr="00CB6675">
        <w:trPr>
          <w:trHeight w:val="376"/>
          <w:jc w:val="center"/>
        </w:trPr>
        <w:tc>
          <w:tcPr>
            <w:tcW w:w="18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C17CC57" w14:textId="77777777"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Cost</w:t>
            </w:r>
          </w:p>
        </w:tc>
        <w:tc>
          <w:tcPr>
            <w:tcW w:w="537" w:type="dxa"/>
            <w:tcBorders>
              <w:top w:val="single" w:sz="4" w:space="0" w:color="auto"/>
              <w:left w:val="nil"/>
              <w:bottom w:val="single" w:sz="4" w:space="0" w:color="auto"/>
              <w:right w:val="single" w:sz="4" w:space="0" w:color="auto"/>
            </w:tcBorders>
            <w:shd w:val="clear" w:color="auto" w:fill="AEAAAA" w:themeFill="background2" w:themeFillShade="BF"/>
            <w:vAlign w:val="center"/>
          </w:tcPr>
          <w:p w14:paraId="7806F567" w14:textId="77777777" w:rsidR="001E0DBC" w:rsidRPr="00E32653" w:rsidRDefault="001E0DBC" w:rsidP="001E0DBC">
            <w:pPr>
              <w:jc w:val="center"/>
              <w:rPr>
                <w:rFonts w:asciiTheme="majorBidi" w:eastAsia="Times New Roman" w:hAnsiTheme="majorBidi" w:cstheme="majorBidi"/>
                <w:i/>
                <w:iCs/>
                <w:sz w:val="18"/>
                <w:szCs w:val="18"/>
              </w:rPr>
            </w:pPr>
            <w:r w:rsidRPr="00E32653">
              <w:rPr>
                <w:rFonts w:asciiTheme="majorBidi" w:hAnsiTheme="majorBidi" w:cstheme="majorBidi"/>
                <w:sz w:val="18"/>
                <w:szCs w:val="18"/>
              </w:rPr>
              <w:t>Unit</w:t>
            </w:r>
          </w:p>
        </w:tc>
        <w:tc>
          <w:tcPr>
            <w:tcW w:w="1294"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E015B6A" w14:textId="77777777"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Production of wood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551CDA08" w14:textId="77777777"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other materials</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vAlign w:val="center"/>
            <w:hideMark/>
          </w:tcPr>
          <w:p w14:paraId="4EE54DA8" w14:textId="77777777"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Transport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vAlign w:val="center"/>
          </w:tcPr>
          <w:p w14:paraId="392BEFE6" w14:textId="15F5BD93"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Wages</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DE0FD52" w14:textId="12050389" w:rsidR="001E0DBC" w:rsidRPr="00E32653" w:rsidRDefault="00D43E2E"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Use stage</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B33EDDA" w14:textId="7A43C983" w:rsidR="001E0DBC" w:rsidRPr="00E32653" w:rsidRDefault="001E0DBC" w:rsidP="001E0DBC">
            <w:pPr>
              <w:spacing w:after="0" w:line="240" w:lineRule="auto"/>
              <w:jc w:val="center"/>
              <w:rPr>
                <w:rFonts w:asciiTheme="majorBidi" w:eastAsia="Times New Roman" w:hAnsiTheme="majorBidi" w:cstheme="majorBidi"/>
                <w:i/>
                <w:iCs/>
                <w:sz w:val="18"/>
                <w:szCs w:val="18"/>
              </w:rPr>
            </w:pPr>
            <w:r w:rsidRPr="00E32653">
              <w:rPr>
                <w:rFonts w:asciiTheme="majorBidi" w:eastAsia="Times New Roman" w:hAnsiTheme="majorBidi" w:cstheme="majorBidi"/>
                <w:i/>
                <w:iCs/>
                <w:sz w:val="18"/>
                <w:szCs w:val="18"/>
              </w:rPr>
              <w:t>End of life</w:t>
            </w:r>
          </w:p>
        </w:tc>
      </w:tr>
      <w:tr w:rsidR="00E32653" w:rsidRPr="00E32653" w14:paraId="79A0528A" w14:textId="1238C24E" w:rsidTr="00CB6675">
        <w:trPr>
          <w:trHeight w:val="376"/>
          <w:jc w:val="center"/>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356C05AF" w14:textId="33A992A9" w:rsidR="00D43E2E" w:rsidRPr="00E32653" w:rsidRDefault="00CB6675" w:rsidP="0046331B">
            <w:pPr>
              <w:spacing w:after="0" w:line="240" w:lineRule="auto"/>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GLT-Hardwood</w:t>
            </w:r>
          </w:p>
        </w:tc>
        <w:tc>
          <w:tcPr>
            <w:tcW w:w="537" w:type="dxa"/>
            <w:vMerge w:val="restart"/>
            <w:tcBorders>
              <w:top w:val="nil"/>
              <w:left w:val="nil"/>
              <w:right w:val="single" w:sz="4" w:space="0" w:color="auto"/>
            </w:tcBorders>
            <w:shd w:val="clear" w:color="000000" w:fill="FFFFFF"/>
            <w:textDirection w:val="btLr"/>
          </w:tcPr>
          <w:p w14:paraId="0C22CC11" w14:textId="77777777" w:rsidR="00D43E2E" w:rsidRPr="00E32653" w:rsidRDefault="00D43E2E" w:rsidP="00D43E2E">
            <w:pPr>
              <w:spacing w:after="0" w:line="240" w:lineRule="auto"/>
              <w:ind w:left="113" w:right="113"/>
              <w:jc w:val="center"/>
              <w:rPr>
                <w:rFonts w:asciiTheme="majorBidi" w:eastAsia="Times New Roman" w:hAnsiTheme="majorBidi" w:cstheme="majorBidi"/>
                <w:sz w:val="18"/>
                <w:szCs w:val="18"/>
              </w:rPr>
            </w:pPr>
            <w:r w:rsidRPr="00E32653">
              <w:rPr>
                <w:rFonts w:asciiTheme="majorBidi" w:hAnsiTheme="majorBidi" w:cstheme="majorBidi"/>
                <w:sz w:val="18"/>
                <w:szCs w:val="18"/>
              </w:rPr>
              <w:t>MYR</w:t>
            </w:r>
          </w:p>
        </w:tc>
        <w:tc>
          <w:tcPr>
            <w:tcW w:w="1294" w:type="dxa"/>
            <w:tcBorders>
              <w:top w:val="nil"/>
              <w:left w:val="single" w:sz="4" w:space="0" w:color="auto"/>
              <w:bottom w:val="single" w:sz="4" w:space="0" w:color="auto"/>
              <w:right w:val="single" w:sz="4" w:space="0" w:color="auto"/>
            </w:tcBorders>
            <w:shd w:val="clear" w:color="000000" w:fill="FFFFFF"/>
            <w:noWrap/>
            <w:vAlign w:val="center"/>
            <w:hideMark/>
          </w:tcPr>
          <w:p w14:paraId="2DFB5236" w14:textId="2C01F0AA"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72880</w:t>
            </w:r>
          </w:p>
        </w:tc>
        <w:tc>
          <w:tcPr>
            <w:tcW w:w="0" w:type="auto"/>
            <w:tcBorders>
              <w:top w:val="nil"/>
              <w:left w:val="nil"/>
              <w:bottom w:val="single" w:sz="4" w:space="0" w:color="auto"/>
              <w:right w:val="single" w:sz="4" w:space="0" w:color="auto"/>
            </w:tcBorders>
            <w:shd w:val="clear" w:color="000000" w:fill="FFFFFF"/>
            <w:noWrap/>
            <w:vAlign w:val="center"/>
            <w:hideMark/>
          </w:tcPr>
          <w:p w14:paraId="1D8DB7A3" w14:textId="305181B5"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40000</w:t>
            </w:r>
          </w:p>
        </w:tc>
        <w:tc>
          <w:tcPr>
            <w:tcW w:w="0" w:type="auto"/>
            <w:tcBorders>
              <w:top w:val="nil"/>
              <w:left w:val="nil"/>
              <w:bottom w:val="single" w:sz="4" w:space="0" w:color="auto"/>
              <w:right w:val="single" w:sz="4" w:space="0" w:color="auto"/>
            </w:tcBorders>
            <w:shd w:val="clear" w:color="000000" w:fill="FFFFFF"/>
            <w:noWrap/>
            <w:vAlign w:val="center"/>
            <w:hideMark/>
          </w:tcPr>
          <w:p w14:paraId="60CAAFC5" w14:textId="43531176"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8100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4B44ED5" w14:textId="64D1A1A0"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6500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60450" w14:textId="7AF6FE49"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682D26D" w14:textId="708639CB"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-13770</w:t>
            </w:r>
          </w:p>
        </w:tc>
      </w:tr>
      <w:tr w:rsidR="00E32653" w:rsidRPr="00E32653" w14:paraId="0E07CAC9" w14:textId="03CF59E5" w:rsidTr="00CB6675">
        <w:trPr>
          <w:trHeight w:val="376"/>
          <w:jc w:val="center"/>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168B8467" w14:textId="06A9D5F6" w:rsidR="00D43E2E" w:rsidRPr="00E32653" w:rsidRDefault="00D43E2E" w:rsidP="0046331B">
            <w:pPr>
              <w:spacing w:after="0" w:line="240" w:lineRule="auto"/>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GLT-S</w:t>
            </w:r>
            <w:r w:rsidR="00CB6675" w:rsidRPr="00E32653">
              <w:rPr>
                <w:rFonts w:asciiTheme="majorBidi" w:eastAsia="Times New Roman" w:hAnsiTheme="majorBidi" w:cstheme="majorBidi"/>
                <w:sz w:val="18"/>
                <w:szCs w:val="18"/>
              </w:rPr>
              <w:t>oftwood</w:t>
            </w:r>
          </w:p>
        </w:tc>
        <w:tc>
          <w:tcPr>
            <w:tcW w:w="537" w:type="dxa"/>
            <w:vMerge/>
            <w:tcBorders>
              <w:left w:val="nil"/>
              <w:right w:val="single" w:sz="4" w:space="0" w:color="auto"/>
            </w:tcBorders>
            <w:shd w:val="clear" w:color="000000" w:fill="FFFFFF"/>
          </w:tcPr>
          <w:p w14:paraId="01631819" w14:textId="77777777" w:rsidR="00D43E2E" w:rsidRPr="00E32653" w:rsidRDefault="00D43E2E" w:rsidP="00D43E2E">
            <w:pPr>
              <w:spacing w:after="0" w:line="240" w:lineRule="auto"/>
              <w:jc w:val="center"/>
              <w:rPr>
                <w:rFonts w:asciiTheme="majorBidi" w:eastAsia="Times New Roman" w:hAnsiTheme="majorBidi" w:cstheme="majorBidi"/>
                <w:sz w:val="18"/>
                <w:szCs w:val="18"/>
              </w:rPr>
            </w:pPr>
          </w:p>
        </w:tc>
        <w:tc>
          <w:tcPr>
            <w:tcW w:w="1294" w:type="dxa"/>
            <w:tcBorders>
              <w:top w:val="nil"/>
              <w:left w:val="single" w:sz="4" w:space="0" w:color="auto"/>
              <w:bottom w:val="single" w:sz="4" w:space="0" w:color="auto"/>
              <w:right w:val="single" w:sz="4" w:space="0" w:color="auto"/>
            </w:tcBorders>
            <w:shd w:val="clear" w:color="000000" w:fill="FFFFFF"/>
            <w:noWrap/>
            <w:vAlign w:val="center"/>
            <w:hideMark/>
          </w:tcPr>
          <w:p w14:paraId="51A01ECB" w14:textId="5FEA0EB8"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58300</w:t>
            </w:r>
          </w:p>
        </w:tc>
        <w:tc>
          <w:tcPr>
            <w:tcW w:w="0" w:type="auto"/>
            <w:tcBorders>
              <w:top w:val="nil"/>
              <w:left w:val="nil"/>
              <w:bottom w:val="single" w:sz="4" w:space="0" w:color="auto"/>
              <w:right w:val="single" w:sz="4" w:space="0" w:color="auto"/>
            </w:tcBorders>
            <w:shd w:val="clear" w:color="000000" w:fill="FFFFFF"/>
            <w:noWrap/>
            <w:vAlign w:val="center"/>
            <w:hideMark/>
          </w:tcPr>
          <w:p w14:paraId="06CA35EE" w14:textId="079452C2"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40000</w:t>
            </w:r>
          </w:p>
        </w:tc>
        <w:tc>
          <w:tcPr>
            <w:tcW w:w="0" w:type="auto"/>
            <w:tcBorders>
              <w:top w:val="nil"/>
              <w:left w:val="nil"/>
              <w:bottom w:val="single" w:sz="4" w:space="0" w:color="auto"/>
              <w:right w:val="single" w:sz="4" w:space="0" w:color="auto"/>
            </w:tcBorders>
            <w:shd w:val="clear" w:color="000000" w:fill="FFFFFF"/>
            <w:noWrap/>
            <w:vAlign w:val="center"/>
            <w:hideMark/>
          </w:tcPr>
          <w:p w14:paraId="1683A4C9" w14:textId="4C754E03"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8100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D0F2F6F" w14:textId="4B3EB656"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6500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564C5" w14:textId="6F1B516C"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2025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4B865CE" w14:textId="060F7EC5"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-13770</w:t>
            </w:r>
          </w:p>
        </w:tc>
      </w:tr>
      <w:tr w:rsidR="00E32653" w:rsidRPr="00E32653" w14:paraId="3809BCF2" w14:textId="712671D7" w:rsidTr="00CB6675">
        <w:trPr>
          <w:trHeight w:val="376"/>
          <w:jc w:val="center"/>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5BFB461A" w14:textId="00206A5B" w:rsidR="00D43E2E" w:rsidRPr="00E32653" w:rsidRDefault="00D43E2E" w:rsidP="0046331B">
            <w:pPr>
              <w:spacing w:after="0" w:line="240" w:lineRule="auto"/>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LVL-</w:t>
            </w:r>
            <w:r w:rsidR="00CB6675" w:rsidRPr="00E32653">
              <w:rPr>
                <w:rFonts w:asciiTheme="majorBidi" w:eastAsia="Times New Roman" w:hAnsiTheme="majorBidi" w:cstheme="majorBidi"/>
                <w:sz w:val="18"/>
                <w:szCs w:val="18"/>
              </w:rPr>
              <w:t xml:space="preserve"> Hardwood</w:t>
            </w:r>
          </w:p>
        </w:tc>
        <w:tc>
          <w:tcPr>
            <w:tcW w:w="537" w:type="dxa"/>
            <w:vMerge/>
            <w:tcBorders>
              <w:left w:val="nil"/>
              <w:right w:val="single" w:sz="4" w:space="0" w:color="auto"/>
            </w:tcBorders>
            <w:shd w:val="clear" w:color="000000" w:fill="FFFFFF"/>
          </w:tcPr>
          <w:p w14:paraId="51BD3F6B" w14:textId="77777777" w:rsidR="00D43E2E" w:rsidRPr="00E32653" w:rsidRDefault="00D43E2E" w:rsidP="00D43E2E">
            <w:pPr>
              <w:spacing w:after="0" w:line="240" w:lineRule="auto"/>
              <w:jc w:val="center"/>
              <w:rPr>
                <w:rFonts w:asciiTheme="majorBidi" w:eastAsia="Times New Roman" w:hAnsiTheme="majorBidi" w:cstheme="majorBidi"/>
                <w:sz w:val="18"/>
                <w:szCs w:val="18"/>
              </w:rPr>
            </w:pPr>
          </w:p>
        </w:tc>
        <w:tc>
          <w:tcPr>
            <w:tcW w:w="1294" w:type="dxa"/>
            <w:tcBorders>
              <w:top w:val="nil"/>
              <w:left w:val="single" w:sz="4" w:space="0" w:color="auto"/>
              <w:bottom w:val="single" w:sz="4" w:space="0" w:color="auto"/>
              <w:right w:val="single" w:sz="4" w:space="0" w:color="auto"/>
            </w:tcBorders>
            <w:shd w:val="clear" w:color="000000" w:fill="FFFFFF"/>
            <w:noWrap/>
            <w:vAlign w:val="center"/>
            <w:hideMark/>
          </w:tcPr>
          <w:p w14:paraId="6436BBE5" w14:textId="713C23FA"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43820</w:t>
            </w:r>
          </w:p>
        </w:tc>
        <w:tc>
          <w:tcPr>
            <w:tcW w:w="0" w:type="auto"/>
            <w:tcBorders>
              <w:top w:val="nil"/>
              <w:left w:val="nil"/>
              <w:bottom w:val="single" w:sz="4" w:space="0" w:color="auto"/>
              <w:right w:val="single" w:sz="4" w:space="0" w:color="auto"/>
            </w:tcBorders>
            <w:shd w:val="clear" w:color="000000" w:fill="FFFFFF"/>
            <w:noWrap/>
            <w:vAlign w:val="center"/>
            <w:hideMark/>
          </w:tcPr>
          <w:p w14:paraId="22D319BC" w14:textId="6383404A"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40000</w:t>
            </w:r>
          </w:p>
        </w:tc>
        <w:tc>
          <w:tcPr>
            <w:tcW w:w="0" w:type="auto"/>
            <w:tcBorders>
              <w:top w:val="nil"/>
              <w:left w:val="nil"/>
              <w:bottom w:val="single" w:sz="4" w:space="0" w:color="auto"/>
              <w:right w:val="single" w:sz="4" w:space="0" w:color="auto"/>
            </w:tcBorders>
            <w:shd w:val="clear" w:color="000000" w:fill="FFFFFF"/>
            <w:noWrap/>
            <w:vAlign w:val="center"/>
            <w:hideMark/>
          </w:tcPr>
          <w:p w14:paraId="178EF719" w14:textId="4B37BED1"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28350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E17C131" w14:textId="34A02567"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6400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A3D97" w14:textId="4E3313CE"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AEA356C" w14:textId="188BA2F9"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-13770</w:t>
            </w:r>
          </w:p>
        </w:tc>
      </w:tr>
      <w:tr w:rsidR="00E32653" w:rsidRPr="00E32653" w14:paraId="16E40BF7" w14:textId="361054DD" w:rsidTr="00CB6675">
        <w:trPr>
          <w:trHeight w:val="376"/>
          <w:jc w:val="center"/>
        </w:trPr>
        <w:tc>
          <w:tcPr>
            <w:tcW w:w="1800" w:type="dxa"/>
            <w:tcBorders>
              <w:top w:val="nil"/>
              <w:left w:val="single" w:sz="4" w:space="0" w:color="auto"/>
              <w:bottom w:val="single" w:sz="4" w:space="0" w:color="auto"/>
              <w:right w:val="single" w:sz="4" w:space="0" w:color="auto"/>
            </w:tcBorders>
            <w:shd w:val="clear" w:color="000000" w:fill="FFFFFF"/>
            <w:noWrap/>
            <w:vAlign w:val="center"/>
            <w:hideMark/>
          </w:tcPr>
          <w:p w14:paraId="68A269C0" w14:textId="2AB4FE8D" w:rsidR="00D43E2E" w:rsidRPr="00E32653" w:rsidRDefault="00CB6675" w:rsidP="0046331B">
            <w:pPr>
              <w:spacing w:after="0" w:line="240" w:lineRule="auto"/>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LVL- Softwood</w:t>
            </w:r>
          </w:p>
        </w:tc>
        <w:tc>
          <w:tcPr>
            <w:tcW w:w="537" w:type="dxa"/>
            <w:vMerge/>
            <w:tcBorders>
              <w:left w:val="nil"/>
              <w:bottom w:val="single" w:sz="4" w:space="0" w:color="auto"/>
              <w:right w:val="single" w:sz="4" w:space="0" w:color="auto"/>
            </w:tcBorders>
            <w:shd w:val="clear" w:color="000000" w:fill="FFFFFF"/>
          </w:tcPr>
          <w:p w14:paraId="39BFE2C9" w14:textId="77777777" w:rsidR="00D43E2E" w:rsidRPr="00E32653" w:rsidRDefault="00D43E2E" w:rsidP="00D43E2E">
            <w:pPr>
              <w:spacing w:after="0" w:line="240" w:lineRule="auto"/>
              <w:jc w:val="center"/>
              <w:rPr>
                <w:rFonts w:asciiTheme="majorBidi" w:eastAsia="Times New Roman" w:hAnsiTheme="majorBidi" w:cstheme="majorBidi"/>
                <w:sz w:val="18"/>
                <w:szCs w:val="18"/>
              </w:rPr>
            </w:pPr>
          </w:p>
        </w:tc>
        <w:tc>
          <w:tcPr>
            <w:tcW w:w="1294" w:type="dxa"/>
            <w:tcBorders>
              <w:top w:val="nil"/>
              <w:left w:val="single" w:sz="4" w:space="0" w:color="auto"/>
              <w:bottom w:val="single" w:sz="4" w:space="0" w:color="auto"/>
              <w:right w:val="single" w:sz="4" w:space="0" w:color="auto"/>
            </w:tcBorders>
            <w:shd w:val="clear" w:color="000000" w:fill="FFFFFF"/>
            <w:noWrap/>
            <w:vAlign w:val="center"/>
            <w:hideMark/>
          </w:tcPr>
          <w:p w14:paraId="116C126A" w14:textId="2784D7E6"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34910</w:t>
            </w:r>
          </w:p>
        </w:tc>
        <w:tc>
          <w:tcPr>
            <w:tcW w:w="0" w:type="auto"/>
            <w:tcBorders>
              <w:top w:val="nil"/>
              <w:left w:val="nil"/>
              <w:bottom w:val="single" w:sz="4" w:space="0" w:color="auto"/>
              <w:right w:val="single" w:sz="4" w:space="0" w:color="auto"/>
            </w:tcBorders>
            <w:shd w:val="clear" w:color="000000" w:fill="FFFFFF"/>
            <w:noWrap/>
            <w:vAlign w:val="center"/>
            <w:hideMark/>
          </w:tcPr>
          <w:p w14:paraId="7A0B145E" w14:textId="7F554A2B"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40000</w:t>
            </w:r>
          </w:p>
        </w:tc>
        <w:tc>
          <w:tcPr>
            <w:tcW w:w="0" w:type="auto"/>
            <w:tcBorders>
              <w:top w:val="nil"/>
              <w:left w:val="nil"/>
              <w:bottom w:val="single" w:sz="4" w:space="0" w:color="auto"/>
              <w:right w:val="single" w:sz="4" w:space="0" w:color="auto"/>
            </w:tcBorders>
            <w:shd w:val="clear" w:color="000000" w:fill="FFFFFF"/>
            <w:noWrap/>
            <w:vAlign w:val="center"/>
            <w:hideMark/>
          </w:tcPr>
          <w:p w14:paraId="16194C44" w14:textId="7BA43715"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28350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2A98E8A" w14:textId="65E221F4"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6400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F98C1" w14:textId="64AE8936"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B947A07" w14:textId="16D2CE96" w:rsidR="00D43E2E" w:rsidRPr="00E32653" w:rsidRDefault="00D43E2E" w:rsidP="0046331B">
            <w:pPr>
              <w:spacing w:after="0" w:line="240" w:lineRule="auto"/>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-13770</w:t>
            </w:r>
          </w:p>
        </w:tc>
      </w:tr>
    </w:tbl>
    <w:p w14:paraId="64932A2D" w14:textId="77777777" w:rsidR="00AD0ABE" w:rsidRPr="00E32653" w:rsidRDefault="00B9374D" w:rsidP="00007283">
      <w:pPr>
        <w:spacing w:before="240" w:line="276" w:lineRule="auto"/>
        <w:ind w:firstLine="720"/>
        <w:jc w:val="both"/>
        <w:rPr>
          <w:rFonts w:asciiTheme="majorBidi" w:hAnsiTheme="majorBidi" w:cstheme="majorBidi"/>
        </w:rPr>
      </w:pPr>
      <w:r w:rsidRPr="00E32653">
        <w:rPr>
          <w:rFonts w:asciiTheme="majorBidi" w:hAnsiTheme="majorBidi" w:cstheme="majorBidi"/>
        </w:rPr>
        <w:t xml:space="preserve">However, </w:t>
      </w:r>
      <w:r w:rsidR="00A2510F" w:rsidRPr="00E32653">
        <w:rPr>
          <w:rFonts w:asciiTheme="majorBidi" w:hAnsiTheme="majorBidi" w:cstheme="majorBidi"/>
        </w:rPr>
        <w:t>the</w:t>
      </w:r>
      <w:r w:rsidR="004C0375" w:rsidRPr="00E32653">
        <w:rPr>
          <w:rFonts w:asciiTheme="majorBidi" w:hAnsiTheme="majorBidi" w:cstheme="majorBidi"/>
        </w:rPr>
        <w:t xml:space="preserve"> </w:t>
      </w:r>
      <w:r w:rsidR="00A2510F" w:rsidRPr="00E32653">
        <w:rPr>
          <w:rFonts w:asciiTheme="majorBidi" w:hAnsiTheme="majorBidi" w:cstheme="majorBidi"/>
        </w:rPr>
        <w:t>transportation cost</w:t>
      </w:r>
      <w:r w:rsidR="004C0375" w:rsidRPr="00E32653">
        <w:rPr>
          <w:rFonts w:asciiTheme="majorBidi" w:hAnsiTheme="majorBidi" w:cstheme="majorBidi"/>
        </w:rPr>
        <w:t>s</w:t>
      </w:r>
      <w:r w:rsidR="00A2510F" w:rsidRPr="00E32653">
        <w:rPr>
          <w:rFonts w:asciiTheme="majorBidi" w:hAnsiTheme="majorBidi" w:cstheme="majorBidi"/>
        </w:rPr>
        <w:t xml:space="preserve"> of GLT and LVL </w:t>
      </w:r>
      <w:r w:rsidR="004C0375" w:rsidRPr="00E32653">
        <w:rPr>
          <w:rFonts w:asciiTheme="majorBidi" w:hAnsiTheme="majorBidi" w:cstheme="majorBidi"/>
        </w:rPr>
        <w:t xml:space="preserve">differ considerably </w:t>
      </w:r>
      <w:r w:rsidR="00A2510F" w:rsidRPr="00E32653">
        <w:rPr>
          <w:rFonts w:asciiTheme="majorBidi" w:hAnsiTheme="majorBidi" w:cstheme="majorBidi"/>
        </w:rPr>
        <w:t xml:space="preserve">since </w:t>
      </w:r>
      <w:r w:rsidRPr="00E32653">
        <w:rPr>
          <w:rFonts w:asciiTheme="majorBidi" w:hAnsiTheme="majorBidi" w:cstheme="majorBidi"/>
        </w:rPr>
        <w:t xml:space="preserve">the LVL is prefabricated. Prefabricated </w:t>
      </w:r>
      <w:r w:rsidR="00F91712" w:rsidRPr="00E32653">
        <w:rPr>
          <w:rFonts w:asciiTheme="majorBidi" w:hAnsiTheme="majorBidi" w:cstheme="majorBidi"/>
        </w:rPr>
        <w:t xml:space="preserve">materials </w:t>
      </w:r>
      <w:r w:rsidR="00AB58B4" w:rsidRPr="00E32653">
        <w:rPr>
          <w:rFonts w:asciiTheme="majorBidi" w:hAnsiTheme="majorBidi" w:cstheme="majorBidi"/>
        </w:rPr>
        <w:t xml:space="preserve">are more time-consuming </w:t>
      </w:r>
      <w:r w:rsidR="004C0375" w:rsidRPr="00E32653">
        <w:rPr>
          <w:rFonts w:asciiTheme="majorBidi" w:hAnsiTheme="majorBidi" w:cstheme="majorBidi"/>
        </w:rPr>
        <w:t xml:space="preserve">to </w:t>
      </w:r>
      <w:r w:rsidR="00AB58B4" w:rsidRPr="00E32653">
        <w:rPr>
          <w:rFonts w:asciiTheme="majorBidi" w:hAnsiTheme="majorBidi" w:cstheme="majorBidi"/>
        </w:rPr>
        <w:t>transport to site</w:t>
      </w:r>
      <w:r w:rsidR="004C0375" w:rsidRPr="00E32653">
        <w:rPr>
          <w:rFonts w:asciiTheme="majorBidi" w:hAnsiTheme="majorBidi" w:cstheme="majorBidi"/>
        </w:rPr>
        <w:t xml:space="preserve"> than GLT materials. T</w:t>
      </w:r>
      <w:r w:rsidR="00AB58B4" w:rsidRPr="00E32653">
        <w:rPr>
          <w:rFonts w:asciiTheme="majorBidi" w:hAnsiTheme="majorBidi" w:cstheme="majorBidi"/>
        </w:rPr>
        <w:t xml:space="preserve">he </w:t>
      </w:r>
      <w:r w:rsidR="00AB58B4" w:rsidRPr="00E32653">
        <w:rPr>
          <w:rFonts w:asciiTheme="majorBidi" w:hAnsiTheme="majorBidi" w:cstheme="majorBidi"/>
        </w:rPr>
        <w:lastRenderedPageBreak/>
        <w:t xml:space="preserve">transport cost of </w:t>
      </w:r>
      <w:r w:rsidRPr="00E32653">
        <w:rPr>
          <w:rFonts w:asciiTheme="majorBidi" w:hAnsiTheme="majorBidi" w:cstheme="majorBidi"/>
        </w:rPr>
        <w:t xml:space="preserve">GLT </w:t>
      </w:r>
      <w:r w:rsidR="00AB58B4" w:rsidRPr="00E32653">
        <w:rPr>
          <w:rFonts w:asciiTheme="majorBidi" w:hAnsiTheme="majorBidi" w:cstheme="majorBidi"/>
        </w:rPr>
        <w:t xml:space="preserve">is equal to </w:t>
      </w:r>
      <w:r w:rsidRPr="00E32653">
        <w:rPr>
          <w:rFonts w:asciiTheme="majorBidi" w:hAnsiTheme="majorBidi" w:cstheme="majorBidi"/>
        </w:rPr>
        <w:t xml:space="preserve">28% of </w:t>
      </w:r>
      <w:r w:rsidR="00AB58B4" w:rsidRPr="00E32653">
        <w:rPr>
          <w:rFonts w:asciiTheme="majorBidi" w:hAnsiTheme="majorBidi" w:cstheme="majorBidi"/>
        </w:rPr>
        <w:t xml:space="preserve">the </w:t>
      </w:r>
      <w:r w:rsidRPr="00E32653">
        <w:rPr>
          <w:rFonts w:asciiTheme="majorBidi" w:hAnsiTheme="majorBidi" w:cstheme="majorBidi"/>
        </w:rPr>
        <w:t>LVL</w:t>
      </w:r>
      <w:r w:rsidR="000131AB" w:rsidRPr="00E32653">
        <w:rPr>
          <w:rFonts w:asciiTheme="majorBidi" w:hAnsiTheme="majorBidi" w:cstheme="majorBidi"/>
        </w:rPr>
        <w:t>'</w:t>
      </w:r>
      <w:r w:rsidR="00AB58B4" w:rsidRPr="00E32653">
        <w:rPr>
          <w:rFonts w:asciiTheme="majorBidi" w:hAnsiTheme="majorBidi" w:cstheme="majorBidi"/>
        </w:rPr>
        <w:t>s transport</w:t>
      </w:r>
      <w:r w:rsidRPr="00E32653">
        <w:rPr>
          <w:rFonts w:asciiTheme="majorBidi" w:hAnsiTheme="majorBidi" w:cstheme="majorBidi"/>
        </w:rPr>
        <w:t xml:space="preserve"> cost. In contra</w:t>
      </w:r>
      <w:r w:rsidR="004C0375" w:rsidRPr="00E32653">
        <w:rPr>
          <w:rFonts w:asciiTheme="majorBidi" w:hAnsiTheme="majorBidi" w:cstheme="majorBidi"/>
        </w:rPr>
        <w:t>st,</w:t>
      </w:r>
      <w:r w:rsidRPr="00E32653">
        <w:rPr>
          <w:rFonts w:asciiTheme="majorBidi" w:hAnsiTheme="majorBidi" w:cstheme="majorBidi"/>
        </w:rPr>
        <w:t xml:space="preserve"> GLT maintenance cost is higher than </w:t>
      </w:r>
      <w:r w:rsidR="004C0375" w:rsidRPr="00E32653">
        <w:rPr>
          <w:rFonts w:asciiTheme="majorBidi" w:hAnsiTheme="majorBidi" w:cstheme="majorBidi"/>
        </w:rPr>
        <w:t xml:space="preserve">for </w:t>
      </w:r>
      <w:r w:rsidRPr="00E32653">
        <w:rPr>
          <w:rFonts w:asciiTheme="majorBidi" w:hAnsiTheme="majorBidi" w:cstheme="majorBidi"/>
        </w:rPr>
        <w:t xml:space="preserve">LVL due to </w:t>
      </w:r>
      <w:r w:rsidR="004C0375" w:rsidRPr="00E32653">
        <w:rPr>
          <w:rFonts w:asciiTheme="majorBidi" w:hAnsiTheme="majorBidi" w:cstheme="majorBidi"/>
        </w:rPr>
        <w:t xml:space="preserve">the </w:t>
      </w:r>
      <w:r w:rsidRPr="00E32653">
        <w:rPr>
          <w:rFonts w:asciiTheme="majorBidi" w:hAnsiTheme="majorBidi" w:cstheme="majorBidi"/>
        </w:rPr>
        <w:t xml:space="preserve">higher price </w:t>
      </w:r>
      <w:r w:rsidR="00911178" w:rsidRPr="00E32653">
        <w:rPr>
          <w:rFonts w:asciiTheme="majorBidi" w:hAnsiTheme="majorBidi" w:cstheme="majorBidi"/>
        </w:rPr>
        <w:t>of</w:t>
      </w:r>
      <w:r w:rsidRPr="00E32653">
        <w:rPr>
          <w:rFonts w:asciiTheme="majorBidi" w:hAnsiTheme="majorBidi" w:cstheme="majorBidi"/>
        </w:rPr>
        <w:t xml:space="preserve"> </w:t>
      </w:r>
      <w:r w:rsidR="004C0375" w:rsidRPr="00E32653">
        <w:rPr>
          <w:rFonts w:asciiTheme="majorBidi" w:hAnsiTheme="majorBidi" w:cstheme="majorBidi"/>
        </w:rPr>
        <w:t xml:space="preserve">the </w:t>
      </w:r>
      <w:r w:rsidRPr="00E32653">
        <w:rPr>
          <w:rFonts w:asciiTheme="majorBidi" w:hAnsiTheme="majorBidi" w:cstheme="majorBidi"/>
        </w:rPr>
        <w:t xml:space="preserve">raw materials. </w:t>
      </w:r>
    </w:p>
    <w:p w14:paraId="45ABD321" w14:textId="18423E1E" w:rsidR="00D443B9" w:rsidRPr="00E32653" w:rsidRDefault="002738C9" w:rsidP="12C241C3">
      <w:pPr>
        <w:spacing w:before="240" w:line="276" w:lineRule="auto"/>
        <w:ind w:firstLine="720"/>
        <w:jc w:val="both"/>
        <w:rPr>
          <w:rFonts w:asciiTheme="majorBidi" w:hAnsiTheme="majorBidi" w:cstheme="majorBidi"/>
        </w:rPr>
      </w:pPr>
      <w:r w:rsidRPr="00E32653">
        <w:rPr>
          <w:rFonts w:asciiTheme="majorBidi" w:hAnsiTheme="majorBidi" w:cstheme="majorBidi"/>
        </w:rPr>
        <w:t>T</w:t>
      </w:r>
      <w:r w:rsidR="00B9374D" w:rsidRPr="00E32653">
        <w:rPr>
          <w:rFonts w:asciiTheme="majorBidi" w:hAnsiTheme="majorBidi" w:cstheme="majorBidi"/>
        </w:rPr>
        <w:t xml:space="preserve">his </w:t>
      </w:r>
      <w:r w:rsidR="00AD0ABE" w:rsidRPr="00E32653">
        <w:rPr>
          <w:rFonts w:asciiTheme="majorBidi" w:hAnsiTheme="majorBidi" w:cstheme="majorBidi"/>
        </w:rPr>
        <w:t xml:space="preserve">study </w:t>
      </w:r>
      <w:r w:rsidR="004C0375" w:rsidRPr="00E32653">
        <w:rPr>
          <w:rFonts w:asciiTheme="majorBidi" w:hAnsiTheme="majorBidi" w:cstheme="majorBidi"/>
        </w:rPr>
        <w:t xml:space="preserve">has </w:t>
      </w:r>
      <w:r w:rsidR="00B9374D" w:rsidRPr="00E32653">
        <w:rPr>
          <w:rFonts w:asciiTheme="majorBidi" w:hAnsiTheme="majorBidi" w:cstheme="majorBidi"/>
        </w:rPr>
        <w:t xml:space="preserve">considered the </w:t>
      </w:r>
      <w:r w:rsidR="4AC03D95" w:rsidRPr="00E32653">
        <w:rPr>
          <w:rFonts w:asciiTheme="majorBidi" w:hAnsiTheme="majorBidi" w:cstheme="majorBidi"/>
        </w:rPr>
        <w:t>end-of-life</w:t>
      </w:r>
      <w:r w:rsidR="00B9374D" w:rsidRPr="00E32653">
        <w:rPr>
          <w:rFonts w:asciiTheme="majorBidi" w:hAnsiTheme="majorBidi" w:cstheme="majorBidi"/>
        </w:rPr>
        <w:t xml:space="preserve"> </w:t>
      </w:r>
      <w:r w:rsidR="004C0375" w:rsidRPr="00E32653">
        <w:rPr>
          <w:rFonts w:asciiTheme="majorBidi" w:hAnsiTheme="majorBidi" w:cstheme="majorBidi"/>
        </w:rPr>
        <w:t xml:space="preserve">cost </w:t>
      </w:r>
      <w:r w:rsidR="00B9374D" w:rsidRPr="00E32653">
        <w:rPr>
          <w:rFonts w:asciiTheme="majorBidi" w:hAnsiTheme="majorBidi" w:cstheme="majorBidi"/>
        </w:rPr>
        <w:t>for all alternatives</w:t>
      </w:r>
      <w:r w:rsidR="007357E8" w:rsidRPr="00E32653">
        <w:rPr>
          <w:rFonts w:asciiTheme="majorBidi" w:hAnsiTheme="majorBidi" w:cstheme="majorBidi"/>
        </w:rPr>
        <w:t xml:space="preserve">. </w:t>
      </w:r>
      <w:r w:rsidR="00B9374D" w:rsidRPr="00E32653">
        <w:rPr>
          <w:rFonts w:asciiTheme="majorBidi" w:hAnsiTheme="majorBidi" w:cstheme="majorBidi"/>
        </w:rPr>
        <w:t>The net return to the project from selling the material was 13770 MYR</w:t>
      </w:r>
      <w:r w:rsidR="004C0375" w:rsidRPr="00E32653">
        <w:rPr>
          <w:rFonts w:asciiTheme="majorBidi" w:hAnsiTheme="majorBidi" w:cstheme="majorBidi"/>
        </w:rPr>
        <w:t xml:space="preserve">. This </w:t>
      </w:r>
      <w:r w:rsidR="00B9374D" w:rsidRPr="00E32653">
        <w:rPr>
          <w:rFonts w:asciiTheme="majorBidi" w:hAnsiTheme="majorBidi" w:cstheme="majorBidi"/>
        </w:rPr>
        <w:t>need</w:t>
      </w:r>
      <w:r w:rsidR="004C0375" w:rsidRPr="00E32653">
        <w:rPr>
          <w:rFonts w:asciiTheme="majorBidi" w:hAnsiTheme="majorBidi" w:cstheme="majorBidi"/>
        </w:rPr>
        <w:t>s</w:t>
      </w:r>
      <w:r w:rsidR="00B9374D" w:rsidRPr="00E32653">
        <w:rPr>
          <w:rFonts w:asciiTheme="majorBidi" w:hAnsiTheme="majorBidi" w:cstheme="majorBidi"/>
        </w:rPr>
        <w:t xml:space="preserve"> to be deducted from the total</w:t>
      </w:r>
      <w:r w:rsidR="000A32B4" w:rsidRPr="00E32653">
        <w:rPr>
          <w:rFonts w:asciiTheme="majorBidi" w:hAnsiTheme="majorBidi" w:cstheme="majorBidi"/>
        </w:rPr>
        <w:t xml:space="preserve"> cost of the building</w:t>
      </w:r>
      <w:r w:rsidR="00B9374D" w:rsidRPr="00E32653">
        <w:rPr>
          <w:rFonts w:asciiTheme="majorBidi" w:hAnsiTheme="majorBidi" w:cstheme="majorBidi"/>
        </w:rPr>
        <w:t>.</w:t>
      </w:r>
      <w:r w:rsidR="00155FFE" w:rsidRPr="00E32653">
        <w:rPr>
          <w:rFonts w:asciiTheme="majorBidi" w:hAnsiTheme="majorBidi" w:cstheme="majorBidi"/>
        </w:rPr>
        <w:t xml:space="preserve"> </w:t>
      </w:r>
      <w:r w:rsidR="000A32B4" w:rsidRPr="00E32653">
        <w:rPr>
          <w:rFonts w:asciiTheme="majorBidi" w:hAnsiTheme="majorBidi" w:cstheme="majorBidi"/>
        </w:rPr>
        <w:t xml:space="preserve">The </w:t>
      </w:r>
      <w:r w:rsidR="00D443B9" w:rsidRPr="00E32653">
        <w:rPr>
          <w:rFonts w:asciiTheme="majorBidi" w:hAnsiTheme="majorBidi" w:cstheme="majorBidi"/>
        </w:rPr>
        <w:t>result</w:t>
      </w:r>
      <w:r w:rsidR="000A32B4" w:rsidRPr="00E32653">
        <w:rPr>
          <w:rFonts w:asciiTheme="majorBidi" w:hAnsiTheme="majorBidi" w:cstheme="majorBidi"/>
        </w:rPr>
        <w:t>s</w:t>
      </w:r>
      <w:r w:rsidR="00D443B9" w:rsidRPr="00E32653">
        <w:rPr>
          <w:rFonts w:asciiTheme="majorBidi" w:hAnsiTheme="majorBidi" w:cstheme="majorBidi"/>
        </w:rPr>
        <w:t xml:space="preserve"> show that</w:t>
      </w:r>
      <w:r w:rsidR="000A32B4" w:rsidRPr="00E32653">
        <w:rPr>
          <w:rFonts w:asciiTheme="majorBidi" w:hAnsiTheme="majorBidi" w:cstheme="majorBidi"/>
        </w:rPr>
        <w:t xml:space="preserve"> </w:t>
      </w:r>
      <w:r w:rsidR="00D443B9" w:rsidRPr="00E32653">
        <w:rPr>
          <w:rFonts w:asciiTheme="majorBidi" w:hAnsiTheme="majorBidi" w:cstheme="majorBidi"/>
        </w:rPr>
        <w:t>LVL-s is generally cheaper</w:t>
      </w:r>
      <w:r w:rsidR="000A32B4" w:rsidRPr="00E32653">
        <w:rPr>
          <w:rFonts w:asciiTheme="majorBidi" w:hAnsiTheme="majorBidi" w:cstheme="majorBidi"/>
        </w:rPr>
        <w:t xml:space="preserve"> </w:t>
      </w:r>
      <w:r w:rsidR="007357E8" w:rsidRPr="00E32653">
        <w:rPr>
          <w:rFonts w:asciiTheme="majorBidi" w:hAnsiTheme="majorBidi" w:cstheme="majorBidi"/>
        </w:rPr>
        <w:t xml:space="preserve">than </w:t>
      </w:r>
      <w:r w:rsidR="004C0375" w:rsidRPr="00E32653">
        <w:rPr>
          <w:rFonts w:asciiTheme="majorBidi" w:hAnsiTheme="majorBidi" w:cstheme="majorBidi"/>
        </w:rPr>
        <w:t xml:space="preserve">the </w:t>
      </w:r>
      <w:r w:rsidR="007357E8" w:rsidRPr="00E32653">
        <w:rPr>
          <w:rFonts w:asciiTheme="majorBidi" w:hAnsiTheme="majorBidi" w:cstheme="majorBidi"/>
        </w:rPr>
        <w:t>alternatives</w:t>
      </w:r>
      <w:r w:rsidR="004C0375" w:rsidRPr="00E32653">
        <w:rPr>
          <w:rFonts w:asciiTheme="majorBidi" w:hAnsiTheme="majorBidi" w:cstheme="majorBidi"/>
        </w:rPr>
        <w:t>. H</w:t>
      </w:r>
      <w:r w:rsidR="00D443B9" w:rsidRPr="00E32653">
        <w:rPr>
          <w:rFonts w:asciiTheme="majorBidi" w:hAnsiTheme="majorBidi" w:cstheme="majorBidi"/>
        </w:rPr>
        <w:t>owever, transport cost</w:t>
      </w:r>
      <w:r w:rsidR="004C0375" w:rsidRPr="00E32653">
        <w:rPr>
          <w:rFonts w:asciiTheme="majorBidi" w:hAnsiTheme="majorBidi" w:cstheme="majorBidi"/>
        </w:rPr>
        <w:t>s</w:t>
      </w:r>
      <w:r w:rsidR="00D443B9" w:rsidRPr="00E32653">
        <w:rPr>
          <w:rFonts w:asciiTheme="majorBidi" w:hAnsiTheme="majorBidi" w:cstheme="majorBidi"/>
        </w:rPr>
        <w:t xml:space="preserve"> </w:t>
      </w:r>
      <w:r w:rsidR="008F44EA" w:rsidRPr="00E32653">
        <w:rPr>
          <w:rFonts w:asciiTheme="majorBidi" w:hAnsiTheme="majorBidi" w:cstheme="majorBidi"/>
        </w:rPr>
        <w:t xml:space="preserve">for prefabricated wood </w:t>
      </w:r>
      <w:r w:rsidR="00D443B9" w:rsidRPr="00E32653">
        <w:rPr>
          <w:rFonts w:asciiTheme="majorBidi" w:hAnsiTheme="majorBidi" w:cstheme="majorBidi"/>
        </w:rPr>
        <w:t>are high</w:t>
      </w:r>
      <w:r w:rsidR="007357E8" w:rsidRPr="00E32653">
        <w:rPr>
          <w:rFonts w:asciiTheme="majorBidi" w:hAnsiTheme="majorBidi" w:cstheme="majorBidi"/>
        </w:rPr>
        <w:t xml:space="preserve">er than </w:t>
      </w:r>
      <w:r w:rsidR="004C0375" w:rsidRPr="00E32653">
        <w:rPr>
          <w:rFonts w:asciiTheme="majorBidi" w:hAnsiTheme="majorBidi" w:cstheme="majorBidi"/>
        </w:rPr>
        <w:t xml:space="preserve">for </w:t>
      </w:r>
      <w:r w:rsidR="007357E8" w:rsidRPr="00E32653">
        <w:rPr>
          <w:rFonts w:asciiTheme="majorBidi" w:hAnsiTheme="majorBidi" w:cstheme="majorBidi"/>
        </w:rPr>
        <w:t>on-</w:t>
      </w:r>
      <w:r w:rsidR="004C0375" w:rsidRPr="00E32653">
        <w:rPr>
          <w:rFonts w:asciiTheme="majorBidi" w:hAnsiTheme="majorBidi" w:cstheme="majorBidi"/>
        </w:rPr>
        <w:t xml:space="preserve">site </w:t>
      </w:r>
      <w:r w:rsidR="007357E8" w:rsidRPr="00E32653">
        <w:rPr>
          <w:rFonts w:asciiTheme="majorBidi" w:hAnsiTheme="majorBidi" w:cstheme="majorBidi"/>
        </w:rPr>
        <w:t>construction</w:t>
      </w:r>
      <w:r w:rsidR="00D443B9" w:rsidRPr="00E32653">
        <w:rPr>
          <w:rFonts w:asciiTheme="majorBidi" w:hAnsiTheme="majorBidi" w:cstheme="majorBidi"/>
        </w:rPr>
        <w:t>.</w:t>
      </w:r>
      <w:r w:rsidR="001075C7" w:rsidRPr="00E32653">
        <w:rPr>
          <w:rFonts w:asciiTheme="majorBidi" w:hAnsiTheme="majorBidi" w:cstheme="majorBidi"/>
        </w:rPr>
        <w:t xml:space="preserve"> The results of the LCC </w:t>
      </w:r>
      <w:r w:rsidR="00C86B91" w:rsidRPr="00E32653">
        <w:rPr>
          <w:rFonts w:asciiTheme="majorBidi" w:hAnsiTheme="majorBidi" w:cstheme="majorBidi"/>
        </w:rPr>
        <w:t>evaluation</w:t>
      </w:r>
      <w:r w:rsidR="001075C7" w:rsidRPr="00E32653">
        <w:rPr>
          <w:rFonts w:asciiTheme="majorBidi" w:hAnsiTheme="majorBidi" w:cstheme="majorBidi"/>
        </w:rPr>
        <w:t xml:space="preserve"> for </w:t>
      </w:r>
      <w:r w:rsidR="00C86B91" w:rsidRPr="00E32653">
        <w:rPr>
          <w:rFonts w:asciiTheme="majorBidi" w:hAnsiTheme="majorBidi" w:cstheme="majorBidi"/>
        </w:rPr>
        <w:t>different</w:t>
      </w:r>
      <w:r w:rsidR="00007283" w:rsidRPr="00E32653">
        <w:rPr>
          <w:rFonts w:asciiTheme="majorBidi" w:hAnsiTheme="majorBidi" w:cstheme="majorBidi"/>
        </w:rPr>
        <w:t xml:space="preserve"> mass</w:t>
      </w:r>
      <w:r w:rsidR="001075C7" w:rsidRPr="00E32653">
        <w:rPr>
          <w:rFonts w:asciiTheme="majorBidi" w:hAnsiTheme="majorBidi" w:cstheme="majorBidi"/>
        </w:rPr>
        <w:t xml:space="preserve"> </w:t>
      </w:r>
      <w:r w:rsidR="00C86B91" w:rsidRPr="00E32653">
        <w:rPr>
          <w:rFonts w:asciiTheme="majorBidi" w:hAnsiTheme="majorBidi" w:cstheme="majorBidi"/>
        </w:rPr>
        <w:t xml:space="preserve">timber </w:t>
      </w:r>
      <w:r w:rsidR="00AD0ABE" w:rsidRPr="00E32653">
        <w:rPr>
          <w:rFonts w:asciiTheme="majorBidi" w:hAnsiTheme="majorBidi" w:cstheme="majorBidi"/>
        </w:rPr>
        <w:t xml:space="preserve">products </w:t>
      </w:r>
      <w:r w:rsidR="001075C7" w:rsidRPr="00E32653">
        <w:rPr>
          <w:rFonts w:asciiTheme="majorBidi" w:hAnsiTheme="majorBidi" w:cstheme="majorBidi"/>
        </w:rPr>
        <w:t xml:space="preserve">are </w:t>
      </w:r>
      <w:r w:rsidR="00C86B91" w:rsidRPr="00E32653">
        <w:rPr>
          <w:rFonts w:asciiTheme="majorBidi" w:hAnsiTheme="majorBidi" w:cstheme="majorBidi"/>
        </w:rPr>
        <w:t>shown</w:t>
      </w:r>
      <w:r w:rsidR="001075C7" w:rsidRPr="00E32653">
        <w:rPr>
          <w:rFonts w:asciiTheme="majorBidi" w:hAnsiTheme="majorBidi" w:cstheme="majorBidi"/>
        </w:rPr>
        <w:t xml:space="preserve"> in Figure 9.</w:t>
      </w:r>
      <w:r w:rsidR="00D443B9" w:rsidRPr="00E32653">
        <w:rPr>
          <w:rFonts w:asciiTheme="majorBidi" w:hAnsiTheme="majorBidi" w:cstheme="majorBidi"/>
        </w:rPr>
        <w:t xml:space="preserve"> Interestingly, GLT-s is the </w:t>
      </w:r>
      <w:r w:rsidR="4BB4F5F1" w:rsidRPr="00E32653">
        <w:rPr>
          <w:rFonts w:asciiTheme="majorBidi" w:hAnsiTheme="majorBidi" w:cstheme="majorBidi"/>
        </w:rPr>
        <w:t>second-best</w:t>
      </w:r>
      <w:r w:rsidR="00D443B9" w:rsidRPr="00E32653">
        <w:rPr>
          <w:rFonts w:asciiTheme="majorBidi" w:hAnsiTheme="majorBidi" w:cstheme="majorBidi"/>
        </w:rPr>
        <w:t xml:space="preserve"> option.</w:t>
      </w:r>
      <w:r w:rsidR="007357E8" w:rsidRPr="00E32653">
        <w:rPr>
          <w:rFonts w:asciiTheme="majorBidi" w:hAnsiTheme="majorBidi" w:cstheme="majorBidi"/>
        </w:rPr>
        <w:t xml:space="preserve"> </w:t>
      </w:r>
      <w:r w:rsidR="00F94E47" w:rsidRPr="00E32653">
        <w:rPr>
          <w:rFonts w:asciiTheme="majorBidi" w:hAnsiTheme="majorBidi" w:cstheme="majorBidi"/>
        </w:rPr>
        <w:t>The total cost</w:t>
      </w:r>
      <w:r w:rsidR="5D6FCE9F" w:rsidRPr="00E32653">
        <w:rPr>
          <w:rFonts w:asciiTheme="majorBidi" w:hAnsiTheme="majorBidi" w:cstheme="majorBidi"/>
        </w:rPr>
        <w:t>s</w:t>
      </w:r>
      <w:r w:rsidR="00F94E47" w:rsidRPr="00E32653">
        <w:rPr>
          <w:rFonts w:asciiTheme="majorBidi" w:hAnsiTheme="majorBidi" w:cstheme="majorBidi"/>
        </w:rPr>
        <w:t xml:space="preserve"> are </w:t>
      </w:r>
      <w:r w:rsidR="00F94E47" w:rsidRPr="00E32653">
        <w:rPr>
          <w:rFonts w:asciiTheme="majorBidi" w:eastAsia="Times New Roman" w:hAnsiTheme="majorBidi" w:cstheme="majorBidi"/>
        </w:rPr>
        <w:t xml:space="preserve">115735 MYR, 101155 MYR, 106420 MYR, and 97510 MYR respectively for </w:t>
      </w:r>
      <w:r w:rsidR="00F94E47" w:rsidRPr="00E32653">
        <w:rPr>
          <w:rFonts w:asciiTheme="majorBidi" w:hAnsiTheme="majorBidi" w:cstheme="majorBidi"/>
        </w:rPr>
        <w:t xml:space="preserve">GLT-h, GLT-s, LVL-h, and LVL-s. </w:t>
      </w:r>
    </w:p>
    <w:p w14:paraId="6BCF6F01" w14:textId="4975DE18" w:rsidR="007D2A6F" w:rsidRPr="00E32653" w:rsidRDefault="00D43E2E" w:rsidP="12C241C3">
      <w:pPr>
        <w:spacing w:before="240" w:after="0" w:line="276" w:lineRule="auto"/>
        <w:ind w:hanging="90"/>
        <w:jc w:val="center"/>
        <w:rPr>
          <w:rFonts w:asciiTheme="majorBidi" w:hAnsiTheme="majorBidi" w:cstheme="majorBidi"/>
        </w:rPr>
      </w:pPr>
      <w:r w:rsidRPr="00E32653">
        <w:rPr>
          <w:noProof/>
        </w:rPr>
        <w:drawing>
          <wp:inline distT="0" distB="0" distL="0" distR="0" wp14:anchorId="1458AA99" wp14:editId="3A7C0F0E">
            <wp:extent cx="2930769" cy="3141345"/>
            <wp:effectExtent l="0" t="0" r="3175" b="19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E32653">
        <w:rPr>
          <w:noProof/>
        </w:rPr>
        <w:drawing>
          <wp:inline distT="0" distB="0" distL="0" distR="0" wp14:anchorId="0951B77E" wp14:editId="444A56E9">
            <wp:extent cx="2907030" cy="3141785"/>
            <wp:effectExtent l="0" t="0" r="7620" b="19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BA120FA" w14:textId="70332FAA" w:rsidR="00B34BA2" w:rsidRPr="00E32653" w:rsidRDefault="0019214A" w:rsidP="12C241C3">
      <w:pPr>
        <w:spacing w:line="276" w:lineRule="auto"/>
        <w:ind w:left="1440"/>
        <w:jc w:val="center"/>
        <w:rPr>
          <w:rFonts w:asciiTheme="majorBidi" w:hAnsiTheme="majorBidi" w:cstheme="majorBidi"/>
          <w:sz w:val="18"/>
          <w:szCs w:val="18"/>
        </w:rPr>
      </w:pPr>
      <w:r w:rsidRPr="00E32653">
        <w:rPr>
          <w:rFonts w:asciiTheme="majorBidi" w:hAnsiTheme="majorBidi" w:cstheme="majorBidi"/>
          <w:sz w:val="18"/>
          <w:szCs w:val="18"/>
        </w:rPr>
        <w:t>Fig. 9.</w:t>
      </w:r>
      <w:r w:rsidR="00372867" w:rsidRPr="00E32653">
        <w:rPr>
          <w:rFonts w:asciiTheme="majorBidi" w:hAnsiTheme="majorBidi" w:cstheme="majorBidi"/>
          <w:sz w:val="18"/>
          <w:szCs w:val="18"/>
        </w:rPr>
        <w:t xml:space="preserve"> Life cycle </w:t>
      </w:r>
      <w:r w:rsidR="4C466AA4" w:rsidRPr="00E32653">
        <w:rPr>
          <w:rFonts w:asciiTheme="majorBidi" w:hAnsiTheme="majorBidi" w:cstheme="majorBidi"/>
          <w:sz w:val="18"/>
          <w:szCs w:val="18"/>
        </w:rPr>
        <w:t>costs of</w:t>
      </w:r>
      <w:r w:rsidR="00372867" w:rsidRPr="00E32653">
        <w:rPr>
          <w:rFonts w:asciiTheme="majorBidi" w:hAnsiTheme="majorBidi" w:cstheme="majorBidi"/>
          <w:sz w:val="18"/>
          <w:szCs w:val="18"/>
        </w:rPr>
        <w:t xml:space="preserve"> four wood-based materials. GLT-h hardwood, GLT-s softwood, LVL-h hardwood and LVL-s softwood</w:t>
      </w:r>
    </w:p>
    <w:p w14:paraId="6F7AFF45" w14:textId="1AE554BF" w:rsidR="00B34BA2" w:rsidRPr="00E32653" w:rsidRDefault="00B34BA2" w:rsidP="009C79E1">
      <w:pPr>
        <w:spacing w:line="276" w:lineRule="auto"/>
        <w:jc w:val="center"/>
        <w:rPr>
          <w:rFonts w:asciiTheme="majorBidi" w:hAnsiTheme="majorBidi" w:cstheme="majorBidi"/>
        </w:rPr>
      </w:pPr>
    </w:p>
    <w:p w14:paraId="5C9FDBFF" w14:textId="6C25538F" w:rsidR="00396D00" w:rsidRPr="00E32653" w:rsidRDefault="007F7DD7" w:rsidP="007F7DD7">
      <w:pPr>
        <w:spacing w:before="240" w:line="276" w:lineRule="auto"/>
        <w:rPr>
          <w:rFonts w:asciiTheme="majorBidi" w:hAnsiTheme="majorBidi" w:cstheme="majorBidi"/>
          <w:b/>
          <w:bCs/>
          <w:i/>
          <w:iCs/>
        </w:rPr>
      </w:pPr>
      <w:r w:rsidRPr="00E32653">
        <w:rPr>
          <w:rFonts w:asciiTheme="majorBidi" w:hAnsiTheme="majorBidi" w:cstheme="majorBidi"/>
          <w:b/>
          <w:bCs/>
          <w:i/>
          <w:iCs/>
        </w:rPr>
        <w:t xml:space="preserve">3.4 </w:t>
      </w:r>
      <w:r w:rsidR="00AD0ABE" w:rsidRPr="00E32653">
        <w:rPr>
          <w:rFonts w:asciiTheme="majorBidi" w:hAnsiTheme="majorBidi" w:cstheme="majorBidi"/>
          <w:b/>
          <w:bCs/>
          <w:i/>
          <w:iCs/>
        </w:rPr>
        <w:t>Multi-criteria Decision-making (</w:t>
      </w:r>
      <w:r w:rsidR="003B25C6" w:rsidRPr="00E32653">
        <w:rPr>
          <w:rFonts w:asciiTheme="majorBidi" w:hAnsiTheme="majorBidi" w:cstheme="majorBidi"/>
          <w:b/>
          <w:bCs/>
          <w:i/>
          <w:iCs/>
        </w:rPr>
        <w:t>MCDM</w:t>
      </w:r>
      <w:r w:rsidR="00AD0ABE" w:rsidRPr="00E32653">
        <w:rPr>
          <w:rFonts w:asciiTheme="majorBidi" w:hAnsiTheme="majorBidi" w:cstheme="majorBidi"/>
          <w:b/>
          <w:bCs/>
          <w:i/>
          <w:iCs/>
        </w:rPr>
        <w:t>)</w:t>
      </w:r>
      <w:r w:rsidR="003B25C6" w:rsidRPr="00E32653">
        <w:rPr>
          <w:rFonts w:asciiTheme="majorBidi" w:hAnsiTheme="majorBidi" w:cstheme="majorBidi"/>
          <w:b/>
          <w:bCs/>
          <w:i/>
          <w:iCs/>
        </w:rPr>
        <w:t xml:space="preserve"> </w:t>
      </w:r>
    </w:p>
    <w:p w14:paraId="036AB943" w14:textId="4BB68402" w:rsidR="000E357F" w:rsidRPr="00E32653" w:rsidRDefault="00207E7C" w:rsidP="00D60143">
      <w:pPr>
        <w:spacing w:line="276" w:lineRule="auto"/>
        <w:ind w:firstLine="720"/>
        <w:jc w:val="both"/>
        <w:rPr>
          <w:rFonts w:asciiTheme="majorBidi" w:hAnsiTheme="majorBidi" w:cstheme="majorBidi"/>
        </w:rPr>
      </w:pPr>
      <w:r w:rsidRPr="00E32653">
        <w:rPr>
          <w:rFonts w:asciiTheme="majorBidi" w:hAnsiTheme="majorBidi" w:cstheme="majorBidi"/>
        </w:rPr>
        <w:t xml:space="preserve">MCDM </w:t>
      </w:r>
      <w:r w:rsidR="00C62A93" w:rsidRPr="00E32653">
        <w:rPr>
          <w:rFonts w:asciiTheme="majorBidi" w:hAnsiTheme="majorBidi" w:cstheme="majorBidi"/>
        </w:rPr>
        <w:t xml:space="preserve">was </w:t>
      </w:r>
      <w:r w:rsidR="000A32B4" w:rsidRPr="00E32653">
        <w:rPr>
          <w:rFonts w:asciiTheme="majorBidi" w:hAnsiTheme="majorBidi" w:cstheme="majorBidi"/>
        </w:rPr>
        <w:t xml:space="preserve">performed </w:t>
      </w:r>
      <w:r w:rsidRPr="00E32653">
        <w:rPr>
          <w:rFonts w:asciiTheme="majorBidi" w:hAnsiTheme="majorBidi" w:cstheme="majorBidi"/>
        </w:rPr>
        <w:t xml:space="preserve">to </w:t>
      </w:r>
      <w:r w:rsidR="00C62A93" w:rsidRPr="00E32653">
        <w:rPr>
          <w:rFonts w:asciiTheme="majorBidi" w:hAnsiTheme="majorBidi" w:cstheme="majorBidi"/>
        </w:rPr>
        <w:t xml:space="preserve">rank the </w:t>
      </w:r>
      <w:r w:rsidRPr="00E32653">
        <w:rPr>
          <w:rFonts w:asciiTheme="majorBidi" w:hAnsiTheme="majorBidi" w:cstheme="majorBidi"/>
        </w:rPr>
        <w:t>alternative</w:t>
      </w:r>
      <w:r w:rsidR="00C62A93" w:rsidRPr="00E32653">
        <w:rPr>
          <w:rFonts w:asciiTheme="majorBidi" w:hAnsiTheme="majorBidi" w:cstheme="majorBidi"/>
        </w:rPr>
        <w:t>s</w:t>
      </w:r>
      <w:r w:rsidRPr="00E32653">
        <w:rPr>
          <w:rFonts w:asciiTheme="majorBidi" w:hAnsiTheme="majorBidi" w:cstheme="majorBidi"/>
        </w:rPr>
        <w:t xml:space="preserve"> </w:t>
      </w:r>
      <w:r w:rsidR="000A32B4" w:rsidRPr="00E32653">
        <w:rPr>
          <w:rFonts w:asciiTheme="majorBidi" w:hAnsiTheme="majorBidi" w:cstheme="majorBidi"/>
        </w:rPr>
        <w:t xml:space="preserve">by </w:t>
      </w:r>
      <w:r w:rsidRPr="00E32653">
        <w:rPr>
          <w:rFonts w:asciiTheme="majorBidi" w:hAnsiTheme="majorBidi" w:cstheme="majorBidi"/>
        </w:rPr>
        <w:t>balanc</w:t>
      </w:r>
      <w:r w:rsidR="00C62A93" w:rsidRPr="00E32653">
        <w:rPr>
          <w:rFonts w:asciiTheme="majorBidi" w:hAnsiTheme="majorBidi" w:cstheme="majorBidi"/>
        </w:rPr>
        <w:t>ing</w:t>
      </w:r>
      <w:r w:rsidRPr="00E32653">
        <w:rPr>
          <w:rFonts w:asciiTheme="majorBidi" w:hAnsiTheme="majorBidi" w:cstheme="majorBidi"/>
        </w:rPr>
        <w:t xml:space="preserve"> the</w:t>
      </w:r>
      <w:r w:rsidR="00C62A93" w:rsidRPr="00E32653">
        <w:rPr>
          <w:rFonts w:asciiTheme="majorBidi" w:hAnsiTheme="majorBidi" w:cstheme="majorBidi"/>
        </w:rPr>
        <w:t>ir</w:t>
      </w:r>
      <w:r w:rsidRPr="00E32653">
        <w:rPr>
          <w:rFonts w:asciiTheme="majorBidi" w:hAnsiTheme="majorBidi" w:cstheme="majorBidi"/>
        </w:rPr>
        <w:t xml:space="preserve"> environmental impacts</w:t>
      </w:r>
      <w:r w:rsidR="000A32B4" w:rsidRPr="00E32653">
        <w:rPr>
          <w:rFonts w:asciiTheme="majorBidi" w:hAnsiTheme="majorBidi" w:cstheme="majorBidi"/>
        </w:rPr>
        <w:t>,</w:t>
      </w:r>
      <w:r w:rsidRPr="00E32653">
        <w:rPr>
          <w:rFonts w:asciiTheme="majorBidi" w:hAnsiTheme="majorBidi" w:cstheme="majorBidi"/>
        </w:rPr>
        <w:t xml:space="preserve"> </w:t>
      </w:r>
      <w:r w:rsidR="002B4380" w:rsidRPr="00E32653">
        <w:rPr>
          <w:rFonts w:asciiTheme="majorBidi" w:hAnsiTheme="majorBidi" w:cstheme="majorBidi"/>
        </w:rPr>
        <w:t xml:space="preserve">economic, and embodied energy </w:t>
      </w:r>
      <w:r w:rsidRPr="00E32653">
        <w:rPr>
          <w:rFonts w:asciiTheme="majorBidi" w:hAnsiTheme="majorBidi" w:cstheme="majorBidi"/>
        </w:rPr>
        <w:t>impact</w:t>
      </w:r>
      <w:r w:rsidR="00174FFB" w:rsidRPr="00E32653">
        <w:rPr>
          <w:rFonts w:asciiTheme="majorBidi" w:hAnsiTheme="majorBidi" w:cstheme="majorBidi"/>
        </w:rPr>
        <w:t>s</w:t>
      </w:r>
      <w:r w:rsidRPr="00E32653">
        <w:rPr>
          <w:rFonts w:asciiTheme="majorBidi" w:hAnsiTheme="majorBidi" w:cstheme="majorBidi"/>
        </w:rPr>
        <w:t>.</w:t>
      </w:r>
      <w:r w:rsidR="009E3BF1" w:rsidRPr="00E32653">
        <w:rPr>
          <w:rFonts w:asciiTheme="majorBidi" w:hAnsiTheme="majorBidi" w:cstheme="majorBidi"/>
        </w:rPr>
        <w:t xml:space="preserve"> </w:t>
      </w:r>
      <w:r w:rsidR="002B58C5" w:rsidRPr="00E32653">
        <w:rPr>
          <w:rFonts w:asciiTheme="majorBidi" w:hAnsiTheme="majorBidi" w:cstheme="majorBidi"/>
        </w:rPr>
        <w:t xml:space="preserve">It should be noted that the respondents only assessed the mass timber criteria. Other materials such as concrete, steel or brick were not considered. Respondents were categorized as construction managers, designers, and stakeholders. </w:t>
      </w:r>
      <w:r w:rsidR="002B4380" w:rsidRPr="00E32653">
        <w:rPr>
          <w:rFonts w:asciiTheme="majorBidi" w:hAnsiTheme="majorBidi" w:cstheme="majorBidi"/>
        </w:rPr>
        <w:t>Construction experts</w:t>
      </w:r>
      <w:r w:rsidR="00E3234E" w:rsidRPr="00E32653">
        <w:rPr>
          <w:rFonts w:asciiTheme="majorBidi" w:hAnsiTheme="majorBidi" w:cstheme="majorBidi"/>
        </w:rPr>
        <w:t>’</w:t>
      </w:r>
      <w:r w:rsidR="002B4380" w:rsidRPr="00E32653">
        <w:rPr>
          <w:rFonts w:asciiTheme="majorBidi" w:hAnsiTheme="majorBidi" w:cstheme="majorBidi"/>
        </w:rPr>
        <w:t xml:space="preserve"> opinion</w:t>
      </w:r>
      <w:r w:rsidR="00E3234E" w:rsidRPr="00E32653">
        <w:rPr>
          <w:rFonts w:asciiTheme="majorBidi" w:hAnsiTheme="majorBidi" w:cstheme="majorBidi"/>
        </w:rPr>
        <w:t>s</w:t>
      </w:r>
      <w:r w:rsidR="002B4380" w:rsidRPr="00E32653">
        <w:rPr>
          <w:rFonts w:asciiTheme="majorBidi" w:hAnsiTheme="majorBidi" w:cstheme="majorBidi"/>
        </w:rPr>
        <w:t xml:space="preserve"> </w:t>
      </w:r>
      <w:r w:rsidR="00E3234E" w:rsidRPr="00E32653">
        <w:rPr>
          <w:rFonts w:asciiTheme="majorBidi" w:hAnsiTheme="majorBidi" w:cstheme="majorBidi"/>
        </w:rPr>
        <w:t xml:space="preserve">were used </w:t>
      </w:r>
      <w:r w:rsidR="002B4380" w:rsidRPr="00E32653">
        <w:rPr>
          <w:rFonts w:asciiTheme="majorBidi" w:hAnsiTheme="majorBidi" w:cstheme="majorBidi"/>
        </w:rPr>
        <w:t>in</w:t>
      </w:r>
      <w:r w:rsidR="00E3234E" w:rsidRPr="00E32653">
        <w:rPr>
          <w:rFonts w:asciiTheme="majorBidi" w:hAnsiTheme="majorBidi" w:cstheme="majorBidi"/>
        </w:rPr>
        <w:t xml:space="preserve">itially to </w:t>
      </w:r>
      <w:r w:rsidR="002B4380" w:rsidRPr="00E32653">
        <w:rPr>
          <w:rFonts w:asciiTheme="majorBidi" w:hAnsiTheme="majorBidi" w:cstheme="majorBidi"/>
        </w:rPr>
        <w:t>analyze the importance of each criterion</w:t>
      </w:r>
      <w:r w:rsidR="009E3BF1" w:rsidRPr="00E32653">
        <w:rPr>
          <w:rFonts w:asciiTheme="majorBidi" w:hAnsiTheme="majorBidi" w:cstheme="majorBidi"/>
        </w:rPr>
        <w:t>.</w:t>
      </w:r>
      <w:r w:rsidR="004822E1" w:rsidRPr="00E32653">
        <w:rPr>
          <w:rFonts w:asciiTheme="majorBidi" w:hAnsiTheme="majorBidi" w:cstheme="majorBidi"/>
        </w:rPr>
        <w:t xml:space="preserve"> Generally, decisi</w:t>
      </w:r>
      <w:r w:rsidR="00174FFB" w:rsidRPr="00E32653">
        <w:rPr>
          <w:rFonts w:asciiTheme="majorBidi" w:hAnsiTheme="majorBidi" w:cstheme="majorBidi"/>
        </w:rPr>
        <w:t>on-</w:t>
      </w:r>
      <w:r w:rsidR="004822E1" w:rsidRPr="00E32653">
        <w:rPr>
          <w:rFonts w:asciiTheme="majorBidi" w:hAnsiTheme="majorBidi" w:cstheme="majorBidi"/>
        </w:rPr>
        <w:t>maker</w:t>
      </w:r>
      <w:r w:rsidR="00C62A93" w:rsidRPr="00E32653">
        <w:rPr>
          <w:rFonts w:asciiTheme="majorBidi" w:hAnsiTheme="majorBidi" w:cstheme="majorBidi"/>
        </w:rPr>
        <w:t>s</w:t>
      </w:r>
      <w:r w:rsidR="004822E1" w:rsidRPr="00E32653">
        <w:rPr>
          <w:rFonts w:asciiTheme="majorBidi" w:hAnsiTheme="majorBidi" w:cstheme="majorBidi"/>
        </w:rPr>
        <w:t xml:space="preserve"> </w:t>
      </w:r>
      <w:r w:rsidR="00953B60" w:rsidRPr="00E32653">
        <w:rPr>
          <w:rFonts w:asciiTheme="majorBidi" w:hAnsiTheme="majorBidi" w:cstheme="majorBidi"/>
        </w:rPr>
        <w:t>opt</w:t>
      </w:r>
      <w:r w:rsidR="00E3234E" w:rsidRPr="00E32653">
        <w:rPr>
          <w:rFonts w:asciiTheme="majorBidi" w:hAnsiTheme="majorBidi" w:cstheme="majorBidi"/>
        </w:rPr>
        <w:t>ed for</w:t>
      </w:r>
      <w:r w:rsidR="00953B60" w:rsidRPr="00E32653">
        <w:rPr>
          <w:rFonts w:asciiTheme="majorBidi" w:hAnsiTheme="majorBidi" w:cstheme="majorBidi"/>
        </w:rPr>
        <w:t xml:space="preserve"> the most important criteria among the various alternatives. </w:t>
      </w:r>
      <w:r w:rsidR="00E3234E" w:rsidRPr="00E32653">
        <w:rPr>
          <w:rFonts w:asciiTheme="majorBidi" w:hAnsiTheme="majorBidi" w:cstheme="majorBidi"/>
        </w:rPr>
        <w:t>T</w:t>
      </w:r>
      <w:r w:rsidR="00953B60" w:rsidRPr="00E32653">
        <w:rPr>
          <w:rFonts w:asciiTheme="majorBidi" w:hAnsiTheme="majorBidi" w:cstheme="majorBidi"/>
        </w:rPr>
        <w:t>he result</w:t>
      </w:r>
      <w:r w:rsidR="00E3234E" w:rsidRPr="00E32653">
        <w:rPr>
          <w:rFonts w:asciiTheme="majorBidi" w:hAnsiTheme="majorBidi" w:cstheme="majorBidi"/>
        </w:rPr>
        <w:t>s</w:t>
      </w:r>
      <w:r w:rsidR="00953B60" w:rsidRPr="00E32653">
        <w:rPr>
          <w:rFonts w:asciiTheme="majorBidi" w:hAnsiTheme="majorBidi" w:cstheme="majorBidi"/>
        </w:rPr>
        <w:t xml:space="preserve"> of </w:t>
      </w:r>
      <w:r w:rsidR="00E3234E" w:rsidRPr="00E32653">
        <w:rPr>
          <w:rFonts w:asciiTheme="majorBidi" w:hAnsiTheme="majorBidi" w:cstheme="majorBidi"/>
        </w:rPr>
        <w:t xml:space="preserve">this exercise were </w:t>
      </w:r>
      <w:r w:rsidR="00953B60" w:rsidRPr="00E32653">
        <w:rPr>
          <w:rFonts w:asciiTheme="majorBidi" w:hAnsiTheme="majorBidi" w:cstheme="majorBidi"/>
        </w:rPr>
        <w:t>rank</w:t>
      </w:r>
      <w:r w:rsidR="00E3234E" w:rsidRPr="00E32653">
        <w:rPr>
          <w:rFonts w:asciiTheme="majorBidi" w:hAnsiTheme="majorBidi" w:cstheme="majorBidi"/>
        </w:rPr>
        <w:t>ings of the</w:t>
      </w:r>
      <w:r w:rsidR="00953B60" w:rsidRPr="00E32653">
        <w:rPr>
          <w:rFonts w:asciiTheme="majorBidi" w:hAnsiTheme="majorBidi" w:cstheme="majorBidi"/>
        </w:rPr>
        <w:t xml:space="preserve"> eight criteria based on their importance a</w:t>
      </w:r>
      <w:r w:rsidR="00E3234E" w:rsidRPr="00E32653">
        <w:rPr>
          <w:rFonts w:asciiTheme="majorBidi" w:hAnsiTheme="majorBidi" w:cstheme="majorBidi"/>
        </w:rPr>
        <w:t xml:space="preserve">s </w:t>
      </w:r>
      <w:r w:rsidR="00953B60" w:rsidRPr="00E32653">
        <w:rPr>
          <w:rFonts w:asciiTheme="majorBidi" w:hAnsiTheme="majorBidi" w:cstheme="majorBidi"/>
        </w:rPr>
        <w:t xml:space="preserve">shown in table 5. </w:t>
      </w:r>
      <w:r w:rsidR="000E357F" w:rsidRPr="00E32653">
        <w:rPr>
          <w:rFonts w:asciiTheme="majorBidi" w:hAnsiTheme="majorBidi" w:cstheme="majorBidi"/>
        </w:rPr>
        <w:t xml:space="preserve">Six experts were selected for this study, all of whom have between 7 and 22 years of experience in architecture, civil engineering  and construction. </w:t>
      </w:r>
      <w:r w:rsidR="00C41013" w:rsidRPr="00E32653">
        <w:rPr>
          <w:rFonts w:asciiTheme="majorBidi" w:hAnsiTheme="majorBidi" w:cstheme="majorBidi"/>
        </w:rPr>
        <w:t>The</w:t>
      </w:r>
      <w:r w:rsidR="000E357F" w:rsidRPr="00E32653">
        <w:rPr>
          <w:rFonts w:asciiTheme="majorBidi" w:hAnsiTheme="majorBidi" w:cstheme="majorBidi"/>
        </w:rPr>
        <w:t xml:space="preserve"> experts </w:t>
      </w:r>
      <w:r w:rsidR="00C41013" w:rsidRPr="00E32653">
        <w:rPr>
          <w:rFonts w:asciiTheme="majorBidi" w:hAnsiTheme="majorBidi" w:cstheme="majorBidi"/>
        </w:rPr>
        <w:t xml:space="preserve">were asked </w:t>
      </w:r>
      <w:r w:rsidR="000E357F" w:rsidRPr="00E32653">
        <w:rPr>
          <w:rFonts w:asciiTheme="majorBidi" w:hAnsiTheme="majorBidi" w:cstheme="majorBidi"/>
        </w:rPr>
        <w:t>to compar</w:t>
      </w:r>
      <w:r w:rsidR="00C41013" w:rsidRPr="00E32653">
        <w:rPr>
          <w:rFonts w:asciiTheme="majorBidi" w:hAnsiTheme="majorBidi" w:cstheme="majorBidi"/>
        </w:rPr>
        <w:t>e</w:t>
      </w:r>
      <w:r w:rsidR="000E357F" w:rsidRPr="00E32653">
        <w:rPr>
          <w:rFonts w:asciiTheme="majorBidi" w:hAnsiTheme="majorBidi" w:cstheme="majorBidi"/>
        </w:rPr>
        <w:t xml:space="preserve"> the eight criteria to </w:t>
      </w:r>
      <w:r w:rsidR="00C41013" w:rsidRPr="00E32653">
        <w:rPr>
          <w:rFonts w:asciiTheme="majorBidi" w:hAnsiTheme="majorBidi" w:cstheme="majorBidi"/>
        </w:rPr>
        <w:t xml:space="preserve">identify </w:t>
      </w:r>
      <w:r w:rsidR="000E357F" w:rsidRPr="00E32653">
        <w:rPr>
          <w:rFonts w:asciiTheme="majorBidi" w:hAnsiTheme="majorBidi" w:cstheme="majorBidi"/>
        </w:rPr>
        <w:t>their contribution to the decision-making process. </w:t>
      </w:r>
      <w:r w:rsidR="00D60143" w:rsidRPr="00E32653">
        <w:rPr>
          <w:rFonts w:asciiTheme="majorBidi" w:hAnsiTheme="majorBidi" w:cstheme="majorBidi"/>
        </w:rPr>
        <w:t>The higher value represent</w:t>
      </w:r>
      <w:r w:rsidR="00C41013" w:rsidRPr="00E32653">
        <w:rPr>
          <w:rFonts w:asciiTheme="majorBidi" w:hAnsiTheme="majorBidi" w:cstheme="majorBidi"/>
        </w:rPr>
        <w:t>s</w:t>
      </w:r>
      <w:r w:rsidR="00D60143" w:rsidRPr="00E32653">
        <w:rPr>
          <w:rFonts w:asciiTheme="majorBidi" w:hAnsiTheme="majorBidi" w:cstheme="majorBidi"/>
        </w:rPr>
        <w:t xml:space="preserve"> the priority for that </w:t>
      </w:r>
      <w:r w:rsidR="00C41013" w:rsidRPr="00E32653">
        <w:rPr>
          <w:rFonts w:asciiTheme="majorBidi" w:hAnsiTheme="majorBidi" w:cstheme="majorBidi"/>
        </w:rPr>
        <w:t>criterion</w:t>
      </w:r>
      <w:r w:rsidR="00D60143" w:rsidRPr="00E32653">
        <w:rPr>
          <w:rFonts w:asciiTheme="majorBidi" w:hAnsiTheme="majorBidi" w:cstheme="majorBidi"/>
        </w:rPr>
        <w:t>.</w:t>
      </w:r>
    </w:p>
    <w:p w14:paraId="6B34B12E" w14:textId="72EEAB91" w:rsidR="002B58C5" w:rsidRPr="00E32653" w:rsidRDefault="0078271C" w:rsidP="12C241C3">
      <w:pPr>
        <w:spacing w:line="276" w:lineRule="auto"/>
        <w:ind w:firstLine="720"/>
        <w:jc w:val="both"/>
        <w:rPr>
          <w:rFonts w:asciiTheme="majorBidi" w:hAnsiTheme="majorBidi" w:cstheme="majorBidi"/>
        </w:rPr>
      </w:pPr>
      <w:r w:rsidRPr="00E32653">
        <w:rPr>
          <w:rFonts w:asciiTheme="majorBidi" w:hAnsiTheme="majorBidi" w:cstheme="majorBidi"/>
        </w:rPr>
        <w:lastRenderedPageBreak/>
        <w:t xml:space="preserve">Based on the </w:t>
      </w:r>
      <w:r w:rsidR="00AE27D7" w:rsidRPr="00E32653">
        <w:rPr>
          <w:rFonts w:asciiTheme="majorBidi" w:hAnsiTheme="majorBidi" w:cstheme="majorBidi"/>
        </w:rPr>
        <w:t>opinion</w:t>
      </w:r>
      <w:r w:rsidR="00F555A3" w:rsidRPr="00E32653">
        <w:rPr>
          <w:rFonts w:asciiTheme="majorBidi" w:hAnsiTheme="majorBidi" w:cstheme="majorBidi"/>
        </w:rPr>
        <w:t>s</w:t>
      </w:r>
      <w:r w:rsidR="00AE27D7" w:rsidRPr="00E32653">
        <w:rPr>
          <w:rFonts w:asciiTheme="majorBidi" w:hAnsiTheme="majorBidi" w:cstheme="majorBidi"/>
        </w:rPr>
        <w:t xml:space="preserve"> of </w:t>
      </w:r>
      <w:r w:rsidRPr="00E32653">
        <w:rPr>
          <w:rFonts w:asciiTheme="majorBidi" w:hAnsiTheme="majorBidi" w:cstheme="majorBidi"/>
        </w:rPr>
        <w:t>c</w:t>
      </w:r>
      <w:r w:rsidR="00AE27D7" w:rsidRPr="00E32653">
        <w:rPr>
          <w:rFonts w:asciiTheme="majorBidi" w:hAnsiTheme="majorBidi" w:cstheme="majorBidi"/>
        </w:rPr>
        <w:t>onstruction managers and designers</w:t>
      </w:r>
      <w:r w:rsidR="00444E67" w:rsidRPr="00E32653">
        <w:rPr>
          <w:rFonts w:asciiTheme="majorBidi" w:hAnsiTheme="majorBidi" w:cstheme="majorBidi"/>
        </w:rPr>
        <w:t xml:space="preserve">, cost should be </w:t>
      </w:r>
      <w:r w:rsidR="00F555A3" w:rsidRPr="00E32653">
        <w:rPr>
          <w:rFonts w:asciiTheme="majorBidi" w:hAnsiTheme="majorBidi" w:cstheme="majorBidi"/>
        </w:rPr>
        <w:t xml:space="preserve">the </w:t>
      </w:r>
      <w:r w:rsidRPr="00E32653">
        <w:rPr>
          <w:rFonts w:asciiTheme="majorBidi" w:hAnsiTheme="majorBidi" w:cstheme="majorBidi"/>
        </w:rPr>
        <w:t xml:space="preserve">first </w:t>
      </w:r>
      <w:r w:rsidR="00444E67" w:rsidRPr="00E32653">
        <w:rPr>
          <w:rFonts w:asciiTheme="majorBidi" w:hAnsiTheme="majorBidi" w:cstheme="majorBidi"/>
        </w:rPr>
        <w:t xml:space="preserve">priority </w:t>
      </w:r>
      <w:r w:rsidR="00F555A3" w:rsidRPr="00E32653">
        <w:rPr>
          <w:rFonts w:asciiTheme="majorBidi" w:hAnsiTheme="majorBidi" w:cstheme="majorBidi"/>
        </w:rPr>
        <w:t xml:space="preserve">when </w:t>
      </w:r>
      <w:r w:rsidR="00444E67" w:rsidRPr="00E32653">
        <w:rPr>
          <w:rFonts w:asciiTheme="majorBidi" w:hAnsiTheme="majorBidi" w:cstheme="majorBidi"/>
        </w:rPr>
        <w:t>choosing</w:t>
      </w:r>
      <w:r w:rsidR="00007283" w:rsidRPr="00E32653">
        <w:rPr>
          <w:rFonts w:asciiTheme="majorBidi" w:hAnsiTheme="majorBidi" w:cstheme="majorBidi"/>
        </w:rPr>
        <w:t xml:space="preserve"> mass</w:t>
      </w:r>
      <w:r w:rsidR="00444E67" w:rsidRPr="00E32653">
        <w:rPr>
          <w:rFonts w:asciiTheme="majorBidi" w:hAnsiTheme="majorBidi" w:cstheme="majorBidi"/>
        </w:rPr>
        <w:t xml:space="preserve"> </w:t>
      </w:r>
      <w:r w:rsidR="00007283" w:rsidRPr="00E32653">
        <w:rPr>
          <w:rFonts w:asciiTheme="majorBidi" w:hAnsiTheme="majorBidi" w:cstheme="majorBidi"/>
        </w:rPr>
        <w:t>timber</w:t>
      </w:r>
      <w:r w:rsidR="00FD7026" w:rsidRPr="00E32653">
        <w:rPr>
          <w:rFonts w:asciiTheme="majorBidi" w:hAnsiTheme="majorBidi" w:cstheme="majorBidi"/>
        </w:rPr>
        <w:t xml:space="preserve"> materials</w:t>
      </w:r>
      <w:r w:rsidR="62D5311D" w:rsidRPr="00E32653">
        <w:rPr>
          <w:rFonts w:asciiTheme="majorBidi" w:hAnsiTheme="majorBidi" w:cstheme="majorBidi"/>
        </w:rPr>
        <w:t>.</w:t>
      </w:r>
      <w:r w:rsidR="008E5F98" w:rsidRPr="00E32653">
        <w:rPr>
          <w:rFonts w:asciiTheme="majorBidi" w:hAnsiTheme="majorBidi" w:cstheme="majorBidi"/>
        </w:rPr>
        <w:t xml:space="preserve"> </w:t>
      </w:r>
      <w:r w:rsidR="00F94A27" w:rsidRPr="00E32653">
        <w:rPr>
          <w:rFonts w:asciiTheme="majorBidi" w:hAnsiTheme="majorBidi" w:cstheme="majorBidi"/>
        </w:rPr>
        <w:t>GWP</w:t>
      </w:r>
      <w:r w:rsidR="008E5F98" w:rsidRPr="00E32653">
        <w:rPr>
          <w:rFonts w:asciiTheme="majorBidi" w:hAnsiTheme="majorBidi" w:cstheme="majorBidi"/>
        </w:rPr>
        <w:t xml:space="preserve"> emissions and embodied energy </w:t>
      </w:r>
      <w:r w:rsidR="00F555A3" w:rsidRPr="00E32653">
        <w:rPr>
          <w:rFonts w:asciiTheme="majorBidi" w:hAnsiTheme="majorBidi" w:cstheme="majorBidi"/>
        </w:rPr>
        <w:t xml:space="preserve">were </w:t>
      </w:r>
      <w:r w:rsidR="00AE27D7" w:rsidRPr="00E32653">
        <w:rPr>
          <w:rFonts w:asciiTheme="majorBidi" w:hAnsiTheme="majorBidi" w:cstheme="majorBidi"/>
        </w:rPr>
        <w:t xml:space="preserve">the second and third, respectively. </w:t>
      </w:r>
      <w:r w:rsidR="00117A96" w:rsidRPr="00E32653">
        <w:rPr>
          <w:rFonts w:asciiTheme="majorBidi" w:hAnsiTheme="majorBidi" w:cstheme="majorBidi"/>
        </w:rPr>
        <w:t xml:space="preserve">However, from the fourth choices the criteria priorities  change </w:t>
      </w:r>
      <w:r w:rsidR="4227A3B6" w:rsidRPr="00E32653">
        <w:rPr>
          <w:rFonts w:asciiTheme="majorBidi" w:hAnsiTheme="majorBidi" w:cstheme="majorBidi"/>
        </w:rPr>
        <w:t>for</w:t>
      </w:r>
      <w:r w:rsidR="00117A96" w:rsidRPr="00E32653">
        <w:rPr>
          <w:rFonts w:asciiTheme="majorBidi" w:hAnsiTheme="majorBidi" w:cstheme="majorBidi"/>
        </w:rPr>
        <w:t xml:space="preserve"> this group. For example, construction managers emphasized that </w:t>
      </w:r>
      <w:r w:rsidR="000E357F" w:rsidRPr="00E32653">
        <w:rPr>
          <w:rFonts w:asciiTheme="majorBidi" w:hAnsiTheme="majorBidi" w:cstheme="majorBidi"/>
        </w:rPr>
        <w:t>ozone layer depletion</w:t>
      </w:r>
      <w:r w:rsidR="00117A96" w:rsidRPr="00E32653">
        <w:rPr>
          <w:rFonts w:asciiTheme="majorBidi" w:hAnsiTheme="majorBidi" w:cstheme="majorBidi"/>
        </w:rPr>
        <w:t xml:space="preserve"> is the next priority, while designers chose LU. </w:t>
      </w:r>
      <w:r w:rsidR="00A561B2" w:rsidRPr="00E32653">
        <w:rPr>
          <w:rFonts w:asciiTheme="majorBidi" w:hAnsiTheme="majorBidi" w:cstheme="majorBidi"/>
        </w:rPr>
        <w:t xml:space="preserve">Unlike these two groups, </w:t>
      </w:r>
      <w:r w:rsidR="00600894" w:rsidRPr="00E32653">
        <w:rPr>
          <w:rFonts w:asciiTheme="majorBidi" w:hAnsiTheme="majorBidi" w:cstheme="majorBidi"/>
        </w:rPr>
        <w:t>the</w:t>
      </w:r>
      <w:r w:rsidR="00567BEC" w:rsidRPr="00E32653">
        <w:rPr>
          <w:rFonts w:asciiTheme="majorBidi" w:hAnsiTheme="majorBidi" w:cstheme="majorBidi"/>
        </w:rPr>
        <w:t xml:space="preserve"> </w:t>
      </w:r>
      <w:r w:rsidR="00A561B2" w:rsidRPr="00E32653">
        <w:rPr>
          <w:rFonts w:asciiTheme="majorBidi" w:hAnsiTheme="majorBidi" w:cstheme="majorBidi"/>
        </w:rPr>
        <w:t xml:space="preserve">stakeholders </w:t>
      </w:r>
      <w:r w:rsidR="00567BEC" w:rsidRPr="00E32653">
        <w:rPr>
          <w:rFonts w:asciiTheme="majorBidi" w:hAnsiTheme="majorBidi" w:cstheme="majorBidi"/>
        </w:rPr>
        <w:t>strongly believe</w:t>
      </w:r>
      <w:r w:rsidR="00F555A3" w:rsidRPr="00E32653">
        <w:rPr>
          <w:rFonts w:asciiTheme="majorBidi" w:hAnsiTheme="majorBidi" w:cstheme="majorBidi"/>
        </w:rPr>
        <w:t>d</w:t>
      </w:r>
      <w:r w:rsidR="00567BEC" w:rsidRPr="00E32653">
        <w:rPr>
          <w:rFonts w:asciiTheme="majorBidi" w:hAnsiTheme="majorBidi" w:cstheme="majorBidi"/>
        </w:rPr>
        <w:t xml:space="preserve"> that </w:t>
      </w:r>
      <w:r w:rsidR="00A561B2" w:rsidRPr="00E32653">
        <w:rPr>
          <w:rFonts w:asciiTheme="majorBidi" w:hAnsiTheme="majorBidi" w:cstheme="majorBidi"/>
        </w:rPr>
        <w:t>the LU</w:t>
      </w:r>
      <w:r w:rsidR="00567BEC" w:rsidRPr="00E32653">
        <w:rPr>
          <w:rFonts w:asciiTheme="majorBidi" w:hAnsiTheme="majorBidi" w:cstheme="majorBidi"/>
        </w:rPr>
        <w:t xml:space="preserve">, </w:t>
      </w:r>
      <w:r w:rsidR="00F94A27" w:rsidRPr="00E32653">
        <w:rPr>
          <w:rFonts w:asciiTheme="majorBidi" w:hAnsiTheme="majorBidi" w:cstheme="majorBidi"/>
        </w:rPr>
        <w:t>GWP</w:t>
      </w:r>
      <w:r w:rsidR="00A561B2" w:rsidRPr="00E32653">
        <w:rPr>
          <w:rFonts w:asciiTheme="majorBidi" w:hAnsiTheme="majorBidi" w:cstheme="majorBidi"/>
        </w:rPr>
        <w:t>,</w:t>
      </w:r>
      <w:r w:rsidR="00567BEC" w:rsidRPr="00E32653">
        <w:rPr>
          <w:rFonts w:asciiTheme="majorBidi" w:hAnsiTheme="majorBidi" w:cstheme="majorBidi"/>
        </w:rPr>
        <w:t xml:space="preserve"> and fossil depletion should be considered as the highest priority after cost.</w:t>
      </w:r>
      <w:r w:rsidR="00600894" w:rsidRPr="00E32653">
        <w:rPr>
          <w:rFonts w:asciiTheme="majorBidi" w:hAnsiTheme="majorBidi" w:cstheme="majorBidi"/>
        </w:rPr>
        <w:t xml:space="preserve"> </w:t>
      </w:r>
      <w:r w:rsidR="002B58C5" w:rsidRPr="00E32653">
        <w:rPr>
          <w:rFonts w:asciiTheme="majorBidi" w:hAnsiTheme="majorBidi" w:cstheme="majorBidi"/>
        </w:rPr>
        <w:t xml:space="preserve">The results of which are shown in table 5. </w:t>
      </w:r>
      <w:r w:rsidR="002947F4" w:rsidRPr="00E32653">
        <w:rPr>
          <w:rFonts w:asciiTheme="majorBidi" w:hAnsiTheme="majorBidi" w:cstheme="majorBidi"/>
        </w:rPr>
        <w:t>Based on</w:t>
      </w:r>
      <w:r w:rsidR="002B58C5" w:rsidRPr="00E32653">
        <w:rPr>
          <w:rFonts w:asciiTheme="majorBidi" w:hAnsiTheme="majorBidi" w:cstheme="majorBidi"/>
        </w:rPr>
        <w:t xml:space="preserve"> the</w:t>
      </w:r>
      <w:r w:rsidR="002947F4" w:rsidRPr="00E32653">
        <w:rPr>
          <w:rFonts w:asciiTheme="majorBidi" w:hAnsiTheme="majorBidi" w:cstheme="majorBidi"/>
        </w:rPr>
        <w:t>se</w:t>
      </w:r>
      <w:r w:rsidR="002B58C5" w:rsidRPr="00E32653">
        <w:rPr>
          <w:rFonts w:asciiTheme="majorBidi" w:hAnsiTheme="majorBidi" w:cstheme="majorBidi"/>
        </w:rPr>
        <w:t xml:space="preserve"> results, the criteria </w:t>
      </w:r>
      <w:r w:rsidR="002947F4" w:rsidRPr="00E32653">
        <w:rPr>
          <w:rFonts w:asciiTheme="majorBidi" w:hAnsiTheme="majorBidi" w:cstheme="majorBidi"/>
        </w:rPr>
        <w:t xml:space="preserve">were </w:t>
      </w:r>
      <w:r w:rsidR="002B58C5" w:rsidRPr="00E32653">
        <w:rPr>
          <w:rFonts w:asciiTheme="majorBidi" w:hAnsiTheme="majorBidi" w:cstheme="majorBidi"/>
        </w:rPr>
        <w:t>prioritized as follows: LCC  (0.344), GWP (0.17), embodied energy (0.14), land use (0.098), fossil depletion (0.088), ozone layer depletion (0.067), human-toxicity</w:t>
      </w:r>
      <w:r w:rsidR="2B26BF1B" w:rsidRPr="00E32653">
        <w:rPr>
          <w:rFonts w:asciiTheme="majorBidi" w:hAnsiTheme="majorBidi" w:cstheme="majorBidi"/>
        </w:rPr>
        <w:t xml:space="preserve"> </w:t>
      </w:r>
      <w:r w:rsidR="002B58C5" w:rsidRPr="00E32653">
        <w:rPr>
          <w:rFonts w:asciiTheme="majorBidi" w:hAnsiTheme="majorBidi" w:cstheme="majorBidi"/>
        </w:rPr>
        <w:t>(0.054), and, finally, terrestrial acidification (0.039).</w:t>
      </w:r>
    </w:p>
    <w:p w14:paraId="5D89DF12" w14:textId="24F41442" w:rsidR="00FA6D12" w:rsidRPr="00E32653" w:rsidRDefault="00BE71CB" w:rsidP="002B4380">
      <w:pPr>
        <w:pStyle w:val="ListParagraph"/>
        <w:spacing w:after="0"/>
        <w:rPr>
          <w:rFonts w:asciiTheme="majorBidi" w:hAnsiTheme="majorBidi" w:cstheme="majorBidi"/>
          <w:sz w:val="20"/>
          <w:szCs w:val="20"/>
        </w:rPr>
      </w:pPr>
      <w:r w:rsidRPr="00E32653">
        <w:rPr>
          <w:rFonts w:asciiTheme="majorBidi" w:hAnsiTheme="majorBidi" w:cstheme="majorBidi"/>
          <w:sz w:val="20"/>
          <w:szCs w:val="20"/>
        </w:rPr>
        <w:t>Table 5</w:t>
      </w:r>
      <w:r w:rsidR="00785914" w:rsidRPr="00E32653">
        <w:rPr>
          <w:rFonts w:asciiTheme="majorBidi" w:hAnsiTheme="majorBidi" w:cstheme="majorBidi"/>
          <w:sz w:val="20"/>
          <w:szCs w:val="20"/>
        </w:rPr>
        <w:t>.</w:t>
      </w:r>
      <w:r w:rsidR="00FA6D12" w:rsidRPr="00E32653">
        <w:rPr>
          <w:rFonts w:asciiTheme="majorBidi" w:hAnsiTheme="majorBidi" w:cstheme="majorBidi"/>
          <w:sz w:val="20"/>
          <w:szCs w:val="20"/>
        </w:rPr>
        <w:t xml:space="preserve"> The </w:t>
      </w:r>
      <w:r w:rsidR="002B4380" w:rsidRPr="00E32653">
        <w:rPr>
          <w:rFonts w:asciiTheme="majorBidi" w:hAnsiTheme="majorBidi" w:cstheme="majorBidi"/>
          <w:sz w:val="20"/>
          <w:szCs w:val="20"/>
        </w:rPr>
        <w:t>generalized survey</w:t>
      </w:r>
      <w:r w:rsidR="00FA6D12" w:rsidRPr="00E32653">
        <w:rPr>
          <w:rFonts w:asciiTheme="majorBidi" w:hAnsiTheme="majorBidi" w:cstheme="majorBidi"/>
          <w:sz w:val="20"/>
          <w:szCs w:val="20"/>
        </w:rPr>
        <w:t xml:space="preserve"> </w:t>
      </w:r>
      <w:r w:rsidR="002B4380" w:rsidRPr="00E32653">
        <w:rPr>
          <w:rFonts w:asciiTheme="majorBidi" w:hAnsiTheme="majorBidi" w:cstheme="majorBidi"/>
          <w:sz w:val="20"/>
          <w:szCs w:val="20"/>
        </w:rPr>
        <w:t>result, W= Weighting and P= Priority</w:t>
      </w:r>
    </w:p>
    <w:tbl>
      <w:tblPr>
        <w:tblStyle w:val="TableGrid"/>
        <w:tblW w:w="0" w:type="auto"/>
        <w:jc w:val="center"/>
        <w:tblLook w:val="04A0" w:firstRow="1" w:lastRow="0" w:firstColumn="1" w:lastColumn="0" w:noHBand="0" w:noVBand="1"/>
      </w:tblPr>
      <w:tblGrid>
        <w:gridCol w:w="1971"/>
        <w:gridCol w:w="1227"/>
        <w:gridCol w:w="543"/>
        <w:gridCol w:w="1063"/>
        <w:gridCol w:w="417"/>
        <w:gridCol w:w="824"/>
        <w:gridCol w:w="880"/>
        <w:gridCol w:w="621"/>
        <w:gridCol w:w="1049"/>
      </w:tblGrid>
      <w:tr w:rsidR="00E32653" w:rsidRPr="00E32653" w14:paraId="14648A07" w14:textId="77777777" w:rsidTr="00004835">
        <w:trPr>
          <w:trHeight w:val="287"/>
          <w:jc w:val="center"/>
        </w:trPr>
        <w:tc>
          <w:tcPr>
            <w:tcW w:w="0" w:type="auto"/>
            <w:vMerge w:val="restart"/>
            <w:shd w:val="clear" w:color="auto" w:fill="E7E6E6" w:themeFill="background2"/>
            <w:vAlign w:val="center"/>
          </w:tcPr>
          <w:p w14:paraId="0D3F92E7" w14:textId="77777777" w:rsidR="000E357F" w:rsidRPr="00E32653" w:rsidRDefault="000E357F" w:rsidP="007F3AA5">
            <w:pPr>
              <w:autoSpaceDE w:val="0"/>
              <w:autoSpaceDN w:val="0"/>
              <w:adjustRightInd w:val="0"/>
              <w:jc w:val="center"/>
              <w:rPr>
                <w:rFonts w:asciiTheme="majorBidi" w:hAnsiTheme="majorBidi" w:cstheme="majorBidi"/>
                <w:b/>
                <w:bCs/>
                <w:i/>
                <w:iCs/>
                <w:sz w:val="16"/>
                <w:szCs w:val="16"/>
              </w:rPr>
            </w:pPr>
            <w:r w:rsidRPr="00E32653">
              <w:rPr>
                <w:rFonts w:asciiTheme="majorBidi" w:hAnsiTheme="majorBidi" w:cstheme="majorBidi"/>
                <w:b/>
                <w:bCs/>
                <w:i/>
                <w:iCs/>
                <w:sz w:val="16"/>
                <w:szCs w:val="16"/>
              </w:rPr>
              <w:t>Parameters</w:t>
            </w:r>
          </w:p>
        </w:tc>
        <w:tc>
          <w:tcPr>
            <w:tcW w:w="1770" w:type="dxa"/>
            <w:gridSpan w:val="2"/>
            <w:shd w:val="clear" w:color="auto" w:fill="E7E6E6" w:themeFill="background2"/>
            <w:vAlign w:val="center"/>
          </w:tcPr>
          <w:p w14:paraId="5AF367D5" w14:textId="46B799EA" w:rsidR="000E357F" w:rsidRPr="00E32653" w:rsidRDefault="000E357F" w:rsidP="007F3AA5">
            <w:pPr>
              <w:jc w:val="center"/>
              <w:rPr>
                <w:rFonts w:asciiTheme="majorBidi" w:hAnsiTheme="majorBidi" w:cstheme="majorBidi"/>
                <w:b/>
                <w:bCs/>
                <w:i/>
                <w:iCs/>
                <w:sz w:val="16"/>
                <w:szCs w:val="16"/>
              </w:rPr>
            </w:pPr>
            <w:r w:rsidRPr="00E32653">
              <w:rPr>
                <w:rFonts w:asciiTheme="majorBidi" w:hAnsiTheme="majorBidi" w:cstheme="majorBidi"/>
                <w:b/>
                <w:bCs/>
                <w:i/>
                <w:iCs/>
                <w:sz w:val="16"/>
                <w:szCs w:val="16"/>
              </w:rPr>
              <w:t>Construction managers</w:t>
            </w:r>
          </w:p>
        </w:tc>
        <w:tc>
          <w:tcPr>
            <w:tcW w:w="1480" w:type="dxa"/>
            <w:gridSpan w:val="2"/>
            <w:shd w:val="clear" w:color="auto" w:fill="E7E6E6" w:themeFill="background2"/>
            <w:vAlign w:val="center"/>
          </w:tcPr>
          <w:p w14:paraId="34AD69D7" w14:textId="4E3739A1" w:rsidR="000E357F" w:rsidRPr="00E32653" w:rsidRDefault="000E357F" w:rsidP="007F3AA5">
            <w:pPr>
              <w:jc w:val="center"/>
              <w:rPr>
                <w:rFonts w:asciiTheme="majorBidi" w:hAnsiTheme="majorBidi" w:cstheme="majorBidi"/>
                <w:b/>
                <w:bCs/>
                <w:i/>
                <w:iCs/>
                <w:sz w:val="16"/>
                <w:szCs w:val="16"/>
              </w:rPr>
            </w:pPr>
            <w:r w:rsidRPr="00E32653">
              <w:rPr>
                <w:rFonts w:asciiTheme="majorBidi" w:hAnsiTheme="majorBidi" w:cstheme="majorBidi"/>
                <w:b/>
                <w:bCs/>
                <w:i/>
                <w:iCs/>
                <w:sz w:val="16"/>
                <w:szCs w:val="16"/>
              </w:rPr>
              <w:t>Designers</w:t>
            </w:r>
          </w:p>
        </w:tc>
        <w:tc>
          <w:tcPr>
            <w:tcW w:w="1704" w:type="dxa"/>
            <w:gridSpan w:val="2"/>
            <w:shd w:val="clear" w:color="auto" w:fill="E7E6E6" w:themeFill="background2"/>
            <w:vAlign w:val="center"/>
          </w:tcPr>
          <w:p w14:paraId="7B8E9FCF" w14:textId="7B150437" w:rsidR="000E357F" w:rsidRPr="00E32653" w:rsidRDefault="000E357F" w:rsidP="007F3AA5">
            <w:pPr>
              <w:jc w:val="center"/>
              <w:rPr>
                <w:rFonts w:asciiTheme="majorBidi" w:hAnsiTheme="majorBidi" w:cstheme="majorBidi"/>
                <w:b/>
                <w:bCs/>
                <w:i/>
                <w:iCs/>
                <w:sz w:val="16"/>
                <w:szCs w:val="16"/>
              </w:rPr>
            </w:pPr>
            <w:r w:rsidRPr="00E32653">
              <w:rPr>
                <w:rFonts w:asciiTheme="majorBidi" w:hAnsiTheme="majorBidi" w:cstheme="majorBidi"/>
                <w:b/>
                <w:bCs/>
                <w:i/>
                <w:iCs/>
                <w:sz w:val="16"/>
                <w:szCs w:val="16"/>
              </w:rPr>
              <w:t>Stakeholders</w:t>
            </w:r>
          </w:p>
        </w:tc>
        <w:tc>
          <w:tcPr>
            <w:tcW w:w="1440" w:type="dxa"/>
            <w:gridSpan w:val="2"/>
            <w:shd w:val="clear" w:color="auto" w:fill="E7E6E6" w:themeFill="background2"/>
            <w:vAlign w:val="center"/>
          </w:tcPr>
          <w:p w14:paraId="46E32DE5" w14:textId="696FA80B" w:rsidR="000E357F" w:rsidRPr="00E32653" w:rsidRDefault="000E357F" w:rsidP="007F3AA5">
            <w:pPr>
              <w:autoSpaceDE w:val="0"/>
              <w:autoSpaceDN w:val="0"/>
              <w:adjustRightInd w:val="0"/>
              <w:jc w:val="center"/>
              <w:rPr>
                <w:rFonts w:asciiTheme="majorBidi" w:hAnsiTheme="majorBidi" w:cstheme="majorBidi"/>
                <w:b/>
                <w:bCs/>
                <w:i/>
                <w:iCs/>
                <w:sz w:val="16"/>
                <w:szCs w:val="16"/>
              </w:rPr>
            </w:pPr>
            <w:r w:rsidRPr="00E32653">
              <w:rPr>
                <w:rFonts w:asciiTheme="majorBidi" w:hAnsiTheme="majorBidi" w:cstheme="majorBidi"/>
                <w:b/>
                <w:bCs/>
                <w:i/>
                <w:iCs/>
                <w:sz w:val="16"/>
                <w:szCs w:val="16"/>
              </w:rPr>
              <w:t>Total</w:t>
            </w:r>
          </w:p>
        </w:tc>
      </w:tr>
      <w:tr w:rsidR="00E32653" w:rsidRPr="00E32653" w14:paraId="7E7EB56D" w14:textId="77777777" w:rsidTr="00004835">
        <w:trPr>
          <w:trHeight w:val="288"/>
          <w:jc w:val="center"/>
        </w:trPr>
        <w:tc>
          <w:tcPr>
            <w:tcW w:w="0" w:type="auto"/>
            <w:vMerge/>
            <w:vAlign w:val="center"/>
          </w:tcPr>
          <w:p w14:paraId="52745B47" w14:textId="77777777" w:rsidR="002B4380" w:rsidRPr="00E32653" w:rsidRDefault="002B4380" w:rsidP="002B4380">
            <w:pPr>
              <w:autoSpaceDE w:val="0"/>
              <w:autoSpaceDN w:val="0"/>
              <w:adjustRightInd w:val="0"/>
              <w:jc w:val="center"/>
              <w:rPr>
                <w:rFonts w:asciiTheme="majorBidi" w:hAnsiTheme="majorBidi" w:cstheme="majorBidi"/>
                <w:i/>
                <w:iCs/>
                <w:sz w:val="16"/>
                <w:szCs w:val="16"/>
              </w:rPr>
            </w:pPr>
          </w:p>
        </w:tc>
        <w:tc>
          <w:tcPr>
            <w:tcW w:w="0" w:type="auto"/>
            <w:shd w:val="clear" w:color="auto" w:fill="E7E6E6" w:themeFill="background2"/>
            <w:vAlign w:val="center"/>
          </w:tcPr>
          <w:p w14:paraId="54DEA030" w14:textId="6559795A"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W</w:t>
            </w:r>
          </w:p>
        </w:tc>
        <w:tc>
          <w:tcPr>
            <w:tcW w:w="0" w:type="auto"/>
            <w:shd w:val="clear" w:color="auto" w:fill="E7E6E6" w:themeFill="background2"/>
            <w:vAlign w:val="center"/>
          </w:tcPr>
          <w:p w14:paraId="7BB432C4" w14:textId="068B765A" w:rsidR="002B4380" w:rsidRPr="00E32653" w:rsidRDefault="002B4380" w:rsidP="002B4380">
            <w:pPr>
              <w:rPr>
                <w:rFonts w:asciiTheme="majorBidi" w:hAnsiTheme="majorBidi" w:cstheme="majorBidi"/>
                <w:i/>
                <w:iCs/>
                <w:sz w:val="16"/>
                <w:szCs w:val="16"/>
              </w:rPr>
            </w:pPr>
            <w:r w:rsidRPr="00E32653">
              <w:rPr>
                <w:rFonts w:asciiTheme="majorBidi" w:hAnsiTheme="majorBidi" w:cstheme="majorBidi"/>
                <w:i/>
                <w:iCs/>
                <w:sz w:val="16"/>
                <w:szCs w:val="16"/>
              </w:rPr>
              <w:t>P</w:t>
            </w:r>
          </w:p>
        </w:tc>
        <w:tc>
          <w:tcPr>
            <w:tcW w:w="0" w:type="auto"/>
            <w:shd w:val="clear" w:color="auto" w:fill="E7E6E6" w:themeFill="background2"/>
            <w:vAlign w:val="center"/>
          </w:tcPr>
          <w:p w14:paraId="4B0C8788" w14:textId="3D602322"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W</w:t>
            </w:r>
          </w:p>
        </w:tc>
        <w:tc>
          <w:tcPr>
            <w:tcW w:w="0" w:type="auto"/>
            <w:shd w:val="clear" w:color="auto" w:fill="E7E6E6" w:themeFill="background2"/>
            <w:vAlign w:val="center"/>
          </w:tcPr>
          <w:p w14:paraId="3AB84FD6" w14:textId="62110BE2"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P</w:t>
            </w:r>
          </w:p>
        </w:tc>
        <w:tc>
          <w:tcPr>
            <w:tcW w:w="0" w:type="auto"/>
            <w:shd w:val="clear" w:color="auto" w:fill="E7E6E6" w:themeFill="background2"/>
            <w:vAlign w:val="center"/>
          </w:tcPr>
          <w:p w14:paraId="4BDBA001" w14:textId="74E4359D"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W</w:t>
            </w:r>
          </w:p>
        </w:tc>
        <w:tc>
          <w:tcPr>
            <w:tcW w:w="759" w:type="dxa"/>
            <w:shd w:val="clear" w:color="auto" w:fill="E7E6E6" w:themeFill="background2"/>
            <w:vAlign w:val="center"/>
          </w:tcPr>
          <w:p w14:paraId="43962958" w14:textId="31463763"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P</w:t>
            </w:r>
          </w:p>
        </w:tc>
        <w:tc>
          <w:tcPr>
            <w:tcW w:w="391" w:type="dxa"/>
            <w:shd w:val="clear" w:color="auto" w:fill="E7E6E6" w:themeFill="background2"/>
            <w:vAlign w:val="center"/>
          </w:tcPr>
          <w:p w14:paraId="72BCECC8" w14:textId="22870924" w:rsidR="002B4380" w:rsidRPr="00E32653" w:rsidRDefault="002B4380" w:rsidP="002B4380">
            <w:pPr>
              <w:jc w:val="center"/>
              <w:rPr>
                <w:rFonts w:asciiTheme="majorBidi" w:hAnsiTheme="majorBidi" w:cstheme="majorBidi"/>
                <w:i/>
                <w:iCs/>
                <w:sz w:val="16"/>
                <w:szCs w:val="16"/>
              </w:rPr>
            </w:pPr>
            <w:r w:rsidRPr="00E32653">
              <w:rPr>
                <w:rFonts w:asciiTheme="majorBidi" w:hAnsiTheme="majorBidi" w:cstheme="majorBidi"/>
                <w:i/>
                <w:iCs/>
                <w:sz w:val="16"/>
                <w:szCs w:val="16"/>
              </w:rPr>
              <w:t>W</w:t>
            </w:r>
          </w:p>
        </w:tc>
        <w:tc>
          <w:tcPr>
            <w:tcW w:w="1049" w:type="dxa"/>
            <w:shd w:val="clear" w:color="auto" w:fill="E7E6E6" w:themeFill="background2"/>
            <w:vAlign w:val="center"/>
          </w:tcPr>
          <w:p w14:paraId="54D4B05D" w14:textId="27F23F9A" w:rsidR="002B4380" w:rsidRPr="00E32653" w:rsidRDefault="002B4380" w:rsidP="002B4380">
            <w:pPr>
              <w:rPr>
                <w:rFonts w:asciiTheme="majorBidi" w:hAnsiTheme="majorBidi" w:cstheme="majorBidi"/>
                <w:i/>
                <w:iCs/>
                <w:sz w:val="16"/>
                <w:szCs w:val="16"/>
              </w:rPr>
            </w:pPr>
            <w:r w:rsidRPr="00E32653">
              <w:rPr>
                <w:rFonts w:asciiTheme="majorBidi" w:hAnsiTheme="majorBidi" w:cstheme="majorBidi"/>
                <w:i/>
                <w:iCs/>
                <w:sz w:val="16"/>
                <w:szCs w:val="16"/>
              </w:rPr>
              <w:t>P</w:t>
            </w:r>
          </w:p>
        </w:tc>
      </w:tr>
      <w:tr w:rsidR="00E32653" w:rsidRPr="00E32653" w14:paraId="3D5180A9" w14:textId="77777777" w:rsidTr="00004835">
        <w:trPr>
          <w:jc w:val="center"/>
        </w:trPr>
        <w:tc>
          <w:tcPr>
            <w:tcW w:w="0" w:type="auto"/>
            <w:vAlign w:val="center"/>
          </w:tcPr>
          <w:p w14:paraId="5E03080A" w14:textId="5AA6D2DB" w:rsidR="00310450" w:rsidRPr="00E32653" w:rsidRDefault="002B58C5" w:rsidP="00310450">
            <w:pPr>
              <w:rPr>
                <w:rFonts w:asciiTheme="majorBidi" w:hAnsiTheme="majorBidi" w:cstheme="majorBidi"/>
                <w:i/>
                <w:iCs/>
                <w:sz w:val="18"/>
                <w:szCs w:val="18"/>
              </w:rPr>
            </w:pPr>
            <w:r w:rsidRPr="00E32653">
              <w:rPr>
                <w:rFonts w:asciiTheme="majorBidi" w:hAnsiTheme="majorBidi" w:cstheme="majorBidi"/>
                <w:i/>
                <w:iCs/>
                <w:sz w:val="18"/>
                <w:szCs w:val="18"/>
              </w:rPr>
              <w:t>GWP</w:t>
            </w:r>
          </w:p>
        </w:tc>
        <w:tc>
          <w:tcPr>
            <w:tcW w:w="0" w:type="auto"/>
            <w:vAlign w:val="center"/>
          </w:tcPr>
          <w:p w14:paraId="355841C6"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0.22</w:t>
            </w:r>
          </w:p>
        </w:tc>
        <w:tc>
          <w:tcPr>
            <w:tcW w:w="0" w:type="auto"/>
            <w:vAlign w:val="bottom"/>
          </w:tcPr>
          <w:p w14:paraId="15E0101D"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2</w:t>
            </w:r>
          </w:p>
        </w:tc>
        <w:tc>
          <w:tcPr>
            <w:tcW w:w="0" w:type="auto"/>
            <w:vAlign w:val="center"/>
          </w:tcPr>
          <w:p w14:paraId="4FD6F17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0.2</w:t>
            </w:r>
          </w:p>
        </w:tc>
        <w:tc>
          <w:tcPr>
            <w:tcW w:w="0" w:type="auto"/>
            <w:vAlign w:val="bottom"/>
          </w:tcPr>
          <w:p w14:paraId="03F94BC7"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2</w:t>
            </w:r>
          </w:p>
        </w:tc>
        <w:tc>
          <w:tcPr>
            <w:tcW w:w="0" w:type="auto"/>
            <w:vAlign w:val="center"/>
          </w:tcPr>
          <w:p w14:paraId="0DDCCEF6"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0.11</w:t>
            </w:r>
          </w:p>
        </w:tc>
        <w:tc>
          <w:tcPr>
            <w:tcW w:w="759" w:type="dxa"/>
            <w:vAlign w:val="bottom"/>
          </w:tcPr>
          <w:p w14:paraId="6AFC79A6"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3</w:t>
            </w:r>
          </w:p>
        </w:tc>
        <w:tc>
          <w:tcPr>
            <w:tcW w:w="391" w:type="dxa"/>
            <w:vAlign w:val="center"/>
          </w:tcPr>
          <w:p w14:paraId="72D3BDAD"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0.17</w:t>
            </w:r>
          </w:p>
        </w:tc>
        <w:tc>
          <w:tcPr>
            <w:tcW w:w="1049" w:type="dxa"/>
            <w:vAlign w:val="center"/>
          </w:tcPr>
          <w:p w14:paraId="40209719"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2</w:t>
            </w:r>
          </w:p>
        </w:tc>
      </w:tr>
      <w:tr w:rsidR="00E32653" w:rsidRPr="00E32653" w14:paraId="79797D07" w14:textId="77777777" w:rsidTr="00004835">
        <w:trPr>
          <w:jc w:val="center"/>
        </w:trPr>
        <w:tc>
          <w:tcPr>
            <w:tcW w:w="0" w:type="auto"/>
            <w:vAlign w:val="center"/>
          </w:tcPr>
          <w:p w14:paraId="7AC1A06B" w14:textId="77777777" w:rsidR="00310450" w:rsidRPr="00E32653" w:rsidRDefault="00310450" w:rsidP="00310450">
            <w:pPr>
              <w:rPr>
                <w:rFonts w:asciiTheme="majorBidi" w:hAnsiTheme="majorBidi" w:cstheme="majorBidi"/>
                <w:i/>
                <w:iCs/>
                <w:sz w:val="18"/>
                <w:szCs w:val="18"/>
              </w:rPr>
            </w:pPr>
            <w:r w:rsidRPr="00E32653">
              <w:rPr>
                <w:rFonts w:asciiTheme="majorBidi" w:hAnsiTheme="majorBidi" w:cstheme="majorBidi"/>
                <w:i/>
                <w:iCs/>
                <w:sz w:val="18"/>
                <w:szCs w:val="18"/>
              </w:rPr>
              <w:t>Terrestrial Acidification</w:t>
            </w:r>
          </w:p>
        </w:tc>
        <w:tc>
          <w:tcPr>
            <w:tcW w:w="0" w:type="auto"/>
            <w:vAlign w:val="center"/>
          </w:tcPr>
          <w:p w14:paraId="71341E95"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0.03</w:t>
            </w:r>
          </w:p>
        </w:tc>
        <w:tc>
          <w:tcPr>
            <w:tcW w:w="0" w:type="auto"/>
            <w:vAlign w:val="bottom"/>
          </w:tcPr>
          <w:p w14:paraId="778621C0"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7</w:t>
            </w:r>
          </w:p>
        </w:tc>
        <w:tc>
          <w:tcPr>
            <w:tcW w:w="0" w:type="auto"/>
            <w:vAlign w:val="center"/>
          </w:tcPr>
          <w:p w14:paraId="6FC9CB0B"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0.01</w:t>
            </w:r>
          </w:p>
        </w:tc>
        <w:tc>
          <w:tcPr>
            <w:tcW w:w="0" w:type="auto"/>
            <w:vAlign w:val="bottom"/>
          </w:tcPr>
          <w:p w14:paraId="2B7F4E6C"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8</w:t>
            </w:r>
          </w:p>
        </w:tc>
        <w:tc>
          <w:tcPr>
            <w:tcW w:w="0" w:type="auto"/>
            <w:vAlign w:val="center"/>
          </w:tcPr>
          <w:p w14:paraId="4DF04E97"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0.078</w:t>
            </w:r>
          </w:p>
        </w:tc>
        <w:tc>
          <w:tcPr>
            <w:tcW w:w="759" w:type="dxa"/>
            <w:vAlign w:val="bottom"/>
          </w:tcPr>
          <w:p w14:paraId="1703CA07"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6</w:t>
            </w:r>
          </w:p>
        </w:tc>
        <w:tc>
          <w:tcPr>
            <w:tcW w:w="391" w:type="dxa"/>
            <w:vAlign w:val="center"/>
          </w:tcPr>
          <w:p w14:paraId="076A39DA"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0.039</w:t>
            </w:r>
          </w:p>
        </w:tc>
        <w:tc>
          <w:tcPr>
            <w:tcW w:w="1049" w:type="dxa"/>
            <w:vAlign w:val="center"/>
          </w:tcPr>
          <w:p w14:paraId="113A025E"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8</w:t>
            </w:r>
          </w:p>
        </w:tc>
      </w:tr>
      <w:tr w:rsidR="00E32653" w:rsidRPr="00E32653" w14:paraId="0DEA5D2B" w14:textId="77777777" w:rsidTr="00004835">
        <w:trPr>
          <w:jc w:val="center"/>
        </w:trPr>
        <w:tc>
          <w:tcPr>
            <w:tcW w:w="0" w:type="auto"/>
            <w:vAlign w:val="center"/>
          </w:tcPr>
          <w:p w14:paraId="44BE6E2D"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Fossil Depletion</w:t>
            </w:r>
          </w:p>
        </w:tc>
        <w:tc>
          <w:tcPr>
            <w:tcW w:w="0" w:type="auto"/>
            <w:vAlign w:val="center"/>
          </w:tcPr>
          <w:p w14:paraId="58959F45"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0.09</w:t>
            </w:r>
          </w:p>
        </w:tc>
        <w:tc>
          <w:tcPr>
            <w:tcW w:w="0" w:type="auto"/>
            <w:vAlign w:val="bottom"/>
          </w:tcPr>
          <w:p w14:paraId="7F0BFB9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5</w:t>
            </w:r>
          </w:p>
        </w:tc>
        <w:tc>
          <w:tcPr>
            <w:tcW w:w="0" w:type="auto"/>
            <w:vAlign w:val="center"/>
          </w:tcPr>
          <w:p w14:paraId="09C0EFA3"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0.089</w:t>
            </w:r>
          </w:p>
        </w:tc>
        <w:tc>
          <w:tcPr>
            <w:tcW w:w="0" w:type="auto"/>
            <w:vAlign w:val="bottom"/>
          </w:tcPr>
          <w:p w14:paraId="49B5F0D8"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6</w:t>
            </w:r>
          </w:p>
        </w:tc>
        <w:tc>
          <w:tcPr>
            <w:tcW w:w="0" w:type="auto"/>
            <w:vAlign w:val="center"/>
          </w:tcPr>
          <w:p w14:paraId="63E563E3"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0.086</w:t>
            </w:r>
          </w:p>
        </w:tc>
        <w:tc>
          <w:tcPr>
            <w:tcW w:w="759" w:type="dxa"/>
            <w:vAlign w:val="bottom"/>
          </w:tcPr>
          <w:p w14:paraId="7235D800"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4</w:t>
            </w:r>
          </w:p>
        </w:tc>
        <w:tc>
          <w:tcPr>
            <w:tcW w:w="391" w:type="dxa"/>
            <w:vAlign w:val="center"/>
          </w:tcPr>
          <w:p w14:paraId="16AC5E5B"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0.088</w:t>
            </w:r>
          </w:p>
        </w:tc>
        <w:tc>
          <w:tcPr>
            <w:tcW w:w="1049" w:type="dxa"/>
            <w:vAlign w:val="center"/>
          </w:tcPr>
          <w:p w14:paraId="6DAC8154"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5</w:t>
            </w:r>
          </w:p>
        </w:tc>
      </w:tr>
      <w:tr w:rsidR="00E32653" w:rsidRPr="00E32653" w14:paraId="216174FF" w14:textId="77777777" w:rsidTr="00004835">
        <w:trPr>
          <w:jc w:val="center"/>
        </w:trPr>
        <w:tc>
          <w:tcPr>
            <w:tcW w:w="0" w:type="auto"/>
            <w:vAlign w:val="center"/>
          </w:tcPr>
          <w:p w14:paraId="7304F297"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Human-Toxicity</w:t>
            </w:r>
          </w:p>
        </w:tc>
        <w:tc>
          <w:tcPr>
            <w:tcW w:w="0" w:type="auto"/>
            <w:vAlign w:val="center"/>
          </w:tcPr>
          <w:p w14:paraId="1FDB7EF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0.02</w:t>
            </w:r>
          </w:p>
        </w:tc>
        <w:tc>
          <w:tcPr>
            <w:tcW w:w="0" w:type="auto"/>
            <w:vAlign w:val="bottom"/>
          </w:tcPr>
          <w:p w14:paraId="42A3C518"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8</w:t>
            </w:r>
          </w:p>
        </w:tc>
        <w:tc>
          <w:tcPr>
            <w:tcW w:w="0" w:type="auto"/>
            <w:vAlign w:val="center"/>
          </w:tcPr>
          <w:p w14:paraId="1FCCF5F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0.059</w:t>
            </w:r>
          </w:p>
        </w:tc>
        <w:tc>
          <w:tcPr>
            <w:tcW w:w="0" w:type="auto"/>
            <w:vAlign w:val="bottom"/>
          </w:tcPr>
          <w:p w14:paraId="15060E08"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7</w:t>
            </w:r>
          </w:p>
        </w:tc>
        <w:tc>
          <w:tcPr>
            <w:tcW w:w="0" w:type="auto"/>
            <w:vAlign w:val="center"/>
          </w:tcPr>
          <w:p w14:paraId="24550CF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0.085</w:t>
            </w:r>
          </w:p>
        </w:tc>
        <w:tc>
          <w:tcPr>
            <w:tcW w:w="759" w:type="dxa"/>
            <w:vAlign w:val="bottom"/>
          </w:tcPr>
          <w:p w14:paraId="6DDE50B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5</w:t>
            </w:r>
          </w:p>
        </w:tc>
        <w:tc>
          <w:tcPr>
            <w:tcW w:w="391" w:type="dxa"/>
            <w:vAlign w:val="center"/>
          </w:tcPr>
          <w:p w14:paraId="04CA79A9"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0.054</w:t>
            </w:r>
          </w:p>
        </w:tc>
        <w:tc>
          <w:tcPr>
            <w:tcW w:w="1049" w:type="dxa"/>
            <w:vAlign w:val="center"/>
          </w:tcPr>
          <w:p w14:paraId="66A9F679"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7</w:t>
            </w:r>
          </w:p>
        </w:tc>
      </w:tr>
      <w:tr w:rsidR="00E32653" w:rsidRPr="00E32653" w14:paraId="30BCF8BD" w14:textId="77777777" w:rsidTr="00004835">
        <w:trPr>
          <w:jc w:val="center"/>
        </w:trPr>
        <w:tc>
          <w:tcPr>
            <w:tcW w:w="0" w:type="auto"/>
            <w:vAlign w:val="center"/>
          </w:tcPr>
          <w:p w14:paraId="32D229D6"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Ozone layer depletion</w:t>
            </w:r>
          </w:p>
        </w:tc>
        <w:tc>
          <w:tcPr>
            <w:tcW w:w="0" w:type="auto"/>
            <w:vAlign w:val="center"/>
          </w:tcPr>
          <w:p w14:paraId="439BD05B"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0.098</w:t>
            </w:r>
          </w:p>
        </w:tc>
        <w:tc>
          <w:tcPr>
            <w:tcW w:w="0" w:type="auto"/>
            <w:vAlign w:val="bottom"/>
          </w:tcPr>
          <w:p w14:paraId="4B951630"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4</w:t>
            </w:r>
          </w:p>
        </w:tc>
        <w:tc>
          <w:tcPr>
            <w:tcW w:w="0" w:type="auto"/>
            <w:vAlign w:val="center"/>
          </w:tcPr>
          <w:p w14:paraId="3181153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0.10003</w:t>
            </w:r>
          </w:p>
        </w:tc>
        <w:tc>
          <w:tcPr>
            <w:tcW w:w="0" w:type="auto"/>
            <w:vAlign w:val="bottom"/>
          </w:tcPr>
          <w:p w14:paraId="4016C5E7"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5</w:t>
            </w:r>
          </w:p>
        </w:tc>
        <w:tc>
          <w:tcPr>
            <w:tcW w:w="0" w:type="auto"/>
            <w:vAlign w:val="center"/>
          </w:tcPr>
          <w:p w14:paraId="44B3053C"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0.0056</w:t>
            </w:r>
          </w:p>
        </w:tc>
        <w:tc>
          <w:tcPr>
            <w:tcW w:w="759" w:type="dxa"/>
            <w:vAlign w:val="bottom"/>
          </w:tcPr>
          <w:p w14:paraId="22DCB23B"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8</w:t>
            </w:r>
          </w:p>
        </w:tc>
        <w:tc>
          <w:tcPr>
            <w:tcW w:w="391" w:type="dxa"/>
            <w:vAlign w:val="center"/>
          </w:tcPr>
          <w:p w14:paraId="07AE3656"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0.067</w:t>
            </w:r>
          </w:p>
        </w:tc>
        <w:tc>
          <w:tcPr>
            <w:tcW w:w="1049" w:type="dxa"/>
            <w:vAlign w:val="center"/>
          </w:tcPr>
          <w:p w14:paraId="41673DDC"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6</w:t>
            </w:r>
          </w:p>
        </w:tc>
      </w:tr>
      <w:tr w:rsidR="00E32653" w:rsidRPr="00E32653" w14:paraId="628ADAA6" w14:textId="77777777" w:rsidTr="00004835">
        <w:trPr>
          <w:jc w:val="center"/>
        </w:trPr>
        <w:tc>
          <w:tcPr>
            <w:tcW w:w="0" w:type="auto"/>
            <w:vAlign w:val="center"/>
          </w:tcPr>
          <w:p w14:paraId="5C9F4001"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Land use</w:t>
            </w:r>
          </w:p>
        </w:tc>
        <w:tc>
          <w:tcPr>
            <w:tcW w:w="0" w:type="auto"/>
            <w:vAlign w:val="center"/>
          </w:tcPr>
          <w:p w14:paraId="64673BEE"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0.0484</w:t>
            </w:r>
          </w:p>
        </w:tc>
        <w:tc>
          <w:tcPr>
            <w:tcW w:w="0" w:type="auto"/>
            <w:vAlign w:val="bottom"/>
          </w:tcPr>
          <w:p w14:paraId="677303E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6</w:t>
            </w:r>
          </w:p>
        </w:tc>
        <w:tc>
          <w:tcPr>
            <w:tcW w:w="0" w:type="auto"/>
            <w:vAlign w:val="center"/>
          </w:tcPr>
          <w:p w14:paraId="426AC5E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0.108</w:t>
            </w:r>
          </w:p>
        </w:tc>
        <w:tc>
          <w:tcPr>
            <w:tcW w:w="0" w:type="auto"/>
            <w:vAlign w:val="bottom"/>
          </w:tcPr>
          <w:p w14:paraId="15384110"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4</w:t>
            </w:r>
          </w:p>
        </w:tc>
        <w:tc>
          <w:tcPr>
            <w:tcW w:w="0" w:type="auto"/>
            <w:vAlign w:val="center"/>
          </w:tcPr>
          <w:p w14:paraId="2A24B11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0.14</w:t>
            </w:r>
          </w:p>
        </w:tc>
        <w:tc>
          <w:tcPr>
            <w:tcW w:w="759" w:type="dxa"/>
            <w:vAlign w:val="bottom"/>
          </w:tcPr>
          <w:p w14:paraId="5CABAF7A"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2</w:t>
            </w:r>
          </w:p>
        </w:tc>
        <w:tc>
          <w:tcPr>
            <w:tcW w:w="391" w:type="dxa"/>
            <w:vAlign w:val="center"/>
          </w:tcPr>
          <w:p w14:paraId="4177C485"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0.098</w:t>
            </w:r>
          </w:p>
        </w:tc>
        <w:tc>
          <w:tcPr>
            <w:tcW w:w="1049" w:type="dxa"/>
            <w:vAlign w:val="center"/>
          </w:tcPr>
          <w:p w14:paraId="2ABAFD0E"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4</w:t>
            </w:r>
          </w:p>
        </w:tc>
      </w:tr>
      <w:tr w:rsidR="00E32653" w:rsidRPr="00E32653" w14:paraId="7BA88CF0" w14:textId="77777777" w:rsidTr="00004835">
        <w:trPr>
          <w:jc w:val="center"/>
        </w:trPr>
        <w:tc>
          <w:tcPr>
            <w:tcW w:w="0" w:type="auto"/>
            <w:vAlign w:val="center"/>
          </w:tcPr>
          <w:p w14:paraId="03F306F9"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Embodied Energy</w:t>
            </w:r>
          </w:p>
        </w:tc>
        <w:tc>
          <w:tcPr>
            <w:tcW w:w="0" w:type="auto"/>
            <w:vAlign w:val="center"/>
          </w:tcPr>
          <w:p w14:paraId="1D5F2AD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0.2</w:t>
            </w:r>
          </w:p>
        </w:tc>
        <w:tc>
          <w:tcPr>
            <w:tcW w:w="0" w:type="auto"/>
            <w:vAlign w:val="bottom"/>
          </w:tcPr>
          <w:p w14:paraId="66FA5BC8"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3</w:t>
            </w:r>
          </w:p>
        </w:tc>
        <w:tc>
          <w:tcPr>
            <w:tcW w:w="0" w:type="auto"/>
            <w:vAlign w:val="center"/>
          </w:tcPr>
          <w:p w14:paraId="2D9FE8EA"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0.15</w:t>
            </w:r>
          </w:p>
        </w:tc>
        <w:tc>
          <w:tcPr>
            <w:tcW w:w="0" w:type="auto"/>
            <w:vAlign w:val="bottom"/>
          </w:tcPr>
          <w:p w14:paraId="6AB72A0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3</w:t>
            </w:r>
          </w:p>
        </w:tc>
        <w:tc>
          <w:tcPr>
            <w:tcW w:w="0" w:type="auto"/>
            <w:vAlign w:val="center"/>
          </w:tcPr>
          <w:p w14:paraId="0FD34FC5"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0.07</w:t>
            </w:r>
          </w:p>
        </w:tc>
        <w:tc>
          <w:tcPr>
            <w:tcW w:w="759" w:type="dxa"/>
            <w:vAlign w:val="bottom"/>
          </w:tcPr>
          <w:p w14:paraId="38A7DF28"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7</w:t>
            </w:r>
          </w:p>
        </w:tc>
        <w:tc>
          <w:tcPr>
            <w:tcW w:w="391" w:type="dxa"/>
            <w:vAlign w:val="center"/>
          </w:tcPr>
          <w:p w14:paraId="1B28C9EA"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0.14</w:t>
            </w:r>
          </w:p>
        </w:tc>
        <w:tc>
          <w:tcPr>
            <w:tcW w:w="1049" w:type="dxa"/>
            <w:vAlign w:val="center"/>
          </w:tcPr>
          <w:p w14:paraId="06D6DB52"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3</w:t>
            </w:r>
          </w:p>
        </w:tc>
      </w:tr>
      <w:tr w:rsidR="00E32653" w:rsidRPr="00E32653" w14:paraId="6F774573" w14:textId="77777777" w:rsidTr="00004835">
        <w:trPr>
          <w:jc w:val="center"/>
        </w:trPr>
        <w:tc>
          <w:tcPr>
            <w:tcW w:w="0" w:type="auto"/>
            <w:vAlign w:val="center"/>
          </w:tcPr>
          <w:p w14:paraId="0C33BD37" w14:textId="77777777" w:rsidR="00310450" w:rsidRPr="00E32653" w:rsidRDefault="00310450" w:rsidP="00310450">
            <w:pPr>
              <w:autoSpaceDE w:val="0"/>
              <w:autoSpaceDN w:val="0"/>
              <w:adjustRightInd w:val="0"/>
              <w:rPr>
                <w:rFonts w:asciiTheme="majorBidi" w:hAnsiTheme="majorBidi" w:cstheme="majorBidi"/>
                <w:i/>
                <w:iCs/>
                <w:sz w:val="18"/>
                <w:szCs w:val="18"/>
              </w:rPr>
            </w:pPr>
            <w:r w:rsidRPr="00E32653">
              <w:rPr>
                <w:rFonts w:asciiTheme="majorBidi" w:hAnsiTheme="majorBidi" w:cstheme="majorBidi"/>
                <w:i/>
                <w:iCs/>
                <w:sz w:val="18"/>
                <w:szCs w:val="18"/>
              </w:rPr>
              <w:t>LCC</w:t>
            </w:r>
          </w:p>
        </w:tc>
        <w:tc>
          <w:tcPr>
            <w:tcW w:w="0" w:type="auto"/>
            <w:vAlign w:val="center"/>
          </w:tcPr>
          <w:p w14:paraId="37EE9B5B"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0.31</w:t>
            </w:r>
          </w:p>
        </w:tc>
        <w:tc>
          <w:tcPr>
            <w:tcW w:w="0" w:type="auto"/>
            <w:vAlign w:val="bottom"/>
          </w:tcPr>
          <w:p w14:paraId="57CACA9F"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1</w:t>
            </w:r>
          </w:p>
        </w:tc>
        <w:tc>
          <w:tcPr>
            <w:tcW w:w="0" w:type="auto"/>
            <w:vAlign w:val="center"/>
          </w:tcPr>
          <w:p w14:paraId="19CC2A6D"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0.29</w:t>
            </w:r>
          </w:p>
        </w:tc>
        <w:tc>
          <w:tcPr>
            <w:tcW w:w="0" w:type="auto"/>
            <w:vAlign w:val="bottom"/>
          </w:tcPr>
          <w:p w14:paraId="48846A51"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1</w:t>
            </w:r>
          </w:p>
        </w:tc>
        <w:tc>
          <w:tcPr>
            <w:tcW w:w="0" w:type="auto"/>
            <w:vAlign w:val="center"/>
          </w:tcPr>
          <w:p w14:paraId="1AEF93A6"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0.43</w:t>
            </w:r>
          </w:p>
        </w:tc>
        <w:tc>
          <w:tcPr>
            <w:tcW w:w="759" w:type="dxa"/>
            <w:vAlign w:val="bottom"/>
          </w:tcPr>
          <w:p w14:paraId="74000232" w14:textId="77777777" w:rsidR="00310450" w:rsidRPr="00E32653" w:rsidRDefault="00310450" w:rsidP="004C6EA7">
            <w:pPr>
              <w:jc w:val="center"/>
              <w:rPr>
                <w:rFonts w:asciiTheme="majorBidi" w:hAnsiTheme="majorBidi" w:cstheme="majorBidi"/>
                <w:i/>
                <w:iCs/>
                <w:sz w:val="18"/>
                <w:szCs w:val="18"/>
              </w:rPr>
            </w:pPr>
            <w:r w:rsidRPr="00E32653">
              <w:rPr>
                <w:rFonts w:asciiTheme="majorBidi" w:hAnsiTheme="majorBidi" w:cstheme="majorBidi"/>
                <w:i/>
                <w:iCs/>
                <w:sz w:val="18"/>
                <w:szCs w:val="18"/>
              </w:rPr>
              <w:t>1</w:t>
            </w:r>
          </w:p>
        </w:tc>
        <w:tc>
          <w:tcPr>
            <w:tcW w:w="391" w:type="dxa"/>
            <w:vAlign w:val="center"/>
          </w:tcPr>
          <w:p w14:paraId="3F612F86"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0.344</w:t>
            </w:r>
          </w:p>
        </w:tc>
        <w:tc>
          <w:tcPr>
            <w:tcW w:w="1049" w:type="dxa"/>
            <w:vAlign w:val="center"/>
          </w:tcPr>
          <w:p w14:paraId="0E690F29" w14:textId="77777777" w:rsidR="00310450" w:rsidRPr="00E32653" w:rsidRDefault="00310450" w:rsidP="004C6EA7">
            <w:pPr>
              <w:autoSpaceDE w:val="0"/>
              <w:autoSpaceDN w:val="0"/>
              <w:adjustRightInd w:val="0"/>
              <w:jc w:val="center"/>
              <w:rPr>
                <w:rFonts w:asciiTheme="majorBidi" w:hAnsiTheme="majorBidi" w:cstheme="majorBidi"/>
                <w:i/>
                <w:iCs/>
                <w:sz w:val="18"/>
                <w:szCs w:val="18"/>
              </w:rPr>
            </w:pPr>
            <w:r w:rsidRPr="00E32653">
              <w:rPr>
                <w:rFonts w:asciiTheme="majorBidi" w:hAnsiTheme="majorBidi" w:cstheme="majorBidi"/>
                <w:i/>
                <w:iCs/>
                <w:sz w:val="18"/>
                <w:szCs w:val="18"/>
              </w:rPr>
              <w:t>1</w:t>
            </w:r>
          </w:p>
        </w:tc>
      </w:tr>
      <w:tr w:rsidR="00D77269" w:rsidRPr="00E32653" w14:paraId="3FD7F379" w14:textId="77777777" w:rsidTr="00004835">
        <w:trPr>
          <w:jc w:val="center"/>
        </w:trPr>
        <w:tc>
          <w:tcPr>
            <w:tcW w:w="0" w:type="auto"/>
            <w:vAlign w:val="center"/>
          </w:tcPr>
          <w:p w14:paraId="4DB03766" w14:textId="77777777" w:rsidR="00FA6D12" w:rsidRPr="00E32653" w:rsidRDefault="00FA6D12" w:rsidP="007F3AA5">
            <w:pPr>
              <w:autoSpaceDE w:val="0"/>
              <w:autoSpaceDN w:val="0"/>
              <w:adjustRightInd w:val="0"/>
              <w:jc w:val="center"/>
              <w:rPr>
                <w:rFonts w:asciiTheme="majorBidi" w:hAnsiTheme="majorBidi" w:cstheme="majorBidi"/>
                <w:i/>
                <w:iCs/>
                <w:sz w:val="18"/>
                <w:szCs w:val="18"/>
              </w:rPr>
            </w:pPr>
          </w:p>
        </w:tc>
        <w:tc>
          <w:tcPr>
            <w:tcW w:w="0" w:type="auto"/>
            <w:gridSpan w:val="2"/>
            <w:vAlign w:val="center"/>
          </w:tcPr>
          <w:p w14:paraId="7C4A302C" w14:textId="77777777" w:rsidR="00FA6D12" w:rsidRPr="00E32653" w:rsidRDefault="00FA6D12" w:rsidP="007F3AA5">
            <w:pPr>
              <w:autoSpaceDE w:val="0"/>
              <w:autoSpaceDN w:val="0"/>
              <w:adjustRightInd w:val="0"/>
              <w:jc w:val="center"/>
              <w:rPr>
                <w:rFonts w:asciiTheme="majorBidi" w:hAnsiTheme="majorBidi" w:cstheme="majorBidi"/>
                <w:i/>
                <w:iCs/>
                <w:sz w:val="16"/>
                <w:szCs w:val="16"/>
              </w:rPr>
            </w:pPr>
            <w:r w:rsidRPr="00E32653">
              <w:rPr>
                <w:rFonts w:asciiTheme="majorBidi" w:hAnsiTheme="majorBidi" w:cstheme="majorBidi"/>
                <w:i/>
                <w:iCs/>
                <w:sz w:val="16"/>
                <w:szCs w:val="16"/>
              </w:rPr>
              <w:t>CR</w:t>
            </w:r>
            <w:r w:rsidRPr="00E32653">
              <w:rPr>
                <w:rFonts w:asciiTheme="majorBidi" w:hAnsiTheme="majorBidi" w:cstheme="majorBidi"/>
                <w:i/>
                <w:iCs/>
                <w:sz w:val="16"/>
                <w:szCs w:val="16"/>
                <w:vertAlign w:val="subscript"/>
              </w:rPr>
              <w:t>a</w:t>
            </w:r>
            <w:r w:rsidR="00F254EB" w:rsidRPr="00E32653">
              <w:rPr>
                <w:rFonts w:asciiTheme="majorBidi" w:hAnsiTheme="majorBidi" w:cstheme="majorBidi"/>
                <w:i/>
                <w:iCs/>
                <w:sz w:val="16"/>
                <w:szCs w:val="16"/>
              </w:rPr>
              <w:t>=   0.048</w:t>
            </w:r>
            <w:r w:rsidRPr="00E32653">
              <w:rPr>
                <w:rFonts w:asciiTheme="majorBidi" w:hAnsiTheme="majorBidi" w:cstheme="majorBidi"/>
                <w:i/>
                <w:iCs/>
                <w:sz w:val="16"/>
                <w:szCs w:val="16"/>
              </w:rPr>
              <w:t xml:space="preserve"> &lt;0.1</w:t>
            </w:r>
          </w:p>
        </w:tc>
        <w:tc>
          <w:tcPr>
            <w:tcW w:w="0" w:type="auto"/>
            <w:gridSpan w:val="2"/>
            <w:vAlign w:val="center"/>
          </w:tcPr>
          <w:p w14:paraId="45270C4F" w14:textId="77777777" w:rsidR="00FA6D12" w:rsidRPr="00E32653" w:rsidRDefault="00FA6D12" w:rsidP="00F254EB">
            <w:pPr>
              <w:autoSpaceDE w:val="0"/>
              <w:autoSpaceDN w:val="0"/>
              <w:adjustRightInd w:val="0"/>
              <w:jc w:val="center"/>
              <w:rPr>
                <w:rFonts w:asciiTheme="majorBidi" w:hAnsiTheme="majorBidi" w:cstheme="majorBidi"/>
                <w:i/>
                <w:iCs/>
                <w:sz w:val="16"/>
                <w:szCs w:val="16"/>
              </w:rPr>
            </w:pPr>
            <w:r w:rsidRPr="00E32653">
              <w:rPr>
                <w:rFonts w:asciiTheme="majorBidi" w:hAnsiTheme="majorBidi" w:cstheme="majorBidi"/>
                <w:i/>
                <w:iCs/>
                <w:sz w:val="16"/>
                <w:szCs w:val="16"/>
              </w:rPr>
              <w:t>CR</w:t>
            </w:r>
            <w:r w:rsidRPr="00E32653">
              <w:rPr>
                <w:rFonts w:asciiTheme="majorBidi" w:hAnsiTheme="majorBidi" w:cstheme="majorBidi"/>
                <w:i/>
                <w:iCs/>
                <w:sz w:val="16"/>
                <w:szCs w:val="16"/>
                <w:vertAlign w:val="subscript"/>
              </w:rPr>
              <w:t>a</w:t>
            </w:r>
            <w:r w:rsidRPr="00E32653">
              <w:rPr>
                <w:rFonts w:asciiTheme="majorBidi" w:hAnsiTheme="majorBidi" w:cstheme="majorBidi"/>
                <w:i/>
                <w:iCs/>
                <w:sz w:val="16"/>
                <w:szCs w:val="16"/>
              </w:rPr>
              <w:t>=   0.0</w:t>
            </w:r>
            <w:r w:rsidR="00F254EB" w:rsidRPr="00E32653">
              <w:rPr>
                <w:rFonts w:asciiTheme="majorBidi" w:hAnsiTheme="majorBidi" w:cstheme="majorBidi"/>
                <w:i/>
                <w:iCs/>
                <w:sz w:val="16"/>
                <w:szCs w:val="16"/>
              </w:rPr>
              <w:t>63</w:t>
            </w:r>
            <w:r w:rsidRPr="00E32653">
              <w:rPr>
                <w:rFonts w:asciiTheme="majorBidi" w:hAnsiTheme="majorBidi" w:cstheme="majorBidi"/>
                <w:i/>
                <w:iCs/>
                <w:sz w:val="16"/>
                <w:szCs w:val="16"/>
              </w:rPr>
              <w:t xml:space="preserve">  &lt;0.1</w:t>
            </w:r>
          </w:p>
        </w:tc>
        <w:tc>
          <w:tcPr>
            <w:tcW w:w="1704" w:type="dxa"/>
            <w:gridSpan w:val="2"/>
            <w:vAlign w:val="center"/>
          </w:tcPr>
          <w:p w14:paraId="06100426" w14:textId="77777777" w:rsidR="00FA6D12" w:rsidRPr="00E32653" w:rsidRDefault="00FA6D12" w:rsidP="00F254EB">
            <w:pPr>
              <w:autoSpaceDE w:val="0"/>
              <w:autoSpaceDN w:val="0"/>
              <w:adjustRightInd w:val="0"/>
              <w:jc w:val="center"/>
              <w:rPr>
                <w:rFonts w:asciiTheme="majorBidi" w:hAnsiTheme="majorBidi" w:cstheme="majorBidi"/>
                <w:i/>
                <w:iCs/>
                <w:sz w:val="16"/>
                <w:szCs w:val="16"/>
              </w:rPr>
            </w:pPr>
            <w:r w:rsidRPr="00E32653">
              <w:rPr>
                <w:rFonts w:asciiTheme="majorBidi" w:hAnsiTheme="majorBidi" w:cstheme="majorBidi"/>
                <w:i/>
                <w:iCs/>
                <w:sz w:val="16"/>
                <w:szCs w:val="16"/>
              </w:rPr>
              <w:t>CR</w:t>
            </w:r>
            <w:r w:rsidRPr="00E32653">
              <w:rPr>
                <w:rFonts w:asciiTheme="majorBidi" w:hAnsiTheme="majorBidi" w:cstheme="majorBidi"/>
                <w:i/>
                <w:iCs/>
                <w:sz w:val="16"/>
                <w:szCs w:val="16"/>
                <w:vertAlign w:val="subscript"/>
              </w:rPr>
              <w:t>a</w:t>
            </w:r>
            <w:r w:rsidRPr="00E32653">
              <w:rPr>
                <w:rFonts w:asciiTheme="majorBidi" w:hAnsiTheme="majorBidi" w:cstheme="majorBidi"/>
                <w:i/>
                <w:iCs/>
                <w:sz w:val="16"/>
                <w:szCs w:val="16"/>
              </w:rPr>
              <w:t>=  0.0</w:t>
            </w:r>
            <w:r w:rsidR="00F254EB" w:rsidRPr="00E32653">
              <w:rPr>
                <w:rFonts w:asciiTheme="majorBidi" w:hAnsiTheme="majorBidi" w:cstheme="majorBidi"/>
                <w:i/>
                <w:iCs/>
                <w:sz w:val="16"/>
                <w:szCs w:val="16"/>
              </w:rPr>
              <w:t>43</w:t>
            </w:r>
            <w:r w:rsidRPr="00E32653">
              <w:rPr>
                <w:rFonts w:asciiTheme="majorBidi" w:hAnsiTheme="majorBidi" w:cstheme="majorBidi"/>
                <w:i/>
                <w:iCs/>
                <w:sz w:val="16"/>
                <w:szCs w:val="16"/>
              </w:rPr>
              <w:t xml:space="preserve"> &lt;0.1</w:t>
            </w:r>
          </w:p>
        </w:tc>
        <w:tc>
          <w:tcPr>
            <w:tcW w:w="1440" w:type="dxa"/>
            <w:gridSpan w:val="2"/>
            <w:vAlign w:val="center"/>
          </w:tcPr>
          <w:p w14:paraId="2F7BEA4A" w14:textId="77777777" w:rsidR="00FA6D12" w:rsidRPr="00E32653" w:rsidRDefault="00FA6D12" w:rsidP="007F3AA5">
            <w:pPr>
              <w:autoSpaceDE w:val="0"/>
              <w:autoSpaceDN w:val="0"/>
              <w:adjustRightInd w:val="0"/>
              <w:jc w:val="center"/>
              <w:rPr>
                <w:rFonts w:asciiTheme="majorBidi" w:hAnsiTheme="majorBidi" w:cstheme="majorBidi"/>
                <w:i/>
                <w:iCs/>
                <w:sz w:val="16"/>
                <w:szCs w:val="16"/>
              </w:rPr>
            </w:pPr>
          </w:p>
        </w:tc>
      </w:tr>
    </w:tbl>
    <w:p w14:paraId="79CD9B84" w14:textId="77777777" w:rsidR="00117A96" w:rsidRPr="00E32653" w:rsidRDefault="00117A96" w:rsidP="00117A96">
      <w:pPr>
        <w:tabs>
          <w:tab w:val="left" w:pos="2709"/>
        </w:tabs>
        <w:spacing w:after="0"/>
        <w:rPr>
          <w:rFonts w:asciiTheme="majorBidi" w:hAnsiTheme="majorBidi" w:cstheme="majorBidi"/>
        </w:rPr>
      </w:pPr>
    </w:p>
    <w:p w14:paraId="1B4287CC" w14:textId="2BF03C29" w:rsidR="00117A96" w:rsidRPr="00E32653" w:rsidRDefault="00117A96" w:rsidP="12C241C3">
      <w:pPr>
        <w:tabs>
          <w:tab w:val="left" w:pos="720"/>
        </w:tabs>
        <w:spacing w:line="276" w:lineRule="auto"/>
        <w:jc w:val="both"/>
        <w:rPr>
          <w:rFonts w:asciiTheme="majorBidi" w:hAnsiTheme="majorBidi" w:cstheme="majorBidi"/>
        </w:rPr>
      </w:pPr>
      <w:r w:rsidRPr="00E32653">
        <w:rPr>
          <w:rFonts w:asciiTheme="majorBidi" w:hAnsiTheme="majorBidi" w:cstheme="majorBidi"/>
        </w:rPr>
        <w:tab/>
      </w:r>
      <w:r w:rsidR="00CF0544" w:rsidRPr="00E32653">
        <w:rPr>
          <w:rFonts w:asciiTheme="majorBidi" w:hAnsiTheme="majorBidi" w:cstheme="majorBidi"/>
        </w:rPr>
        <w:t>T</w:t>
      </w:r>
      <w:r w:rsidRPr="00E32653">
        <w:rPr>
          <w:rFonts w:asciiTheme="majorBidi" w:hAnsiTheme="majorBidi" w:cstheme="majorBidi"/>
        </w:rPr>
        <w:t xml:space="preserve">o </w:t>
      </w:r>
      <w:r w:rsidR="00A2675A" w:rsidRPr="00E32653">
        <w:rPr>
          <w:rFonts w:asciiTheme="majorBidi" w:hAnsiTheme="majorBidi" w:cstheme="majorBidi"/>
        </w:rPr>
        <w:t>help</w:t>
      </w:r>
      <w:r w:rsidR="00CF0544" w:rsidRPr="00E32653">
        <w:rPr>
          <w:rFonts w:asciiTheme="majorBidi" w:hAnsiTheme="majorBidi" w:cstheme="majorBidi"/>
        </w:rPr>
        <w:t xml:space="preserve"> understand</w:t>
      </w:r>
      <w:r w:rsidR="00A2675A" w:rsidRPr="00E32653">
        <w:rPr>
          <w:rFonts w:asciiTheme="majorBidi" w:hAnsiTheme="majorBidi" w:cstheme="majorBidi"/>
        </w:rPr>
        <w:t xml:space="preserve"> </w:t>
      </w:r>
      <w:r w:rsidR="00CF0544" w:rsidRPr="00E32653">
        <w:rPr>
          <w:rFonts w:asciiTheme="majorBidi" w:hAnsiTheme="majorBidi" w:cstheme="majorBidi"/>
        </w:rPr>
        <w:t xml:space="preserve">these </w:t>
      </w:r>
      <w:r w:rsidRPr="00E32653">
        <w:rPr>
          <w:rFonts w:asciiTheme="majorBidi" w:hAnsiTheme="majorBidi" w:cstheme="majorBidi"/>
        </w:rPr>
        <w:t>result</w:t>
      </w:r>
      <w:r w:rsidR="00CF0544" w:rsidRPr="00E32653">
        <w:rPr>
          <w:rFonts w:asciiTheme="majorBidi" w:hAnsiTheme="majorBidi" w:cstheme="majorBidi"/>
        </w:rPr>
        <w:t>s</w:t>
      </w:r>
      <w:r w:rsidRPr="00E32653">
        <w:rPr>
          <w:rFonts w:asciiTheme="majorBidi" w:hAnsiTheme="majorBidi" w:cstheme="majorBidi"/>
        </w:rPr>
        <w:t xml:space="preserve">, all outcomes from Figures 6, 8, and 9 </w:t>
      </w:r>
      <w:r w:rsidR="00CF0544" w:rsidRPr="00E32653">
        <w:rPr>
          <w:rFonts w:asciiTheme="majorBidi" w:hAnsiTheme="majorBidi" w:cstheme="majorBidi"/>
        </w:rPr>
        <w:t xml:space="preserve">have </w:t>
      </w:r>
      <w:r w:rsidRPr="00E32653">
        <w:rPr>
          <w:rFonts w:asciiTheme="majorBidi" w:hAnsiTheme="majorBidi" w:cstheme="majorBidi"/>
        </w:rPr>
        <w:t xml:space="preserve">been </w:t>
      </w:r>
      <w:r w:rsidR="00A2675A" w:rsidRPr="00E32653">
        <w:rPr>
          <w:rFonts w:asciiTheme="majorBidi" w:hAnsiTheme="majorBidi" w:cstheme="majorBidi"/>
        </w:rPr>
        <w:t xml:space="preserve">compiled in </w:t>
      </w:r>
      <w:r w:rsidRPr="00E32653">
        <w:rPr>
          <w:rFonts w:asciiTheme="majorBidi" w:hAnsiTheme="majorBidi" w:cstheme="majorBidi"/>
        </w:rPr>
        <w:t xml:space="preserve">table 6 as </w:t>
      </w:r>
      <w:r w:rsidR="0084439F" w:rsidRPr="00E32653">
        <w:rPr>
          <w:rFonts w:asciiTheme="majorBidi" w:hAnsiTheme="majorBidi" w:cstheme="majorBidi"/>
        </w:rPr>
        <w:t xml:space="preserve">decision-making </w:t>
      </w:r>
      <w:r w:rsidRPr="00E32653">
        <w:rPr>
          <w:rFonts w:asciiTheme="majorBidi" w:hAnsiTheme="majorBidi" w:cstheme="majorBidi"/>
        </w:rPr>
        <w:t>matrix</w:t>
      </w:r>
      <w:r w:rsidR="0084439F" w:rsidRPr="00E32653">
        <w:rPr>
          <w:rFonts w:asciiTheme="majorBidi" w:hAnsiTheme="majorBidi" w:cstheme="majorBidi"/>
        </w:rPr>
        <w:t>. F</w:t>
      </w:r>
      <w:r w:rsidR="00A2675A" w:rsidRPr="00E32653">
        <w:rPr>
          <w:rFonts w:asciiTheme="majorBidi" w:hAnsiTheme="majorBidi" w:cstheme="majorBidi"/>
        </w:rPr>
        <w:t>or</w:t>
      </w:r>
      <w:r w:rsidR="0084439F" w:rsidRPr="00E32653">
        <w:rPr>
          <w:rFonts w:asciiTheme="majorBidi" w:hAnsiTheme="majorBidi" w:cstheme="majorBidi"/>
        </w:rPr>
        <w:t xml:space="preserve"> MCDM</w:t>
      </w:r>
      <w:r w:rsidR="00A2675A" w:rsidRPr="00E32653">
        <w:rPr>
          <w:rFonts w:asciiTheme="majorBidi" w:hAnsiTheme="majorBidi" w:cstheme="majorBidi"/>
        </w:rPr>
        <w:t>,</w:t>
      </w:r>
      <w:r w:rsidR="0084439F" w:rsidRPr="00E32653">
        <w:rPr>
          <w:rFonts w:asciiTheme="majorBidi" w:hAnsiTheme="majorBidi" w:cstheme="majorBidi"/>
        </w:rPr>
        <w:t xml:space="preserve"> the beneficial and </w:t>
      </w:r>
      <w:r w:rsidR="00F7747D" w:rsidRPr="00E32653">
        <w:rPr>
          <w:rFonts w:asciiTheme="majorBidi" w:hAnsiTheme="majorBidi" w:cstheme="majorBidi"/>
        </w:rPr>
        <w:t>non-</w:t>
      </w:r>
      <w:r w:rsidR="0084439F" w:rsidRPr="00E32653">
        <w:rPr>
          <w:rFonts w:asciiTheme="majorBidi" w:hAnsiTheme="majorBidi" w:cstheme="majorBidi"/>
        </w:rPr>
        <w:t>beneficial criteria from table 6</w:t>
      </w:r>
      <w:r w:rsidR="00A2675A" w:rsidRPr="00E32653">
        <w:rPr>
          <w:rFonts w:asciiTheme="majorBidi" w:hAnsiTheme="majorBidi" w:cstheme="majorBidi"/>
        </w:rPr>
        <w:t xml:space="preserve"> need to be considered first</w:t>
      </w:r>
      <w:r w:rsidR="0084439F" w:rsidRPr="00E32653">
        <w:rPr>
          <w:rFonts w:asciiTheme="majorBidi" w:hAnsiTheme="majorBidi" w:cstheme="majorBidi"/>
        </w:rPr>
        <w:t xml:space="preserve">. </w:t>
      </w:r>
      <w:r w:rsidR="00F7747D" w:rsidRPr="00E32653">
        <w:rPr>
          <w:rFonts w:asciiTheme="majorBidi" w:hAnsiTheme="majorBidi" w:cstheme="majorBidi"/>
        </w:rPr>
        <w:t xml:space="preserve">The beneficial parameters </w:t>
      </w:r>
      <w:r w:rsidR="00A2675A" w:rsidRPr="00E32653">
        <w:rPr>
          <w:rFonts w:asciiTheme="majorBidi" w:hAnsiTheme="majorBidi" w:cstheme="majorBidi"/>
        </w:rPr>
        <w:t>are those with</w:t>
      </w:r>
      <w:r w:rsidR="00F7747D" w:rsidRPr="00E32653">
        <w:rPr>
          <w:rFonts w:asciiTheme="majorBidi" w:hAnsiTheme="majorBidi" w:cstheme="majorBidi"/>
        </w:rPr>
        <w:t xml:space="preserve"> minimum value</w:t>
      </w:r>
      <w:r w:rsidR="00A2675A" w:rsidRPr="00E32653">
        <w:rPr>
          <w:rFonts w:asciiTheme="majorBidi" w:hAnsiTheme="majorBidi" w:cstheme="majorBidi"/>
        </w:rPr>
        <w:t>s</w:t>
      </w:r>
      <w:r w:rsidR="00F7747D" w:rsidRPr="00E32653">
        <w:rPr>
          <w:rFonts w:asciiTheme="majorBidi" w:hAnsiTheme="majorBidi" w:cstheme="majorBidi"/>
        </w:rPr>
        <w:t xml:space="preserve"> because </w:t>
      </w:r>
      <w:r w:rsidR="00A2675A" w:rsidRPr="00E32653">
        <w:rPr>
          <w:rFonts w:asciiTheme="majorBidi" w:hAnsiTheme="majorBidi" w:cstheme="majorBidi"/>
        </w:rPr>
        <w:t>cost reduction</w:t>
      </w:r>
      <w:r w:rsidR="00F7747D" w:rsidRPr="00E32653">
        <w:rPr>
          <w:rFonts w:asciiTheme="majorBidi" w:hAnsiTheme="majorBidi" w:cstheme="majorBidi"/>
        </w:rPr>
        <w:t xml:space="preserve"> is </w:t>
      </w:r>
      <w:r w:rsidR="00A2675A" w:rsidRPr="00E32653">
        <w:rPr>
          <w:rFonts w:asciiTheme="majorBidi" w:hAnsiTheme="majorBidi" w:cstheme="majorBidi"/>
        </w:rPr>
        <w:t xml:space="preserve">a </w:t>
      </w:r>
      <w:r w:rsidR="00F7747D" w:rsidRPr="00E32653">
        <w:rPr>
          <w:rFonts w:asciiTheme="majorBidi" w:hAnsiTheme="majorBidi" w:cstheme="majorBidi"/>
        </w:rPr>
        <w:t xml:space="preserve">priority. For example, the materials with lower GWP or economic cost </w:t>
      </w:r>
      <w:r w:rsidR="217A164F" w:rsidRPr="00E32653">
        <w:rPr>
          <w:rFonts w:asciiTheme="majorBidi" w:hAnsiTheme="majorBidi" w:cstheme="majorBidi"/>
        </w:rPr>
        <w:t xml:space="preserve">are </w:t>
      </w:r>
      <w:r w:rsidR="00F7747D" w:rsidRPr="00E32653">
        <w:rPr>
          <w:rFonts w:asciiTheme="majorBidi" w:hAnsiTheme="majorBidi" w:cstheme="majorBidi"/>
        </w:rPr>
        <w:t>the best choices for decision makers.</w:t>
      </w:r>
      <w:r w:rsidR="00F743D1" w:rsidRPr="00E32653">
        <w:rPr>
          <w:rFonts w:asciiTheme="majorBidi" w:hAnsiTheme="majorBidi" w:cstheme="majorBidi"/>
        </w:rPr>
        <w:t xml:space="preserve"> Hence, </w:t>
      </w:r>
      <w:r w:rsidR="6DA9A012" w:rsidRPr="00E32653">
        <w:rPr>
          <w:rFonts w:asciiTheme="majorBidi" w:hAnsiTheme="majorBidi" w:cstheme="majorBidi"/>
        </w:rPr>
        <w:t xml:space="preserve">the </w:t>
      </w:r>
      <w:r w:rsidR="00F743D1" w:rsidRPr="00E32653">
        <w:rPr>
          <w:rFonts w:asciiTheme="majorBidi" w:hAnsiTheme="majorBidi" w:cstheme="majorBidi"/>
        </w:rPr>
        <w:t>cost beneficial parameter is consider</w:t>
      </w:r>
      <w:r w:rsidR="59B8651C" w:rsidRPr="00E32653">
        <w:rPr>
          <w:rFonts w:asciiTheme="majorBidi" w:hAnsiTheme="majorBidi" w:cstheme="majorBidi"/>
        </w:rPr>
        <w:t>ed</w:t>
      </w:r>
      <w:r w:rsidR="00F743D1" w:rsidRPr="00E32653">
        <w:rPr>
          <w:rFonts w:asciiTheme="majorBidi" w:hAnsiTheme="majorBidi" w:cstheme="majorBidi"/>
        </w:rPr>
        <w:t xml:space="preserve"> as 97510 MYR. Therefore, all the criteria in this study considered as</w:t>
      </w:r>
      <w:r w:rsidR="00F7747D" w:rsidRPr="00E32653">
        <w:rPr>
          <w:rFonts w:asciiTheme="majorBidi" w:hAnsiTheme="majorBidi" w:cstheme="majorBidi"/>
        </w:rPr>
        <w:t xml:space="preserve"> </w:t>
      </w:r>
      <w:r w:rsidR="00F743D1" w:rsidRPr="00E32653">
        <w:rPr>
          <w:rFonts w:asciiTheme="majorBidi" w:hAnsiTheme="majorBidi" w:cstheme="majorBidi"/>
        </w:rPr>
        <w:t xml:space="preserve">beneficial value for all eight criteria. </w:t>
      </w:r>
    </w:p>
    <w:p w14:paraId="685BD808" w14:textId="3A29EA3A" w:rsidR="004505F7" w:rsidRPr="00E32653" w:rsidRDefault="00785914" w:rsidP="005B1E95">
      <w:pPr>
        <w:tabs>
          <w:tab w:val="left" w:pos="2709"/>
        </w:tabs>
        <w:spacing w:after="0"/>
        <w:ind w:left="720"/>
        <w:rPr>
          <w:rFonts w:asciiTheme="majorBidi" w:hAnsiTheme="majorBidi" w:cstheme="majorBidi"/>
        </w:rPr>
      </w:pPr>
      <w:r w:rsidRPr="00E32653">
        <w:rPr>
          <w:rFonts w:asciiTheme="majorBidi" w:hAnsiTheme="majorBidi" w:cstheme="majorBidi"/>
        </w:rPr>
        <w:t xml:space="preserve">Table </w:t>
      </w:r>
      <w:r w:rsidR="00BE71CB" w:rsidRPr="00E32653">
        <w:rPr>
          <w:rFonts w:asciiTheme="majorBidi" w:hAnsiTheme="majorBidi" w:cstheme="majorBidi"/>
        </w:rPr>
        <w:t>6</w:t>
      </w:r>
      <w:r w:rsidR="005B1E95" w:rsidRPr="00E32653">
        <w:rPr>
          <w:rFonts w:asciiTheme="majorBidi" w:hAnsiTheme="majorBidi" w:cstheme="majorBidi"/>
        </w:rPr>
        <w:t>. D</w:t>
      </w:r>
      <w:r w:rsidR="001B5DAE" w:rsidRPr="00E32653">
        <w:rPr>
          <w:rFonts w:asciiTheme="majorBidi" w:hAnsiTheme="majorBidi" w:cstheme="majorBidi"/>
        </w:rPr>
        <w:t>ecision-making matrix</w:t>
      </w:r>
    </w:p>
    <w:tbl>
      <w:tblPr>
        <w:tblW w:w="7889" w:type="dxa"/>
        <w:jc w:val="center"/>
        <w:tblLook w:val="04A0" w:firstRow="1" w:lastRow="0" w:firstColumn="1" w:lastColumn="0" w:noHBand="0" w:noVBand="1"/>
      </w:tblPr>
      <w:tblGrid>
        <w:gridCol w:w="1477"/>
        <w:gridCol w:w="666"/>
        <w:gridCol w:w="891"/>
        <w:gridCol w:w="891"/>
        <w:gridCol w:w="891"/>
        <w:gridCol w:w="891"/>
        <w:gridCol w:w="891"/>
        <w:gridCol w:w="756"/>
        <w:gridCol w:w="756"/>
      </w:tblGrid>
      <w:tr w:rsidR="00E32653" w:rsidRPr="00E32653" w14:paraId="1C26A395" w14:textId="77777777" w:rsidTr="006020CD">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67BA33E"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 </w:t>
            </w:r>
            <w:r w:rsidR="000B2B12" w:rsidRPr="00E32653">
              <w:rPr>
                <w:rFonts w:asciiTheme="majorBidi" w:eastAsia="Times New Roman" w:hAnsiTheme="majorBidi" w:cstheme="majorBidi"/>
                <w:b/>
                <w:bCs/>
                <w:i/>
                <w:iCs/>
                <w:sz w:val="20"/>
                <w:szCs w:val="20"/>
              </w:rPr>
              <w:t>Alternatives</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032506C"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GWP</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5442356"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HT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320C8DDC"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FD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6AAEED1" w14:textId="17D9148F"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O</w:t>
            </w:r>
            <w:r w:rsidR="008B1778" w:rsidRPr="00E32653">
              <w:rPr>
                <w:rFonts w:asciiTheme="majorBidi" w:eastAsia="Times New Roman" w:hAnsiTheme="majorBidi" w:cstheme="majorBidi"/>
                <w:b/>
                <w:bCs/>
                <w:sz w:val="18"/>
                <w:szCs w:val="18"/>
              </w:rPr>
              <w:t>L</w:t>
            </w:r>
            <w:r w:rsidRPr="00E32653">
              <w:rPr>
                <w:rFonts w:asciiTheme="majorBidi" w:eastAsia="Times New Roman" w:hAnsiTheme="majorBidi" w:cstheme="majorBidi"/>
                <w:b/>
                <w:bCs/>
                <w:sz w:val="18"/>
                <w:szCs w:val="18"/>
              </w:rPr>
              <w:t>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6987CC1"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TE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2F6ADC4"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LU</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C74EDC6"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EE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CD2C043" w14:textId="77777777" w:rsidR="00C16E4C" w:rsidRPr="00E32653" w:rsidRDefault="00C16E4C"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COST</w:t>
            </w:r>
          </w:p>
        </w:tc>
      </w:tr>
      <w:tr w:rsidR="00E32653" w:rsidRPr="00E32653" w14:paraId="70B63073" w14:textId="77777777" w:rsidTr="006020CD">
        <w:trPr>
          <w:trHeight w:val="28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5E4B6C" w14:textId="316B7437" w:rsidR="00CE4239" w:rsidRPr="00E32653" w:rsidRDefault="00CB6675"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GLT-Hardwood</w:t>
            </w:r>
          </w:p>
        </w:tc>
        <w:tc>
          <w:tcPr>
            <w:tcW w:w="0" w:type="auto"/>
            <w:tcBorders>
              <w:top w:val="nil"/>
              <w:left w:val="nil"/>
              <w:bottom w:val="single" w:sz="4" w:space="0" w:color="auto"/>
              <w:right w:val="single" w:sz="4" w:space="0" w:color="auto"/>
            </w:tcBorders>
            <w:shd w:val="clear" w:color="000000" w:fill="FFFFFF"/>
            <w:noWrap/>
            <w:vAlign w:val="center"/>
            <w:hideMark/>
          </w:tcPr>
          <w:p w14:paraId="69801BDD"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58470</w:t>
            </w:r>
          </w:p>
        </w:tc>
        <w:tc>
          <w:tcPr>
            <w:tcW w:w="0" w:type="auto"/>
            <w:tcBorders>
              <w:top w:val="nil"/>
              <w:left w:val="nil"/>
              <w:bottom w:val="single" w:sz="4" w:space="0" w:color="auto"/>
              <w:right w:val="single" w:sz="4" w:space="0" w:color="auto"/>
            </w:tcBorders>
            <w:shd w:val="clear" w:color="000000" w:fill="FFFFFF"/>
            <w:noWrap/>
            <w:vAlign w:val="center"/>
            <w:hideMark/>
          </w:tcPr>
          <w:p w14:paraId="72B9DEE0"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1771.31</w:t>
            </w:r>
          </w:p>
        </w:tc>
        <w:tc>
          <w:tcPr>
            <w:tcW w:w="0" w:type="auto"/>
            <w:tcBorders>
              <w:top w:val="nil"/>
              <w:left w:val="nil"/>
              <w:bottom w:val="single" w:sz="4" w:space="0" w:color="auto"/>
              <w:right w:val="single" w:sz="4" w:space="0" w:color="auto"/>
            </w:tcBorders>
            <w:shd w:val="clear" w:color="000000" w:fill="FFFFFF"/>
            <w:noWrap/>
            <w:vAlign w:val="center"/>
            <w:hideMark/>
          </w:tcPr>
          <w:p w14:paraId="5FA81F4D"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15414.36</w:t>
            </w:r>
          </w:p>
        </w:tc>
        <w:tc>
          <w:tcPr>
            <w:tcW w:w="0" w:type="auto"/>
            <w:tcBorders>
              <w:top w:val="nil"/>
              <w:left w:val="nil"/>
              <w:bottom w:val="single" w:sz="4" w:space="0" w:color="auto"/>
              <w:right w:val="single" w:sz="4" w:space="0" w:color="auto"/>
            </w:tcBorders>
            <w:shd w:val="clear" w:color="000000" w:fill="FFFFFF"/>
            <w:noWrap/>
            <w:vAlign w:val="center"/>
            <w:hideMark/>
          </w:tcPr>
          <w:p w14:paraId="4FC5A46A"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208.965</w:t>
            </w:r>
          </w:p>
        </w:tc>
        <w:tc>
          <w:tcPr>
            <w:tcW w:w="0" w:type="auto"/>
            <w:tcBorders>
              <w:top w:val="nil"/>
              <w:left w:val="nil"/>
              <w:bottom w:val="single" w:sz="4" w:space="0" w:color="auto"/>
              <w:right w:val="single" w:sz="4" w:space="0" w:color="auto"/>
            </w:tcBorders>
            <w:shd w:val="clear" w:color="000000" w:fill="FFFFFF"/>
            <w:noWrap/>
            <w:vAlign w:val="center"/>
            <w:hideMark/>
          </w:tcPr>
          <w:p w14:paraId="6C414F5F"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281.4519</w:t>
            </w:r>
          </w:p>
        </w:tc>
        <w:tc>
          <w:tcPr>
            <w:tcW w:w="0" w:type="auto"/>
            <w:tcBorders>
              <w:top w:val="nil"/>
              <w:left w:val="nil"/>
              <w:bottom w:val="single" w:sz="4" w:space="0" w:color="auto"/>
              <w:right w:val="single" w:sz="4" w:space="0" w:color="auto"/>
            </w:tcBorders>
            <w:shd w:val="clear" w:color="000000" w:fill="FFFFFF"/>
            <w:noWrap/>
            <w:vAlign w:val="center"/>
            <w:hideMark/>
          </w:tcPr>
          <w:p w14:paraId="208ED9B0"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72.87313</w:t>
            </w:r>
          </w:p>
        </w:tc>
        <w:tc>
          <w:tcPr>
            <w:tcW w:w="0" w:type="auto"/>
            <w:tcBorders>
              <w:top w:val="nil"/>
              <w:left w:val="nil"/>
              <w:bottom w:val="single" w:sz="4" w:space="0" w:color="auto"/>
              <w:right w:val="single" w:sz="4" w:space="0" w:color="auto"/>
            </w:tcBorders>
            <w:shd w:val="clear" w:color="000000" w:fill="FFFFFF"/>
            <w:noWrap/>
            <w:vAlign w:val="center"/>
            <w:hideMark/>
          </w:tcPr>
          <w:p w14:paraId="2341F740"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329600</w:t>
            </w:r>
          </w:p>
        </w:tc>
        <w:tc>
          <w:tcPr>
            <w:tcW w:w="0" w:type="auto"/>
            <w:tcBorders>
              <w:top w:val="nil"/>
              <w:left w:val="nil"/>
              <w:bottom w:val="single" w:sz="4" w:space="0" w:color="auto"/>
              <w:right w:val="single" w:sz="4" w:space="0" w:color="auto"/>
            </w:tcBorders>
            <w:shd w:val="clear" w:color="000000" w:fill="FFFFFF"/>
            <w:noWrap/>
            <w:vAlign w:val="center"/>
            <w:hideMark/>
          </w:tcPr>
          <w:p w14:paraId="34B72293"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115735</w:t>
            </w:r>
          </w:p>
        </w:tc>
      </w:tr>
      <w:tr w:rsidR="00E32653" w:rsidRPr="00E32653" w14:paraId="34452BFB" w14:textId="77777777" w:rsidTr="006020CD">
        <w:trPr>
          <w:trHeight w:val="28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6D9DD2" w14:textId="5418A183" w:rsidR="00CE4239" w:rsidRPr="00E32653" w:rsidRDefault="00CE4239"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GLT-S</w:t>
            </w:r>
            <w:r w:rsidR="00CB6675" w:rsidRPr="00E32653">
              <w:rPr>
                <w:rFonts w:asciiTheme="majorBidi" w:eastAsia="Times New Roman" w:hAnsiTheme="majorBidi" w:cstheme="majorBidi"/>
                <w:b/>
                <w:bCs/>
                <w:sz w:val="18"/>
                <w:szCs w:val="18"/>
              </w:rPr>
              <w:t>oftwood</w:t>
            </w:r>
          </w:p>
        </w:tc>
        <w:tc>
          <w:tcPr>
            <w:tcW w:w="0" w:type="auto"/>
            <w:tcBorders>
              <w:top w:val="nil"/>
              <w:left w:val="nil"/>
              <w:bottom w:val="single" w:sz="4" w:space="0" w:color="auto"/>
              <w:right w:val="single" w:sz="4" w:space="0" w:color="auto"/>
            </w:tcBorders>
            <w:shd w:val="clear" w:color="000000" w:fill="FFFFFF"/>
            <w:noWrap/>
            <w:vAlign w:val="center"/>
            <w:hideMark/>
          </w:tcPr>
          <w:p w14:paraId="404C4673"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57730</w:t>
            </w:r>
          </w:p>
        </w:tc>
        <w:tc>
          <w:tcPr>
            <w:tcW w:w="0" w:type="auto"/>
            <w:tcBorders>
              <w:top w:val="nil"/>
              <w:left w:val="nil"/>
              <w:bottom w:val="single" w:sz="4" w:space="0" w:color="auto"/>
              <w:right w:val="single" w:sz="4" w:space="0" w:color="auto"/>
            </w:tcBorders>
            <w:shd w:val="clear" w:color="000000" w:fill="FFFFFF"/>
            <w:noWrap/>
            <w:vAlign w:val="center"/>
            <w:hideMark/>
          </w:tcPr>
          <w:p w14:paraId="4937765B"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1754.5</w:t>
            </w:r>
          </w:p>
        </w:tc>
        <w:tc>
          <w:tcPr>
            <w:tcW w:w="0" w:type="auto"/>
            <w:tcBorders>
              <w:top w:val="nil"/>
              <w:left w:val="nil"/>
              <w:bottom w:val="single" w:sz="4" w:space="0" w:color="auto"/>
              <w:right w:val="single" w:sz="4" w:space="0" w:color="auto"/>
            </w:tcBorders>
            <w:shd w:val="clear" w:color="000000" w:fill="FFFFFF"/>
            <w:noWrap/>
            <w:vAlign w:val="center"/>
            <w:hideMark/>
          </w:tcPr>
          <w:p w14:paraId="6FC44CF5"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15390.79</w:t>
            </w:r>
          </w:p>
        </w:tc>
        <w:tc>
          <w:tcPr>
            <w:tcW w:w="0" w:type="auto"/>
            <w:tcBorders>
              <w:top w:val="nil"/>
              <w:left w:val="nil"/>
              <w:bottom w:val="single" w:sz="4" w:space="0" w:color="auto"/>
              <w:right w:val="single" w:sz="4" w:space="0" w:color="auto"/>
            </w:tcBorders>
            <w:shd w:val="clear" w:color="000000" w:fill="FFFFFF"/>
            <w:noWrap/>
            <w:vAlign w:val="center"/>
            <w:hideMark/>
          </w:tcPr>
          <w:p w14:paraId="58C95348"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204.6581</w:t>
            </w:r>
          </w:p>
        </w:tc>
        <w:tc>
          <w:tcPr>
            <w:tcW w:w="0" w:type="auto"/>
            <w:tcBorders>
              <w:top w:val="nil"/>
              <w:left w:val="nil"/>
              <w:bottom w:val="single" w:sz="4" w:space="0" w:color="auto"/>
              <w:right w:val="single" w:sz="4" w:space="0" w:color="auto"/>
            </w:tcBorders>
            <w:shd w:val="clear" w:color="000000" w:fill="FFFFFF"/>
            <w:noWrap/>
            <w:vAlign w:val="center"/>
            <w:hideMark/>
          </w:tcPr>
          <w:p w14:paraId="3E8CC9CC"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281.0323</w:t>
            </w:r>
          </w:p>
        </w:tc>
        <w:tc>
          <w:tcPr>
            <w:tcW w:w="0" w:type="auto"/>
            <w:tcBorders>
              <w:top w:val="nil"/>
              <w:left w:val="nil"/>
              <w:bottom w:val="single" w:sz="4" w:space="0" w:color="auto"/>
              <w:right w:val="single" w:sz="4" w:space="0" w:color="auto"/>
            </w:tcBorders>
            <w:shd w:val="clear" w:color="000000" w:fill="FFFFFF"/>
            <w:noWrap/>
            <w:vAlign w:val="center"/>
            <w:hideMark/>
          </w:tcPr>
          <w:p w14:paraId="3A266C61"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73.00166</w:t>
            </w:r>
          </w:p>
        </w:tc>
        <w:tc>
          <w:tcPr>
            <w:tcW w:w="0" w:type="auto"/>
            <w:tcBorders>
              <w:top w:val="nil"/>
              <w:left w:val="nil"/>
              <w:bottom w:val="single" w:sz="4" w:space="0" w:color="auto"/>
              <w:right w:val="single" w:sz="4" w:space="0" w:color="auto"/>
            </w:tcBorders>
            <w:shd w:val="clear" w:color="000000" w:fill="FFFFFF"/>
            <w:noWrap/>
            <w:vAlign w:val="center"/>
            <w:hideMark/>
          </w:tcPr>
          <w:p w14:paraId="6F1893D6"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324600</w:t>
            </w:r>
          </w:p>
        </w:tc>
        <w:tc>
          <w:tcPr>
            <w:tcW w:w="0" w:type="auto"/>
            <w:tcBorders>
              <w:top w:val="nil"/>
              <w:left w:val="nil"/>
              <w:bottom w:val="single" w:sz="4" w:space="0" w:color="auto"/>
              <w:right w:val="single" w:sz="4" w:space="0" w:color="auto"/>
            </w:tcBorders>
            <w:shd w:val="clear" w:color="000000" w:fill="FFFFFF"/>
            <w:noWrap/>
            <w:vAlign w:val="center"/>
            <w:hideMark/>
          </w:tcPr>
          <w:p w14:paraId="1CEC6757"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101155</w:t>
            </w:r>
          </w:p>
        </w:tc>
      </w:tr>
      <w:tr w:rsidR="00E32653" w:rsidRPr="00E32653" w14:paraId="45346D82" w14:textId="77777777" w:rsidTr="006020CD">
        <w:trPr>
          <w:trHeight w:val="28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B4F893" w14:textId="453DE32B" w:rsidR="00CE4239" w:rsidRPr="00E32653" w:rsidRDefault="00CB6675"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LVL-Hardwood</w:t>
            </w:r>
          </w:p>
        </w:tc>
        <w:tc>
          <w:tcPr>
            <w:tcW w:w="0" w:type="auto"/>
            <w:tcBorders>
              <w:top w:val="nil"/>
              <w:left w:val="nil"/>
              <w:bottom w:val="single" w:sz="4" w:space="0" w:color="auto"/>
              <w:right w:val="single" w:sz="4" w:space="0" w:color="auto"/>
            </w:tcBorders>
            <w:shd w:val="clear" w:color="000000" w:fill="FFFFFF"/>
            <w:noWrap/>
            <w:vAlign w:val="center"/>
            <w:hideMark/>
          </w:tcPr>
          <w:p w14:paraId="25B108AE"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41620</w:t>
            </w:r>
          </w:p>
        </w:tc>
        <w:tc>
          <w:tcPr>
            <w:tcW w:w="0" w:type="auto"/>
            <w:tcBorders>
              <w:top w:val="nil"/>
              <w:left w:val="nil"/>
              <w:bottom w:val="single" w:sz="4" w:space="0" w:color="auto"/>
              <w:right w:val="single" w:sz="4" w:space="0" w:color="auto"/>
            </w:tcBorders>
            <w:shd w:val="clear" w:color="000000" w:fill="FFFFFF"/>
            <w:noWrap/>
            <w:vAlign w:val="center"/>
            <w:hideMark/>
          </w:tcPr>
          <w:p w14:paraId="13A6B68F"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2118.118</w:t>
            </w:r>
          </w:p>
        </w:tc>
        <w:tc>
          <w:tcPr>
            <w:tcW w:w="0" w:type="auto"/>
            <w:tcBorders>
              <w:top w:val="nil"/>
              <w:left w:val="nil"/>
              <w:bottom w:val="single" w:sz="4" w:space="0" w:color="auto"/>
              <w:right w:val="single" w:sz="4" w:space="0" w:color="auto"/>
            </w:tcBorders>
            <w:shd w:val="clear" w:color="000000" w:fill="FFFFFF"/>
            <w:noWrap/>
            <w:vAlign w:val="center"/>
            <w:hideMark/>
          </w:tcPr>
          <w:p w14:paraId="7DB63A07"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21052.98</w:t>
            </w:r>
          </w:p>
        </w:tc>
        <w:tc>
          <w:tcPr>
            <w:tcW w:w="0" w:type="auto"/>
            <w:tcBorders>
              <w:top w:val="nil"/>
              <w:left w:val="nil"/>
              <w:bottom w:val="single" w:sz="4" w:space="0" w:color="auto"/>
              <w:right w:val="single" w:sz="4" w:space="0" w:color="auto"/>
            </w:tcBorders>
            <w:shd w:val="clear" w:color="000000" w:fill="FFFFFF"/>
            <w:noWrap/>
            <w:vAlign w:val="center"/>
            <w:hideMark/>
          </w:tcPr>
          <w:p w14:paraId="52DD1395"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130.8393</w:t>
            </w:r>
          </w:p>
        </w:tc>
        <w:tc>
          <w:tcPr>
            <w:tcW w:w="0" w:type="auto"/>
            <w:tcBorders>
              <w:top w:val="nil"/>
              <w:left w:val="nil"/>
              <w:bottom w:val="single" w:sz="4" w:space="0" w:color="auto"/>
              <w:right w:val="single" w:sz="4" w:space="0" w:color="auto"/>
            </w:tcBorders>
            <w:shd w:val="clear" w:color="000000" w:fill="FFFFFF"/>
            <w:noWrap/>
            <w:vAlign w:val="center"/>
            <w:hideMark/>
          </w:tcPr>
          <w:p w14:paraId="06450A7B"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402.0255</w:t>
            </w:r>
          </w:p>
        </w:tc>
        <w:tc>
          <w:tcPr>
            <w:tcW w:w="0" w:type="auto"/>
            <w:tcBorders>
              <w:top w:val="nil"/>
              <w:left w:val="nil"/>
              <w:bottom w:val="single" w:sz="4" w:space="0" w:color="auto"/>
              <w:right w:val="single" w:sz="4" w:space="0" w:color="auto"/>
            </w:tcBorders>
            <w:shd w:val="clear" w:color="000000" w:fill="FFFFFF"/>
            <w:noWrap/>
            <w:vAlign w:val="center"/>
            <w:hideMark/>
          </w:tcPr>
          <w:p w14:paraId="21AFD1E0"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47.02382</w:t>
            </w:r>
          </w:p>
        </w:tc>
        <w:tc>
          <w:tcPr>
            <w:tcW w:w="0" w:type="auto"/>
            <w:tcBorders>
              <w:top w:val="nil"/>
              <w:left w:val="nil"/>
              <w:bottom w:val="single" w:sz="4" w:space="0" w:color="auto"/>
              <w:right w:val="single" w:sz="4" w:space="0" w:color="auto"/>
            </w:tcBorders>
            <w:shd w:val="clear" w:color="000000" w:fill="FFFFFF"/>
            <w:noWrap/>
            <w:vAlign w:val="center"/>
            <w:hideMark/>
          </w:tcPr>
          <w:p w14:paraId="711332E6"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192061</w:t>
            </w:r>
          </w:p>
        </w:tc>
        <w:tc>
          <w:tcPr>
            <w:tcW w:w="0" w:type="auto"/>
            <w:tcBorders>
              <w:top w:val="nil"/>
              <w:left w:val="nil"/>
              <w:bottom w:val="single" w:sz="4" w:space="0" w:color="auto"/>
              <w:right w:val="single" w:sz="4" w:space="0" w:color="auto"/>
            </w:tcBorders>
            <w:shd w:val="clear" w:color="000000" w:fill="FFFFFF"/>
            <w:noWrap/>
            <w:vAlign w:val="center"/>
            <w:hideMark/>
          </w:tcPr>
          <w:p w14:paraId="0894880F"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106420</w:t>
            </w:r>
          </w:p>
        </w:tc>
      </w:tr>
      <w:tr w:rsidR="00E32653" w:rsidRPr="00E32653" w14:paraId="562E16C5" w14:textId="77777777" w:rsidTr="006020CD">
        <w:trPr>
          <w:trHeight w:val="288"/>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59E7B3" w14:textId="3E6AE8A5" w:rsidR="00CE4239" w:rsidRPr="00E32653" w:rsidRDefault="00CE4239" w:rsidP="00B06C9C">
            <w:pPr>
              <w:spacing w:after="0" w:line="240" w:lineRule="auto"/>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LVL-s</w:t>
            </w:r>
            <w:r w:rsidR="00CB6675" w:rsidRPr="00E32653">
              <w:rPr>
                <w:rFonts w:asciiTheme="majorBidi" w:eastAsia="Times New Roman" w:hAnsiTheme="majorBidi" w:cstheme="majorBidi"/>
                <w:b/>
                <w:bCs/>
                <w:sz w:val="18"/>
                <w:szCs w:val="18"/>
              </w:rPr>
              <w:t>oftwood</w:t>
            </w:r>
          </w:p>
        </w:tc>
        <w:tc>
          <w:tcPr>
            <w:tcW w:w="0" w:type="auto"/>
            <w:tcBorders>
              <w:top w:val="nil"/>
              <w:left w:val="nil"/>
              <w:bottom w:val="single" w:sz="4" w:space="0" w:color="auto"/>
              <w:right w:val="single" w:sz="4" w:space="0" w:color="auto"/>
            </w:tcBorders>
            <w:shd w:val="clear" w:color="000000" w:fill="FFFFFF"/>
            <w:noWrap/>
            <w:vAlign w:val="center"/>
            <w:hideMark/>
          </w:tcPr>
          <w:p w14:paraId="1F1A7ED8"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41088</w:t>
            </w:r>
          </w:p>
        </w:tc>
        <w:tc>
          <w:tcPr>
            <w:tcW w:w="0" w:type="auto"/>
            <w:tcBorders>
              <w:top w:val="nil"/>
              <w:left w:val="nil"/>
              <w:bottom w:val="single" w:sz="4" w:space="0" w:color="auto"/>
              <w:right w:val="single" w:sz="4" w:space="0" w:color="auto"/>
            </w:tcBorders>
            <w:shd w:val="clear" w:color="000000" w:fill="FFFFFF"/>
            <w:noWrap/>
            <w:vAlign w:val="center"/>
            <w:hideMark/>
          </w:tcPr>
          <w:p w14:paraId="5680DC84"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2084.618</w:t>
            </w:r>
          </w:p>
        </w:tc>
        <w:tc>
          <w:tcPr>
            <w:tcW w:w="0" w:type="auto"/>
            <w:tcBorders>
              <w:top w:val="nil"/>
              <w:left w:val="nil"/>
              <w:bottom w:val="single" w:sz="4" w:space="0" w:color="auto"/>
              <w:right w:val="single" w:sz="4" w:space="0" w:color="auto"/>
            </w:tcBorders>
            <w:shd w:val="clear" w:color="000000" w:fill="FFFFFF"/>
            <w:noWrap/>
            <w:vAlign w:val="center"/>
            <w:hideMark/>
          </w:tcPr>
          <w:p w14:paraId="289888B3"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20888.6</w:t>
            </w:r>
          </w:p>
        </w:tc>
        <w:tc>
          <w:tcPr>
            <w:tcW w:w="0" w:type="auto"/>
            <w:tcBorders>
              <w:top w:val="nil"/>
              <w:left w:val="nil"/>
              <w:bottom w:val="single" w:sz="4" w:space="0" w:color="auto"/>
              <w:right w:val="single" w:sz="4" w:space="0" w:color="auto"/>
            </w:tcBorders>
            <w:shd w:val="clear" w:color="000000" w:fill="FFFFFF"/>
            <w:noWrap/>
            <w:vAlign w:val="center"/>
            <w:hideMark/>
          </w:tcPr>
          <w:p w14:paraId="7EC0FF35"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128.7244</w:t>
            </w:r>
          </w:p>
        </w:tc>
        <w:tc>
          <w:tcPr>
            <w:tcW w:w="0" w:type="auto"/>
            <w:tcBorders>
              <w:top w:val="nil"/>
              <w:left w:val="nil"/>
              <w:bottom w:val="single" w:sz="4" w:space="0" w:color="auto"/>
              <w:right w:val="single" w:sz="4" w:space="0" w:color="auto"/>
            </w:tcBorders>
            <w:shd w:val="clear" w:color="000000" w:fill="FFFFFF"/>
            <w:noWrap/>
            <w:vAlign w:val="center"/>
            <w:hideMark/>
          </w:tcPr>
          <w:p w14:paraId="4D0B9FB2"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396.3474</w:t>
            </w:r>
          </w:p>
        </w:tc>
        <w:tc>
          <w:tcPr>
            <w:tcW w:w="0" w:type="auto"/>
            <w:tcBorders>
              <w:top w:val="nil"/>
              <w:left w:val="nil"/>
              <w:bottom w:val="single" w:sz="4" w:space="0" w:color="auto"/>
              <w:right w:val="single" w:sz="4" w:space="0" w:color="auto"/>
            </w:tcBorders>
            <w:shd w:val="clear" w:color="000000" w:fill="FFFFFF"/>
            <w:noWrap/>
            <w:vAlign w:val="center"/>
            <w:hideMark/>
          </w:tcPr>
          <w:p w14:paraId="51FA4ADA"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46.06255</w:t>
            </w:r>
          </w:p>
        </w:tc>
        <w:tc>
          <w:tcPr>
            <w:tcW w:w="0" w:type="auto"/>
            <w:tcBorders>
              <w:top w:val="nil"/>
              <w:left w:val="nil"/>
              <w:bottom w:val="single" w:sz="4" w:space="0" w:color="auto"/>
              <w:right w:val="single" w:sz="4" w:space="0" w:color="auto"/>
            </w:tcBorders>
            <w:shd w:val="clear" w:color="000000" w:fill="FFFFFF"/>
            <w:noWrap/>
            <w:vAlign w:val="center"/>
            <w:hideMark/>
          </w:tcPr>
          <w:p w14:paraId="0A166936"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191200</w:t>
            </w:r>
          </w:p>
        </w:tc>
        <w:tc>
          <w:tcPr>
            <w:tcW w:w="0" w:type="auto"/>
            <w:tcBorders>
              <w:top w:val="nil"/>
              <w:left w:val="nil"/>
              <w:bottom w:val="single" w:sz="4" w:space="0" w:color="auto"/>
              <w:right w:val="single" w:sz="4" w:space="0" w:color="auto"/>
            </w:tcBorders>
            <w:shd w:val="clear" w:color="000000" w:fill="FFFFFF"/>
            <w:noWrap/>
            <w:vAlign w:val="center"/>
            <w:hideMark/>
          </w:tcPr>
          <w:p w14:paraId="18CEF232" w14:textId="77777777" w:rsidR="00CE4239" w:rsidRPr="00E32653" w:rsidRDefault="00CE4239" w:rsidP="00B06C9C">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97510</w:t>
            </w:r>
          </w:p>
        </w:tc>
      </w:tr>
    </w:tbl>
    <w:p w14:paraId="412C5CA8" w14:textId="1BE46C25" w:rsidR="00647632" w:rsidRPr="00E32653" w:rsidRDefault="007B3DA0" w:rsidP="00B43EA5">
      <w:pPr>
        <w:spacing w:before="240" w:line="276" w:lineRule="auto"/>
        <w:ind w:firstLine="720"/>
        <w:jc w:val="both"/>
        <w:rPr>
          <w:rFonts w:asciiTheme="majorBidi" w:hAnsiTheme="majorBidi" w:cstheme="majorBidi"/>
        </w:rPr>
      </w:pPr>
      <w:r w:rsidRPr="00E32653">
        <w:rPr>
          <w:rFonts w:asciiTheme="majorBidi" w:hAnsiTheme="majorBidi" w:cstheme="majorBidi"/>
        </w:rPr>
        <w:t>Secondly</w:t>
      </w:r>
      <w:r w:rsidR="0070618E" w:rsidRPr="00E32653">
        <w:rPr>
          <w:rFonts w:asciiTheme="majorBidi" w:hAnsiTheme="majorBidi" w:cstheme="majorBidi"/>
        </w:rPr>
        <w:t>, the d</w:t>
      </w:r>
      <w:r w:rsidR="00785914" w:rsidRPr="00E32653">
        <w:rPr>
          <w:rFonts w:asciiTheme="majorBidi" w:hAnsiTheme="majorBidi" w:cstheme="majorBidi"/>
        </w:rPr>
        <w:t xml:space="preserve">ecision matrix </w:t>
      </w:r>
      <w:r w:rsidRPr="00E32653">
        <w:rPr>
          <w:rFonts w:asciiTheme="majorBidi" w:hAnsiTheme="majorBidi" w:cstheme="majorBidi"/>
        </w:rPr>
        <w:t xml:space="preserve">is </w:t>
      </w:r>
      <w:r w:rsidR="001F30CD" w:rsidRPr="00E32653">
        <w:rPr>
          <w:rFonts w:asciiTheme="majorBidi" w:hAnsiTheme="majorBidi" w:cstheme="majorBidi"/>
        </w:rPr>
        <w:t xml:space="preserve">normalized </w:t>
      </w:r>
      <w:r w:rsidR="00785914" w:rsidRPr="00E32653">
        <w:rPr>
          <w:rFonts w:asciiTheme="majorBidi" w:hAnsiTheme="majorBidi" w:cstheme="majorBidi"/>
        </w:rPr>
        <w:t>using equation (3</w:t>
      </w:r>
      <w:r w:rsidR="0070618E" w:rsidRPr="00E32653">
        <w:rPr>
          <w:rFonts w:asciiTheme="majorBidi" w:hAnsiTheme="majorBidi" w:cstheme="majorBidi"/>
        </w:rPr>
        <w:t>)</w:t>
      </w:r>
      <w:r w:rsidR="001F30CD" w:rsidRPr="00E32653">
        <w:rPr>
          <w:rFonts w:asciiTheme="majorBidi" w:hAnsiTheme="majorBidi" w:cstheme="majorBidi"/>
        </w:rPr>
        <w:t xml:space="preserve">. </w:t>
      </w:r>
      <w:r w:rsidR="00B67829" w:rsidRPr="00E32653">
        <w:rPr>
          <w:rFonts w:asciiTheme="majorBidi" w:hAnsiTheme="majorBidi" w:cstheme="majorBidi"/>
        </w:rPr>
        <w:t>The result</w:t>
      </w:r>
      <w:r w:rsidRPr="00E32653">
        <w:rPr>
          <w:rFonts w:asciiTheme="majorBidi" w:hAnsiTheme="majorBidi" w:cstheme="majorBidi"/>
        </w:rPr>
        <w:t>s</w:t>
      </w:r>
      <w:r w:rsidR="00B67829" w:rsidRPr="00E32653">
        <w:rPr>
          <w:rFonts w:asciiTheme="majorBidi" w:hAnsiTheme="majorBidi" w:cstheme="majorBidi"/>
        </w:rPr>
        <w:t xml:space="preserve"> of this stage </w:t>
      </w:r>
      <w:r w:rsidRPr="00E32653">
        <w:rPr>
          <w:rFonts w:asciiTheme="majorBidi" w:hAnsiTheme="majorBidi" w:cstheme="majorBidi"/>
        </w:rPr>
        <w:t>are shown</w:t>
      </w:r>
      <w:r w:rsidR="00B67829" w:rsidRPr="00E32653">
        <w:rPr>
          <w:rFonts w:asciiTheme="majorBidi" w:hAnsiTheme="majorBidi" w:cstheme="majorBidi"/>
        </w:rPr>
        <w:t xml:space="preserve"> in Appendix 1. </w:t>
      </w:r>
      <w:r w:rsidRPr="00E32653">
        <w:rPr>
          <w:rFonts w:asciiTheme="majorBidi" w:hAnsiTheme="majorBidi" w:cstheme="majorBidi"/>
        </w:rPr>
        <w:t xml:space="preserve">Thirdly, </w:t>
      </w:r>
      <w:r w:rsidR="00B67829" w:rsidRPr="00E32653">
        <w:rPr>
          <w:rFonts w:asciiTheme="majorBidi" w:hAnsiTheme="majorBidi" w:cstheme="majorBidi"/>
        </w:rPr>
        <w:t xml:space="preserve">the relative importance </w:t>
      </w:r>
      <w:r w:rsidRPr="00E32653">
        <w:rPr>
          <w:rFonts w:asciiTheme="majorBidi" w:hAnsiTheme="majorBidi" w:cstheme="majorBidi"/>
        </w:rPr>
        <w:t xml:space="preserve">is evaluated </w:t>
      </w:r>
      <w:r w:rsidR="00B67829" w:rsidRPr="00E32653">
        <w:rPr>
          <w:rFonts w:asciiTheme="majorBidi" w:hAnsiTheme="majorBidi" w:cstheme="majorBidi"/>
        </w:rPr>
        <w:t>using equation 4 to disclose the amount of</w:t>
      </w:r>
      <m:oMath>
        <m:r>
          <w:rPr>
            <w:rFonts w:ascii="Cambria Math" w:hAnsi="Cambria Math" w:cstheme="majorBidi"/>
          </w:rPr>
          <m:t xml:space="preserve"> </m:t>
        </m:r>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(1)</m:t>
            </m:r>
          </m:sup>
        </m:sSubSup>
      </m:oMath>
      <w:r w:rsidR="00B67829" w:rsidRPr="00E32653">
        <w:rPr>
          <w:rFonts w:asciiTheme="majorBidi" w:eastAsiaTheme="minorEastAsia" w:hAnsiTheme="majorBidi" w:cstheme="majorBidi"/>
        </w:rPr>
        <w:t xml:space="preserve">. The result of </w:t>
      </w:r>
      <w:r w:rsidRPr="00E32653">
        <w:rPr>
          <w:rFonts w:asciiTheme="majorBidi" w:eastAsiaTheme="minorEastAsia" w:hAnsiTheme="majorBidi" w:cstheme="majorBidi"/>
        </w:rPr>
        <w:t xml:space="preserve">this </w:t>
      </w:r>
      <w:r w:rsidR="00B67829" w:rsidRPr="00E32653">
        <w:rPr>
          <w:rFonts w:asciiTheme="majorBidi" w:eastAsiaTheme="minorEastAsia" w:hAnsiTheme="majorBidi" w:cstheme="majorBidi"/>
        </w:rPr>
        <w:t xml:space="preserve">stage </w:t>
      </w:r>
      <w:r w:rsidRPr="00E32653">
        <w:rPr>
          <w:rFonts w:asciiTheme="majorBidi" w:eastAsiaTheme="minorEastAsia" w:hAnsiTheme="majorBidi" w:cstheme="majorBidi"/>
        </w:rPr>
        <w:t xml:space="preserve">is </w:t>
      </w:r>
      <w:r w:rsidR="00B67829" w:rsidRPr="00E32653">
        <w:rPr>
          <w:rFonts w:asciiTheme="majorBidi" w:eastAsiaTheme="minorEastAsia" w:hAnsiTheme="majorBidi" w:cstheme="majorBidi"/>
        </w:rPr>
        <w:t xml:space="preserve">shown in </w:t>
      </w:r>
      <w:r w:rsidR="00B67829" w:rsidRPr="00E32653">
        <w:rPr>
          <w:rFonts w:asciiTheme="majorBidi" w:hAnsiTheme="majorBidi" w:cstheme="majorBidi"/>
        </w:rPr>
        <w:t xml:space="preserve">Appendix 2 by multiplying the amount of weighing to </w:t>
      </w:r>
      <m:oMath>
        <m:sSub>
          <m:sSubPr>
            <m:ctrlPr>
              <w:rPr>
                <w:rFonts w:ascii="Cambria Math" w:hAnsi="Cambria Math" w:cstheme="majorBidi"/>
              </w:rPr>
            </m:ctrlPr>
          </m:sSubPr>
          <m:e>
            <m:r>
              <w:rPr>
                <w:rFonts w:ascii="Cambria Math" w:hAnsi="Cambria Math" w:cstheme="majorBidi"/>
              </w:rPr>
              <m:t>x</m:t>
            </m:r>
          </m:e>
          <m:sub>
            <m:r>
              <w:rPr>
                <w:rFonts w:ascii="Cambria Math" w:hAnsi="Cambria Math" w:cstheme="majorBidi"/>
              </w:rPr>
              <m:t>ij</m:t>
            </m:r>
          </m:sub>
        </m:sSub>
      </m:oMath>
      <w:r w:rsidR="00B67829" w:rsidRPr="00E32653">
        <w:rPr>
          <w:rFonts w:asciiTheme="majorBidi" w:eastAsiaTheme="minorEastAsia" w:hAnsiTheme="majorBidi" w:cstheme="majorBidi"/>
        </w:rPr>
        <w:t xml:space="preserve">. </w:t>
      </w:r>
      <w:r w:rsidR="00EB51B8" w:rsidRPr="00E32653">
        <w:rPr>
          <w:rFonts w:asciiTheme="majorBidi" w:hAnsiTheme="majorBidi" w:cstheme="majorBidi"/>
        </w:rPr>
        <w:t>For example, the sum of 0.1195, 0.0386, 0.0879, 0.0333</w:t>
      </w:r>
      <w:r w:rsidR="0015433E" w:rsidRPr="00E32653">
        <w:rPr>
          <w:rFonts w:asciiTheme="majorBidi" w:hAnsiTheme="majorBidi" w:cstheme="majorBidi"/>
        </w:rPr>
        <w:t>, 0.0669</w:t>
      </w:r>
      <w:r w:rsidR="00EB51B8" w:rsidRPr="00E32653">
        <w:rPr>
          <w:rFonts w:asciiTheme="majorBidi" w:hAnsiTheme="majorBidi" w:cstheme="majorBidi"/>
        </w:rPr>
        <w:t xml:space="preserve">, 0.0619, 0.0812 and 0.2898 (Appendix 2) </w:t>
      </w:r>
      <w:r w:rsidR="001F30CD" w:rsidRPr="00E32653">
        <w:rPr>
          <w:rFonts w:asciiTheme="majorBidi" w:hAnsiTheme="majorBidi" w:cstheme="majorBidi"/>
        </w:rPr>
        <w:t>is</w:t>
      </w:r>
      <w:r w:rsidR="00EB51B8" w:rsidRPr="00E32653">
        <w:rPr>
          <w:rFonts w:asciiTheme="majorBidi" w:hAnsiTheme="majorBidi" w:cstheme="majorBidi"/>
        </w:rPr>
        <w:t xml:space="preserve"> 0.7791. Step 4 is related to the relative importance using </w:t>
      </w:r>
      <m:oMath>
        <m:sSubSup>
          <m:sSubSupPr>
            <m:ctrlPr>
              <w:rPr>
                <w:rFonts w:ascii="Cambria Math" w:hAnsi="Cambria Math" w:cstheme="majorBidi"/>
              </w:rPr>
            </m:ctrlPr>
          </m:sSubSupPr>
          <m:e>
            <m:r>
              <m:rPr>
                <m:scr m:val="monospace"/>
                <m:sty m:val="p"/>
              </m:rPr>
              <w:rPr>
                <w:rFonts w:ascii="Cambria Math" w:hAnsi="Cambria Math" w:cstheme="majorBidi"/>
              </w:rPr>
              <m:t>Q</m:t>
            </m:r>
          </m:e>
          <m:sub>
            <m:r>
              <w:rPr>
                <w:rFonts w:ascii="Cambria Math" w:hAnsi="Cambria Math" w:cstheme="majorBidi"/>
              </w:rPr>
              <m:t>i</m:t>
            </m:r>
          </m:sub>
          <m:sup>
            <m:r>
              <m:rPr>
                <m:sty m:val="p"/>
              </m:rPr>
              <w:rPr>
                <w:rFonts w:ascii="Cambria Math" w:hAnsi="Cambria Math" w:cstheme="majorBidi"/>
              </w:rPr>
              <m:t>(2)</m:t>
            </m:r>
          </m:sup>
        </m:sSubSup>
      </m:oMath>
      <w:r w:rsidR="00785914" w:rsidRPr="00E32653">
        <w:rPr>
          <w:rFonts w:asciiTheme="majorBidi" w:hAnsiTheme="majorBidi" w:cstheme="majorBidi"/>
        </w:rPr>
        <w:t xml:space="preserve"> using Equation 5</w:t>
      </w:r>
      <w:r w:rsidR="00EB51B8" w:rsidRPr="00E32653">
        <w:rPr>
          <w:rFonts w:asciiTheme="majorBidi" w:hAnsiTheme="majorBidi" w:cstheme="majorBidi"/>
        </w:rPr>
        <w:t xml:space="preserve"> and the calculati</w:t>
      </w:r>
      <w:r w:rsidR="00165F2B" w:rsidRPr="00E32653">
        <w:rPr>
          <w:rFonts w:asciiTheme="majorBidi" w:hAnsiTheme="majorBidi" w:cstheme="majorBidi"/>
        </w:rPr>
        <w:t xml:space="preserve">on is shown in Table </w:t>
      </w:r>
      <w:r w:rsidR="00EB51B8" w:rsidRPr="00E32653">
        <w:rPr>
          <w:rFonts w:asciiTheme="majorBidi" w:hAnsiTheme="majorBidi" w:cstheme="majorBidi"/>
        </w:rPr>
        <w:t xml:space="preserve">7. </w:t>
      </w:r>
      <w:r w:rsidR="00DD6BD3" w:rsidRPr="00E32653">
        <w:rPr>
          <w:rFonts w:asciiTheme="majorBidi" w:hAnsiTheme="majorBidi" w:cstheme="majorBidi"/>
        </w:rPr>
        <w:t>In step 5, the improved ranki</w:t>
      </w:r>
      <w:r w:rsidR="00785914" w:rsidRPr="00E32653">
        <w:rPr>
          <w:rFonts w:asciiTheme="majorBidi" w:hAnsiTheme="majorBidi" w:cstheme="majorBidi"/>
        </w:rPr>
        <w:t xml:space="preserve">ng accuracy </w:t>
      </w:r>
      <w:r w:rsidR="001F30CD" w:rsidRPr="00E32653">
        <w:rPr>
          <w:rFonts w:asciiTheme="majorBidi" w:hAnsiTheme="majorBidi" w:cstheme="majorBidi"/>
        </w:rPr>
        <w:t xml:space="preserve">is estimated </w:t>
      </w:r>
      <w:r w:rsidR="00785914" w:rsidRPr="00E32653">
        <w:rPr>
          <w:rFonts w:asciiTheme="majorBidi" w:hAnsiTheme="majorBidi" w:cstheme="majorBidi"/>
        </w:rPr>
        <w:t>by using equation 6</w:t>
      </w:r>
      <w:r w:rsidR="00DD6BD3" w:rsidRPr="00E32653">
        <w:rPr>
          <w:rFonts w:asciiTheme="majorBidi" w:hAnsiTheme="majorBidi" w:cstheme="majorBidi"/>
        </w:rPr>
        <w:t xml:space="preserve">. </w:t>
      </w:r>
      <w:r w:rsidR="009219ED" w:rsidRPr="00E32653">
        <w:rPr>
          <w:rFonts w:asciiTheme="majorBidi" w:hAnsiTheme="majorBidi" w:cstheme="majorBidi"/>
        </w:rPr>
        <w:t xml:space="preserve">The </w:t>
      </w:r>
      <w:r w:rsidR="0015433E" w:rsidRPr="00E32653">
        <w:rPr>
          <w:rFonts w:asciiTheme="majorBidi" w:hAnsiTheme="majorBidi" w:cstheme="majorBidi"/>
        </w:rPr>
        <w:t>result</w:t>
      </w:r>
      <w:r w:rsidR="009219ED" w:rsidRPr="00E32653">
        <w:rPr>
          <w:rFonts w:asciiTheme="majorBidi" w:hAnsiTheme="majorBidi" w:cstheme="majorBidi"/>
        </w:rPr>
        <w:t xml:space="preserve"> </w:t>
      </w:r>
      <w:r w:rsidR="001F30CD" w:rsidRPr="00E32653">
        <w:rPr>
          <w:rFonts w:asciiTheme="majorBidi" w:hAnsiTheme="majorBidi" w:cstheme="majorBidi"/>
        </w:rPr>
        <w:t>is</w:t>
      </w:r>
      <w:r w:rsidR="004C6EA7" w:rsidRPr="00E32653">
        <w:rPr>
          <w:rFonts w:asciiTheme="majorBidi" w:hAnsiTheme="majorBidi" w:cstheme="majorBidi"/>
        </w:rPr>
        <w:t xml:space="preserve"> </w:t>
      </w:r>
      <w:r w:rsidR="009219ED" w:rsidRPr="00E32653">
        <w:rPr>
          <w:rFonts w:asciiTheme="majorBidi" w:hAnsiTheme="majorBidi" w:cstheme="majorBidi"/>
        </w:rPr>
        <w:t xml:space="preserve">0.772, 0.816, 0.912 and 0.948 respectively for GLT-h, GLT-S, LVL-h and LVL-s. </w:t>
      </w:r>
      <w:r w:rsidR="00B43EA5" w:rsidRPr="00E32653">
        <w:rPr>
          <w:rFonts w:asciiTheme="majorBidi" w:hAnsiTheme="majorBidi" w:cstheme="majorBidi"/>
        </w:rPr>
        <w:t>The case study with the higher value or score at this stage depicts as the best option.</w:t>
      </w:r>
      <w:r w:rsidR="00B43EA5" w:rsidRPr="00E32653">
        <w:rPr>
          <w:rFonts w:asciiTheme="majorBidi" w:hAnsiTheme="majorBidi" w:cstheme="majorBidi"/>
          <w:sz w:val="23"/>
          <w:szCs w:val="23"/>
        </w:rPr>
        <w:t xml:space="preserve"> </w:t>
      </w:r>
      <w:r w:rsidR="0015433E" w:rsidRPr="00E32653">
        <w:rPr>
          <w:rFonts w:asciiTheme="majorBidi" w:hAnsiTheme="majorBidi" w:cstheme="majorBidi"/>
        </w:rPr>
        <w:t>The</w:t>
      </w:r>
      <w:r w:rsidR="009219ED" w:rsidRPr="00E32653">
        <w:rPr>
          <w:rFonts w:asciiTheme="majorBidi" w:hAnsiTheme="majorBidi" w:cstheme="majorBidi"/>
        </w:rPr>
        <w:t xml:space="preserve"> higher score represents as a priority and best option. </w:t>
      </w:r>
      <w:r w:rsidR="00B43EA5" w:rsidRPr="00E32653">
        <w:rPr>
          <w:rFonts w:asciiTheme="majorBidi" w:hAnsiTheme="majorBidi" w:cstheme="majorBidi"/>
        </w:rPr>
        <w:t>Thus</w:t>
      </w:r>
      <w:r w:rsidR="00F337D0" w:rsidRPr="00E32653">
        <w:rPr>
          <w:rFonts w:asciiTheme="majorBidi" w:hAnsiTheme="majorBidi" w:cstheme="majorBidi"/>
        </w:rPr>
        <w:t>, LVL-s is</w:t>
      </w:r>
      <w:r w:rsidR="00B43EA5" w:rsidRPr="00E32653">
        <w:rPr>
          <w:rFonts w:asciiTheme="majorBidi" w:hAnsiTheme="majorBidi" w:cstheme="majorBidi"/>
        </w:rPr>
        <w:t xml:space="preserve"> considered as</w:t>
      </w:r>
      <w:r w:rsidR="00F337D0" w:rsidRPr="00E32653">
        <w:rPr>
          <w:rFonts w:asciiTheme="majorBidi" w:hAnsiTheme="majorBidi" w:cstheme="majorBidi"/>
        </w:rPr>
        <w:t xml:space="preserve"> the best material choice among alternatives since it achieved the h</w:t>
      </w:r>
      <w:r w:rsidR="009219ED" w:rsidRPr="00E32653">
        <w:rPr>
          <w:rFonts w:asciiTheme="majorBidi" w:hAnsiTheme="majorBidi" w:cstheme="majorBidi"/>
        </w:rPr>
        <w:t>i</w:t>
      </w:r>
      <w:r w:rsidR="00F337D0" w:rsidRPr="00E32653">
        <w:rPr>
          <w:rFonts w:asciiTheme="majorBidi" w:hAnsiTheme="majorBidi" w:cstheme="majorBidi"/>
        </w:rPr>
        <w:t>ghe</w:t>
      </w:r>
      <w:r w:rsidR="009219ED" w:rsidRPr="00E32653">
        <w:rPr>
          <w:rFonts w:asciiTheme="majorBidi" w:hAnsiTheme="majorBidi" w:cstheme="majorBidi"/>
        </w:rPr>
        <w:t xml:space="preserve">st </w:t>
      </w:r>
      <w:r w:rsidR="00F337D0" w:rsidRPr="00E32653">
        <w:rPr>
          <w:rFonts w:asciiTheme="majorBidi" w:hAnsiTheme="majorBidi" w:cstheme="majorBidi"/>
        </w:rPr>
        <w:t xml:space="preserve">total </w:t>
      </w:r>
      <w:r w:rsidR="009219ED" w:rsidRPr="00E32653">
        <w:rPr>
          <w:rFonts w:asciiTheme="majorBidi" w:hAnsiTheme="majorBidi" w:cstheme="majorBidi"/>
        </w:rPr>
        <w:t>score.</w:t>
      </w:r>
    </w:p>
    <w:p w14:paraId="5DEB71BF" w14:textId="3D53F9F3" w:rsidR="004505F7" w:rsidRPr="00E32653" w:rsidRDefault="00E80A40" w:rsidP="00C82B4A">
      <w:pPr>
        <w:spacing w:before="240" w:after="0"/>
        <w:ind w:left="1080"/>
        <w:rPr>
          <w:rFonts w:asciiTheme="majorBidi" w:hAnsiTheme="majorBidi" w:cstheme="majorBidi"/>
        </w:rPr>
      </w:pPr>
      <w:r w:rsidRPr="00E32653">
        <w:rPr>
          <w:rFonts w:asciiTheme="majorBidi" w:hAnsiTheme="majorBidi" w:cstheme="majorBidi"/>
        </w:rPr>
        <w:lastRenderedPageBreak/>
        <w:t>Table</w:t>
      </w:r>
      <w:r w:rsidR="00165F2B" w:rsidRPr="00E32653">
        <w:rPr>
          <w:rFonts w:asciiTheme="majorBidi" w:hAnsiTheme="majorBidi" w:cstheme="majorBidi"/>
        </w:rPr>
        <w:t xml:space="preserve"> </w:t>
      </w:r>
      <w:r w:rsidR="00BE71CB" w:rsidRPr="00E32653">
        <w:rPr>
          <w:rFonts w:asciiTheme="majorBidi" w:hAnsiTheme="majorBidi" w:cstheme="majorBidi"/>
        </w:rPr>
        <w:t>7</w:t>
      </w:r>
      <w:r w:rsidR="004505F7" w:rsidRPr="00E32653">
        <w:rPr>
          <w:rFonts w:asciiTheme="majorBidi" w:hAnsiTheme="majorBidi" w:cstheme="majorBidi"/>
        </w:rPr>
        <w:t xml:space="preserve">. </w:t>
      </w:r>
      <w:r w:rsidR="00B015FB" w:rsidRPr="00E32653">
        <w:rPr>
          <w:rFonts w:asciiTheme="majorBidi" w:hAnsiTheme="majorBidi" w:cstheme="majorBidi"/>
        </w:rPr>
        <w:t xml:space="preserve">The results of ranking </w:t>
      </w:r>
      <w:r w:rsidR="00C82B4A" w:rsidRPr="00E32653">
        <w:rPr>
          <w:rFonts w:asciiTheme="majorBidi" w:hAnsiTheme="majorBidi" w:cstheme="majorBidi"/>
        </w:rPr>
        <w:t>of MCDM</w:t>
      </w:r>
      <w:r w:rsidR="00B015FB" w:rsidRPr="00E32653">
        <w:rPr>
          <w:rFonts w:asciiTheme="majorBidi" w:hAnsiTheme="majorBidi" w:cstheme="majorBidi"/>
        </w:rPr>
        <w:t xml:space="preserve"> analysis</w:t>
      </w:r>
      <w:r w:rsidR="00C82B4A" w:rsidRPr="00E32653">
        <w:rPr>
          <w:rFonts w:asciiTheme="majorBidi" w:hAnsiTheme="majorBidi" w:cstheme="majorBidi"/>
        </w:rPr>
        <w:t xml:space="preserve"> by</w:t>
      </w:r>
      <w:r w:rsidR="00B015FB" w:rsidRPr="00E32653">
        <w:rPr>
          <w:rFonts w:asciiTheme="majorBidi" w:hAnsiTheme="majorBidi" w:cstheme="majorBidi"/>
        </w:rPr>
        <w:t xml:space="preserve"> WASPAS</w:t>
      </w:r>
    </w:p>
    <w:tbl>
      <w:tblPr>
        <w:tblW w:w="8603" w:type="dxa"/>
        <w:jc w:val="center"/>
        <w:tblLook w:val="04A0" w:firstRow="1" w:lastRow="0" w:firstColumn="1" w:lastColumn="0" w:noHBand="0" w:noVBand="1"/>
      </w:tblPr>
      <w:tblGrid>
        <w:gridCol w:w="1586"/>
        <w:gridCol w:w="764"/>
        <w:gridCol w:w="764"/>
        <w:gridCol w:w="764"/>
        <w:gridCol w:w="764"/>
        <w:gridCol w:w="764"/>
        <w:gridCol w:w="764"/>
        <w:gridCol w:w="764"/>
        <w:gridCol w:w="764"/>
        <w:gridCol w:w="238"/>
        <w:gridCol w:w="667"/>
      </w:tblGrid>
      <w:tr w:rsidR="00E32653" w:rsidRPr="00E32653" w14:paraId="5ECAA1A8" w14:textId="77777777" w:rsidTr="00DD5EDD">
        <w:trPr>
          <w:trHeight w:val="356"/>
          <w:jc w:val="cent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2C7788A0"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 </w:t>
            </w:r>
            <w:r w:rsidR="000B2B12" w:rsidRPr="00E32653">
              <w:rPr>
                <w:rFonts w:asciiTheme="majorBidi" w:eastAsia="Times New Roman" w:hAnsiTheme="majorBidi" w:cstheme="majorBidi"/>
                <w:b/>
                <w:bCs/>
                <w:i/>
                <w:iCs/>
                <w:sz w:val="20"/>
                <w:szCs w:val="20"/>
              </w:rPr>
              <w:t>Alternatives</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0C12C9C"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GWP</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DD8FEEB"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HT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8B83139"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FD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D45315C"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OD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28369E4"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TE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6823702"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LU</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C84FFC7"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EE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355523AD" w14:textId="77777777" w:rsidR="00811E17" w:rsidRPr="00E32653" w:rsidRDefault="00811E17"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COST</w:t>
            </w:r>
          </w:p>
        </w:tc>
        <w:tc>
          <w:tcPr>
            <w:tcW w:w="0" w:type="auto"/>
            <w:tcBorders>
              <w:top w:val="single" w:sz="4" w:space="0" w:color="auto"/>
              <w:left w:val="single" w:sz="4" w:space="0" w:color="auto"/>
              <w:right w:val="single" w:sz="4" w:space="0" w:color="auto"/>
            </w:tcBorders>
            <w:shd w:val="clear" w:color="auto" w:fill="FFFFFF" w:themeFill="background1"/>
            <w:vAlign w:val="center"/>
          </w:tcPr>
          <w:p w14:paraId="1E466809" w14:textId="77777777" w:rsidR="00811E17" w:rsidRPr="00E32653" w:rsidRDefault="00811E17" w:rsidP="00B06C9C">
            <w:pPr>
              <w:spacing w:after="0"/>
              <w:rPr>
                <w:rFonts w:asciiTheme="majorBidi" w:eastAsia="Times New Roman" w:hAnsiTheme="majorBidi" w:cstheme="majorBidi"/>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0E11DFFD" w14:textId="77777777" w:rsidR="00811E17" w:rsidRPr="00E32653" w:rsidRDefault="001D7EC6" w:rsidP="00B06C9C">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Q2</w:t>
            </w:r>
          </w:p>
        </w:tc>
      </w:tr>
      <w:tr w:rsidR="00E32653" w:rsidRPr="00E32653" w14:paraId="488D7924" w14:textId="77777777" w:rsidTr="00DD5EDD">
        <w:trPr>
          <w:trHeight w:val="30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EA8A571" w14:textId="0D982C85"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GLT-Hardwood</w:t>
            </w:r>
          </w:p>
        </w:tc>
        <w:tc>
          <w:tcPr>
            <w:tcW w:w="0" w:type="auto"/>
            <w:tcBorders>
              <w:top w:val="nil"/>
              <w:left w:val="nil"/>
              <w:bottom w:val="single" w:sz="4" w:space="0" w:color="auto"/>
              <w:right w:val="single" w:sz="4" w:space="0" w:color="auto"/>
            </w:tcBorders>
            <w:shd w:val="clear" w:color="000000" w:fill="FFFFFF"/>
            <w:noWrap/>
            <w:vAlign w:val="center"/>
            <w:hideMark/>
          </w:tcPr>
          <w:p w14:paraId="46DF99BF"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0.9418</w:t>
            </w:r>
          </w:p>
        </w:tc>
        <w:tc>
          <w:tcPr>
            <w:tcW w:w="0" w:type="auto"/>
            <w:tcBorders>
              <w:top w:val="nil"/>
              <w:left w:val="nil"/>
              <w:bottom w:val="single" w:sz="4" w:space="0" w:color="auto"/>
              <w:right w:val="single" w:sz="4" w:space="0" w:color="auto"/>
            </w:tcBorders>
            <w:shd w:val="clear" w:color="000000" w:fill="FFFFFF"/>
            <w:noWrap/>
            <w:vAlign w:val="center"/>
            <w:hideMark/>
          </w:tcPr>
          <w:p w14:paraId="0B1A08FC"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0.9996</w:t>
            </w:r>
          </w:p>
        </w:tc>
        <w:tc>
          <w:tcPr>
            <w:tcW w:w="0" w:type="auto"/>
            <w:tcBorders>
              <w:top w:val="nil"/>
              <w:left w:val="nil"/>
              <w:bottom w:val="single" w:sz="4" w:space="0" w:color="auto"/>
              <w:right w:val="single" w:sz="4" w:space="0" w:color="auto"/>
            </w:tcBorders>
            <w:shd w:val="clear" w:color="000000" w:fill="FFFFFF"/>
            <w:noWrap/>
            <w:vAlign w:val="center"/>
            <w:hideMark/>
          </w:tcPr>
          <w:p w14:paraId="00D761CD"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0.9999</w:t>
            </w:r>
          </w:p>
        </w:tc>
        <w:tc>
          <w:tcPr>
            <w:tcW w:w="0" w:type="auto"/>
            <w:tcBorders>
              <w:top w:val="nil"/>
              <w:left w:val="nil"/>
              <w:bottom w:val="single" w:sz="4" w:space="0" w:color="auto"/>
              <w:right w:val="single" w:sz="4" w:space="0" w:color="auto"/>
            </w:tcBorders>
            <w:shd w:val="clear" w:color="000000" w:fill="FFFFFF"/>
            <w:noWrap/>
            <w:vAlign w:val="center"/>
            <w:hideMark/>
          </w:tcPr>
          <w:p w14:paraId="61CF9611"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0.9742</w:t>
            </w:r>
          </w:p>
        </w:tc>
        <w:tc>
          <w:tcPr>
            <w:tcW w:w="0" w:type="auto"/>
            <w:tcBorders>
              <w:top w:val="nil"/>
              <w:left w:val="nil"/>
              <w:bottom w:val="single" w:sz="4" w:space="0" w:color="auto"/>
              <w:right w:val="single" w:sz="4" w:space="0" w:color="auto"/>
            </w:tcBorders>
            <w:shd w:val="clear" w:color="000000" w:fill="FFFFFF"/>
            <w:noWrap/>
            <w:vAlign w:val="center"/>
            <w:hideMark/>
          </w:tcPr>
          <w:p w14:paraId="73BCE48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0.9999</w:t>
            </w:r>
          </w:p>
        </w:tc>
        <w:tc>
          <w:tcPr>
            <w:tcW w:w="0" w:type="auto"/>
            <w:tcBorders>
              <w:top w:val="nil"/>
              <w:left w:val="nil"/>
              <w:bottom w:val="single" w:sz="4" w:space="0" w:color="auto"/>
              <w:right w:val="single" w:sz="4" w:space="0" w:color="auto"/>
            </w:tcBorders>
            <w:shd w:val="clear" w:color="000000" w:fill="FFFFFF"/>
            <w:noWrap/>
            <w:vAlign w:val="center"/>
            <w:hideMark/>
          </w:tcPr>
          <w:p w14:paraId="309869AF"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0.9560</w:t>
            </w:r>
          </w:p>
        </w:tc>
        <w:tc>
          <w:tcPr>
            <w:tcW w:w="0" w:type="auto"/>
            <w:tcBorders>
              <w:top w:val="nil"/>
              <w:left w:val="nil"/>
              <w:bottom w:val="single" w:sz="4" w:space="0" w:color="auto"/>
              <w:right w:val="single" w:sz="4" w:space="0" w:color="auto"/>
            </w:tcBorders>
            <w:shd w:val="clear" w:color="000000" w:fill="FFFFFF"/>
            <w:noWrap/>
            <w:vAlign w:val="center"/>
            <w:hideMark/>
          </w:tcPr>
          <w:p w14:paraId="621B399C"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0.9266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97E0A1C"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0.9428</w:t>
            </w:r>
          </w:p>
        </w:tc>
        <w:tc>
          <w:tcPr>
            <w:tcW w:w="0" w:type="auto"/>
            <w:tcBorders>
              <w:top w:val="nil"/>
              <w:left w:val="single" w:sz="4" w:space="0" w:color="auto"/>
              <w:right w:val="single" w:sz="4" w:space="0" w:color="auto"/>
            </w:tcBorders>
            <w:shd w:val="clear" w:color="000000" w:fill="FFFFFF"/>
            <w:vAlign w:val="center"/>
          </w:tcPr>
          <w:p w14:paraId="0356B85B" w14:textId="77777777" w:rsidR="00CB6675" w:rsidRPr="00E32653" w:rsidRDefault="00CB6675" w:rsidP="00CB6675">
            <w:pPr>
              <w:spacing w:after="0"/>
              <w:rPr>
                <w:rFonts w:asciiTheme="majorBidi" w:eastAsia="Times New Roman" w:hAnsiTheme="majorBidi" w:cstheme="majorBid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B28EA" w14:textId="77777777" w:rsidR="00CB6675" w:rsidRPr="00E32653" w:rsidRDefault="00CB6675" w:rsidP="00CB6675">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0.766</w:t>
            </w:r>
          </w:p>
        </w:tc>
      </w:tr>
      <w:tr w:rsidR="00E32653" w:rsidRPr="00E32653" w14:paraId="1C08F017" w14:textId="77777777" w:rsidTr="00DD5EDD">
        <w:trPr>
          <w:trHeight w:val="30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6D35A3" w14:textId="2521DA98"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GLT-Softwood</w:t>
            </w:r>
          </w:p>
        </w:tc>
        <w:tc>
          <w:tcPr>
            <w:tcW w:w="0" w:type="auto"/>
            <w:tcBorders>
              <w:top w:val="nil"/>
              <w:left w:val="nil"/>
              <w:bottom w:val="single" w:sz="4" w:space="0" w:color="auto"/>
              <w:right w:val="single" w:sz="4" w:space="0" w:color="auto"/>
            </w:tcBorders>
            <w:shd w:val="clear" w:color="000000" w:fill="FFFFFF"/>
            <w:noWrap/>
            <w:vAlign w:val="center"/>
            <w:hideMark/>
          </w:tcPr>
          <w:p w14:paraId="56AFAD11"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0.9438</w:t>
            </w:r>
          </w:p>
        </w:tc>
        <w:tc>
          <w:tcPr>
            <w:tcW w:w="0" w:type="auto"/>
            <w:tcBorders>
              <w:top w:val="nil"/>
              <w:left w:val="nil"/>
              <w:bottom w:val="single" w:sz="4" w:space="0" w:color="auto"/>
              <w:right w:val="single" w:sz="4" w:space="0" w:color="auto"/>
            </w:tcBorders>
            <w:shd w:val="clear" w:color="000000" w:fill="FFFFFF"/>
            <w:noWrap/>
            <w:vAlign w:val="center"/>
            <w:hideMark/>
          </w:tcPr>
          <w:p w14:paraId="2C8F52F2"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16DEBB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0F901E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0.9753</w:t>
            </w:r>
          </w:p>
        </w:tc>
        <w:tc>
          <w:tcPr>
            <w:tcW w:w="0" w:type="auto"/>
            <w:tcBorders>
              <w:top w:val="nil"/>
              <w:left w:val="nil"/>
              <w:bottom w:val="single" w:sz="4" w:space="0" w:color="auto"/>
              <w:right w:val="single" w:sz="4" w:space="0" w:color="auto"/>
            </w:tcBorders>
            <w:shd w:val="clear" w:color="000000" w:fill="FFFFFF"/>
            <w:noWrap/>
            <w:vAlign w:val="center"/>
            <w:hideMark/>
          </w:tcPr>
          <w:p w14:paraId="2BCBEC9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941251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0.9559</w:t>
            </w:r>
          </w:p>
        </w:tc>
        <w:tc>
          <w:tcPr>
            <w:tcW w:w="0" w:type="auto"/>
            <w:tcBorders>
              <w:top w:val="nil"/>
              <w:left w:val="nil"/>
              <w:bottom w:val="single" w:sz="4" w:space="0" w:color="auto"/>
              <w:right w:val="single" w:sz="4" w:space="0" w:color="auto"/>
            </w:tcBorders>
            <w:shd w:val="clear" w:color="000000" w:fill="FFFFFF"/>
            <w:noWrap/>
            <w:vAlign w:val="center"/>
            <w:hideMark/>
          </w:tcPr>
          <w:p w14:paraId="6339C0D2"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0.9286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9A718B9"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0.9875</w:t>
            </w:r>
          </w:p>
        </w:tc>
        <w:tc>
          <w:tcPr>
            <w:tcW w:w="0" w:type="auto"/>
            <w:tcBorders>
              <w:top w:val="nil"/>
              <w:left w:val="single" w:sz="4" w:space="0" w:color="auto"/>
              <w:right w:val="single" w:sz="4" w:space="0" w:color="auto"/>
            </w:tcBorders>
            <w:shd w:val="clear" w:color="000000" w:fill="FFFFFF"/>
            <w:vAlign w:val="center"/>
          </w:tcPr>
          <w:p w14:paraId="5A6C4247" w14:textId="77777777" w:rsidR="00CB6675" w:rsidRPr="00E32653" w:rsidRDefault="00CB6675" w:rsidP="00CB6675">
            <w:pPr>
              <w:spacing w:after="0"/>
              <w:rPr>
                <w:rFonts w:asciiTheme="majorBidi" w:eastAsia="Times New Roman" w:hAnsiTheme="majorBidi" w:cstheme="majorBid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78C2B" w14:textId="77777777" w:rsidR="00CB6675" w:rsidRPr="00E32653" w:rsidRDefault="00CB6675" w:rsidP="00CB6675">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0.807</w:t>
            </w:r>
          </w:p>
        </w:tc>
      </w:tr>
      <w:tr w:rsidR="00E32653" w:rsidRPr="00E32653" w14:paraId="21415A22" w14:textId="77777777" w:rsidTr="00DD5EDD">
        <w:trPr>
          <w:trHeight w:val="30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EF6B1D" w14:textId="0AF708F0"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LVL-Hardwood</w:t>
            </w:r>
          </w:p>
        </w:tc>
        <w:tc>
          <w:tcPr>
            <w:tcW w:w="0" w:type="auto"/>
            <w:tcBorders>
              <w:top w:val="nil"/>
              <w:left w:val="nil"/>
              <w:bottom w:val="single" w:sz="4" w:space="0" w:color="auto"/>
              <w:right w:val="single" w:sz="4" w:space="0" w:color="auto"/>
            </w:tcBorders>
            <w:shd w:val="clear" w:color="000000" w:fill="FFFFFF"/>
            <w:noWrap/>
            <w:vAlign w:val="center"/>
            <w:hideMark/>
          </w:tcPr>
          <w:p w14:paraId="04ECF953"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0.9978</w:t>
            </w:r>
          </w:p>
        </w:tc>
        <w:tc>
          <w:tcPr>
            <w:tcW w:w="0" w:type="auto"/>
            <w:tcBorders>
              <w:top w:val="nil"/>
              <w:left w:val="nil"/>
              <w:bottom w:val="single" w:sz="4" w:space="0" w:color="auto"/>
              <w:right w:val="single" w:sz="4" w:space="0" w:color="auto"/>
            </w:tcBorders>
            <w:shd w:val="clear" w:color="000000" w:fill="FFFFFF"/>
            <w:noWrap/>
            <w:vAlign w:val="center"/>
            <w:hideMark/>
          </w:tcPr>
          <w:p w14:paraId="1225AB10"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0.9927</w:t>
            </w:r>
          </w:p>
        </w:tc>
        <w:tc>
          <w:tcPr>
            <w:tcW w:w="0" w:type="auto"/>
            <w:tcBorders>
              <w:top w:val="nil"/>
              <w:left w:val="nil"/>
              <w:bottom w:val="single" w:sz="4" w:space="0" w:color="auto"/>
              <w:right w:val="single" w:sz="4" w:space="0" w:color="auto"/>
            </w:tcBorders>
            <w:shd w:val="clear" w:color="000000" w:fill="FFFFFF"/>
            <w:noWrap/>
            <w:vAlign w:val="center"/>
            <w:hideMark/>
          </w:tcPr>
          <w:p w14:paraId="4A204A58"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0.9728</w:t>
            </w:r>
          </w:p>
        </w:tc>
        <w:tc>
          <w:tcPr>
            <w:tcW w:w="0" w:type="auto"/>
            <w:tcBorders>
              <w:top w:val="nil"/>
              <w:left w:val="nil"/>
              <w:bottom w:val="single" w:sz="4" w:space="0" w:color="auto"/>
              <w:right w:val="single" w:sz="4" w:space="0" w:color="auto"/>
            </w:tcBorders>
            <w:shd w:val="clear" w:color="000000" w:fill="FFFFFF"/>
            <w:noWrap/>
            <w:vAlign w:val="center"/>
            <w:hideMark/>
          </w:tcPr>
          <w:p w14:paraId="53D10163"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0.9991</w:t>
            </w:r>
          </w:p>
        </w:tc>
        <w:tc>
          <w:tcPr>
            <w:tcW w:w="0" w:type="auto"/>
            <w:tcBorders>
              <w:top w:val="nil"/>
              <w:left w:val="nil"/>
              <w:bottom w:val="single" w:sz="4" w:space="0" w:color="auto"/>
              <w:right w:val="single" w:sz="4" w:space="0" w:color="auto"/>
            </w:tcBorders>
            <w:shd w:val="clear" w:color="000000" w:fill="FFFFFF"/>
            <w:noWrap/>
            <w:vAlign w:val="center"/>
            <w:hideMark/>
          </w:tcPr>
          <w:p w14:paraId="142F10A1"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0.9763</w:t>
            </w:r>
          </w:p>
        </w:tc>
        <w:tc>
          <w:tcPr>
            <w:tcW w:w="0" w:type="auto"/>
            <w:tcBorders>
              <w:top w:val="nil"/>
              <w:left w:val="nil"/>
              <w:bottom w:val="single" w:sz="4" w:space="0" w:color="auto"/>
              <w:right w:val="single" w:sz="4" w:space="0" w:color="auto"/>
            </w:tcBorders>
            <w:shd w:val="clear" w:color="000000" w:fill="FFFFFF"/>
            <w:noWrap/>
            <w:vAlign w:val="center"/>
            <w:hideMark/>
          </w:tcPr>
          <w:p w14:paraId="6C9DA5E9"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0.9980</w:t>
            </w:r>
          </w:p>
        </w:tc>
        <w:tc>
          <w:tcPr>
            <w:tcW w:w="0" w:type="auto"/>
            <w:tcBorders>
              <w:top w:val="nil"/>
              <w:left w:val="nil"/>
              <w:bottom w:val="single" w:sz="4" w:space="0" w:color="auto"/>
              <w:right w:val="single" w:sz="4" w:space="0" w:color="auto"/>
            </w:tcBorders>
            <w:shd w:val="clear" w:color="000000" w:fill="FFFFFF"/>
            <w:noWrap/>
            <w:vAlign w:val="center"/>
            <w:hideMark/>
          </w:tcPr>
          <w:p w14:paraId="76F2C909"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0.9994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B1765F7"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0.9704</w:t>
            </w:r>
          </w:p>
        </w:tc>
        <w:tc>
          <w:tcPr>
            <w:tcW w:w="0" w:type="auto"/>
            <w:tcBorders>
              <w:top w:val="nil"/>
              <w:left w:val="single" w:sz="4" w:space="0" w:color="auto"/>
              <w:right w:val="single" w:sz="4" w:space="0" w:color="auto"/>
            </w:tcBorders>
            <w:shd w:val="clear" w:color="000000" w:fill="FFFFFF"/>
            <w:vAlign w:val="center"/>
          </w:tcPr>
          <w:p w14:paraId="2BAF8CC6" w14:textId="77777777" w:rsidR="00CB6675" w:rsidRPr="00E32653" w:rsidRDefault="00CB6675" w:rsidP="00CB6675">
            <w:pPr>
              <w:spacing w:after="0"/>
              <w:rPr>
                <w:rFonts w:asciiTheme="majorBidi" w:eastAsia="Times New Roman" w:hAnsiTheme="majorBidi" w:cstheme="majorBid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B84BD2" w14:textId="77777777" w:rsidR="00CB6675" w:rsidRPr="00E32653" w:rsidRDefault="00CB6675" w:rsidP="00CB6675">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0.910</w:t>
            </w:r>
          </w:p>
        </w:tc>
      </w:tr>
      <w:tr w:rsidR="00E32653" w:rsidRPr="00E32653" w14:paraId="0BE97FBB" w14:textId="77777777" w:rsidTr="00DD5EDD">
        <w:trPr>
          <w:trHeight w:val="301"/>
          <w:jc w:val="center"/>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2B8F95" w14:textId="29A85889"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LVL-softwood</w:t>
            </w:r>
          </w:p>
        </w:tc>
        <w:tc>
          <w:tcPr>
            <w:tcW w:w="0" w:type="auto"/>
            <w:tcBorders>
              <w:top w:val="nil"/>
              <w:left w:val="nil"/>
              <w:bottom w:val="single" w:sz="4" w:space="0" w:color="auto"/>
              <w:right w:val="single" w:sz="4" w:space="0" w:color="auto"/>
            </w:tcBorders>
            <w:shd w:val="clear" w:color="000000" w:fill="FFFFFF"/>
            <w:noWrap/>
            <w:vAlign w:val="center"/>
            <w:hideMark/>
          </w:tcPr>
          <w:p w14:paraId="1930410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6B3BE469"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0.9933</w:t>
            </w:r>
          </w:p>
        </w:tc>
        <w:tc>
          <w:tcPr>
            <w:tcW w:w="0" w:type="auto"/>
            <w:tcBorders>
              <w:top w:val="nil"/>
              <w:left w:val="nil"/>
              <w:bottom w:val="single" w:sz="4" w:space="0" w:color="auto"/>
              <w:right w:val="single" w:sz="4" w:space="0" w:color="auto"/>
            </w:tcBorders>
            <w:shd w:val="clear" w:color="000000" w:fill="FFFFFF"/>
            <w:noWrap/>
            <w:vAlign w:val="center"/>
            <w:hideMark/>
          </w:tcPr>
          <w:p w14:paraId="73B690CB"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0.9735</w:t>
            </w:r>
          </w:p>
        </w:tc>
        <w:tc>
          <w:tcPr>
            <w:tcW w:w="0" w:type="auto"/>
            <w:tcBorders>
              <w:top w:val="nil"/>
              <w:left w:val="nil"/>
              <w:bottom w:val="single" w:sz="4" w:space="0" w:color="auto"/>
              <w:right w:val="single" w:sz="4" w:space="0" w:color="auto"/>
            </w:tcBorders>
            <w:shd w:val="clear" w:color="000000" w:fill="FFFFFF"/>
            <w:noWrap/>
            <w:vAlign w:val="center"/>
            <w:hideMark/>
          </w:tcPr>
          <w:p w14:paraId="3DDDB74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DCDF30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0.9772</w:t>
            </w:r>
          </w:p>
        </w:tc>
        <w:tc>
          <w:tcPr>
            <w:tcW w:w="0" w:type="auto"/>
            <w:tcBorders>
              <w:top w:val="nil"/>
              <w:left w:val="nil"/>
              <w:bottom w:val="single" w:sz="4" w:space="0" w:color="auto"/>
              <w:right w:val="single" w:sz="4" w:space="0" w:color="auto"/>
            </w:tcBorders>
            <w:shd w:val="clear" w:color="000000" w:fill="FFFFFF"/>
            <w:noWrap/>
            <w:vAlign w:val="center"/>
            <w:hideMark/>
          </w:tcPr>
          <w:p w14:paraId="60F1C051"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356BBCAB"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131AC6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9B00C23" w14:textId="77777777" w:rsidR="00CB6675" w:rsidRPr="00E32653" w:rsidRDefault="00CB6675" w:rsidP="00CB6675">
            <w:pPr>
              <w:spacing w:after="0"/>
              <w:rPr>
                <w:rFonts w:asciiTheme="majorBidi" w:eastAsia="Times New Roman" w:hAnsiTheme="majorBidi" w:cstheme="majorBid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E8C4F" w14:textId="77777777" w:rsidR="00CB6675" w:rsidRPr="00E32653" w:rsidRDefault="00CB6675" w:rsidP="00CB6675">
            <w:pPr>
              <w:spacing w:after="0"/>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0.945</w:t>
            </w:r>
          </w:p>
        </w:tc>
      </w:tr>
    </w:tbl>
    <w:p w14:paraId="422FF336" w14:textId="1F8000DF" w:rsidR="00952C21" w:rsidRPr="00E32653" w:rsidRDefault="00952C21" w:rsidP="00952C21">
      <w:pPr>
        <w:spacing w:before="240" w:line="276" w:lineRule="auto"/>
        <w:ind w:firstLine="720"/>
        <w:jc w:val="both"/>
        <w:rPr>
          <w:rFonts w:asciiTheme="majorBidi" w:hAnsiTheme="majorBidi" w:cstheme="majorBidi"/>
        </w:rPr>
      </w:pPr>
      <w:r w:rsidRPr="00E32653">
        <w:rPr>
          <w:rFonts w:asciiTheme="majorBidi" w:eastAsia="Times New Roman" w:hAnsiTheme="majorBidi" w:cstheme="majorBidi"/>
          <w:lang w:val="en-GB"/>
        </w:rPr>
        <w:t>The us</w:t>
      </w:r>
      <w:r w:rsidR="007B3DA0" w:rsidRPr="00E32653">
        <w:rPr>
          <w:rFonts w:asciiTheme="majorBidi" w:eastAsia="Times New Roman" w:hAnsiTheme="majorBidi" w:cstheme="majorBidi"/>
          <w:lang w:val="en-GB"/>
        </w:rPr>
        <w:t>e of</w:t>
      </w:r>
      <w:r w:rsidRPr="00E32653">
        <w:rPr>
          <w:rFonts w:asciiTheme="majorBidi" w:eastAsia="Times New Roman" w:hAnsiTheme="majorBidi" w:cstheme="majorBidi"/>
          <w:lang w:val="en-GB"/>
        </w:rPr>
        <w:t xml:space="preserve"> mass timber or wood </w:t>
      </w:r>
      <w:r w:rsidR="007B3DA0" w:rsidRPr="00E32653">
        <w:rPr>
          <w:rFonts w:asciiTheme="majorBidi" w:eastAsia="Times New Roman" w:hAnsiTheme="majorBidi" w:cstheme="majorBidi"/>
          <w:lang w:val="en-GB"/>
        </w:rPr>
        <w:t>vary</w:t>
      </w:r>
      <w:r w:rsidRPr="00E32653">
        <w:rPr>
          <w:rFonts w:asciiTheme="majorBidi" w:eastAsia="Times New Roman" w:hAnsiTheme="majorBidi" w:cstheme="majorBidi"/>
          <w:lang w:val="en-GB"/>
        </w:rPr>
        <w:t xml:space="preserve"> </w:t>
      </w:r>
      <w:r w:rsidR="007B3DA0" w:rsidRPr="00E32653">
        <w:rPr>
          <w:rFonts w:asciiTheme="majorBidi" w:eastAsia="Times New Roman" w:hAnsiTheme="majorBidi" w:cstheme="majorBidi"/>
          <w:lang w:val="en-GB"/>
        </w:rPr>
        <w:t>from</w:t>
      </w:r>
      <w:r w:rsidRPr="00E32653">
        <w:rPr>
          <w:rFonts w:asciiTheme="majorBidi" w:eastAsia="Times New Roman" w:hAnsiTheme="majorBidi" w:cstheme="majorBidi"/>
          <w:lang w:val="en-GB"/>
        </w:rPr>
        <w:t xml:space="preserve"> countr</w:t>
      </w:r>
      <w:r w:rsidR="007B3DA0" w:rsidRPr="00E32653">
        <w:rPr>
          <w:rFonts w:asciiTheme="majorBidi" w:eastAsia="Times New Roman" w:hAnsiTheme="majorBidi" w:cstheme="majorBidi"/>
          <w:lang w:val="en-GB"/>
        </w:rPr>
        <w:t>y to country</w:t>
      </w:r>
      <w:r w:rsidRPr="00E32653">
        <w:rPr>
          <w:rFonts w:asciiTheme="majorBidi" w:eastAsia="Times New Roman" w:hAnsiTheme="majorBidi" w:cstheme="majorBidi"/>
          <w:lang w:val="en-GB"/>
        </w:rPr>
        <w:t xml:space="preserve"> </w:t>
      </w:r>
      <w:r w:rsidR="007B3DA0" w:rsidRPr="00E32653">
        <w:rPr>
          <w:rFonts w:asciiTheme="majorBidi" w:eastAsia="Times New Roman" w:hAnsiTheme="majorBidi" w:cstheme="majorBidi"/>
          <w:lang w:val="en-GB"/>
        </w:rPr>
        <w:t>for</w:t>
      </w:r>
      <w:r w:rsidRPr="00E32653">
        <w:rPr>
          <w:rFonts w:asciiTheme="majorBidi" w:eastAsia="Times New Roman" w:hAnsiTheme="majorBidi" w:cstheme="majorBidi"/>
          <w:lang w:val="en-GB"/>
        </w:rPr>
        <w:t xml:space="preserve"> many reason</w:t>
      </w:r>
      <w:r w:rsidR="007B3DA0" w:rsidRPr="00E32653">
        <w:rPr>
          <w:rFonts w:asciiTheme="majorBidi" w:eastAsia="Times New Roman" w:hAnsiTheme="majorBidi" w:cstheme="majorBidi"/>
          <w:lang w:val="en-GB"/>
        </w:rPr>
        <w:t>s</w:t>
      </w:r>
      <w:r w:rsidRPr="00E32653">
        <w:rPr>
          <w:rFonts w:asciiTheme="majorBidi" w:eastAsia="Times New Roman" w:hAnsiTheme="majorBidi" w:cstheme="majorBidi"/>
          <w:lang w:val="en-GB"/>
        </w:rPr>
        <w:t xml:space="preserve"> and this </w:t>
      </w:r>
      <w:r w:rsidR="007B3DA0" w:rsidRPr="00E32653">
        <w:rPr>
          <w:rFonts w:asciiTheme="majorBidi" w:eastAsia="Times New Roman" w:hAnsiTheme="majorBidi" w:cstheme="majorBidi"/>
          <w:lang w:val="en-GB"/>
        </w:rPr>
        <w:t xml:space="preserve">may </w:t>
      </w:r>
      <w:r w:rsidRPr="00E32653">
        <w:rPr>
          <w:rFonts w:asciiTheme="majorBidi" w:eastAsia="Times New Roman" w:hAnsiTheme="majorBidi" w:cstheme="majorBidi"/>
          <w:lang w:val="en-GB"/>
        </w:rPr>
        <w:t>affect respondent</w:t>
      </w:r>
      <w:r w:rsidR="007B3DA0" w:rsidRPr="00E32653">
        <w:rPr>
          <w:rFonts w:asciiTheme="majorBidi" w:eastAsia="Times New Roman" w:hAnsiTheme="majorBidi" w:cstheme="majorBidi"/>
          <w:lang w:val="en-GB"/>
        </w:rPr>
        <w:t>s’</w:t>
      </w:r>
      <w:r w:rsidRPr="00E32653">
        <w:rPr>
          <w:rFonts w:asciiTheme="majorBidi" w:eastAsia="Times New Roman" w:hAnsiTheme="majorBidi" w:cstheme="majorBidi"/>
          <w:lang w:val="en-GB"/>
        </w:rPr>
        <w:t xml:space="preserve"> judgment</w:t>
      </w:r>
      <w:r w:rsidR="007B3DA0" w:rsidRPr="00E32653">
        <w:rPr>
          <w:rFonts w:asciiTheme="majorBidi" w:eastAsia="Times New Roman" w:hAnsiTheme="majorBidi" w:cstheme="majorBidi"/>
          <w:lang w:val="en-GB"/>
        </w:rPr>
        <w:t>s</w:t>
      </w:r>
      <w:r w:rsidRPr="00E32653">
        <w:rPr>
          <w:rFonts w:asciiTheme="majorBidi" w:eastAsia="Times New Roman" w:hAnsiTheme="majorBidi" w:cstheme="majorBidi"/>
          <w:lang w:val="en-GB"/>
        </w:rPr>
        <w:t xml:space="preserve">. A sensitivity analysis was performed on the weighting </w:t>
      </w:r>
      <w:r w:rsidR="00007D8B" w:rsidRPr="00E32653">
        <w:rPr>
          <w:rFonts w:asciiTheme="majorBidi" w:eastAsia="Times New Roman" w:hAnsiTheme="majorBidi" w:cstheme="majorBidi"/>
          <w:lang w:val="en-GB"/>
        </w:rPr>
        <w:t xml:space="preserve">results as </w:t>
      </w:r>
      <w:r w:rsidRPr="00E32653">
        <w:rPr>
          <w:rFonts w:asciiTheme="majorBidi" w:eastAsia="Times New Roman" w:hAnsiTheme="majorBidi" w:cstheme="majorBidi"/>
          <w:lang w:val="en-GB"/>
        </w:rPr>
        <w:t>show</w:t>
      </w:r>
      <w:r w:rsidR="00007D8B" w:rsidRPr="00E32653">
        <w:rPr>
          <w:rFonts w:asciiTheme="majorBidi" w:eastAsia="Times New Roman" w:hAnsiTheme="majorBidi" w:cstheme="majorBidi"/>
          <w:lang w:val="en-GB"/>
        </w:rPr>
        <w:t>n</w:t>
      </w:r>
      <w:r w:rsidRPr="00E32653">
        <w:rPr>
          <w:rFonts w:asciiTheme="majorBidi" w:eastAsia="Times New Roman" w:hAnsiTheme="majorBidi" w:cstheme="majorBidi"/>
          <w:lang w:val="en-GB"/>
        </w:rPr>
        <w:t xml:space="preserve"> in table 5. This analysis </w:t>
      </w:r>
      <w:r w:rsidR="00007D8B" w:rsidRPr="00E32653">
        <w:rPr>
          <w:rFonts w:asciiTheme="majorBidi" w:eastAsia="Times New Roman" w:hAnsiTheme="majorBidi" w:cstheme="majorBidi"/>
          <w:lang w:val="en-GB"/>
        </w:rPr>
        <w:t xml:space="preserve">was </w:t>
      </w:r>
      <w:r w:rsidRPr="00E32653">
        <w:rPr>
          <w:rFonts w:asciiTheme="majorBidi" w:eastAsia="Times New Roman" w:hAnsiTheme="majorBidi" w:cstheme="majorBidi"/>
          <w:lang w:val="en-GB"/>
        </w:rPr>
        <w:t xml:space="preserve">to reveal if there </w:t>
      </w:r>
      <w:r w:rsidR="00007D8B" w:rsidRPr="00E32653">
        <w:rPr>
          <w:rFonts w:asciiTheme="majorBidi" w:eastAsia="Times New Roman" w:hAnsiTheme="majorBidi" w:cstheme="majorBidi"/>
          <w:lang w:val="en-GB"/>
        </w:rPr>
        <w:t>wa</w:t>
      </w:r>
      <w:r w:rsidRPr="00E32653">
        <w:rPr>
          <w:rFonts w:asciiTheme="majorBidi" w:eastAsia="Times New Roman" w:hAnsiTheme="majorBidi" w:cstheme="majorBidi"/>
          <w:lang w:val="en-GB"/>
        </w:rPr>
        <w:t>s any subjective influence</w:t>
      </w:r>
      <w:r w:rsidR="00007D8B" w:rsidRPr="00E32653">
        <w:rPr>
          <w:rFonts w:asciiTheme="majorBidi" w:eastAsia="Times New Roman" w:hAnsiTheme="majorBidi" w:cstheme="majorBidi"/>
          <w:lang w:val="en-GB"/>
        </w:rPr>
        <w:t xml:space="preserve"> on</w:t>
      </w:r>
      <w:r w:rsidRPr="00E32653">
        <w:rPr>
          <w:rFonts w:asciiTheme="majorBidi" w:eastAsia="Times New Roman" w:hAnsiTheme="majorBidi" w:cstheme="majorBidi"/>
          <w:lang w:val="en-GB"/>
        </w:rPr>
        <w:t xml:space="preserve"> the ultimate result</w:t>
      </w:r>
      <w:r w:rsidR="00007D8B" w:rsidRPr="00E32653">
        <w:rPr>
          <w:rFonts w:asciiTheme="majorBidi" w:eastAsia="Times New Roman" w:hAnsiTheme="majorBidi" w:cstheme="majorBidi"/>
          <w:lang w:val="en-GB"/>
        </w:rPr>
        <w:t>s</w:t>
      </w:r>
      <w:r w:rsidRPr="00E32653">
        <w:rPr>
          <w:rFonts w:asciiTheme="majorBidi" w:eastAsia="Times New Roman" w:hAnsiTheme="majorBidi" w:cstheme="majorBidi"/>
          <w:lang w:val="en-GB"/>
        </w:rPr>
        <w:t xml:space="preserve"> of the research. All considered weights (Table 5) were assumed to be equal to 0.125 (one divided </w:t>
      </w:r>
      <w:r w:rsidR="007B3DA0" w:rsidRPr="00E32653">
        <w:rPr>
          <w:rFonts w:asciiTheme="majorBidi" w:eastAsia="Times New Roman" w:hAnsiTheme="majorBidi" w:cstheme="majorBidi"/>
          <w:lang w:val="en-GB"/>
        </w:rPr>
        <w:t xml:space="preserve">by </w:t>
      </w:r>
      <w:r w:rsidRPr="00E32653">
        <w:rPr>
          <w:rFonts w:asciiTheme="majorBidi" w:eastAsia="Times New Roman" w:hAnsiTheme="majorBidi" w:cstheme="majorBidi"/>
          <w:lang w:val="en-GB"/>
        </w:rPr>
        <w:t xml:space="preserve">eight). </w:t>
      </w:r>
      <w:r w:rsidRPr="00E32653">
        <w:rPr>
          <w:rFonts w:asciiTheme="majorBidi" w:hAnsiTheme="majorBidi" w:cstheme="majorBidi"/>
        </w:rPr>
        <w:t>The results of the sensitivity analysis are shown in Table 8. It can be concluded that human subjectiv</w:t>
      </w:r>
      <w:r w:rsidR="00007D8B" w:rsidRPr="00E32653">
        <w:rPr>
          <w:rFonts w:asciiTheme="majorBidi" w:hAnsiTheme="majorBidi" w:cstheme="majorBidi"/>
        </w:rPr>
        <w:t>it</w:t>
      </w:r>
      <w:r w:rsidRPr="00E32653">
        <w:rPr>
          <w:rFonts w:asciiTheme="majorBidi" w:hAnsiTheme="majorBidi" w:cstheme="majorBidi"/>
        </w:rPr>
        <w:t xml:space="preserve">y </w:t>
      </w:r>
      <w:r w:rsidR="00007D8B" w:rsidRPr="00E32653">
        <w:rPr>
          <w:rFonts w:asciiTheme="majorBidi" w:hAnsiTheme="majorBidi" w:cstheme="majorBidi"/>
        </w:rPr>
        <w:t xml:space="preserve">had </w:t>
      </w:r>
      <w:r w:rsidRPr="00E32653">
        <w:rPr>
          <w:rFonts w:asciiTheme="majorBidi" w:hAnsiTheme="majorBidi" w:cstheme="majorBidi"/>
        </w:rPr>
        <w:t>no impact on the final decision since the LVL-s is still assigned as the first priority.</w:t>
      </w:r>
    </w:p>
    <w:p w14:paraId="2A5BB544" w14:textId="0D32A41F" w:rsidR="00E80A40" w:rsidRPr="00E32653" w:rsidRDefault="00E80A40" w:rsidP="00E80A40">
      <w:pPr>
        <w:pStyle w:val="ListParagraph"/>
        <w:spacing w:after="0"/>
        <w:ind w:left="1710"/>
        <w:rPr>
          <w:rFonts w:asciiTheme="majorBidi" w:eastAsia="Calibri" w:hAnsiTheme="majorBidi" w:cstheme="majorBidi"/>
          <w:bCs/>
          <w:sz w:val="20"/>
          <w:szCs w:val="20"/>
          <w:shd w:val="clear" w:color="auto" w:fill="FFFFFF"/>
        </w:rPr>
      </w:pPr>
      <w:r w:rsidRPr="00E32653">
        <w:rPr>
          <w:rFonts w:asciiTheme="majorBidi" w:eastAsia="Calibri" w:hAnsiTheme="majorBidi" w:cstheme="majorBidi"/>
          <w:bCs/>
          <w:sz w:val="20"/>
          <w:szCs w:val="20"/>
          <w:shd w:val="clear" w:color="auto" w:fill="FFFFFF"/>
        </w:rPr>
        <w:t>Table 8</w:t>
      </w:r>
      <w:r w:rsidR="003364D9" w:rsidRPr="00E32653">
        <w:rPr>
          <w:rFonts w:asciiTheme="majorBidi" w:eastAsia="Calibri" w:hAnsiTheme="majorBidi" w:cstheme="majorBidi"/>
          <w:bCs/>
          <w:sz w:val="20"/>
          <w:szCs w:val="20"/>
          <w:shd w:val="clear" w:color="auto" w:fill="FFFFFF"/>
        </w:rPr>
        <w:t>.</w:t>
      </w:r>
      <w:r w:rsidRPr="00E32653">
        <w:rPr>
          <w:rFonts w:asciiTheme="majorBidi" w:hAnsiTheme="majorBidi" w:cstheme="majorBidi"/>
          <w:sz w:val="18"/>
          <w:szCs w:val="18"/>
        </w:rPr>
        <w:t xml:space="preserve"> The sensitivity analysis of ranking for the multi-criteria </w:t>
      </w:r>
    </w:p>
    <w:tbl>
      <w:tblPr>
        <w:tblW w:w="6501" w:type="dxa"/>
        <w:jc w:val="center"/>
        <w:tblLook w:val="04A0" w:firstRow="1" w:lastRow="0" w:firstColumn="1" w:lastColumn="0" w:noHBand="0" w:noVBand="1"/>
      </w:tblPr>
      <w:tblGrid>
        <w:gridCol w:w="1849"/>
        <w:gridCol w:w="1182"/>
        <w:gridCol w:w="1182"/>
        <w:gridCol w:w="1460"/>
        <w:gridCol w:w="828"/>
      </w:tblGrid>
      <w:tr w:rsidR="00E32653" w:rsidRPr="00E32653" w14:paraId="78ECCC78" w14:textId="77777777" w:rsidTr="00DD5EDD">
        <w:trPr>
          <w:trHeight w:val="158"/>
          <w:jc w:val="center"/>
        </w:trPr>
        <w:tc>
          <w:tcPr>
            <w:tcW w:w="0" w:type="auto"/>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B45C344" w14:textId="77777777" w:rsidR="00E80A40" w:rsidRPr="00E32653" w:rsidRDefault="00E80A40" w:rsidP="004A0910">
            <w:pPr>
              <w:spacing w:after="0" w:line="240" w:lineRule="auto"/>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 Alternatives</w:t>
            </w:r>
          </w:p>
        </w:tc>
        <w:tc>
          <w:tcPr>
            <w:tcW w:w="0" w:type="auto"/>
            <w:tcBorders>
              <w:top w:val="single" w:sz="4" w:space="0" w:color="auto"/>
              <w:left w:val="nil"/>
              <w:bottom w:val="single" w:sz="4" w:space="0" w:color="auto"/>
              <w:right w:val="single" w:sz="4" w:space="0" w:color="auto"/>
            </w:tcBorders>
            <w:shd w:val="clear" w:color="auto" w:fill="E7E6E6" w:themeFill="background2"/>
            <w:noWrap/>
            <w:vAlign w:val="center"/>
            <w:hideMark/>
          </w:tcPr>
          <w:p w14:paraId="5E60C375" w14:textId="77777777" w:rsidR="00E80A40" w:rsidRPr="00E32653" w:rsidRDefault="00E80A40" w:rsidP="004A0910">
            <w:pPr>
              <w:spacing w:after="0" w:line="240" w:lineRule="auto"/>
              <w:jc w:val="center"/>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Eq 3. Q1</w:t>
            </w:r>
          </w:p>
        </w:tc>
        <w:tc>
          <w:tcPr>
            <w:tcW w:w="0" w:type="auto"/>
            <w:tcBorders>
              <w:top w:val="single" w:sz="4" w:space="0" w:color="auto"/>
              <w:left w:val="nil"/>
              <w:bottom w:val="single" w:sz="4" w:space="0" w:color="auto"/>
              <w:right w:val="single" w:sz="4" w:space="0" w:color="auto"/>
            </w:tcBorders>
            <w:shd w:val="clear" w:color="auto" w:fill="E7E6E6" w:themeFill="background2"/>
            <w:noWrap/>
            <w:vAlign w:val="center"/>
            <w:hideMark/>
          </w:tcPr>
          <w:p w14:paraId="41374718" w14:textId="77777777" w:rsidR="00E80A40" w:rsidRPr="00E32653" w:rsidRDefault="00E80A40" w:rsidP="004A0910">
            <w:pPr>
              <w:spacing w:after="0" w:line="240" w:lineRule="auto"/>
              <w:jc w:val="center"/>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 xml:space="preserve">Eq 4. Q2 </w:t>
            </w:r>
          </w:p>
        </w:tc>
        <w:tc>
          <w:tcPr>
            <w:tcW w:w="0" w:type="auto"/>
            <w:tcBorders>
              <w:top w:val="single" w:sz="4" w:space="0" w:color="auto"/>
              <w:left w:val="nil"/>
              <w:bottom w:val="single" w:sz="4" w:space="0" w:color="auto"/>
              <w:right w:val="single" w:sz="4" w:space="0" w:color="auto"/>
            </w:tcBorders>
            <w:shd w:val="clear" w:color="auto" w:fill="E7E6E6" w:themeFill="background2"/>
            <w:noWrap/>
            <w:vAlign w:val="center"/>
            <w:hideMark/>
          </w:tcPr>
          <w:p w14:paraId="00AF2EF3" w14:textId="77777777" w:rsidR="00E80A40" w:rsidRPr="00E32653" w:rsidRDefault="00E80A40" w:rsidP="004A0910">
            <w:pPr>
              <w:spacing w:after="0" w:line="240" w:lineRule="auto"/>
              <w:jc w:val="center"/>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Eq 5. Score</w:t>
            </w:r>
          </w:p>
        </w:tc>
        <w:tc>
          <w:tcPr>
            <w:tcW w:w="0" w:type="auto"/>
            <w:tcBorders>
              <w:top w:val="single" w:sz="4" w:space="0" w:color="auto"/>
              <w:left w:val="nil"/>
              <w:bottom w:val="single" w:sz="4" w:space="0" w:color="auto"/>
              <w:right w:val="single" w:sz="4" w:space="0" w:color="auto"/>
            </w:tcBorders>
            <w:shd w:val="clear" w:color="auto" w:fill="E7E6E6" w:themeFill="background2"/>
            <w:noWrap/>
            <w:vAlign w:val="center"/>
            <w:hideMark/>
          </w:tcPr>
          <w:p w14:paraId="5BA8E1D7" w14:textId="77777777" w:rsidR="00E80A40" w:rsidRPr="00E32653" w:rsidRDefault="00E80A40" w:rsidP="004A0910">
            <w:pPr>
              <w:spacing w:after="0" w:line="240" w:lineRule="auto"/>
              <w:jc w:val="center"/>
              <w:rPr>
                <w:rFonts w:asciiTheme="majorBidi" w:eastAsia="Times New Roman" w:hAnsiTheme="majorBidi" w:cstheme="majorBidi"/>
                <w:b/>
                <w:bCs/>
                <w:i/>
                <w:iCs/>
                <w:sz w:val="20"/>
                <w:szCs w:val="20"/>
              </w:rPr>
            </w:pPr>
            <w:r w:rsidRPr="00E32653">
              <w:rPr>
                <w:rFonts w:asciiTheme="majorBidi" w:eastAsia="Times New Roman" w:hAnsiTheme="majorBidi" w:cstheme="majorBidi"/>
                <w:b/>
                <w:bCs/>
                <w:i/>
                <w:iCs/>
                <w:sz w:val="20"/>
                <w:szCs w:val="20"/>
              </w:rPr>
              <w:t>Rank</w:t>
            </w:r>
          </w:p>
        </w:tc>
      </w:tr>
      <w:tr w:rsidR="00E32653" w:rsidRPr="00E32653" w14:paraId="3384C435" w14:textId="77777777" w:rsidTr="00DD5EDD">
        <w:trPr>
          <w:trHeight w:val="15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D1B52" w14:textId="6509778D"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GLT-Hardwood</w:t>
            </w:r>
          </w:p>
        </w:tc>
        <w:tc>
          <w:tcPr>
            <w:tcW w:w="0" w:type="auto"/>
            <w:tcBorders>
              <w:top w:val="nil"/>
              <w:left w:val="nil"/>
              <w:bottom w:val="single" w:sz="4" w:space="0" w:color="auto"/>
              <w:right w:val="single" w:sz="4" w:space="0" w:color="auto"/>
            </w:tcBorders>
            <w:shd w:val="clear" w:color="auto" w:fill="auto"/>
            <w:noWrap/>
            <w:vAlign w:val="center"/>
          </w:tcPr>
          <w:p w14:paraId="07BDD8DB"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0.7951</w:t>
            </w:r>
          </w:p>
        </w:tc>
        <w:tc>
          <w:tcPr>
            <w:tcW w:w="0" w:type="auto"/>
            <w:tcBorders>
              <w:top w:val="nil"/>
              <w:left w:val="nil"/>
              <w:bottom w:val="single" w:sz="4" w:space="0" w:color="auto"/>
              <w:right w:val="single" w:sz="4" w:space="0" w:color="auto"/>
            </w:tcBorders>
            <w:shd w:val="clear" w:color="auto" w:fill="auto"/>
            <w:noWrap/>
            <w:vAlign w:val="center"/>
          </w:tcPr>
          <w:p w14:paraId="193508A7"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0.776</w:t>
            </w:r>
          </w:p>
        </w:tc>
        <w:tc>
          <w:tcPr>
            <w:tcW w:w="0" w:type="auto"/>
            <w:tcBorders>
              <w:top w:val="nil"/>
              <w:left w:val="nil"/>
              <w:bottom w:val="single" w:sz="4" w:space="0" w:color="auto"/>
              <w:right w:val="single" w:sz="4" w:space="0" w:color="auto"/>
            </w:tcBorders>
            <w:shd w:val="clear" w:color="auto" w:fill="auto"/>
            <w:noWrap/>
            <w:vAlign w:val="center"/>
          </w:tcPr>
          <w:p w14:paraId="22999FE6"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0.786</w:t>
            </w:r>
          </w:p>
        </w:tc>
        <w:tc>
          <w:tcPr>
            <w:tcW w:w="0" w:type="auto"/>
            <w:tcBorders>
              <w:top w:val="nil"/>
              <w:left w:val="nil"/>
              <w:bottom w:val="single" w:sz="4" w:space="0" w:color="auto"/>
              <w:right w:val="single" w:sz="4" w:space="0" w:color="auto"/>
            </w:tcBorders>
            <w:shd w:val="clear" w:color="auto" w:fill="auto"/>
            <w:noWrap/>
            <w:vAlign w:val="center"/>
          </w:tcPr>
          <w:p w14:paraId="7A97FAFD"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4</w:t>
            </w:r>
          </w:p>
        </w:tc>
      </w:tr>
      <w:tr w:rsidR="00E32653" w:rsidRPr="00E32653" w14:paraId="18D94AAB" w14:textId="77777777" w:rsidTr="00DD5EDD">
        <w:trPr>
          <w:trHeight w:val="15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67E852" w14:textId="1F31901D"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GLT-Softwood</w:t>
            </w:r>
          </w:p>
        </w:tc>
        <w:tc>
          <w:tcPr>
            <w:tcW w:w="0" w:type="auto"/>
            <w:tcBorders>
              <w:top w:val="nil"/>
              <w:left w:val="nil"/>
              <w:bottom w:val="single" w:sz="4" w:space="0" w:color="auto"/>
              <w:right w:val="single" w:sz="4" w:space="0" w:color="auto"/>
            </w:tcBorders>
            <w:shd w:val="clear" w:color="auto" w:fill="auto"/>
            <w:noWrap/>
            <w:vAlign w:val="center"/>
          </w:tcPr>
          <w:p w14:paraId="384834B5"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0.8156</w:t>
            </w:r>
          </w:p>
        </w:tc>
        <w:tc>
          <w:tcPr>
            <w:tcW w:w="0" w:type="auto"/>
            <w:tcBorders>
              <w:top w:val="nil"/>
              <w:left w:val="nil"/>
              <w:bottom w:val="single" w:sz="4" w:space="0" w:color="auto"/>
              <w:right w:val="single" w:sz="4" w:space="0" w:color="auto"/>
            </w:tcBorders>
            <w:shd w:val="clear" w:color="auto" w:fill="auto"/>
            <w:noWrap/>
            <w:vAlign w:val="center"/>
          </w:tcPr>
          <w:p w14:paraId="451ACFF5"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0.796</w:t>
            </w:r>
          </w:p>
        </w:tc>
        <w:tc>
          <w:tcPr>
            <w:tcW w:w="0" w:type="auto"/>
            <w:tcBorders>
              <w:top w:val="nil"/>
              <w:left w:val="nil"/>
              <w:bottom w:val="single" w:sz="4" w:space="0" w:color="auto"/>
              <w:right w:val="single" w:sz="4" w:space="0" w:color="auto"/>
            </w:tcBorders>
            <w:shd w:val="clear" w:color="auto" w:fill="auto"/>
            <w:noWrap/>
            <w:vAlign w:val="center"/>
          </w:tcPr>
          <w:p w14:paraId="30A8B96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0.806</w:t>
            </w:r>
          </w:p>
        </w:tc>
        <w:tc>
          <w:tcPr>
            <w:tcW w:w="0" w:type="auto"/>
            <w:tcBorders>
              <w:top w:val="nil"/>
              <w:left w:val="nil"/>
              <w:bottom w:val="single" w:sz="4" w:space="0" w:color="auto"/>
              <w:right w:val="single" w:sz="4" w:space="0" w:color="auto"/>
            </w:tcBorders>
            <w:shd w:val="clear" w:color="auto" w:fill="auto"/>
            <w:noWrap/>
            <w:vAlign w:val="center"/>
          </w:tcPr>
          <w:p w14:paraId="53DE791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3</w:t>
            </w:r>
          </w:p>
        </w:tc>
      </w:tr>
      <w:tr w:rsidR="00E32653" w:rsidRPr="00E32653" w14:paraId="7119291C" w14:textId="77777777" w:rsidTr="00DD5EDD">
        <w:trPr>
          <w:trHeight w:val="15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242A2" w14:textId="7CED5482"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LVL-Hardwood</w:t>
            </w:r>
          </w:p>
        </w:tc>
        <w:tc>
          <w:tcPr>
            <w:tcW w:w="0" w:type="auto"/>
            <w:tcBorders>
              <w:top w:val="nil"/>
              <w:left w:val="nil"/>
              <w:bottom w:val="single" w:sz="4" w:space="0" w:color="auto"/>
              <w:right w:val="single" w:sz="4" w:space="0" w:color="auto"/>
            </w:tcBorders>
            <w:shd w:val="clear" w:color="auto" w:fill="auto"/>
            <w:noWrap/>
            <w:vAlign w:val="center"/>
          </w:tcPr>
          <w:p w14:paraId="4E9329C0"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0.8901</w:t>
            </w:r>
          </w:p>
        </w:tc>
        <w:tc>
          <w:tcPr>
            <w:tcW w:w="0" w:type="auto"/>
            <w:tcBorders>
              <w:top w:val="nil"/>
              <w:left w:val="nil"/>
              <w:bottom w:val="single" w:sz="4" w:space="0" w:color="auto"/>
              <w:right w:val="single" w:sz="4" w:space="0" w:color="auto"/>
            </w:tcBorders>
            <w:shd w:val="clear" w:color="auto" w:fill="auto"/>
            <w:noWrap/>
            <w:vAlign w:val="center"/>
          </w:tcPr>
          <w:p w14:paraId="7EB58FFA"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0.882</w:t>
            </w:r>
          </w:p>
        </w:tc>
        <w:tc>
          <w:tcPr>
            <w:tcW w:w="0" w:type="auto"/>
            <w:tcBorders>
              <w:top w:val="nil"/>
              <w:left w:val="nil"/>
              <w:bottom w:val="single" w:sz="4" w:space="0" w:color="auto"/>
              <w:right w:val="single" w:sz="4" w:space="0" w:color="auto"/>
            </w:tcBorders>
            <w:shd w:val="clear" w:color="auto" w:fill="auto"/>
            <w:noWrap/>
            <w:vAlign w:val="center"/>
          </w:tcPr>
          <w:p w14:paraId="166152DF"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0.886</w:t>
            </w:r>
          </w:p>
        </w:tc>
        <w:tc>
          <w:tcPr>
            <w:tcW w:w="0" w:type="auto"/>
            <w:tcBorders>
              <w:top w:val="nil"/>
              <w:left w:val="nil"/>
              <w:bottom w:val="single" w:sz="4" w:space="0" w:color="auto"/>
              <w:right w:val="single" w:sz="4" w:space="0" w:color="auto"/>
            </w:tcBorders>
            <w:shd w:val="clear" w:color="auto" w:fill="auto"/>
            <w:noWrap/>
            <w:vAlign w:val="center"/>
          </w:tcPr>
          <w:p w14:paraId="2EB501F7"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2</w:t>
            </w:r>
          </w:p>
        </w:tc>
      </w:tr>
      <w:tr w:rsidR="00CB6675" w:rsidRPr="00E32653" w14:paraId="6F0B0DFA" w14:textId="77777777" w:rsidTr="00DD5EDD">
        <w:trPr>
          <w:trHeight w:val="15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B02D7" w14:textId="421F49C7" w:rsidR="00CB6675" w:rsidRPr="00E32653" w:rsidRDefault="00CB6675" w:rsidP="00CB6675">
            <w:pPr>
              <w:spacing w:after="0"/>
              <w:rPr>
                <w:rFonts w:asciiTheme="majorBidi" w:eastAsia="Times New Roman" w:hAnsiTheme="majorBidi" w:cstheme="majorBidi"/>
                <w:b/>
                <w:bCs/>
                <w:sz w:val="18"/>
                <w:szCs w:val="18"/>
              </w:rPr>
            </w:pPr>
            <w:r w:rsidRPr="00E32653">
              <w:rPr>
                <w:rFonts w:asciiTheme="majorBidi" w:eastAsia="Times New Roman" w:hAnsiTheme="majorBidi" w:cstheme="majorBidi"/>
                <w:b/>
                <w:bCs/>
                <w:sz w:val="18"/>
                <w:szCs w:val="18"/>
              </w:rPr>
              <w:t>LVL-softwood</w:t>
            </w:r>
          </w:p>
        </w:tc>
        <w:tc>
          <w:tcPr>
            <w:tcW w:w="0" w:type="auto"/>
            <w:tcBorders>
              <w:top w:val="nil"/>
              <w:left w:val="nil"/>
              <w:bottom w:val="single" w:sz="4" w:space="0" w:color="auto"/>
              <w:right w:val="single" w:sz="4" w:space="0" w:color="auto"/>
            </w:tcBorders>
            <w:shd w:val="clear" w:color="auto" w:fill="auto"/>
            <w:noWrap/>
            <w:vAlign w:val="center"/>
          </w:tcPr>
          <w:p w14:paraId="71B8F30E"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0.9109</w:t>
            </w:r>
          </w:p>
        </w:tc>
        <w:tc>
          <w:tcPr>
            <w:tcW w:w="0" w:type="auto"/>
            <w:tcBorders>
              <w:top w:val="nil"/>
              <w:left w:val="nil"/>
              <w:bottom w:val="single" w:sz="4" w:space="0" w:color="auto"/>
              <w:right w:val="single" w:sz="4" w:space="0" w:color="auto"/>
            </w:tcBorders>
            <w:shd w:val="clear" w:color="auto" w:fill="auto"/>
            <w:noWrap/>
            <w:vAlign w:val="center"/>
          </w:tcPr>
          <w:p w14:paraId="5F515127"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0.902</w:t>
            </w:r>
          </w:p>
        </w:tc>
        <w:tc>
          <w:tcPr>
            <w:tcW w:w="0" w:type="auto"/>
            <w:tcBorders>
              <w:top w:val="nil"/>
              <w:left w:val="nil"/>
              <w:bottom w:val="single" w:sz="4" w:space="0" w:color="auto"/>
              <w:right w:val="single" w:sz="4" w:space="0" w:color="auto"/>
            </w:tcBorders>
            <w:shd w:val="clear" w:color="auto" w:fill="auto"/>
            <w:noWrap/>
            <w:vAlign w:val="center"/>
          </w:tcPr>
          <w:p w14:paraId="4DA322C1"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0.907</w:t>
            </w:r>
          </w:p>
        </w:tc>
        <w:tc>
          <w:tcPr>
            <w:tcW w:w="0" w:type="auto"/>
            <w:tcBorders>
              <w:top w:val="nil"/>
              <w:left w:val="nil"/>
              <w:bottom w:val="single" w:sz="4" w:space="0" w:color="auto"/>
              <w:right w:val="single" w:sz="4" w:space="0" w:color="auto"/>
            </w:tcBorders>
            <w:shd w:val="clear" w:color="auto" w:fill="auto"/>
            <w:noWrap/>
            <w:vAlign w:val="center"/>
          </w:tcPr>
          <w:p w14:paraId="06791AF0" w14:textId="77777777" w:rsidR="00CB6675" w:rsidRPr="00E32653" w:rsidRDefault="00CB6675" w:rsidP="00CB6675">
            <w:pPr>
              <w:spacing w:after="0"/>
              <w:jc w:val="center"/>
              <w:rPr>
                <w:rFonts w:asciiTheme="majorBidi" w:eastAsia="Times New Roman" w:hAnsiTheme="majorBidi" w:cstheme="majorBidi"/>
                <w:sz w:val="18"/>
                <w:szCs w:val="18"/>
              </w:rPr>
            </w:pPr>
            <w:r w:rsidRPr="00E32653">
              <w:rPr>
                <w:rFonts w:asciiTheme="majorBidi" w:eastAsia="Times New Roman" w:hAnsiTheme="majorBidi" w:cstheme="majorBidi"/>
                <w:sz w:val="18"/>
                <w:szCs w:val="18"/>
              </w:rPr>
              <w:t>1</w:t>
            </w:r>
          </w:p>
        </w:tc>
      </w:tr>
    </w:tbl>
    <w:p w14:paraId="417FF2EB" w14:textId="3BE7A4F9" w:rsidR="007665D2" w:rsidRPr="00E32653" w:rsidRDefault="007665D2" w:rsidP="00E80A40">
      <w:pPr>
        <w:ind w:firstLine="720"/>
        <w:jc w:val="both"/>
        <w:rPr>
          <w:rFonts w:asciiTheme="majorBidi" w:eastAsia="Times New Roman" w:hAnsiTheme="majorBidi" w:cstheme="majorBidi"/>
          <w:lang w:val="en-GB"/>
        </w:rPr>
      </w:pPr>
    </w:p>
    <w:p w14:paraId="40B0BBAD" w14:textId="3C892212" w:rsidR="00F640F3" w:rsidRPr="00E32653" w:rsidRDefault="00F640F3" w:rsidP="00F640F3">
      <w:pPr>
        <w:pStyle w:val="ListParagraph"/>
        <w:numPr>
          <w:ilvl w:val="0"/>
          <w:numId w:val="1"/>
        </w:numPr>
        <w:jc w:val="both"/>
        <w:rPr>
          <w:rFonts w:asciiTheme="majorBidi" w:eastAsia="Times New Roman" w:hAnsiTheme="majorBidi" w:cstheme="majorBidi"/>
          <w:b/>
          <w:bCs/>
          <w:i/>
          <w:iCs/>
          <w:lang w:val="en-GB"/>
        </w:rPr>
      </w:pPr>
      <w:r w:rsidRPr="00E32653">
        <w:rPr>
          <w:rFonts w:asciiTheme="majorBidi" w:eastAsia="Times New Roman" w:hAnsiTheme="majorBidi" w:cstheme="majorBidi"/>
          <w:b/>
          <w:bCs/>
          <w:i/>
          <w:iCs/>
          <w:lang w:val="en-GB"/>
        </w:rPr>
        <w:t xml:space="preserve">Discussion </w:t>
      </w:r>
    </w:p>
    <w:p w14:paraId="6EABB335" w14:textId="45660423" w:rsidR="006E2551" w:rsidRPr="00E32653" w:rsidRDefault="006E2551" w:rsidP="00051645">
      <w:pPr>
        <w:ind w:firstLine="720"/>
        <w:jc w:val="both"/>
        <w:rPr>
          <w:rFonts w:asciiTheme="majorBidi" w:hAnsiTheme="majorBidi" w:cstheme="majorBidi"/>
          <w:shd w:val="clear" w:color="auto" w:fill="FFFFFF"/>
        </w:rPr>
      </w:pPr>
      <w:r w:rsidRPr="00E32653">
        <w:rPr>
          <w:rFonts w:asciiTheme="majorBidi" w:hAnsiTheme="majorBidi" w:cstheme="majorBidi"/>
          <w:shd w:val="clear" w:color="auto" w:fill="FFFFFF"/>
        </w:rPr>
        <w:t xml:space="preserve">It can be </w:t>
      </w:r>
      <w:r w:rsidR="00051645" w:rsidRPr="00E32653">
        <w:rPr>
          <w:rFonts w:asciiTheme="majorBidi" w:hAnsiTheme="majorBidi" w:cstheme="majorBidi"/>
          <w:shd w:val="clear" w:color="auto" w:fill="FFFFFF"/>
        </w:rPr>
        <w:t>challenging</w:t>
      </w:r>
      <w:r w:rsidRPr="00E32653">
        <w:rPr>
          <w:rFonts w:asciiTheme="majorBidi" w:hAnsiTheme="majorBidi" w:cstheme="majorBidi"/>
          <w:shd w:val="clear" w:color="auto" w:fill="FFFFFF"/>
        </w:rPr>
        <w:t xml:space="preserve"> to select the appropriate </w:t>
      </w:r>
      <w:r w:rsidRPr="00E32653">
        <w:rPr>
          <w:rFonts w:asciiTheme="majorBidi" w:hAnsiTheme="majorBidi" w:cstheme="majorBidi"/>
        </w:rPr>
        <w:t xml:space="preserve">mass timber </w:t>
      </w:r>
      <w:r w:rsidRPr="00E32653">
        <w:rPr>
          <w:rFonts w:asciiTheme="majorBidi" w:hAnsiTheme="majorBidi" w:cstheme="majorBidi"/>
          <w:shd w:val="clear" w:color="auto" w:fill="FFFFFF"/>
        </w:rPr>
        <w:t xml:space="preserve">when </w:t>
      </w:r>
      <w:r w:rsidR="00051645" w:rsidRPr="00E32653">
        <w:rPr>
          <w:rFonts w:asciiTheme="majorBidi" w:hAnsiTheme="majorBidi" w:cstheme="majorBidi"/>
          <w:shd w:val="clear" w:color="auto" w:fill="FFFFFF"/>
        </w:rPr>
        <w:t>several options are</w:t>
      </w:r>
      <w:r w:rsidRPr="00E32653">
        <w:rPr>
          <w:rFonts w:asciiTheme="majorBidi" w:hAnsiTheme="majorBidi" w:cstheme="majorBidi"/>
          <w:shd w:val="clear" w:color="auto" w:fill="FFFFFF"/>
        </w:rPr>
        <w:t xml:space="preserve"> available. In the results</w:t>
      </w:r>
      <w:r w:rsidR="007961BD" w:rsidRPr="00E32653">
        <w:rPr>
          <w:rFonts w:asciiTheme="majorBidi" w:hAnsiTheme="majorBidi" w:cstheme="majorBidi"/>
          <w:shd w:val="clear" w:color="auto" w:fill="FFFFFF"/>
        </w:rPr>
        <w:t xml:space="preserve"> above</w:t>
      </w:r>
      <w:r w:rsidRPr="00E32653">
        <w:rPr>
          <w:rFonts w:asciiTheme="majorBidi" w:hAnsiTheme="majorBidi" w:cstheme="majorBidi"/>
          <w:shd w:val="clear" w:color="auto" w:fill="FFFFFF"/>
        </w:rPr>
        <w:t>, there were inconsistencies on six different environmental impacts, embodied energy, and economic assessments across alternatives. </w:t>
      </w:r>
      <w:r w:rsidR="00975B74" w:rsidRPr="00E32653">
        <w:rPr>
          <w:rFonts w:asciiTheme="majorBidi" w:hAnsiTheme="majorBidi" w:cstheme="majorBidi"/>
          <w:shd w:val="clear" w:color="auto" w:fill="FFFFFF"/>
        </w:rPr>
        <w:t>I</w:t>
      </w:r>
      <w:r w:rsidR="0019488C" w:rsidRPr="00E32653">
        <w:rPr>
          <w:rFonts w:asciiTheme="majorBidi" w:hAnsiTheme="majorBidi" w:cstheme="majorBidi"/>
          <w:shd w:val="clear" w:color="auto" w:fill="FFFFFF"/>
        </w:rPr>
        <w:t xml:space="preserve">t </w:t>
      </w:r>
      <w:r w:rsidR="00975B74" w:rsidRPr="00E32653">
        <w:rPr>
          <w:rFonts w:asciiTheme="majorBidi" w:hAnsiTheme="majorBidi" w:cstheme="majorBidi"/>
          <w:shd w:val="clear" w:color="auto" w:fill="FFFFFF"/>
        </w:rPr>
        <w:t>wa</w:t>
      </w:r>
      <w:r w:rsidR="0019488C" w:rsidRPr="00E32653">
        <w:rPr>
          <w:rFonts w:asciiTheme="majorBidi" w:hAnsiTheme="majorBidi" w:cstheme="majorBidi"/>
          <w:shd w:val="clear" w:color="auto" w:fill="FFFFFF"/>
        </w:rPr>
        <w:t xml:space="preserve">s unclear which material is most efficient based on these results. </w:t>
      </w:r>
      <w:r w:rsidR="00051645" w:rsidRPr="00E32653">
        <w:rPr>
          <w:rFonts w:asciiTheme="majorBidi" w:hAnsiTheme="majorBidi" w:cstheme="majorBidi"/>
          <w:shd w:val="clear" w:color="auto" w:fill="FFFFFF"/>
        </w:rPr>
        <w:t xml:space="preserve">MCDM was applied to determine what material was most effective </w:t>
      </w:r>
      <w:r w:rsidR="00975B74" w:rsidRPr="00E32653">
        <w:rPr>
          <w:rFonts w:asciiTheme="majorBidi" w:hAnsiTheme="majorBidi" w:cstheme="majorBidi"/>
          <w:shd w:val="clear" w:color="auto" w:fill="FFFFFF"/>
        </w:rPr>
        <w:t>overall</w:t>
      </w:r>
      <w:r w:rsidR="0019488C" w:rsidRPr="00E32653">
        <w:rPr>
          <w:rFonts w:asciiTheme="majorBidi" w:hAnsiTheme="majorBidi" w:cstheme="majorBidi"/>
          <w:shd w:val="clear" w:color="auto" w:fill="FFFFFF"/>
        </w:rPr>
        <w:t xml:space="preserve">. LVL </w:t>
      </w:r>
      <w:r w:rsidR="00975B74" w:rsidRPr="00E32653">
        <w:rPr>
          <w:rFonts w:asciiTheme="majorBidi" w:hAnsiTheme="majorBidi" w:cstheme="majorBidi"/>
          <w:shd w:val="clear" w:color="auto" w:fill="FFFFFF"/>
        </w:rPr>
        <w:t>was</w:t>
      </w:r>
      <w:r w:rsidR="0019488C" w:rsidRPr="00E32653">
        <w:rPr>
          <w:rFonts w:asciiTheme="majorBidi" w:hAnsiTheme="majorBidi" w:cstheme="majorBidi"/>
          <w:shd w:val="clear" w:color="auto" w:fill="FFFFFF"/>
        </w:rPr>
        <w:t xml:space="preserve"> chosen as the most sustainable option considering eight criteria. </w:t>
      </w:r>
    </w:p>
    <w:p w14:paraId="6E6D41A6" w14:textId="077A64AA" w:rsidR="003F69F4" w:rsidRPr="00E32653" w:rsidRDefault="00D17229" w:rsidP="12C241C3">
      <w:pPr>
        <w:spacing w:line="276" w:lineRule="auto"/>
        <w:ind w:firstLine="720"/>
        <w:jc w:val="both"/>
        <w:rPr>
          <w:rFonts w:asciiTheme="majorBidi" w:hAnsiTheme="majorBidi" w:cstheme="majorBidi"/>
          <w:noProof/>
        </w:rPr>
      </w:pPr>
      <w:r w:rsidRPr="00E32653">
        <w:rPr>
          <w:rFonts w:asciiTheme="majorBidi" w:hAnsiTheme="majorBidi" w:cstheme="majorBidi"/>
          <w:shd w:val="clear" w:color="auto" w:fill="FFFFFF"/>
        </w:rPr>
        <w:t xml:space="preserve">To </w:t>
      </w:r>
      <w:r w:rsidR="00051645" w:rsidRPr="00E32653">
        <w:rPr>
          <w:rFonts w:asciiTheme="majorBidi" w:hAnsiTheme="majorBidi" w:cstheme="majorBidi"/>
          <w:shd w:val="clear" w:color="auto" w:fill="FFFFFF"/>
        </w:rPr>
        <w:t xml:space="preserve">the </w:t>
      </w:r>
      <w:r w:rsidRPr="00E32653">
        <w:rPr>
          <w:rFonts w:asciiTheme="majorBidi" w:hAnsiTheme="majorBidi" w:cstheme="majorBidi"/>
          <w:shd w:val="clear" w:color="auto" w:fill="FFFFFF"/>
        </w:rPr>
        <w:t>author</w:t>
      </w:r>
      <w:r w:rsidR="00051645" w:rsidRPr="00E32653">
        <w:rPr>
          <w:rFonts w:asciiTheme="majorBidi" w:hAnsiTheme="majorBidi" w:cstheme="majorBidi"/>
          <w:shd w:val="clear" w:color="auto" w:fill="FFFFFF"/>
        </w:rPr>
        <w:t>s</w:t>
      </w:r>
      <w:r w:rsidR="47B384FF" w:rsidRPr="00E32653">
        <w:rPr>
          <w:rFonts w:asciiTheme="majorBidi" w:hAnsiTheme="majorBidi" w:cstheme="majorBidi"/>
          <w:shd w:val="clear" w:color="auto" w:fill="FFFFFF"/>
        </w:rPr>
        <w:t>’</w:t>
      </w:r>
      <w:r w:rsidRPr="00E32653">
        <w:rPr>
          <w:rFonts w:asciiTheme="majorBidi" w:hAnsiTheme="majorBidi" w:cstheme="majorBidi"/>
          <w:shd w:val="clear" w:color="auto" w:fill="FFFFFF"/>
        </w:rPr>
        <w:t xml:space="preserve"> knowledge, most previous </w:t>
      </w:r>
      <w:r w:rsidR="00DF349B" w:rsidRPr="00E32653">
        <w:rPr>
          <w:rFonts w:asciiTheme="majorBidi" w:hAnsiTheme="majorBidi" w:cstheme="majorBidi"/>
          <w:shd w:val="clear" w:color="auto" w:fill="FFFFFF"/>
        </w:rPr>
        <w:t>publications</w:t>
      </w:r>
      <w:r w:rsidRPr="00E32653">
        <w:rPr>
          <w:rFonts w:asciiTheme="majorBidi" w:hAnsiTheme="majorBidi" w:cstheme="majorBidi"/>
          <w:shd w:val="clear" w:color="auto" w:fill="FFFFFF"/>
        </w:rPr>
        <w:t xml:space="preserve"> </w:t>
      </w:r>
      <w:r w:rsidR="00DF349B" w:rsidRPr="00E32653">
        <w:rPr>
          <w:rFonts w:asciiTheme="majorBidi" w:hAnsiTheme="majorBidi" w:cstheme="majorBidi"/>
          <w:shd w:val="clear" w:color="auto" w:fill="FFFFFF"/>
        </w:rPr>
        <w:t>have</w:t>
      </w:r>
      <w:r w:rsidR="00975B74" w:rsidRPr="00E32653">
        <w:rPr>
          <w:rFonts w:asciiTheme="majorBidi" w:hAnsiTheme="majorBidi" w:cstheme="majorBidi"/>
          <w:shd w:val="clear" w:color="auto" w:fill="FFFFFF"/>
        </w:rPr>
        <w:t xml:space="preserve"> </w:t>
      </w:r>
      <w:r w:rsidRPr="00E32653">
        <w:rPr>
          <w:rFonts w:asciiTheme="majorBidi" w:hAnsiTheme="majorBidi" w:cstheme="majorBidi"/>
          <w:shd w:val="clear" w:color="auto" w:fill="FFFFFF"/>
        </w:rPr>
        <w:t>compared</w:t>
      </w:r>
      <w:r w:rsidR="00DF349B" w:rsidRPr="00E32653">
        <w:rPr>
          <w:rFonts w:asciiTheme="majorBidi" w:hAnsiTheme="majorBidi" w:cstheme="majorBidi"/>
          <w:shd w:val="clear" w:color="auto" w:fill="FFFFFF"/>
        </w:rPr>
        <w:t xml:space="preserve"> mass timber materials </w:t>
      </w:r>
      <w:r w:rsidR="00DF349B" w:rsidRPr="00E32653">
        <w:rPr>
          <w:rFonts w:asciiTheme="majorBidi" w:hAnsiTheme="majorBidi" w:cstheme="majorBidi"/>
        </w:rPr>
        <w:t>(such as</w:t>
      </w:r>
      <w:r w:rsidRPr="00E32653">
        <w:rPr>
          <w:rFonts w:asciiTheme="majorBidi" w:hAnsiTheme="majorBidi" w:cstheme="majorBidi"/>
          <w:shd w:val="clear" w:color="auto" w:fill="FFFFFF"/>
        </w:rPr>
        <w:t xml:space="preserve"> LVL </w:t>
      </w:r>
      <w:r w:rsidR="00563CA0" w:rsidRPr="00E32653">
        <w:rPr>
          <w:rFonts w:asciiTheme="majorBidi" w:hAnsiTheme="majorBidi" w:cstheme="majorBidi"/>
          <w:shd w:val="clear" w:color="auto" w:fill="FFFFFF"/>
        </w:rPr>
        <w:t>or</w:t>
      </w:r>
      <w:r w:rsidRPr="00E32653">
        <w:rPr>
          <w:rFonts w:asciiTheme="majorBidi" w:hAnsiTheme="majorBidi" w:cstheme="majorBidi"/>
          <w:shd w:val="clear" w:color="auto" w:fill="FFFFFF"/>
        </w:rPr>
        <w:t xml:space="preserve"> GLT</w:t>
      </w:r>
      <w:r w:rsidR="00DF349B" w:rsidRPr="00E32653">
        <w:rPr>
          <w:rFonts w:asciiTheme="majorBidi" w:hAnsiTheme="majorBidi" w:cstheme="majorBidi"/>
          <w:shd w:val="clear" w:color="auto" w:fill="FFFFFF"/>
        </w:rPr>
        <w:t>)</w:t>
      </w:r>
      <w:r w:rsidRPr="00E32653">
        <w:rPr>
          <w:rFonts w:asciiTheme="majorBidi" w:hAnsiTheme="majorBidi" w:cstheme="majorBidi"/>
          <w:shd w:val="clear" w:color="auto" w:fill="FFFFFF"/>
        </w:rPr>
        <w:t xml:space="preserve"> </w:t>
      </w:r>
      <w:r w:rsidR="281A1F8D" w:rsidRPr="00E32653">
        <w:rPr>
          <w:rFonts w:asciiTheme="majorBidi" w:hAnsiTheme="majorBidi" w:cstheme="majorBidi"/>
          <w:shd w:val="clear" w:color="auto" w:fill="FFFFFF"/>
        </w:rPr>
        <w:t xml:space="preserve">with </w:t>
      </w:r>
      <w:r w:rsidRPr="00E32653">
        <w:rPr>
          <w:rFonts w:asciiTheme="majorBidi" w:hAnsiTheme="majorBidi" w:cstheme="majorBidi"/>
          <w:shd w:val="clear" w:color="auto" w:fill="FFFFFF"/>
        </w:rPr>
        <w:t xml:space="preserve">steel </w:t>
      </w:r>
      <w:r w:rsidR="00563CA0" w:rsidRPr="00E32653">
        <w:rPr>
          <w:rFonts w:asciiTheme="majorBidi" w:hAnsiTheme="majorBidi" w:cstheme="majorBidi"/>
          <w:shd w:val="clear" w:color="auto" w:fill="FFFFFF"/>
        </w:rPr>
        <w:t>and</w:t>
      </w:r>
      <w:r w:rsidRPr="00E32653">
        <w:rPr>
          <w:rFonts w:asciiTheme="majorBidi" w:hAnsiTheme="majorBidi" w:cstheme="majorBidi"/>
          <w:shd w:val="clear" w:color="auto" w:fill="FFFFFF"/>
        </w:rPr>
        <w:t xml:space="preserve"> concrete</w:t>
      </w:r>
      <w:r w:rsidR="00367A55" w:rsidRPr="00E32653">
        <w:rPr>
          <w:rFonts w:asciiTheme="majorBidi" w:hAnsiTheme="majorBidi" w:cstheme="majorBidi"/>
          <w:shd w:val="clear" w:color="auto" w:fill="FFFFFF"/>
        </w:rPr>
        <w:t xml:space="preserve"> </w:t>
      </w:r>
      <w:r w:rsidR="00367A55" w:rsidRPr="00E32653">
        <w:rPr>
          <w:rFonts w:asciiTheme="majorBidi" w:hAnsiTheme="majorBidi" w:cstheme="majorBidi"/>
        </w:rPr>
        <w:fldChar w:fldCharType="begin" w:fldLock="1"/>
      </w:r>
      <w:r w:rsidR="00367A55" w:rsidRPr="00E32653">
        <w:rPr>
          <w:rFonts w:asciiTheme="majorBidi" w:hAnsiTheme="majorBidi" w:cstheme="majorBidi"/>
        </w:rPr>
        <w:instrText>ADDIN CSL_CITATION {"citationItems":[{"id":"ITEM-1","itemData":{"author":[{"dropping-particle":"","family":"Fanella","given":"David","non-dropping-particle":"","parse-names":false,"suffix":""}],"container-title":"Concrete Reinforcing Steel Institute – CRSI","id":"ITEM-1","issued":{"date-parts":[["2018"]]},"page":"2-5","title":"Cost Comparison of Cross Laminated Timber (CLT) and Cast-in-place Reinforced Concrete Structures","type":"article-journal"},"uris":["http://www.mendeley.com/documents/?uuid=ac92c41f-d188-4368-9d31-0554af349343"]},{"id":"ITEM-2","itemData":{"DOI":"10.3390/su8101047","ISSN":"20711050","abstract":"Timber building has gained more and more attention worldwide due to it being a generic renewable material and having low environmental impact. It is widely accepted that the use of timber may be able to reduce the embodied energy of a building. However, the development of timber buildings in China is not as rapid as in some other countries. This may be because of the limitations of building regulations and technological development. Several new policies have been or are being implemented in China in order to encourage the use of timber in building construction and this could lead to a revolutionary change in the building industry in China. This paper is the first one to examine the feasibility of using Cross Laminated Timber (CLT) as an alternative solution to concrete by means of a cradle-to-grave life-cycle assessment in China. A seven-storey reference concrete building in Xi'an was selected as a case study in comparison with a redesigned CLT building. Two cities in China, in cold and severe cold regions (Xi'an and Harbin), were selected for this research. The assessment includes three different stages of the life span of a building: materialisation, operation, and end-of-life. The inventory data used in the materialisation stage was mostly local, in order to ensure that the assessment appropriately reflects the situation in China. Energy consumption in the operation stage was obtained from simulation by commercialised software IESTM, and different scenarios for recycling of timber material in the end-of-life are discussed in this paper. The results from this paper show that using CLT to replace conventional carbon intensive material would reduce energy consumption by more than 30% and reduce CO2 emission by more than 40% in both cities. This paper supports, and has shown the potential of, CLT being used in cold regions with proper detailing to minimise environmental impact.","author":[{"dropping-particle":"","family":"Liu","given":"Ying","non-dropping-particle":"","parse-names":false,"suffix":""},{"dropping-particle":"","family":"Guo","given":"Haibo","non-dropping-particle":"","parse-names":false,"suffix":""},{"dropping-particle":"","family":"Sun","given":"Cheng","non-dropping-particle":"","parse-names":false,"suffix":""},{"dropping-particle":"","family":"Chang","given":"Wen Shao","non-dropping-particle":"","parse-names":false,"suffix":""}],"container-title":"Sustainability (Switzerland)","id":"ITEM-2","issue":"10","issued":{"date-parts":[["2016"]]},"title":"Assessing cross laminated timber (CLT) as an alternative material for mid-rise residential buildings in cold regions in China-A life-cycle assessment approach","type":"article-journal","volume":"8"},"uris":["http://www.mendeley.com/documents/?uuid=f11aacc0-be4b-4f2b-943c-8455e7bf7e93"]},{"id":"ITEM-3","itemData":{"ISBN":"9781510878419","abstract":"Life cycle assessment (LCA) has been a useful decision-making tool in sustainable building design, construction and building material selection. LCA can be a valuable tool in early design stages of a project to allow designers to quantify and compare environmental impacts of different building materials as well as after the building is constructed to assess new building material technologies that can inform future projects. Arising from a study of the construction of the world's tallest mass-timber building in Vancouver, this paper makes a comparison between two different construction technologies, wood and concrete, to understand the environmental benefits and drawbacks of each technology in terms of 9 LCA impact categories. Two 18-storey residential buildings in Vancouver, Canada, were considered for this study, a traditional cast-in-place concrete frame building and a mass-timber hybrid design using glulam and CLT. The scope of this study was limited to the assessment of foundations, structures, floors, columns, beams, and roofs. Floor plans, elevation views and material quantities were obtained from construction drawings and were entered into LCA software (Athena's Impact Estimator) to obtain the two buildings' LCA results. These indicated that in 8 of the 9 impact categories, the wood building had lower environmental impacts and in 1 impact category (total primary energy) the concrete building had lower environmental impact. The variation of the results of this study with other LCA studies is considered to be due to different building types, location, system boundary, scope of the study, variation in wood construction techniques, and different LCA methodology. This study was conducted as part of a course project and acts as a placeholder study for a more detailed LCA in the future.","author":[{"dropping-particle":"","family":"Abolghassem Tehrani","given":"Maryam","non-dropping-particle":"","parse-names":false,"suffix":""},{"dropping-particle":"","family":"Froese","given":"Thomas M.","non-dropping-particle":"","parse-names":false,"suffix":""}],"container-title":"6th CSCE-CRC International Construction Specialty Conference 2017 - Held as Part of the Canadian Society for Civil Engineering Annual Conference and General Meeting 2017","id":"ITEM-3","issue":"August","issued":{"date-parts":[["2017"]]},"page":"19-28","title":"A comparative life cycle assessment of tall buildings with alternative structural systems: Wood vs. Concrete","type":"article-journal","volume":"1"},"uris":["http://www.mendeley.com/documents/?uuid=2b40ef06-976c-4d92-811f-3807b02329d7"]}],"mendeley":{"formattedCitation":"(Abolghassem Tehrani &amp; Froese, 2017; Fanella, 2018; Liu et al., 2016)","plainTextFormattedCitation":"(Abolghassem Tehrani &amp; Froese, 2017; Fanella, 2018; Liu et al., 2016)","previouslyFormattedCitation":"(Fanella, 2018; Liu et al., 2016)"},"properties":{"noteIndex":0},"schema":"https://github.com/citation-style-language/schema/raw/master/csl-citation.json"}</w:instrText>
      </w:r>
      <w:r w:rsidR="00367A55" w:rsidRPr="00E32653">
        <w:rPr>
          <w:rFonts w:asciiTheme="majorBidi" w:hAnsiTheme="majorBidi" w:cstheme="majorBidi"/>
        </w:rPr>
        <w:fldChar w:fldCharType="separate"/>
      </w:r>
      <w:r w:rsidR="00367A55" w:rsidRPr="00E32653">
        <w:rPr>
          <w:rFonts w:asciiTheme="majorBidi" w:hAnsiTheme="majorBidi" w:cstheme="majorBidi"/>
          <w:noProof/>
        </w:rPr>
        <w:t>(Abolghassem Tehrani &amp; Froese, 2017; Fanella, 2018; Liu et al., 2016)</w:t>
      </w:r>
      <w:r w:rsidR="00367A55" w:rsidRPr="00E32653">
        <w:rPr>
          <w:rFonts w:asciiTheme="majorBidi" w:hAnsiTheme="majorBidi" w:cstheme="majorBidi"/>
        </w:rPr>
        <w:fldChar w:fldCharType="end"/>
      </w:r>
      <w:r w:rsidR="00DF349B" w:rsidRPr="00E32653">
        <w:rPr>
          <w:rFonts w:asciiTheme="majorBidi" w:hAnsiTheme="majorBidi" w:cstheme="majorBidi"/>
          <w:shd w:val="clear" w:color="auto" w:fill="FFFFFF"/>
        </w:rPr>
        <w:t>.</w:t>
      </w:r>
      <w:r w:rsidR="00975B74" w:rsidRPr="00E32653">
        <w:rPr>
          <w:rFonts w:asciiTheme="majorBidi" w:hAnsiTheme="majorBidi" w:cstheme="majorBidi"/>
          <w:shd w:val="clear" w:color="auto" w:fill="FFFFFF"/>
        </w:rPr>
        <w:t xml:space="preserve"> </w:t>
      </w:r>
      <w:r w:rsidR="00563CA0" w:rsidRPr="00E32653">
        <w:rPr>
          <w:rFonts w:asciiTheme="majorBidi" w:eastAsia="Times New Roman" w:hAnsiTheme="majorBidi" w:cstheme="majorBidi"/>
          <w:lang w:val="en-GB"/>
        </w:rPr>
        <w:t xml:space="preserve">For example, </w:t>
      </w:r>
      <w:r w:rsidR="00563CA0" w:rsidRPr="00E32653">
        <w:rPr>
          <w:rFonts w:asciiTheme="majorBidi" w:hAnsiTheme="majorBidi" w:cstheme="majorBidi"/>
        </w:rPr>
        <w:fldChar w:fldCharType="begin" w:fldLock="1"/>
      </w:r>
      <w:r w:rsidR="00563CA0" w:rsidRPr="00E32653">
        <w:rPr>
          <w:rFonts w:asciiTheme="majorBidi" w:hAnsiTheme="majorBidi" w:cstheme="majorBidi"/>
        </w:rPr>
        <w:instrText>ADDIN CSL_CITATION {"citationItems":[{"id":"ITEM-1","itemData":{"DOI":"10.1016/j.jclepro.2017.08.065","ISSN":"09596526","abstract":"The building construction sector contributes to a quarter of the total Australian Greenhouse gas emissions. These emissions are mainly attributed to the use of energy intensive materials. To achieve better environmental benefits and cost saving, the utilisation of wood-based construction materials is currently attracting attention. However, the manufacturing of engineered wood products consumes large quantities of chemicals and energy, which may have adverse environmental impacts. Therefore, a life cycle study was conducted to compare various materials for constructing the structural frame of a 4-storey apartment building compliant with the Australian building codes. Five alternatives were assessed: Laminated Veneer Lumber (LVL) manufactured from early to mid-rotation hardwood plantation logs (LVL m ), LVL manufactured from mature hardwood plantations (LVL h ), LVL manufactured from mature softwood plantations (LVL s ), concrete and steel. The functional unit was defined as the whole building structural frame. Global Warming Potential (GWP), Acidification, Eutrophication, Fossil Depletion, Human-toxicity Potential (HTP) and Life Cycle Cost (LCC) were evaluated. The LVL generally performed better than concrete and steel structural products. Particularly, LVL m had the lowest GWP (2.84E4±233 kg-CO 2-eq ) and LCC ($128,855 ± 2797), which were less than a quarter of the concrete option. However, the usage of chemical preservatives and phenol-formaldehyde adhesive during the LVL production and treatment caused the HTP impact to be higher than the steel option. Monte Carlo Analysis showed that while the LVL options presented a higher sensitivity to the combined uncertainties, the overall ranking of the five options remained the same. Therefore, the inclusion of wood-based material in structural elements may significantly contribute to reduce the environmental impacts and the LCC of the construction sector.","author":[{"dropping-particle":"","family":"Lu","given":"Hangyong Ray","non-dropping-particle":"","parse-names":false,"suffix":""},{"dropping-particle":"","family":"Hanandeh","given":"Ali","non-dropping-particle":"El","parse-names":false,"suffix":""},{"dropping-particle":"","family":"Gilbert","given":"Benoit P.","non-dropping-particle":"","parse-names":false,"suffix":""}],"container-title":"Journal of Cleaner Production","id":"ITEM-1","issued":{"date-parts":[["2017"]]},"page":"458-473","title":"A comparative life cycle study of alternative materials for Australian multi-storey apartment building frame constructions: Environmental and economic perspective","type":"article-journal","volume":"166"},"uris":["http://www.mendeley.com/documents/?uuid=1ffc1302-64f0-466e-b316-fe759dcc7756","http://www.mendeley.com/documents/?uuid=e7ed7961-e260-4789-9c91-9b91393aea88","http://www.mendeley.com/documents/?uuid=3b5b9059-d07c-4a72-a024-f86ae3662a89","http://www.mendeley.com/documents/?uuid=0e300d57-dfcd-4c0d-ad7a-f8c629be3ecd"]}],"mendeley":{"formattedCitation":"(Lu, El Hanandeh, &amp; Gilbert, 2017)","manualFormatting":" Lu &amp; El Hanandeh, (2017b)","plainTextFormattedCitation":"(Lu, El Hanandeh, &amp; Gilbert, 2017)","previouslyFormattedCitation":"(Lu, El Hanandeh, &amp; Gilbert, 2017)"},"properties":{"noteIndex":0},"schema":"https://github.com/citation-style-language/schema/raw/master/csl-citation.json"}</w:instrText>
      </w:r>
      <w:r w:rsidR="00563CA0" w:rsidRPr="00E32653">
        <w:rPr>
          <w:rFonts w:asciiTheme="majorBidi" w:hAnsiTheme="majorBidi" w:cstheme="majorBidi"/>
        </w:rPr>
        <w:fldChar w:fldCharType="separate"/>
      </w:r>
      <w:r w:rsidR="00563CA0" w:rsidRPr="00E32653">
        <w:rPr>
          <w:rFonts w:asciiTheme="majorBidi" w:hAnsiTheme="majorBidi" w:cstheme="majorBidi"/>
          <w:noProof/>
        </w:rPr>
        <w:t xml:space="preserve"> Lu &amp; El Hanandeh, (2017b)</w:t>
      </w:r>
      <w:r w:rsidR="00563CA0" w:rsidRPr="00E32653">
        <w:rPr>
          <w:rFonts w:asciiTheme="majorBidi" w:hAnsiTheme="majorBidi" w:cstheme="majorBidi"/>
        </w:rPr>
        <w:fldChar w:fldCharType="end"/>
      </w:r>
      <w:r w:rsidR="00563CA0" w:rsidRPr="00E32653">
        <w:rPr>
          <w:rFonts w:asciiTheme="majorBidi" w:hAnsiTheme="majorBidi" w:cstheme="majorBidi"/>
        </w:rPr>
        <w:t xml:space="preserve"> compared softwood and hardwood LVL with concrete and steel structure</w:t>
      </w:r>
      <w:r w:rsidR="00051645" w:rsidRPr="00E32653">
        <w:rPr>
          <w:rFonts w:asciiTheme="majorBidi" w:hAnsiTheme="majorBidi" w:cstheme="majorBidi"/>
        </w:rPr>
        <w:t>s</w:t>
      </w:r>
      <w:r w:rsidR="00563CA0" w:rsidRPr="00E32653">
        <w:rPr>
          <w:rFonts w:asciiTheme="majorBidi" w:hAnsiTheme="majorBidi" w:cstheme="majorBidi"/>
        </w:rPr>
        <w:t>. The</w:t>
      </w:r>
      <w:r w:rsidR="00975B74" w:rsidRPr="00E32653">
        <w:rPr>
          <w:rFonts w:asciiTheme="majorBidi" w:hAnsiTheme="majorBidi" w:cstheme="majorBidi"/>
        </w:rPr>
        <w:t>y found</w:t>
      </w:r>
      <w:r w:rsidR="00563CA0" w:rsidRPr="00E32653">
        <w:rPr>
          <w:rFonts w:asciiTheme="majorBidi" w:hAnsiTheme="majorBidi" w:cstheme="majorBidi"/>
        </w:rPr>
        <w:t xml:space="preserve"> that LVL has a lower environmental impact in all categories</w:t>
      </w:r>
      <w:r w:rsidR="00051645" w:rsidRPr="00E32653">
        <w:rPr>
          <w:rFonts w:asciiTheme="majorBidi" w:hAnsiTheme="majorBidi" w:cstheme="majorBidi"/>
        </w:rPr>
        <w:t xml:space="preserve">. Meanwhile, </w:t>
      </w:r>
      <w:r w:rsidR="00975B74" w:rsidRPr="00E32653">
        <w:rPr>
          <w:rFonts w:asciiTheme="majorBidi" w:hAnsiTheme="majorBidi" w:cstheme="majorBidi"/>
        </w:rPr>
        <w:t xml:space="preserve">a </w:t>
      </w:r>
      <w:r w:rsidR="00051645" w:rsidRPr="00E32653">
        <w:rPr>
          <w:rFonts w:asciiTheme="majorBidi" w:hAnsiTheme="majorBidi" w:cstheme="majorBidi"/>
        </w:rPr>
        <w:t xml:space="preserve">softwood LVL structure has a lower impact than hardwood LVL, </w:t>
      </w:r>
      <w:r w:rsidR="00563CA0" w:rsidRPr="00E32653">
        <w:rPr>
          <w:rFonts w:asciiTheme="majorBidi" w:hAnsiTheme="majorBidi" w:cstheme="majorBidi"/>
        </w:rPr>
        <w:t xml:space="preserve">consistent with current research. </w:t>
      </w:r>
      <w:r w:rsidR="6C67F626" w:rsidRPr="00E32653">
        <w:rPr>
          <w:rFonts w:asciiTheme="majorBidi" w:hAnsiTheme="majorBidi" w:cstheme="majorBidi"/>
          <w:noProof/>
        </w:rPr>
        <w:t>P</w:t>
      </w:r>
      <w:r w:rsidR="003F69F4" w:rsidRPr="00E32653">
        <w:rPr>
          <w:rFonts w:asciiTheme="majorBidi" w:hAnsiTheme="majorBidi" w:cstheme="majorBidi"/>
          <w:noProof/>
        </w:rPr>
        <w:t>r</w:t>
      </w:r>
      <w:r w:rsidR="4844F9B2" w:rsidRPr="00E32653">
        <w:rPr>
          <w:rFonts w:asciiTheme="majorBidi" w:hAnsiTheme="majorBidi" w:cstheme="majorBidi"/>
          <w:noProof/>
        </w:rPr>
        <w:t>e</w:t>
      </w:r>
      <w:r w:rsidR="003F69F4" w:rsidRPr="00E32653">
        <w:rPr>
          <w:rFonts w:asciiTheme="majorBidi" w:hAnsiTheme="majorBidi" w:cstheme="majorBidi"/>
          <w:noProof/>
        </w:rPr>
        <w:t>vious comparison</w:t>
      </w:r>
      <w:r w:rsidR="1DB791C7" w:rsidRPr="00E32653">
        <w:rPr>
          <w:rFonts w:asciiTheme="majorBidi" w:hAnsiTheme="majorBidi" w:cstheme="majorBidi"/>
          <w:noProof/>
        </w:rPr>
        <w:t>s</w:t>
      </w:r>
      <w:r w:rsidR="003F69F4" w:rsidRPr="00E32653">
        <w:rPr>
          <w:rFonts w:asciiTheme="majorBidi" w:hAnsiTheme="majorBidi" w:cstheme="majorBidi"/>
          <w:noProof/>
        </w:rPr>
        <w:t xml:space="preserve"> </w:t>
      </w:r>
      <w:r w:rsidR="4BBA68BF" w:rsidRPr="00E32653">
        <w:rPr>
          <w:rFonts w:asciiTheme="majorBidi" w:hAnsiTheme="majorBidi" w:cstheme="majorBidi"/>
          <w:noProof/>
        </w:rPr>
        <w:t>of</w:t>
      </w:r>
      <w:r w:rsidR="003F69F4" w:rsidRPr="00E32653">
        <w:rPr>
          <w:rFonts w:asciiTheme="majorBidi" w:hAnsiTheme="majorBidi" w:cstheme="majorBidi"/>
          <w:noProof/>
        </w:rPr>
        <w:t xml:space="preserve"> alternative mass timber are limited to the</w:t>
      </w:r>
      <w:r w:rsidR="1C8AACD9" w:rsidRPr="00E32653">
        <w:rPr>
          <w:rFonts w:asciiTheme="majorBidi" w:hAnsiTheme="majorBidi" w:cstheme="majorBidi"/>
          <w:noProof/>
        </w:rPr>
        <w:t>i</w:t>
      </w:r>
      <w:r w:rsidR="003F69F4" w:rsidRPr="00E32653">
        <w:rPr>
          <w:rFonts w:asciiTheme="majorBidi" w:hAnsiTheme="majorBidi" w:cstheme="majorBidi"/>
          <w:noProof/>
        </w:rPr>
        <w:t>r</w:t>
      </w:r>
      <w:r w:rsidR="003F69F4" w:rsidRPr="00E32653">
        <w:rPr>
          <w:rFonts w:asciiTheme="majorBidi" w:hAnsiTheme="majorBidi" w:cstheme="majorBidi"/>
          <w:shd w:val="clear" w:color="auto" w:fill="FFFFFF"/>
        </w:rPr>
        <w:t xml:space="preserve"> mechanical performance such as stiffness and load-carrying capacity </w:t>
      </w:r>
      <w:r w:rsidR="003F69F4" w:rsidRPr="00E32653">
        <w:rPr>
          <w:rFonts w:asciiTheme="majorBidi" w:hAnsiTheme="majorBidi"/>
        </w:rPr>
        <w:fldChar w:fldCharType="begin" w:fldLock="1"/>
      </w:r>
      <w:r w:rsidR="003F69F4" w:rsidRPr="00E32653">
        <w:rPr>
          <w:rFonts w:asciiTheme="majorBidi" w:hAnsiTheme="majorBidi"/>
        </w:rPr>
        <w:instrText>ADDIN CSL_CITATION {"citationItems":[{"id":"ITEM-1","itemData":{"author":[{"dropping-particle":"","family":"Zhang","given":"Chao","non-dropping-particle":"","parse-names":false,"suffix":""},{"dropping-particle":"","family":"Lee","given":"George","non-dropping-particle":"","parse-names":false,"suffix":""},{"dropping-particle":"","family":"Lam","given":"Frank","non-dropping-particle":"","parse-names":false,"suffix":""}],"id":"ITEM-1","issue":"604","issued":{"date-parts":[["2018"]]},"page":"1-35","title":"Study of Massive Timber Walls based on NLT and Post Laminated LVL by","type":"article-journal"},"uris":["http://www.mendeley.com/documents/?uuid=36b12296-b819-404a-9714-1586b915629b"]}],"mendeley":{"formattedCitation":"(Zhang et al., 2018)","plainTextFormattedCitation":"(Zhang et al., 2018)"},"properties":{"noteIndex":0},"schema":"https://github.com/citation-style-language/schema/raw/master/csl-citation.json"}</w:instrText>
      </w:r>
      <w:r w:rsidR="003F69F4" w:rsidRPr="00E32653">
        <w:rPr>
          <w:rFonts w:asciiTheme="majorBidi" w:hAnsiTheme="majorBidi"/>
        </w:rPr>
        <w:fldChar w:fldCharType="separate"/>
      </w:r>
      <w:r w:rsidR="003F69F4" w:rsidRPr="00E32653">
        <w:rPr>
          <w:rFonts w:asciiTheme="majorBidi" w:hAnsiTheme="majorBidi"/>
          <w:noProof/>
        </w:rPr>
        <w:t>(Zhang et al., 2018)</w:t>
      </w:r>
      <w:r w:rsidR="003F69F4" w:rsidRPr="00E32653">
        <w:rPr>
          <w:rFonts w:asciiTheme="majorBidi" w:hAnsiTheme="majorBidi"/>
        </w:rPr>
        <w:fldChar w:fldCharType="end"/>
      </w:r>
      <w:r w:rsidR="003F69F4" w:rsidRPr="00E32653">
        <w:rPr>
          <w:rFonts w:asciiTheme="majorBidi" w:hAnsiTheme="majorBidi" w:cstheme="majorBidi"/>
          <w:shd w:val="clear" w:color="auto" w:fill="FFFFFF"/>
        </w:rPr>
        <w:t xml:space="preserve">. </w:t>
      </w:r>
    </w:p>
    <w:p w14:paraId="02E81CF1" w14:textId="115CD31E" w:rsidR="00F5750E" w:rsidRPr="00E32653" w:rsidRDefault="00D771C0" w:rsidP="12C241C3">
      <w:pPr>
        <w:spacing w:line="276" w:lineRule="auto"/>
        <w:ind w:firstLine="720"/>
        <w:jc w:val="both"/>
        <w:rPr>
          <w:rFonts w:asciiTheme="majorBidi" w:hAnsiTheme="majorBidi"/>
        </w:rPr>
      </w:pPr>
      <w:r w:rsidRPr="00E32653">
        <w:rPr>
          <w:rFonts w:asciiTheme="majorBidi" w:hAnsiTheme="majorBidi" w:cstheme="majorBidi"/>
          <w:shd w:val="clear" w:color="auto" w:fill="FFFFFF"/>
        </w:rPr>
        <w:t>The</w:t>
      </w:r>
      <w:r w:rsidR="003F69F4" w:rsidRPr="00E32653">
        <w:rPr>
          <w:rFonts w:asciiTheme="majorBidi" w:hAnsiTheme="majorBidi" w:cstheme="majorBidi"/>
          <w:shd w:val="clear" w:color="auto" w:fill="FFFFFF"/>
        </w:rPr>
        <w:t xml:space="preserve"> mass timber products </w:t>
      </w:r>
      <w:r w:rsidR="0FFCEF0A" w:rsidRPr="00E32653">
        <w:rPr>
          <w:rFonts w:asciiTheme="majorBidi" w:hAnsiTheme="majorBidi" w:cstheme="majorBidi"/>
          <w:shd w:val="clear" w:color="auto" w:fill="FFFFFF"/>
        </w:rPr>
        <w:t xml:space="preserve">have </w:t>
      </w:r>
      <w:r w:rsidRPr="00E32653">
        <w:rPr>
          <w:rFonts w:asciiTheme="majorBidi" w:hAnsiTheme="majorBidi" w:cstheme="majorBidi"/>
          <w:shd w:val="clear" w:color="auto" w:fill="FFFFFF"/>
        </w:rPr>
        <w:t xml:space="preserve">rarely </w:t>
      </w:r>
      <w:r w:rsidR="003F69F4" w:rsidRPr="00E32653">
        <w:rPr>
          <w:rFonts w:asciiTheme="majorBidi" w:hAnsiTheme="majorBidi" w:cstheme="majorBidi"/>
          <w:shd w:val="clear" w:color="auto" w:fill="FFFFFF"/>
        </w:rPr>
        <w:t xml:space="preserve">been compared to each other </w:t>
      </w:r>
      <w:r w:rsidR="285729D5" w:rsidRPr="00E32653">
        <w:rPr>
          <w:rFonts w:asciiTheme="majorBidi" w:hAnsiTheme="majorBidi" w:cstheme="majorBidi"/>
          <w:shd w:val="clear" w:color="auto" w:fill="FFFFFF"/>
        </w:rPr>
        <w:t>with respect to</w:t>
      </w:r>
      <w:r w:rsidR="003F69F4" w:rsidRPr="00E32653">
        <w:rPr>
          <w:rFonts w:asciiTheme="majorBidi" w:hAnsiTheme="majorBidi" w:cstheme="majorBidi"/>
          <w:shd w:val="clear" w:color="auto" w:fill="FFFFFF"/>
        </w:rPr>
        <w:t xml:space="preserve"> LCA and LCC. For example, </w:t>
      </w:r>
      <w:r w:rsidR="000F4C4E" w:rsidRPr="00E32653">
        <w:rPr>
          <w:rFonts w:asciiTheme="majorBidi" w:hAnsiTheme="majorBidi" w:cstheme="majorBidi"/>
          <w:noProof/>
        </w:rPr>
        <w:t>Balasbaneh, et al</w:t>
      </w:r>
      <w:r w:rsidR="00051645" w:rsidRPr="00E32653">
        <w:rPr>
          <w:rFonts w:asciiTheme="majorBidi" w:hAnsiTheme="majorBidi" w:cstheme="majorBidi"/>
          <w:noProof/>
        </w:rPr>
        <w:t>.</w:t>
      </w:r>
      <w:r w:rsidR="000F4C4E" w:rsidRPr="00E32653">
        <w:rPr>
          <w:rFonts w:asciiTheme="majorBidi" w:hAnsiTheme="majorBidi" w:cstheme="majorBidi"/>
          <w:noProof/>
        </w:rPr>
        <w:t xml:space="preserve"> (2021) was the only comprehensi</w:t>
      </w:r>
      <w:r w:rsidR="00051645" w:rsidRPr="00E32653">
        <w:rPr>
          <w:rFonts w:asciiTheme="majorBidi" w:hAnsiTheme="majorBidi" w:cstheme="majorBidi"/>
          <w:noProof/>
        </w:rPr>
        <w:t>v</w:t>
      </w:r>
      <w:r w:rsidR="000F4C4E" w:rsidRPr="00E32653">
        <w:rPr>
          <w:rFonts w:asciiTheme="majorBidi" w:hAnsiTheme="majorBidi" w:cstheme="majorBidi"/>
          <w:noProof/>
        </w:rPr>
        <w:t>e study that compared two mass timber</w:t>
      </w:r>
      <w:r w:rsidR="00975B74" w:rsidRPr="00E32653">
        <w:rPr>
          <w:rFonts w:asciiTheme="majorBidi" w:hAnsiTheme="majorBidi" w:cstheme="majorBidi"/>
          <w:noProof/>
        </w:rPr>
        <w:t xml:space="preserve"> products</w:t>
      </w:r>
      <w:r w:rsidR="00051645" w:rsidRPr="00E32653">
        <w:rPr>
          <w:rFonts w:asciiTheme="majorBidi" w:hAnsiTheme="majorBidi" w:cstheme="majorBidi"/>
          <w:noProof/>
        </w:rPr>
        <w:t>, namely CLT andd GLT. The</w:t>
      </w:r>
      <w:r w:rsidR="00975B74" w:rsidRPr="00E32653">
        <w:rPr>
          <w:rFonts w:asciiTheme="majorBidi" w:hAnsiTheme="majorBidi" w:cstheme="majorBidi"/>
          <w:noProof/>
        </w:rPr>
        <w:t>y</w:t>
      </w:r>
      <w:r w:rsidR="00051645" w:rsidRPr="00E32653">
        <w:rPr>
          <w:rFonts w:asciiTheme="majorBidi" w:hAnsiTheme="majorBidi" w:cstheme="majorBidi"/>
          <w:noProof/>
        </w:rPr>
        <w:t xml:space="preserve"> showed that softwood </w:t>
      </w:r>
      <w:r w:rsidR="00975B74" w:rsidRPr="00E32653">
        <w:rPr>
          <w:rFonts w:asciiTheme="majorBidi" w:hAnsiTheme="majorBidi" w:cstheme="majorBidi"/>
          <w:noProof/>
        </w:rPr>
        <w:t xml:space="preserve">was </w:t>
      </w:r>
      <w:r w:rsidR="00051645" w:rsidRPr="00E32653">
        <w:rPr>
          <w:rFonts w:asciiTheme="majorBidi" w:hAnsiTheme="majorBidi" w:cstheme="majorBidi"/>
          <w:noProof/>
        </w:rPr>
        <w:t>the best building materi</w:t>
      </w:r>
      <w:r w:rsidR="00975B74" w:rsidRPr="00E32653">
        <w:rPr>
          <w:rFonts w:asciiTheme="majorBidi" w:hAnsiTheme="majorBidi" w:cstheme="majorBidi"/>
          <w:noProof/>
        </w:rPr>
        <w:t>a</w:t>
      </w:r>
      <w:r w:rsidR="00051645" w:rsidRPr="00E32653">
        <w:rPr>
          <w:rFonts w:asciiTheme="majorBidi" w:hAnsiTheme="majorBidi" w:cstheme="majorBidi"/>
          <w:noProof/>
        </w:rPr>
        <w:t>l,</w:t>
      </w:r>
      <w:r w:rsidR="000F4C4E" w:rsidRPr="00E32653">
        <w:rPr>
          <w:rFonts w:asciiTheme="majorBidi" w:hAnsiTheme="majorBidi" w:cstheme="majorBidi"/>
          <w:noProof/>
        </w:rPr>
        <w:t xml:space="preserve"> </w:t>
      </w:r>
      <w:r w:rsidR="00975B74" w:rsidRPr="00E32653">
        <w:rPr>
          <w:rFonts w:asciiTheme="majorBidi" w:hAnsiTheme="majorBidi" w:cstheme="majorBidi"/>
          <w:noProof/>
        </w:rPr>
        <w:t xml:space="preserve">which is </w:t>
      </w:r>
      <w:r w:rsidR="000F4C4E" w:rsidRPr="00E32653">
        <w:rPr>
          <w:rFonts w:asciiTheme="majorBidi" w:hAnsiTheme="majorBidi" w:cstheme="majorBidi"/>
          <w:noProof/>
        </w:rPr>
        <w:t>consist</w:t>
      </w:r>
      <w:r w:rsidR="00051645" w:rsidRPr="00E32653">
        <w:rPr>
          <w:rFonts w:asciiTheme="majorBidi" w:hAnsiTheme="majorBidi" w:cstheme="majorBidi"/>
          <w:noProof/>
        </w:rPr>
        <w:t>e</w:t>
      </w:r>
      <w:r w:rsidR="000F4C4E" w:rsidRPr="00E32653">
        <w:rPr>
          <w:rFonts w:asciiTheme="majorBidi" w:hAnsiTheme="majorBidi" w:cstheme="majorBidi"/>
          <w:noProof/>
        </w:rPr>
        <w:t xml:space="preserve">nt with </w:t>
      </w:r>
      <w:r w:rsidR="00975B74" w:rsidRPr="00E32653">
        <w:rPr>
          <w:rFonts w:asciiTheme="majorBidi" w:hAnsiTheme="majorBidi" w:cstheme="majorBidi"/>
          <w:noProof/>
        </w:rPr>
        <w:t xml:space="preserve">this </w:t>
      </w:r>
      <w:r w:rsidR="000F4C4E" w:rsidRPr="00E32653">
        <w:rPr>
          <w:rFonts w:asciiTheme="majorBidi" w:hAnsiTheme="majorBidi" w:cstheme="majorBidi"/>
          <w:noProof/>
        </w:rPr>
        <w:t xml:space="preserve">study. </w:t>
      </w:r>
      <w:r w:rsidR="00230CFB" w:rsidRPr="00E32653">
        <w:rPr>
          <w:rFonts w:asciiTheme="majorBidi" w:hAnsiTheme="majorBidi" w:cstheme="majorBidi"/>
        </w:rPr>
        <w:fldChar w:fldCharType="begin" w:fldLock="1"/>
      </w:r>
      <w:r w:rsidR="00F10FF0" w:rsidRPr="00E32653">
        <w:rPr>
          <w:rFonts w:asciiTheme="majorBidi" w:hAnsiTheme="majorBidi" w:cstheme="majorBidi"/>
        </w:rPr>
        <w:instrText>ADDIN CSL_CITATION {"citationItems":[{"id":"ITEM-1","itemData":{"DOI":"10.1016/j.buildenv.2020.106751","ISSN":"03601323","abstract":"Wood is increasingly promoted due to its reported low climate change impacts; however, the literature reports provides high variability of climate change impact scores, making comparisons with non-wood materials difficult. The objective of this study is to calculate a database of life cycle inventories (LCI) and dynamic climate change impacts (DCCI) of wood building products, for different use contexts across Canada. Temporally differentiated gate-to-gate LCIs were developed, to which dynamic life cycle assessment (DLCA) was applied, yielding a modular database of cradle-to-grave LCIs and DCCIs of wood products. Four wood product case studies were chosen to demonstrate the use of the modular LCI and DCCI database of wood product use in buildings. The results show that most wood building products provide overall net negative climate change impact scores, though for some wood product specifications results show net positive climate change impacts. Results are sensitive to a few factors, including ecosystem carbon cost (ECC), wood carbon content, building lifespan and end-of-life. This research develops a gate-to-gate LCI and DCCI database for each life cycle stage of wood building products, allowing life cycle assessment (LCA) practitioners to calculate DCCI results with respect to a chosen time horizon relevant for decision-making. This modular database would be particularly useful to those practitioners wishing to account for biogenic carbon in wood product life cycle assessment, which is currently quite difficult due to a lack of data. It could also be readily implemented into LCA tools to support building designers in sustainable building material selection.","author":[{"dropping-particle":"","family":"Head","given":"Marieke","non-dropping-particle":"","parse-names":false,"suffix":""},{"dropping-particle":"","family":"Levasseur","given":"Annie","non-dropping-particle":"","parse-names":false,"suffix":""},{"dropping-particle":"","family":"Beauregard","given":"Robert","non-dropping-particle":"","parse-names":false,"suffix":""},{"dropping-particle":"","family":"Margni","given":"Manuele","non-dropping-particle":"","parse-names":false,"suffix":""}],"container-title":"Building and Environment","id":"ITEM-1","issue":"February","issued":{"date-parts":[["2020"]]},"page":"106751","publisher":"Elsevier Ltd","title":"Dynamic greenhouse gas life cycle inventory and impact profiles of wood used in Canadian buildings","type":"article-journal","volume":"173"},"uris":["http://www.mendeley.com/documents/?uuid=e15a7ad9-4518-408d-8bb8-8d477f3355df"]}],"mendeley":{"formattedCitation":"(Head et al., 2020)","manualFormatting":"Head et al., (2020)","plainTextFormattedCitation":"(Head et al., 2020)","previouslyFormattedCitation":"(Head et al., 2020)"},"properties":{"noteIndex":0},"schema":"https://github.com/citation-style-language/schema/raw/master/csl-citation.json"}</w:instrText>
      </w:r>
      <w:r w:rsidR="00230CFB" w:rsidRPr="00E32653">
        <w:rPr>
          <w:rFonts w:asciiTheme="majorBidi" w:hAnsiTheme="majorBidi" w:cstheme="majorBidi"/>
        </w:rPr>
        <w:fldChar w:fldCharType="separate"/>
      </w:r>
      <w:r w:rsidR="00230CFB" w:rsidRPr="00E32653">
        <w:rPr>
          <w:rFonts w:asciiTheme="majorBidi" w:hAnsiTheme="majorBidi" w:cstheme="majorBidi"/>
          <w:noProof/>
        </w:rPr>
        <w:t xml:space="preserve">Head et al., </w:t>
      </w:r>
      <w:r w:rsidR="00F10FF0" w:rsidRPr="00E32653">
        <w:rPr>
          <w:rFonts w:asciiTheme="majorBidi" w:hAnsiTheme="majorBidi" w:cstheme="majorBidi"/>
          <w:noProof/>
        </w:rPr>
        <w:t>(</w:t>
      </w:r>
      <w:r w:rsidR="00230CFB" w:rsidRPr="00E32653">
        <w:rPr>
          <w:rFonts w:asciiTheme="majorBidi" w:hAnsiTheme="majorBidi" w:cstheme="majorBidi"/>
          <w:noProof/>
        </w:rPr>
        <w:t>2020)</w:t>
      </w:r>
      <w:r w:rsidR="00230CFB" w:rsidRPr="00E32653">
        <w:rPr>
          <w:rFonts w:asciiTheme="majorBidi" w:hAnsiTheme="majorBidi" w:cstheme="majorBidi"/>
        </w:rPr>
        <w:fldChar w:fldCharType="end"/>
      </w:r>
      <w:r w:rsidR="00230CFB" w:rsidRPr="00E32653">
        <w:rPr>
          <w:rFonts w:asciiTheme="majorBidi" w:hAnsiTheme="majorBidi" w:cstheme="majorBidi"/>
        </w:rPr>
        <w:t xml:space="preserve"> evaluated the </w:t>
      </w:r>
      <w:r w:rsidR="00F10FF0" w:rsidRPr="00E32653">
        <w:rPr>
          <w:rFonts w:asciiTheme="majorBidi" w:hAnsiTheme="majorBidi" w:cstheme="majorBidi"/>
        </w:rPr>
        <w:t>CO</w:t>
      </w:r>
      <w:r w:rsidR="00F10FF0" w:rsidRPr="00E32653">
        <w:rPr>
          <w:rFonts w:asciiTheme="majorBidi" w:hAnsiTheme="majorBidi" w:cstheme="majorBidi"/>
          <w:vertAlign w:val="subscript"/>
        </w:rPr>
        <w:t>2</w:t>
      </w:r>
      <w:r w:rsidR="00F10FF0" w:rsidRPr="00E32653">
        <w:rPr>
          <w:rFonts w:asciiTheme="majorBidi" w:hAnsiTheme="majorBidi" w:cstheme="majorBidi"/>
        </w:rPr>
        <w:t xml:space="preserve"> </w:t>
      </w:r>
      <w:r w:rsidR="00230CFB" w:rsidRPr="00E32653">
        <w:rPr>
          <w:rFonts w:asciiTheme="majorBidi" w:hAnsiTheme="majorBidi" w:cstheme="majorBidi"/>
        </w:rPr>
        <w:t>emission of life cycle inventory for different wood</w:t>
      </w:r>
      <w:r w:rsidR="00051645" w:rsidRPr="00E32653">
        <w:rPr>
          <w:rFonts w:asciiTheme="majorBidi" w:hAnsiTheme="majorBidi" w:cstheme="majorBidi"/>
        </w:rPr>
        <w:t>. T</w:t>
      </w:r>
      <w:r w:rsidR="00230CFB" w:rsidRPr="00E32653">
        <w:rPr>
          <w:rFonts w:asciiTheme="majorBidi" w:hAnsiTheme="majorBidi" w:cstheme="majorBidi"/>
        </w:rPr>
        <w:t>he</w:t>
      </w:r>
      <w:r w:rsidR="00975B74" w:rsidRPr="00E32653">
        <w:rPr>
          <w:rFonts w:asciiTheme="majorBidi" w:hAnsiTheme="majorBidi" w:cstheme="majorBidi"/>
        </w:rPr>
        <w:t>y</w:t>
      </w:r>
      <w:r w:rsidR="00230CFB" w:rsidRPr="00E32653">
        <w:rPr>
          <w:rFonts w:asciiTheme="majorBidi" w:hAnsiTheme="majorBidi" w:cstheme="majorBidi"/>
        </w:rPr>
        <w:t xml:space="preserve"> showed that LVL has a lower carbon emission than GLT </w:t>
      </w:r>
      <w:r w:rsidR="00975B74" w:rsidRPr="00E32653">
        <w:rPr>
          <w:rFonts w:asciiTheme="majorBidi" w:hAnsiTheme="majorBidi" w:cstheme="majorBidi"/>
        </w:rPr>
        <w:t>per</w:t>
      </w:r>
      <w:r w:rsidR="00230CFB" w:rsidRPr="00E32653">
        <w:rPr>
          <w:rFonts w:asciiTheme="majorBidi" w:hAnsiTheme="majorBidi" w:cstheme="majorBidi"/>
        </w:rPr>
        <w:t xml:space="preserve"> M</w:t>
      </w:r>
      <w:r w:rsidR="00230CFB" w:rsidRPr="00E32653">
        <w:rPr>
          <w:rFonts w:asciiTheme="majorBidi" w:hAnsiTheme="majorBidi" w:cstheme="majorBidi"/>
          <w:vertAlign w:val="superscript"/>
        </w:rPr>
        <w:t>3</w:t>
      </w:r>
      <w:r w:rsidR="003F69F4" w:rsidRPr="00E32653">
        <w:rPr>
          <w:rFonts w:asciiTheme="majorBidi" w:hAnsiTheme="majorBidi" w:cstheme="majorBidi"/>
          <w:vertAlign w:val="superscript"/>
        </w:rPr>
        <w:t xml:space="preserve"> </w:t>
      </w:r>
      <w:r w:rsidR="003F69F4" w:rsidRPr="00E32653">
        <w:rPr>
          <w:rFonts w:asciiTheme="majorBidi" w:hAnsiTheme="majorBidi" w:cstheme="majorBidi"/>
        </w:rPr>
        <w:t xml:space="preserve">which is consistent with </w:t>
      </w:r>
      <w:r w:rsidR="0C9881CA" w:rsidRPr="00E32653">
        <w:rPr>
          <w:rFonts w:asciiTheme="majorBidi" w:hAnsiTheme="majorBidi" w:cstheme="majorBidi"/>
        </w:rPr>
        <w:t>this study</w:t>
      </w:r>
      <w:r w:rsidR="003F69F4" w:rsidRPr="00E32653">
        <w:rPr>
          <w:rFonts w:asciiTheme="majorBidi" w:hAnsiTheme="majorBidi" w:cstheme="majorBidi"/>
        </w:rPr>
        <w:t>.</w:t>
      </w:r>
      <w:r w:rsidR="00230CFB" w:rsidRPr="00E32653">
        <w:rPr>
          <w:rFonts w:asciiTheme="majorBidi" w:hAnsiTheme="majorBidi" w:cstheme="majorBidi"/>
        </w:rPr>
        <w:t xml:space="preserve"> </w:t>
      </w:r>
      <w:r w:rsidR="005C42DA" w:rsidRPr="00E32653">
        <w:rPr>
          <w:rFonts w:asciiTheme="majorBidi" w:hAnsiTheme="majorBidi" w:cstheme="majorBidi"/>
          <w:shd w:val="clear" w:color="auto" w:fill="FFFFFF"/>
        </w:rPr>
        <w:t>P</w:t>
      </w:r>
      <w:r w:rsidR="00D17229" w:rsidRPr="00E32653">
        <w:rPr>
          <w:rFonts w:asciiTheme="majorBidi" w:hAnsiTheme="majorBidi" w:cstheme="majorBidi"/>
          <w:shd w:val="clear" w:color="auto" w:fill="FFFFFF"/>
        </w:rPr>
        <w:t>revious studies w</w:t>
      </w:r>
      <w:r w:rsidR="00051645" w:rsidRPr="00E32653">
        <w:rPr>
          <w:rFonts w:asciiTheme="majorBidi" w:hAnsiTheme="majorBidi" w:cstheme="majorBidi"/>
          <w:shd w:val="clear" w:color="auto" w:fill="FFFFFF"/>
        </w:rPr>
        <w:t>ere limited to environmental impact and neglected</w:t>
      </w:r>
      <w:r w:rsidR="00D17229" w:rsidRPr="00E32653">
        <w:rPr>
          <w:rFonts w:asciiTheme="majorBidi" w:hAnsiTheme="majorBidi" w:cstheme="majorBidi"/>
          <w:shd w:val="clear" w:color="auto" w:fill="FFFFFF"/>
        </w:rPr>
        <w:t xml:space="preserve"> embodied energy </w:t>
      </w:r>
      <w:r w:rsidR="00563CA0" w:rsidRPr="00E32653">
        <w:rPr>
          <w:rFonts w:asciiTheme="majorBidi" w:hAnsiTheme="majorBidi" w:cstheme="majorBidi"/>
          <w:shd w:val="clear" w:color="auto" w:fill="FFFFFF"/>
        </w:rPr>
        <w:t xml:space="preserve">or </w:t>
      </w:r>
      <w:r w:rsidR="00D17229" w:rsidRPr="00E32653">
        <w:rPr>
          <w:rFonts w:asciiTheme="majorBidi" w:hAnsiTheme="majorBidi" w:cstheme="majorBidi"/>
          <w:shd w:val="clear" w:color="auto" w:fill="FFFFFF"/>
        </w:rPr>
        <w:t>LCC</w:t>
      </w:r>
      <w:r w:rsidR="00EC5A9F" w:rsidRPr="00E32653">
        <w:rPr>
          <w:rFonts w:asciiTheme="majorBidi" w:hAnsiTheme="majorBidi" w:cstheme="majorBidi"/>
          <w:shd w:val="clear" w:color="auto" w:fill="FFFFFF"/>
        </w:rPr>
        <w:t xml:space="preserve"> evaluations</w:t>
      </w:r>
      <w:r w:rsidR="00D17229" w:rsidRPr="00E32653">
        <w:rPr>
          <w:rFonts w:asciiTheme="majorBidi" w:hAnsiTheme="majorBidi" w:cstheme="majorBidi"/>
          <w:shd w:val="clear" w:color="auto" w:fill="FFFFFF"/>
        </w:rPr>
        <w:t>.</w:t>
      </w:r>
      <w:r w:rsidR="00EC5A9F" w:rsidRPr="00E32653">
        <w:rPr>
          <w:rFonts w:asciiTheme="majorBidi" w:hAnsiTheme="majorBidi" w:cstheme="majorBidi"/>
          <w:shd w:val="clear" w:color="auto" w:fill="FFFFFF"/>
        </w:rPr>
        <w:t xml:space="preserve"> </w:t>
      </w:r>
      <w:r w:rsidR="00F5750E" w:rsidRPr="00E32653">
        <w:rPr>
          <w:rFonts w:asciiTheme="majorBidi" w:hAnsiTheme="majorBidi" w:cstheme="majorBidi"/>
          <w:shd w:val="clear" w:color="auto" w:fill="FFFFFF"/>
        </w:rPr>
        <w:t xml:space="preserve">Therefore, this research </w:t>
      </w:r>
      <w:r w:rsidR="00051645" w:rsidRPr="00E32653">
        <w:rPr>
          <w:rFonts w:asciiTheme="majorBidi" w:hAnsiTheme="majorBidi" w:cstheme="majorBidi"/>
          <w:shd w:val="clear" w:color="auto" w:fill="FFFFFF"/>
        </w:rPr>
        <w:t xml:space="preserve">is </w:t>
      </w:r>
      <w:r w:rsidR="00F5750E" w:rsidRPr="00E32653">
        <w:rPr>
          <w:rFonts w:asciiTheme="majorBidi" w:hAnsiTheme="majorBidi" w:cstheme="majorBidi"/>
          <w:shd w:val="clear" w:color="auto" w:fill="FFFFFF"/>
        </w:rPr>
        <w:t xml:space="preserve">considered unique </w:t>
      </w:r>
      <w:r w:rsidR="005C42DA" w:rsidRPr="00E32653">
        <w:rPr>
          <w:rFonts w:asciiTheme="majorBidi" w:hAnsiTheme="majorBidi" w:cstheme="majorBidi"/>
          <w:shd w:val="clear" w:color="auto" w:fill="FFFFFF"/>
        </w:rPr>
        <w:t>as it</w:t>
      </w:r>
      <w:r w:rsidR="00F5750E" w:rsidRPr="00E32653">
        <w:rPr>
          <w:rFonts w:asciiTheme="majorBidi" w:hAnsiTheme="majorBidi" w:cstheme="majorBidi"/>
          <w:shd w:val="clear" w:color="auto" w:fill="FFFFFF"/>
        </w:rPr>
        <w:t xml:space="preserve"> </w:t>
      </w:r>
      <w:r w:rsidR="005C42DA" w:rsidRPr="00E32653">
        <w:rPr>
          <w:rFonts w:asciiTheme="majorBidi" w:hAnsiTheme="majorBidi" w:cstheme="majorBidi"/>
          <w:shd w:val="clear" w:color="auto" w:fill="FFFFFF"/>
        </w:rPr>
        <w:t>explores several</w:t>
      </w:r>
      <w:r w:rsidR="00F5750E" w:rsidRPr="00E32653">
        <w:rPr>
          <w:rFonts w:asciiTheme="majorBidi" w:hAnsiTheme="majorBidi" w:cstheme="majorBidi"/>
          <w:shd w:val="clear" w:color="auto" w:fill="FFFFFF"/>
        </w:rPr>
        <w:t xml:space="preserve"> aspect</w:t>
      </w:r>
      <w:r w:rsidR="00051645" w:rsidRPr="00E32653">
        <w:rPr>
          <w:rFonts w:asciiTheme="majorBidi" w:hAnsiTheme="majorBidi" w:cstheme="majorBidi"/>
          <w:shd w:val="clear" w:color="auto" w:fill="FFFFFF"/>
        </w:rPr>
        <w:t>s</w:t>
      </w:r>
      <w:r w:rsidR="00F5750E" w:rsidRPr="00E32653">
        <w:rPr>
          <w:rFonts w:asciiTheme="majorBidi" w:hAnsiTheme="majorBidi" w:cstheme="majorBidi"/>
          <w:shd w:val="clear" w:color="auto" w:fill="FFFFFF"/>
        </w:rPr>
        <w:t xml:space="preserve"> of </w:t>
      </w:r>
      <w:r w:rsidR="007101A7" w:rsidRPr="00E32653">
        <w:rPr>
          <w:rFonts w:asciiTheme="majorBidi" w:hAnsiTheme="majorBidi" w:cstheme="majorBidi"/>
          <w:shd w:val="clear" w:color="auto" w:fill="FFFFFF"/>
        </w:rPr>
        <w:t>these</w:t>
      </w:r>
      <w:r w:rsidR="00F5750E" w:rsidRPr="00E32653">
        <w:rPr>
          <w:rFonts w:asciiTheme="majorBidi" w:hAnsiTheme="majorBidi" w:cstheme="majorBidi"/>
          <w:shd w:val="clear" w:color="auto" w:fill="FFFFFF"/>
        </w:rPr>
        <w:t xml:space="preserve"> materials. </w:t>
      </w:r>
    </w:p>
    <w:p w14:paraId="6BDF431C" w14:textId="12AE68C8" w:rsidR="00952C21" w:rsidRPr="00E32653" w:rsidRDefault="00473082" w:rsidP="12C241C3">
      <w:pPr>
        <w:ind w:firstLine="720"/>
        <w:jc w:val="both"/>
        <w:rPr>
          <w:rFonts w:asciiTheme="majorBidi" w:hAnsiTheme="majorBidi" w:cstheme="majorBidi"/>
          <w:lang w:val="en-GB"/>
        </w:rPr>
      </w:pPr>
      <w:r w:rsidRPr="00E32653">
        <w:rPr>
          <w:rFonts w:asciiTheme="majorBidi" w:eastAsia="Times New Roman" w:hAnsiTheme="majorBidi" w:cstheme="majorBidi"/>
          <w:lang w:val="en-GB"/>
        </w:rPr>
        <w:lastRenderedPageBreak/>
        <w:t>T</w:t>
      </w:r>
      <w:r w:rsidR="00952C21" w:rsidRPr="00E32653">
        <w:rPr>
          <w:rFonts w:asciiTheme="majorBidi" w:eastAsia="Times New Roman" w:hAnsiTheme="majorBidi" w:cstheme="majorBidi"/>
          <w:lang w:val="en-GB"/>
        </w:rPr>
        <w:t xml:space="preserve">o assess GLT, it </w:t>
      </w:r>
      <w:r w:rsidR="3E731263" w:rsidRPr="00E32653">
        <w:rPr>
          <w:rFonts w:asciiTheme="majorBidi" w:eastAsia="Times New Roman" w:hAnsiTheme="majorBidi" w:cstheme="majorBidi"/>
          <w:lang w:val="en-GB"/>
        </w:rPr>
        <w:t xml:space="preserve">was </w:t>
      </w:r>
      <w:r w:rsidR="00952C21" w:rsidRPr="00E32653">
        <w:rPr>
          <w:rFonts w:asciiTheme="majorBidi" w:eastAsia="Times New Roman" w:hAnsiTheme="majorBidi" w:cstheme="majorBidi"/>
          <w:lang w:val="en-GB"/>
        </w:rPr>
        <w:t>assumed that</w:t>
      </w:r>
      <w:r w:rsidR="005C42DA" w:rsidRPr="00E32653">
        <w:rPr>
          <w:rFonts w:asciiTheme="majorBidi" w:eastAsia="Times New Roman" w:hAnsiTheme="majorBidi" w:cstheme="majorBidi"/>
          <w:lang w:val="en-GB"/>
        </w:rPr>
        <w:t xml:space="preserve"> </w:t>
      </w:r>
      <w:r w:rsidR="00952C21" w:rsidRPr="00E32653">
        <w:rPr>
          <w:rFonts w:asciiTheme="majorBidi" w:eastAsia="Times New Roman" w:hAnsiTheme="majorBidi" w:cstheme="majorBidi"/>
          <w:lang w:val="en-GB"/>
        </w:rPr>
        <w:t xml:space="preserve">raw material </w:t>
      </w:r>
      <w:r w:rsidR="61DE05C5" w:rsidRPr="00E32653">
        <w:rPr>
          <w:rFonts w:asciiTheme="majorBidi" w:eastAsia="Times New Roman" w:hAnsiTheme="majorBidi" w:cstheme="majorBidi"/>
          <w:lang w:val="en-GB"/>
        </w:rPr>
        <w:t xml:space="preserve">was </w:t>
      </w:r>
      <w:r w:rsidR="005C42DA" w:rsidRPr="00E32653">
        <w:rPr>
          <w:rFonts w:asciiTheme="majorBidi" w:eastAsia="Times New Roman" w:hAnsiTheme="majorBidi" w:cstheme="majorBidi"/>
          <w:lang w:val="en-GB"/>
        </w:rPr>
        <w:t xml:space="preserve">located </w:t>
      </w:r>
      <w:r w:rsidR="00952C21" w:rsidRPr="00E32653">
        <w:rPr>
          <w:rFonts w:asciiTheme="majorBidi" w:eastAsia="Times New Roman" w:hAnsiTheme="majorBidi" w:cstheme="majorBidi"/>
          <w:lang w:val="en-GB"/>
        </w:rPr>
        <w:t xml:space="preserve">close to the sawmill. </w:t>
      </w:r>
      <w:r w:rsidRPr="00E32653">
        <w:rPr>
          <w:rFonts w:asciiTheme="majorBidi" w:eastAsia="Times New Roman" w:hAnsiTheme="majorBidi" w:cstheme="majorBidi"/>
          <w:lang w:val="en-GB"/>
        </w:rPr>
        <w:t xml:space="preserve">Sensitivity analysis </w:t>
      </w:r>
      <w:r w:rsidR="10476BEE" w:rsidRPr="00E32653">
        <w:rPr>
          <w:rFonts w:asciiTheme="majorBidi" w:eastAsia="Times New Roman" w:hAnsiTheme="majorBidi" w:cstheme="majorBidi"/>
          <w:lang w:val="en-GB"/>
        </w:rPr>
        <w:t xml:space="preserve">was </w:t>
      </w:r>
      <w:r w:rsidRPr="00E32653">
        <w:rPr>
          <w:rFonts w:asciiTheme="majorBidi" w:eastAsia="Times New Roman" w:hAnsiTheme="majorBidi" w:cstheme="majorBidi"/>
          <w:lang w:val="en-GB"/>
        </w:rPr>
        <w:t>performed b</w:t>
      </w:r>
      <w:r w:rsidR="00952C21" w:rsidRPr="00E32653">
        <w:rPr>
          <w:rFonts w:asciiTheme="majorBidi" w:eastAsia="Times New Roman" w:hAnsiTheme="majorBidi" w:cstheme="majorBidi"/>
          <w:lang w:val="en-GB"/>
        </w:rPr>
        <w:t>y increasing th</w:t>
      </w:r>
      <w:r w:rsidR="289E8312" w:rsidRPr="00E32653">
        <w:rPr>
          <w:rFonts w:asciiTheme="majorBidi" w:eastAsia="Times New Roman" w:hAnsiTheme="majorBidi" w:cstheme="majorBidi"/>
          <w:lang w:val="en-GB"/>
        </w:rPr>
        <w:t>is</w:t>
      </w:r>
      <w:r w:rsidR="00952C21" w:rsidRPr="00E32653">
        <w:rPr>
          <w:rFonts w:asciiTheme="majorBidi" w:eastAsia="Times New Roman" w:hAnsiTheme="majorBidi" w:cstheme="majorBidi"/>
          <w:lang w:val="en-GB"/>
        </w:rPr>
        <w:t xml:space="preserve"> distance to 100 Km </w:t>
      </w:r>
      <w:r w:rsidR="796EC72B" w:rsidRPr="00E32653">
        <w:rPr>
          <w:rFonts w:asciiTheme="majorBidi" w:eastAsia="Times New Roman" w:hAnsiTheme="majorBidi" w:cstheme="majorBidi"/>
          <w:lang w:val="en-GB"/>
        </w:rPr>
        <w:t>resulting in</w:t>
      </w:r>
      <w:r w:rsidR="00952C21" w:rsidRPr="00E32653">
        <w:rPr>
          <w:rFonts w:asciiTheme="majorBidi" w:eastAsia="Times New Roman" w:hAnsiTheme="majorBidi" w:cstheme="majorBidi"/>
          <w:lang w:val="en-GB"/>
        </w:rPr>
        <w:t xml:space="preserve"> an increase in embodied energy and carbon emissions </w:t>
      </w:r>
      <w:r w:rsidR="005C42DA" w:rsidRPr="00E32653">
        <w:rPr>
          <w:rFonts w:asciiTheme="majorBidi" w:eastAsia="Times New Roman" w:hAnsiTheme="majorBidi" w:cstheme="majorBidi"/>
          <w:lang w:val="en-GB"/>
        </w:rPr>
        <w:t xml:space="preserve">of </w:t>
      </w:r>
      <w:r w:rsidR="00A25EEA" w:rsidRPr="00E32653">
        <w:rPr>
          <w:rFonts w:asciiTheme="majorBidi" w:eastAsia="Times New Roman" w:hAnsiTheme="majorBidi" w:cstheme="majorBidi"/>
          <w:lang w:val="en-GB"/>
        </w:rPr>
        <w:t>approximately 1.23 K</w:t>
      </w:r>
      <w:r w:rsidR="00952C21" w:rsidRPr="00E32653">
        <w:rPr>
          <w:rFonts w:asciiTheme="majorBidi" w:eastAsia="Times New Roman" w:hAnsiTheme="majorBidi" w:cstheme="majorBidi"/>
          <w:lang w:val="en-GB"/>
        </w:rPr>
        <w:t>g CO₂</w:t>
      </w:r>
      <w:r w:rsidR="00952C21" w:rsidRPr="00E32653">
        <w:rPr>
          <w:rFonts w:asciiTheme="majorBidi" w:eastAsia="Times New Roman" w:hAnsiTheme="majorBidi" w:cstheme="majorBidi"/>
          <w:vertAlign w:val="subscript"/>
          <w:lang w:val="en-GB"/>
        </w:rPr>
        <w:t>eq</w:t>
      </w:r>
      <w:r w:rsidR="00952C21" w:rsidRPr="00E32653">
        <w:rPr>
          <w:rFonts w:asciiTheme="majorBidi" w:eastAsia="Times New Roman" w:hAnsiTheme="majorBidi" w:cstheme="majorBidi"/>
          <w:lang w:val="en-GB"/>
        </w:rPr>
        <w:t xml:space="preserve"> per tonne and 3.43 MJ per tonne, respectively.</w:t>
      </w:r>
      <w:r w:rsidR="00047DC5" w:rsidRPr="00E32653">
        <w:rPr>
          <w:rFonts w:asciiTheme="majorBidi" w:eastAsia="Times New Roman" w:hAnsiTheme="majorBidi" w:cstheme="majorBidi"/>
          <w:lang w:val="en-GB"/>
        </w:rPr>
        <w:t xml:space="preserve"> </w:t>
      </w:r>
      <w:r w:rsidR="002D47F7" w:rsidRPr="00E32653">
        <w:rPr>
          <w:rFonts w:asciiTheme="majorBidi" w:eastAsia="Times New Roman" w:hAnsiTheme="majorBidi" w:cstheme="majorBidi"/>
          <w:lang w:val="en-GB"/>
        </w:rPr>
        <w:t xml:space="preserve">However, no change </w:t>
      </w:r>
      <w:r w:rsidR="67436843" w:rsidRPr="00E32653">
        <w:rPr>
          <w:rFonts w:asciiTheme="majorBidi" w:eastAsia="Times New Roman" w:hAnsiTheme="majorBidi" w:cstheme="majorBidi"/>
          <w:lang w:val="en-GB"/>
        </w:rPr>
        <w:t>was</w:t>
      </w:r>
      <w:r w:rsidR="002D47F7" w:rsidRPr="00E32653">
        <w:rPr>
          <w:rFonts w:asciiTheme="majorBidi" w:eastAsia="Times New Roman" w:hAnsiTheme="majorBidi" w:cstheme="majorBidi"/>
          <w:lang w:val="en-GB"/>
        </w:rPr>
        <w:t xml:space="preserve"> </w:t>
      </w:r>
      <w:r w:rsidR="002D47F7" w:rsidRPr="00E32653">
        <w:rPr>
          <w:rFonts w:asciiTheme="majorBidi" w:hAnsiTheme="majorBidi" w:cstheme="majorBidi"/>
          <w:lang w:val="en-GB"/>
        </w:rPr>
        <w:t>observed</w:t>
      </w:r>
      <w:r w:rsidR="002D47F7" w:rsidRPr="00E32653">
        <w:rPr>
          <w:rFonts w:asciiTheme="majorBidi" w:eastAsia="Times New Roman" w:hAnsiTheme="majorBidi" w:cstheme="majorBidi"/>
          <w:lang w:val="en-GB"/>
        </w:rPr>
        <w:t xml:space="preserve"> in the priority </w:t>
      </w:r>
      <w:r w:rsidR="002D47F7" w:rsidRPr="00E32653">
        <w:rPr>
          <w:rFonts w:asciiTheme="majorBidi" w:hAnsiTheme="majorBidi" w:cstheme="majorBidi"/>
          <w:lang w:val="en-GB"/>
        </w:rPr>
        <w:t>choice</w:t>
      </w:r>
      <w:r w:rsidR="002D47F7" w:rsidRPr="00E32653">
        <w:rPr>
          <w:rFonts w:asciiTheme="majorBidi" w:eastAsia="Times New Roman" w:hAnsiTheme="majorBidi" w:cstheme="majorBidi"/>
          <w:lang w:val="en-GB"/>
        </w:rPr>
        <w:t xml:space="preserve"> </w:t>
      </w:r>
      <w:r w:rsidR="2CA4DF67" w:rsidRPr="00E32653">
        <w:rPr>
          <w:rFonts w:asciiTheme="majorBidi" w:eastAsia="Times New Roman" w:hAnsiTheme="majorBidi" w:cstheme="majorBidi"/>
          <w:lang w:val="en-GB"/>
        </w:rPr>
        <w:t xml:space="preserve">for </w:t>
      </w:r>
      <w:r w:rsidR="002D47F7" w:rsidRPr="00E32653">
        <w:rPr>
          <w:rFonts w:asciiTheme="majorBidi" w:eastAsia="Times New Roman" w:hAnsiTheme="majorBidi" w:cstheme="majorBidi"/>
          <w:lang w:val="en-GB"/>
        </w:rPr>
        <w:t xml:space="preserve">any </w:t>
      </w:r>
      <w:r w:rsidR="548DD7B8" w:rsidRPr="00E32653">
        <w:rPr>
          <w:rFonts w:asciiTheme="majorBidi" w:eastAsia="Times New Roman" w:hAnsiTheme="majorBidi" w:cstheme="majorBidi"/>
          <w:lang w:val="en-GB"/>
        </w:rPr>
        <w:t xml:space="preserve">of the </w:t>
      </w:r>
      <w:r w:rsidR="002D47F7" w:rsidRPr="00E32653">
        <w:rPr>
          <w:rFonts w:asciiTheme="majorBidi" w:eastAsia="Times New Roman" w:hAnsiTheme="majorBidi" w:cstheme="majorBidi"/>
          <w:lang w:val="en-GB"/>
        </w:rPr>
        <w:t>environmental categories.</w:t>
      </w:r>
      <w:r w:rsidR="002D47F7" w:rsidRPr="00E32653">
        <w:rPr>
          <w:rFonts w:asciiTheme="majorBidi" w:hAnsiTheme="majorBidi" w:cstheme="majorBidi"/>
          <w:lang w:val="en-GB"/>
        </w:rPr>
        <w:t xml:space="preserve"> </w:t>
      </w:r>
      <w:r w:rsidRPr="00E32653">
        <w:rPr>
          <w:rFonts w:asciiTheme="majorBidi" w:eastAsia="Times New Roman" w:hAnsiTheme="majorBidi" w:cstheme="majorBidi"/>
          <w:lang w:val="en-GB"/>
        </w:rPr>
        <w:t>The alternative scenarios and recommendations for improving mass timber are as follows:</w:t>
      </w:r>
      <w:r w:rsidR="00952C21" w:rsidRPr="00E32653">
        <w:rPr>
          <w:rFonts w:asciiTheme="majorBidi" w:hAnsiTheme="majorBidi" w:cstheme="majorBidi"/>
        </w:rPr>
        <w:t xml:space="preserve"> scenario for GLT is the use of polyurethane resin that has a high emission for manufacturing the en</w:t>
      </w:r>
      <w:r w:rsidR="005C42DA" w:rsidRPr="00E32653">
        <w:rPr>
          <w:rFonts w:asciiTheme="majorBidi" w:hAnsiTheme="majorBidi" w:cstheme="majorBidi"/>
        </w:rPr>
        <w:t>gineer</w:t>
      </w:r>
      <w:r w:rsidR="00952C21" w:rsidRPr="00E32653">
        <w:rPr>
          <w:rFonts w:asciiTheme="majorBidi" w:hAnsiTheme="majorBidi" w:cstheme="majorBidi"/>
        </w:rPr>
        <w:t xml:space="preserve">ing wood. In another possible scenario, using prefabricated materials may contribute fewer construction emissions. However, it might </w:t>
      </w:r>
      <w:r w:rsidR="005C42DA" w:rsidRPr="00E32653">
        <w:rPr>
          <w:rFonts w:asciiTheme="majorBidi" w:hAnsiTheme="majorBidi" w:cstheme="majorBidi"/>
        </w:rPr>
        <w:t xml:space="preserve">also </w:t>
      </w:r>
      <w:r w:rsidR="00952C21" w:rsidRPr="00E32653">
        <w:rPr>
          <w:rFonts w:asciiTheme="majorBidi" w:hAnsiTheme="majorBidi" w:cstheme="majorBidi"/>
        </w:rPr>
        <w:t>have higher transportation cost</w:t>
      </w:r>
      <w:r w:rsidR="005C42DA" w:rsidRPr="00E32653">
        <w:rPr>
          <w:rFonts w:asciiTheme="majorBidi" w:hAnsiTheme="majorBidi" w:cstheme="majorBidi"/>
        </w:rPr>
        <w:t>s</w:t>
      </w:r>
      <w:r w:rsidR="00952C21" w:rsidRPr="00E32653">
        <w:rPr>
          <w:rFonts w:asciiTheme="majorBidi" w:hAnsiTheme="majorBidi" w:cstheme="majorBidi"/>
        </w:rPr>
        <w:t>.</w:t>
      </w:r>
    </w:p>
    <w:p w14:paraId="72259F21" w14:textId="77777777" w:rsidR="002C7378" w:rsidRPr="00E32653" w:rsidRDefault="002C7378" w:rsidP="00E80A40">
      <w:pPr>
        <w:ind w:firstLine="720"/>
        <w:jc w:val="both"/>
        <w:rPr>
          <w:rFonts w:asciiTheme="majorBidi" w:eastAsia="Times New Roman" w:hAnsiTheme="majorBidi" w:cstheme="majorBidi"/>
          <w:lang w:val="en-GB"/>
        </w:rPr>
      </w:pPr>
    </w:p>
    <w:p w14:paraId="64970AF2" w14:textId="77777777" w:rsidR="00F60D7C" w:rsidRPr="00E32653" w:rsidRDefault="00E80A40" w:rsidP="00B1432E">
      <w:pPr>
        <w:pStyle w:val="ListParagraph"/>
        <w:numPr>
          <w:ilvl w:val="0"/>
          <w:numId w:val="1"/>
        </w:numPr>
        <w:spacing w:line="276" w:lineRule="auto"/>
        <w:rPr>
          <w:rFonts w:asciiTheme="majorBidi" w:hAnsiTheme="majorBidi" w:cstheme="majorBidi"/>
          <w:b/>
          <w:bCs/>
          <w:i/>
          <w:iCs/>
        </w:rPr>
      </w:pPr>
      <w:r w:rsidRPr="00E32653">
        <w:rPr>
          <w:rFonts w:asciiTheme="majorBidi" w:hAnsiTheme="majorBidi" w:cstheme="majorBidi"/>
          <w:b/>
          <w:bCs/>
          <w:i/>
          <w:iCs/>
        </w:rPr>
        <w:t>Conclusions</w:t>
      </w:r>
    </w:p>
    <w:p w14:paraId="210014A8" w14:textId="0A632EBF" w:rsidR="00283372" w:rsidRPr="00E32653" w:rsidRDefault="001A4684" w:rsidP="00952165">
      <w:pPr>
        <w:spacing w:line="276" w:lineRule="auto"/>
        <w:ind w:firstLine="720"/>
        <w:jc w:val="both"/>
        <w:rPr>
          <w:rFonts w:asciiTheme="majorBidi" w:eastAsia="Times New Roman" w:hAnsiTheme="majorBidi" w:cstheme="majorBidi"/>
          <w:lang w:val="en-GB"/>
        </w:rPr>
      </w:pPr>
      <w:r w:rsidRPr="00E32653">
        <w:rPr>
          <w:rFonts w:asciiTheme="majorBidi" w:hAnsiTheme="majorBidi" w:cstheme="majorBidi"/>
        </w:rPr>
        <w:t xml:space="preserve">The selection </w:t>
      </w:r>
      <w:r w:rsidR="007B474A" w:rsidRPr="00E32653">
        <w:rPr>
          <w:rFonts w:asciiTheme="majorBidi" w:hAnsiTheme="majorBidi" w:cstheme="majorBidi"/>
        </w:rPr>
        <w:t xml:space="preserve">of </w:t>
      </w:r>
      <w:r w:rsidR="00BC34CA" w:rsidRPr="00E32653">
        <w:rPr>
          <w:rFonts w:asciiTheme="majorBidi" w:hAnsiTheme="majorBidi" w:cstheme="majorBidi"/>
        </w:rPr>
        <w:t xml:space="preserve">appropriate </w:t>
      </w:r>
      <w:r w:rsidR="00C71CB0" w:rsidRPr="00E32653">
        <w:rPr>
          <w:rFonts w:asciiTheme="majorBidi" w:hAnsiTheme="majorBidi" w:cstheme="majorBidi"/>
        </w:rPr>
        <w:t xml:space="preserve">construction methods and materials </w:t>
      </w:r>
      <w:r w:rsidR="007B474A" w:rsidRPr="00E32653">
        <w:rPr>
          <w:rFonts w:asciiTheme="majorBidi" w:hAnsiTheme="majorBidi" w:cstheme="majorBidi"/>
        </w:rPr>
        <w:t xml:space="preserve">is </w:t>
      </w:r>
      <w:r w:rsidR="00C71CB0" w:rsidRPr="00E32653">
        <w:rPr>
          <w:rFonts w:asciiTheme="majorBidi" w:hAnsiTheme="majorBidi" w:cstheme="majorBidi"/>
        </w:rPr>
        <w:t>an expensive</w:t>
      </w:r>
      <w:r w:rsidR="007B474A" w:rsidRPr="00E32653">
        <w:rPr>
          <w:rFonts w:asciiTheme="majorBidi" w:hAnsiTheme="majorBidi" w:cstheme="majorBidi"/>
        </w:rPr>
        <w:t>,</w:t>
      </w:r>
      <w:r w:rsidR="00C71CB0" w:rsidRPr="00E32653">
        <w:rPr>
          <w:rFonts w:asciiTheme="majorBidi" w:hAnsiTheme="majorBidi" w:cstheme="majorBidi"/>
        </w:rPr>
        <w:t xml:space="preserve"> time-consuming</w:t>
      </w:r>
      <w:r w:rsidR="007B474A" w:rsidRPr="00E32653">
        <w:rPr>
          <w:rFonts w:asciiTheme="majorBidi" w:hAnsiTheme="majorBidi" w:cstheme="majorBidi"/>
        </w:rPr>
        <w:t>, and complicated</w:t>
      </w:r>
      <w:r w:rsidR="00C71CB0" w:rsidRPr="00E32653">
        <w:rPr>
          <w:rFonts w:asciiTheme="majorBidi" w:hAnsiTheme="majorBidi" w:cstheme="majorBidi"/>
        </w:rPr>
        <w:t xml:space="preserve"> process</w:t>
      </w:r>
      <w:r w:rsidR="00BC34CA" w:rsidRPr="00E32653">
        <w:rPr>
          <w:rFonts w:asciiTheme="majorBidi" w:hAnsiTheme="majorBidi" w:cstheme="majorBidi"/>
        </w:rPr>
        <w:t>. This is</w:t>
      </w:r>
      <w:r w:rsidR="007B474A" w:rsidRPr="00E32653">
        <w:rPr>
          <w:rFonts w:asciiTheme="majorBidi" w:hAnsiTheme="majorBidi" w:cstheme="majorBidi"/>
        </w:rPr>
        <w:t xml:space="preserve"> due to </w:t>
      </w:r>
      <w:r w:rsidR="00BC34CA" w:rsidRPr="00E32653">
        <w:rPr>
          <w:rFonts w:asciiTheme="majorBidi" w:hAnsiTheme="majorBidi" w:cstheme="majorBidi"/>
        </w:rPr>
        <w:t xml:space="preserve">the </w:t>
      </w:r>
      <w:r w:rsidRPr="00E32653">
        <w:rPr>
          <w:rFonts w:asciiTheme="majorBidi" w:hAnsiTheme="majorBidi" w:cstheme="majorBidi"/>
        </w:rPr>
        <w:t>plethora</w:t>
      </w:r>
      <w:r w:rsidR="007B474A" w:rsidRPr="00E32653">
        <w:rPr>
          <w:rFonts w:asciiTheme="majorBidi" w:hAnsiTheme="majorBidi" w:cstheme="majorBidi"/>
        </w:rPr>
        <w:t xml:space="preserve"> of alternatives and </w:t>
      </w:r>
      <w:r w:rsidR="00BC34CA" w:rsidRPr="00E32653">
        <w:rPr>
          <w:rFonts w:asciiTheme="majorBidi" w:hAnsiTheme="majorBidi" w:cstheme="majorBidi"/>
        </w:rPr>
        <w:t>the existence of</w:t>
      </w:r>
      <w:r w:rsidR="007B474A" w:rsidRPr="00E32653">
        <w:rPr>
          <w:rFonts w:asciiTheme="majorBidi" w:hAnsiTheme="majorBidi" w:cstheme="majorBidi"/>
        </w:rPr>
        <w:t xml:space="preserve"> conflicting </w:t>
      </w:r>
      <w:r w:rsidR="00BC34CA" w:rsidRPr="00E32653">
        <w:rPr>
          <w:rFonts w:asciiTheme="majorBidi" w:hAnsiTheme="majorBidi" w:cstheme="majorBidi"/>
        </w:rPr>
        <w:t xml:space="preserve">assessment </w:t>
      </w:r>
      <w:r w:rsidR="007B474A" w:rsidRPr="00E32653">
        <w:rPr>
          <w:rFonts w:asciiTheme="majorBidi" w:hAnsiTheme="majorBidi" w:cstheme="majorBidi"/>
        </w:rPr>
        <w:t>criteria</w:t>
      </w:r>
      <w:r w:rsidR="00C71CB0" w:rsidRPr="00E32653">
        <w:rPr>
          <w:rFonts w:asciiTheme="majorBidi" w:hAnsiTheme="majorBidi" w:cstheme="majorBidi"/>
        </w:rPr>
        <w:t xml:space="preserve">. In this research, MCDM </w:t>
      </w:r>
      <w:r w:rsidR="00E45D87" w:rsidRPr="00E32653">
        <w:rPr>
          <w:rFonts w:asciiTheme="majorBidi" w:hAnsiTheme="majorBidi" w:cstheme="majorBidi"/>
        </w:rPr>
        <w:t xml:space="preserve">was </w:t>
      </w:r>
      <w:r w:rsidR="00C71CB0" w:rsidRPr="00E32653">
        <w:rPr>
          <w:rFonts w:asciiTheme="majorBidi" w:hAnsiTheme="majorBidi" w:cstheme="majorBidi"/>
        </w:rPr>
        <w:t xml:space="preserve">applied to compare </w:t>
      </w:r>
      <w:r w:rsidR="00E45D87" w:rsidRPr="00E32653">
        <w:rPr>
          <w:rFonts w:asciiTheme="majorBidi" w:hAnsiTheme="majorBidi" w:cstheme="majorBidi"/>
        </w:rPr>
        <w:t>dissimilar</w:t>
      </w:r>
      <w:r w:rsidR="00C71CB0" w:rsidRPr="00E32653">
        <w:rPr>
          <w:rFonts w:asciiTheme="majorBidi" w:hAnsiTheme="majorBidi" w:cstheme="majorBidi"/>
        </w:rPr>
        <w:t xml:space="preserve"> value parameters. </w:t>
      </w:r>
      <w:r w:rsidR="00A272A0" w:rsidRPr="00E32653">
        <w:rPr>
          <w:rFonts w:asciiTheme="majorBidi" w:hAnsiTheme="majorBidi" w:cstheme="majorBidi"/>
        </w:rPr>
        <w:t xml:space="preserve">For example, some production methods and </w:t>
      </w:r>
      <w:r w:rsidR="0017041A" w:rsidRPr="00E32653">
        <w:rPr>
          <w:rFonts w:asciiTheme="majorBidi" w:hAnsiTheme="majorBidi" w:cstheme="majorBidi"/>
        </w:rPr>
        <w:t xml:space="preserve">materials may have a low environmental impact such as GWP while at the same time having a higher economic cost. This </w:t>
      </w:r>
      <w:r w:rsidR="00A272A0" w:rsidRPr="00E32653">
        <w:rPr>
          <w:rFonts w:asciiTheme="majorBidi" w:hAnsiTheme="majorBidi" w:cstheme="majorBidi"/>
        </w:rPr>
        <w:t>presents</w:t>
      </w:r>
      <w:r w:rsidR="00C71CB0" w:rsidRPr="00E32653">
        <w:rPr>
          <w:rFonts w:asciiTheme="majorBidi" w:hAnsiTheme="majorBidi" w:cstheme="majorBidi"/>
        </w:rPr>
        <w:t xml:space="preserve"> challenge</w:t>
      </w:r>
      <w:r w:rsidR="00A272A0" w:rsidRPr="00E32653">
        <w:rPr>
          <w:rFonts w:asciiTheme="majorBidi" w:hAnsiTheme="majorBidi" w:cstheme="majorBidi"/>
        </w:rPr>
        <w:t>s to decision makers when they procure buildings</w:t>
      </w:r>
      <w:r w:rsidR="00C71CB0" w:rsidRPr="00E32653">
        <w:rPr>
          <w:rFonts w:asciiTheme="majorBidi" w:hAnsiTheme="majorBidi" w:cstheme="majorBidi"/>
        </w:rPr>
        <w:t>.</w:t>
      </w:r>
      <w:r w:rsidR="00816A23" w:rsidRPr="00E32653">
        <w:rPr>
          <w:rFonts w:asciiTheme="majorBidi" w:hAnsiTheme="majorBidi" w:cstheme="majorBidi"/>
        </w:rPr>
        <w:t xml:space="preserve"> </w:t>
      </w:r>
      <w:r w:rsidR="00A272A0" w:rsidRPr="00E32653">
        <w:rPr>
          <w:rFonts w:asciiTheme="majorBidi" w:hAnsiTheme="majorBidi" w:cstheme="majorBidi"/>
        </w:rPr>
        <w:t xml:space="preserve">To illustrate this. We have presented </w:t>
      </w:r>
      <w:r w:rsidR="00066215" w:rsidRPr="00E32653">
        <w:rPr>
          <w:rFonts w:asciiTheme="majorBidi" w:hAnsiTheme="majorBidi" w:cstheme="majorBidi"/>
        </w:rPr>
        <w:t>a</w:t>
      </w:r>
      <w:r w:rsidR="00A272A0" w:rsidRPr="00E32653">
        <w:rPr>
          <w:rFonts w:asciiTheme="majorBidi" w:hAnsiTheme="majorBidi" w:cstheme="majorBidi"/>
        </w:rPr>
        <w:t xml:space="preserve"> cases stud</w:t>
      </w:r>
      <w:r w:rsidR="00066215" w:rsidRPr="00E32653">
        <w:rPr>
          <w:rFonts w:asciiTheme="majorBidi" w:hAnsiTheme="majorBidi" w:cstheme="majorBidi"/>
        </w:rPr>
        <w:t>y</w:t>
      </w:r>
      <w:r w:rsidR="00A272A0" w:rsidRPr="00E32653">
        <w:rPr>
          <w:rFonts w:asciiTheme="majorBidi" w:hAnsiTheme="majorBidi" w:cstheme="majorBidi"/>
        </w:rPr>
        <w:t xml:space="preserve"> </w:t>
      </w:r>
      <w:r w:rsidR="00012A37" w:rsidRPr="00E32653">
        <w:rPr>
          <w:rFonts w:asciiTheme="majorBidi" w:hAnsiTheme="majorBidi" w:cstheme="majorBidi"/>
        </w:rPr>
        <w:t xml:space="preserve">using four different mass timber products. </w:t>
      </w:r>
      <w:r w:rsidR="00135215" w:rsidRPr="00E32653">
        <w:rPr>
          <w:rFonts w:asciiTheme="majorBidi" w:hAnsiTheme="majorBidi" w:cstheme="majorBidi"/>
        </w:rPr>
        <w:t>In</w:t>
      </w:r>
      <w:r w:rsidR="00BF4213" w:rsidRPr="00E32653">
        <w:rPr>
          <w:rFonts w:asciiTheme="majorBidi" w:hAnsiTheme="majorBidi" w:cstheme="majorBidi"/>
        </w:rPr>
        <w:t>itially</w:t>
      </w:r>
      <w:r w:rsidR="003C4528" w:rsidRPr="00E32653">
        <w:rPr>
          <w:rFonts w:asciiTheme="majorBidi" w:hAnsiTheme="majorBidi" w:cstheme="majorBidi"/>
        </w:rPr>
        <w:t>,</w:t>
      </w:r>
      <w:r w:rsidR="00135215" w:rsidRPr="00E32653">
        <w:rPr>
          <w:rFonts w:asciiTheme="majorBidi" w:hAnsiTheme="majorBidi" w:cstheme="majorBidi"/>
        </w:rPr>
        <w:t xml:space="preserve"> it </w:t>
      </w:r>
      <w:r w:rsidR="00BF4213" w:rsidRPr="00E32653">
        <w:rPr>
          <w:rFonts w:asciiTheme="majorBidi" w:hAnsiTheme="majorBidi" w:cstheme="majorBidi"/>
        </w:rPr>
        <w:t>appear</w:t>
      </w:r>
      <w:r w:rsidR="00012A37" w:rsidRPr="00E32653">
        <w:rPr>
          <w:rFonts w:asciiTheme="majorBidi" w:hAnsiTheme="majorBidi" w:cstheme="majorBidi"/>
        </w:rPr>
        <w:t>ed</w:t>
      </w:r>
      <w:r w:rsidR="00135215" w:rsidRPr="00E32653">
        <w:rPr>
          <w:rFonts w:asciiTheme="majorBidi" w:hAnsiTheme="majorBidi" w:cstheme="majorBidi"/>
        </w:rPr>
        <w:t xml:space="preserve"> that</w:t>
      </w:r>
      <w:r w:rsidR="00BF4213" w:rsidRPr="00E32653">
        <w:rPr>
          <w:rFonts w:asciiTheme="majorBidi" w:hAnsiTheme="majorBidi" w:cstheme="majorBidi"/>
        </w:rPr>
        <w:t xml:space="preserve"> the</w:t>
      </w:r>
      <w:r w:rsidR="00135215" w:rsidRPr="00E32653">
        <w:rPr>
          <w:rFonts w:asciiTheme="majorBidi" w:hAnsiTheme="majorBidi" w:cstheme="majorBidi"/>
        </w:rPr>
        <w:t xml:space="preserve"> differences </w:t>
      </w:r>
      <w:r w:rsidR="00BF4213" w:rsidRPr="00E32653">
        <w:rPr>
          <w:rFonts w:asciiTheme="majorBidi" w:hAnsiTheme="majorBidi" w:cstheme="majorBidi"/>
        </w:rPr>
        <w:t xml:space="preserve">between the </w:t>
      </w:r>
      <w:r w:rsidR="00FF7736" w:rsidRPr="00E32653">
        <w:rPr>
          <w:rFonts w:asciiTheme="majorBidi" w:hAnsiTheme="majorBidi" w:cstheme="majorBidi"/>
        </w:rPr>
        <w:t>four</w:t>
      </w:r>
      <w:r w:rsidR="00135215" w:rsidRPr="00E32653">
        <w:rPr>
          <w:rFonts w:asciiTheme="majorBidi" w:hAnsiTheme="majorBidi" w:cstheme="majorBidi"/>
        </w:rPr>
        <w:t xml:space="preserve"> alternative</w:t>
      </w:r>
      <w:r w:rsidR="00EA7235" w:rsidRPr="00E32653">
        <w:rPr>
          <w:rFonts w:asciiTheme="majorBidi" w:hAnsiTheme="majorBidi" w:cstheme="majorBidi"/>
        </w:rPr>
        <w:t>s</w:t>
      </w:r>
      <w:r w:rsidR="00135215" w:rsidRPr="00E32653">
        <w:rPr>
          <w:rFonts w:asciiTheme="majorBidi" w:hAnsiTheme="majorBidi" w:cstheme="majorBidi"/>
        </w:rPr>
        <w:t xml:space="preserve"> </w:t>
      </w:r>
      <w:r w:rsidR="00A272A0" w:rsidRPr="00E32653">
        <w:rPr>
          <w:rFonts w:asciiTheme="majorBidi" w:hAnsiTheme="majorBidi" w:cstheme="majorBidi"/>
        </w:rPr>
        <w:t xml:space="preserve">were </w:t>
      </w:r>
      <w:r w:rsidR="00FF7736" w:rsidRPr="00E32653">
        <w:rPr>
          <w:rFonts w:asciiTheme="majorBidi" w:hAnsiTheme="majorBidi" w:cstheme="majorBidi"/>
        </w:rPr>
        <w:t>negligible.</w:t>
      </w:r>
      <w:r w:rsidR="00D56A8D" w:rsidRPr="00E32653">
        <w:rPr>
          <w:rFonts w:asciiTheme="majorBidi" w:hAnsiTheme="majorBidi" w:cstheme="majorBidi"/>
        </w:rPr>
        <w:t xml:space="preserve"> </w:t>
      </w:r>
      <w:r w:rsidR="001554F1" w:rsidRPr="00E32653">
        <w:rPr>
          <w:rFonts w:asciiTheme="majorBidi" w:hAnsiTheme="majorBidi" w:cstheme="majorBidi"/>
        </w:rPr>
        <w:t xml:space="preserve">Using </w:t>
      </w:r>
      <w:r w:rsidR="00007283" w:rsidRPr="00E32653">
        <w:rPr>
          <w:rFonts w:asciiTheme="majorBidi" w:hAnsiTheme="majorBidi" w:cstheme="majorBidi"/>
        </w:rPr>
        <w:t xml:space="preserve">mass timber </w:t>
      </w:r>
      <w:r w:rsidR="0075068B" w:rsidRPr="00E32653">
        <w:rPr>
          <w:rFonts w:asciiTheme="majorBidi" w:hAnsiTheme="majorBidi" w:cstheme="majorBidi"/>
        </w:rPr>
        <w:t>significantly reduc</w:t>
      </w:r>
      <w:r w:rsidR="00313F4E" w:rsidRPr="00E32653">
        <w:rPr>
          <w:rFonts w:asciiTheme="majorBidi" w:hAnsiTheme="majorBidi" w:cstheme="majorBidi"/>
        </w:rPr>
        <w:t xml:space="preserve">es </w:t>
      </w:r>
      <w:r w:rsidR="0075068B" w:rsidRPr="00E32653">
        <w:rPr>
          <w:rFonts w:asciiTheme="majorBidi" w:hAnsiTheme="majorBidi" w:cstheme="majorBidi"/>
        </w:rPr>
        <w:t>carbon emissions in the construction industry.</w:t>
      </w:r>
      <w:r w:rsidR="00C17EFA" w:rsidRPr="00E32653">
        <w:rPr>
          <w:rFonts w:asciiTheme="majorBidi" w:hAnsiTheme="majorBidi" w:cstheme="majorBidi"/>
        </w:rPr>
        <w:t xml:space="preserve"> This research </w:t>
      </w:r>
      <w:r w:rsidR="00313F4E" w:rsidRPr="00E32653">
        <w:rPr>
          <w:rFonts w:asciiTheme="majorBidi" w:hAnsiTheme="majorBidi" w:cstheme="majorBidi"/>
        </w:rPr>
        <w:t>has provided</w:t>
      </w:r>
      <w:r w:rsidR="00C17EFA" w:rsidRPr="00E32653">
        <w:rPr>
          <w:rFonts w:asciiTheme="majorBidi" w:hAnsiTheme="majorBidi" w:cstheme="majorBidi"/>
        </w:rPr>
        <w:t xml:space="preserve"> a comparative sustainability assessment </w:t>
      </w:r>
      <w:r w:rsidR="007627BF" w:rsidRPr="00E32653">
        <w:rPr>
          <w:rFonts w:asciiTheme="majorBidi" w:hAnsiTheme="majorBidi" w:cstheme="majorBidi"/>
        </w:rPr>
        <w:t>of two main wood-</w:t>
      </w:r>
      <w:r w:rsidR="00C17EFA" w:rsidRPr="00E32653">
        <w:rPr>
          <w:rFonts w:asciiTheme="majorBidi" w:hAnsiTheme="majorBidi" w:cstheme="majorBidi"/>
        </w:rPr>
        <w:t xml:space="preserve">based </w:t>
      </w:r>
      <w:r w:rsidR="004D4166" w:rsidRPr="00E32653">
        <w:rPr>
          <w:rFonts w:asciiTheme="majorBidi" w:hAnsiTheme="majorBidi" w:cstheme="majorBidi"/>
        </w:rPr>
        <w:t>materials</w:t>
      </w:r>
      <w:r w:rsidR="00C17EFA" w:rsidRPr="00E32653">
        <w:rPr>
          <w:rFonts w:asciiTheme="majorBidi" w:hAnsiTheme="majorBidi" w:cstheme="majorBidi"/>
        </w:rPr>
        <w:t>, GLT and LVL</w:t>
      </w:r>
      <w:r w:rsidR="007627BF" w:rsidRPr="00E32653">
        <w:rPr>
          <w:rFonts w:asciiTheme="majorBidi" w:hAnsiTheme="majorBidi" w:cstheme="majorBidi"/>
        </w:rPr>
        <w:t>, considering</w:t>
      </w:r>
      <w:r w:rsidR="00C17EFA" w:rsidRPr="00E32653">
        <w:rPr>
          <w:rFonts w:asciiTheme="majorBidi" w:hAnsiTheme="majorBidi" w:cstheme="majorBidi"/>
        </w:rPr>
        <w:t xml:space="preserve"> six environmental impact</w:t>
      </w:r>
      <w:r w:rsidR="007627BF" w:rsidRPr="00E32653">
        <w:rPr>
          <w:rFonts w:asciiTheme="majorBidi" w:hAnsiTheme="majorBidi" w:cstheme="majorBidi"/>
        </w:rPr>
        <w:t>s</w:t>
      </w:r>
      <w:r w:rsidR="00C17EFA" w:rsidRPr="00E32653">
        <w:rPr>
          <w:rFonts w:asciiTheme="majorBidi" w:hAnsiTheme="majorBidi" w:cstheme="majorBidi"/>
        </w:rPr>
        <w:t xml:space="preserve"> </w:t>
      </w:r>
      <w:r w:rsidR="007627BF" w:rsidRPr="00E32653">
        <w:rPr>
          <w:rFonts w:asciiTheme="majorBidi" w:hAnsiTheme="majorBidi" w:cstheme="majorBidi"/>
        </w:rPr>
        <w:t xml:space="preserve">consist </w:t>
      </w:r>
      <w:r w:rsidR="00C17EFA" w:rsidRPr="00E32653">
        <w:rPr>
          <w:rFonts w:asciiTheme="majorBidi" w:hAnsiTheme="majorBidi" w:cstheme="majorBidi"/>
        </w:rPr>
        <w:t>of</w:t>
      </w:r>
      <w:r w:rsidR="001F6ECA" w:rsidRPr="00E32653">
        <w:rPr>
          <w:rFonts w:asciiTheme="majorBidi" w:hAnsiTheme="majorBidi" w:cstheme="majorBidi"/>
        </w:rPr>
        <w:t xml:space="preserve"> </w:t>
      </w:r>
      <w:r w:rsidR="00856B17" w:rsidRPr="00E32653">
        <w:rPr>
          <w:rFonts w:asciiTheme="majorBidi" w:hAnsiTheme="majorBidi" w:cstheme="majorBidi"/>
        </w:rPr>
        <w:t xml:space="preserve">GWP, HCT, FDP, OLD, TA, and LU </w:t>
      </w:r>
      <w:r w:rsidR="0068646E" w:rsidRPr="00E32653">
        <w:rPr>
          <w:rFonts w:asciiTheme="majorBidi" w:hAnsiTheme="majorBidi" w:cstheme="majorBidi"/>
        </w:rPr>
        <w:t xml:space="preserve">along </w:t>
      </w:r>
      <w:r w:rsidR="007627BF" w:rsidRPr="00E32653">
        <w:rPr>
          <w:rFonts w:asciiTheme="majorBidi" w:hAnsiTheme="majorBidi" w:cstheme="majorBidi"/>
        </w:rPr>
        <w:t xml:space="preserve">with </w:t>
      </w:r>
      <w:r w:rsidR="00313F4E" w:rsidRPr="00E32653">
        <w:rPr>
          <w:rFonts w:asciiTheme="majorBidi" w:hAnsiTheme="majorBidi" w:cstheme="majorBidi"/>
        </w:rPr>
        <w:t>e</w:t>
      </w:r>
      <w:r w:rsidR="0068646E" w:rsidRPr="00E32653">
        <w:rPr>
          <w:rFonts w:asciiTheme="majorBidi" w:hAnsiTheme="majorBidi" w:cstheme="majorBidi"/>
        </w:rPr>
        <w:t>mbodied energy</w:t>
      </w:r>
      <w:r w:rsidR="007627BF" w:rsidRPr="00E32653">
        <w:rPr>
          <w:rFonts w:asciiTheme="majorBidi" w:hAnsiTheme="majorBidi" w:cstheme="majorBidi"/>
        </w:rPr>
        <w:t xml:space="preserve"> and</w:t>
      </w:r>
      <w:r w:rsidR="0068646E" w:rsidRPr="00E32653">
        <w:rPr>
          <w:rFonts w:asciiTheme="majorBidi" w:hAnsiTheme="majorBidi" w:cstheme="majorBidi"/>
        </w:rPr>
        <w:t xml:space="preserve"> </w:t>
      </w:r>
      <w:r w:rsidR="007627BF" w:rsidRPr="00E32653">
        <w:rPr>
          <w:rFonts w:asciiTheme="majorBidi" w:hAnsiTheme="majorBidi" w:cstheme="majorBidi"/>
        </w:rPr>
        <w:t>cost,</w:t>
      </w:r>
      <w:r w:rsidR="001F6ECA" w:rsidRPr="00E32653">
        <w:rPr>
          <w:rFonts w:asciiTheme="majorBidi" w:hAnsiTheme="majorBidi" w:cstheme="majorBidi"/>
        </w:rPr>
        <w:t xml:space="preserve"> from cradle to grave.</w:t>
      </w:r>
      <w:r w:rsidR="00221287" w:rsidRPr="00E32653">
        <w:rPr>
          <w:rFonts w:asciiTheme="majorBidi" w:hAnsiTheme="majorBidi" w:cstheme="majorBidi"/>
        </w:rPr>
        <w:t xml:space="preserve"> A case study demonstrate</w:t>
      </w:r>
      <w:r w:rsidR="00313F4E" w:rsidRPr="00E32653">
        <w:rPr>
          <w:rFonts w:asciiTheme="majorBidi" w:hAnsiTheme="majorBidi" w:cstheme="majorBidi"/>
        </w:rPr>
        <w:t>d</w:t>
      </w:r>
      <w:r w:rsidR="00221287" w:rsidRPr="00E32653">
        <w:rPr>
          <w:rFonts w:asciiTheme="majorBidi" w:hAnsiTheme="majorBidi" w:cstheme="majorBidi"/>
        </w:rPr>
        <w:t xml:space="preserve"> the </w:t>
      </w:r>
      <w:r w:rsidR="00313F4E" w:rsidRPr="00E32653">
        <w:rPr>
          <w:rFonts w:asciiTheme="majorBidi" w:hAnsiTheme="majorBidi" w:cstheme="majorBidi"/>
        </w:rPr>
        <w:t>use</w:t>
      </w:r>
      <w:r w:rsidR="00221287" w:rsidRPr="00E32653">
        <w:rPr>
          <w:rFonts w:asciiTheme="majorBidi" w:hAnsiTheme="majorBidi" w:cstheme="majorBidi"/>
        </w:rPr>
        <w:t xml:space="preserve"> of four different hardwood</w:t>
      </w:r>
      <w:r w:rsidR="00313F4E" w:rsidRPr="00E32653">
        <w:rPr>
          <w:rFonts w:asciiTheme="majorBidi" w:hAnsiTheme="majorBidi" w:cstheme="majorBidi"/>
        </w:rPr>
        <w:t>s</w:t>
      </w:r>
      <w:r w:rsidR="00221287" w:rsidRPr="00E32653">
        <w:rPr>
          <w:rFonts w:asciiTheme="majorBidi" w:hAnsiTheme="majorBidi" w:cstheme="majorBidi"/>
        </w:rPr>
        <w:t xml:space="preserve"> and softwood</w:t>
      </w:r>
      <w:r w:rsidR="00313F4E" w:rsidRPr="00E32653">
        <w:rPr>
          <w:rFonts w:asciiTheme="majorBidi" w:hAnsiTheme="majorBidi" w:cstheme="majorBidi"/>
        </w:rPr>
        <w:t>s</w:t>
      </w:r>
      <w:r w:rsidR="00221287" w:rsidRPr="00E32653">
        <w:rPr>
          <w:rFonts w:asciiTheme="majorBidi" w:hAnsiTheme="majorBidi" w:cstheme="majorBidi"/>
        </w:rPr>
        <w:t xml:space="preserve"> to</w:t>
      </w:r>
      <w:r w:rsidR="00313F4E" w:rsidRPr="00E32653">
        <w:rPr>
          <w:rFonts w:asciiTheme="majorBidi" w:hAnsiTheme="majorBidi" w:cstheme="majorBidi"/>
        </w:rPr>
        <w:t xml:space="preserve"> </w:t>
      </w:r>
      <w:r w:rsidR="00221287" w:rsidRPr="00E32653">
        <w:rPr>
          <w:rFonts w:asciiTheme="majorBidi" w:hAnsiTheme="majorBidi" w:cstheme="majorBidi"/>
        </w:rPr>
        <w:t>encourag</w:t>
      </w:r>
      <w:r w:rsidR="00313F4E" w:rsidRPr="00E32653">
        <w:rPr>
          <w:rFonts w:asciiTheme="majorBidi" w:hAnsiTheme="majorBidi" w:cstheme="majorBidi"/>
        </w:rPr>
        <w:t xml:space="preserve">e </w:t>
      </w:r>
      <w:r w:rsidR="00957CEC" w:rsidRPr="00E32653">
        <w:rPr>
          <w:rFonts w:asciiTheme="majorBidi" w:hAnsiTheme="majorBidi" w:cstheme="majorBidi"/>
        </w:rPr>
        <w:t>low-</w:t>
      </w:r>
      <w:r w:rsidR="00221287" w:rsidRPr="00E32653">
        <w:rPr>
          <w:rFonts w:asciiTheme="majorBidi" w:hAnsiTheme="majorBidi" w:cstheme="majorBidi"/>
        </w:rPr>
        <w:t xml:space="preserve">emission and </w:t>
      </w:r>
      <w:r w:rsidR="00957CEC" w:rsidRPr="00E32653">
        <w:rPr>
          <w:rFonts w:asciiTheme="majorBidi" w:hAnsiTheme="majorBidi" w:cstheme="majorBidi"/>
        </w:rPr>
        <w:t>low-</w:t>
      </w:r>
      <w:r w:rsidR="00221287" w:rsidRPr="00E32653">
        <w:rPr>
          <w:rFonts w:asciiTheme="majorBidi" w:hAnsiTheme="majorBidi" w:cstheme="majorBidi"/>
        </w:rPr>
        <w:t>embodied energy building materials</w:t>
      </w:r>
      <w:r w:rsidR="00282919" w:rsidRPr="00E32653">
        <w:rPr>
          <w:rFonts w:asciiTheme="majorBidi" w:hAnsiTheme="majorBidi" w:cstheme="majorBidi"/>
        </w:rPr>
        <w:t xml:space="preserve">. Hence, the methodology of life cycle assessment </w:t>
      </w:r>
      <w:r w:rsidR="00313F4E" w:rsidRPr="00E32653">
        <w:rPr>
          <w:rFonts w:asciiTheme="majorBidi" w:hAnsiTheme="majorBidi" w:cstheme="majorBidi"/>
        </w:rPr>
        <w:t xml:space="preserve">was </w:t>
      </w:r>
      <w:r w:rsidR="00282919" w:rsidRPr="00E32653">
        <w:rPr>
          <w:rFonts w:asciiTheme="majorBidi" w:hAnsiTheme="majorBidi" w:cstheme="majorBidi"/>
        </w:rPr>
        <w:t xml:space="preserve">used to </w:t>
      </w:r>
      <w:r w:rsidR="00221287" w:rsidRPr="00E32653">
        <w:rPr>
          <w:rFonts w:asciiTheme="majorBidi" w:hAnsiTheme="majorBidi" w:cstheme="majorBidi"/>
        </w:rPr>
        <w:t>investigat</w:t>
      </w:r>
      <w:r w:rsidR="00957CEC" w:rsidRPr="00E32653">
        <w:rPr>
          <w:rFonts w:asciiTheme="majorBidi" w:hAnsiTheme="majorBidi" w:cstheme="majorBidi"/>
        </w:rPr>
        <w:t>e</w:t>
      </w:r>
      <w:r w:rsidR="00221287" w:rsidRPr="00E32653">
        <w:rPr>
          <w:rFonts w:asciiTheme="majorBidi" w:hAnsiTheme="majorBidi" w:cstheme="majorBidi"/>
        </w:rPr>
        <w:t xml:space="preserve"> the environmental impact</w:t>
      </w:r>
      <w:r w:rsidR="00957CEC" w:rsidRPr="00E32653">
        <w:rPr>
          <w:rFonts w:asciiTheme="majorBidi" w:hAnsiTheme="majorBidi" w:cstheme="majorBidi"/>
        </w:rPr>
        <w:t>s</w:t>
      </w:r>
      <w:r w:rsidR="00221287" w:rsidRPr="00E32653">
        <w:rPr>
          <w:rFonts w:asciiTheme="majorBidi" w:hAnsiTheme="majorBidi" w:cstheme="majorBidi"/>
        </w:rPr>
        <w:t xml:space="preserve"> of each </w:t>
      </w:r>
      <w:r w:rsidR="00282919" w:rsidRPr="00E32653">
        <w:rPr>
          <w:rFonts w:asciiTheme="majorBidi" w:hAnsiTheme="majorBidi" w:cstheme="majorBidi"/>
        </w:rPr>
        <w:t>GLT and LVL</w:t>
      </w:r>
      <w:r w:rsidR="00221287" w:rsidRPr="00E32653">
        <w:rPr>
          <w:rFonts w:asciiTheme="majorBidi" w:hAnsiTheme="majorBidi" w:cstheme="majorBidi"/>
        </w:rPr>
        <w:t xml:space="preserve"> type</w:t>
      </w:r>
      <w:r w:rsidR="00282919" w:rsidRPr="00E32653">
        <w:rPr>
          <w:rFonts w:asciiTheme="majorBidi" w:hAnsiTheme="majorBidi" w:cstheme="majorBidi"/>
        </w:rPr>
        <w:t>s</w:t>
      </w:r>
      <w:r w:rsidR="00221287" w:rsidRPr="00E32653">
        <w:rPr>
          <w:rFonts w:asciiTheme="majorBidi" w:hAnsiTheme="majorBidi" w:cstheme="majorBidi"/>
        </w:rPr>
        <w:t xml:space="preserve"> throughout their respective life cycles.</w:t>
      </w:r>
      <w:r w:rsidR="005D50CD" w:rsidRPr="00E32653">
        <w:rPr>
          <w:rFonts w:asciiTheme="majorBidi" w:hAnsiTheme="majorBidi" w:cstheme="majorBidi"/>
        </w:rPr>
        <w:t xml:space="preserve"> </w:t>
      </w:r>
      <w:r w:rsidR="00DE248B" w:rsidRPr="00E32653">
        <w:rPr>
          <w:rFonts w:asciiTheme="majorBidi" w:hAnsiTheme="majorBidi" w:cstheme="majorBidi"/>
        </w:rPr>
        <w:t xml:space="preserve">The results </w:t>
      </w:r>
      <w:r w:rsidR="00F4051B" w:rsidRPr="00E32653">
        <w:rPr>
          <w:rFonts w:asciiTheme="majorBidi" w:hAnsiTheme="majorBidi" w:cstheme="majorBidi"/>
        </w:rPr>
        <w:t>between t</w:t>
      </w:r>
      <w:r w:rsidR="003E73D6" w:rsidRPr="00E32653">
        <w:rPr>
          <w:rFonts w:asciiTheme="majorBidi" w:hAnsiTheme="majorBidi" w:cstheme="majorBidi"/>
        </w:rPr>
        <w:t>w</w:t>
      </w:r>
      <w:r w:rsidR="00F4051B" w:rsidRPr="00E32653">
        <w:rPr>
          <w:rFonts w:asciiTheme="majorBidi" w:hAnsiTheme="majorBidi" w:cstheme="majorBidi"/>
        </w:rPr>
        <w:t>o</w:t>
      </w:r>
      <w:r w:rsidR="007627BF" w:rsidRPr="00E32653">
        <w:rPr>
          <w:rFonts w:asciiTheme="majorBidi" w:hAnsiTheme="majorBidi" w:cstheme="majorBidi"/>
        </w:rPr>
        <w:t xml:space="preserve"> main wood-</w:t>
      </w:r>
      <w:r w:rsidR="003E73D6" w:rsidRPr="00E32653">
        <w:rPr>
          <w:rFonts w:asciiTheme="majorBidi" w:hAnsiTheme="majorBidi" w:cstheme="majorBidi"/>
        </w:rPr>
        <w:t>based material</w:t>
      </w:r>
      <w:r w:rsidR="007627BF" w:rsidRPr="00E32653">
        <w:rPr>
          <w:rFonts w:asciiTheme="majorBidi" w:hAnsiTheme="majorBidi" w:cstheme="majorBidi"/>
        </w:rPr>
        <w:t>s</w:t>
      </w:r>
      <w:r w:rsidR="003E73D6" w:rsidRPr="00E32653">
        <w:rPr>
          <w:rFonts w:asciiTheme="majorBidi" w:hAnsiTheme="majorBidi" w:cstheme="majorBidi"/>
        </w:rPr>
        <w:t xml:space="preserve"> </w:t>
      </w:r>
      <w:r w:rsidR="00DE248B" w:rsidRPr="00E32653">
        <w:rPr>
          <w:rFonts w:asciiTheme="majorBidi" w:hAnsiTheme="majorBidi" w:cstheme="majorBidi"/>
        </w:rPr>
        <w:t xml:space="preserve">showed that </w:t>
      </w:r>
      <w:r w:rsidR="003E73D6" w:rsidRPr="00E32653">
        <w:rPr>
          <w:rFonts w:asciiTheme="majorBidi" w:hAnsiTheme="majorBidi" w:cstheme="majorBidi"/>
        </w:rPr>
        <w:t xml:space="preserve">each </w:t>
      </w:r>
      <w:r w:rsidR="007627BF" w:rsidRPr="00E32653">
        <w:rPr>
          <w:rFonts w:asciiTheme="majorBidi" w:hAnsiTheme="majorBidi" w:cstheme="majorBidi"/>
        </w:rPr>
        <w:t xml:space="preserve">of them </w:t>
      </w:r>
      <w:r w:rsidR="003E73D6" w:rsidRPr="00E32653">
        <w:rPr>
          <w:rFonts w:asciiTheme="majorBidi" w:hAnsiTheme="majorBidi" w:cstheme="majorBidi"/>
        </w:rPr>
        <w:t>have their own advantage</w:t>
      </w:r>
      <w:r w:rsidR="00957CEC" w:rsidRPr="00E32653">
        <w:rPr>
          <w:rFonts w:asciiTheme="majorBidi" w:hAnsiTheme="majorBidi" w:cstheme="majorBidi"/>
        </w:rPr>
        <w:t>s</w:t>
      </w:r>
      <w:r w:rsidR="003E73D6" w:rsidRPr="00E32653">
        <w:rPr>
          <w:rFonts w:asciiTheme="majorBidi" w:hAnsiTheme="majorBidi" w:cstheme="majorBidi"/>
        </w:rPr>
        <w:t xml:space="preserve"> and disadvantages. </w:t>
      </w:r>
      <w:r w:rsidR="00856B17" w:rsidRPr="00E32653">
        <w:rPr>
          <w:rFonts w:asciiTheme="majorBidi" w:hAnsiTheme="majorBidi" w:cstheme="majorBidi"/>
        </w:rPr>
        <w:t>The CO</w:t>
      </w:r>
      <w:r w:rsidR="00856B17" w:rsidRPr="00E32653">
        <w:rPr>
          <w:rFonts w:asciiTheme="majorBidi" w:hAnsiTheme="majorBidi" w:cstheme="majorBidi"/>
          <w:vertAlign w:val="subscript"/>
        </w:rPr>
        <w:t>2</w:t>
      </w:r>
      <w:r w:rsidR="00856B17" w:rsidRPr="00E32653">
        <w:rPr>
          <w:rFonts w:asciiTheme="majorBidi" w:hAnsiTheme="majorBidi" w:cstheme="majorBidi"/>
        </w:rPr>
        <w:t xml:space="preserve"> emission of the GLT and LVL are 327 Kg/m</w:t>
      </w:r>
      <w:r w:rsidR="00856B17" w:rsidRPr="00E32653">
        <w:rPr>
          <w:rFonts w:asciiTheme="majorBidi" w:hAnsiTheme="majorBidi" w:cstheme="majorBidi"/>
          <w:vertAlign w:val="superscript"/>
        </w:rPr>
        <w:t>2</w:t>
      </w:r>
      <w:r w:rsidR="00856B17" w:rsidRPr="00E32653">
        <w:rPr>
          <w:rFonts w:asciiTheme="majorBidi" w:hAnsiTheme="majorBidi" w:cstheme="majorBidi"/>
        </w:rPr>
        <w:t xml:space="preserve"> and 215 Kg/m</w:t>
      </w:r>
      <w:r w:rsidR="00856B17" w:rsidRPr="00E32653">
        <w:rPr>
          <w:rFonts w:asciiTheme="majorBidi" w:hAnsiTheme="majorBidi" w:cstheme="majorBidi"/>
          <w:vertAlign w:val="superscript"/>
        </w:rPr>
        <w:t>2</w:t>
      </w:r>
      <w:r w:rsidR="00856B17" w:rsidRPr="00E32653">
        <w:rPr>
          <w:rFonts w:asciiTheme="majorBidi" w:hAnsiTheme="majorBidi" w:cstheme="majorBidi"/>
        </w:rPr>
        <w:t>, respectively.</w:t>
      </w:r>
      <w:r w:rsidR="006B340F" w:rsidRPr="00E32653">
        <w:rPr>
          <w:rFonts w:asciiTheme="majorBidi" w:hAnsiTheme="majorBidi" w:cstheme="majorBidi"/>
        </w:rPr>
        <w:t xml:space="preserve"> Also, the embodied energy of the GLT and LVL are 1648 MJ/m</w:t>
      </w:r>
      <w:r w:rsidR="006B340F" w:rsidRPr="00E32653">
        <w:rPr>
          <w:rFonts w:asciiTheme="majorBidi" w:hAnsiTheme="majorBidi" w:cstheme="majorBidi"/>
          <w:vertAlign w:val="superscript"/>
        </w:rPr>
        <w:t>2</w:t>
      </w:r>
      <w:r w:rsidR="006B340F" w:rsidRPr="00E32653">
        <w:rPr>
          <w:rFonts w:asciiTheme="majorBidi" w:hAnsiTheme="majorBidi" w:cstheme="majorBidi"/>
        </w:rPr>
        <w:t xml:space="preserve"> and 960 MJ/m</w:t>
      </w:r>
      <w:r w:rsidR="006B340F" w:rsidRPr="00E32653">
        <w:rPr>
          <w:rFonts w:asciiTheme="majorBidi" w:hAnsiTheme="majorBidi" w:cstheme="majorBidi"/>
          <w:vertAlign w:val="superscript"/>
        </w:rPr>
        <w:t>2</w:t>
      </w:r>
      <w:r w:rsidR="006B340F" w:rsidRPr="00E32653">
        <w:rPr>
          <w:rFonts w:asciiTheme="majorBidi" w:hAnsiTheme="majorBidi" w:cstheme="majorBidi"/>
        </w:rPr>
        <w:t xml:space="preserve">, respectively. </w:t>
      </w:r>
      <w:r w:rsidR="007665D2" w:rsidRPr="00E32653">
        <w:rPr>
          <w:rFonts w:asciiTheme="majorBidi" w:eastAsia="Times New Roman" w:hAnsiTheme="majorBidi" w:cstheme="majorBidi"/>
          <w:lang w:val="en-GB"/>
        </w:rPr>
        <w:t xml:space="preserve">The main </w:t>
      </w:r>
      <w:r w:rsidR="00313F4E" w:rsidRPr="00E32653">
        <w:rPr>
          <w:rFonts w:asciiTheme="majorBidi" w:eastAsia="Times New Roman" w:hAnsiTheme="majorBidi" w:cstheme="majorBidi"/>
          <w:lang w:val="en-GB"/>
        </w:rPr>
        <w:t xml:space="preserve">limitation </w:t>
      </w:r>
      <w:r w:rsidR="007665D2" w:rsidRPr="00E32653">
        <w:rPr>
          <w:rFonts w:asciiTheme="majorBidi" w:eastAsia="Times New Roman" w:hAnsiTheme="majorBidi" w:cstheme="majorBidi"/>
          <w:lang w:val="en-GB"/>
        </w:rPr>
        <w:t>of this research relate</w:t>
      </w:r>
      <w:r w:rsidR="00313F4E" w:rsidRPr="00E32653">
        <w:rPr>
          <w:rFonts w:asciiTheme="majorBidi" w:eastAsia="Times New Roman" w:hAnsiTheme="majorBidi" w:cstheme="majorBidi"/>
          <w:lang w:val="en-GB"/>
        </w:rPr>
        <w:t xml:space="preserve">s </w:t>
      </w:r>
      <w:r w:rsidR="007665D2" w:rsidRPr="00E32653">
        <w:rPr>
          <w:rFonts w:asciiTheme="majorBidi" w:eastAsia="Times New Roman" w:hAnsiTheme="majorBidi" w:cstheme="majorBidi"/>
          <w:lang w:val="en-GB"/>
        </w:rPr>
        <w:t>to the design of wooden building in tropical climate</w:t>
      </w:r>
      <w:r w:rsidR="00313F4E" w:rsidRPr="00E32653">
        <w:rPr>
          <w:rFonts w:asciiTheme="majorBidi" w:eastAsia="Times New Roman" w:hAnsiTheme="majorBidi" w:cstheme="majorBidi"/>
          <w:lang w:val="en-GB"/>
        </w:rPr>
        <w:t>s</w:t>
      </w:r>
      <w:r w:rsidR="007665D2" w:rsidRPr="00E32653">
        <w:rPr>
          <w:rFonts w:asciiTheme="majorBidi" w:eastAsia="Times New Roman" w:hAnsiTheme="majorBidi" w:cstheme="majorBidi"/>
          <w:lang w:val="en-GB"/>
        </w:rPr>
        <w:t>. The results of current research can be implied only on single and double-story buildings due to existing usability limitations of GLT and LVL in building structure</w:t>
      </w:r>
      <w:r w:rsidR="00313F4E" w:rsidRPr="00E32653">
        <w:rPr>
          <w:rFonts w:asciiTheme="majorBidi" w:eastAsia="Times New Roman" w:hAnsiTheme="majorBidi" w:cstheme="majorBidi"/>
          <w:lang w:val="en-GB"/>
        </w:rPr>
        <w:t>s</w:t>
      </w:r>
      <w:r w:rsidR="007665D2" w:rsidRPr="00E32653">
        <w:rPr>
          <w:rFonts w:asciiTheme="majorBidi" w:eastAsia="Times New Roman" w:hAnsiTheme="majorBidi" w:cstheme="majorBidi"/>
          <w:lang w:val="en-GB"/>
        </w:rPr>
        <w:t xml:space="preserve">. The GLT is not being used as wall materials in multi-story buildings. Instead, engineers prefer to use of LVL. LVL is not being used </w:t>
      </w:r>
      <w:r w:rsidR="00313F4E" w:rsidRPr="00E32653">
        <w:rPr>
          <w:rFonts w:asciiTheme="majorBidi" w:eastAsia="Times New Roman" w:hAnsiTheme="majorBidi" w:cstheme="majorBidi"/>
          <w:lang w:val="en-GB"/>
        </w:rPr>
        <w:t xml:space="preserve">for </w:t>
      </w:r>
      <w:r w:rsidR="007665D2" w:rsidRPr="00E32653">
        <w:rPr>
          <w:rFonts w:asciiTheme="majorBidi" w:eastAsia="Times New Roman" w:hAnsiTheme="majorBidi" w:cstheme="majorBidi"/>
          <w:lang w:val="en-GB"/>
        </w:rPr>
        <w:t>load bearing components due to vulnerabilit</w:t>
      </w:r>
      <w:r w:rsidR="00313F4E" w:rsidRPr="00E32653">
        <w:rPr>
          <w:rFonts w:asciiTheme="majorBidi" w:eastAsia="Times New Roman" w:hAnsiTheme="majorBidi" w:cstheme="majorBidi"/>
          <w:lang w:val="en-GB"/>
        </w:rPr>
        <w:t>ies</w:t>
      </w:r>
      <w:r w:rsidR="007665D2" w:rsidRPr="00E32653">
        <w:rPr>
          <w:rFonts w:asciiTheme="majorBidi" w:eastAsia="Times New Roman" w:hAnsiTheme="majorBidi" w:cstheme="majorBidi"/>
          <w:lang w:val="en-GB"/>
        </w:rPr>
        <w:t xml:space="preserve"> in high-rise buildings. However, GLT and LVL are still being used as component in multi-story buildings. Thus, it is recommended </w:t>
      </w:r>
      <w:r w:rsidR="00313F4E" w:rsidRPr="00E32653">
        <w:rPr>
          <w:rFonts w:asciiTheme="majorBidi" w:eastAsia="Times New Roman" w:hAnsiTheme="majorBidi" w:cstheme="majorBidi"/>
          <w:lang w:val="en-GB"/>
        </w:rPr>
        <w:t>that</w:t>
      </w:r>
      <w:r w:rsidR="007665D2" w:rsidRPr="00E32653">
        <w:rPr>
          <w:rFonts w:asciiTheme="majorBidi" w:eastAsia="Times New Roman" w:hAnsiTheme="majorBidi" w:cstheme="majorBidi"/>
          <w:lang w:val="en-GB"/>
        </w:rPr>
        <w:t xml:space="preserve"> research </w:t>
      </w:r>
      <w:r w:rsidR="00222074" w:rsidRPr="00E32653">
        <w:rPr>
          <w:rFonts w:asciiTheme="majorBidi" w:eastAsia="Times New Roman" w:hAnsiTheme="majorBidi" w:cstheme="majorBidi"/>
          <w:lang w:val="en-GB"/>
        </w:rPr>
        <w:t>be</w:t>
      </w:r>
      <w:r w:rsidR="00313F4E" w:rsidRPr="00E32653">
        <w:rPr>
          <w:rFonts w:asciiTheme="majorBidi" w:eastAsia="Times New Roman" w:hAnsiTheme="majorBidi" w:cstheme="majorBidi"/>
          <w:lang w:val="en-GB"/>
        </w:rPr>
        <w:t xml:space="preserve"> conducted to</w:t>
      </w:r>
      <w:r w:rsidR="007665D2" w:rsidRPr="00E32653">
        <w:rPr>
          <w:rFonts w:asciiTheme="majorBidi" w:eastAsia="Times New Roman" w:hAnsiTheme="majorBidi" w:cstheme="majorBidi"/>
          <w:lang w:val="en-GB"/>
        </w:rPr>
        <w:t xml:space="preserve"> compar</w:t>
      </w:r>
      <w:r w:rsidR="00313F4E" w:rsidRPr="00E32653">
        <w:rPr>
          <w:rFonts w:asciiTheme="majorBidi" w:eastAsia="Times New Roman" w:hAnsiTheme="majorBidi" w:cstheme="majorBidi"/>
          <w:lang w:val="en-GB"/>
        </w:rPr>
        <w:t xml:space="preserve">e </w:t>
      </w:r>
      <w:r w:rsidR="007665D2" w:rsidRPr="00E32653">
        <w:rPr>
          <w:rFonts w:asciiTheme="majorBidi" w:eastAsia="Times New Roman" w:hAnsiTheme="majorBidi" w:cstheme="majorBidi"/>
          <w:lang w:val="en-GB"/>
        </w:rPr>
        <w:t xml:space="preserve">wood-based materials for </w:t>
      </w:r>
      <w:r w:rsidR="00EF0D49" w:rsidRPr="00E32653">
        <w:rPr>
          <w:rFonts w:asciiTheme="majorBidi" w:eastAsia="Times New Roman" w:hAnsiTheme="majorBidi" w:cstheme="majorBidi"/>
          <w:lang w:val="en-GB"/>
        </w:rPr>
        <w:t>multi</w:t>
      </w:r>
      <w:r w:rsidR="00856B17" w:rsidRPr="00E32653">
        <w:rPr>
          <w:rFonts w:asciiTheme="majorBidi" w:eastAsia="Times New Roman" w:hAnsiTheme="majorBidi" w:cstheme="majorBidi"/>
          <w:lang w:val="en-GB"/>
        </w:rPr>
        <w:t>-</w:t>
      </w:r>
      <w:r w:rsidR="00EF0D49" w:rsidRPr="00E32653">
        <w:rPr>
          <w:rFonts w:asciiTheme="majorBidi" w:eastAsia="Times New Roman" w:hAnsiTheme="majorBidi" w:cstheme="majorBidi"/>
          <w:lang w:val="en-GB"/>
        </w:rPr>
        <w:t>story building</w:t>
      </w:r>
      <w:r w:rsidR="006B340F" w:rsidRPr="00E32653">
        <w:rPr>
          <w:rFonts w:asciiTheme="majorBidi" w:eastAsia="Times New Roman" w:hAnsiTheme="majorBidi" w:cstheme="majorBidi"/>
          <w:lang w:val="en-GB"/>
        </w:rPr>
        <w:t>s</w:t>
      </w:r>
      <w:r w:rsidR="00EF0D49" w:rsidRPr="00E32653">
        <w:rPr>
          <w:rFonts w:asciiTheme="majorBidi" w:eastAsia="Times New Roman" w:hAnsiTheme="majorBidi" w:cstheme="majorBidi"/>
          <w:lang w:val="en-GB"/>
        </w:rPr>
        <w:t xml:space="preserve">. </w:t>
      </w:r>
    </w:p>
    <w:p w14:paraId="4CB76C0D" w14:textId="77777777" w:rsidR="00283372" w:rsidRPr="00E32653" w:rsidRDefault="00283372" w:rsidP="00B34BA2">
      <w:pPr>
        <w:spacing w:line="276" w:lineRule="auto"/>
        <w:ind w:firstLine="720"/>
        <w:jc w:val="both"/>
        <w:rPr>
          <w:rFonts w:asciiTheme="majorBidi" w:eastAsia="Times New Roman" w:hAnsiTheme="majorBidi" w:cstheme="majorBidi"/>
          <w:lang w:val="en-GB"/>
        </w:rPr>
      </w:pPr>
    </w:p>
    <w:p w14:paraId="1117717A" w14:textId="77777777" w:rsidR="00271F71" w:rsidRPr="00E32653" w:rsidRDefault="00271F71" w:rsidP="00271F71">
      <w:pPr>
        <w:jc w:val="lowKashida"/>
        <w:rPr>
          <w:rFonts w:asciiTheme="majorBidi" w:hAnsiTheme="majorBidi" w:cstheme="majorBidi"/>
        </w:rPr>
      </w:pPr>
      <w:r w:rsidRPr="00E32653">
        <w:rPr>
          <w:rFonts w:asciiTheme="majorBidi" w:hAnsiTheme="majorBidi" w:cstheme="majorBidi"/>
          <w:b/>
          <w:bCs/>
          <w:shd w:val="clear" w:color="auto" w:fill="FFFFFF"/>
        </w:rPr>
        <w:t>Declarations</w:t>
      </w:r>
      <w:r w:rsidRPr="00E32653">
        <w:rPr>
          <w:rFonts w:asciiTheme="majorBidi" w:hAnsiTheme="majorBidi" w:cstheme="majorBidi"/>
        </w:rPr>
        <w:t xml:space="preserve"> </w:t>
      </w:r>
    </w:p>
    <w:p w14:paraId="4B691143" w14:textId="4C96EDFD" w:rsidR="00271F71" w:rsidRPr="00E32653" w:rsidRDefault="00271F71" w:rsidP="00E85809">
      <w:pPr>
        <w:spacing w:after="0"/>
        <w:jc w:val="both"/>
        <w:rPr>
          <w:rFonts w:asciiTheme="majorBidi" w:hAnsiTheme="majorBidi" w:cstheme="majorBidi"/>
        </w:rPr>
      </w:pPr>
      <w:r w:rsidRPr="00E32653">
        <w:rPr>
          <w:rFonts w:asciiTheme="majorBidi" w:hAnsiTheme="majorBidi" w:cstheme="majorBidi"/>
        </w:rPr>
        <w:t>Ethics approval and consent to participate</w:t>
      </w:r>
      <w:r w:rsidR="00A95120" w:rsidRPr="00E32653">
        <w:rPr>
          <w:rFonts w:asciiTheme="majorBidi" w:hAnsiTheme="majorBidi" w:cstheme="majorBidi"/>
        </w:rPr>
        <w:t>:</w:t>
      </w:r>
      <w:r w:rsidRPr="00E32653">
        <w:rPr>
          <w:rFonts w:asciiTheme="majorBidi" w:hAnsiTheme="majorBidi" w:cstheme="majorBidi"/>
        </w:rPr>
        <w:t xml:space="preserve"> Not applicable</w:t>
      </w:r>
    </w:p>
    <w:p w14:paraId="18C81D2C" w14:textId="703AA496" w:rsidR="00271F71" w:rsidRPr="00E32653" w:rsidRDefault="00271F71" w:rsidP="00271F71">
      <w:pPr>
        <w:autoSpaceDE w:val="0"/>
        <w:autoSpaceDN w:val="0"/>
        <w:adjustRightInd w:val="0"/>
        <w:spacing w:after="0" w:line="240" w:lineRule="auto"/>
        <w:jc w:val="both"/>
        <w:rPr>
          <w:rFonts w:asciiTheme="majorBidi" w:hAnsiTheme="majorBidi" w:cstheme="majorBidi"/>
          <w:lang w:eastAsia="ja-JP"/>
        </w:rPr>
      </w:pPr>
      <w:r w:rsidRPr="00E32653">
        <w:rPr>
          <w:rFonts w:asciiTheme="majorBidi" w:hAnsiTheme="majorBidi" w:cstheme="majorBidi"/>
        </w:rPr>
        <w:t>Authors' contributions</w:t>
      </w:r>
      <w:r w:rsidR="00A95120" w:rsidRPr="00E32653">
        <w:rPr>
          <w:rFonts w:asciiTheme="majorBidi" w:hAnsiTheme="majorBidi" w:cstheme="majorBidi"/>
        </w:rPr>
        <w:t>:</w:t>
      </w:r>
      <w:r w:rsidRPr="00E32653">
        <w:rPr>
          <w:rFonts w:asciiTheme="majorBidi" w:hAnsiTheme="majorBidi" w:cstheme="majorBidi"/>
        </w:rPr>
        <w:t xml:space="preserve"> All authors contributed to the study conception and design. Data collection, and Software analysis were performed by Ali Tighnavard Balasbaneh, </w:t>
      </w:r>
      <w:r w:rsidRPr="00E32653">
        <w:rPr>
          <w:rFonts w:asciiTheme="majorBidi" w:eastAsiaTheme="minorEastAsia" w:hAnsiTheme="majorBidi" w:cstheme="majorBidi"/>
          <w:i/>
          <w:iCs/>
        </w:rPr>
        <w:t>Willy Sher, David Yeoh, Mohd Norazam Yasin</w:t>
      </w:r>
      <w:r w:rsidRPr="00E32653">
        <w:rPr>
          <w:rFonts w:asciiTheme="majorBidi" w:hAnsiTheme="majorBidi" w:cstheme="majorBidi"/>
        </w:rPr>
        <w:t xml:space="preserve">. The first draft of the manuscript was written by Ali Tighnavard Balasbaneh, all authors commented on previous versions of the manuscript. </w:t>
      </w:r>
      <w:r w:rsidRPr="00E32653">
        <w:rPr>
          <w:rFonts w:asciiTheme="majorBidi" w:hAnsiTheme="majorBidi" w:cstheme="majorBidi"/>
          <w:lang w:eastAsia="ja-JP"/>
        </w:rPr>
        <w:t xml:space="preserve">As Corresponding Author, I confirm that the manuscript has been read and approved for submission by all the authors. </w:t>
      </w:r>
    </w:p>
    <w:p w14:paraId="22ED2E80" w14:textId="77E8C944" w:rsidR="00271F71" w:rsidRPr="00E32653" w:rsidRDefault="00271F71" w:rsidP="00271F71">
      <w:pPr>
        <w:autoSpaceDE w:val="0"/>
        <w:autoSpaceDN w:val="0"/>
        <w:adjustRightInd w:val="0"/>
        <w:spacing w:after="0" w:line="240" w:lineRule="auto"/>
        <w:jc w:val="both"/>
        <w:rPr>
          <w:rFonts w:asciiTheme="majorBidi" w:hAnsiTheme="majorBidi" w:cstheme="majorBidi"/>
        </w:rPr>
      </w:pPr>
      <w:r w:rsidRPr="00E32653">
        <w:rPr>
          <w:rFonts w:asciiTheme="majorBidi" w:hAnsiTheme="majorBidi" w:cstheme="majorBidi"/>
        </w:rPr>
        <w:t>Competing interests</w:t>
      </w:r>
      <w:r w:rsidR="00A65EAB" w:rsidRPr="00E32653">
        <w:rPr>
          <w:rFonts w:asciiTheme="majorBidi" w:hAnsiTheme="majorBidi" w:cstheme="majorBidi"/>
        </w:rPr>
        <w:t>: T</w:t>
      </w:r>
      <w:r w:rsidRPr="00E32653">
        <w:rPr>
          <w:rFonts w:asciiTheme="majorBidi" w:hAnsiTheme="majorBidi" w:cstheme="majorBidi"/>
        </w:rPr>
        <w:t>he authors declare that they have no competing interests.</w:t>
      </w:r>
    </w:p>
    <w:p w14:paraId="565F759F" w14:textId="78727A51" w:rsidR="00271F71" w:rsidRPr="00E32653" w:rsidRDefault="00271F71" w:rsidP="00E85809">
      <w:pPr>
        <w:autoSpaceDE w:val="0"/>
        <w:autoSpaceDN w:val="0"/>
        <w:adjustRightInd w:val="0"/>
        <w:spacing w:after="0" w:line="240" w:lineRule="auto"/>
        <w:rPr>
          <w:rFonts w:asciiTheme="majorBidi" w:hAnsiTheme="majorBidi" w:cstheme="majorBidi"/>
        </w:rPr>
      </w:pPr>
      <w:r w:rsidRPr="00E32653">
        <w:rPr>
          <w:rFonts w:asciiTheme="majorBidi" w:hAnsiTheme="majorBidi" w:cstheme="majorBidi"/>
        </w:rPr>
        <w:lastRenderedPageBreak/>
        <w:t>Consent to Participate Not applicable.</w:t>
      </w:r>
      <w:r w:rsidRPr="00E32653">
        <w:rPr>
          <w:rFonts w:asciiTheme="majorBidi" w:hAnsiTheme="majorBidi" w:cstheme="majorBidi"/>
        </w:rPr>
        <w:br/>
        <w:t>Consent for publication Not applicable.</w:t>
      </w:r>
    </w:p>
    <w:p w14:paraId="27303CD4" w14:textId="77777777" w:rsidR="00271F71" w:rsidRPr="00E32653" w:rsidRDefault="00271F71" w:rsidP="00E85809">
      <w:pPr>
        <w:spacing w:after="0"/>
        <w:rPr>
          <w:rFonts w:asciiTheme="majorBidi" w:hAnsiTheme="majorBidi" w:cstheme="majorBidi"/>
        </w:rPr>
      </w:pPr>
      <w:r w:rsidRPr="00E32653">
        <w:rPr>
          <w:rFonts w:asciiTheme="majorBidi" w:hAnsiTheme="majorBidi" w:cstheme="majorBidi"/>
        </w:rPr>
        <w:t>Funding information is not applicable </w:t>
      </w:r>
    </w:p>
    <w:p w14:paraId="009A670A" w14:textId="76207021" w:rsidR="00271F71" w:rsidRPr="00E32653" w:rsidRDefault="00271F71" w:rsidP="00271F71">
      <w:pPr>
        <w:autoSpaceDE w:val="0"/>
        <w:autoSpaceDN w:val="0"/>
        <w:adjustRightInd w:val="0"/>
        <w:spacing w:after="0" w:line="240" w:lineRule="auto"/>
        <w:rPr>
          <w:rFonts w:asciiTheme="majorBidi" w:hAnsiTheme="majorBidi" w:cstheme="majorBidi"/>
        </w:rPr>
      </w:pPr>
      <w:r w:rsidRPr="00E32653">
        <w:rPr>
          <w:rFonts w:asciiTheme="majorBidi" w:hAnsiTheme="majorBidi" w:cstheme="majorBidi"/>
        </w:rPr>
        <w:t>Data availability the datasets used and analyzed during the current study are available from the corresponding author on reasonable request</w:t>
      </w:r>
    </w:p>
    <w:p w14:paraId="557A87D1" w14:textId="77777777" w:rsidR="00E85809" w:rsidRPr="00E32653" w:rsidRDefault="00E85809" w:rsidP="00271F71">
      <w:pPr>
        <w:autoSpaceDE w:val="0"/>
        <w:autoSpaceDN w:val="0"/>
        <w:adjustRightInd w:val="0"/>
        <w:spacing w:after="0" w:line="240" w:lineRule="auto"/>
        <w:rPr>
          <w:rFonts w:asciiTheme="majorBidi" w:hAnsiTheme="majorBidi" w:cstheme="majorBidi"/>
        </w:rPr>
      </w:pPr>
    </w:p>
    <w:p w14:paraId="6601BA70" w14:textId="77777777" w:rsidR="00E85809" w:rsidRPr="00E32653" w:rsidRDefault="00E85809" w:rsidP="00271F71">
      <w:pPr>
        <w:autoSpaceDE w:val="0"/>
        <w:autoSpaceDN w:val="0"/>
        <w:adjustRightInd w:val="0"/>
        <w:spacing w:after="0" w:line="240" w:lineRule="auto"/>
        <w:rPr>
          <w:rFonts w:asciiTheme="majorBidi" w:hAnsiTheme="majorBidi" w:cstheme="majorBidi"/>
        </w:rPr>
      </w:pPr>
    </w:p>
    <w:p w14:paraId="0B8474DB" w14:textId="77777777" w:rsidR="00A178A4" w:rsidRPr="00E32653" w:rsidRDefault="00E6313B" w:rsidP="00FC574B">
      <w:pPr>
        <w:spacing w:line="276" w:lineRule="auto"/>
        <w:ind w:left="360"/>
        <w:jc w:val="both"/>
        <w:rPr>
          <w:rFonts w:asciiTheme="majorBidi" w:hAnsiTheme="majorBidi" w:cstheme="majorBidi"/>
          <w:b/>
          <w:bCs/>
        </w:rPr>
      </w:pPr>
      <w:r w:rsidRPr="00E32653">
        <w:rPr>
          <w:rFonts w:asciiTheme="majorBidi" w:hAnsiTheme="majorBidi" w:cstheme="majorBidi"/>
          <w:b/>
          <w:bCs/>
        </w:rPr>
        <w:t>References</w:t>
      </w:r>
    </w:p>
    <w:p w14:paraId="37770C4B" w14:textId="48755937" w:rsidR="001F4D5A" w:rsidRPr="00E32653" w:rsidRDefault="00A178A4" w:rsidP="00063190">
      <w:pPr>
        <w:widowControl w:val="0"/>
        <w:autoSpaceDE w:val="0"/>
        <w:autoSpaceDN w:val="0"/>
        <w:adjustRightInd w:val="0"/>
        <w:spacing w:after="0" w:line="240" w:lineRule="auto"/>
        <w:ind w:left="480" w:hanging="480"/>
        <w:jc w:val="both"/>
        <w:rPr>
          <w:rFonts w:asciiTheme="majorBidi" w:hAnsiTheme="majorBidi" w:cstheme="majorBidi"/>
          <w:b/>
          <w:bCs/>
        </w:rPr>
      </w:pPr>
      <w:r w:rsidRPr="00E32653">
        <w:rPr>
          <w:rFonts w:ascii="Times New Roman" w:hAnsi="Times New Roman" w:cs="Times New Roman"/>
          <w:noProof/>
          <w:szCs w:val="24"/>
        </w:rPr>
        <w:t xml:space="preserve">Abolghassem Tehrani, M., &amp; Froese, T. M. (2017). A comparative life cycle assessment of tall buildings with alternative structural systems: Wood vs. Concrete. </w:t>
      </w:r>
      <w:r w:rsidRPr="00E32653">
        <w:rPr>
          <w:rFonts w:ascii="Times New Roman" w:hAnsi="Times New Roman" w:cs="Times New Roman"/>
          <w:i/>
          <w:iCs/>
          <w:noProof/>
          <w:szCs w:val="24"/>
        </w:rPr>
        <w:t>6th CSCE-CRC International Construction Specialty Conference 2017 - Held as Part of the Canadian Society for Civil Engineering Annual Conference and General Meeting 2017</w:t>
      </w:r>
      <w:r w:rsidRPr="00E32653">
        <w:rPr>
          <w:rFonts w:ascii="Times New Roman" w:hAnsi="Times New Roman" w:cs="Times New Roman"/>
          <w:noProof/>
          <w:szCs w:val="24"/>
        </w:rPr>
        <w:t xml:space="preserve">, </w:t>
      </w:r>
      <w:r w:rsidRPr="00E32653">
        <w:rPr>
          <w:rFonts w:ascii="Times New Roman" w:hAnsi="Times New Roman" w:cs="Times New Roman"/>
          <w:i/>
          <w:iCs/>
          <w:noProof/>
          <w:szCs w:val="24"/>
        </w:rPr>
        <w:t>1</w:t>
      </w:r>
      <w:r w:rsidRPr="00E32653">
        <w:rPr>
          <w:rFonts w:ascii="Times New Roman" w:hAnsi="Times New Roman" w:cs="Times New Roman"/>
          <w:noProof/>
          <w:szCs w:val="24"/>
        </w:rPr>
        <w:t>(August), 19–28.</w:t>
      </w:r>
      <w:r w:rsidR="00063190" w:rsidRPr="00E32653">
        <w:rPr>
          <w:rFonts w:asciiTheme="majorBidi" w:hAnsiTheme="majorBidi" w:cstheme="majorBidi"/>
          <w:b/>
          <w:bCs/>
          <w:sz w:val="20"/>
          <w:szCs w:val="20"/>
        </w:rPr>
        <w:t xml:space="preserve"> </w:t>
      </w:r>
      <w:r w:rsidR="00E6313B" w:rsidRPr="00E32653">
        <w:rPr>
          <w:rFonts w:asciiTheme="majorBidi" w:hAnsiTheme="majorBidi" w:cstheme="majorBidi"/>
          <w:b/>
          <w:bCs/>
          <w:sz w:val="20"/>
          <w:szCs w:val="20"/>
        </w:rPr>
        <w:fldChar w:fldCharType="begin" w:fldLock="1"/>
      </w:r>
      <w:r w:rsidR="00E6313B" w:rsidRPr="00E32653">
        <w:rPr>
          <w:rFonts w:asciiTheme="majorBidi" w:hAnsiTheme="majorBidi" w:cstheme="majorBidi"/>
          <w:b/>
          <w:bCs/>
          <w:sz w:val="20"/>
          <w:szCs w:val="20"/>
        </w:rPr>
        <w:instrText xml:space="preserve">ADDIN Mendeley Bibliography CSL_BIBLIOGRAPHY </w:instrText>
      </w:r>
      <w:r w:rsidR="00E6313B" w:rsidRPr="00E32653">
        <w:rPr>
          <w:rFonts w:asciiTheme="majorBidi" w:hAnsiTheme="majorBidi" w:cstheme="majorBidi"/>
          <w:b/>
          <w:bCs/>
          <w:sz w:val="20"/>
          <w:szCs w:val="20"/>
        </w:rPr>
        <w:fldChar w:fldCharType="separate"/>
      </w:r>
    </w:p>
    <w:p w14:paraId="020E836D"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Andersen, J. H., Rasmussen, N. L., &amp; Ryberg, M. W. (2022). Comparative life cycle assessment of cross laminated timber building and concrete building with special focus on biogenic carbon. Energy and Buildings, 254, 111604. https://doi.org/10.1016/j.enbuild.2021.111604</w:t>
      </w:r>
    </w:p>
    <w:p w14:paraId="6D1F69CB" w14:textId="67B24578"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Balasbaneh, A.T., &amp; Bin Marsono, A. K. (2017a). Proposing of new building scheme and composite towards global warming mitigation for Malaysia. </w:t>
      </w:r>
      <w:r w:rsidRPr="00E32653">
        <w:rPr>
          <w:rFonts w:asciiTheme="majorBidi" w:hAnsiTheme="majorBidi" w:cstheme="majorBidi"/>
          <w:i/>
          <w:iCs/>
          <w:noProof/>
          <w:sz w:val="20"/>
          <w:szCs w:val="20"/>
        </w:rPr>
        <w:t>International Journal of Sustainable Engineering</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10</w:t>
      </w:r>
      <w:r w:rsidRPr="00E32653">
        <w:rPr>
          <w:rFonts w:asciiTheme="majorBidi" w:hAnsiTheme="majorBidi" w:cstheme="majorBidi"/>
          <w:noProof/>
          <w:sz w:val="20"/>
          <w:szCs w:val="20"/>
        </w:rPr>
        <w:t>(3). https://doi.org/10.1080/19397038.2017.1293184</w:t>
      </w:r>
    </w:p>
    <w:p w14:paraId="692A74B3"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Balasbaneh, A.T., &amp; Bin Marsono, A. K. (2017b). Strategies for reducing greenhouse gas emissions from residential sector by proposing new building structures in hot and humid climatic conditions. </w:t>
      </w:r>
      <w:r w:rsidRPr="00E32653">
        <w:rPr>
          <w:rFonts w:asciiTheme="majorBidi" w:hAnsiTheme="majorBidi" w:cstheme="majorBidi"/>
          <w:i/>
          <w:iCs/>
          <w:noProof/>
          <w:sz w:val="20"/>
          <w:szCs w:val="20"/>
        </w:rPr>
        <w:t>Building and Environment</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124</w:t>
      </w:r>
      <w:r w:rsidRPr="00E32653">
        <w:rPr>
          <w:rFonts w:asciiTheme="majorBidi" w:hAnsiTheme="majorBidi" w:cstheme="majorBidi"/>
          <w:noProof/>
          <w:sz w:val="20"/>
          <w:szCs w:val="20"/>
        </w:rPr>
        <w:t>, 357–368. https://doi.org/10.1016/j.buildenv.2017.08.025</w:t>
      </w:r>
    </w:p>
    <w:p w14:paraId="1CCBDCDB" w14:textId="49EEABFB"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Balasbaneh, A.T., Marsono, A. K. B., &amp; Khaleghi, S. J. (2018</w:t>
      </w:r>
      <w:r w:rsidR="001937C7" w:rsidRPr="00E32653">
        <w:rPr>
          <w:rFonts w:asciiTheme="majorBidi" w:hAnsiTheme="majorBidi" w:cstheme="majorBidi"/>
          <w:noProof/>
          <w:sz w:val="20"/>
          <w:szCs w:val="20"/>
        </w:rPr>
        <w:t>a</w:t>
      </w:r>
      <w:r w:rsidRPr="00E32653">
        <w:rPr>
          <w:rFonts w:asciiTheme="majorBidi" w:hAnsiTheme="majorBidi" w:cstheme="majorBidi"/>
          <w:noProof/>
          <w:sz w:val="20"/>
          <w:szCs w:val="20"/>
        </w:rPr>
        <w:t xml:space="preserve">). Sustainability choice of different hybrid timber structure for low medium cost single-story residential building: Environmental, economic and social assessment. </w:t>
      </w:r>
      <w:r w:rsidRPr="00E32653">
        <w:rPr>
          <w:rFonts w:asciiTheme="majorBidi" w:hAnsiTheme="majorBidi" w:cstheme="majorBidi"/>
          <w:i/>
          <w:iCs/>
          <w:noProof/>
          <w:sz w:val="20"/>
          <w:szCs w:val="20"/>
        </w:rPr>
        <w:t>Journal of Building Engineering</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20</w:t>
      </w:r>
      <w:r w:rsidRPr="00E32653">
        <w:rPr>
          <w:rFonts w:asciiTheme="majorBidi" w:hAnsiTheme="majorBidi" w:cstheme="majorBidi"/>
          <w:noProof/>
          <w:sz w:val="20"/>
          <w:szCs w:val="20"/>
        </w:rPr>
        <w:t>, 235–247. https://doi.org/10.1016/j.jobe.2018.07.006</w:t>
      </w:r>
    </w:p>
    <w:p w14:paraId="53E491A1" w14:textId="49C45F8F"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Balasbaneh, Ali Tighnavard, Bin Marsono, A. K., &amp; Kasra Kermanshahi, E. (2018</w:t>
      </w:r>
      <w:r w:rsidR="001937C7" w:rsidRPr="00E32653">
        <w:rPr>
          <w:rFonts w:asciiTheme="majorBidi" w:hAnsiTheme="majorBidi" w:cstheme="majorBidi"/>
          <w:noProof/>
          <w:sz w:val="20"/>
          <w:szCs w:val="20"/>
        </w:rPr>
        <w:t>b</w:t>
      </w:r>
      <w:r w:rsidRPr="00E32653">
        <w:rPr>
          <w:rFonts w:asciiTheme="majorBidi" w:hAnsiTheme="majorBidi" w:cstheme="majorBidi"/>
          <w:noProof/>
          <w:sz w:val="20"/>
          <w:szCs w:val="20"/>
        </w:rPr>
        <w:t xml:space="preserve">). Balancing of life cycle carbon and cost appraisal on alternative wall and roof design verification for residential building. </w:t>
      </w:r>
      <w:r w:rsidRPr="00E32653">
        <w:rPr>
          <w:rFonts w:asciiTheme="majorBidi" w:hAnsiTheme="majorBidi" w:cstheme="majorBidi"/>
          <w:i/>
          <w:iCs/>
          <w:noProof/>
          <w:sz w:val="20"/>
          <w:szCs w:val="20"/>
        </w:rPr>
        <w:t>Construction Innovation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18</w:t>
      </w:r>
      <w:r w:rsidRPr="00E32653">
        <w:rPr>
          <w:rFonts w:asciiTheme="majorBidi" w:hAnsiTheme="majorBidi" w:cstheme="majorBidi"/>
          <w:noProof/>
          <w:sz w:val="20"/>
          <w:szCs w:val="20"/>
        </w:rPr>
        <w:t>(3), 274–300. https://doi.org/10.1108/CI-03-2017-0024</w:t>
      </w:r>
    </w:p>
    <w:p w14:paraId="02B39FB0" w14:textId="1EFCCADF"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Bala</w:t>
      </w:r>
      <w:r w:rsidRPr="00E32653">
        <w:rPr>
          <w:rFonts w:asciiTheme="majorBidi" w:hAnsiTheme="majorBidi" w:cstheme="majorBidi"/>
          <w:strike/>
          <w:noProof/>
          <w:sz w:val="20"/>
          <w:szCs w:val="20"/>
        </w:rPr>
        <w:t>sbaneh, Ali Tighnavard, Marsono, A. K. Bin, &amp; Khaleghi, S. J. (2018</w:t>
      </w:r>
      <w:r w:rsidR="001937C7" w:rsidRPr="00E32653">
        <w:rPr>
          <w:rFonts w:asciiTheme="majorBidi" w:hAnsiTheme="majorBidi" w:cstheme="majorBidi"/>
          <w:strike/>
          <w:noProof/>
          <w:sz w:val="20"/>
          <w:szCs w:val="20"/>
        </w:rPr>
        <w:t>c</w:t>
      </w:r>
      <w:r w:rsidRPr="00E32653">
        <w:rPr>
          <w:rFonts w:asciiTheme="majorBidi" w:hAnsiTheme="majorBidi" w:cstheme="majorBidi"/>
          <w:strike/>
          <w:noProof/>
          <w:sz w:val="20"/>
          <w:szCs w:val="20"/>
        </w:rPr>
        <w:t xml:space="preserve">). Sustainability choice of different hybrid timber structure for low medium cost single-story residential building: Environmental, economic and social assessment. </w:t>
      </w:r>
      <w:r w:rsidRPr="00E32653">
        <w:rPr>
          <w:rFonts w:asciiTheme="majorBidi" w:hAnsiTheme="majorBidi" w:cstheme="majorBidi"/>
          <w:i/>
          <w:iCs/>
          <w:strike/>
          <w:noProof/>
          <w:sz w:val="20"/>
          <w:szCs w:val="20"/>
        </w:rPr>
        <w:t>Journal of Building Engineering</w:t>
      </w:r>
      <w:r w:rsidRPr="00E32653">
        <w:rPr>
          <w:rFonts w:asciiTheme="majorBidi" w:hAnsiTheme="majorBidi" w:cstheme="majorBidi"/>
          <w:strike/>
          <w:noProof/>
          <w:sz w:val="20"/>
          <w:szCs w:val="20"/>
        </w:rPr>
        <w:t xml:space="preserve">, </w:t>
      </w:r>
      <w:r w:rsidRPr="00E32653">
        <w:rPr>
          <w:rFonts w:asciiTheme="majorBidi" w:hAnsiTheme="majorBidi" w:cstheme="majorBidi"/>
          <w:i/>
          <w:iCs/>
          <w:strike/>
          <w:noProof/>
          <w:sz w:val="20"/>
          <w:szCs w:val="20"/>
        </w:rPr>
        <w:t>20</w:t>
      </w:r>
      <w:r w:rsidRPr="00E32653">
        <w:rPr>
          <w:rFonts w:asciiTheme="majorBidi" w:hAnsiTheme="majorBidi" w:cstheme="majorBidi"/>
          <w:strike/>
          <w:noProof/>
          <w:sz w:val="20"/>
          <w:szCs w:val="20"/>
        </w:rPr>
        <w:t>(February), 235–247. https://doi.org/10.1016/j.jobe.2018.07.006</w:t>
      </w:r>
    </w:p>
    <w:p w14:paraId="4001E061"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Balasbaneh, Ali Tighnavard, &amp; Sher, W. (2021). Comparative sustainability evaluation of two engineered wood-based construction materials: Life cycle analysis of CLT versus GLT. </w:t>
      </w:r>
      <w:r w:rsidRPr="00E32653">
        <w:rPr>
          <w:rFonts w:asciiTheme="majorBidi" w:hAnsiTheme="majorBidi" w:cstheme="majorBidi"/>
          <w:i/>
          <w:iCs/>
          <w:noProof/>
          <w:sz w:val="20"/>
          <w:szCs w:val="20"/>
        </w:rPr>
        <w:t>Building and Environment</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204</w:t>
      </w:r>
      <w:r w:rsidRPr="00E32653">
        <w:rPr>
          <w:rFonts w:asciiTheme="majorBidi" w:hAnsiTheme="majorBidi" w:cstheme="majorBidi"/>
          <w:noProof/>
          <w:sz w:val="20"/>
          <w:szCs w:val="20"/>
        </w:rPr>
        <w:t>(July), 108112. https://doi.org/10.1016/j.buildenv.2021.108112</w:t>
      </w:r>
    </w:p>
    <w:p w14:paraId="2309C0FC"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Balasbaneh, Ali Tighnavard, Yeoh, D., &amp; Zainal Abidin, A. R. (2020). Life cycle sustainability assessment of window renovations in schools against noise pollution in tropical climates. </w:t>
      </w:r>
      <w:r w:rsidRPr="00E32653">
        <w:rPr>
          <w:rFonts w:asciiTheme="majorBidi" w:hAnsiTheme="majorBidi" w:cstheme="majorBidi"/>
          <w:i/>
          <w:iCs/>
          <w:noProof/>
          <w:sz w:val="20"/>
          <w:szCs w:val="20"/>
        </w:rPr>
        <w:t>Journal of Building Engineering</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32</w:t>
      </w:r>
      <w:r w:rsidRPr="00E32653">
        <w:rPr>
          <w:rFonts w:asciiTheme="majorBidi" w:hAnsiTheme="majorBidi" w:cstheme="majorBidi"/>
          <w:noProof/>
          <w:sz w:val="20"/>
          <w:szCs w:val="20"/>
        </w:rPr>
        <w:t>(September), 101784. https://doi.org/10.1016/j.jobe.2020.101784</w:t>
      </w:r>
    </w:p>
    <w:p w14:paraId="483D4290" w14:textId="0B61105C"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Bowers, T., Puettmann, M. E., Ganguly, I., &amp; Eastin, I. (2017). Cradle-to-gate life-cycle impact analysis of glued-laminated (glulam) timber: Environmental impacts from glulam produced in the US pacific northwest and southeast. </w:t>
      </w:r>
      <w:r w:rsidRPr="00E32653">
        <w:rPr>
          <w:rFonts w:asciiTheme="majorBidi" w:hAnsiTheme="majorBidi" w:cstheme="majorBidi"/>
          <w:i/>
          <w:iCs/>
          <w:noProof/>
          <w:sz w:val="20"/>
          <w:szCs w:val="20"/>
        </w:rPr>
        <w:t>Forest Products Journal</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67</w:t>
      </w:r>
      <w:r w:rsidRPr="00E32653">
        <w:rPr>
          <w:rFonts w:asciiTheme="majorBidi" w:hAnsiTheme="majorBidi" w:cstheme="majorBidi"/>
          <w:noProof/>
          <w:sz w:val="20"/>
          <w:szCs w:val="20"/>
        </w:rPr>
        <w:t>(5–6), 368–380. https://doi.org/10.13073/FPJ-D-17-00008</w:t>
      </w:r>
    </w:p>
    <w:p w14:paraId="230A862D" w14:textId="77777777" w:rsidR="00B9081A" w:rsidRPr="00E32653" w:rsidRDefault="00B9081A" w:rsidP="00B9081A">
      <w:pPr>
        <w:widowControl w:val="0"/>
        <w:autoSpaceDE w:val="0"/>
        <w:autoSpaceDN w:val="0"/>
        <w:adjustRightInd w:val="0"/>
        <w:spacing w:after="0" w:line="240" w:lineRule="auto"/>
        <w:ind w:left="480" w:hanging="480"/>
        <w:rPr>
          <w:rFonts w:ascii="Calibri" w:hAnsi="Calibri" w:cs="Calibri"/>
          <w:noProof/>
        </w:rPr>
      </w:pPr>
      <w:r w:rsidRPr="00E32653">
        <w:fldChar w:fldCharType="begin" w:fldLock="1"/>
      </w:r>
      <w:r w:rsidRPr="00E32653">
        <w:instrText xml:space="preserve">ADDIN Mendeley Bibliography CSL_BIBLIOGRAPHY </w:instrText>
      </w:r>
      <w:r w:rsidRPr="00E32653">
        <w:fldChar w:fldCharType="separate"/>
      </w:r>
      <w:r w:rsidRPr="00E32653">
        <w:rPr>
          <w:rFonts w:ascii="Calibri" w:hAnsi="Calibri" w:cs="Calibri"/>
          <w:noProof/>
          <w:szCs w:val="24"/>
        </w:rPr>
        <w:t xml:space="preserve">Brambilla, A., Salvalai, G., Imperadori, M., &amp; Sesana, M. M. (2018). Nearly zero energy building renovation: From energy efficiency to environmental efficiency, a pilot case study. </w:t>
      </w:r>
      <w:r w:rsidRPr="00E32653">
        <w:rPr>
          <w:rFonts w:ascii="Calibri" w:hAnsi="Calibri" w:cs="Calibri"/>
          <w:i/>
          <w:iCs/>
          <w:noProof/>
          <w:szCs w:val="24"/>
        </w:rPr>
        <w:t>Energy and Buildings</w:t>
      </w:r>
      <w:r w:rsidRPr="00E32653">
        <w:rPr>
          <w:rFonts w:ascii="Calibri" w:hAnsi="Calibri" w:cs="Calibri"/>
          <w:noProof/>
          <w:szCs w:val="24"/>
        </w:rPr>
        <w:t xml:space="preserve">, </w:t>
      </w:r>
      <w:r w:rsidRPr="00E32653">
        <w:rPr>
          <w:rFonts w:ascii="Calibri" w:hAnsi="Calibri" w:cs="Calibri"/>
          <w:i/>
          <w:iCs/>
          <w:noProof/>
          <w:szCs w:val="24"/>
        </w:rPr>
        <w:t>166</w:t>
      </w:r>
      <w:r w:rsidRPr="00E32653">
        <w:rPr>
          <w:rFonts w:ascii="Calibri" w:hAnsi="Calibri" w:cs="Calibri"/>
          <w:noProof/>
          <w:szCs w:val="24"/>
        </w:rPr>
        <w:t>, 271–283. https://doi.org/10.1016/j.enbuild.2018.02.002</w:t>
      </w:r>
    </w:p>
    <w:p w14:paraId="712F5EEF" w14:textId="1B20C8A9" w:rsidR="001F4D5A" w:rsidRPr="00E32653" w:rsidRDefault="00B9081A" w:rsidP="00B9081A">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fldChar w:fldCharType="end"/>
      </w:r>
      <w:r w:rsidR="001F4D5A" w:rsidRPr="00E32653">
        <w:rPr>
          <w:rFonts w:asciiTheme="majorBidi" w:hAnsiTheme="majorBidi" w:cstheme="majorBidi"/>
          <w:noProof/>
          <w:sz w:val="20"/>
          <w:szCs w:val="20"/>
        </w:rPr>
        <w:t xml:space="preserve">Breyer, D., Fridley, K., Jr., P., &amp; Cobeen, K. (2014). </w:t>
      </w:r>
      <w:r w:rsidR="001F4D5A" w:rsidRPr="00E32653">
        <w:rPr>
          <w:rFonts w:asciiTheme="majorBidi" w:hAnsiTheme="majorBidi" w:cstheme="majorBidi"/>
          <w:i/>
          <w:iCs/>
          <w:noProof/>
          <w:sz w:val="20"/>
          <w:szCs w:val="20"/>
        </w:rPr>
        <w:t>Design of Wood Structures-ASD/LRFD</w:t>
      </w:r>
      <w:r w:rsidR="001F4D5A" w:rsidRPr="00E32653">
        <w:rPr>
          <w:rFonts w:asciiTheme="majorBidi" w:hAnsiTheme="majorBidi" w:cstheme="majorBidi"/>
          <w:noProof/>
          <w:sz w:val="20"/>
          <w:szCs w:val="20"/>
        </w:rPr>
        <w:t>. https://books.google.com/books?id=qOdbBAAAQBAJ&amp;pgis=1</w:t>
      </w:r>
    </w:p>
    <w:p w14:paraId="4159E1BF"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Buchanan, A., Deam, B., Fragiacomo, M., Pampanin, S., &amp; Palermo, A. (2008). Multi-storey prestressed timber buildings in New Zealand. </w:t>
      </w:r>
      <w:r w:rsidRPr="00E32653">
        <w:rPr>
          <w:rFonts w:asciiTheme="majorBidi" w:hAnsiTheme="majorBidi" w:cstheme="majorBidi"/>
          <w:i/>
          <w:iCs/>
          <w:noProof/>
          <w:sz w:val="20"/>
          <w:szCs w:val="20"/>
        </w:rPr>
        <w:t>Structural Engineering International: Journal of the International Association for Bridge and Structural Engineering (IABSE)</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18</w:t>
      </w:r>
      <w:r w:rsidRPr="00E32653">
        <w:rPr>
          <w:rFonts w:asciiTheme="majorBidi" w:hAnsiTheme="majorBidi" w:cstheme="majorBidi"/>
          <w:noProof/>
          <w:sz w:val="20"/>
          <w:szCs w:val="20"/>
        </w:rPr>
        <w:t>(2), 166–173. https://doi.org/10.2749/101686608784218635</w:t>
      </w:r>
    </w:p>
    <w:p w14:paraId="30363E05" w14:textId="78E3DD0B"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Chen, J., Shi, Q., &amp; Zhang, W. (2022). Structural path and sensitivity analysis of the CO2 emissions in the construction industry. </w:t>
      </w:r>
      <w:r w:rsidRPr="00E32653">
        <w:rPr>
          <w:rFonts w:asciiTheme="majorBidi" w:hAnsiTheme="majorBidi" w:cstheme="majorBidi"/>
          <w:i/>
          <w:iCs/>
          <w:noProof/>
          <w:sz w:val="20"/>
          <w:szCs w:val="20"/>
        </w:rPr>
        <w:t>Environmental Impact Assessment Review</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92</w:t>
      </w:r>
      <w:r w:rsidRPr="00E32653">
        <w:rPr>
          <w:rFonts w:asciiTheme="majorBidi" w:hAnsiTheme="majorBidi" w:cstheme="majorBidi"/>
          <w:noProof/>
          <w:sz w:val="20"/>
          <w:szCs w:val="20"/>
        </w:rPr>
        <w:t>(October 2020), 106679. https://doi.org/10.1016/j.eiar.2021.106679</w:t>
      </w:r>
    </w:p>
    <w:p w14:paraId="0470BBCA" w14:textId="334E26FF" w:rsidR="00FE7AB6" w:rsidRPr="00E32653" w:rsidRDefault="00FE7AB6" w:rsidP="00126E8E">
      <w:pPr>
        <w:widowControl w:val="0"/>
        <w:autoSpaceDE w:val="0"/>
        <w:autoSpaceDN w:val="0"/>
        <w:adjustRightInd w:val="0"/>
        <w:spacing w:after="0" w:line="240" w:lineRule="auto"/>
        <w:ind w:left="480" w:hanging="480"/>
        <w:jc w:val="both"/>
        <w:rPr>
          <w:rStyle w:val="Hyperlink"/>
          <w:rFonts w:asciiTheme="majorBidi" w:hAnsiTheme="majorBidi" w:cstheme="majorBidi"/>
          <w:noProof/>
          <w:color w:val="auto"/>
          <w:sz w:val="20"/>
          <w:szCs w:val="20"/>
        </w:rPr>
      </w:pPr>
      <w:r w:rsidRPr="00E32653">
        <w:rPr>
          <w:rFonts w:asciiTheme="majorBidi" w:hAnsiTheme="majorBidi" w:cstheme="majorBidi"/>
          <w:noProof/>
          <w:sz w:val="20"/>
          <w:szCs w:val="20"/>
        </w:rPr>
        <w:t xml:space="preserve">Chen, C. X., Pierobon, F., Jones, S., Maples, I., Gong, Y., &amp; Ganguly, I. (2022). Comparative life cycle assessment of mass timber and concrete residential buildings: A case study in China. Sustainability (Switzerland), 14(1). </w:t>
      </w:r>
      <w:hyperlink r:id="rId32" w:history="1">
        <w:r w:rsidRPr="00E32653">
          <w:rPr>
            <w:rStyle w:val="Hyperlink"/>
            <w:rFonts w:asciiTheme="majorBidi" w:hAnsiTheme="majorBidi" w:cstheme="majorBidi"/>
            <w:noProof/>
            <w:color w:val="auto"/>
            <w:sz w:val="20"/>
            <w:szCs w:val="20"/>
          </w:rPr>
          <w:t>https://doi.org/10.3390/su14010144</w:t>
        </w:r>
      </w:hyperlink>
    </w:p>
    <w:p w14:paraId="5782F7A9" w14:textId="77777777" w:rsidR="00FE7AB6" w:rsidRPr="00E32653" w:rsidRDefault="00FE7AB6" w:rsidP="00126E8E">
      <w:pPr>
        <w:spacing w:after="0"/>
        <w:ind w:left="540" w:hanging="540"/>
        <w:jc w:val="both"/>
        <w:rPr>
          <w:rFonts w:asciiTheme="majorBidi" w:hAnsiTheme="majorBidi" w:cstheme="majorBidi"/>
          <w:sz w:val="20"/>
          <w:szCs w:val="20"/>
        </w:rPr>
      </w:pPr>
      <w:r w:rsidRPr="00E32653">
        <w:rPr>
          <w:rFonts w:asciiTheme="majorBidi" w:hAnsiTheme="majorBidi" w:cstheme="majorBidi"/>
          <w:noProof/>
          <w:sz w:val="20"/>
          <w:szCs w:val="20"/>
        </w:rPr>
        <w:t xml:space="preserve">Crawford, R., &amp; Stephan, A. (2019). </w:t>
      </w:r>
      <w:r w:rsidRPr="00E32653">
        <w:rPr>
          <w:rFonts w:asciiTheme="majorBidi" w:hAnsiTheme="majorBidi" w:cstheme="majorBidi"/>
          <w:sz w:val="20"/>
          <w:szCs w:val="20"/>
        </w:rPr>
        <w:t>Environmental Performance in Construction A database of embodied environmental flow coefficients, The University of Melbourne, Melbourne.</w:t>
      </w:r>
    </w:p>
    <w:p w14:paraId="1A4EF70B"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Dixit, M. K. (2017). Life cycle embodied energy analysis of residential buildings: A review of literature to investigate embodied energy parameters. </w:t>
      </w:r>
      <w:r w:rsidRPr="00E32653">
        <w:rPr>
          <w:rFonts w:asciiTheme="majorBidi" w:hAnsiTheme="majorBidi" w:cstheme="majorBidi"/>
          <w:i/>
          <w:iCs/>
          <w:noProof/>
          <w:sz w:val="20"/>
          <w:szCs w:val="20"/>
        </w:rPr>
        <w:t>Renewable and Sustainable Energy Reviews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79</w:t>
      </w:r>
      <w:r w:rsidRPr="00E32653">
        <w:rPr>
          <w:rFonts w:asciiTheme="majorBidi" w:hAnsiTheme="majorBidi" w:cstheme="majorBidi"/>
          <w:noProof/>
          <w:sz w:val="20"/>
          <w:szCs w:val="20"/>
        </w:rPr>
        <w:t>(May), 390–413. https://doi.org/10.1016/j.rser.2017.05.051</w:t>
      </w:r>
    </w:p>
    <w:p w14:paraId="62682FD2" w14:textId="42565A82"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Dodoo, A., Gustavsson, L., &amp; Sathre, R. (2014). Lifecycle carbon implications of conventional and low-energy multi-storey timber building systems. </w:t>
      </w:r>
      <w:r w:rsidRPr="00E32653">
        <w:rPr>
          <w:rFonts w:asciiTheme="majorBidi" w:hAnsiTheme="majorBidi" w:cstheme="majorBidi"/>
          <w:i/>
          <w:iCs/>
          <w:noProof/>
          <w:sz w:val="20"/>
          <w:szCs w:val="20"/>
        </w:rPr>
        <w:t>Energy and Buildings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82</w:t>
      </w:r>
      <w:r w:rsidRPr="00E32653">
        <w:rPr>
          <w:rFonts w:asciiTheme="majorBidi" w:hAnsiTheme="majorBidi" w:cstheme="majorBidi"/>
          <w:noProof/>
          <w:sz w:val="20"/>
          <w:szCs w:val="20"/>
        </w:rPr>
        <w:t>, 194–210. https://doi.org/10.1016/j.enbuild.2014.06.034</w:t>
      </w:r>
    </w:p>
    <w:p w14:paraId="046AAE6E" w14:textId="77777777" w:rsidR="00FE7AB6" w:rsidRPr="00E32653" w:rsidRDefault="00FE7AB6" w:rsidP="00126E8E">
      <w:pPr>
        <w:autoSpaceDE w:val="0"/>
        <w:autoSpaceDN w:val="0"/>
        <w:adjustRightInd w:val="0"/>
        <w:spacing w:after="0" w:line="240" w:lineRule="auto"/>
        <w:ind w:left="540" w:hanging="540"/>
        <w:jc w:val="both"/>
        <w:rPr>
          <w:rFonts w:asciiTheme="majorBidi" w:hAnsiTheme="majorBidi" w:cstheme="majorBidi"/>
          <w:sz w:val="20"/>
          <w:szCs w:val="20"/>
        </w:rPr>
      </w:pPr>
      <w:r w:rsidRPr="00E32653">
        <w:rPr>
          <w:rFonts w:asciiTheme="majorBidi" w:hAnsiTheme="majorBidi" w:cstheme="majorBidi"/>
          <w:sz w:val="20"/>
          <w:szCs w:val="20"/>
        </w:rPr>
        <w:t>Doka G. (2003) Life Cycle Inventories of Waste Treatment Services. ecoinvent report No. 13, Swiss entre for Life Cycle Inventories, Dübendorf, December 2003.</w:t>
      </w:r>
    </w:p>
    <w:p w14:paraId="51FF686D" w14:textId="5261BCDC"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European Committee for Standardization. (2011). UNE-EN 15978:2011 Sustainability of construction works - Assessment of environmental performance of buildings - Calculation method. </w:t>
      </w:r>
      <w:r w:rsidRPr="00E32653">
        <w:rPr>
          <w:rFonts w:asciiTheme="majorBidi" w:hAnsiTheme="majorBidi" w:cstheme="majorBidi"/>
          <w:i/>
          <w:iCs/>
          <w:noProof/>
          <w:sz w:val="20"/>
          <w:szCs w:val="20"/>
        </w:rPr>
        <w:t>International Standard</w:t>
      </w:r>
      <w:r w:rsidRPr="00E32653">
        <w:rPr>
          <w:rFonts w:asciiTheme="majorBidi" w:hAnsiTheme="majorBidi" w:cstheme="majorBidi"/>
          <w:noProof/>
          <w:sz w:val="20"/>
          <w:szCs w:val="20"/>
        </w:rPr>
        <w:t>.</w:t>
      </w:r>
    </w:p>
    <w:p w14:paraId="0A971659" w14:textId="1D4BC209" w:rsidR="00C44B56" w:rsidRPr="00E32653" w:rsidRDefault="00C44B56" w:rsidP="00C44B56">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32653">
        <w:rPr>
          <w:rFonts w:ascii="Times New Roman" w:hAnsi="Times New Roman" w:cs="Times New Roman"/>
          <w:noProof/>
          <w:szCs w:val="24"/>
        </w:rPr>
        <w:t xml:space="preserve">Fanella, D. (2018). Cost Comparison of Cross Laminated Timber (CLT) and Cast-in-place Reinforced Concrete Structures. </w:t>
      </w:r>
      <w:r w:rsidRPr="00E32653">
        <w:rPr>
          <w:rFonts w:ascii="Times New Roman" w:hAnsi="Times New Roman" w:cs="Times New Roman"/>
          <w:i/>
          <w:iCs/>
          <w:noProof/>
          <w:szCs w:val="24"/>
        </w:rPr>
        <w:t>Concrete Reinforcing Steel Institute – CRSI</w:t>
      </w:r>
      <w:r w:rsidRPr="00E32653">
        <w:rPr>
          <w:rFonts w:ascii="Times New Roman" w:hAnsi="Times New Roman" w:cs="Times New Roman"/>
          <w:noProof/>
          <w:szCs w:val="24"/>
        </w:rPr>
        <w:t>, 2–5.</w:t>
      </w:r>
    </w:p>
    <w:p w14:paraId="4E55EEF8" w14:textId="5387D7F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Frischknecht, R., &amp; Rebitzer, G. (2005). The ecoinvent database system: A comprehensive web-based LCA database. </w:t>
      </w:r>
      <w:r w:rsidRPr="00E32653">
        <w:rPr>
          <w:rFonts w:asciiTheme="majorBidi" w:hAnsiTheme="majorBidi" w:cstheme="majorBidi"/>
          <w:i/>
          <w:iCs/>
          <w:noProof/>
          <w:sz w:val="20"/>
          <w:szCs w:val="20"/>
        </w:rPr>
        <w:t>Journal of Cleaner Production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13</w:t>
      </w:r>
      <w:r w:rsidRPr="00E32653">
        <w:rPr>
          <w:rFonts w:asciiTheme="majorBidi" w:hAnsiTheme="majorBidi" w:cstheme="majorBidi"/>
          <w:noProof/>
          <w:sz w:val="20"/>
          <w:szCs w:val="20"/>
        </w:rPr>
        <w:t>(13–14), 1337–1343.</w:t>
      </w:r>
      <w:r w:rsidR="00FE7AB6" w:rsidRPr="00E32653">
        <w:rPr>
          <w:rFonts w:asciiTheme="majorBidi" w:hAnsiTheme="majorBidi" w:cstheme="majorBidi"/>
          <w:noProof/>
          <w:sz w:val="20"/>
          <w:szCs w:val="20"/>
        </w:rPr>
        <w:t xml:space="preserve"> </w:t>
      </w:r>
      <w:r w:rsidRPr="00E32653">
        <w:rPr>
          <w:rFonts w:asciiTheme="majorBidi" w:hAnsiTheme="majorBidi" w:cstheme="majorBidi"/>
          <w:noProof/>
          <w:sz w:val="20"/>
          <w:szCs w:val="20"/>
        </w:rPr>
        <w:t>https://doi.org/10.1016/j.jclepro.2005.05.002</w:t>
      </w:r>
    </w:p>
    <w:p w14:paraId="6C6143B6" w14:textId="08F8563C" w:rsidR="00FE7AB6" w:rsidRPr="00E32653" w:rsidRDefault="00FE7AB6" w:rsidP="005C2C3F">
      <w:pPr>
        <w:spacing w:after="0"/>
        <w:ind w:left="540" w:hanging="540"/>
        <w:jc w:val="both"/>
        <w:rPr>
          <w:rFonts w:asciiTheme="majorBidi" w:hAnsiTheme="majorBidi" w:cstheme="majorBidi"/>
          <w:sz w:val="20"/>
          <w:szCs w:val="20"/>
        </w:rPr>
      </w:pPr>
      <w:r w:rsidRPr="00E32653">
        <w:rPr>
          <w:rFonts w:asciiTheme="majorBidi" w:hAnsiTheme="majorBidi" w:cstheme="majorBidi"/>
          <w:sz w:val="20"/>
          <w:szCs w:val="20"/>
        </w:rPr>
        <w:t>F</w:t>
      </w:r>
      <w:r w:rsidRPr="00E32653">
        <w:rPr>
          <w:rFonts w:asciiTheme="majorBidi" w:hAnsiTheme="majorBidi" w:cstheme="majorBidi"/>
          <w:noProof/>
          <w:sz w:val="20"/>
          <w:szCs w:val="20"/>
        </w:rPr>
        <w:t xml:space="preserve">orterra, Mass Timber: the Innovative Future of Our Built Environment, (2018) </w:t>
      </w:r>
      <w:r w:rsidR="005C2C3F" w:rsidRPr="00E32653">
        <w:t>https://forterra.org/about/who-we-are/</w:t>
      </w:r>
      <w:r w:rsidRPr="00E32653">
        <w:rPr>
          <w:rFonts w:asciiTheme="majorBidi" w:hAnsiTheme="majorBidi" w:cstheme="majorBidi"/>
          <w:sz w:val="20"/>
          <w:szCs w:val="20"/>
        </w:rPr>
        <w:t>.</w:t>
      </w:r>
    </w:p>
    <w:p w14:paraId="51BD83F9"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Gustavsson, L., Joelsson, A., &amp; Sathre, R. (2010). Life cycle primary energy use and carbon emission of an eight-storey wood-framed apartment building. </w:t>
      </w:r>
      <w:r w:rsidRPr="00E32653">
        <w:rPr>
          <w:rFonts w:asciiTheme="majorBidi" w:hAnsiTheme="majorBidi" w:cstheme="majorBidi"/>
          <w:i/>
          <w:iCs/>
          <w:noProof/>
          <w:sz w:val="20"/>
          <w:szCs w:val="20"/>
        </w:rPr>
        <w:t>Energy and Buildings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42</w:t>
      </w:r>
      <w:r w:rsidRPr="00E32653">
        <w:rPr>
          <w:rFonts w:asciiTheme="majorBidi" w:hAnsiTheme="majorBidi" w:cstheme="majorBidi"/>
          <w:noProof/>
          <w:sz w:val="20"/>
          <w:szCs w:val="20"/>
        </w:rPr>
        <w:t>(2), 230–242. https://doi.org/10.1016/j.enbuild.2009.08.018</w:t>
      </w:r>
    </w:p>
    <w:p w14:paraId="6E7CC62A" w14:textId="5907F7CA"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Gustavsson, L., Pingoud, K., &amp; Sathre, R. (2006). Carbon dioxide balance of wood substitution: Comparing concrete- and wood-framed buildings. </w:t>
      </w:r>
      <w:r w:rsidRPr="00E32653">
        <w:rPr>
          <w:rFonts w:asciiTheme="majorBidi" w:hAnsiTheme="majorBidi" w:cstheme="majorBidi"/>
          <w:i/>
          <w:iCs/>
          <w:noProof/>
          <w:sz w:val="20"/>
          <w:szCs w:val="20"/>
        </w:rPr>
        <w:t>Mitigation and Adaptation Strategies for Global Change</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11</w:t>
      </w:r>
      <w:r w:rsidRPr="00E32653">
        <w:rPr>
          <w:rFonts w:asciiTheme="majorBidi" w:hAnsiTheme="majorBidi" w:cstheme="majorBidi"/>
          <w:noProof/>
          <w:sz w:val="20"/>
          <w:szCs w:val="20"/>
        </w:rPr>
        <w:t>(3), 667–691. https://doi.org/10.1007/s11027-006-7207-1</w:t>
      </w:r>
    </w:p>
    <w:p w14:paraId="74938055"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sz w:val="20"/>
          <w:szCs w:val="20"/>
        </w:rPr>
        <w:fldChar w:fldCharType="begin" w:fldLock="1"/>
      </w:r>
      <w:r w:rsidRPr="00E32653">
        <w:rPr>
          <w:rFonts w:asciiTheme="majorBidi" w:hAnsiTheme="majorBidi" w:cstheme="majorBidi"/>
          <w:sz w:val="20"/>
          <w:szCs w:val="20"/>
        </w:rPr>
        <w:instrText xml:space="preserve">ADDIN Mendeley Bibliography CSL_BIBLIOGRAPHY </w:instrText>
      </w:r>
      <w:r w:rsidRPr="00E32653">
        <w:rPr>
          <w:rFonts w:asciiTheme="majorBidi" w:hAnsiTheme="majorBidi" w:cstheme="majorBidi"/>
          <w:sz w:val="20"/>
          <w:szCs w:val="20"/>
        </w:rPr>
        <w:fldChar w:fldCharType="separate"/>
      </w:r>
      <w:r w:rsidRPr="00E32653">
        <w:rPr>
          <w:rFonts w:asciiTheme="majorBidi" w:hAnsiTheme="majorBidi" w:cstheme="majorBidi"/>
          <w:noProof/>
          <w:sz w:val="20"/>
          <w:szCs w:val="20"/>
        </w:rPr>
        <w:t xml:space="preserve">Head, M., Levasseur, A., Beauregard, R., &amp; Margni, M. (2020). Dynamic greenhouse gas life cycle inventory and impact profiles of wood used in Canadian buildings. </w:t>
      </w:r>
      <w:r w:rsidRPr="00E32653">
        <w:rPr>
          <w:rFonts w:asciiTheme="majorBidi" w:hAnsiTheme="majorBidi" w:cstheme="majorBidi"/>
          <w:i/>
          <w:iCs/>
          <w:noProof/>
          <w:sz w:val="20"/>
          <w:szCs w:val="20"/>
        </w:rPr>
        <w:t>Building and Environment</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173</w:t>
      </w:r>
      <w:r w:rsidRPr="00E32653">
        <w:rPr>
          <w:rFonts w:asciiTheme="majorBidi" w:hAnsiTheme="majorBidi" w:cstheme="majorBidi"/>
          <w:noProof/>
          <w:sz w:val="20"/>
          <w:szCs w:val="20"/>
        </w:rPr>
        <w:t>(February), 106751. https://doi.org/10.1016/j.buildenv.2020.106751</w:t>
      </w:r>
    </w:p>
    <w:p w14:paraId="59AF2FF8" w14:textId="77777777" w:rsidR="00FE7AB6" w:rsidRPr="00E32653" w:rsidRDefault="00FE7AB6" w:rsidP="00126E8E">
      <w:pPr>
        <w:widowControl w:val="0"/>
        <w:autoSpaceDE w:val="0"/>
        <w:autoSpaceDN w:val="0"/>
        <w:adjustRightInd w:val="0"/>
        <w:spacing w:after="0" w:line="240" w:lineRule="auto"/>
        <w:ind w:left="450" w:hanging="450"/>
        <w:jc w:val="both"/>
        <w:rPr>
          <w:rFonts w:asciiTheme="majorBidi" w:hAnsiTheme="majorBidi" w:cstheme="majorBidi"/>
          <w:noProof/>
          <w:sz w:val="20"/>
          <w:szCs w:val="20"/>
        </w:rPr>
      </w:pPr>
      <w:r w:rsidRPr="00E32653">
        <w:rPr>
          <w:rFonts w:asciiTheme="majorBidi" w:hAnsiTheme="majorBidi" w:cstheme="majorBidi"/>
          <w:sz w:val="20"/>
          <w:szCs w:val="20"/>
        </w:rPr>
        <w:fldChar w:fldCharType="end"/>
      </w:r>
      <w:r w:rsidRPr="00E32653">
        <w:rPr>
          <w:rFonts w:asciiTheme="majorBidi" w:hAnsiTheme="majorBidi" w:cstheme="majorBidi"/>
          <w:noProof/>
          <w:sz w:val="20"/>
          <w:szCs w:val="20"/>
        </w:rPr>
        <w:t>Hernandez, P., Oregi, X., Longo, S., &amp; Cellura, M. (2019). Life-Cycle Assessment of Buildings. In Handbook of Energy Efficiency in Buildings. Elsevier Inc. https://doi.org/10.1016/B978-0-12-812817-6.00010-3</w:t>
      </w:r>
    </w:p>
    <w:p w14:paraId="43CB29E0"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Henkel, H.-J. K. (2005). Editorial The Revision of ISO Standards 14040 − 3. </w:t>
      </w:r>
      <w:r w:rsidRPr="00E32653">
        <w:rPr>
          <w:rFonts w:asciiTheme="majorBidi" w:hAnsiTheme="majorBidi" w:cstheme="majorBidi"/>
          <w:i/>
          <w:iCs/>
          <w:noProof/>
          <w:sz w:val="20"/>
          <w:szCs w:val="20"/>
        </w:rPr>
        <w:t>International Journal of Life Cycle Assessment</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10</w:t>
      </w:r>
      <w:r w:rsidRPr="00E32653">
        <w:rPr>
          <w:rFonts w:asciiTheme="majorBidi" w:hAnsiTheme="majorBidi" w:cstheme="majorBidi"/>
          <w:noProof/>
          <w:sz w:val="20"/>
          <w:szCs w:val="20"/>
        </w:rPr>
        <w:t>(3), 1.</w:t>
      </w:r>
    </w:p>
    <w:p w14:paraId="64125083"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Hernandez, P., Oregi, X., Longo, S., &amp; Cellura, M. (2019). Life-Cycle Assessment of Buildings. In </w:t>
      </w:r>
      <w:r w:rsidRPr="00E32653">
        <w:rPr>
          <w:rFonts w:asciiTheme="majorBidi" w:hAnsiTheme="majorBidi" w:cstheme="majorBidi"/>
          <w:i/>
          <w:iCs/>
          <w:noProof/>
          <w:sz w:val="20"/>
          <w:szCs w:val="20"/>
        </w:rPr>
        <w:t>Handbook of Energy Efficiency in Buildings</w:t>
      </w:r>
      <w:r w:rsidRPr="00E32653">
        <w:rPr>
          <w:rFonts w:asciiTheme="majorBidi" w:hAnsiTheme="majorBidi" w:cstheme="majorBidi"/>
          <w:noProof/>
          <w:sz w:val="20"/>
          <w:szCs w:val="20"/>
        </w:rPr>
        <w:t>. Elsevier Inc. https://doi.org/10.1016/B978-0-12-812817-6.00010-3</w:t>
      </w:r>
    </w:p>
    <w:p w14:paraId="2DA79F23"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Hill, C. A. S., &amp; Dibdiakova, J. (2016). The environmental impact of wood compared to other building materials. </w:t>
      </w:r>
      <w:r w:rsidRPr="00E32653">
        <w:rPr>
          <w:rFonts w:asciiTheme="majorBidi" w:hAnsiTheme="majorBidi" w:cstheme="majorBidi"/>
          <w:i/>
          <w:iCs/>
          <w:noProof/>
          <w:sz w:val="20"/>
          <w:szCs w:val="20"/>
        </w:rPr>
        <w:t>International Wood Products Journal</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7</w:t>
      </w:r>
      <w:r w:rsidRPr="00E32653">
        <w:rPr>
          <w:rFonts w:asciiTheme="majorBidi" w:hAnsiTheme="majorBidi" w:cstheme="majorBidi"/>
          <w:noProof/>
          <w:sz w:val="20"/>
          <w:szCs w:val="20"/>
        </w:rPr>
        <w:t>(4), 215–219. https://doi.org/10.1080/20426445.2016.1190166</w:t>
      </w:r>
    </w:p>
    <w:p w14:paraId="7B40F363"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Horváth, S. E., &amp; Szalay, Z. (2012). Decision-making case study for retrofit of high-rise concrete buildings based on life cycle assessment scenarios. International Symposium on Life Cycle Assessment and Construction July 10-12, Nantes, France 1, 116–124.</w:t>
      </w:r>
    </w:p>
    <w:p w14:paraId="57BA057C"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Ip, K., &amp; Miller, A. (2012). Life cycle greenhouse gas emissions of hemp-lime wall constructions in the UK. </w:t>
      </w:r>
      <w:r w:rsidRPr="00E32653">
        <w:rPr>
          <w:rFonts w:asciiTheme="majorBidi" w:hAnsiTheme="majorBidi" w:cstheme="majorBidi"/>
          <w:i/>
          <w:iCs/>
          <w:noProof/>
          <w:sz w:val="20"/>
          <w:szCs w:val="20"/>
        </w:rPr>
        <w:t>Resources, Conservation and Recycling</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69</w:t>
      </w:r>
      <w:r w:rsidRPr="00E32653">
        <w:rPr>
          <w:rFonts w:asciiTheme="majorBidi" w:hAnsiTheme="majorBidi" w:cstheme="majorBidi"/>
          <w:noProof/>
          <w:sz w:val="20"/>
          <w:szCs w:val="20"/>
        </w:rPr>
        <w:t>, 1–9. https://doi.org/10.1016/j.resconrec.2012.09.001</w:t>
      </w:r>
    </w:p>
    <w:p w14:paraId="16714A14" w14:textId="48FE4E0F"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Jayalath, A., Navaratnam, S., Ngo, T., Mendis, P., Hewson, N., &amp; Aye, L. (2020). Life cycle performance of Cross Laminated Timber mid-rise residential buildings in Australia. </w:t>
      </w:r>
      <w:r w:rsidRPr="00E32653">
        <w:rPr>
          <w:rFonts w:asciiTheme="majorBidi" w:hAnsiTheme="majorBidi" w:cstheme="majorBidi"/>
          <w:i/>
          <w:iCs/>
          <w:noProof/>
          <w:sz w:val="20"/>
          <w:szCs w:val="20"/>
        </w:rPr>
        <w:t>Energy and Buildings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223</w:t>
      </w:r>
      <w:r w:rsidRPr="00E32653">
        <w:rPr>
          <w:rFonts w:asciiTheme="majorBidi" w:hAnsiTheme="majorBidi" w:cstheme="majorBidi"/>
          <w:noProof/>
          <w:sz w:val="20"/>
          <w:szCs w:val="20"/>
        </w:rPr>
        <w:t>, 110091. https://doi.org/10.1016/j.enbuild.2020.110091</w:t>
      </w:r>
    </w:p>
    <w:p w14:paraId="0AAB5700" w14:textId="77777777" w:rsidR="00FE7AB6" w:rsidRPr="00E32653" w:rsidRDefault="00FE7AB6" w:rsidP="00126E8E">
      <w:pPr>
        <w:spacing w:after="0"/>
        <w:ind w:left="540" w:hanging="540"/>
        <w:jc w:val="both"/>
        <w:rPr>
          <w:rFonts w:asciiTheme="majorBidi" w:hAnsiTheme="majorBidi" w:cstheme="majorBidi"/>
          <w:sz w:val="20"/>
          <w:szCs w:val="20"/>
        </w:rPr>
      </w:pPr>
      <w:r w:rsidRPr="00E32653">
        <w:rPr>
          <w:rFonts w:asciiTheme="majorBidi" w:hAnsiTheme="majorBidi" w:cstheme="majorBidi"/>
          <w:sz w:val="20"/>
          <w:szCs w:val="20"/>
        </w:rPr>
        <w:t xml:space="preserve">JUBM &amp; Arcadis Construction Cost Handbook, MALAYSIA (2021), JUBM Sdn Bhd 197601001824 (27638-X). </w:t>
      </w:r>
    </w:p>
    <w:p w14:paraId="1333A78D" w14:textId="10677B54"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Kremer, P. D., &amp; Symmons, M. A. (2015). Mass timber construction as an alternative to concrete and steel in the Australia building industry: A PESTEL evaluation of the potential. </w:t>
      </w:r>
      <w:r w:rsidRPr="00E32653">
        <w:rPr>
          <w:rFonts w:asciiTheme="majorBidi" w:hAnsiTheme="majorBidi" w:cstheme="majorBidi"/>
          <w:i/>
          <w:iCs/>
          <w:noProof/>
          <w:sz w:val="20"/>
          <w:szCs w:val="20"/>
        </w:rPr>
        <w:t>International Wood Products Journal</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6</w:t>
      </w:r>
      <w:r w:rsidRPr="00E32653">
        <w:rPr>
          <w:rFonts w:asciiTheme="majorBidi" w:hAnsiTheme="majorBidi" w:cstheme="majorBidi"/>
          <w:noProof/>
          <w:sz w:val="20"/>
          <w:szCs w:val="20"/>
        </w:rPr>
        <w:t>(3), 138–147. https://doi.org/10.1179/2042645315Y.0000000010</w:t>
      </w:r>
    </w:p>
    <w:p w14:paraId="0F0EE64E" w14:textId="77777777" w:rsidR="005B2926" w:rsidRPr="00E32653" w:rsidRDefault="005B2926" w:rsidP="005B2926">
      <w:pPr>
        <w:widowControl w:val="0"/>
        <w:autoSpaceDE w:val="0"/>
        <w:autoSpaceDN w:val="0"/>
        <w:adjustRightInd w:val="0"/>
        <w:spacing w:after="0" w:line="240" w:lineRule="auto"/>
        <w:ind w:left="480" w:hanging="480"/>
        <w:rPr>
          <w:rFonts w:asciiTheme="majorBidi" w:hAnsiTheme="majorBidi" w:cstheme="majorBidi"/>
          <w:noProof/>
          <w:sz w:val="20"/>
          <w:szCs w:val="20"/>
        </w:rPr>
      </w:pPr>
      <w:r w:rsidRPr="00E32653">
        <w:rPr>
          <w:rFonts w:asciiTheme="majorBidi" w:hAnsiTheme="majorBidi" w:cstheme="majorBidi"/>
          <w:sz w:val="20"/>
          <w:szCs w:val="20"/>
        </w:rPr>
        <w:fldChar w:fldCharType="begin" w:fldLock="1"/>
      </w:r>
      <w:r w:rsidRPr="00E32653">
        <w:rPr>
          <w:rFonts w:asciiTheme="majorBidi" w:hAnsiTheme="majorBidi" w:cstheme="majorBidi"/>
          <w:sz w:val="20"/>
          <w:szCs w:val="20"/>
        </w:rPr>
        <w:instrText xml:space="preserve">ADDIN Mendeley Bibliography CSL_BIBLIOGRAPHY </w:instrText>
      </w:r>
      <w:r w:rsidRPr="00E32653">
        <w:rPr>
          <w:rFonts w:asciiTheme="majorBidi" w:hAnsiTheme="majorBidi" w:cstheme="majorBidi"/>
          <w:sz w:val="20"/>
          <w:szCs w:val="20"/>
        </w:rPr>
        <w:fldChar w:fldCharType="separate"/>
      </w:r>
      <w:r w:rsidRPr="00E32653">
        <w:rPr>
          <w:rFonts w:asciiTheme="majorBidi" w:hAnsiTheme="majorBidi" w:cstheme="majorBidi"/>
          <w:noProof/>
          <w:sz w:val="20"/>
          <w:szCs w:val="20"/>
        </w:rPr>
        <w:t xml:space="preserve">Konnerth, J., Kluge, M., Schweizer, G., Miljković, M., &amp; Gindl-Altmutter, W. (2016). Survey of selected adhesive bonding properties of nine European softwood and hardwood species. </w:t>
      </w:r>
      <w:r w:rsidRPr="00E32653">
        <w:rPr>
          <w:rFonts w:asciiTheme="majorBidi" w:hAnsiTheme="majorBidi" w:cstheme="majorBidi"/>
          <w:i/>
          <w:iCs/>
          <w:noProof/>
          <w:sz w:val="20"/>
          <w:szCs w:val="20"/>
        </w:rPr>
        <w:t>European Journal of Wood and Wood Products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74</w:t>
      </w:r>
      <w:r w:rsidRPr="00E32653">
        <w:rPr>
          <w:rFonts w:asciiTheme="majorBidi" w:hAnsiTheme="majorBidi" w:cstheme="majorBidi"/>
          <w:noProof/>
          <w:sz w:val="20"/>
          <w:szCs w:val="20"/>
        </w:rPr>
        <w:t>(6), 809–819. https://doi.org/10.1007/s00107-016-1087-1</w:t>
      </w:r>
    </w:p>
    <w:p w14:paraId="0D5833EE" w14:textId="23CD1462" w:rsidR="00FE7AB6" w:rsidRPr="00E32653" w:rsidRDefault="005B2926" w:rsidP="00063190">
      <w:pPr>
        <w:widowControl w:val="0"/>
        <w:autoSpaceDE w:val="0"/>
        <w:autoSpaceDN w:val="0"/>
        <w:adjustRightInd w:val="0"/>
        <w:spacing w:after="0" w:line="240" w:lineRule="auto"/>
        <w:ind w:left="540" w:hanging="540"/>
        <w:jc w:val="both"/>
        <w:rPr>
          <w:rFonts w:asciiTheme="majorBidi" w:hAnsiTheme="majorBidi" w:cstheme="majorBidi"/>
          <w:noProof/>
          <w:sz w:val="20"/>
          <w:szCs w:val="20"/>
        </w:rPr>
      </w:pPr>
      <w:r w:rsidRPr="00E32653">
        <w:rPr>
          <w:rFonts w:asciiTheme="majorBidi" w:hAnsiTheme="majorBidi" w:cstheme="majorBidi"/>
          <w:sz w:val="20"/>
          <w:szCs w:val="20"/>
        </w:rPr>
        <w:fldChar w:fldCharType="end"/>
      </w:r>
      <w:r w:rsidR="001F4D5A" w:rsidRPr="00E32653">
        <w:rPr>
          <w:rFonts w:asciiTheme="majorBidi" w:hAnsiTheme="majorBidi" w:cstheme="majorBidi"/>
          <w:noProof/>
          <w:sz w:val="20"/>
          <w:szCs w:val="20"/>
        </w:rPr>
        <w:t xml:space="preserve">Laguarda Mallo, M. F., &amp; Espinoza, O. (2015). Awareness, perceptions and willingness to adopt Cross-Laminated Timber by the architecture community in the United States. </w:t>
      </w:r>
      <w:r w:rsidR="001F4D5A" w:rsidRPr="00E32653">
        <w:rPr>
          <w:rFonts w:asciiTheme="majorBidi" w:hAnsiTheme="majorBidi" w:cstheme="majorBidi"/>
          <w:i/>
          <w:iCs/>
          <w:noProof/>
          <w:sz w:val="20"/>
          <w:szCs w:val="20"/>
        </w:rPr>
        <w:t>Journal of Cleaner Production</w:t>
      </w:r>
      <w:r w:rsidR="001F4D5A" w:rsidRPr="00E32653">
        <w:rPr>
          <w:rFonts w:asciiTheme="majorBidi" w:hAnsiTheme="majorBidi" w:cstheme="majorBidi"/>
          <w:noProof/>
          <w:sz w:val="20"/>
          <w:szCs w:val="20"/>
        </w:rPr>
        <w:t xml:space="preserve">, </w:t>
      </w:r>
      <w:r w:rsidR="001F4D5A" w:rsidRPr="00E32653">
        <w:rPr>
          <w:rFonts w:asciiTheme="majorBidi" w:hAnsiTheme="majorBidi" w:cstheme="majorBidi"/>
          <w:i/>
          <w:iCs/>
          <w:noProof/>
          <w:sz w:val="20"/>
          <w:szCs w:val="20"/>
        </w:rPr>
        <w:t>94</w:t>
      </w:r>
      <w:r w:rsidR="001F4D5A" w:rsidRPr="00E32653">
        <w:rPr>
          <w:rFonts w:asciiTheme="majorBidi" w:hAnsiTheme="majorBidi" w:cstheme="majorBidi"/>
          <w:noProof/>
          <w:sz w:val="20"/>
          <w:szCs w:val="20"/>
        </w:rPr>
        <w:t>, 198–210. https://doi.org/</w:t>
      </w:r>
      <w:r w:rsidR="00A178A4" w:rsidRPr="00E32653">
        <w:rPr>
          <w:rFonts w:asciiTheme="majorBidi" w:hAnsiTheme="majorBidi" w:cstheme="majorBidi"/>
          <w:noProof/>
          <w:sz w:val="20"/>
          <w:szCs w:val="20"/>
        </w:rPr>
        <w:t>10.1016/j.jclepro.2015.01.090</w:t>
      </w:r>
      <w:r w:rsidR="00FE7AB6" w:rsidRPr="00E32653">
        <w:rPr>
          <w:rFonts w:asciiTheme="majorBidi" w:hAnsiTheme="majorBidi" w:cstheme="majorBidi"/>
          <w:noProof/>
          <w:sz w:val="20"/>
          <w:szCs w:val="20"/>
        </w:rPr>
        <w:fldChar w:fldCharType="begin" w:fldLock="1"/>
      </w:r>
      <w:r w:rsidR="00FE7AB6" w:rsidRPr="00E32653">
        <w:rPr>
          <w:rFonts w:asciiTheme="majorBidi" w:hAnsiTheme="majorBidi" w:cstheme="majorBidi"/>
          <w:noProof/>
          <w:sz w:val="20"/>
          <w:szCs w:val="20"/>
        </w:rPr>
        <w:instrText xml:space="preserve">ADDIN Mendeley Bibliography CSL_BIBLIOGRAPHY </w:instrText>
      </w:r>
      <w:r w:rsidR="00FE7AB6" w:rsidRPr="00E32653">
        <w:rPr>
          <w:rFonts w:asciiTheme="majorBidi" w:hAnsiTheme="majorBidi" w:cstheme="majorBidi"/>
          <w:noProof/>
          <w:sz w:val="20"/>
          <w:szCs w:val="20"/>
        </w:rPr>
        <w:fldChar w:fldCharType="separate"/>
      </w:r>
    </w:p>
    <w:p w14:paraId="51867970" w14:textId="77777777" w:rsidR="002959B7" w:rsidRPr="00E32653" w:rsidRDefault="002959B7" w:rsidP="002959B7">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E32653">
        <w:rPr>
          <w:rFonts w:ascii="Times New Roman" w:hAnsi="Times New Roman" w:cs="Times New Roman"/>
          <w:noProof/>
          <w:szCs w:val="24"/>
        </w:rPr>
        <w:t xml:space="preserve">Liu, Y., Guo, H., Sun, C., &amp; Chang, W. S. (2016). Assessing cross laminated timber (CLT) as an alternative </w:t>
      </w:r>
      <w:r w:rsidRPr="00E32653">
        <w:rPr>
          <w:rFonts w:ascii="Times New Roman" w:hAnsi="Times New Roman" w:cs="Times New Roman"/>
          <w:noProof/>
          <w:szCs w:val="24"/>
        </w:rPr>
        <w:lastRenderedPageBreak/>
        <w:t xml:space="preserve">material for mid-rise residential buildings in cold regions in China-A life-cycle assessment approach. </w:t>
      </w:r>
      <w:r w:rsidRPr="00E32653">
        <w:rPr>
          <w:rFonts w:ascii="Times New Roman" w:hAnsi="Times New Roman" w:cs="Times New Roman"/>
          <w:i/>
          <w:iCs/>
          <w:noProof/>
          <w:szCs w:val="24"/>
        </w:rPr>
        <w:t>Sustainability (Switzerland)</w:t>
      </w:r>
      <w:r w:rsidRPr="00E32653">
        <w:rPr>
          <w:rFonts w:ascii="Times New Roman" w:hAnsi="Times New Roman" w:cs="Times New Roman"/>
          <w:noProof/>
          <w:szCs w:val="24"/>
        </w:rPr>
        <w:t xml:space="preserve">, </w:t>
      </w:r>
      <w:r w:rsidRPr="00E32653">
        <w:rPr>
          <w:rFonts w:ascii="Times New Roman" w:hAnsi="Times New Roman" w:cs="Times New Roman"/>
          <w:i/>
          <w:iCs/>
          <w:noProof/>
          <w:szCs w:val="24"/>
        </w:rPr>
        <w:t>8</w:t>
      </w:r>
      <w:r w:rsidRPr="00E32653">
        <w:rPr>
          <w:rFonts w:ascii="Times New Roman" w:hAnsi="Times New Roman" w:cs="Times New Roman"/>
          <w:noProof/>
          <w:szCs w:val="24"/>
        </w:rPr>
        <w:t xml:space="preserve">(10). </w:t>
      </w:r>
      <w:hyperlink r:id="rId33" w:history="1">
        <w:r w:rsidRPr="00E32653">
          <w:rPr>
            <w:rStyle w:val="Hyperlink"/>
            <w:rFonts w:ascii="Times New Roman" w:hAnsi="Times New Roman" w:cs="Times New Roman"/>
            <w:noProof/>
            <w:color w:val="auto"/>
            <w:szCs w:val="24"/>
          </w:rPr>
          <w:t>https://doi.org/10.3390/su8101047</w:t>
        </w:r>
      </w:hyperlink>
    </w:p>
    <w:p w14:paraId="2EED91AF" w14:textId="77777777" w:rsidR="002959B7" w:rsidRPr="00E32653" w:rsidRDefault="002959B7" w:rsidP="002959B7">
      <w:pPr>
        <w:widowControl w:val="0"/>
        <w:autoSpaceDE w:val="0"/>
        <w:autoSpaceDN w:val="0"/>
        <w:adjustRightInd w:val="0"/>
        <w:spacing w:after="0" w:line="240" w:lineRule="auto"/>
        <w:ind w:left="480" w:hanging="480"/>
        <w:rPr>
          <w:rFonts w:ascii="Times New Roman" w:hAnsi="Times New Roman" w:cs="Times New Roman"/>
          <w:noProof/>
        </w:rPr>
      </w:pPr>
      <w:r w:rsidRPr="00E32653">
        <w:fldChar w:fldCharType="begin" w:fldLock="1"/>
      </w:r>
      <w:r w:rsidRPr="00E32653">
        <w:instrText xml:space="preserve">ADDIN Mendeley Bibliography CSL_BIBLIOGRAPHY </w:instrText>
      </w:r>
      <w:r w:rsidRPr="00E32653">
        <w:fldChar w:fldCharType="separate"/>
      </w:r>
      <w:r w:rsidRPr="00E32653">
        <w:rPr>
          <w:rFonts w:ascii="Times New Roman" w:hAnsi="Times New Roman" w:cs="Times New Roman"/>
          <w:noProof/>
          <w:szCs w:val="24"/>
        </w:rPr>
        <w:t xml:space="preserve">Luthin, A., Backes, J. G., &amp; Traverso, M. (2021). A framework to identify environmental-economic trade-offs by combining life cycle assessment and life cycle costing – A case study of aluminium production. </w:t>
      </w:r>
      <w:r w:rsidRPr="00E32653">
        <w:rPr>
          <w:rFonts w:ascii="Times New Roman" w:hAnsi="Times New Roman" w:cs="Times New Roman"/>
          <w:i/>
          <w:iCs/>
          <w:noProof/>
          <w:szCs w:val="24"/>
        </w:rPr>
        <w:t>Journal of Cleaner Production</w:t>
      </w:r>
      <w:r w:rsidRPr="00E32653">
        <w:rPr>
          <w:rFonts w:ascii="Times New Roman" w:hAnsi="Times New Roman" w:cs="Times New Roman"/>
          <w:noProof/>
          <w:szCs w:val="24"/>
        </w:rPr>
        <w:t xml:space="preserve">, </w:t>
      </w:r>
      <w:r w:rsidRPr="00E32653">
        <w:rPr>
          <w:rFonts w:ascii="Times New Roman" w:hAnsi="Times New Roman" w:cs="Times New Roman"/>
          <w:i/>
          <w:iCs/>
          <w:noProof/>
          <w:szCs w:val="24"/>
        </w:rPr>
        <w:t>321</w:t>
      </w:r>
      <w:r w:rsidRPr="00E32653">
        <w:rPr>
          <w:rFonts w:ascii="Times New Roman" w:hAnsi="Times New Roman" w:cs="Times New Roman"/>
          <w:noProof/>
          <w:szCs w:val="24"/>
        </w:rPr>
        <w:t>(June), 128902. https://doi.org/10.1016/j.jclepro.2021.128902</w:t>
      </w:r>
    </w:p>
    <w:p w14:paraId="54BC596F" w14:textId="24607C0B" w:rsidR="001F4D5A" w:rsidRPr="00E32653" w:rsidRDefault="002959B7" w:rsidP="002959B7">
      <w:pPr>
        <w:widowControl w:val="0"/>
        <w:autoSpaceDE w:val="0"/>
        <w:autoSpaceDN w:val="0"/>
        <w:adjustRightInd w:val="0"/>
        <w:spacing w:line="240" w:lineRule="auto"/>
        <w:jc w:val="both"/>
        <w:rPr>
          <w:rFonts w:asciiTheme="majorBidi" w:hAnsiTheme="majorBidi" w:cstheme="majorBidi"/>
          <w:noProof/>
          <w:sz w:val="20"/>
          <w:szCs w:val="20"/>
        </w:rPr>
      </w:pPr>
      <w:r w:rsidRPr="00E32653">
        <w:fldChar w:fldCharType="end"/>
      </w:r>
      <w:r w:rsidR="00FE7AB6" w:rsidRPr="00E32653">
        <w:rPr>
          <w:rFonts w:asciiTheme="majorBidi" w:hAnsiTheme="majorBidi" w:cstheme="majorBidi"/>
          <w:noProof/>
          <w:sz w:val="20"/>
          <w:szCs w:val="20"/>
        </w:rPr>
        <w:fldChar w:fldCharType="end"/>
      </w:r>
      <w:r w:rsidR="001F4D5A" w:rsidRPr="00E32653">
        <w:rPr>
          <w:rFonts w:asciiTheme="majorBidi" w:hAnsiTheme="majorBidi" w:cstheme="majorBidi"/>
          <w:noProof/>
          <w:sz w:val="20"/>
          <w:szCs w:val="20"/>
        </w:rPr>
        <w:t>Lu, H. R., El Hanandeh, A., &amp; Gilbert, B. P. (2017</w:t>
      </w:r>
      <w:r w:rsidR="008A17CE" w:rsidRPr="00E32653">
        <w:rPr>
          <w:rFonts w:asciiTheme="majorBidi" w:hAnsiTheme="majorBidi" w:cstheme="majorBidi"/>
          <w:noProof/>
          <w:sz w:val="20"/>
          <w:szCs w:val="20"/>
        </w:rPr>
        <w:t>b</w:t>
      </w:r>
      <w:r w:rsidR="001F4D5A" w:rsidRPr="00E32653">
        <w:rPr>
          <w:rFonts w:asciiTheme="majorBidi" w:hAnsiTheme="majorBidi" w:cstheme="majorBidi"/>
          <w:noProof/>
          <w:sz w:val="20"/>
          <w:szCs w:val="20"/>
        </w:rPr>
        <w:t xml:space="preserve">). A comparative life cycle study of alternative materials for Australian multi-storey apartment building frame constructions: Environmental and economic perspective. </w:t>
      </w:r>
      <w:r w:rsidR="001F4D5A" w:rsidRPr="00E32653">
        <w:rPr>
          <w:rFonts w:asciiTheme="majorBidi" w:hAnsiTheme="majorBidi" w:cstheme="majorBidi"/>
          <w:i/>
          <w:iCs/>
          <w:noProof/>
          <w:sz w:val="20"/>
          <w:szCs w:val="20"/>
        </w:rPr>
        <w:t>Journal of Cleaner Production</w:t>
      </w:r>
      <w:r w:rsidR="001F4D5A" w:rsidRPr="00E32653">
        <w:rPr>
          <w:rFonts w:asciiTheme="majorBidi" w:hAnsiTheme="majorBidi" w:cstheme="majorBidi"/>
          <w:noProof/>
          <w:sz w:val="20"/>
          <w:szCs w:val="20"/>
        </w:rPr>
        <w:t xml:space="preserve">, </w:t>
      </w:r>
      <w:r w:rsidR="001F4D5A" w:rsidRPr="00E32653">
        <w:rPr>
          <w:rFonts w:asciiTheme="majorBidi" w:hAnsiTheme="majorBidi" w:cstheme="majorBidi"/>
          <w:i/>
          <w:iCs/>
          <w:noProof/>
          <w:sz w:val="20"/>
          <w:szCs w:val="20"/>
        </w:rPr>
        <w:t>166</w:t>
      </w:r>
      <w:r w:rsidR="001F4D5A" w:rsidRPr="00E32653">
        <w:rPr>
          <w:rFonts w:asciiTheme="majorBidi" w:hAnsiTheme="majorBidi" w:cstheme="majorBidi"/>
          <w:noProof/>
          <w:sz w:val="20"/>
          <w:szCs w:val="20"/>
        </w:rPr>
        <w:t>, 458–473. https://doi.org/10.1016/j.jclepro.2017.08.065</w:t>
      </w:r>
    </w:p>
    <w:p w14:paraId="75892391"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Lu, H. R., &amp; El Hanandeh, A. (2019). Energy conversion vs structural products: A novel multi-objective multi-period linear optimisation with application to the Australian hardwood plantation thinned logs. </w:t>
      </w:r>
      <w:r w:rsidRPr="00E32653">
        <w:rPr>
          <w:rFonts w:asciiTheme="majorBidi" w:hAnsiTheme="majorBidi" w:cstheme="majorBidi"/>
          <w:i/>
          <w:iCs/>
          <w:noProof/>
          <w:sz w:val="20"/>
          <w:szCs w:val="20"/>
        </w:rPr>
        <w:t>Journal of Cleaner Production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224</w:t>
      </w:r>
      <w:r w:rsidRPr="00E32653">
        <w:rPr>
          <w:rFonts w:asciiTheme="majorBidi" w:hAnsiTheme="majorBidi" w:cstheme="majorBidi"/>
          <w:noProof/>
          <w:sz w:val="20"/>
          <w:szCs w:val="20"/>
        </w:rPr>
        <w:t xml:space="preserve">, 614–625. </w:t>
      </w:r>
      <w:hyperlink r:id="rId34" w:history="1">
        <w:r w:rsidRPr="00E32653">
          <w:rPr>
            <w:rStyle w:val="Hyperlink"/>
            <w:rFonts w:asciiTheme="majorBidi" w:hAnsiTheme="majorBidi" w:cstheme="majorBidi"/>
            <w:noProof/>
            <w:color w:val="auto"/>
            <w:sz w:val="20"/>
            <w:szCs w:val="20"/>
          </w:rPr>
          <w:t>https://doi.org/10.1016/j.jclepro.2019.03.222</w:t>
        </w:r>
      </w:hyperlink>
    </w:p>
    <w:p w14:paraId="419B45B1" w14:textId="141FE8D2" w:rsidR="00FE7AB6" w:rsidRPr="00E32653" w:rsidRDefault="00FE7AB6" w:rsidP="00126E8E">
      <w:pPr>
        <w:widowControl w:val="0"/>
        <w:autoSpaceDE w:val="0"/>
        <w:autoSpaceDN w:val="0"/>
        <w:adjustRightInd w:val="0"/>
        <w:spacing w:after="0" w:line="240" w:lineRule="auto"/>
        <w:ind w:left="480" w:hanging="480"/>
        <w:jc w:val="both"/>
        <w:rPr>
          <w:rStyle w:val="Hyperlink"/>
          <w:rFonts w:asciiTheme="majorBidi" w:hAnsiTheme="majorBidi" w:cstheme="majorBidi"/>
          <w:noProof/>
          <w:color w:val="auto"/>
          <w:sz w:val="20"/>
          <w:szCs w:val="20"/>
        </w:rPr>
      </w:pPr>
      <w:r w:rsidRPr="00E32653">
        <w:rPr>
          <w:rFonts w:asciiTheme="majorBidi" w:hAnsiTheme="majorBidi" w:cstheme="majorBidi"/>
          <w:noProof/>
          <w:sz w:val="20"/>
          <w:szCs w:val="20"/>
        </w:rPr>
        <w:t xml:space="preserve">Lu, H. R., El Hanandeh, A., Gilbert, B., &amp; Bailleres, H. (2017a). A comparative life cycle assessment (LCA) of alternative material for Australian building construction. </w:t>
      </w:r>
      <w:r w:rsidRPr="00E32653">
        <w:rPr>
          <w:rFonts w:asciiTheme="majorBidi" w:hAnsiTheme="majorBidi" w:cstheme="majorBidi"/>
          <w:i/>
          <w:iCs/>
          <w:noProof/>
          <w:sz w:val="20"/>
          <w:szCs w:val="20"/>
        </w:rPr>
        <w:t>MATEC Web of Conferences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120</w:t>
      </w:r>
      <w:r w:rsidRPr="00E32653">
        <w:rPr>
          <w:rFonts w:asciiTheme="majorBidi" w:hAnsiTheme="majorBidi" w:cstheme="majorBidi"/>
          <w:noProof/>
          <w:sz w:val="20"/>
          <w:szCs w:val="20"/>
        </w:rPr>
        <w:t xml:space="preserve">, 1–9. </w:t>
      </w:r>
      <w:hyperlink r:id="rId35" w:history="1">
        <w:r w:rsidRPr="00E32653">
          <w:rPr>
            <w:rStyle w:val="Hyperlink"/>
            <w:rFonts w:asciiTheme="majorBidi" w:hAnsiTheme="majorBidi" w:cstheme="majorBidi"/>
            <w:noProof/>
            <w:color w:val="auto"/>
            <w:sz w:val="20"/>
            <w:szCs w:val="20"/>
          </w:rPr>
          <w:t>https://doi.org/10.1051/matecconf/201712002013</w:t>
        </w:r>
      </w:hyperlink>
    </w:p>
    <w:p w14:paraId="13A3C52C" w14:textId="77777777" w:rsidR="00FE7AB6" w:rsidRPr="00E32653" w:rsidRDefault="00FE7AB6" w:rsidP="00126E8E">
      <w:pPr>
        <w:spacing w:after="0"/>
        <w:ind w:left="450" w:hanging="450"/>
        <w:jc w:val="both"/>
        <w:rPr>
          <w:rFonts w:asciiTheme="majorBidi" w:hAnsiTheme="majorBidi" w:cstheme="majorBidi"/>
          <w:noProof/>
          <w:sz w:val="20"/>
          <w:szCs w:val="20"/>
        </w:rPr>
      </w:pPr>
      <w:r w:rsidRPr="00E32653">
        <w:rPr>
          <w:rFonts w:asciiTheme="majorBidi" w:hAnsiTheme="majorBidi" w:cstheme="majorBidi"/>
          <w:noProof/>
          <w:sz w:val="20"/>
          <w:szCs w:val="20"/>
        </w:rPr>
        <w:t>Mallo, M.F.L., Espinoza, O., 2015. Awareness, perceptions and willingness to adopt cross-laminated timber by the architecture community in the United States. J. Clean. Prod. 94, 198e210.</w:t>
      </w:r>
    </w:p>
    <w:p w14:paraId="50C55591"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Malça, J., &amp; Freire, F. (2006). Renewability and life-cycle energy efficiency of bioethanol and bio-ethyl tertiary butyl ether (bioETBE): Assessing the implications of allocation. </w:t>
      </w:r>
      <w:r w:rsidRPr="00E32653">
        <w:rPr>
          <w:rFonts w:asciiTheme="majorBidi" w:hAnsiTheme="majorBidi" w:cstheme="majorBidi"/>
          <w:i/>
          <w:iCs/>
          <w:noProof/>
          <w:sz w:val="20"/>
          <w:szCs w:val="20"/>
        </w:rPr>
        <w:t>Energy</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31</w:t>
      </w:r>
      <w:r w:rsidRPr="00E32653">
        <w:rPr>
          <w:rFonts w:asciiTheme="majorBidi" w:hAnsiTheme="majorBidi" w:cstheme="majorBidi"/>
          <w:noProof/>
          <w:sz w:val="20"/>
          <w:szCs w:val="20"/>
        </w:rPr>
        <w:t>(15), 3362–3380. https://doi.org/10.1016/j.energy.2006.03.013</w:t>
      </w:r>
    </w:p>
    <w:p w14:paraId="3D708EB1" w14:textId="398EB240"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Members, B. (2020). </w:t>
      </w:r>
      <w:r w:rsidRPr="00E32653">
        <w:rPr>
          <w:rFonts w:asciiTheme="majorBidi" w:hAnsiTheme="majorBidi" w:cstheme="majorBidi"/>
          <w:i/>
          <w:iCs/>
          <w:noProof/>
          <w:sz w:val="20"/>
          <w:szCs w:val="20"/>
        </w:rPr>
        <w:t>Decking Selection Tables Com Commercial Grade</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February</w:t>
      </w:r>
      <w:r w:rsidRPr="00E32653">
        <w:rPr>
          <w:rFonts w:asciiTheme="majorBidi" w:hAnsiTheme="majorBidi" w:cstheme="majorBidi"/>
          <w:noProof/>
          <w:sz w:val="20"/>
          <w:szCs w:val="20"/>
        </w:rPr>
        <w:t>.</w:t>
      </w:r>
    </w:p>
    <w:p w14:paraId="221EEF2C"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Ortiz, O., Castells, F., &amp; Sonnemann, G. (2009). Sustainability in the construction industry: A review of recent developments based on LCA. </w:t>
      </w:r>
      <w:r w:rsidRPr="00E32653">
        <w:rPr>
          <w:rFonts w:asciiTheme="majorBidi" w:hAnsiTheme="majorBidi" w:cstheme="majorBidi"/>
          <w:i/>
          <w:iCs/>
          <w:noProof/>
          <w:sz w:val="20"/>
          <w:szCs w:val="20"/>
        </w:rPr>
        <w:t>Construction and Building Materials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23</w:t>
      </w:r>
      <w:r w:rsidRPr="00E32653">
        <w:rPr>
          <w:rFonts w:asciiTheme="majorBidi" w:hAnsiTheme="majorBidi" w:cstheme="majorBidi"/>
          <w:noProof/>
          <w:sz w:val="20"/>
          <w:szCs w:val="20"/>
        </w:rPr>
        <w:t>(1), 28–39. https://doi.org/10.1016/j.conbuildmat.2007.11.012</w:t>
      </w:r>
    </w:p>
    <w:p w14:paraId="17CA40C8"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Peñaloza, D., Norén, J., &amp; Eriksson, P. (2013). </w:t>
      </w:r>
      <w:r w:rsidRPr="00E32653">
        <w:rPr>
          <w:rFonts w:asciiTheme="majorBidi" w:hAnsiTheme="majorBidi" w:cstheme="majorBidi"/>
          <w:i/>
          <w:iCs/>
          <w:noProof/>
          <w:sz w:val="20"/>
          <w:szCs w:val="20"/>
        </w:rPr>
        <w:t>Life cycle assessment of different building systems: The Wälludden case study</w:t>
      </w:r>
      <w:r w:rsidRPr="00E32653">
        <w:rPr>
          <w:rFonts w:asciiTheme="majorBidi" w:hAnsiTheme="majorBidi" w:cstheme="majorBidi"/>
          <w:noProof/>
          <w:sz w:val="20"/>
          <w:szCs w:val="20"/>
        </w:rPr>
        <w:t>. http://www.diva-portal.org/smash/get/diva2:962737/FULLTEXT01.pdf</w:t>
      </w:r>
    </w:p>
    <w:p w14:paraId="4523EB4F" w14:textId="7352BED2"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Pierobon, F., Huang, M., Simonen, K., &amp; Ganguly, I. (2019). Environmental benefits of using hybrid CLT structure in midrise non-residential construction: An LCA based comparative case study in the U.S. Pacific Northwest. </w:t>
      </w:r>
      <w:r w:rsidRPr="00E32653">
        <w:rPr>
          <w:rFonts w:asciiTheme="majorBidi" w:hAnsiTheme="majorBidi" w:cstheme="majorBidi"/>
          <w:i/>
          <w:iCs/>
          <w:noProof/>
          <w:sz w:val="20"/>
          <w:szCs w:val="20"/>
        </w:rPr>
        <w:t>Journal of Building Engineering</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26</w:t>
      </w:r>
      <w:r w:rsidRPr="00E32653">
        <w:rPr>
          <w:rFonts w:asciiTheme="majorBidi" w:hAnsiTheme="majorBidi" w:cstheme="majorBidi"/>
          <w:noProof/>
          <w:sz w:val="20"/>
          <w:szCs w:val="20"/>
        </w:rPr>
        <w:t>(July). https://doi.org/10.1016/j.jobe.2019.100862</w:t>
      </w:r>
    </w:p>
    <w:p w14:paraId="684858D2" w14:textId="77777777" w:rsidR="00FE7AB6" w:rsidRPr="00E32653" w:rsidRDefault="00FE7AB6" w:rsidP="00126E8E">
      <w:pPr>
        <w:spacing w:after="0" w:line="240" w:lineRule="auto"/>
        <w:ind w:left="540" w:hanging="540"/>
        <w:jc w:val="both"/>
        <w:rPr>
          <w:rFonts w:asciiTheme="majorBidi" w:hAnsiTheme="majorBidi" w:cstheme="majorBidi"/>
          <w:noProof/>
          <w:sz w:val="20"/>
          <w:szCs w:val="20"/>
        </w:rPr>
      </w:pPr>
      <w:r w:rsidRPr="00E32653">
        <w:rPr>
          <w:rFonts w:asciiTheme="majorBidi" w:hAnsiTheme="majorBidi" w:cstheme="majorBidi"/>
          <w:noProof/>
          <w:sz w:val="20"/>
          <w:szCs w:val="20"/>
        </w:rPr>
        <w:t>PRé. SimaPro LCA software Ver 7.2.3. PRé Consultants. Printerweg 18, 3821 AD Amersfoort, The Netherlands; 2010.</w:t>
      </w:r>
    </w:p>
    <w:p w14:paraId="66D25570"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fldChar w:fldCharType="begin" w:fldLock="1"/>
      </w:r>
      <w:r w:rsidRPr="00E32653">
        <w:rPr>
          <w:rFonts w:asciiTheme="majorBidi" w:hAnsiTheme="majorBidi" w:cstheme="majorBidi"/>
          <w:noProof/>
          <w:sz w:val="20"/>
          <w:szCs w:val="20"/>
        </w:rPr>
        <w:instrText xml:space="preserve">ADDIN Mendeley Bibliography CSL_BIBLIOGRAPHY </w:instrText>
      </w:r>
      <w:r w:rsidRPr="00E32653">
        <w:rPr>
          <w:rFonts w:asciiTheme="majorBidi" w:hAnsiTheme="majorBidi" w:cstheme="majorBidi"/>
          <w:noProof/>
          <w:sz w:val="20"/>
          <w:szCs w:val="20"/>
        </w:rPr>
        <w:fldChar w:fldCharType="separate"/>
      </w:r>
      <w:r w:rsidRPr="00E32653">
        <w:rPr>
          <w:rFonts w:asciiTheme="majorBidi" w:hAnsiTheme="majorBidi" w:cstheme="majorBidi"/>
          <w:noProof/>
          <w:sz w:val="20"/>
          <w:szCs w:val="20"/>
        </w:rPr>
        <w:t>Ramage, M. H., Burridge, H., Busse-Wicher, M., Fereday, G., Reynolds, T., Shah, D. U., Wu, G., Yu, L., Fleming, P., Densley-Tingley, D., Allwood, J., Dupree, P., Linden, P. F., &amp; Scherman, O. (2017). The wood from the trees: The use of timber in construction. Renewable and Sustainable Energy Reviews, 68(September 2016), 333–359. https://doi.org/10.1016/j.rser.2016.09.107</w:t>
      </w:r>
    </w:p>
    <w:p w14:paraId="3EB580C6" w14:textId="2330596F" w:rsidR="001F4D5A"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fldChar w:fldCharType="end"/>
      </w:r>
      <w:r w:rsidR="001F4D5A" w:rsidRPr="00E32653">
        <w:rPr>
          <w:rFonts w:asciiTheme="majorBidi" w:hAnsiTheme="majorBidi" w:cstheme="majorBidi"/>
          <w:noProof/>
          <w:sz w:val="20"/>
          <w:szCs w:val="20"/>
        </w:rPr>
        <w:t xml:space="preserve">Rashid, A. F. A., Idris, J., &amp; Yusoff, S. (2017). Environmental impact analysis on residential building in Malaysia using life cycle assessment. </w:t>
      </w:r>
      <w:r w:rsidR="001F4D5A" w:rsidRPr="00E32653">
        <w:rPr>
          <w:rFonts w:asciiTheme="majorBidi" w:hAnsiTheme="majorBidi" w:cstheme="majorBidi"/>
          <w:i/>
          <w:iCs/>
          <w:noProof/>
          <w:sz w:val="20"/>
          <w:szCs w:val="20"/>
        </w:rPr>
        <w:t>Sustainability (Switzerland)</w:t>
      </w:r>
      <w:r w:rsidR="001F4D5A" w:rsidRPr="00E32653">
        <w:rPr>
          <w:rFonts w:asciiTheme="majorBidi" w:hAnsiTheme="majorBidi" w:cstheme="majorBidi"/>
          <w:noProof/>
          <w:sz w:val="20"/>
          <w:szCs w:val="20"/>
        </w:rPr>
        <w:t xml:space="preserve">, </w:t>
      </w:r>
      <w:r w:rsidR="001F4D5A" w:rsidRPr="00E32653">
        <w:rPr>
          <w:rFonts w:asciiTheme="majorBidi" w:hAnsiTheme="majorBidi" w:cstheme="majorBidi"/>
          <w:i/>
          <w:iCs/>
          <w:noProof/>
          <w:sz w:val="20"/>
          <w:szCs w:val="20"/>
        </w:rPr>
        <w:t>9</w:t>
      </w:r>
      <w:r w:rsidR="001F4D5A" w:rsidRPr="00E32653">
        <w:rPr>
          <w:rFonts w:asciiTheme="majorBidi" w:hAnsiTheme="majorBidi" w:cstheme="majorBidi"/>
          <w:noProof/>
          <w:sz w:val="20"/>
          <w:szCs w:val="20"/>
        </w:rPr>
        <w:t>(3). https://doi.org/10.3390/su9030329</w:t>
      </w:r>
    </w:p>
    <w:p w14:paraId="5419F608"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Risse, M., Weber-Blaschke, G., &amp; Richter, K. (2019). Eco-efficiency analysis of recycling recovered solid wood from construction into laminated timber products. </w:t>
      </w:r>
      <w:r w:rsidRPr="00E32653">
        <w:rPr>
          <w:rFonts w:asciiTheme="majorBidi" w:hAnsiTheme="majorBidi" w:cstheme="majorBidi"/>
          <w:i/>
          <w:iCs/>
          <w:noProof/>
          <w:sz w:val="20"/>
          <w:szCs w:val="20"/>
        </w:rPr>
        <w:t>Science of the Total Environment</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661</w:t>
      </w:r>
      <w:r w:rsidRPr="00E32653">
        <w:rPr>
          <w:rFonts w:asciiTheme="majorBidi" w:hAnsiTheme="majorBidi" w:cstheme="majorBidi"/>
          <w:noProof/>
          <w:sz w:val="20"/>
          <w:szCs w:val="20"/>
        </w:rPr>
        <w:t>, 107–119. https://doi.org/10.1016/j.scitotenv.2019.01.117</w:t>
      </w:r>
    </w:p>
    <w:p w14:paraId="03008367"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Robertson, A. B., Lam, F. C. F., &amp; Cole, R. J. (2012). </w:t>
      </w:r>
      <w:r w:rsidRPr="00E32653">
        <w:rPr>
          <w:rFonts w:asciiTheme="majorBidi" w:hAnsiTheme="majorBidi" w:cstheme="majorBidi"/>
          <w:i/>
          <w:iCs/>
          <w:noProof/>
          <w:sz w:val="20"/>
          <w:szCs w:val="20"/>
        </w:rPr>
        <w:t>A Comparative Cradle-to-Gate Life Cycle Assessment of Mid-Rise Office Building Construction Alternatives: Laminated Timber or Reinforced Concrete</w:t>
      </w:r>
      <w:r w:rsidRPr="00E32653">
        <w:rPr>
          <w:rFonts w:asciiTheme="majorBidi" w:hAnsiTheme="majorBidi" w:cstheme="majorBidi"/>
          <w:noProof/>
          <w:sz w:val="20"/>
          <w:szCs w:val="20"/>
        </w:rPr>
        <w:t>. 245–270. https://doi.org/10.3390/buildings2030245</w:t>
      </w:r>
    </w:p>
    <w:p w14:paraId="45BDA883"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Scheepens, A. E., Vogtländer, J. G., &amp; Brezet, J. C. (2016). Two life cycle assessment (LCA) based methods to analyse and design complex (regional) circular economy systems. Case: Making water tourism more sustainable. </w:t>
      </w:r>
      <w:r w:rsidRPr="00E32653">
        <w:rPr>
          <w:rFonts w:asciiTheme="majorBidi" w:hAnsiTheme="majorBidi" w:cstheme="majorBidi"/>
          <w:i/>
          <w:iCs/>
          <w:noProof/>
          <w:sz w:val="20"/>
          <w:szCs w:val="20"/>
        </w:rPr>
        <w:t>Journal of Cleaner Production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114</w:t>
      </w:r>
      <w:r w:rsidRPr="00E32653">
        <w:rPr>
          <w:rFonts w:asciiTheme="majorBidi" w:hAnsiTheme="majorBidi" w:cstheme="majorBidi"/>
          <w:noProof/>
          <w:sz w:val="20"/>
          <w:szCs w:val="20"/>
        </w:rPr>
        <w:t>, 257–268. https://doi.org/10.1016/j.jclepro.2015.05.075</w:t>
      </w:r>
    </w:p>
    <w:p w14:paraId="17F675DF"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Taffese, W. Z., &amp; Abegaz, K. A. (2019). Embodied energy and CO2 emissions of widely used building materials: The Ethiopian context. </w:t>
      </w:r>
      <w:r w:rsidRPr="00E32653">
        <w:rPr>
          <w:rFonts w:asciiTheme="majorBidi" w:hAnsiTheme="majorBidi" w:cstheme="majorBidi"/>
          <w:i/>
          <w:iCs/>
          <w:noProof/>
          <w:sz w:val="20"/>
          <w:szCs w:val="20"/>
        </w:rPr>
        <w:t>Buildings</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9</w:t>
      </w:r>
      <w:r w:rsidRPr="00E32653">
        <w:rPr>
          <w:rFonts w:asciiTheme="majorBidi" w:hAnsiTheme="majorBidi" w:cstheme="majorBidi"/>
          <w:noProof/>
          <w:sz w:val="20"/>
          <w:szCs w:val="20"/>
        </w:rPr>
        <w:t>(6), 1–15. https://doi.org/10.3390/BUILDINGS9060136</w:t>
      </w:r>
    </w:p>
    <w:p w14:paraId="6514B30B"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Tavares, V., Lacerda, N., &amp; Freire, F. (2019). Embodied energy and greenhouse gas emissions analysis of a prefabricated modular house: The “Moby” case study. </w:t>
      </w:r>
      <w:r w:rsidRPr="00E32653">
        <w:rPr>
          <w:rFonts w:asciiTheme="majorBidi" w:hAnsiTheme="majorBidi" w:cstheme="majorBidi"/>
          <w:i/>
          <w:iCs/>
          <w:noProof/>
          <w:sz w:val="20"/>
          <w:szCs w:val="20"/>
        </w:rPr>
        <w:t>Journal of Cleaner Production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212</w:t>
      </w:r>
      <w:r w:rsidRPr="00E32653">
        <w:rPr>
          <w:rFonts w:asciiTheme="majorBidi" w:hAnsiTheme="majorBidi" w:cstheme="majorBidi"/>
          <w:noProof/>
          <w:sz w:val="20"/>
          <w:szCs w:val="20"/>
        </w:rPr>
        <w:t>, 1044–1053. https://doi.org/10.1016/j.jclepro.2018.12.028</w:t>
      </w:r>
    </w:p>
    <w:p w14:paraId="66258E53" w14:textId="75E56D0F"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Tellnes, L. G. F., &amp; Eide, S. (2006). Assessment of carbon footprint of laminated veneer lumber elements in a six story housing – comparison to a steel and concrete solution. </w:t>
      </w:r>
      <w:r w:rsidRPr="00E32653">
        <w:rPr>
          <w:rFonts w:asciiTheme="majorBidi" w:hAnsiTheme="majorBidi" w:cstheme="majorBidi"/>
          <w:i/>
          <w:iCs/>
          <w:noProof/>
          <w:sz w:val="20"/>
          <w:szCs w:val="20"/>
        </w:rPr>
        <w:t>LCA of Sustainable Materials and Technologies Beam</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2006</w:t>
      </w:r>
      <w:r w:rsidRPr="00E32653">
        <w:rPr>
          <w:rFonts w:asciiTheme="majorBidi" w:hAnsiTheme="majorBidi" w:cstheme="majorBidi"/>
          <w:noProof/>
          <w:sz w:val="20"/>
          <w:szCs w:val="20"/>
        </w:rPr>
        <w:t>, 817–824.</w:t>
      </w:r>
    </w:p>
    <w:p w14:paraId="6B79D187" w14:textId="77777777" w:rsidR="00FE7AB6"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lastRenderedPageBreak/>
        <w:fldChar w:fldCharType="begin" w:fldLock="1"/>
      </w:r>
      <w:r w:rsidRPr="00E32653">
        <w:rPr>
          <w:rFonts w:asciiTheme="majorBidi" w:hAnsiTheme="majorBidi" w:cstheme="majorBidi"/>
          <w:noProof/>
          <w:sz w:val="20"/>
          <w:szCs w:val="20"/>
        </w:rPr>
        <w:instrText xml:space="preserve">ADDIN Mendeley Bibliography CSL_BIBLIOGRAPHY </w:instrText>
      </w:r>
      <w:r w:rsidRPr="00E32653">
        <w:rPr>
          <w:rFonts w:asciiTheme="majorBidi" w:hAnsiTheme="majorBidi" w:cstheme="majorBidi"/>
          <w:noProof/>
          <w:sz w:val="20"/>
          <w:szCs w:val="20"/>
        </w:rPr>
        <w:fldChar w:fldCharType="separate"/>
      </w:r>
      <w:r w:rsidRPr="00E32653">
        <w:rPr>
          <w:rFonts w:asciiTheme="majorBidi" w:hAnsiTheme="majorBidi" w:cstheme="majorBidi"/>
          <w:noProof/>
          <w:sz w:val="20"/>
          <w:szCs w:val="20"/>
        </w:rPr>
        <w:t>Teh, S. H., Wiedmann, T., Schinabeck, J., &amp; Moore, S. (2017). Replacement Scenarios for Construction Materials Based on Economy-wide Hybrid LCA. Procedia Engineering, 180, 179–189. https://doi.org/10.1016/j.proeng.2017.04.177</w:t>
      </w:r>
    </w:p>
    <w:p w14:paraId="49D2047B" w14:textId="262752EE" w:rsidR="001F4D5A" w:rsidRPr="00E32653" w:rsidRDefault="00FE7AB6"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fldChar w:fldCharType="end"/>
      </w:r>
      <w:r w:rsidR="001F4D5A" w:rsidRPr="00E32653">
        <w:rPr>
          <w:rFonts w:asciiTheme="majorBidi" w:hAnsiTheme="majorBidi" w:cstheme="majorBidi"/>
          <w:noProof/>
          <w:sz w:val="20"/>
          <w:szCs w:val="20"/>
        </w:rPr>
        <w:t xml:space="preserve">Turskis, Z., Zavadskas, E. K., &amp; Peldschus, F. (2009). Multi-criteria optimization system for decision making in construction design and management. </w:t>
      </w:r>
      <w:r w:rsidR="001F4D5A" w:rsidRPr="00E32653">
        <w:rPr>
          <w:rFonts w:asciiTheme="majorBidi" w:hAnsiTheme="majorBidi" w:cstheme="majorBidi"/>
          <w:i/>
          <w:iCs/>
          <w:noProof/>
          <w:sz w:val="20"/>
          <w:szCs w:val="20"/>
        </w:rPr>
        <w:t>Engineering Economics</w:t>
      </w:r>
      <w:r w:rsidR="001F4D5A" w:rsidRPr="00E32653">
        <w:rPr>
          <w:rFonts w:asciiTheme="majorBidi" w:hAnsiTheme="majorBidi" w:cstheme="majorBidi"/>
          <w:noProof/>
          <w:sz w:val="20"/>
          <w:szCs w:val="20"/>
        </w:rPr>
        <w:t xml:space="preserve">, </w:t>
      </w:r>
      <w:r w:rsidR="001F4D5A" w:rsidRPr="00E32653">
        <w:rPr>
          <w:rFonts w:asciiTheme="majorBidi" w:hAnsiTheme="majorBidi" w:cstheme="majorBidi"/>
          <w:i/>
          <w:iCs/>
          <w:noProof/>
          <w:sz w:val="20"/>
          <w:szCs w:val="20"/>
        </w:rPr>
        <w:t>1</w:t>
      </w:r>
      <w:r w:rsidR="001F4D5A" w:rsidRPr="00E32653">
        <w:rPr>
          <w:rFonts w:asciiTheme="majorBidi" w:hAnsiTheme="majorBidi" w:cstheme="majorBidi"/>
          <w:noProof/>
          <w:sz w:val="20"/>
          <w:szCs w:val="20"/>
        </w:rPr>
        <w:t>(61), 7–17. https://doi.org/10.5755/j01.ee.61.1.11571</w:t>
      </w:r>
    </w:p>
    <w:p w14:paraId="1902C5F7"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Wang, L., Toppinen, A., &amp; Juslin, H. (2014). Use of wood in green building: A study of expert perspectives from the UK. </w:t>
      </w:r>
      <w:r w:rsidRPr="00E32653">
        <w:rPr>
          <w:rFonts w:asciiTheme="majorBidi" w:hAnsiTheme="majorBidi" w:cstheme="majorBidi"/>
          <w:i/>
          <w:iCs/>
          <w:noProof/>
          <w:sz w:val="20"/>
          <w:szCs w:val="20"/>
        </w:rPr>
        <w:t>Journal of Cleaner Production</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65</w:t>
      </w:r>
      <w:r w:rsidRPr="00E32653">
        <w:rPr>
          <w:rFonts w:asciiTheme="majorBidi" w:hAnsiTheme="majorBidi" w:cstheme="majorBidi"/>
          <w:noProof/>
          <w:sz w:val="20"/>
          <w:szCs w:val="20"/>
        </w:rPr>
        <w:t>, 350–361. https://doi.org/10.1016/j.jclepro.2013.08.023</w:t>
      </w:r>
    </w:p>
    <w:p w14:paraId="1A71620F" w14:textId="77777777" w:rsidR="001F4D5A" w:rsidRPr="00E32653" w:rsidRDefault="001F4D5A" w:rsidP="00126E8E">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E32653">
        <w:rPr>
          <w:rFonts w:asciiTheme="majorBidi" w:hAnsiTheme="majorBidi" w:cstheme="majorBidi"/>
          <w:noProof/>
          <w:sz w:val="20"/>
          <w:szCs w:val="20"/>
        </w:rPr>
        <w:t xml:space="preserve">Zavadskas, E. K., Turskis, Z., Antucheviciene, J., &amp; Zakarevicius, A. (2012). Optimization of weighted aggregated sum product assessment. </w:t>
      </w:r>
      <w:r w:rsidRPr="00E32653">
        <w:rPr>
          <w:rFonts w:asciiTheme="majorBidi" w:hAnsiTheme="majorBidi" w:cstheme="majorBidi"/>
          <w:i/>
          <w:iCs/>
          <w:noProof/>
          <w:sz w:val="20"/>
          <w:szCs w:val="20"/>
        </w:rPr>
        <w:t>Elektronika Ir Elektrotechnika</w:t>
      </w:r>
      <w:r w:rsidRPr="00E32653">
        <w:rPr>
          <w:rFonts w:asciiTheme="majorBidi" w:hAnsiTheme="majorBidi" w:cstheme="majorBidi"/>
          <w:noProof/>
          <w:sz w:val="20"/>
          <w:szCs w:val="20"/>
        </w:rPr>
        <w:t xml:space="preserve">, </w:t>
      </w:r>
      <w:r w:rsidRPr="00E32653">
        <w:rPr>
          <w:rFonts w:asciiTheme="majorBidi" w:hAnsiTheme="majorBidi" w:cstheme="majorBidi"/>
          <w:i/>
          <w:iCs/>
          <w:noProof/>
          <w:sz w:val="20"/>
          <w:szCs w:val="20"/>
        </w:rPr>
        <w:t>122</w:t>
      </w:r>
      <w:r w:rsidRPr="00E32653">
        <w:rPr>
          <w:rFonts w:asciiTheme="majorBidi" w:hAnsiTheme="majorBidi" w:cstheme="majorBidi"/>
          <w:noProof/>
          <w:sz w:val="20"/>
          <w:szCs w:val="20"/>
        </w:rPr>
        <w:t>(6), 3–6. https://doi.org/10.5755/j01.eee.122.6.1810</w:t>
      </w:r>
    </w:p>
    <w:p w14:paraId="49017ABB" w14:textId="52F274BD" w:rsidR="002959B7" w:rsidRPr="00E32653" w:rsidRDefault="00E6313B" w:rsidP="00C44B56">
      <w:pPr>
        <w:spacing w:after="0" w:line="276" w:lineRule="auto"/>
        <w:ind w:left="540" w:hanging="540"/>
        <w:jc w:val="both"/>
        <w:rPr>
          <w:rFonts w:asciiTheme="majorBidi" w:hAnsiTheme="majorBidi" w:cstheme="majorBidi"/>
          <w:noProof/>
          <w:sz w:val="20"/>
          <w:szCs w:val="20"/>
        </w:rPr>
      </w:pPr>
      <w:r w:rsidRPr="00E32653">
        <w:rPr>
          <w:rFonts w:asciiTheme="majorBidi" w:hAnsiTheme="majorBidi" w:cstheme="majorBidi"/>
          <w:b/>
          <w:bCs/>
          <w:sz w:val="20"/>
          <w:szCs w:val="20"/>
        </w:rPr>
        <w:fldChar w:fldCharType="end"/>
      </w:r>
      <w:r w:rsidR="00FE7AB6" w:rsidRPr="00E32653">
        <w:rPr>
          <w:rFonts w:asciiTheme="majorBidi" w:hAnsiTheme="majorBidi" w:cstheme="majorBidi"/>
          <w:noProof/>
          <w:sz w:val="20"/>
          <w:szCs w:val="20"/>
        </w:rPr>
        <w:t>Zhang, X. Carbon Emissions Measurement Methods and Comparative Studies on Green Building Structural System. Master’s Thesis, Harbin Institute of Technology, Harbin, China, 2014.</w:t>
      </w:r>
    </w:p>
    <w:p w14:paraId="27553A50" w14:textId="1CE88915" w:rsidR="005C2C3F" w:rsidRPr="00E32653" w:rsidRDefault="00CC4914" w:rsidP="005C2C3F">
      <w:pPr>
        <w:widowControl w:val="0"/>
        <w:autoSpaceDE w:val="0"/>
        <w:autoSpaceDN w:val="0"/>
        <w:adjustRightInd w:val="0"/>
        <w:spacing w:line="240" w:lineRule="auto"/>
        <w:ind w:left="480" w:hanging="480"/>
        <w:rPr>
          <w:rFonts w:ascii="Times New Roman" w:hAnsi="Times New Roman" w:cs="Times New Roman"/>
          <w:noProof/>
          <w:szCs w:val="24"/>
        </w:rPr>
      </w:pPr>
      <w:r w:rsidRPr="00E32653">
        <w:rPr>
          <w:rFonts w:ascii="Times New Roman" w:hAnsi="Times New Roman" w:cs="Times New Roman"/>
          <w:noProof/>
          <w:szCs w:val="24"/>
        </w:rPr>
        <w:t xml:space="preserve">Zhang, C., Lee, G., &amp; Lam, F. (2018). </w:t>
      </w:r>
      <w:r w:rsidRPr="00E32653">
        <w:rPr>
          <w:rFonts w:ascii="Times New Roman" w:hAnsi="Times New Roman" w:cs="Times New Roman"/>
          <w:i/>
          <w:iCs/>
          <w:noProof/>
          <w:szCs w:val="24"/>
        </w:rPr>
        <w:t>Study of Massive Timber Walls base</w:t>
      </w:r>
      <w:r w:rsidR="005C2C3F" w:rsidRPr="00E32653">
        <w:rPr>
          <w:rFonts w:ascii="Times New Roman" w:hAnsi="Times New Roman" w:cs="Times New Roman"/>
          <w:i/>
          <w:iCs/>
          <w:noProof/>
          <w:szCs w:val="24"/>
        </w:rPr>
        <w:t xml:space="preserve">d on NLT and Post Laminated LVL, </w:t>
      </w:r>
      <w:r w:rsidR="005C2C3F" w:rsidRPr="00E32653">
        <w:rPr>
          <w:rFonts w:ascii="Times New Roman" w:hAnsi="Times New Roman" w:cs="Times New Roman"/>
          <w:noProof/>
          <w:szCs w:val="24"/>
        </w:rPr>
        <w:t>Forestry Innovation Investment 1130 W Pender St, Vancouver BC V6E 4A4 T,</w:t>
      </w:r>
      <w:r w:rsidR="005C2C3F" w:rsidRPr="00E32653">
        <w:rPr>
          <w:rFonts w:ascii="Times New Roman" w:hAnsi="Times New Roman" w:cs="Times New Roman"/>
          <w:i/>
          <w:iCs/>
          <w:noProof/>
          <w:szCs w:val="24"/>
        </w:rPr>
        <w:t xml:space="preserve"> 604</w:t>
      </w:r>
      <w:r w:rsidR="005C2C3F" w:rsidRPr="00E32653">
        <w:rPr>
          <w:rFonts w:ascii="Times New Roman" w:hAnsi="Times New Roman" w:cs="Times New Roman"/>
          <w:noProof/>
          <w:szCs w:val="24"/>
        </w:rPr>
        <w:t>, 1–35.</w:t>
      </w:r>
    </w:p>
    <w:p w14:paraId="7CFE2201" w14:textId="108343E6" w:rsidR="00A454DF" w:rsidRPr="00E32653" w:rsidRDefault="00A454DF" w:rsidP="00A454DF">
      <w:pPr>
        <w:widowControl w:val="0"/>
        <w:autoSpaceDE w:val="0"/>
        <w:autoSpaceDN w:val="0"/>
        <w:adjustRightInd w:val="0"/>
        <w:spacing w:line="240" w:lineRule="auto"/>
        <w:ind w:left="480" w:hanging="480"/>
        <w:rPr>
          <w:rFonts w:ascii="Times New Roman" w:hAnsi="Times New Roman" w:cs="Times New Roman"/>
          <w:noProof/>
        </w:rPr>
      </w:pPr>
    </w:p>
    <w:p w14:paraId="725EB410" w14:textId="30C73DDB" w:rsidR="00C37814" w:rsidRPr="00E32653" w:rsidRDefault="00C37814" w:rsidP="00126E8E">
      <w:pPr>
        <w:spacing w:after="0" w:line="276" w:lineRule="auto"/>
        <w:jc w:val="both"/>
        <w:rPr>
          <w:rFonts w:asciiTheme="majorBidi" w:hAnsiTheme="majorBidi" w:cstheme="majorBidi"/>
          <w:noProof/>
          <w:sz w:val="20"/>
          <w:szCs w:val="20"/>
        </w:rPr>
      </w:pPr>
    </w:p>
    <w:p w14:paraId="669CC722" w14:textId="77777777" w:rsidR="00C37814" w:rsidRPr="00E32653" w:rsidRDefault="00C37814" w:rsidP="00126E8E">
      <w:pPr>
        <w:spacing w:after="0" w:line="276" w:lineRule="auto"/>
        <w:jc w:val="both"/>
        <w:rPr>
          <w:rFonts w:asciiTheme="majorBidi" w:hAnsiTheme="majorBidi" w:cstheme="majorBidi"/>
          <w:noProof/>
          <w:sz w:val="20"/>
          <w:szCs w:val="20"/>
        </w:rPr>
      </w:pPr>
    </w:p>
    <w:p w14:paraId="439ABEC7" w14:textId="77777777" w:rsidR="007D6886" w:rsidRPr="00E32653" w:rsidRDefault="007D6886" w:rsidP="00ED6B30">
      <w:pPr>
        <w:spacing w:after="0" w:line="276" w:lineRule="auto"/>
        <w:ind w:left="180"/>
        <w:jc w:val="both"/>
        <w:rPr>
          <w:rFonts w:asciiTheme="majorBidi" w:hAnsiTheme="majorBidi" w:cstheme="majorBidi"/>
          <w:b/>
          <w:bCs/>
          <w:sz w:val="20"/>
          <w:szCs w:val="20"/>
          <w:shd w:val="clear" w:color="auto" w:fill="FFFFFF"/>
        </w:rPr>
      </w:pPr>
      <w:r w:rsidRPr="00E32653">
        <w:rPr>
          <w:rFonts w:asciiTheme="majorBidi" w:hAnsiTheme="majorBidi" w:cstheme="majorBidi"/>
          <w:b/>
          <w:bCs/>
          <w:sz w:val="20"/>
          <w:szCs w:val="20"/>
          <w:shd w:val="clear" w:color="auto" w:fill="FFFFFF"/>
        </w:rPr>
        <w:t>Appendix 1</w:t>
      </w:r>
    </w:p>
    <w:tbl>
      <w:tblPr>
        <w:tblW w:w="0" w:type="auto"/>
        <w:tblLook w:val="04A0" w:firstRow="1" w:lastRow="0" w:firstColumn="1" w:lastColumn="0" w:noHBand="0" w:noVBand="1"/>
      </w:tblPr>
      <w:tblGrid>
        <w:gridCol w:w="1477"/>
        <w:gridCol w:w="711"/>
        <w:gridCol w:w="711"/>
        <w:gridCol w:w="711"/>
        <w:gridCol w:w="711"/>
        <w:gridCol w:w="711"/>
        <w:gridCol w:w="711"/>
        <w:gridCol w:w="711"/>
        <w:gridCol w:w="711"/>
      </w:tblGrid>
      <w:tr w:rsidR="00E32653" w:rsidRPr="00E32653" w14:paraId="2EC2889D" w14:textId="77777777" w:rsidTr="00ED6B3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295B0C9" w14:textId="77777777" w:rsidR="007D6886" w:rsidRPr="00E32653" w:rsidRDefault="007D6886" w:rsidP="00C110BC">
            <w:pPr>
              <w:spacing w:after="0"/>
              <w:jc w:val="center"/>
              <w:rPr>
                <w:rFonts w:asciiTheme="majorBidi" w:hAnsiTheme="majorBidi" w:cstheme="majorBidi"/>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3ABD659"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GWP</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524B1189"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HT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4ECA29E"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FD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52745D1"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OD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EAE222A"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TE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29618ACA"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LU</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E161FA8"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EE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1C93351" w14:textId="77777777" w:rsidR="007D6886" w:rsidRPr="00E32653" w:rsidRDefault="007D6886" w:rsidP="00C110BC">
            <w:pPr>
              <w:spacing w:after="0"/>
              <w:jc w:val="center"/>
              <w:rPr>
                <w:rFonts w:asciiTheme="majorBidi" w:hAnsiTheme="majorBidi" w:cstheme="majorBidi"/>
                <w:b/>
                <w:bCs/>
                <w:sz w:val="18"/>
                <w:szCs w:val="18"/>
              </w:rPr>
            </w:pPr>
            <w:r w:rsidRPr="00E32653">
              <w:rPr>
                <w:rFonts w:asciiTheme="majorBidi" w:hAnsiTheme="majorBidi" w:cstheme="majorBidi"/>
                <w:b/>
                <w:bCs/>
                <w:sz w:val="18"/>
                <w:szCs w:val="18"/>
              </w:rPr>
              <w:t>COST</w:t>
            </w:r>
          </w:p>
        </w:tc>
      </w:tr>
      <w:tr w:rsidR="00E32653" w:rsidRPr="00E32653" w14:paraId="184876A9"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tcPr>
          <w:p w14:paraId="77FFAEDF" w14:textId="5B8709B2" w:rsidR="004C7FB6" w:rsidRPr="00E32653" w:rsidRDefault="004C7FB6" w:rsidP="004C7FB6">
            <w:pPr>
              <w:spacing w:after="0"/>
              <w:rPr>
                <w:rFonts w:asciiTheme="majorBidi" w:hAnsiTheme="majorBidi" w:cstheme="majorBidi"/>
                <w:sz w:val="18"/>
                <w:szCs w:val="18"/>
              </w:rPr>
            </w:pPr>
            <w:r w:rsidRPr="00E32653">
              <w:rPr>
                <w:rFonts w:asciiTheme="majorBidi" w:eastAsia="Times New Roman" w:hAnsiTheme="majorBidi" w:cstheme="majorBidi"/>
                <w:b/>
                <w:bCs/>
                <w:sz w:val="18"/>
                <w:szCs w:val="18"/>
              </w:rPr>
              <w:t>GLT-Hardwood</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26E497E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0.7027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A51CC4"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0.9905</w:t>
            </w:r>
          </w:p>
        </w:tc>
        <w:tc>
          <w:tcPr>
            <w:tcW w:w="0" w:type="auto"/>
            <w:tcBorders>
              <w:top w:val="nil"/>
              <w:left w:val="nil"/>
              <w:bottom w:val="single" w:sz="4" w:space="0" w:color="auto"/>
              <w:right w:val="single" w:sz="4" w:space="0" w:color="auto"/>
            </w:tcBorders>
            <w:shd w:val="clear" w:color="000000" w:fill="FFFFFF"/>
            <w:noWrap/>
            <w:vAlign w:val="center"/>
            <w:hideMark/>
          </w:tcPr>
          <w:p w14:paraId="1B4D517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0.9985</w:t>
            </w:r>
          </w:p>
        </w:tc>
        <w:tc>
          <w:tcPr>
            <w:tcW w:w="0" w:type="auto"/>
            <w:tcBorders>
              <w:top w:val="nil"/>
              <w:left w:val="nil"/>
              <w:bottom w:val="single" w:sz="4" w:space="0" w:color="auto"/>
              <w:right w:val="single" w:sz="4" w:space="0" w:color="auto"/>
            </w:tcBorders>
            <w:shd w:val="clear" w:color="000000" w:fill="FFFFFF"/>
            <w:noWrap/>
            <w:vAlign w:val="center"/>
            <w:hideMark/>
          </w:tcPr>
          <w:p w14:paraId="003BEA6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0.6160</w:t>
            </w:r>
          </w:p>
        </w:tc>
        <w:tc>
          <w:tcPr>
            <w:tcW w:w="0" w:type="auto"/>
            <w:tcBorders>
              <w:top w:val="nil"/>
              <w:left w:val="nil"/>
              <w:bottom w:val="single" w:sz="4" w:space="0" w:color="auto"/>
              <w:right w:val="single" w:sz="4" w:space="0" w:color="auto"/>
            </w:tcBorders>
            <w:shd w:val="clear" w:color="000000" w:fill="FFFFFF"/>
            <w:noWrap/>
            <w:vAlign w:val="center"/>
            <w:hideMark/>
          </w:tcPr>
          <w:p w14:paraId="159D0C0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0.9985</w:t>
            </w:r>
          </w:p>
        </w:tc>
        <w:tc>
          <w:tcPr>
            <w:tcW w:w="0" w:type="auto"/>
            <w:tcBorders>
              <w:top w:val="nil"/>
              <w:left w:val="nil"/>
              <w:bottom w:val="single" w:sz="4" w:space="0" w:color="auto"/>
              <w:right w:val="single" w:sz="4" w:space="0" w:color="auto"/>
            </w:tcBorders>
            <w:shd w:val="clear" w:color="000000" w:fill="FFFFFF"/>
            <w:noWrap/>
            <w:vAlign w:val="center"/>
            <w:hideMark/>
          </w:tcPr>
          <w:p w14:paraId="44E407E5"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0.6321</w:t>
            </w:r>
          </w:p>
        </w:tc>
        <w:tc>
          <w:tcPr>
            <w:tcW w:w="0" w:type="auto"/>
            <w:tcBorders>
              <w:top w:val="nil"/>
              <w:left w:val="nil"/>
              <w:bottom w:val="single" w:sz="4" w:space="0" w:color="auto"/>
              <w:right w:val="single" w:sz="4" w:space="0" w:color="auto"/>
            </w:tcBorders>
            <w:shd w:val="clear" w:color="000000" w:fill="FFFFFF"/>
            <w:noWrap/>
            <w:vAlign w:val="center"/>
            <w:hideMark/>
          </w:tcPr>
          <w:p w14:paraId="7B0FB4B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0.5801</w:t>
            </w:r>
          </w:p>
        </w:tc>
        <w:tc>
          <w:tcPr>
            <w:tcW w:w="0" w:type="auto"/>
            <w:tcBorders>
              <w:top w:val="nil"/>
              <w:left w:val="nil"/>
              <w:bottom w:val="single" w:sz="4" w:space="0" w:color="auto"/>
              <w:right w:val="single" w:sz="4" w:space="0" w:color="auto"/>
            </w:tcBorders>
            <w:shd w:val="clear" w:color="000000" w:fill="FFFFFF"/>
            <w:noWrap/>
            <w:vAlign w:val="center"/>
            <w:hideMark/>
          </w:tcPr>
          <w:p w14:paraId="24958CD4"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0.8425</w:t>
            </w:r>
          </w:p>
        </w:tc>
      </w:tr>
      <w:tr w:rsidR="00E32653" w:rsidRPr="00E32653" w14:paraId="1809C60F"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tcPr>
          <w:p w14:paraId="2EFCFC79" w14:textId="1FD959B2" w:rsidR="004C7FB6" w:rsidRPr="00E32653" w:rsidRDefault="004C7FB6" w:rsidP="004C7FB6">
            <w:pPr>
              <w:spacing w:after="0"/>
              <w:rPr>
                <w:rFonts w:asciiTheme="majorBidi" w:hAnsiTheme="majorBidi" w:cstheme="majorBidi"/>
                <w:sz w:val="18"/>
                <w:szCs w:val="18"/>
              </w:rPr>
            </w:pPr>
            <w:r w:rsidRPr="00E32653">
              <w:rPr>
                <w:rFonts w:asciiTheme="majorBidi" w:eastAsia="Times New Roman" w:hAnsiTheme="majorBidi" w:cstheme="majorBidi"/>
                <w:b/>
                <w:bCs/>
                <w:sz w:val="18"/>
                <w:szCs w:val="18"/>
              </w:rPr>
              <w:t>GLT-Softwood</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3A6E87F2"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0.7117</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622E86"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A9F9BD3"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5829E2F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0.6290</w:t>
            </w:r>
          </w:p>
        </w:tc>
        <w:tc>
          <w:tcPr>
            <w:tcW w:w="0" w:type="auto"/>
            <w:tcBorders>
              <w:top w:val="nil"/>
              <w:left w:val="nil"/>
              <w:bottom w:val="single" w:sz="4" w:space="0" w:color="auto"/>
              <w:right w:val="single" w:sz="4" w:space="0" w:color="auto"/>
            </w:tcBorders>
            <w:shd w:val="clear" w:color="000000" w:fill="FFFFFF"/>
            <w:noWrap/>
            <w:vAlign w:val="center"/>
            <w:hideMark/>
          </w:tcPr>
          <w:p w14:paraId="59F5EF22"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4AE3C26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0.6310</w:t>
            </w:r>
          </w:p>
        </w:tc>
        <w:tc>
          <w:tcPr>
            <w:tcW w:w="0" w:type="auto"/>
            <w:tcBorders>
              <w:top w:val="nil"/>
              <w:left w:val="nil"/>
              <w:bottom w:val="single" w:sz="4" w:space="0" w:color="auto"/>
              <w:right w:val="single" w:sz="4" w:space="0" w:color="auto"/>
            </w:tcBorders>
            <w:shd w:val="clear" w:color="000000" w:fill="FFFFFF"/>
            <w:noWrap/>
            <w:vAlign w:val="center"/>
            <w:hideMark/>
          </w:tcPr>
          <w:p w14:paraId="1EA65F43"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0.5890</w:t>
            </w:r>
          </w:p>
        </w:tc>
        <w:tc>
          <w:tcPr>
            <w:tcW w:w="0" w:type="auto"/>
            <w:tcBorders>
              <w:top w:val="nil"/>
              <w:left w:val="nil"/>
              <w:bottom w:val="single" w:sz="4" w:space="0" w:color="auto"/>
              <w:right w:val="single" w:sz="4" w:space="0" w:color="auto"/>
            </w:tcBorders>
            <w:shd w:val="clear" w:color="000000" w:fill="FFFFFF"/>
            <w:noWrap/>
            <w:vAlign w:val="center"/>
            <w:hideMark/>
          </w:tcPr>
          <w:p w14:paraId="6FA13F64"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0.9640</w:t>
            </w:r>
          </w:p>
        </w:tc>
      </w:tr>
      <w:tr w:rsidR="00E32653" w:rsidRPr="00E32653" w14:paraId="175C682A"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tcPr>
          <w:p w14:paraId="49FFE220" w14:textId="334631DC" w:rsidR="004C7FB6" w:rsidRPr="00E32653" w:rsidRDefault="004C7FB6" w:rsidP="004C7FB6">
            <w:pPr>
              <w:spacing w:after="0"/>
              <w:rPr>
                <w:rFonts w:asciiTheme="majorBidi" w:hAnsiTheme="majorBidi" w:cstheme="majorBidi"/>
                <w:sz w:val="18"/>
                <w:szCs w:val="18"/>
              </w:rPr>
            </w:pPr>
            <w:r w:rsidRPr="00E32653">
              <w:rPr>
                <w:rFonts w:asciiTheme="majorBidi" w:eastAsia="Times New Roman" w:hAnsiTheme="majorBidi" w:cstheme="majorBidi"/>
                <w:b/>
                <w:bCs/>
                <w:sz w:val="18"/>
                <w:szCs w:val="18"/>
              </w:rPr>
              <w:t>LVL-Hardwood</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7892B3B2"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0.9872</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F04BE35"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0.8283</w:t>
            </w:r>
          </w:p>
        </w:tc>
        <w:tc>
          <w:tcPr>
            <w:tcW w:w="0" w:type="auto"/>
            <w:tcBorders>
              <w:top w:val="nil"/>
              <w:left w:val="nil"/>
              <w:bottom w:val="single" w:sz="4" w:space="0" w:color="auto"/>
              <w:right w:val="single" w:sz="4" w:space="0" w:color="auto"/>
            </w:tcBorders>
            <w:shd w:val="clear" w:color="000000" w:fill="FFFFFF"/>
            <w:noWrap/>
            <w:vAlign w:val="center"/>
            <w:hideMark/>
          </w:tcPr>
          <w:p w14:paraId="6401CB8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0.7311</w:t>
            </w:r>
          </w:p>
        </w:tc>
        <w:tc>
          <w:tcPr>
            <w:tcW w:w="0" w:type="auto"/>
            <w:tcBorders>
              <w:top w:val="nil"/>
              <w:left w:val="nil"/>
              <w:bottom w:val="single" w:sz="4" w:space="0" w:color="auto"/>
              <w:right w:val="single" w:sz="4" w:space="0" w:color="auto"/>
            </w:tcBorders>
            <w:shd w:val="clear" w:color="000000" w:fill="FFFFFF"/>
            <w:noWrap/>
            <w:vAlign w:val="center"/>
            <w:hideMark/>
          </w:tcPr>
          <w:p w14:paraId="33EAA0F6"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0.9838</w:t>
            </w:r>
          </w:p>
        </w:tc>
        <w:tc>
          <w:tcPr>
            <w:tcW w:w="0" w:type="auto"/>
            <w:tcBorders>
              <w:top w:val="nil"/>
              <w:left w:val="nil"/>
              <w:bottom w:val="single" w:sz="4" w:space="0" w:color="auto"/>
              <w:right w:val="single" w:sz="4" w:space="0" w:color="auto"/>
            </w:tcBorders>
            <w:shd w:val="clear" w:color="000000" w:fill="FFFFFF"/>
            <w:noWrap/>
            <w:vAlign w:val="center"/>
            <w:hideMark/>
          </w:tcPr>
          <w:p w14:paraId="4B2DD4CF"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0.6990</w:t>
            </w:r>
          </w:p>
        </w:tc>
        <w:tc>
          <w:tcPr>
            <w:tcW w:w="0" w:type="auto"/>
            <w:tcBorders>
              <w:top w:val="nil"/>
              <w:left w:val="nil"/>
              <w:bottom w:val="single" w:sz="4" w:space="0" w:color="auto"/>
              <w:right w:val="single" w:sz="4" w:space="0" w:color="auto"/>
            </w:tcBorders>
            <w:shd w:val="clear" w:color="000000" w:fill="FFFFFF"/>
            <w:noWrap/>
            <w:vAlign w:val="center"/>
            <w:hideMark/>
          </w:tcPr>
          <w:p w14:paraId="3849E211"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0.9796</w:t>
            </w:r>
          </w:p>
        </w:tc>
        <w:tc>
          <w:tcPr>
            <w:tcW w:w="0" w:type="auto"/>
            <w:tcBorders>
              <w:top w:val="nil"/>
              <w:left w:val="nil"/>
              <w:bottom w:val="single" w:sz="4" w:space="0" w:color="auto"/>
              <w:right w:val="single" w:sz="4" w:space="0" w:color="auto"/>
            </w:tcBorders>
            <w:shd w:val="clear" w:color="000000" w:fill="FFFFFF"/>
            <w:noWrap/>
            <w:vAlign w:val="center"/>
            <w:hideMark/>
          </w:tcPr>
          <w:p w14:paraId="057269F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0.9955</w:t>
            </w:r>
          </w:p>
        </w:tc>
        <w:tc>
          <w:tcPr>
            <w:tcW w:w="0" w:type="auto"/>
            <w:tcBorders>
              <w:top w:val="nil"/>
              <w:left w:val="nil"/>
              <w:bottom w:val="single" w:sz="4" w:space="0" w:color="auto"/>
              <w:right w:val="single" w:sz="4" w:space="0" w:color="auto"/>
            </w:tcBorders>
            <w:shd w:val="clear" w:color="000000" w:fill="FFFFFF"/>
            <w:noWrap/>
            <w:vAlign w:val="center"/>
            <w:hideMark/>
          </w:tcPr>
          <w:p w14:paraId="1158D126"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0.9163</w:t>
            </w:r>
          </w:p>
        </w:tc>
      </w:tr>
      <w:tr w:rsidR="00E32653" w:rsidRPr="00E32653" w14:paraId="1CECE82A"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vAlign w:val="center"/>
          </w:tcPr>
          <w:p w14:paraId="4F14C010" w14:textId="6B1B40F4" w:rsidR="004C7FB6" w:rsidRPr="00E32653" w:rsidRDefault="00DA7621" w:rsidP="004C7FB6">
            <w:pPr>
              <w:spacing w:after="0"/>
              <w:rPr>
                <w:rFonts w:asciiTheme="majorBidi" w:hAnsiTheme="majorBidi" w:cstheme="majorBidi"/>
                <w:sz w:val="18"/>
                <w:szCs w:val="18"/>
              </w:rPr>
            </w:pPr>
            <w:r w:rsidRPr="00E32653">
              <w:rPr>
                <w:rFonts w:asciiTheme="majorBidi" w:eastAsia="Times New Roman" w:hAnsiTheme="majorBidi" w:cstheme="majorBidi"/>
                <w:b/>
                <w:bCs/>
                <w:sz w:val="18"/>
                <w:szCs w:val="18"/>
              </w:rPr>
              <w:t>LVL-S</w:t>
            </w:r>
            <w:r w:rsidR="004C7FB6" w:rsidRPr="00E32653">
              <w:rPr>
                <w:rFonts w:asciiTheme="majorBidi" w:eastAsia="Times New Roman" w:hAnsiTheme="majorBidi" w:cstheme="majorBidi"/>
                <w:b/>
                <w:bCs/>
                <w:sz w:val="18"/>
                <w:szCs w:val="18"/>
              </w:rPr>
              <w:t>oftwood</w:t>
            </w:r>
          </w:p>
        </w:tc>
        <w:tc>
          <w:tcPr>
            <w:tcW w:w="0" w:type="auto"/>
            <w:tcBorders>
              <w:top w:val="nil"/>
              <w:left w:val="single" w:sz="4" w:space="0" w:color="auto"/>
              <w:bottom w:val="single" w:sz="4" w:space="0" w:color="auto"/>
              <w:right w:val="single" w:sz="4" w:space="0" w:color="auto"/>
            </w:tcBorders>
            <w:shd w:val="clear" w:color="000000" w:fill="FFFFFF"/>
            <w:vAlign w:val="center"/>
          </w:tcPr>
          <w:p w14:paraId="6A19177A"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FA69236"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0.8416</w:t>
            </w:r>
          </w:p>
        </w:tc>
        <w:tc>
          <w:tcPr>
            <w:tcW w:w="0" w:type="auto"/>
            <w:tcBorders>
              <w:top w:val="nil"/>
              <w:left w:val="nil"/>
              <w:bottom w:val="single" w:sz="4" w:space="0" w:color="auto"/>
              <w:right w:val="single" w:sz="4" w:space="0" w:color="auto"/>
            </w:tcBorders>
            <w:shd w:val="clear" w:color="000000" w:fill="FFFFFF"/>
            <w:noWrap/>
            <w:vAlign w:val="center"/>
            <w:hideMark/>
          </w:tcPr>
          <w:p w14:paraId="14441B3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0.7368</w:t>
            </w:r>
          </w:p>
        </w:tc>
        <w:tc>
          <w:tcPr>
            <w:tcW w:w="0" w:type="auto"/>
            <w:tcBorders>
              <w:top w:val="nil"/>
              <w:left w:val="nil"/>
              <w:bottom w:val="single" w:sz="4" w:space="0" w:color="auto"/>
              <w:right w:val="single" w:sz="4" w:space="0" w:color="auto"/>
            </w:tcBorders>
            <w:shd w:val="clear" w:color="000000" w:fill="FFFFFF"/>
            <w:noWrap/>
            <w:vAlign w:val="center"/>
            <w:hideMark/>
          </w:tcPr>
          <w:p w14:paraId="13D5525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79C4BE60"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0.7091</w:t>
            </w:r>
          </w:p>
        </w:tc>
        <w:tc>
          <w:tcPr>
            <w:tcW w:w="0" w:type="auto"/>
            <w:tcBorders>
              <w:top w:val="nil"/>
              <w:left w:val="nil"/>
              <w:bottom w:val="single" w:sz="4" w:space="0" w:color="auto"/>
              <w:right w:val="single" w:sz="4" w:space="0" w:color="auto"/>
            </w:tcBorders>
            <w:shd w:val="clear" w:color="000000" w:fill="FFFFFF"/>
            <w:noWrap/>
            <w:vAlign w:val="center"/>
            <w:hideMark/>
          </w:tcPr>
          <w:p w14:paraId="0BC862D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18560A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14DA7CA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1</w:t>
            </w:r>
          </w:p>
        </w:tc>
      </w:tr>
    </w:tbl>
    <w:p w14:paraId="47935066" w14:textId="77777777" w:rsidR="007D6886" w:rsidRPr="00E32653" w:rsidRDefault="007D6886" w:rsidP="007D6886">
      <w:pPr>
        <w:spacing w:line="276" w:lineRule="auto"/>
        <w:ind w:left="1440"/>
        <w:jc w:val="both"/>
        <w:rPr>
          <w:rFonts w:asciiTheme="majorBidi" w:hAnsiTheme="majorBidi" w:cstheme="majorBidi"/>
          <w:sz w:val="20"/>
          <w:szCs w:val="20"/>
          <w:shd w:val="clear" w:color="auto" w:fill="FFFFFF"/>
        </w:rPr>
      </w:pPr>
    </w:p>
    <w:p w14:paraId="11B8E795" w14:textId="77777777" w:rsidR="007D6886" w:rsidRPr="00E32653" w:rsidRDefault="007D6886" w:rsidP="00ED6B30">
      <w:pPr>
        <w:spacing w:after="0" w:line="276" w:lineRule="auto"/>
        <w:ind w:left="180"/>
        <w:jc w:val="both"/>
        <w:rPr>
          <w:rFonts w:asciiTheme="majorBidi" w:hAnsiTheme="majorBidi" w:cstheme="majorBidi"/>
          <w:b/>
          <w:bCs/>
          <w:sz w:val="20"/>
          <w:szCs w:val="20"/>
          <w:shd w:val="clear" w:color="auto" w:fill="FFFFFF"/>
        </w:rPr>
      </w:pPr>
      <w:r w:rsidRPr="00E32653">
        <w:rPr>
          <w:rFonts w:asciiTheme="majorBidi" w:hAnsiTheme="majorBidi" w:cstheme="majorBidi"/>
          <w:b/>
          <w:bCs/>
          <w:sz w:val="20"/>
          <w:szCs w:val="20"/>
          <w:shd w:val="clear" w:color="auto" w:fill="FFFFFF"/>
        </w:rPr>
        <w:t>Appendix 2</w:t>
      </w:r>
    </w:p>
    <w:tbl>
      <w:tblPr>
        <w:tblW w:w="0" w:type="auto"/>
        <w:tblLook w:val="04A0" w:firstRow="1" w:lastRow="0" w:firstColumn="1" w:lastColumn="0" w:noHBand="0" w:noVBand="1"/>
      </w:tblPr>
      <w:tblGrid>
        <w:gridCol w:w="1477"/>
        <w:gridCol w:w="711"/>
        <w:gridCol w:w="711"/>
        <w:gridCol w:w="711"/>
        <w:gridCol w:w="711"/>
        <w:gridCol w:w="711"/>
        <w:gridCol w:w="711"/>
        <w:gridCol w:w="711"/>
        <w:gridCol w:w="761"/>
        <w:gridCol w:w="711"/>
      </w:tblGrid>
      <w:tr w:rsidR="00E32653" w:rsidRPr="00E32653" w14:paraId="625BC7B7" w14:textId="77777777" w:rsidTr="00ED6B30">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7D98F885"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 </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0830BC3"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GWP</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E672502"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HT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0603B098"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FD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569A7C3A"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OD</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F9CA212"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TE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3702870C"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LU</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7703B099"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EE</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639AC43B"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COST</w:t>
            </w:r>
          </w:p>
        </w:tc>
        <w:tc>
          <w:tcPr>
            <w:tcW w:w="0" w:type="auto"/>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436705F1" w14:textId="77777777" w:rsidR="007D6886" w:rsidRPr="00E32653" w:rsidRDefault="007D6886" w:rsidP="00C110BC">
            <w:pPr>
              <w:spacing w:after="0" w:line="240" w:lineRule="auto"/>
              <w:rPr>
                <w:rFonts w:asciiTheme="majorBidi" w:eastAsia="Times New Roman" w:hAnsiTheme="majorBidi" w:cstheme="majorBidi"/>
                <w:b/>
                <w:bCs/>
                <w:sz w:val="20"/>
                <w:szCs w:val="20"/>
              </w:rPr>
            </w:pPr>
            <w:r w:rsidRPr="00E32653">
              <w:rPr>
                <w:rFonts w:asciiTheme="majorBidi" w:eastAsia="Times New Roman" w:hAnsiTheme="majorBidi" w:cstheme="majorBidi"/>
                <w:b/>
                <w:bCs/>
                <w:sz w:val="20"/>
                <w:szCs w:val="20"/>
              </w:rPr>
              <w:t>Q1</w:t>
            </w:r>
          </w:p>
        </w:tc>
      </w:tr>
      <w:tr w:rsidR="00E32653" w:rsidRPr="00E32653" w14:paraId="33D5D9F3"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099729" w14:textId="2422FCCB" w:rsidR="004C7FB6" w:rsidRPr="00E32653" w:rsidRDefault="004C7FB6" w:rsidP="004C7FB6">
            <w:pPr>
              <w:spacing w:after="0" w:line="240" w:lineRule="auto"/>
              <w:rPr>
                <w:rFonts w:asciiTheme="majorBidi" w:eastAsia="Times New Roman" w:hAnsiTheme="majorBidi" w:cstheme="majorBidi"/>
                <w:b/>
                <w:bCs/>
                <w:sz w:val="16"/>
                <w:szCs w:val="16"/>
              </w:rPr>
            </w:pPr>
            <w:r w:rsidRPr="00E32653">
              <w:rPr>
                <w:rFonts w:asciiTheme="majorBidi" w:eastAsia="Times New Roman" w:hAnsiTheme="majorBidi" w:cstheme="majorBidi"/>
                <w:b/>
                <w:bCs/>
                <w:sz w:val="18"/>
                <w:szCs w:val="18"/>
              </w:rPr>
              <w:t>GLT-Hardwood</w:t>
            </w:r>
          </w:p>
        </w:tc>
        <w:tc>
          <w:tcPr>
            <w:tcW w:w="0" w:type="auto"/>
            <w:tcBorders>
              <w:top w:val="nil"/>
              <w:left w:val="nil"/>
              <w:bottom w:val="single" w:sz="4" w:space="0" w:color="auto"/>
              <w:right w:val="single" w:sz="4" w:space="0" w:color="auto"/>
            </w:tcBorders>
            <w:shd w:val="clear" w:color="000000" w:fill="FFFFFF"/>
            <w:noWrap/>
            <w:vAlign w:val="center"/>
            <w:hideMark/>
          </w:tcPr>
          <w:p w14:paraId="68F8FE5F"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0.1195</w:t>
            </w:r>
          </w:p>
        </w:tc>
        <w:tc>
          <w:tcPr>
            <w:tcW w:w="0" w:type="auto"/>
            <w:tcBorders>
              <w:top w:val="nil"/>
              <w:left w:val="nil"/>
              <w:bottom w:val="single" w:sz="4" w:space="0" w:color="auto"/>
              <w:right w:val="single" w:sz="4" w:space="0" w:color="auto"/>
            </w:tcBorders>
            <w:shd w:val="clear" w:color="000000" w:fill="FFFFFF"/>
            <w:noWrap/>
            <w:vAlign w:val="center"/>
            <w:hideMark/>
          </w:tcPr>
          <w:p w14:paraId="334373B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0.0386</w:t>
            </w:r>
          </w:p>
        </w:tc>
        <w:tc>
          <w:tcPr>
            <w:tcW w:w="0" w:type="auto"/>
            <w:tcBorders>
              <w:top w:val="nil"/>
              <w:left w:val="nil"/>
              <w:bottom w:val="single" w:sz="4" w:space="0" w:color="auto"/>
              <w:right w:val="single" w:sz="4" w:space="0" w:color="auto"/>
            </w:tcBorders>
            <w:shd w:val="clear" w:color="000000" w:fill="FFFFFF"/>
            <w:noWrap/>
            <w:vAlign w:val="center"/>
            <w:hideMark/>
          </w:tcPr>
          <w:p w14:paraId="3DBB9205"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0.0879</w:t>
            </w:r>
          </w:p>
        </w:tc>
        <w:tc>
          <w:tcPr>
            <w:tcW w:w="0" w:type="auto"/>
            <w:tcBorders>
              <w:top w:val="nil"/>
              <w:left w:val="nil"/>
              <w:bottom w:val="single" w:sz="4" w:space="0" w:color="auto"/>
              <w:right w:val="single" w:sz="4" w:space="0" w:color="auto"/>
            </w:tcBorders>
            <w:shd w:val="clear" w:color="000000" w:fill="FFFFFF"/>
            <w:noWrap/>
            <w:vAlign w:val="center"/>
            <w:hideMark/>
          </w:tcPr>
          <w:p w14:paraId="5FDD8F6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0.0333</w:t>
            </w:r>
          </w:p>
        </w:tc>
        <w:tc>
          <w:tcPr>
            <w:tcW w:w="0" w:type="auto"/>
            <w:tcBorders>
              <w:top w:val="nil"/>
              <w:left w:val="nil"/>
              <w:bottom w:val="single" w:sz="4" w:space="0" w:color="auto"/>
              <w:right w:val="single" w:sz="4" w:space="0" w:color="auto"/>
            </w:tcBorders>
            <w:shd w:val="clear" w:color="000000" w:fill="FFFFFF"/>
            <w:noWrap/>
            <w:vAlign w:val="center"/>
            <w:hideMark/>
          </w:tcPr>
          <w:p w14:paraId="51D4189F"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0.0669</w:t>
            </w:r>
          </w:p>
        </w:tc>
        <w:tc>
          <w:tcPr>
            <w:tcW w:w="0" w:type="auto"/>
            <w:tcBorders>
              <w:top w:val="nil"/>
              <w:left w:val="nil"/>
              <w:bottom w:val="single" w:sz="4" w:space="0" w:color="auto"/>
              <w:right w:val="single" w:sz="4" w:space="0" w:color="auto"/>
            </w:tcBorders>
            <w:shd w:val="clear" w:color="000000" w:fill="FFFFFF"/>
            <w:noWrap/>
            <w:vAlign w:val="center"/>
            <w:hideMark/>
          </w:tcPr>
          <w:p w14:paraId="50C1654D"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0.0619</w:t>
            </w:r>
          </w:p>
        </w:tc>
        <w:tc>
          <w:tcPr>
            <w:tcW w:w="0" w:type="auto"/>
            <w:tcBorders>
              <w:top w:val="nil"/>
              <w:left w:val="nil"/>
              <w:bottom w:val="single" w:sz="4" w:space="0" w:color="auto"/>
              <w:right w:val="single" w:sz="4" w:space="0" w:color="auto"/>
            </w:tcBorders>
            <w:shd w:val="clear" w:color="000000" w:fill="FFFFFF"/>
            <w:noWrap/>
            <w:vAlign w:val="center"/>
            <w:hideMark/>
          </w:tcPr>
          <w:p w14:paraId="26581723"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0.0812</w:t>
            </w:r>
          </w:p>
        </w:tc>
        <w:tc>
          <w:tcPr>
            <w:tcW w:w="0" w:type="auto"/>
            <w:tcBorders>
              <w:top w:val="nil"/>
              <w:left w:val="nil"/>
              <w:bottom w:val="single" w:sz="4" w:space="0" w:color="auto"/>
              <w:right w:val="single" w:sz="4" w:space="0" w:color="auto"/>
            </w:tcBorders>
            <w:shd w:val="clear" w:color="000000" w:fill="FFFFFF"/>
            <w:noWrap/>
            <w:vAlign w:val="center"/>
            <w:hideMark/>
          </w:tcPr>
          <w:p w14:paraId="1C7C5D3A"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0.2898</w:t>
            </w:r>
          </w:p>
        </w:tc>
        <w:tc>
          <w:tcPr>
            <w:tcW w:w="0" w:type="auto"/>
            <w:tcBorders>
              <w:top w:val="nil"/>
              <w:left w:val="nil"/>
              <w:bottom w:val="single" w:sz="4" w:space="0" w:color="auto"/>
              <w:right w:val="single" w:sz="4" w:space="0" w:color="auto"/>
            </w:tcBorders>
            <w:shd w:val="clear" w:color="000000" w:fill="FFFFFF"/>
            <w:noWrap/>
            <w:vAlign w:val="center"/>
            <w:hideMark/>
          </w:tcPr>
          <w:p w14:paraId="6A1146C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0.7791</w:t>
            </w:r>
          </w:p>
        </w:tc>
      </w:tr>
      <w:tr w:rsidR="00E32653" w:rsidRPr="00E32653" w14:paraId="0DA8996D"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E1710F3" w14:textId="1D04E005" w:rsidR="004C7FB6" w:rsidRPr="00E32653" w:rsidRDefault="004C7FB6" w:rsidP="004C7FB6">
            <w:pPr>
              <w:spacing w:after="0" w:line="240" w:lineRule="auto"/>
              <w:rPr>
                <w:rFonts w:asciiTheme="majorBidi" w:eastAsia="Times New Roman" w:hAnsiTheme="majorBidi" w:cstheme="majorBidi"/>
                <w:b/>
                <w:bCs/>
                <w:sz w:val="16"/>
                <w:szCs w:val="16"/>
              </w:rPr>
            </w:pPr>
            <w:r w:rsidRPr="00E32653">
              <w:rPr>
                <w:rFonts w:asciiTheme="majorBidi" w:eastAsia="Times New Roman" w:hAnsiTheme="majorBidi" w:cstheme="majorBidi"/>
                <w:b/>
                <w:bCs/>
                <w:sz w:val="18"/>
                <w:szCs w:val="18"/>
              </w:rPr>
              <w:t>GLT-Softwood</w:t>
            </w:r>
          </w:p>
        </w:tc>
        <w:tc>
          <w:tcPr>
            <w:tcW w:w="0" w:type="auto"/>
            <w:tcBorders>
              <w:top w:val="nil"/>
              <w:left w:val="nil"/>
              <w:bottom w:val="single" w:sz="4" w:space="0" w:color="auto"/>
              <w:right w:val="single" w:sz="4" w:space="0" w:color="auto"/>
            </w:tcBorders>
            <w:shd w:val="clear" w:color="000000" w:fill="FFFFFF"/>
            <w:noWrap/>
            <w:vAlign w:val="center"/>
            <w:hideMark/>
          </w:tcPr>
          <w:p w14:paraId="45F213A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0.1210</w:t>
            </w:r>
          </w:p>
        </w:tc>
        <w:tc>
          <w:tcPr>
            <w:tcW w:w="0" w:type="auto"/>
            <w:tcBorders>
              <w:top w:val="nil"/>
              <w:left w:val="nil"/>
              <w:bottom w:val="single" w:sz="4" w:space="0" w:color="auto"/>
              <w:right w:val="single" w:sz="4" w:space="0" w:color="auto"/>
            </w:tcBorders>
            <w:shd w:val="clear" w:color="000000" w:fill="FFFFFF"/>
            <w:noWrap/>
            <w:vAlign w:val="center"/>
            <w:hideMark/>
          </w:tcPr>
          <w:p w14:paraId="72E9555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0.0390</w:t>
            </w:r>
          </w:p>
        </w:tc>
        <w:tc>
          <w:tcPr>
            <w:tcW w:w="0" w:type="auto"/>
            <w:tcBorders>
              <w:top w:val="nil"/>
              <w:left w:val="nil"/>
              <w:bottom w:val="single" w:sz="4" w:space="0" w:color="auto"/>
              <w:right w:val="single" w:sz="4" w:space="0" w:color="auto"/>
            </w:tcBorders>
            <w:shd w:val="clear" w:color="000000" w:fill="FFFFFF"/>
            <w:noWrap/>
            <w:vAlign w:val="center"/>
            <w:hideMark/>
          </w:tcPr>
          <w:p w14:paraId="7C7C0315"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0.0880</w:t>
            </w:r>
          </w:p>
        </w:tc>
        <w:tc>
          <w:tcPr>
            <w:tcW w:w="0" w:type="auto"/>
            <w:tcBorders>
              <w:top w:val="nil"/>
              <w:left w:val="nil"/>
              <w:bottom w:val="single" w:sz="4" w:space="0" w:color="auto"/>
              <w:right w:val="single" w:sz="4" w:space="0" w:color="auto"/>
            </w:tcBorders>
            <w:shd w:val="clear" w:color="000000" w:fill="FFFFFF"/>
            <w:noWrap/>
            <w:vAlign w:val="center"/>
            <w:hideMark/>
          </w:tcPr>
          <w:p w14:paraId="3C8F2F0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0.0340</w:t>
            </w:r>
          </w:p>
        </w:tc>
        <w:tc>
          <w:tcPr>
            <w:tcW w:w="0" w:type="auto"/>
            <w:tcBorders>
              <w:top w:val="nil"/>
              <w:left w:val="nil"/>
              <w:bottom w:val="single" w:sz="4" w:space="0" w:color="auto"/>
              <w:right w:val="single" w:sz="4" w:space="0" w:color="auto"/>
            </w:tcBorders>
            <w:shd w:val="clear" w:color="000000" w:fill="FFFFFF"/>
            <w:noWrap/>
            <w:vAlign w:val="center"/>
            <w:hideMark/>
          </w:tcPr>
          <w:p w14:paraId="5C0CA0EC"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0.0670</w:t>
            </w:r>
          </w:p>
        </w:tc>
        <w:tc>
          <w:tcPr>
            <w:tcW w:w="0" w:type="auto"/>
            <w:tcBorders>
              <w:top w:val="nil"/>
              <w:left w:val="nil"/>
              <w:bottom w:val="single" w:sz="4" w:space="0" w:color="auto"/>
              <w:right w:val="single" w:sz="4" w:space="0" w:color="auto"/>
            </w:tcBorders>
            <w:shd w:val="clear" w:color="000000" w:fill="FFFFFF"/>
            <w:noWrap/>
            <w:vAlign w:val="center"/>
            <w:hideMark/>
          </w:tcPr>
          <w:p w14:paraId="6B865519"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0.0618</w:t>
            </w:r>
          </w:p>
        </w:tc>
        <w:tc>
          <w:tcPr>
            <w:tcW w:w="0" w:type="auto"/>
            <w:tcBorders>
              <w:top w:val="nil"/>
              <w:left w:val="nil"/>
              <w:bottom w:val="single" w:sz="4" w:space="0" w:color="auto"/>
              <w:right w:val="single" w:sz="4" w:space="0" w:color="auto"/>
            </w:tcBorders>
            <w:shd w:val="clear" w:color="000000" w:fill="FFFFFF"/>
            <w:noWrap/>
            <w:vAlign w:val="center"/>
            <w:hideMark/>
          </w:tcPr>
          <w:p w14:paraId="1B7B985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0.0825</w:t>
            </w:r>
          </w:p>
        </w:tc>
        <w:tc>
          <w:tcPr>
            <w:tcW w:w="0" w:type="auto"/>
            <w:tcBorders>
              <w:top w:val="nil"/>
              <w:left w:val="nil"/>
              <w:bottom w:val="single" w:sz="4" w:space="0" w:color="auto"/>
              <w:right w:val="single" w:sz="4" w:space="0" w:color="auto"/>
            </w:tcBorders>
            <w:shd w:val="clear" w:color="000000" w:fill="FFFFFF"/>
            <w:noWrap/>
            <w:vAlign w:val="center"/>
            <w:hideMark/>
          </w:tcPr>
          <w:p w14:paraId="6F902FF9"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0.3316</w:t>
            </w:r>
          </w:p>
        </w:tc>
        <w:tc>
          <w:tcPr>
            <w:tcW w:w="0" w:type="auto"/>
            <w:tcBorders>
              <w:top w:val="nil"/>
              <w:left w:val="nil"/>
              <w:bottom w:val="single" w:sz="4" w:space="0" w:color="auto"/>
              <w:right w:val="single" w:sz="4" w:space="0" w:color="auto"/>
            </w:tcBorders>
            <w:shd w:val="clear" w:color="000000" w:fill="FFFFFF"/>
            <w:noWrap/>
            <w:vAlign w:val="center"/>
            <w:hideMark/>
          </w:tcPr>
          <w:p w14:paraId="098D52A7"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0.8249</w:t>
            </w:r>
          </w:p>
        </w:tc>
      </w:tr>
      <w:tr w:rsidR="00E32653" w:rsidRPr="00E32653" w14:paraId="28B6179E"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812AC63" w14:textId="742EC8A7" w:rsidR="004C7FB6" w:rsidRPr="00E32653" w:rsidRDefault="004C7FB6" w:rsidP="004C7FB6">
            <w:pPr>
              <w:spacing w:after="0" w:line="240" w:lineRule="auto"/>
              <w:rPr>
                <w:rFonts w:asciiTheme="majorBidi" w:eastAsia="Times New Roman" w:hAnsiTheme="majorBidi" w:cstheme="majorBidi"/>
                <w:b/>
                <w:bCs/>
                <w:sz w:val="16"/>
                <w:szCs w:val="16"/>
              </w:rPr>
            </w:pPr>
            <w:r w:rsidRPr="00E32653">
              <w:rPr>
                <w:rFonts w:asciiTheme="majorBidi" w:eastAsia="Times New Roman" w:hAnsiTheme="majorBidi" w:cstheme="majorBidi"/>
                <w:b/>
                <w:bCs/>
                <w:sz w:val="18"/>
                <w:szCs w:val="18"/>
              </w:rPr>
              <w:t>LVL-Hardwood</w:t>
            </w:r>
          </w:p>
        </w:tc>
        <w:tc>
          <w:tcPr>
            <w:tcW w:w="0" w:type="auto"/>
            <w:tcBorders>
              <w:top w:val="nil"/>
              <w:left w:val="nil"/>
              <w:bottom w:val="single" w:sz="4" w:space="0" w:color="auto"/>
              <w:right w:val="single" w:sz="4" w:space="0" w:color="auto"/>
            </w:tcBorders>
            <w:shd w:val="clear" w:color="000000" w:fill="FFFFFF"/>
            <w:noWrap/>
            <w:vAlign w:val="center"/>
            <w:hideMark/>
          </w:tcPr>
          <w:p w14:paraId="1F6C17E0"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0.1678</w:t>
            </w:r>
          </w:p>
        </w:tc>
        <w:tc>
          <w:tcPr>
            <w:tcW w:w="0" w:type="auto"/>
            <w:tcBorders>
              <w:top w:val="nil"/>
              <w:left w:val="nil"/>
              <w:bottom w:val="single" w:sz="4" w:space="0" w:color="auto"/>
              <w:right w:val="single" w:sz="4" w:space="0" w:color="auto"/>
            </w:tcBorders>
            <w:shd w:val="clear" w:color="000000" w:fill="FFFFFF"/>
            <w:noWrap/>
            <w:vAlign w:val="center"/>
            <w:hideMark/>
          </w:tcPr>
          <w:p w14:paraId="10DCB1E9"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0.0323</w:t>
            </w:r>
          </w:p>
        </w:tc>
        <w:tc>
          <w:tcPr>
            <w:tcW w:w="0" w:type="auto"/>
            <w:tcBorders>
              <w:top w:val="nil"/>
              <w:left w:val="nil"/>
              <w:bottom w:val="single" w:sz="4" w:space="0" w:color="auto"/>
              <w:right w:val="single" w:sz="4" w:space="0" w:color="auto"/>
            </w:tcBorders>
            <w:shd w:val="clear" w:color="000000" w:fill="FFFFFF"/>
            <w:noWrap/>
            <w:vAlign w:val="center"/>
            <w:hideMark/>
          </w:tcPr>
          <w:p w14:paraId="7DA200B2"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0.0643</w:t>
            </w:r>
          </w:p>
        </w:tc>
        <w:tc>
          <w:tcPr>
            <w:tcW w:w="0" w:type="auto"/>
            <w:tcBorders>
              <w:top w:val="nil"/>
              <w:left w:val="nil"/>
              <w:bottom w:val="single" w:sz="4" w:space="0" w:color="auto"/>
              <w:right w:val="single" w:sz="4" w:space="0" w:color="auto"/>
            </w:tcBorders>
            <w:shd w:val="clear" w:color="000000" w:fill="FFFFFF"/>
            <w:noWrap/>
            <w:vAlign w:val="center"/>
            <w:hideMark/>
          </w:tcPr>
          <w:p w14:paraId="4B01B0B0"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0.0531</w:t>
            </w:r>
          </w:p>
        </w:tc>
        <w:tc>
          <w:tcPr>
            <w:tcW w:w="0" w:type="auto"/>
            <w:tcBorders>
              <w:top w:val="nil"/>
              <w:left w:val="nil"/>
              <w:bottom w:val="single" w:sz="4" w:space="0" w:color="auto"/>
              <w:right w:val="single" w:sz="4" w:space="0" w:color="auto"/>
            </w:tcBorders>
            <w:shd w:val="clear" w:color="000000" w:fill="FFFFFF"/>
            <w:noWrap/>
            <w:vAlign w:val="center"/>
            <w:hideMark/>
          </w:tcPr>
          <w:p w14:paraId="1AE42BE1"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0.0468</w:t>
            </w:r>
          </w:p>
        </w:tc>
        <w:tc>
          <w:tcPr>
            <w:tcW w:w="0" w:type="auto"/>
            <w:tcBorders>
              <w:top w:val="nil"/>
              <w:left w:val="nil"/>
              <w:bottom w:val="single" w:sz="4" w:space="0" w:color="auto"/>
              <w:right w:val="single" w:sz="4" w:space="0" w:color="auto"/>
            </w:tcBorders>
            <w:shd w:val="clear" w:color="000000" w:fill="FFFFFF"/>
            <w:noWrap/>
            <w:vAlign w:val="center"/>
            <w:hideMark/>
          </w:tcPr>
          <w:p w14:paraId="3E74055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0.0960</w:t>
            </w:r>
          </w:p>
        </w:tc>
        <w:tc>
          <w:tcPr>
            <w:tcW w:w="0" w:type="auto"/>
            <w:tcBorders>
              <w:top w:val="nil"/>
              <w:left w:val="nil"/>
              <w:bottom w:val="single" w:sz="4" w:space="0" w:color="auto"/>
              <w:right w:val="single" w:sz="4" w:space="0" w:color="auto"/>
            </w:tcBorders>
            <w:shd w:val="clear" w:color="000000" w:fill="FFFFFF"/>
            <w:noWrap/>
            <w:vAlign w:val="center"/>
            <w:hideMark/>
          </w:tcPr>
          <w:p w14:paraId="03FDDA10"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0.1394</w:t>
            </w:r>
          </w:p>
        </w:tc>
        <w:tc>
          <w:tcPr>
            <w:tcW w:w="0" w:type="auto"/>
            <w:tcBorders>
              <w:top w:val="nil"/>
              <w:left w:val="nil"/>
              <w:bottom w:val="single" w:sz="4" w:space="0" w:color="auto"/>
              <w:right w:val="single" w:sz="4" w:space="0" w:color="auto"/>
            </w:tcBorders>
            <w:shd w:val="clear" w:color="000000" w:fill="FFFFFF"/>
            <w:noWrap/>
            <w:vAlign w:val="center"/>
            <w:hideMark/>
          </w:tcPr>
          <w:p w14:paraId="3CA34A2A"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0.3152</w:t>
            </w:r>
          </w:p>
        </w:tc>
        <w:tc>
          <w:tcPr>
            <w:tcW w:w="0" w:type="auto"/>
            <w:tcBorders>
              <w:top w:val="nil"/>
              <w:left w:val="nil"/>
              <w:bottom w:val="single" w:sz="4" w:space="0" w:color="auto"/>
              <w:right w:val="single" w:sz="4" w:space="0" w:color="auto"/>
            </w:tcBorders>
            <w:shd w:val="clear" w:color="000000" w:fill="FFFFFF"/>
            <w:noWrap/>
            <w:vAlign w:val="center"/>
            <w:hideMark/>
          </w:tcPr>
          <w:p w14:paraId="5F61097E"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0.9150</w:t>
            </w:r>
          </w:p>
        </w:tc>
      </w:tr>
      <w:tr w:rsidR="00E32653" w:rsidRPr="00E32653" w14:paraId="27B9B25E" w14:textId="77777777" w:rsidTr="00ED6B30">
        <w:trPr>
          <w:trHeight w:val="2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CB4D100" w14:textId="2FB995FB" w:rsidR="004C7FB6" w:rsidRPr="00E32653" w:rsidRDefault="00DA7621" w:rsidP="004C7FB6">
            <w:pPr>
              <w:spacing w:after="0" w:line="240" w:lineRule="auto"/>
              <w:rPr>
                <w:rFonts w:asciiTheme="majorBidi" w:eastAsia="Times New Roman" w:hAnsiTheme="majorBidi" w:cstheme="majorBidi"/>
                <w:b/>
                <w:bCs/>
                <w:sz w:val="16"/>
                <w:szCs w:val="16"/>
              </w:rPr>
            </w:pPr>
            <w:r w:rsidRPr="00E32653">
              <w:rPr>
                <w:rFonts w:asciiTheme="majorBidi" w:eastAsia="Times New Roman" w:hAnsiTheme="majorBidi" w:cstheme="majorBidi"/>
                <w:b/>
                <w:bCs/>
                <w:sz w:val="18"/>
                <w:szCs w:val="18"/>
              </w:rPr>
              <w:t>LVL-S</w:t>
            </w:r>
            <w:r w:rsidR="004C7FB6" w:rsidRPr="00E32653">
              <w:rPr>
                <w:rFonts w:asciiTheme="majorBidi" w:eastAsia="Times New Roman" w:hAnsiTheme="majorBidi" w:cstheme="majorBidi"/>
                <w:b/>
                <w:bCs/>
                <w:sz w:val="18"/>
                <w:szCs w:val="18"/>
              </w:rPr>
              <w:t>oftwood</w:t>
            </w:r>
          </w:p>
        </w:tc>
        <w:tc>
          <w:tcPr>
            <w:tcW w:w="0" w:type="auto"/>
            <w:tcBorders>
              <w:top w:val="nil"/>
              <w:left w:val="nil"/>
              <w:bottom w:val="single" w:sz="4" w:space="0" w:color="auto"/>
              <w:right w:val="single" w:sz="4" w:space="0" w:color="auto"/>
            </w:tcBorders>
            <w:shd w:val="clear" w:color="000000" w:fill="FFFFFF"/>
            <w:noWrap/>
            <w:vAlign w:val="center"/>
            <w:hideMark/>
          </w:tcPr>
          <w:p w14:paraId="6FC2ED93"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0.1700</w:t>
            </w:r>
          </w:p>
        </w:tc>
        <w:tc>
          <w:tcPr>
            <w:tcW w:w="0" w:type="auto"/>
            <w:tcBorders>
              <w:top w:val="nil"/>
              <w:left w:val="nil"/>
              <w:bottom w:val="single" w:sz="4" w:space="0" w:color="auto"/>
              <w:right w:val="single" w:sz="4" w:space="0" w:color="auto"/>
            </w:tcBorders>
            <w:shd w:val="clear" w:color="000000" w:fill="FFFFFF"/>
            <w:noWrap/>
            <w:vAlign w:val="center"/>
            <w:hideMark/>
          </w:tcPr>
          <w:p w14:paraId="242114E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0.0328</w:t>
            </w:r>
          </w:p>
        </w:tc>
        <w:tc>
          <w:tcPr>
            <w:tcW w:w="0" w:type="auto"/>
            <w:tcBorders>
              <w:top w:val="nil"/>
              <w:left w:val="nil"/>
              <w:bottom w:val="single" w:sz="4" w:space="0" w:color="auto"/>
              <w:right w:val="single" w:sz="4" w:space="0" w:color="auto"/>
            </w:tcBorders>
            <w:shd w:val="clear" w:color="000000" w:fill="FFFFFF"/>
            <w:noWrap/>
            <w:vAlign w:val="center"/>
            <w:hideMark/>
          </w:tcPr>
          <w:p w14:paraId="242C403B"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0.0648</w:t>
            </w:r>
          </w:p>
        </w:tc>
        <w:tc>
          <w:tcPr>
            <w:tcW w:w="0" w:type="auto"/>
            <w:tcBorders>
              <w:top w:val="nil"/>
              <w:left w:val="nil"/>
              <w:bottom w:val="single" w:sz="4" w:space="0" w:color="auto"/>
              <w:right w:val="single" w:sz="4" w:space="0" w:color="auto"/>
            </w:tcBorders>
            <w:shd w:val="clear" w:color="000000" w:fill="FFFFFF"/>
            <w:noWrap/>
            <w:vAlign w:val="center"/>
            <w:hideMark/>
          </w:tcPr>
          <w:p w14:paraId="50A8EE80"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0.0540</w:t>
            </w:r>
          </w:p>
        </w:tc>
        <w:tc>
          <w:tcPr>
            <w:tcW w:w="0" w:type="auto"/>
            <w:tcBorders>
              <w:top w:val="nil"/>
              <w:left w:val="nil"/>
              <w:bottom w:val="single" w:sz="4" w:space="0" w:color="auto"/>
              <w:right w:val="single" w:sz="4" w:space="0" w:color="auto"/>
            </w:tcBorders>
            <w:shd w:val="clear" w:color="000000" w:fill="FFFFFF"/>
            <w:noWrap/>
            <w:vAlign w:val="center"/>
            <w:hideMark/>
          </w:tcPr>
          <w:p w14:paraId="7BD280E2"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0.0475</w:t>
            </w:r>
          </w:p>
        </w:tc>
        <w:tc>
          <w:tcPr>
            <w:tcW w:w="0" w:type="auto"/>
            <w:tcBorders>
              <w:top w:val="nil"/>
              <w:left w:val="nil"/>
              <w:bottom w:val="single" w:sz="4" w:space="0" w:color="auto"/>
              <w:right w:val="single" w:sz="4" w:space="0" w:color="auto"/>
            </w:tcBorders>
            <w:shd w:val="clear" w:color="000000" w:fill="FFFFFF"/>
            <w:noWrap/>
            <w:vAlign w:val="center"/>
            <w:hideMark/>
          </w:tcPr>
          <w:p w14:paraId="55A75CE1"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0.0980</w:t>
            </w:r>
          </w:p>
        </w:tc>
        <w:tc>
          <w:tcPr>
            <w:tcW w:w="0" w:type="auto"/>
            <w:tcBorders>
              <w:top w:val="nil"/>
              <w:left w:val="nil"/>
              <w:bottom w:val="single" w:sz="4" w:space="0" w:color="auto"/>
              <w:right w:val="single" w:sz="4" w:space="0" w:color="auto"/>
            </w:tcBorders>
            <w:shd w:val="clear" w:color="000000" w:fill="FFFFFF"/>
            <w:noWrap/>
            <w:vAlign w:val="center"/>
            <w:hideMark/>
          </w:tcPr>
          <w:p w14:paraId="10A30A78"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0.1400</w:t>
            </w:r>
          </w:p>
        </w:tc>
        <w:tc>
          <w:tcPr>
            <w:tcW w:w="0" w:type="auto"/>
            <w:tcBorders>
              <w:top w:val="nil"/>
              <w:left w:val="nil"/>
              <w:bottom w:val="single" w:sz="4" w:space="0" w:color="auto"/>
              <w:right w:val="single" w:sz="4" w:space="0" w:color="auto"/>
            </w:tcBorders>
            <w:shd w:val="clear" w:color="000000" w:fill="FFFFFF"/>
            <w:noWrap/>
            <w:vAlign w:val="center"/>
            <w:hideMark/>
          </w:tcPr>
          <w:p w14:paraId="59D55231"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0.3440</w:t>
            </w:r>
          </w:p>
        </w:tc>
        <w:tc>
          <w:tcPr>
            <w:tcW w:w="0" w:type="auto"/>
            <w:tcBorders>
              <w:top w:val="nil"/>
              <w:left w:val="nil"/>
              <w:bottom w:val="single" w:sz="4" w:space="0" w:color="auto"/>
              <w:right w:val="single" w:sz="4" w:space="0" w:color="auto"/>
            </w:tcBorders>
            <w:shd w:val="clear" w:color="000000" w:fill="FFFFFF"/>
            <w:noWrap/>
            <w:vAlign w:val="center"/>
            <w:hideMark/>
          </w:tcPr>
          <w:p w14:paraId="67BF0F45" w14:textId="77777777" w:rsidR="004C7FB6" w:rsidRPr="00E32653" w:rsidRDefault="004C7FB6" w:rsidP="004C7FB6">
            <w:pPr>
              <w:spacing w:after="0"/>
              <w:rPr>
                <w:rFonts w:asciiTheme="majorBidi" w:hAnsiTheme="majorBidi" w:cstheme="majorBidi"/>
                <w:sz w:val="18"/>
                <w:szCs w:val="18"/>
              </w:rPr>
            </w:pPr>
            <w:r w:rsidRPr="00E32653">
              <w:rPr>
                <w:rFonts w:asciiTheme="majorBidi" w:hAnsiTheme="majorBidi" w:cstheme="majorBidi"/>
                <w:sz w:val="18"/>
                <w:szCs w:val="18"/>
              </w:rPr>
              <w:t>0.9512</w:t>
            </w:r>
          </w:p>
        </w:tc>
      </w:tr>
    </w:tbl>
    <w:p w14:paraId="09C65AEF" w14:textId="68A252BB" w:rsidR="006740AC" w:rsidRPr="00E32653" w:rsidRDefault="006740AC" w:rsidP="00A32E0B">
      <w:pPr>
        <w:spacing w:line="276" w:lineRule="auto"/>
        <w:jc w:val="both"/>
        <w:rPr>
          <w:rFonts w:asciiTheme="majorBidi" w:hAnsiTheme="majorBidi" w:cstheme="majorBidi"/>
          <w:sz w:val="20"/>
          <w:szCs w:val="20"/>
          <w:shd w:val="clear" w:color="auto" w:fill="FFFFFF"/>
        </w:rPr>
      </w:pPr>
    </w:p>
    <w:sectPr w:rsidR="006740AC" w:rsidRPr="00E32653" w:rsidSect="003023E8">
      <w:footerReference w:type="default" r:id="rId3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C714A" w14:textId="77777777" w:rsidR="00714DD5" w:rsidRDefault="00714DD5" w:rsidP="006D3A39">
      <w:pPr>
        <w:spacing w:after="0" w:line="240" w:lineRule="auto"/>
      </w:pPr>
      <w:r>
        <w:separator/>
      </w:r>
    </w:p>
  </w:endnote>
  <w:endnote w:type="continuationSeparator" w:id="0">
    <w:p w14:paraId="69B96258" w14:textId="77777777" w:rsidR="00714DD5" w:rsidRDefault="00714DD5" w:rsidP="006D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OIND F+ Gulliver">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823148"/>
      <w:docPartObj>
        <w:docPartGallery w:val="Page Numbers (Bottom of Page)"/>
        <w:docPartUnique/>
      </w:docPartObj>
    </w:sdtPr>
    <w:sdtEndPr>
      <w:rPr>
        <w:rFonts w:asciiTheme="majorBidi" w:hAnsiTheme="majorBidi" w:cstheme="majorBidi"/>
        <w:noProof/>
        <w:sz w:val="20"/>
        <w:szCs w:val="20"/>
      </w:rPr>
    </w:sdtEndPr>
    <w:sdtContent>
      <w:p w14:paraId="0C152647" w14:textId="1C456C53" w:rsidR="005C2C3F" w:rsidRPr="00924363" w:rsidRDefault="005C2C3F">
        <w:pPr>
          <w:pStyle w:val="Footer"/>
          <w:jc w:val="right"/>
          <w:rPr>
            <w:rFonts w:asciiTheme="majorBidi" w:hAnsiTheme="majorBidi" w:cstheme="majorBidi"/>
            <w:sz w:val="20"/>
            <w:szCs w:val="20"/>
          </w:rPr>
        </w:pPr>
        <w:r w:rsidRPr="00924363">
          <w:rPr>
            <w:rFonts w:asciiTheme="majorBidi" w:hAnsiTheme="majorBidi" w:cstheme="majorBidi"/>
            <w:sz w:val="20"/>
            <w:szCs w:val="20"/>
          </w:rPr>
          <w:fldChar w:fldCharType="begin"/>
        </w:r>
        <w:r w:rsidRPr="00924363">
          <w:rPr>
            <w:rFonts w:asciiTheme="majorBidi" w:hAnsiTheme="majorBidi" w:cstheme="majorBidi"/>
            <w:sz w:val="20"/>
            <w:szCs w:val="20"/>
          </w:rPr>
          <w:instrText xml:space="preserve"> PAGE   \* MERGEFORMAT </w:instrText>
        </w:r>
        <w:r w:rsidRPr="00924363">
          <w:rPr>
            <w:rFonts w:asciiTheme="majorBidi" w:hAnsiTheme="majorBidi" w:cstheme="majorBidi"/>
            <w:sz w:val="20"/>
            <w:szCs w:val="20"/>
          </w:rPr>
          <w:fldChar w:fldCharType="separate"/>
        </w:r>
        <w:r w:rsidR="000C1452">
          <w:rPr>
            <w:rFonts w:asciiTheme="majorBidi" w:hAnsiTheme="majorBidi" w:cstheme="majorBidi"/>
            <w:noProof/>
            <w:sz w:val="20"/>
            <w:szCs w:val="20"/>
          </w:rPr>
          <w:t>1</w:t>
        </w:r>
        <w:r w:rsidRPr="00924363">
          <w:rPr>
            <w:rFonts w:asciiTheme="majorBidi" w:hAnsiTheme="majorBidi" w:cstheme="majorBidi"/>
            <w:noProof/>
            <w:sz w:val="20"/>
            <w:szCs w:val="20"/>
          </w:rPr>
          <w:fldChar w:fldCharType="end"/>
        </w:r>
      </w:p>
    </w:sdtContent>
  </w:sdt>
  <w:p w14:paraId="226A2C8A" w14:textId="77777777" w:rsidR="005C2C3F" w:rsidRDefault="005C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513FA" w14:textId="77777777" w:rsidR="00714DD5" w:rsidRDefault="00714DD5" w:rsidP="006D3A39">
      <w:pPr>
        <w:spacing w:after="0" w:line="240" w:lineRule="auto"/>
      </w:pPr>
      <w:r>
        <w:separator/>
      </w:r>
    </w:p>
  </w:footnote>
  <w:footnote w:type="continuationSeparator" w:id="0">
    <w:p w14:paraId="55B7F895" w14:textId="77777777" w:rsidR="00714DD5" w:rsidRDefault="00714DD5" w:rsidP="006D3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265"/>
    <w:multiLevelType w:val="multilevel"/>
    <w:tmpl w:val="9A367542"/>
    <w:lvl w:ilvl="0">
      <w:start w:val="2"/>
      <w:numFmt w:val="decimal"/>
      <w:lvlText w:val="%1"/>
      <w:lvlJc w:val="left"/>
      <w:pPr>
        <w:ind w:left="480" w:hanging="480"/>
      </w:pPr>
      <w:rPr>
        <w:rFonts w:hint="default"/>
        <w:i/>
      </w:rPr>
    </w:lvl>
    <w:lvl w:ilvl="1">
      <w:start w:val="2"/>
      <w:numFmt w:val="decimal"/>
      <w:lvlText w:val="%1.%2"/>
      <w:lvlJc w:val="left"/>
      <w:pPr>
        <w:ind w:left="660" w:hanging="480"/>
      </w:pPr>
      <w:rPr>
        <w:rFonts w:hint="default"/>
        <w:b/>
        <w:bCs/>
        <w:i w:val="0"/>
        <w:iCs/>
        <w:color w:val="auto"/>
      </w:rPr>
    </w:lvl>
    <w:lvl w:ilvl="2">
      <w:start w:val="1"/>
      <w:numFmt w:val="decimal"/>
      <w:lvlText w:val="%1.%2.%3"/>
      <w:lvlJc w:val="left"/>
      <w:pPr>
        <w:ind w:left="1080" w:hanging="720"/>
      </w:pPr>
      <w:rPr>
        <w:rFonts w:asciiTheme="majorBidi" w:hAnsiTheme="majorBidi" w:cstheme="majorBidi" w:hint="default"/>
        <w:b/>
        <w:bCs/>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 w15:restartNumberingAfterBreak="0">
    <w:nsid w:val="098F5849"/>
    <w:multiLevelType w:val="hybridMultilevel"/>
    <w:tmpl w:val="87C65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5F4427"/>
    <w:multiLevelType w:val="multilevel"/>
    <w:tmpl w:val="01CC2C1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261EB6"/>
    <w:multiLevelType w:val="hybridMultilevel"/>
    <w:tmpl w:val="DF4264C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3724C9E"/>
    <w:multiLevelType w:val="hybridMultilevel"/>
    <w:tmpl w:val="1C22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36904"/>
    <w:multiLevelType w:val="hybridMultilevel"/>
    <w:tmpl w:val="9132A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A0CC2"/>
    <w:multiLevelType w:val="multilevel"/>
    <w:tmpl w:val="54F0E478"/>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B6D1506"/>
    <w:multiLevelType w:val="hybridMultilevel"/>
    <w:tmpl w:val="6E58AD7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27A74DB"/>
    <w:multiLevelType w:val="hybridMultilevel"/>
    <w:tmpl w:val="B3BA5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03035"/>
    <w:multiLevelType w:val="hybridMultilevel"/>
    <w:tmpl w:val="5F607574"/>
    <w:lvl w:ilvl="0" w:tplc="649E9E84">
      <w:start w:val="1"/>
      <w:numFmt w:val="decimal"/>
      <w:lvlText w:val="[%1]"/>
      <w:lvlJc w:val="left"/>
      <w:pPr>
        <w:ind w:left="515" w:hanging="398"/>
      </w:pPr>
      <w:rPr>
        <w:rFonts w:ascii="Times New Roman" w:eastAsia="Times New Roman" w:hAnsi="Times New Roman" w:cs="Times New Roman" w:hint="default"/>
        <w:spacing w:val="-2"/>
        <w:w w:val="99"/>
        <w:sz w:val="22"/>
        <w:szCs w:val="22"/>
        <w:lang w:val="en-US" w:eastAsia="en-US" w:bidi="ar-SA"/>
      </w:rPr>
    </w:lvl>
    <w:lvl w:ilvl="1" w:tplc="9EF0F816">
      <w:numFmt w:val="bullet"/>
      <w:lvlText w:val="•"/>
      <w:lvlJc w:val="left"/>
      <w:pPr>
        <w:ind w:left="1398" w:hanging="398"/>
      </w:pPr>
      <w:rPr>
        <w:rFonts w:hint="default"/>
        <w:lang w:val="en-US" w:eastAsia="en-US" w:bidi="ar-SA"/>
      </w:rPr>
    </w:lvl>
    <w:lvl w:ilvl="2" w:tplc="F1D2B5F6">
      <w:numFmt w:val="bullet"/>
      <w:lvlText w:val="•"/>
      <w:lvlJc w:val="left"/>
      <w:pPr>
        <w:ind w:left="2277" w:hanging="398"/>
      </w:pPr>
      <w:rPr>
        <w:rFonts w:hint="default"/>
        <w:lang w:val="en-US" w:eastAsia="en-US" w:bidi="ar-SA"/>
      </w:rPr>
    </w:lvl>
    <w:lvl w:ilvl="3" w:tplc="236C2B6A">
      <w:numFmt w:val="bullet"/>
      <w:lvlText w:val="•"/>
      <w:lvlJc w:val="left"/>
      <w:pPr>
        <w:ind w:left="3156" w:hanging="398"/>
      </w:pPr>
      <w:rPr>
        <w:rFonts w:hint="default"/>
        <w:lang w:val="en-US" w:eastAsia="en-US" w:bidi="ar-SA"/>
      </w:rPr>
    </w:lvl>
    <w:lvl w:ilvl="4" w:tplc="D39A5F4C">
      <w:numFmt w:val="bullet"/>
      <w:lvlText w:val="•"/>
      <w:lvlJc w:val="left"/>
      <w:pPr>
        <w:ind w:left="4035" w:hanging="398"/>
      </w:pPr>
      <w:rPr>
        <w:rFonts w:hint="default"/>
        <w:lang w:val="en-US" w:eastAsia="en-US" w:bidi="ar-SA"/>
      </w:rPr>
    </w:lvl>
    <w:lvl w:ilvl="5" w:tplc="4DECBD8A">
      <w:numFmt w:val="bullet"/>
      <w:lvlText w:val="•"/>
      <w:lvlJc w:val="left"/>
      <w:pPr>
        <w:ind w:left="4913" w:hanging="398"/>
      </w:pPr>
      <w:rPr>
        <w:rFonts w:hint="default"/>
        <w:lang w:val="en-US" w:eastAsia="en-US" w:bidi="ar-SA"/>
      </w:rPr>
    </w:lvl>
    <w:lvl w:ilvl="6" w:tplc="D7DA58B2">
      <w:numFmt w:val="bullet"/>
      <w:lvlText w:val="•"/>
      <w:lvlJc w:val="left"/>
      <w:pPr>
        <w:ind w:left="5792" w:hanging="398"/>
      </w:pPr>
      <w:rPr>
        <w:rFonts w:hint="default"/>
        <w:lang w:val="en-US" w:eastAsia="en-US" w:bidi="ar-SA"/>
      </w:rPr>
    </w:lvl>
    <w:lvl w:ilvl="7" w:tplc="185E3E34">
      <w:numFmt w:val="bullet"/>
      <w:lvlText w:val="•"/>
      <w:lvlJc w:val="left"/>
      <w:pPr>
        <w:ind w:left="6671" w:hanging="398"/>
      </w:pPr>
      <w:rPr>
        <w:rFonts w:hint="default"/>
        <w:lang w:val="en-US" w:eastAsia="en-US" w:bidi="ar-SA"/>
      </w:rPr>
    </w:lvl>
    <w:lvl w:ilvl="8" w:tplc="C720B532">
      <w:numFmt w:val="bullet"/>
      <w:lvlText w:val="•"/>
      <w:lvlJc w:val="left"/>
      <w:pPr>
        <w:ind w:left="7550" w:hanging="398"/>
      </w:pPr>
      <w:rPr>
        <w:rFonts w:hint="default"/>
        <w:lang w:val="en-US" w:eastAsia="en-US" w:bidi="ar-SA"/>
      </w:rPr>
    </w:lvl>
  </w:abstractNum>
  <w:abstractNum w:abstractNumId="10" w15:restartNumberingAfterBreak="0">
    <w:nsid w:val="4FC32948"/>
    <w:multiLevelType w:val="hybridMultilevel"/>
    <w:tmpl w:val="EA766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634A75"/>
    <w:multiLevelType w:val="hybridMultilevel"/>
    <w:tmpl w:val="589CD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143721"/>
    <w:multiLevelType w:val="hybridMultilevel"/>
    <w:tmpl w:val="7B0842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1157108"/>
    <w:multiLevelType w:val="hybridMultilevel"/>
    <w:tmpl w:val="14F203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E979A2"/>
    <w:multiLevelType w:val="hybridMultilevel"/>
    <w:tmpl w:val="1DBE667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D7F4F68"/>
    <w:multiLevelType w:val="hybridMultilevel"/>
    <w:tmpl w:val="3B9AEE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666175447">
    <w:abstractNumId w:val="6"/>
  </w:num>
  <w:num w:numId="2" w16cid:durableId="800153760">
    <w:abstractNumId w:val="11"/>
  </w:num>
  <w:num w:numId="3" w16cid:durableId="1040476713">
    <w:abstractNumId w:val="8"/>
  </w:num>
  <w:num w:numId="4" w16cid:durableId="667098054">
    <w:abstractNumId w:val="5"/>
  </w:num>
  <w:num w:numId="5" w16cid:durableId="1324048796">
    <w:abstractNumId w:val="9"/>
  </w:num>
  <w:num w:numId="6" w16cid:durableId="1928802130">
    <w:abstractNumId w:val="0"/>
  </w:num>
  <w:num w:numId="7" w16cid:durableId="1380127083">
    <w:abstractNumId w:val="7"/>
  </w:num>
  <w:num w:numId="8" w16cid:durableId="626620601">
    <w:abstractNumId w:val="3"/>
  </w:num>
  <w:num w:numId="9" w16cid:durableId="1963219870">
    <w:abstractNumId w:val="15"/>
  </w:num>
  <w:num w:numId="10" w16cid:durableId="1320309060">
    <w:abstractNumId w:val="14"/>
  </w:num>
  <w:num w:numId="11" w16cid:durableId="1025398284">
    <w:abstractNumId w:val="1"/>
  </w:num>
  <w:num w:numId="12" w16cid:durableId="1998530414">
    <w:abstractNumId w:val="10"/>
  </w:num>
  <w:num w:numId="13" w16cid:durableId="994840293">
    <w:abstractNumId w:val="12"/>
  </w:num>
  <w:num w:numId="14" w16cid:durableId="970210152">
    <w:abstractNumId w:val="4"/>
  </w:num>
  <w:num w:numId="15" w16cid:durableId="2086340741">
    <w:abstractNumId w:val="2"/>
  </w:num>
  <w:num w:numId="16" w16cid:durableId="1740054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1MDU3sTQ1NjE2MTdX0lEKTi0uzszPAykwtqgFAHeHoWEtAAAA"/>
  </w:docVars>
  <w:rsids>
    <w:rsidRoot w:val="002C6CB5"/>
    <w:rsid w:val="00000D1D"/>
    <w:rsid w:val="00000E63"/>
    <w:rsid w:val="00001701"/>
    <w:rsid w:val="000018C2"/>
    <w:rsid w:val="000026B0"/>
    <w:rsid w:val="00002A1B"/>
    <w:rsid w:val="00003189"/>
    <w:rsid w:val="000039DC"/>
    <w:rsid w:val="00003CBD"/>
    <w:rsid w:val="00003ED6"/>
    <w:rsid w:val="00004366"/>
    <w:rsid w:val="00004835"/>
    <w:rsid w:val="0000544D"/>
    <w:rsid w:val="00006323"/>
    <w:rsid w:val="0000723F"/>
    <w:rsid w:val="00007283"/>
    <w:rsid w:val="000074FE"/>
    <w:rsid w:val="00007D8B"/>
    <w:rsid w:val="00007E36"/>
    <w:rsid w:val="00010363"/>
    <w:rsid w:val="00010518"/>
    <w:rsid w:val="00011BC8"/>
    <w:rsid w:val="00012A37"/>
    <w:rsid w:val="000131AB"/>
    <w:rsid w:val="0001356F"/>
    <w:rsid w:val="00013ABB"/>
    <w:rsid w:val="00013BE4"/>
    <w:rsid w:val="000144F1"/>
    <w:rsid w:val="0001611E"/>
    <w:rsid w:val="00017335"/>
    <w:rsid w:val="00017983"/>
    <w:rsid w:val="00017AAD"/>
    <w:rsid w:val="00020C9A"/>
    <w:rsid w:val="00021E92"/>
    <w:rsid w:val="00022252"/>
    <w:rsid w:val="00023110"/>
    <w:rsid w:val="000236EF"/>
    <w:rsid w:val="0002375E"/>
    <w:rsid w:val="00023853"/>
    <w:rsid w:val="00026A10"/>
    <w:rsid w:val="000271F1"/>
    <w:rsid w:val="000274D8"/>
    <w:rsid w:val="00027A90"/>
    <w:rsid w:val="00030460"/>
    <w:rsid w:val="000317BD"/>
    <w:rsid w:val="000342EA"/>
    <w:rsid w:val="0003626F"/>
    <w:rsid w:val="00036588"/>
    <w:rsid w:val="000366A3"/>
    <w:rsid w:val="000373A0"/>
    <w:rsid w:val="000375D4"/>
    <w:rsid w:val="00040FF6"/>
    <w:rsid w:val="00041FA6"/>
    <w:rsid w:val="0004207A"/>
    <w:rsid w:val="00043170"/>
    <w:rsid w:val="000433E0"/>
    <w:rsid w:val="00045420"/>
    <w:rsid w:val="00045D53"/>
    <w:rsid w:val="00047069"/>
    <w:rsid w:val="00047941"/>
    <w:rsid w:val="00047DC5"/>
    <w:rsid w:val="00050E27"/>
    <w:rsid w:val="00051645"/>
    <w:rsid w:val="00051CB2"/>
    <w:rsid w:val="00052BB7"/>
    <w:rsid w:val="000548D6"/>
    <w:rsid w:val="0005500B"/>
    <w:rsid w:val="00055467"/>
    <w:rsid w:val="000562E6"/>
    <w:rsid w:val="000579B6"/>
    <w:rsid w:val="00057AAC"/>
    <w:rsid w:val="00060670"/>
    <w:rsid w:val="00061124"/>
    <w:rsid w:val="00061D74"/>
    <w:rsid w:val="00061E1C"/>
    <w:rsid w:val="00061E81"/>
    <w:rsid w:val="00062991"/>
    <w:rsid w:val="00063190"/>
    <w:rsid w:val="00063742"/>
    <w:rsid w:val="000638DB"/>
    <w:rsid w:val="00065939"/>
    <w:rsid w:val="00066215"/>
    <w:rsid w:val="000679A5"/>
    <w:rsid w:val="000721E6"/>
    <w:rsid w:val="000723DA"/>
    <w:rsid w:val="0007431F"/>
    <w:rsid w:val="00074392"/>
    <w:rsid w:val="000743C3"/>
    <w:rsid w:val="00075C7D"/>
    <w:rsid w:val="00075E97"/>
    <w:rsid w:val="00076682"/>
    <w:rsid w:val="00080530"/>
    <w:rsid w:val="000833F5"/>
    <w:rsid w:val="00083668"/>
    <w:rsid w:val="00083687"/>
    <w:rsid w:val="000839A1"/>
    <w:rsid w:val="00086173"/>
    <w:rsid w:val="00086240"/>
    <w:rsid w:val="0009001B"/>
    <w:rsid w:val="000906E3"/>
    <w:rsid w:val="000917A8"/>
    <w:rsid w:val="00091E93"/>
    <w:rsid w:val="0009208C"/>
    <w:rsid w:val="00092B99"/>
    <w:rsid w:val="00092E82"/>
    <w:rsid w:val="00093DAB"/>
    <w:rsid w:val="00094362"/>
    <w:rsid w:val="000954CF"/>
    <w:rsid w:val="00095EC9"/>
    <w:rsid w:val="0009638F"/>
    <w:rsid w:val="00096FF3"/>
    <w:rsid w:val="000979E4"/>
    <w:rsid w:val="000A0F27"/>
    <w:rsid w:val="000A172B"/>
    <w:rsid w:val="000A1B17"/>
    <w:rsid w:val="000A32B4"/>
    <w:rsid w:val="000A3FC2"/>
    <w:rsid w:val="000A40F7"/>
    <w:rsid w:val="000A4A46"/>
    <w:rsid w:val="000A5623"/>
    <w:rsid w:val="000A5FBC"/>
    <w:rsid w:val="000A794F"/>
    <w:rsid w:val="000A7DC8"/>
    <w:rsid w:val="000B0B54"/>
    <w:rsid w:val="000B1382"/>
    <w:rsid w:val="000B2B12"/>
    <w:rsid w:val="000B2B85"/>
    <w:rsid w:val="000B4295"/>
    <w:rsid w:val="000B5027"/>
    <w:rsid w:val="000B57D6"/>
    <w:rsid w:val="000B6AB1"/>
    <w:rsid w:val="000C0F3E"/>
    <w:rsid w:val="000C1452"/>
    <w:rsid w:val="000C42E4"/>
    <w:rsid w:val="000C4394"/>
    <w:rsid w:val="000C48BC"/>
    <w:rsid w:val="000C5A43"/>
    <w:rsid w:val="000C5FFB"/>
    <w:rsid w:val="000C709C"/>
    <w:rsid w:val="000D043A"/>
    <w:rsid w:val="000D1C20"/>
    <w:rsid w:val="000D1D9E"/>
    <w:rsid w:val="000D1F52"/>
    <w:rsid w:val="000D1FDA"/>
    <w:rsid w:val="000D27D8"/>
    <w:rsid w:val="000D297F"/>
    <w:rsid w:val="000D2986"/>
    <w:rsid w:val="000D31EA"/>
    <w:rsid w:val="000D3A37"/>
    <w:rsid w:val="000D3A7F"/>
    <w:rsid w:val="000D5701"/>
    <w:rsid w:val="000D5A9F"/>
    <w:rsid w:val="000D6762"/>
    <w:rsid w:val="000D7311"/>
    <w:rsid w:val="000D7477"/>
    <w:rsid w:val="000D7D47"/>
    <w:rsid w:val="000E1402"/>
    <w:rsid w:val="000E2BB5"/>
    <w:rsid w:val="000E357F"/>
    <w:rsid w:val="000E3684"/>
    <w:rsid w:val="000E4CCE"/>
    <w:rsid w:val="000E6164"/>
    <w:rsid w:val="000E64D3"/>
    <w:rsid w:val="000E69B7"/>
    <w:rsid w:val="000E73CE"/>
    <w:rsid w:val="000F1B3C"/>
    <w:rsid w:val="000F39A8"/>
    <w:rsid w:val="000F407D"/>
    <w:rsid w:val="000F4C4E"/>
    <w:rsid w:val="000F5D72"/>
    <w:rsid w:val="000F7120"/>
    <w:rsid w:val="000F733A"/>
    <w:rsid w:val="000F736D"/>
    <w:rsid w:val="000F73EC"/>
    <w:rsid w:val="0010012F"/>
    <w:rsid w:val="00100BA8"/>
    <w:rsid w:val="0010206F"/>
    <w:rsid w:val="0010258E"/>
    <w:rsid w:val="00102B0C"/>
    <w:rsid w:val="0010306F"/>
    <w:rsid w:val="00103A07"/>
    <w:rsid w:val="001052BF"/>
    <w:rsid w:val="00105AAD"/>
    <w:rsid w:val="00105B4F"/>
    <w:rsid w:val="0010687B"/>
    <w:rsid w:val="00107197"/>
    <w:rsid w:val="001075C7"/>
    <w:rsid w:val="00110A3F"/>
    <w:rsid w:val="00112011"/>
    <w:rsid w:val="0011556A"/>
    <w:rsid w:val="001162EB"/>
    <w:rsid w:val="00116A00"/>
    <w:rsid w:val="00116B09"/>
    <w:rsid w:val="00117A96"/>
    <w:rsid w:val="00120F5E"/>
    <w:rsid w:val="00122728"/>
    <w:rsid w:val="00122CBD"/>
    <w:rsid w:val="00122F75"/>
    <w:rsid w:val="0012306F"/>
    <w:rsid w:val="0012329F"/>
    <w:rsid w:val="0012428B"/>
    <w:rsid w:val="001269CA"/>
    <w:rsid w:val="00126E8E"/>
    <w:rsid w:val="00127220"/>
    <w:rsid w:val="00127BBE"/>
    <w:rsid w:val="00131640"/>
    <w:rsid w:val="001323C6"/>
    <w:rsid w:val="00132951"/>
    <w:rsid w:val="001330DC"/>
    <w:rsid w:val="00135215"/>
    <w:rsid w:val="00136A18"/>
    <w:rsid w:val="00136ABB"/>
    <w:rsid w:val="00136BD5"/>
    <w:rsid w:val="0014049B"/>
    <w:rsid w:val="0014117A"/>
    <w:rsid w:val="00143814"/>
    <w:rsid w:val="0014766E"/>
    <w:rsid w:val="00151518"/>
    <w:rsid w:val="001536CF"/>
    <w:rsid w:val="00153DBE"/>
    <w:rsid w:val="0015433E"/>
    <w:rsid w:val="00154402"/>
    <w:rsid w:val="00154B0B"/>
    <w:rsid w:val="00155453"/>
    <w:rsid w:val="001554F1"/>
    <w:rsid w:val="0015597D"/>
    <w:rsid w:val="00155DC6"/>
    <w:rsid w:val="00155FFE"/>
    <w:rsid w:val="001562C7"/>
    <w:rsid w:val="0015698A"/>
    <w:rsid w:val="00157569"/>
    <w:rsid w:val="00161F5F"/>
    <w:rsid w:val="001624FD"/>
    <w:rsid w:val="0016265E"/>
    <w:rsid w:val="0016341C"/>
    <w:rsid w:val="001642EF"/>
    <w:rsid w:val="0016433B"/>
    <w:rsid w:val="001655E6"/>
    <w:rsid w:val="00165F2B"/>
    <w:rsid w:val="0016624D"/>
    <w:rsid w:val="001665BD"/>
    <w:rsid w:val="00166D08"/>
    <w:rsid w:val="0017041A"/>
    <w:rsid w:val="00170EB3"/>
    <w:rsid w:val="00172C38"/>
    <w:rsid w:val="001731FB"/>
    <w:rsid w:val="00174CE5"/>
    <w:rsid w:val="00174EA2"/>
    <w:rsid w:val="00174FFB"/>
    <w:rsid w:val="0017522A"/>
    <w:rsid w:val="00175685"/>
    <w:rsid w:val="00175ABD"/>
    <w:rsid w:val="00180AD5"/>
    <w:rsid w:val="00180D53"/>
    <w:rsid w:val="00183431"/>
    <w:rsid w:val="0018343A"/>
    <w:rsid w:val="0018350B"/>
    <w:rsid w:val="00183585"/>
    <w:rsid w:val="00183B39"/>
    <w:rsid w:val="00184C94"/>
    <w:rsid w:val="00185240"/>
    <w:rsid w:val="00185E6F"/>
    <w:rsid w:val="00187896"/>
    <w:rsid w:val="001907C5"/>
    <w:rsid w:val="00191E9D"/>
    <w:rsid w:val="0019214A"/>
    <w:rsid w:val="0019330D"/>
    <w:rsid w:val="001937C7"/>
    <w:rsid w:val="0019488C"/>
    <w:rsid w:val="001953E0"/>
    <w:rsid w:val="001967AC"/>
    <w:rsid w:val="001A085A"/>
    <w:rsid w:val="001A0AEA"/>
    <w:rsid w:val="001A0F33"/>
    <w:rsid w:val="001A167D"/>
    <w:rsid w:val="001A17E3"/>
    <w:rsid w:val="001A1832"/>
    <w:rsid w:val="001A1CDB"/>
    <w:rsid w:val="001A1F5C"/>
    <w:rsid w:val="001A2C9D"/>
    <w:rsid w:val="001A2F32"/>
    <w:rsid w:val="001A3846"/>
    <w:rsid w:val="001A3B3C"/>
    <w:rsid w:val="001A4684"/>
    <w:rsid w:val="001A48EA"/>
    <w:rsid w:val="001A4C73"/>
    <w:rsid w:val="001A4CE7"/>
    <w:rsid w:val="001A524B"/>
    <w:rsid w:val="001A5BA1"/>
    <w:rsid w:val="001A6655"/>
    <w:rsid w:val="001A6CD8"/>
    <w:rsid w:val="001A7E9C"/>
    <w:rsid w:val="001B0D34"/>
    <w:rsid w:val="001B1717"/>
    <w:rsid w:val="001B339B"/>
    <w:rsid w:val="001B361E"/>
    <w:rsid w:val="001B3C87"/>
    <w:rsid w:val="001B4C38"/>
    <w:rsid w:val="001B4F1C"/>
    <w:rsid w:val="001B4FB8"/>
    <w:rsid w:val="001B5188"/>
    <w:rsid w:val="001B5DAE"/>
    <w:rsid w:val="001B639D"/>
    <w:rsid w:val="001B7693"/>
    <w:rsid w:val="001C04D4"/>
    <w:rsid w:val="001C0BD9"/>
    <w:rsid w:val="001C12D4"/>
    <w:rsid w:val="001C18A5"/>
    <w:rsid w:val="001C29C4"/>
    <w:rsid w:val="001C2A31"/>
    <w:rsid w:val="001C2F5B"/>
    <w:rsid w:val="001C3FB6"/>
    <w:rsid w:val="001C4B0C"/>
    <w:rsid w:val="001C5E86"/>
    <w:rsid w:val="001C7753"/>
    <w:rsid w:val="001D0898"/>
    <w:rsid w:val="001D091F"/>
    <w:rsid w:val="001D10A1"/>
    <w:rsid w:val="001D181E"/>
    <w:rsid w:val="001D2404"/>
    <w:rsid w:val="001D257A"/>
    <w:rsid w:val="001D3CFB"/>
    <w:rsid w:val="001D41C5"/>
    <w:rsid w:val="001D4258"/>
    <w:rsid w:val="001D5CFB"/>
    <w:rsid w:val="001D640A"/>
    <w:rsid w:val="001D745F"/>
    <w:rsid w:val="001D7EC6"/>
    <w:rsid w:val="001E06C9"/>
    <w:rsid w:val="001E0A0D"/>
    <w:rsid w:val="001E0BDC"/>
    <w:rsid w:val="001E0DBC"/>
    <w:rsid w:val="001E0EFC"/>
    <w:rsid w:val="001E0F4D"/>
    <w:rsid w:val="001E1146"/>
    <w:rsid w:val="001E18A9"/>
    <w:rsid w:val="001E20FF"/>
    <w:rsid w:val="001E2581"/>
    <w:rsid w:val="001E5086"/>
    <w:rsid w:val="001E7174"/>
    <w:rsid w:val="001E7890"/>
    <w:rsid w:val="001F0426"/>
    <w:rsid w:val="001F11A7"/>
    <w:rsid w:val="001F1787"/>
    <w:rsid w:val="001F1903"/>
    <w:rsid w:val="001F30CD"/>
    <w:rsid w:val="001F3A19"/>
    <w:rsid w:val="001F3EC2"/>
    <w:rsid w:val="001F42BA"/>
    <w:rsid w:val="001F4904"/>
    <w:rsid w:val="001F4D5A"/>
    <w:rsid w:val="001F4E9A"/>
    <w:rsid w:val="001F56A4"/>
    <w:rsid w:val="001F5BF3"/>
    <w:rsid w:val="001F6DC0"/>
    <w:rsid w:val="001F6ECA"/>
    <w:rsid w:val="001F785F"/>
    <w:rsid w:val="001F78CC"/>
    <w:rsid w:val="001F7AE8"/>
    <w:rsid w:val="002004DC"/>
    <w:rsid w:val="00200E29"/>
    <w:rsid w:val="002026FA"/>
    <w:rsid w:val="0020479B"/>
    <w:rsid w:val="0020489E"/>
    <w:rsid w:val="0020604E"/>
    <w:rsid w:val="00206BDC"/>
    <w:rsid w:val="002075CC"/>
    <w:rsid w:val="00207845"/>
    <w:rsid w:val="00207BC5"/>
    <w:rsid w:val="00207E77"/>
    <w:rsid w:val="00207E7C"/>
    <w:rsid w:val="00207ECF"/>
    <w:rsid w:val="00210053"/>
    <w:rsid w:val="002106D1"/>
    <w:rsid w:val="00212121"/>
    <w:rsid w:val="00213FCB"/>
    <w:rsid w:val="00214EA8"/>
    <w:rsid w:val="00215F77"/>
    <w:rsid w:val="00216D0D"/>
    <w:rsid w:val="0021790D"/>
    <w:rsid w:val="00220064"/>
    <w:rsid w:val="00221287"/>
    <w:rsid w:val="0022130D"/>
    <w:rsid w:val="00222074"/>
    <w:rsid w:val="00224556"/>
    <w:rsid w:val="002247D2"/>
    <w:rsid w:val="00225930"/>
    <w:rsid w:val="0022595B"/>
    <w:rsid w:val="00225C3C"/>
    <w:rsid w:val="002274DA"/>
    <w:rsid w:val="00227533"/>
    <w:rsid w:val="002305B6"/>
    <w:rsid w:val="002305CA"/>
    <w:rsid w:val="00230CFB"/>
    <w:rsid w:val="00230D7A"/>
    <w:rsid w:val="002315EE"/>
    <w:rsid w:val="00233D2B"/>
    <w:rsid w:val="00234C50"/>
    <w:rsid w:val="00234EF0"/>
    <w:rsid w:val="00236094"/>
    <w:rsid w:val="00237BB7"/>
    <w:rsid w:val="002404CA"/>
    <w:rsid w:val="00241342"/>
    <w:rsid w:val="002428E4"/>
    <w:rsid w:val="00242B3F"/>
    <w:rsid w:val="00243068"/>
    <w:rsid w:val="00243CB0"/>
    <w:rsid w:val="00243DB7"/>
    <w:rsid w:val="00244DE9"/>
    <w:rsid w:val="00245069"/>
    <w:rsid w:val="00247994"/>
    <w:rsid w:val="00247D1E"/>
    <w:rsid w:val="00252972"/>
    <w:rsid w:val="00252C46"/>
    <w:rsid w:val="00252C87"/>
    <w:rsid w:val="00253954"/>
    <w:rsid w:val="00253C3A"/>
    <w:rsid w:val="00253E3E"/>
    <w:rsid w:val="00255814"/>
    <w:rsid w:val="0025649E"/>
    <w:rsid w:val="00256A2C"/>
    <w:rsid w:val="00257920"/>
    <w:rsid w:val="00261505"/>
    <w:rsid w:val="00262DD7"/>
    <w:rsid w:val="00263605"/>
    <w:rsid w:val="002639B6"/>
    <w:rsid w:val="0026402B"/>
    <w:rsid w:val="00264751"/>
    <w:rsid w:val="00264BF8"/>
    <w:rsid w:val="0026624E"/>
    <w:rsid w:val="0026723F"/>
    <w:rsid w:val="002679A6"/>
    <w:rsid w:val="00271F71"/>
    <w:rsid w:val="002724A8"/>
    <w:rsid w:val="002730B1"/>
    <w:rsid w:val="0027342D"/>
    <w:rsid w:val="002738C9"/>
    <w:rsid w:val="00273E11"/>
    <w:rsid w:val="0027445C"/>
    <w:rsid w:val="002765DF"/>
    <w:rsid w:val="00280B58"/>
    <w:rsid w:val="002827B4"/>
    <w:rsid w:val="00282919"/>
    <w:rsid w:val="00282D60"/>
    <w:rsid w:val="00283372"/>
    <w:rsid w:val="00283C61"/>
    <w:rsid w:val="00284D99"/>
    <w:rsid w:val="00286263"/>
    <w:rsid w:val="00286515"/>
    <w:rsid w:val="00286B16"/>
    <w:rsid w:val="0028733B"/>
    <w:rsid w:val="00290236"/>
    <w:rsid w:val="0029128E"/>
    <w:rsid w:val="00291D21"/>
    <w:rsid w:val="002924BD"/>
    <w:rsid w:val="002940D8"/>
    <w:rsid w:val="002945B1"/>
    <w:rsid w:val="002947F4"/>
    <w:rsid w:val="002959B7"/>
    <w:rsid w:val="00297412"/>
    <w:rsid w:val="00297560"/>
    <w:rsid w:val="00297CBB"/>
    <w:rsid w:val="00297D38"/>
    <w:rsid w:val="002A0430"/>
    <w:rsid w:val="002A1284"/>
    <w:rsid w:val="002A3634"/>
    <w:rsid w:val="002A38BB"/>
    <w:rsid w:val="002A3926"/>
    <w:rsid w:val="002A3D33"/>
    <w:rsid w:val="002A498C"/>
    <w:rsid w:val="002A5224"/>
    <w:rsid w:val="002A5AF3"/>
    <w:rsid w:val="002A71F6"/>
    <w:rsid w:val="002B011D"/>
    <w:rsid w:val="002B0B48"/>
    <w:rsid w:val="002B1CE8"/>
    <w:rsid w:val="002B35A5"/>
    <w:rsid w:val="002B4048"/>
    <w:rsid w:val="002B4380"/>
    <w:rsid w:val="002B58C5"/>
    <w:rsid w:val="002B5DED"/>
    <w:rsid w:val="002B5F90"/>
    <w:rsid w:val="002B6295"/>
    <w:rsid w:val="002B6DBC"/>
    <w:rsid w:val="002B7647"/>
    <w:rsid w:val="002B7B8C"/>
    <w:rsid w:val="002C0630"/>
    <w:rsid w:val="002C10A6"/>
    <w:rsid w:val="002C148B"/>
    <w:rsid w:val="002C27DA"/>
    <w:rsid w:val="002C3351"/>
    <w:rsid w:val="002C3EB2"/>
    <w:rsid w:val="002C4233"/>
    <w:rsid w:val="002C58F1"/>
    <w:rsid w:val="002C5A85"/>
    <w:rsid w:val="002C635B"/>
    <w:rsid w:val="002C6CB5"/>
    <w:rsid w:val="002C7378"/>
    <w:rsid w:val="002D350D"/>
    <w:rsid w:val="002D3F7E"/>
    <w:rsid w:val="002D44DE"/>
    <w:rsid w:val="002D47F7"/>
    <w:rsid w:val="002E07F9"/>
    <w:rsid w:val="002E1417"/>
    <w:rsid w:val="002E15A8"/>
    <w:rsid w:val="002E206E"/>
    <w:rsid w:val="002E337F"/>
    <w:rsid w:val="002E3B5A"/>
    <w:rsid w:val="002E41B2"/>
    <w:rsid w:val="002E49DC"/>
    <w:rsid w:val="002E579A"/>
    <w:rsid w:val="002E71D1"/>
    <w:rsid w:val="002F1B66"/>
    <w:rsid w:val="002F216D"/>
    <w:rsid w:val="002F40DC"/>
    <w:rsid w:val="002F5150"/>
    <w:rsid w:val="002F59F3"/>
    <w:rsid w:val="002F5F17"/>
    <w:rsid w:val="002F7421"/>
    <w:rsid w:val="003001E8"/>
    <w:rsid w:val="00300942"/>
    <w:rsid w:val="003023E8"/>
    <w:rsid w:val="00302D7E"/>
    <w:rsid w:val="00306816"/>
    <w:rsid w:val="00307235"/>
    <w:rsid w:val="00307482"/>
    <w:rsid w:val="00307F4D"/>
    <w:rsid w:val="00310450"/>
    <w:rsid w:val="00310487"/>
    <w:rsid w:val="00310970"/>
    <w:rsid w:val="0031169A"/>
    <w:rsid w:val="00311C1C"/>
    <w:rsid w:val="00312219"/>
    <w:rsid w:val="00312F22"/>
    <w:rsid w:val="00313F4E"/>
    <w:rsid w:val="00314657"/>
    <w:rsid w:val="00315659"/>
    <w:rsid w:val="00316769"/>
    <w:rsid w:val="0031732E"/>
    <w:rsid w:val="00320C92"/>
    <w:rsid w:val="00320CA3"/>
    <w:rsid w:val="00320FE7"/>
    <w:rsid w:val="003219C9"/>
    <w:rsid w:val="00321F77"/>
    <w:rsid w:val="003227CB"/>
    <w:rsid w:val="00323868"/>
    <w:rsid w:val="0032476F"/>
    <w:rsid w:val="00324CBB"/>
    <w:rsid w:val="00326CAD"/>
    <w:rsid w:val="00326D3E"/>
    <w:rsid w:val="00327332"/>
    <w:rsid w:val="00327E52"/>
    <w:rsid w:val="003301EE"/>
    <w:rsid w:val="00330EAB"/>
    <w:rsid w:val="0033110F"/>
    <w:rsid w:val="0033148D"/>
    <w:rsid w:val="00331969"/>
    <w:rsid w:val="003341BD"/>
    <w:rsid w:val="00335E09"/>
    <w:rsid w:val="003364D9"/>
    <w:rsid w:val="00337A52"/>
    <w:rsid w:val="0034029F"/>
    <w:rsid w:val="003403A7"/>
    <w:rsid w:val="00340DA1"/>
    <w:rsid w:val="0034188F"/>
    <w:rsid w:val="00344A97"/>
    <w:rsid w:val="0034532B"/>
    <w:rsid w:val="00346E8B"/>
    <w:rsid w:val="003479D5"/>
    <w:rsid w:val="0035233D"/>
    <w:rsid w:val="00352D7E"/>
    <w:rsid w:val="003535E1"/>
    <w:rsid w:val="00353AAC"/>
    <w:rsid w:val="0035596E"/>
    <w:rsid w:val="00361C78"/>
    <w:rsid w:val="00363217"/>
    <w:rsid w:val="0036430C"/>
    <w:rsid w:val="00365839"/>
    <w:rsid w:val="00367154"/>
    <w:rsid w:val="00367A37"/>
    <w:rsid w:val="00367A55"/>
    <w:rsid w:val="003707A4"/>
    <w:rsid w:val="00371144"/>
    <w:rsid w:val="00372454"/>
    <w:rsid w:val="00372867"/>
    <w:rsid w:val="003731F9"/>
    <w:rsid w:val="003732BF"/>
    <w:rsid w:val="0037606D"/>
    <w:rsid w:val="0037623D"/>
    <w:rsid w:val="0037659E"/>
    <w:rsid w:val="00377048"/>
    <w:rsid w:val="003770FA"/>
    <w:rsid w:val="0038085D"/>
    <w:rsid w:val="00381373"/>
    <w:rsid w:val="00381397"/>
    <w:rsid w:val="00381690"/>
    <w:rsid w:val="00381FFD"/>
    <w:rsid w:val="0038284C"/>
    <w:rsid w:val="00382E55"/>
    <w:rsid w:val="00382F46"/>
    <w:rsid w:val="00383213"/>
    <w:rsid w:val="003837DF"/>
    <w:rsid w:val="00383FBC"/>
    <w:rsid w:val="003840A7"/>
    <w:rsid w:val="00385E4B"/>
    <w:rsid w:val="00385F7E"/>
    <w:rsid w:val="00386497"/>
    <w:rsid w:val="003867FE"/>
    <w:rsid w:val="003879B2"/>
    <w:rsid w:val="00390050"/>
    <w:rsid w:val="00393724"/>
    <w:rsid w:val="00396D00"/>
    <w:rsid w:val="00397ABC"/>
    <w:rsid w:val="00397E90"/>
    <w:rsid w:val="003A0072"/>
    <w:rsid w:val="003A1145"/>
    <w:rsid w:val="003A225B"/>
    <w:rsid w:val="003A26F7"/>
    <w:rsid w:val="003A2B3D"/>
    <w:rsid w:val="003A2C14"/>
    <w:rsid w:val="003A468B"/>
    <w:rsid w:val="003A74D0"/>
    <w:rsid w:val="003A7813"/>
    <w:rsid w:val="003B045D"/>
    <w:rsid w:val="003B0479"/>
    <w:rsid w:val="003B0BD1"/>
    <w:rsid w:val="003B0BD7"/>
    <w:rsid w:val="003B2572"/>
    <w:rsid w:val="003B25C6"/>
    <w:rsid w:val="003B34DA"/>
    <w:rsid w:val="003B4F35"/>
    <w:rsid w:val="003B54DF"/>
    <w:rsid w:val="003B5E13"/>
    <w:rsid w:val="003B5EF7"/>
    <w:rsid w:val="003B612A"/>
    <w:rsid w:val="003B626D"/>
    <w:rsid w:val="003B63F0"/>
    <w:rsid w:val="003B6497"/>
    <w:rsid w:val="003C0214"/>
    <w:rsid w:val="003C07F3"/>
    <w:rsid w:val="003C0B3A"/>
    <w:rsid w:val="003C0DC7"/>
    <w:rsid w:val="003C17BC"/>
    <w:rsid w:val="003C2263"/>
    <w:rsid w:val="003C28F9"/>
    <w:rsid w:val="003C29A4"/>
    <w:rsid w:val="003C2CC7"/>
    <w:rsid w:val="003C317C"/>
    <w:rsid w:val="003C44D4"/>
    <w:rsid w:val="003C4528"/>
    <w:rsid w:val="003C4D11"/>
    <w:rsid w:val="003C5C3A"/>
    <w:rsid w:val="003C606B"/>
    <w:rsid w:val="003C6271"/>
    <w:rsid w:val="003C71B0"/>
    <w:rsid w:val="003C72BB"/>
    <w:rsid w:val="003D1B4C"/>
    <w:rsid w:val="003D25C2"/>
    <w:rsid w:val="003D2AEA"/>
    <w:rsid w:val="003D365C"/>
    <w:rsid w:val="003D464C"/>
    <w:rsid w:val="003D5CF9"/>
    <w:rsid w:val="003D5EAA"/>
    <w:rsid w:val="003D6D46"/>
    <w:rsid w:val="003D71FE"/>
    <w:rsid w:val="003D7965"/>
    <w:rsid w:val="003E06A8"/>
    <w:rsid w:val="003E11F7"/>
    <w:rsid w:val="003E1843"/>
    <w:rsid w:val="003E193F"/>
    <w:rsid w:val="003E1A21"/>
    <w:rsid w:val="003E206B"/>
    <w:rsid w:val="003E54B4"/>
    <w:rsid w:val="003E726B"/>
    <w:rsid w:val="003E73D6"/>
    <w:rsid w:val="003E74AE"/>
    <w:rsid w:val="003E7E7F"/>
    <w:rsid w:val="003F264A"/>
    <w:rsid w:val="003F32FB"/>
    <w:rsid w:val="003F4665"/>
    <w:rsid w:val="003F53F3"/>
    <w:rsid w:val="003F5F00"/>
    <w:rsid w:val="003F69F4"/>
    <w:rsid w:val="0040052F"/>
    <w:rsid w:val="004008FC"/>
    <w:rsid w:val="0040117C"/>
    <w:rsid w:val="00401566"/>
    <w:rsid w:val="004021D5"/>
    <w:rsid w:val="00402FD6"/>
    <w:rsid w:val="00404F6D"/>
    <w:rsid w:val="00405309"/>
    <w:rsid w:val="0041359B"/>
    <w:rsid w:val="00414262"/>
    <w:rsid w:val="004148C8"/>
    <w:rsid w:val="00414C6E"/>
    <w:rsid w:val="00414FD6"/>
    <w:rsid w:val="0041722A"/>
    <w:rsid w:val="00417B67"/>
    <w:rsid w:val="004210DE"/>
    <w:rsid w:val="004222E0"/>
    <w:rsid w:val="004232D7"/>
    <w:rsid w:val="00423BE0"/>
    <w:rsid w:val="004244EA"/>
    <w:rsid w:val="00424977"/>
    <w:rsid w:val="00424C5B"/>
    <w:rsid w:val="00424DE0"/>
    <w:rsid w:val="0042504A"/>
    <w:rsid w:val="00427863"/>
    <w:rsid w:val="004278D6"/>
    <w:rsid w:val="0043037E"/>
    <w:rsid w:val="004307AB"/>
    <w:rsid w:val="004309AA"/>
    <w:rsid w:val="00430FF7"/>
    <w:rsid w:val="004317CA"/>
    <w:rsid w:val="00432928"/>
    <w:rsid w:val="00433F81"/>
    <w:rsid w:val="00435F28"/>
    <w:rsid w:val="00437499"/>
    <w:rsid w:val="004375DA"/>
    <w:rsid w:val="004404D8"/>
    <w:rsid w:val="00440977"/>
    <w:rsid w:val="004409F1"/>
    <w:rsid w:val="0044200D"/>
    <w:rsid w:val="004421F6"/>
    <w:rsid w:val="004435BC"/>
    <w:rsid w:val="00443D41"/>
    <w:rsid w:val="00444E67"/>
    <w:rsid w:val="004477B8"/>
    <w:rsid w:val="004505F7"/>
    <w:rsid w:val="00450BB7"/>
    <w:rsid w:val="00450BE6"/>
    <w:rsid w:val="0045117C"/>
    <w:rsid w:val="00451406"/>
    <w:rsid w:val="00453A2E"/>
    <w:rsid w:val="0045405A"/>
    <w:rsid w:val="004544BD"/>
    <w:rsid w:val="00454F62"/>
    <w:rsid w:val="00455D1B"/>
    <w:rsid w:val="00457192"/>
    <w:rsid w:val="0046077F"/>
    <w:rsid w:val="00460B2C"/>
    <w:rsid w:val="00460D2B"/>
    <w:rsid w:val="00460D81"/>
    <w:rsid w:val="0046209F"/>
    <w:rsid w:val="004623B1"/>
    <w:rsid w:val="0046331B"/>
    <w:rsid w:val="00463D53"/>
    <w:rsid w:val="004652F3"/>
    <w:rsid w:val="00465476"/>
    <w:rsid w:val="0046562E"/>
    <w:rsid w:val="00466914"/>
    <w:rsid w:val="004701AF"/>
    <w:rsid w:val="00471437"/>
    <w:rsid w:val="00471450"/>
    <w:rsid w:val="004719F5"/>
    <w:rsid w:val="0047293E"/>
    <w:rsid w:val="00473082"/>
    <w:rsid w:val="00473ED3"/>
    <w:rsid w:val="004749F3"/>
    <w:rsid w:val="004757F2"/>
    <w:rsid w:val="00475CA9"/>
    <w:rsid w:val="00476FC3"/>
    <w:rsid w:val="0047760C"/>
    <w:rsid w:val="004777F6"/>
    <w:rsid w:val="00477DDC"/>
    <w:rsid w:val="00477FD1"/>
    <w:rsid w:val="0048124A"/>
    <w:rsid w:val="00481836"/>
    <w:rsid w:val="00481AFC"/>
    <w:rsid w:val="004822E1"/>
    <w:rsid w:val="00482CBA"/>
    <w:rsid w:val="00482EA4"/>
    <w:rsid w:val="00483EA8"/>
    <w:rsid w:val="00484832"/>
    <w:rsid w:val="0048610E"/>
    <w:rsid w:val="00487725"/>
    <w:rsid w:val="00491564"/>
    <w:rsid w:val="00491AE0"/>
    <w:rsid w:val="004939C8"/>
    <w:rsid w:val="004943EE"/>
    <w:rsid w:val="00495FEB"/>
    <w:rsid w:val="004964B0"/>
    <w:rsid w:val="00496889"/>
    <w:rsid w:val="004975B0"/>
    <w:rsid w:val="00497910"/>
    <w:rsid w:val="004A0910"/>
    <w:rsid w:val="004A3496"/>
    <w:rsid w:val="004A3B18"/>
    <w:rsid w:val="004A571E"/>
    <w:rsid w:val="004A57FC"/>
    <w:rsid w:val="004A5A54"/>
    <w:rsid w:val="004A5CDE"/>
    <w:rsid w:val="004A5DB1"/>
    <w:rsid w:val="004A5FF0"/>
    <w:rsid w:val="004A6AB1"/>
    <w:rsid w:val="004A7323"/>
    <w:rsid w:val="004A7750"/>
    <w:rsid w:val="004B1180"/>
    <w:rsid w:val="004B12EA"/>
    <w:rsid w:val="004B23A3"/>
    <w:rsid w:val="004B2F52"/>
    <w:rsid w:val="004B31DA"/>
    <w:rsid w:val="004B342F"/>
    <w:rsid w:val="004B523D"/>
    <w:rsid w:val="004B5A4B"/>
    <w:rsid w:val="004B76AA"/>
    <w:rsid w:val="004B7EB1"/>
    <w:rsid w:val="004C0375"/>
    <w:rsid w:val="004C0503"/>
    <w:rsid w:val="004C1283"/>
    <w:rsid w:val="004C1CB7"/>
    <w:rsid w:val="004C4904"/>
    <w:rsid w:val="004C62C9"/>
    <w:rsid w:val="004C636B"/>
    <w:rsid w:val="004C6EA7"/>
    <w:rsid w:val="004C7FB6"/>
    <w:rsid w:val="004D306B"/>
    <w:rsid w:val="004D3328"/>
    <w:rsid w:val="004D4166"/>
    <w:rsid w:val="004D5729"/>
    <w:rsid w:val="004D5EBB"/>
    <w:rsid w:val="004D5F6F"/>
    <w:rsid w:val="004D6DD7"/>
    <w:rsid w:val="004D6F45"/>
    <w:rsid w:val="004E121A"/>
    <w:rsid w:val="004E1717"/>
    <w:rsid w:val="004E18FE"/>
    <w:rsid w:val="004E2F5D"/>
    <w:rsid w:val="004E3115"/>
    <w:rsid w:val="004E3296"/>
    <w:rsid w:val="004E4D64"/>
    <w:rsid w:val="004E4F88"/>
    <w:rsid w:val="004E5029"/>
    <w:rsid w:val="004E7270"/>
    <w:rsid w:val="004E75B0"/>
    <w:rsid w:val="004F1A7D"/>
    <w:rsid w:val="004F1AF8"/>
    <w:rsid w:val="004F1F87"/>
    <w:rsid w:val="004F25DD"/>
    <w:rsid w:val="004F30D2"/>
    <w:rsid w:val="005013B7"/>
    <w:rsid w:val="005017F1"/>
    <w:rsid w:val="00501878"/>
    <w:rsid w:val="00502375"/>
    <w:rsid w:val="00503B94"/>
    <w:rsid w:val="00503C68"/>
    <w:rsid w:val="00503EC1"/>
    <w:rsid w:val="00505C8C"/>
    <w:rsid w:val="00506AFC"/>
    <w:rsid w:val="00506C8A"/>
    <w:rsid w:val="00506E50"/>
    <w:rsid w:val="0050726D"/>
    <w:rsid w:val="00507A0C"/>
    <w:rsid w:val="005100A4"/>
    <w:rsid w:val="005101F1"/>
    <w:rsid w:val="005129AA"/>
    <w:rsid w:val="00513917"/>
    <w:rsid w:val="005142B4"/>
    <w:rsid w:val="0051570C"/>
    <w:rsid w:val="00517646"/>
    <w:rsid w:val="00517E67"/>
    <w:rsid w:val="0052072B"/>
    <w:rsid w:val="00520DC3"/>
    <w:rsid w:val="0052317F"/>
    <w:rsid w:val="00524BD6"/>
    <w:rsid w:val="0052501B"/>
    <w:rsid w:val="00525027"/>
    <w:rsid w:val="00525B6F"/>
    <w:rsid w:val="0052693C"/>
    <w:rsid w:val="00527530"/>
    <w:rsid w:val="005276D8"/>
    <w:rsid w:val="005309E2"/>
    <w:rsid w:val="00530A6B"/>
    <w:rsid w:val="00530F57"/>
    <w:rsid w:val="00532D55"/>
    <w:rsid w:val="005350A2"/>
    <w:rsid w:val="00536A35"/>
    <w:rsid w:val="00536EF9"/>
    <w:rsid w:val="00540B16"/>
    <w:rsid w:val="0054167B"/>
    <w:rsid w:val="00541979"/>
    <w:rsid w:val="00543653"/>
    <w:rsid w:val="00544FC1"/>
    <w:rsid w:val="00545976"/>
    <w:rsid w:val="00545EB2"/>
    <w:rsid w:val="00546687"/>
    <w:rsid w:val="00546764"/>
    <w:rsid w:val="00547783"/>
    <w:rsid w:val="00547A7C"/>
    <w:rsid w:val="00550758"/>
    <w:rsid w:val="005523DB"/>
    <w:rsid w:val="00552665"/>
    <w:rsid w:val="005526F0"/>
    <w:rsid w:val="00552D93"/>
    <w:rsid w:val="00553E20"/>
    <w:rsid w:val="00554FFC"/>
    <w:rsid w:val="0055500A"/>
    <w:rsid w:val="00561740"/>
    <w:rsid w:val="0056267C"/>
    <w:rsid w:val="00563159"/>
    <w:rsid w:val="00563C85"/>
    <w:rsid w:val="00563CA0"/>
    <w:rsid w:val="00563F5D"/>
    <w:rsid w:val="0056436A"/>
    <w:rsid w:val="00564DEE"/>
    <w:rsid w:val="00565104"/>
    <w:rsid w:val="00567BEC"/>
    <w:rsid w:val="00567D85"/>
    <w:rsid w:val="00570192"/>
    <w:rsid w:val="0057054B"/>
    <w:rsid w:val="005718AF"/>
    <w:rsid w:val="00571D06"/>
    <w:rsid w:val="00572298"/>
    <w:rsid w:val="0057439B"/>
    <w:rsid w:val="00574699"/>
    <w:rsid w:val="00574930"/>
    <w:rsid w:val="00574BF1"/>
    <w:rsid w:val="005770D6"/>
    <w:rsid w:val="00577C83"/>
    <w:rsid w:val="00577D0A"/>
    <w:rsid w:val="00580CF8"/>
    <w:rsid w:val="00580F1E"/>
    <w:rsid w:val="00581215"/>
    <w:rsid w:val="005815F7"/>
    <w:rsid w:val="00581C48"/>
    <w:rsid w:val="005821B4"/>
    <w:rsid w:val="005831B4"/>
    <w:rsid w:val="00583430"/>
    <w:rsid w:val="0058406A"/>
    <w:rsid w:val="00584195"/>
    <w:rsid w:val="005862DA"/>
    <w:rsid w:val="005877B4"/>
    <w:rsid w:val="00587C50"/>
    <w:rsid w:val="00587CAF"/>
    <w:rsid w:val="00587FAB"/>
    <w:rsid w:val="00590479"/>
    <w:rsid w:val="00590B91"/>
    <w:rsid w:val="00591A11"/>
    <w:rsid w:val="005930D4"/>
    <w:rsid w:val="00593F74"/>
    <w:rsid w:val="00594C63"/>
    <w:rsid w:val="005950D1"/>
    <w:rsid w:val="005A0EAB"/>
    <w:rsid w:val="005A1DE4"/>
    <w:rsid w:val="005A2B34"/>
    <w:rsid w:val="005A2E77"/>
    <w:rsid w:val="005A4A97"/>
    <w:rsid w:val="005A589C"/>
    <w:rsid w:val="005A5C37"/>
    <w:rsid w:val="005A70E0"/>
    <w:rsid w:val="005A7806"/>
    <w:rsid w:val="005A7E9D"/>
    <w:rsid w:val="005B0CBC"/>
    <w:rsid w:val="005B0D66"/>
    <w:rsid w:val="005B10C1"/>
    <w:rsid w:val="005B1E95"/>
    <w:rsid w:val="005B2926"/>
    <w:rsid w:val="005B2A9B"/>
    <w:rsid w:val="005B2C09"/>
    <w:rsid w:val="005B2E05"/>
    <w:rsid w:val="005B444F"/>
    <w:rsid w:val="005B450B"/>
    <w:rsid w:val="005B4531"/>
    <w:rsid w:val="005B4B9D"/>
    <w:rsid w:val="005B4C7A"/>
    <w:rsid w:val="005B519B"/>
    <w:rsid w:val="005B624B"/>
    <w:rsid w:val="005B76E2"/>
    <w:rsid w:val="005B7DCE"/>
    <w:rsid w:val="005C0C78"/>
    <w:rsid w:val="005C2C3F"/>
    <w:rsid w:val="005C32AF"/>
    <w:rsid w:val="005C341D"/>
    <w:rsid w:val="005C3649"/>
    <w:rsid w:val="005C42DA"/>
    <w:rsid w:val="005C4C0E"/>
    <w:rsid w:val="005C4EA5"/>
    <w:rsid w:val="005C5788"/>
    <w:rsid w:val="005C5B70"/>
    <w:rsid w:val="005C5DCE"/>
    <w:rsid w:val="005D1157"/>
    <w:rsid w:val="005D245D"/>
    <w:rsid w:val="005D2622"/>
    <w:rsid w:val="005D3593"/>
    <w:rsid w:val="005D3A30"/>
    <w:rsid w:val="005D481E"/>
    <w:rsid w:val="005D4F85"/>
    <w:rsid w:val="005D50CD"/>
    <w:rsid w:val="005D5286"/>
    <w:rsid w:val="005D58FF"/>
    <w:rsid w:val="005D6646"/>
    <w:rsid w:val="005D683F"/>
    <w:rsid w:val="005D6D30"/>
    <w:rsid w:val="005D6E10"/>
    <w:rsid w:val="005E0A72"/>
    <w:rsid w:val="005E1BE5"/>
    <w:rsid w:val="005E5356"/>
    <w:rsid w:val="005E5466"/>
    <w:rsid w:val="005E632B"/>
    <w:rsid w:val="005E6F93"/>
    <w:rsid w:val="005E772A"/>
    <w:rsid w:val="005F0A22"/>
    <w:rsid w:val="005F1CFD"/>
    <w:rsid w:val="005F2B81"/>
    <w:rsid w:val="005F309C"/>
    <w:rsid w:val="005F343B"/>
    <w:rsid w:val="005F47BF"/>
    <w:rsid w:val="005F7F64"/>
    <w:rsid w:val="00600894"/>
    <w:rsid w:val="00601786"/>
    <w:rsid w:val="006020CD"/>
    <w:rsid w:val="00602526"/>
    <w:rsid w:val="00603DD4"/>
    <w:rsid w:val="00604609"/>
    <w:rsid w:val="00604C92"/>
    <w:rsid w:val="0060584A"/>
    <w:rsid w:val="0060645A"/>
    <w:rsid w:val="006074FA"/>
    <w:rsid w:val="00612EFA"/>
    <w:rsid w:val="006131FB"/>
    <w:rsid w:val="006134FB"/>
    <w:rsid w:val="00614B30"/>
    <w:rsid w:val="0061764C"/>
    <w:rsid w:val="006203B7"/>
    <w:rsid w:val="006208A8"/>
    <w:rsid w:val="00620EEA"/>
    <w:rsid w:val="00622448"/>
    <w:rsid w:val="006226B1"/>
    <w:rsid w:val="00624A83"/>
    <w:rsid w:val="00625801"/>
    <w:rsid w:val="00625862"/>
    <w:rsid w:val="00626175"/>
    <w:rsid w:val="006264B6"/>
    <w:rsid w:val="00627555"/>
    <w:rsid w:val="00630370"/>
    <w:rsid w:val="006315B3"/>
    <w:rsid w:val="006327A9"/>
    <w:rsid w:val="00633043"/>
    <w:rsid w:val="00633DEE"/>
    <w:rsid w:val="00634410"/>
    <w:rsid w:val="00634E30"/>
    <w:rsid w:val="006363A5"/>
    <w:rsid w:val="00637F9F"/>
    <w:rsid w:val="00640BE1"/>
    <w:rsid w:val="00640EC4"/>
    <w:rsid w:val="006414FB"/>
    <w:rsid w:val="0064197D"/>
    <w:rsid w:val="00641B87"/>
    <w:rsid w:val="00642ADD"/>
    <w:rsid w:val="006439D8"/>
    <w:rsid w:val="00644448"/>
    <w:rsid w:val="00645D2D"/>
    <w:rsid w:val="00647632"/>
    <w:rsid w:val="00651659"/>
    <w:rsid w:val="006530A5"/>
    <w:rsid w:val="006532FD"/>
    <w:rsid w:val="006541B6"/>
    <w:rsid w:val="00654920"/>
    <w:rsid w:val="00654D36"/>
    <w:rsid w:val="0065517E"/>
    <w:rsid w:val="00655E5A"/>
    <w:rsid w:val="00656FDA"/>
    <w:rsid w:val="00657DD7"/>
    <w:rsid w:val="006611A4"/>
    <w:rsid w:val="00663C6F"/>
    <w:rsid w:val="0066555D"/>
    <w:rsid w:val="00672B2E"/>
    <w:rsid w:val="00672DA3"/>
    <w:rsid w:val="00672E03"/>
    <w:rsid w:val="00673422"/>
    <w:rsid w:val="006740AC"/>
    <w:rsid w:val="00674A71"/>
    <w:rsid w:val="00674C17"/>
    <w:rsid w:val="00674C7C"/>
    <w:rsid w:val="00677091"/>
    <w:rsid w:val="00677A10"/>
    <w:rsid w:val="00677E3E"/>
    <w:rsid w:val="006811C0"/>
    <w:rsid w:val="0068353B"/>
    <w:rsid w:val="0068646E"/>
    <w:rsid w:val="00690EFE"/>
    <w:rsid w:val="006916D9"/>
    <w:rsid w:val="006917F6"/>
    <w:rsid w:val="00692664"/>
    <w:rsid w:val="00692DEC"/>
    <w:rsid w:val="00692E76"/>
    <w:rsid w:val="00694509"/>
    <w:rsid w:val="0069515A"/>
    <w:rsid w:val="00695895"/>
    <w:rsid w:val="0069666F"/>
    <w:rsid w:val="006973D4"/>
    <w:rsid w:val="0069742B"/>
    <w:rsid w:val="006A0216"/>
    <w:rsid w:val="006A0A88"/>
    <w:rsid w:val="006A1AC4"/>
    <w:rsid w:val="006A23D1"/>
    <w:rsid w:val="006A2EE8"/>
    <w:rsid w:val="006A3C13"/>
    <w:rsid w:val="006A3E3E"/>
    <w:rsid w:val="006A4419"/>
    <w:rsid w:val="006A6B5B"/>
    <w:rsid w:val="006A6B81"/>
    <w:rsid w:val="006A74B3"/>
    <w:rsid w:val="006A7740"/>
    <w:rsid w:val="006A77E1"/>
    <w:rsid w:val="006A7BBF"/>
    <w:rsid w:val="006A7E8C"/>
    <w:rsid w:val="006B0651"/>
    <w:rsid w:val="006B0E56"/>
    <w:rsid w:val="006B1608"/>
    <w:rsid w:val="006B24E8"/>
    <w:rsid w:val="006B2E53"/>
    <w:rsid w:val="006B340F"/>
    <w:rsid w:val="006B3458"/>
    <w:rsid w:val="006B4080"/>
    <w:rsid w:val="006B69F7"/>
    <w:rsid w:val="006C09A4"/>
    <w:rsid w:val="006C6106"/>
    <w:rsid w:val="006C62F6"/>
    <w:rsid w:val="006C65E4"/>
    <w:rsid w:val="006C71BA"/>
    <w:rsid w:val="006C72CC"/>
    <w:rsid w:val="006D0019"/>
    <w:rsid w:val="006D3A39"/>
    <w:rsid w:val="006D3E07"/>
    <w:rsid w:val="006D4FAF"/>
    <w:rsid w:val="006D574E"/>
    <w:rsid w:val="006D58B7"/>
    <w:rsid w:val="006D5BC3"/>
    <w:rsid w:val="006D5D8B"/>
    <w:rsid w:val="006D7750"/>
    <w:rsid w:val="006D799D"/>
    <w:rsid w:val="006D7C11"/>
    <w:rsid w:val="006E05EA"/>
    <w:rsid w:val="006E0BA9"/>
    <w:rsid w:val="006E158F"/>
    <w:rsid w:val="006E2551"/>
    <w:rsid w:val="006E299E"/>
    <w:rsid w:val="006E311F"/>
    <w:rsid w:val="006E4688"/>
    <w:rsid w:val="006E6597"/>
    <w:rsid w:val="006E7299"/>
    <w:rsid w:val="006F0712"/>
    <w:rsid w:val="006F1C24"/>
    <w:rsid w:val="006F2C6B"/>
    <w:rsid w:val="006F3441"/>
    <w:rsid w:val="006F3912"/>
    <w:rsid w:val="006F3EFF"/>
    <w:rsid w:val="006F5F68"/>
    <w:rsid w:val="006F60BD"/>
    <w:rsid w:val="006F654C"/>
    <w:rsid w:val="006F6565"/>
    <w:rsid w:val="006F69E5"/>
    <w:rsid w:val="006F6BA1"/>
    <w:rsid w:val="006F6DEB"/>
    <w:rsid w:val="00700008"/>
    <w:rsid w:val="00700220"/>
    <w:rsid w:val="00700226"/>
    <w:rsid w:val="00700716"/>
    <w:rsid w:val="007007CE"/>
    <w:rsid w:val="00701C91"/>
    <w:rsid w:val="00701CF8"/>
    <w:rsid w:val="0070335D"/>
    <w:rsid w:val="0070588C"/>
    <w:rsid w:val="00705C13"/>
    <w:rsid w:val="00705D5A"/>
    <w:rsid w:val="00705F45"/>
    <w:rsid w:val="0070618E"/>
    <w:rsid w:val="007101A7"/>
    <w:rsid w:val="00710776"/>
    <w:rsid w:val="00710F30"/>
    <w:rsid w:val="00712A64"/>
    <w:rsid w:val="0071329A"/>
    <w:rsid w:val="00713D5E"/>
    <w:rsid w:val="00714DD5"/>
    <w:rsid w:val="00714E94"/>
    <w:rsid w:val="00715270"/>
    <w:rsid w:val="0071529E"/>
    <w:rsid w:val="00715D52"/>
    <w:rsid w:val="00716B01"/>
    <w:rsid w:val="007176A3"/>
    <w:rsid w:val="00717C6C"/>
    <w:rsid w:val="0072407B"/>
    <w:rsid w:val="007240F1"/>
    <w:rsid w:val="007250D8"/>
    <w:rsid w:val="007253C8"/>
    <w:rsid w:val="00726986"/>
    <w:rsid w:val="00727243"/>
    <w:rsid w:val="00727999"/>
    <w:rsid w:val="00727DDB"/>
    <w:rsid w:val="007312F7"/>
    <w:rsid w:val="00731699"/>
    <w:rsid w:val="00733166"/>
    <w:rsid w:val="00733607"/>
    <w:rsid w:val="0073390D"/>
    <w:rsid w:val="00733F06"/>
    <w:rsid w:val="007357E8"/>
    <w:rsid w:val="00736274"/>
    <w:rsid w:val="0073661E"/>
    <w:rsid w:val="007378DB"/>
    <w:rsid w:val="00740C28"/>
    <w:rsid w:val="00741ED5"/>
    <w:rsid w:val="007423BC"/>
    <w:rsid w:val="007427E9"/>
    <w:rsid w:val="0074323F"/>
    <w:rsid w:val="00743506"/>
    <w:rsid w:val="00743E59"/>
    <w:rsid w:val="007456FC"/>
    <w:rsid w:val="00747918"/>
    <w:rsid w:val="0075068B"/>
    <w:rsid w:val="00752719"/>
    <w:rsid w:val="007529DD"/>
    <w:rsid w:val="00753712"/>
    <w:rsid w:val="007561FE"/>
    <w:rsid w:val="0075690C"/>
    <w:rsid w:val="00757143"/>
    <w:rsid w:val="007579E6"/>
    <w:rsid w:val="007603B3"/>
    <w:rsid w:val="00760DE2"/>
    <w:rsid w:val="007615EB"/>
    <w:rsid w:val="0076208E"/>
    <w:rsid w:val="00762122"/>
    <w:rsid w:val="007627BF"/>
    <w:rsid w:val="00762E80"/>
    <w:rsid w:val="00763663"/>
    <w:rsid w:val="00763D1B"/>
    <w:rsid w:val="00763EAE"/>
    <w:rsid w:val="0076490B"/>
    <w:rsid w:val="0076494C"/>
    <w:rsid w:val="00764EEF"/>
    <w:rsid w:val="007665D2"/>
    <w:rsid w:val="00766CDC"/>
    <w:rsid w:val="007675D7"/>
    <w:rsid w:val="00767858"/>
    <w:rsid w:val="00767DBE"/>
    <w:rsid w:val="00767DD0"/>
    <w:rsid w:val="007705EF"/>
    <w:rsid w:val="007709E2"/>
    <w:rsid w:val="00770C99"/>
    <w:rsid w:val="00771B75"/>
    <w:rsid w:val="007721F5"/>
    <w:rsid w:val="00772230"/>
    <w:rsid w:val="00772626"/>
    <w:rsid w:val="00772A7F"/>
    <w:rsid w:val="00772AD4"/>
    <w:rsid w:val="0077382E"/>
    <w:rsid w:val="00773EA9"/>
    <w:rsid w:val="00774463"/>
    <w:rsid w:val="007766D2"/>
    <w:rsid w:val="007773E0"/>
    <w:rsid w:val="007779C7"/>
    <w:rsid w:val="00777F8A"/>
    <w:rsid w:val="00780A5F"/>
    <w:rsid w:val="007814F3"/>
    <w:rsid w:val="00782048"/>
    <w:rsid w:val="0078271C"/>
    <w:rsid w:val="00782814"/>
    <w:rsid w:val="00783B54"/>
    <w:rsid w:val="00783DBE"/>
    <w:rsid w:val="00784FE5"/>
    <w:rsid w:val="0078512F"/>
    <w:rsid w:val="00785164"/>
    <w:rsid w:val="00785914"/>
    <w:rsid w:val="00785B86"/>
    <w:rsid w:val="00785EB9"/>
    <w:rsid w:val="00785FE6"/>
    <w:rsid w:val="00786032"/>
    <w:rsid w:val="00787306"/>
    <w:rsid w:val="00790049"/>
    <w:rsid w:val="007903BB"/>
    <w:rsid w:val="007913DD"/>
    <w:rsid w:val="00791458"/>
    <w:rsid w:val="00791D9A"/>
    <w:rsid w:val="00792638"/>
    <w:rsid w:val="00792D4C"/>
    <w:rsid w:val="007951BE"/>
    <w:rsid w:val="00796125"/>
    <w:rsid w:val="007961BD"/>
    <w:rsid w:val="007977CB"/>
    <w:rsid w:val="00797808"/>
    <w:rsid w:val="00797B3C"/>
    <w:rsid w:val="007A00A1"/>
    <w:rsid w:val="007A10CD"/>
    <w:rsid w:val="007A1CA9"/>
    <w:rsid w:val="007A41B1"/>
    <w:rsid w:val="007A427C"/>
    <w:rsid w:val="007A48A3"/>
    <w:rsid w:val="007A7966"/>
    <w:rsid w:val="007B07E3"/>
    <w:rsid w:val="007B283B"/>
    <w:rsid w:val="007B3726"/>
    <w:rsid w:val="007B3DA0"/>
    <w:rsid w:val="007B3DC8"/>
    <w:rsid w:val="007B4043"/>
    <w:rsid w:val="007B474A"/>
    <w:rsid w:val="007B55F0"/>
    <w:rsid w:val="007B5914"/>
    <w:rsid w:val="007B75BE"/>
    <w:rsid w:val="007B7868"/>
    <w:rsid w:val="007C16D7"/>
    <w:rsid w:val="007C18AC"/>
    <w:rsid w:val="007C2C9B"/>
    <w:rsid w:val="007C2FD9"/>
    <w:rsid w:val="007C3823"/>
    <w:rsid w:val="007C3B60"/>
    <w:rsid w:val="007C42EC"/>
    <w:rsid w:val="007C509D"/>
    <w:rsid w:val="007C5B47"/>
    <w:rsid w:val="007C6BBF"/>
    <w:rsid w:val="007C6E07"/>
    <w:rsid w:val="007C7370"/>
    <w:rsid w:val="007D0457"/>
    <w:rsid w:val="007D12E7"/>
    <w:rsid w:val="007D1DF8"/>
    <w:rsid w:val="007D26DC"/>
    <w:rsid w:val="007D2A4A"/>
    <w:rsid w:val="007D2A6F"/>
    <w:rsid w:val="007D4381"/>
    <w:rsid w:val="007D6886"/>
    <w:rsid w:val="007D76A0"/>
    <w:rsid w:val="007D7B53"/>
    <w:rsid w:val="007E22A7"/>
    <w:rsid w:val="007E2B8C"/>
    <w:rsid w:val="007E3192"/>
    <w:rsid w:val="007E3EF7"/>
    <w:rsid w:val="007E418F"/>
    <w:rsid w:val="007E44BF"/>
    <w:rsid w:val="007E5042"/>
    <w:rsid w:val="007E5509"/>
    <w:rsid w:val="007E5B58"/>
    <w:rsid w:val="007E71E5"/>
    <w:rsid w:val="007E7FD2"/>
    <w:rsid w:val="007F105B"/>
    <w:rsid w:val="007F12E3"/>
    <w:rsid w:val="007F3AA5"/>
    <w:rsid w:val="007F418B"/>
    <w:rsid w:val="007F7DD7"/>
    <w:rsid w:val="0080057B"/>
    <w:rsid w:val="0080082E"/>
    <w:rsid w:val="008020A9"/>
    <w:rsid w:val="00804039"/>
    <w:rsid w:val="00804D29"/>
    <w:rsid w:val="00804F0A"/>
    <w:rsid w:val="008057F0"/>
    <w:rsid w:val="008063EE"/>
    <w:rsid w:val="00810224"/>
    <w:rsid w:val="00810235"/>
    <w:rsid w:val="00810D2F"/>
    <w:rsid w:val="00810EEF"/>
    <w:rsid w:val="00811039"/>
    <w:rsid w:val="008118D9"/>
    <w:rsid w:val="00811971"/>
    <w:rsid w:val="00811E17"/>
    <w:rsid w:val="0081244D"/>
    <w:rsid w:val="00812867"/>
    <w:rsid w:val="00812D09"/>
    <w:rsid w:val="00813263"/>
    <w:rsid w:val="00813ADA"/>
    <w:rsid w:val="00813BB1"/>
    <w:rsid w:val="00814282"/>
    <w:rsid w:val="008165F5"/>
    <w:rsid w:val="00816A23"/>
    <w:rsid w:val="00816B0A"/>
    <w:rsid w:val="00817191"/>
    <w:rsid w:val="008171AB"/>
    <w:rsid w:val="00817839"/>
    <w:rsid w:val="0082057E"/>
    <w:rsid w:val="00820B47"/>
    <w:rsid w:val="008216F8"/>
    <w:rsid w:val="00824437"/>
    <w:rsid w:val="00824CF7"/>
    <w:rsid w:val="008253BE"/>
    <w:rsid w:val="00825B88"/>
    <w:rsid w:val="008263E6"/>
    <w:rsid w:val="00826F89"/>
    <w:rsid w:val="00827912"/>
    <w:rsid w:val="008320FC"/>
    <w:rsid w:val="00832121"/>
    <w:rsid w:val="00833096"/>
    <w:rsid w:val="00833A90"/>
    <w:rsid w:val="00834CE7"/>
    <w:rsid w:val="00835D8F"/>
    <w:rsid w:val="0083754B"/>
    <w:rsid w:val="00837B6F"/>
    <w:rsid w:val="0084023A"/>
    <w:rsid w:val="00840301"/>
    <w:rsid w:val="00840D0C"/>
    <w:rsid w:val="00840EED"/>
    <w:rsid w:val="008414C7"/>
    <w:rsid w:val="00841B7E"/>
    <w:rsid w:val="00841BA5"/>
    <w:rsid w:val="00841C5A"/>
    <w:rsid w:val="008421D9"/>
    <w:rsid w:val="008431C1"/>
    <w:rsid w:val="0084439F"/>
    <w:rsid w:val="0084469A"/>
    <w:rsid w:val="00845450"/>
    <w:rsid w:val="00845904"/>
    <w:rsid w:val="00845DCF"/>
    <w:rsid w:val="00850B3B"/>
    <w:rsid w:val="00853060"/>
    <w:rsid w:val="0085332C"/>
    <w:rsid w:val="008535C2"/>
    <w:rsid w:val="00853B64"/>
    <w:rsid w:val="00854068"/>
    <w:rsid w:val="00855742"/>
    <w:rsid w:val="00855FF3"/>
    <w:rsid w:val="00856AFE"/>
    <w:rsid w:val="00856B17"/>
    <w:rsid w:val="00857EB1"/>
    <w:rsid w:val="00860748"/>
    <w:rsid w:val="008612BE"/>
    <w:rsid w:val="00861C4A"/>
    <w:rsid w:val="008649EC"/>
    <w:rsid w:val="0086520A"/>
    <w:rsid w:val="00867C07"/>
    <w:rsid w:val="0087010D"/>
    <w:rsid w:val="008701C7"/>
    <w:rsid w:val="0087180A"/>
    <w:rsid w:val="00871F75"/>
    <w:rsid w:val="0087223A"/>
    <w:rsid w:val="00872B6F"/>
    <w:rsid w:val="008736D5"/>
    <w:rsid w:val="008738D5"/>
    <w:rsid w:val="00874019"/>
    <w:rsid w:val="008765FF"/>
    <w:rsid w:val="00877A3E"/>
    <w:rsid w:val="00877B49"/>
    <w:rsid w:val="0088032D"/>
    <w:rsid w:val="00880C67"/>
    <w:rsid w:val="00880EBE"/>
    <w:rsid w:val="00882A53"/>
    <w:rsid w:val="00883729"/>
    <w:rsid w:val="008837EA"/>
    <w:rsid w:val="00885B4D"/>
    <w:rsid w:val="00885FE9"/>
    <w:rsid w:val="008866B8"/>
    <w:rsid w:val="008873D2"/>
    <w:rsid w:val="008874B1"/>
    <w:rsid w:val="00887883"/>
    <w:rsid w:val="00890326"/>
    <w:rsid w:val="00891E54"/>
    <w:rsid w:val="0089203D"/>
    <w:rsid w:val="00892719"/>
    <w:rsid w:val="0089298D"/>
    <w:rsid w:val="008939C5"/>
    <w:rsid w:val="00893DD8"/>
    <w:rsid w:val="00895A4B"/>
    <w:rsid w:val="00896FE3"/>
    <w:rsid w:val="008A0222"/>
    <w:rsid w:val="008A04CD"/>
    <w:rsid w:val="008A17CE"/>
    <w:rsid w:val="008A2DF3"/>
    <w:rsid w:val="008A3140"/>
    <w:rsid w:val="008A44DD"/>
    <w:rsid w:val="008A47D5"/>
    <w:rsid w:val="008A47E2"/>
    <w:rsid w:val="008A5BEF"/>
    <w:rsid w:val="008A62AB"/>
    <w:rsid w:val="008A6FC1"/>
    <w:rsid w:val="008B0C92"/>
    <w:rsid w:val="008B10EF"/>
    <w:rsid w:val="008B1713"/>
    <w:rsid w:val="008B1778"/>
    <w:rsid w:val="008B2598"/>
    <w:rsid w:val="008B35DD"/>
    <w:rsid w:val="008B3ADA"/>
    <w:rsid w:val="008B4885"/>
    <w:rsid w:val="008B4B5B"/>
    <w:rsid w:val="008B5081"/>
    <w:rsid w:val="008B622F"/>
    <w:rsid w:val="008C024E"/>
    <w:rsid w:val="008C087C"/>
    <w:rsid w:val="008C0F49"/>
    <w:rsid w:val="008C1C84"/>
    <w:rsid w:val="008C2680"/>
    <w:rsid w:val="008C364B"/>
    <w:rsid w:val="008C417B"/>
    <w:rsid w:val="008C45FA"/>
    <w:rsid w:val="008C497C"/>
    <w:rsid w:val="008C5325"/>
    <w:rsid w:val="008C5358"/>
    <w:rsid w:val="008C5436"/>
    <w:rsid w:val="008C66FC"/>
    <w:rsid w:val="008C6861"/>
    <w:rsid w:val="008C6E5E"/>
    <w:rsid w:val="008C75E5"/>
    <w:rsid w:val="008C7770"/>
    <w:rsid w:val="008D0822"/>
    <w:rsid w:val="008D165A"/>
    <w:rsid w:val="008D1B38"/>
    <w:rsid w:val="008D27AC"/>
    <w:rsid w:val="008D3263"/>
    <w:rsid w:val="008D3B22"/>
    <w:rsid w:val="008D3DB0"/>
    <w:rsid w:val="008D4141"/>
    <w:rsid w:val="008D4B1B"/>
    <w:rsid w:val="008D4D99"/>
    <w:rsid w:val="008D6A0E"/>
    <w:rsid w:val="008D7068"/>
    <w:rsid w:val="008D7410"/>
    <w:rsid w:val="008E0D8C"/>
    <w:rsid w:val="008E0F96"/>
    <w:rsid w:val="008E41D9"/>
    <w:rsid w:val="008E4A29"/>
    <w:rsid w:val="008E4ABF"/>
    <w:rsid w:val="008E5F98"/>
    <w:rsid w:val="008E6321"/>
    <w:rsid w:val="008E68E6"/>
    <w:rsid w:val="008E7D5C"/>
    <w:rsid w:val="008F0612"/>
    <w:rsid w:val="008F1057"/>
    <w:rsid w:val="008F1EDF"/>
    <w:rsid w:val="008F2531"/>
    <w:rsid w:val="008F2F00"/>
    <w:rsid w:val="008F44EA"/>
    <w:rsid w:val="008F473F"/>
    <w:rsid w:val="008F53AD"/>
    <w:rsid w:val="008F53B4"/>
    <w:rsid w:val="008F5E4C"/>
    <w:rsid w:val="008F7070"/>
    <w:rsid w:val="008F70FF"/>
    <w:rsid w:val="00900B8B"/>
    <w:rsid w:val="00900F3A"/>
    <w:rsid w:val="00902459"/>
    <w:rsid w:val="00902745"/>
    <w:rsid w:val="00903114"/>
    <w:rsid w:val="009035A7"/>
    <w:rsid w:val="0090391F"/>
    <w:rsid w:val="00904DC9"/>
    <w:rsid w:val="00905737"/>
    <w:rsid w:val="00905C95"/>
    <w:rsid w:val="00906A41"/>
    <w:rsid w:val="00911178"/>
    <w:rsid w:val="009118A9"/>
    <w:rsid w:val="00911A4A"/>
    <w:rsid w:val="009140B8"/>
    <w:rsid w:val="009148A4"/>
    <w:rsid w:val="00915570"/>
    <w:rsid w:val="00915643"/>
    <w:rsid w:val="0091571D"/>
    <w:rsid w:val="00915C2E"/>
    <w:rsid w:val="009160F1"/>
    <w:rsid w:val="009165C4"/>
    <w:rsid w:val="00917B3A"/>
    <w:rsid w:val="0092117D"/>
    <w:rsid w:val="00921473"/>
    <w:rsid w:val="009219ED"/>
    <w:rsid w:val="00921C68"/>
    <w:rsid w:val="0092235A"/>
    <w:rsid w:val="00922908"/>
    <w:rsid w:val="00922CD8"/>
    <w:rsid w:val="00923427"/>
    <w:rsid w:val="009235D8"/>
    <w:rsid w:val="00924363"/>
    <w:rsid w:val="00925DA1"/>
    <w:rsid w:val="00926172"/>
    <w:rsid w:val="009269D3"/>
    <w:rsid w:val="00926A27"/>
    <w:rsid w:val="0092752B"/>
    <w:rsid w:val="0092767E"/>
    <w:rsid w:val="00930672"/>
    <w:rsid w:val="009310C6"/>
    <w:rsid w:val="00931148"/>
    <w:rsid w:val="00931177"/>
    <w:rsid w:val="00931595"/>
    <w:rsid w:val="00931C9E"/>
    <w:rsid w:val="00931F83"/>
    <w:rsid w:val="00932A62"/>
    <w:rsid w:val="00933252"/>
    <w:rsid w:val="00933922"/>
    <w:rsid w:val="0093476E"/>
    <w:rsid w:val="00935CE5"/>
    <w:rsid w:val="0093619B"/>
    <w:rsid w:val="00936FD8"/>
    <w:rsid w:val="00937940"/>
    <w:rsid w:val="00941200"/>
    <w:rsid w:val="00942341"/>
    <w:rsid w:val="00943BB5"/>
    <w:rsid w:val="0094405B"/>
    <w:rsid w:val="00944CA9"/>
    <w:rsid w:val="00945E07"/>
    <w:rsid w:val="00945EBE"/>
    <w:rsid w:val="00947D5E"/>
    <w:rsid w:val="00950DD9"/>
    <w:rsid w:val="009512DC"/>
    <w:rsid w:val="00952165"/>
    <w:rsid w:val="00952A66"/>
    <w:rsid w:val="00952C21"/>
    <w:rsid w:val="00953155"/>
    <w:rsid w:val="0095375B"/>
    <w:rsid w:val="00953B60"/>
    <w:rsid w:val="00954D70"/>
    <w:rsid w:val="00955587"/>
    <w:rsid w:val="00955969"/>
    <w:rsid w:val="00955FF0"/>
    <w:rsid w:val="009561E8"/>
    <w:rsid w:val="00956ABD"/>
    <w:rsid w:val="00956C61"/>
    <w:rsid w:val="009572CF"/>
    <w:rsid w:val="00957CEC"/>
    <w:rsid w:val="00960596"/>
    <w:rsid w:val="009608F4"/>
    <w:rsid w:val="00960E18"/>
    <w:rsid w:val="009615A2"/>
    <w:rsid w:val="00961FB4"/>
    <w:rsid w:val="009622D6"/>
    <w:rsid w:val="00965E07"/>
    <w:rsid w:val="00965EA3"/>
    <w:rsid w:val="00970C6E"/>
    <w:rsid w:val="00971DD8"/>
    <w:rsid w:val="00972BAE"/>
    <w:rsid w:val="00972C66"/>
    <w:rsid w:val="0097489F"/>
    <w:rsid w:val="00974B8A"/>
    <w:rsid w:val="00975233"/>
    <w:rsid w:val="009753F6"/>
    <w:rsid w:val="00975B74"/>
    <w:rsid w:val="009768B7"/>
    <w:rsid w:val="00977139"/>
    <w:rsid w:val="00980D02"/>
    <w:rsid w:val="0098187C"/>
    <w:rsid w:val="00981E80"/>
    <w:rsid w:val="00986ED2"/>
    <w:rsid w:val="00990007"/>
    <w:rsid w:val="0099143F"/>
    <w:rsid w:val="00991884"/>
    <w:rsid w:val="00992BED"/>
    <w:rsid w:val="00994488"/>
    <w:rsid w:val="00994674"/>
    <w:rsid w:val="0099499D"/>
    <w:rsid w:val="00996381"/>
    <w:rsid w:val="00996F32"/>
    <w:rsid w:val="009A00DB"/>
    <w:rsid w:val="009A0186"/>
    <w:rsid w:val="009A1F3F"/>
    <w:rsid w:val="009A25A1"/>
    <w:rsid w:val="009A275A"/>
    <w:rsid w:val="009A34E6"/>
    <w:rsid w:val="009A3C86"/>
    <w:rsid w:val="009A4A8A"/>
    <w:rsid w:val="009A5F1B"/>
    <w:rsid w:val="009A6E1B"/>
    <w:rsid w:val="009A7698"/>
    <w:rsid w:val="009B1512"/>
    <w:rsid w:val="009B1A91"/>
    <w:rsid w:val="009B2A1C"/>
    <w:rsid w:val="009B2BC4"/>
    <w:rsid w:val="009B3032"/>
    <w:rsid w:val="009B3600"/>
    <w:rsid w:val="009B4C5E"/>
    <w:rsid w:val="009B5569"/>
    <w:rsid w:val="009B5A06"/>
    <w:rsid w:val="009B650F"/>
    <w:rsid w:val="009C03CF"/>
    <w:rsid w:val="009C0B90"/>
    <w:rsid w:val="009C1538"/>
    <w:rsid w:val="009C24E1"/>
    <w:rsid w:val="009C2B7A"/>
    <w:rsid w:val="009C4512"/>
    <w:rsid w:val="009C4857"/>
    <w:rsid w:val="009C49A7"/>
    <w:rsid w:val="009C4D60"/>
    <w:rsid w:val="009C5464"/>
    <w:rsid w:val="009C5976"/>
    <w:rsid w:val="009C5A34"/>
    <w:rsid w:val="009C5B57"/>
    <w:rsid w:val="009C6277"/>
    <w:rsid w:val="009C75FF"/>
    <w:rsid w:val="009C79E1"/>
    <w:rsid w:val="009D1141"/>
    <w:rsid w:val="009D259B"/>
    <w:rsid w:val="009D43BB"/>
    <w:rsid w:val="009D43F0"/>
    <w:rsid w:val="009D4CDA"/>
    <w:rsid w:val="009D69B3"/>
    <w:rsid w:val="009D69D7"/>
    <w:rsid w:val="009D6DDD"/>
    <w:rsid w:val="009D7406"/>
    <w:rsid w:val="009E071E"/>
    <w:rsid w:val="009E15E3"/>
    <w:rsid w:val="009E1619"/>
    <w:rsid w:val="009E2CBE"/>
    <w:rsid w:val="009E3149"/>
    <w:rsid w:val="009E3BF1"/>
    <w:rsid w:val="009E415D"/>
    <w:rsid w:val="009E4322"/>
    <w:rsid w:val="009E4CF6"/>
    <w:rsid w:val="009E529E"/>
    <w:rsid w:val="009E6B2D"/>
    <w:rsid w:val="009E7DCE"/>
    <w:rsid w:val="009F00B1"/>
    <w:rsid w:val="009F1A60"/>
    <w:rsid w:val="009F2BC9"/>
    <w:rsid w:val="009F2CD3"/>
    <w:rsid w:val="009F2EF5"/>
    <w:rsid w:val="009F3116"/>
    <w:rsid w:val="009F3A3A"/>
    <w:rsid w:val="009F3B62"/>
    <w:rsid w:val="009F533B"/>
    <w:rsid w:val="009F6CE8"/>
    <w:rsid w:val="009F774C"/>
    <w:rsid w:val="009F7FD6"/>
    <w:rsid w:val="00A00C94"/>
    <w:rsid w:val="00A01050"/>
    <w:rsid w:val="00A02854"/>
    <w:rsid w:val="00A03E3E"/>
    <w:rsid w:val="00A0415F"/>
    <w:rsid w:val="00A06736"/>
    <w:rsid w:val="00A070FE"/>
    <w:rsid w:val="00A07F72"/>
    <w:rsid w:val="00A11051"/>
    <w:rsid w:val="00A125E6"/>
    <w:rsid w:val="00A12B2C"/>
    <w:rsid w:val="00A12B70"/>
    <w:rsid w:val="00A12D0A"/>
    <w:rsid w:val="00A141C2"/>
    <w:rsid w:val="00A148DB"/>
    <w:rsid w:val="00A14C7B"/>
    <w:rsid w:val="00A151FF"/>
    <w:rsid w:val="00A1531F"/>
    <w:rsid w:val="00A1573C"/>
    <w:rsid w:val="00A15973"/>
    <w:rsid w:val="00A162DD"/>
    <w:rsid w:val="00A178A4"/>
    <w:rsid w:val="00A2033F"/>
    <w:rsid w:val="00A22C40"/>
    <w:rsid w:val="00A22D63"/>
    <w:rsid w:val="00A23B96"/>
    <w:rsid w:val="00A24AC3"/>
    <w:rsid w:val="00A2510F"/>
    <w:rsid w:val="00A25ABC"/>
    <w:rsid w:val="00A25EEA"/>
    <w:rsid w:val="00A2675A"/>
    <w:rsid w:val="00A272A0"/>
    <w:rsid w:val="00A27A15"/>
    <w:rsid w:val="00A307B6"/>
    <w:rsid w:val="00A31B1A"/>
    <w:rsid w:val="00A31B63"/>
    <w:rsid w:val="00A32E0B"/>
    <w:rsid w:val="00A33727"/>
    <w:rsid w:val="00A3375E"/>
    <w:rsid w:val="00A343BC"/>
    <w:rsid w:val="00A346FC"/>
    <w:rsid w:val="00A34C63"/>
    <w:rsid w:val="00A34DDF"/>
    <w:rsid w:val="00A35D6F"/>
    <w:rsid w:val="00A377C7"/>
    <w:rsid w:val="00A43204"/>
    <w:rsid w:val="00A43645"/>
    <w:rsid w:val="00A454DF"/>
    <w:rsid w:val="00A4555A"/>
    <w:rsid w:val="00A45E41"/>
    <w:rsid w:val="00A460BB"/>
    <w:rsid w:val="00A46A1A"/>
    <w:rsid w:val="00A478F9"/>
    <w:rsid w:val="00A50E82"/>
    <w:rsid w:val="00A51619"/>
    <w:rsid w:val="00A52D3B"/>
    <w:rsid w:val="00A53188"/>
    <w:rsid w:val="00A561B2"/>
    <w:rsid w:val="00A56358"/>
    <w:rsid w:val="00A5637F"/>
    <w:rsid w:val="00A5676A"/>
    <w:rsid w:val="00A6017F"/>
    <w:rsid w:val="00A6083F"/>
    <w:rsid w:val="00A631A8"/>
    <w:rsid w:val="00A6454E"/>
    <w:rsid w:val="00A6494D"/>
    <w:rsid w:val="00A65B20"/>
    <w:rsid w:val="00A65EAB"/>
    <w:rsid w:val="00A6603A"/>
    <w:rsid w:val="00A66E49"/>
    <w:rsid w:val="00A672BD"/>
    <w:rsid w:val="00A67AE9"/>
    <w:rsid w:val="00A67F19"/>
    <w:rsid w:val="00A707E5"/>
    <w:rsid w:val="00A71AD1"/>
    <w:rsid w:val="00A727E2"/>
    <w:rsid w:val="00A72E34"/>
    <w:rsid w:val="00A7337E"/>
    <w:rsid w:val="00A73663"/>
    <w:rsid w:val="00A742DE"/>
    <w:rsid w:val="00A75533"/>
    <w:rsid w:val="00A75D2E"/>
    <w:rsid w:val="00A75F55"/>
    <w:rsid w:val="00A7619A"/>
    <w:rsid w:val="00A76A71"/>
    <w:rsid w:val="00A80531"/>
    <w:rsid w:val="00A80AE1"/>
    <w:rsid w:val="00A8190D"/>
    <w:rsid w:val="00A825EC"/>
    <w:rsid w:val="00A827BF"/>
    <w:rsid w:val="00A82FFB"/>
    <w:rsid w:val="00A836E6"/>
    <w:rsid w:val="00A84C0A"/>
    <w:rsid w:val="00A84E7D"/>
    <w:rsid w:val="00A85081"/>
    <w:rsid w:val="00A8539A"/>
    <w:rsid w:val="00A85471"/>
    <w:rsid w:val="00A8623F"/>
    <w:rsid w:val="00A86B27"/>
    <w:rsid w:val="00A9024D"/>
    <w:rsid w:val="00A92745"/>
    <w:rsid w:val="00A92EB9"/>
    <w:rsid w:val="00A9464E"/>
    <w:rsid w:val="00A95120"/>
    <w:rsid w:val="00A95181"/>
    <w:rsid w:val="00A958DC"/>
    <w:rsid w:val="00A97FCF"/>
    <w:rsid w:val="00AA0E98"/>
    <w:rsid w:val="00AA190A"/>
    <w:rsid w:val="00AA3424"/>
    <w:rsid w:val="00AA49FF"/>
    <w:rsid w:val="00AA51B4"/>
    <w:rsid w:val="00AA670C"/>
    <w:rsid w:val="00AA6738"/>
    <w:rsid w:val="00AA71C7"/>
    <w:rsid w:val="00AA7208"/>
    <w:rsid w:val="00AA7E48"/>
    <w:rsid w:val="00AB0523"/>
    <w:rsid w:val="00AB05AD"/>
    <w:rsid w:val="00AB1442"/>
    <w:rsid w:val="00AB1899"/>
    <w:rsid w:val="00AB21D7"/>
    <w:rsid w:val="00AB44B0"/>
    <w:rsid w:val="00AB4AD7"/>
    <w:rsid w:val="00AB4F6A"/>
    <w:rsid w:val="00AB5125"/>
    <w:rsid w:val="00AB58B4"/>
    <w:rsid w:val="00AB590D"/>
    <w:rsid w:val="00AB6F03"/>
    <w:rsid w:val="00AB7589"/>
    <w:rsid w:val="00AC3D09"/>
    <w:rsid w:val="00AC44F1"/>
    <w:rsid w:val="00AC564A"/>
    <w:rsid w:val="00AD01C8"/>
    <w:rsid w:val="00AD0A9E"/>
    <w:rsid w:val="00AD0ABE"/>
    <w:rsid w:val="00AD147D"/>
    <w:rsid w:val="00AD524F"/>
    <w:rsid w:val="00AD622D"/>
    <w:rsid w:val="00AD6C65"/>
    <w:rsid w:val="00AD710D"/>
    <w:rsid w:val="00AD76FA"/>
    <w:rsid w:val="00AD7EBC"/>
    <w:rsid w:val="00AE0106"/>
    <w:rsid w:val="00AE043A"/>
    <w:rsid w:val="00AE09FC"/>
    <w:rsid w:val="00AE1538"/>
    <w:rsid w:val="00AE27D7"/>
    <w:rsid w:val="00AE3D2C"/>
    <w:rsid w:val="00AE3E15"/>
    <w:rsid w:val="00AF00CA"/>
    <w:rsid w:val="00AF0C8C"/>
    <w:rsid w:val="00AF33AE"/>
    <w:rsid w:val="00AF363A"/>
    <w:rsid w:val="00AF371C"/>
    <w:rsid w:val="00AF3F48"/>
    <w:rsid w:val="00AF41C2"/>
    <w:rsid w:val="00AF7087"/>
    <w:rsid w:val="00AF713A"/>
    <w:rsid w:val="00AF7CE0"/>
    <w:rsid w:val="00AF7CF2"/>
    <w:rsid w:val="00B00B13"/>
    <w:rsid w:val="00B0129E"/>
    <w:rsid w:val="00B015FB"/>
    <w:rsid w:val="00B02421"/>
    <w:rsid w:val="00B047EE"/>
    <w:rsid w:val="00B05C3D"/>
    <w:rsid w:val="00B06038"/>
    <w:rsid w:val="00B06C9C"/>
    <w:rsid w:val="00B10CA6"/>
    <w:rsid w:val="00B11A0A"/>
    <w:rsid w:val="00B11D45"/>
    <w:rsid w:val="00B120DE"/>
    <w:rsid w:val="00B12221"/>
    <w:rsid w:val="00B14216"/>
    <w:rsid w:val="00B1432E"/>
    <w:rsid w:val="00B14C6B"/>
    <w:rsid w:val="00B16AC6"/>
    <w:rsid w:val="00B17A06"/>
    <w:rsid w:val="00B17F30"/>
    <w:rsid w:val="00B2092C"/>
    <w:rsid w:val="00B20CFD"/>
    <w:rsid w:val="00B21CB4"/>
    <w:rsid w:val="00B21DAA"/>
    <w:rsid w:val="00B25288"/>
    <w:rsid w:val="00B25712"/>
    <w:rsid w:val="00B26CD0"/>
    <w:rsid w:val="00B301ED"/>
    <w:rsid w:val="00B307F1"/>
    <w:rsid w:val="00B30C04"/>
    <w:rsid w:val="00B30F00"/>
    <w:rsid w:val="00B31277"/>
    <w:rsid w:val="00B31D91"/>
    <w:rsid w:val="00B3231B"/>
    <w:rsid w:val="00B32C5D"/>
    <w:rsid w:val="00B33A19"/>
    <w:rsid w:val="00B349AA"/>
    <w:rsid w:val="00B34BA2"/>
    <w:rsid w:val="00B35184"/>
    <w:rsid w:val="00B361C8"/>
    <w:rsid w:val="00B37AC0"/>
    <w:rsid w:val="00B37C68"/>
    <w:rsid w:val="00B402A7"/>
    <w:rsid w:val="00B41053"/>
    <w:rsid w:val="00B434BE"/>
    <w:rsid w:val="00B439A1"/>
    <w:rsid w:val="00B43EA5"/>
    <w:rsid w:val="00B445EA"/>
    <w:rsid w:val="00B44D15"/>
    <w:rsid w:val="00B455CA"/>
    <w:rsid w:val="00B466C2"/>
    <w:rsid w:val="00B46D39"/>
    <w:rsid w:val="00B47376"/>
    <w:rsid w:val="00B478EF"/>
    <w:rsid w:val="00B50423"/>
    <w:rsid w:val="00B50443"/>
    <w:rsid w:val="00B50E60"/>
    <w:rsid w:val="00B5271E"/>
    <w:rsid w:val="00B53327"/>
    <w:rsid w:val="00B5457D"/>
    <w:rsid w:val="00B557D8"/>
    <w:rsid w:val="00B55D42"/>
    <w:rsid w:val="00B5788C"/>
    <w:rsid w:val="00B62D2D"/>
    <w:rsid w:val="00B62E3D"/>
    <w:rsid w:val="00B6328E"/>
    <w:rsid w:val="00B63E4B"/>
    <w:rsid w:val="00B64338"/>
    <w:rsid w:val="00B669C6"/>
    <w:rsid w:val="00B67829"/>
    <w:rsid w:val="00B67B4E"/>
    <w:rsid w:val="00B745B8"/>
    <w:rsid w:val="00B74A87"/>
    <w:rsid w:val="00B7516F"/>
    <w:rsid w:val="00B751A8"/>
    <w:rsid w:val="00B75993"/>
    <w:rsid w:val="00B76029"/>
    <w:rsid w:val="00B77303"/>
    <w:rsid w:val="00B8215A"/>
    <w:rsid w:val="00B82516"/>
    <w:rsid w:val="00B82CC8"/>
    <w:rsid w:val="00B83261"/>
    <w:rsid w:val="00B83BB2"/>
    <w:rsid w:val="00B85C70"/>
    <w:rsid w:val="00B8689C"/>
    <w:rsid w:val="00B87FAB"/>
    <w:rsid w:val="00B90177"/>
    <w:rsid w:val="00B9081A"/>
    <w:rsid w:val="00B90F11"/>
    <w:rsid w:val="00B91204"/>
    <w:rsid w:val="00B91314"/>
    <w:rsid w:val="00B91A53"/>
    <w:rsid w:val="00B9374D"/>
    <w:rsid w:val="00B93C8C"/>
    <w:rsid w:val="00B93F9E"/>
    <w:rsid w:val="00B94A55"/>
    <w:rsid w:val="00B955A9"/>
    <w:rsid w:val="00B95E4B"/>
    <w:rsid w:val="00B974BB"/>
    <w:rsid w:val="00B97F2B"/>
    <w:rsid w:val="00B97FE1"/>
    <w:rsid w:val="00BA1DE8"/>
    <w:rsid w:val="00BA3252"/>
    <w:rsid w:val="00BA364E"/>
    <w:rsid w:val="00BA3E0E"/>
    <w:rsid w:val="00BA3EF3"/>
    <w:rsid w:val="00BA417F"/>
    <w:rsid w:val="00BA4CC9"/>
    <w:rsid w:val="00BA5CB4"/>
    <w:rsid w:val="00BA6388"/>
    <w:rsid w:val="00BA6517"/>
    <w:rsid w:val="00BA715B"/>
    <w:rsid w:val="00BA75EB"/>
    <w:rsid w:val="00BA79EA"/>
    <w:rsid w:val="00BB0B96"/>
    <w:rsid w:val="00BB147C"/>
    <w:rsid w:val="00BB2B4A"/>
    <w:rsid w:val="00BB2CA4"/>
    <w:rsid w:val="00BB412F"/>
    <w:rsid w:val="00BB42AE"/>
    <w:rsid w:val="00BB42B9"/>
    <w:rsid w:val="00BB495F"/>
    <w:rsid w:val="00BB66DA"/>
    <w:rsid w:val="00BB6EBA"/>
    <w:rsid w:val="00BC0903"/>
    <w:rsid w:val="00BC0EAE"/>
    <w:rsid w:val="00BC34CA"/>
    <w:rsid w:val="00BC5250"/>
    <w:rsid w:val="00BC5575"/>
    <w:rsid w:val="00BC77EF"/>
    <w:rsid w:val="00BC78A5"/>
    <w:rsid w:val="00BD109E"/>
    <w:rsid w:val="00BD19E5"/>
    <w:rsid w:val="00BD1E6B"/>
    <w:rsid w:val="00BD2A06"/>
    <w:rsid w:val="00BD2C0F"/>
    <w:rsid w:val="00BD35E3"/>
    <w:rsid w:val="00BD3769"/>
    <w:rsid w:val="00BD59A6"/>
    <w:rsid w:val="00BD6504"/>
    <w:rsid w:val="00BE2E9C"/>
    <w:rsid w:val="00BE3D84"/>
    <w:rsid w:val="00BE401D"/>
    <w:rsid w:val="00BE432D"/>
    <w:rsid w:val="00BE5101"/>
    <w:rsid w:val="00BE576C"/>
    <w:rsid w:val="00BE606A"/>
    <w:rsid w:val="00BE6A1B"/>
    <w:rsid w:val="00BE71CB"/>
    <w:rsid w:val="00BE739F"/>
    <w:rsid w:val="00BF0635"/>
    <w:rsid w:val="00BF160E"/>
    <w:rsid w:val="00BF4213"/>
    <w:rsid w:val="00BF456C"/>
    <w:rsid w:val="00BF4F81"/>
    <w:rsid w:val="00BF589D"/>
    <w:rsid w:val="00BF6C3F"/>
    <w:rsid w:val="00BF6D82"/>
    <w:rsid w:val="00BF7302"/>
    <w:rsid w:val="00BF760E"/>
    <w:rsid w:val="00C00BAA"/>
    <w:rsid w:val="00C0107A"/>
    <w:rsid w:val="00C01598"/>
    <w:rsid w:val="00C022EE"/>
    <w:rsid w:val="00C027F9"/>
    <w:rsid w:val="00C0320D"/>
    <w:rsid w:val="00C0344B"/>
    <w:rsid w:val="00C039F9"/>
    <w:rsid w:val="00C03C27"/>
    <w:rsid w:val="00C04A16"/>
    <w:rsid w:val="00C05086"/>
    <w:rsid w:val="00C0536E"/>
    <w:rsid w:val="00C0691C"/>
    <w:rsid w:val="00C06BF7"/>
    <w:rsid w:val="00C10C83"/>
    <w:rsid w:val="00C110BC"/>
    <w:rsid w:val="00C13997"/>
    <w:rsid w:val="00C156B5"/>
    <w:rsid w:val="00C15D6B"/>
    <w:rsid w:val="00C16345"/>
    <w:rsid w:val="00C16BAD"/>
    <w:rsid w:val="00C16DCA"/>
    <w:rsid w:val="00C16E4C"/>
    <w:rsid w:val="00C1703E"/>
    <w:rsid w:val="00C17EFA"/>
    <w:rsid w:val="00C223AB"/>
    <w:rsid w:val="00C25958"/>
    <w:rsid w:val="00C2788B"/>
    <w:rsid w:val="00C31B87"/>
    <w:rsid w:val="00C33C66"/>
    <w:rsid w:val="00C34216"/>
    <w:rsid w:val="00C34CB6"/>
    <w:rsid w:val="00C34FE5"/>
    <w:rsid w:val="00C351A9"/>
    <w:rsid w:val="00C37093"/>
    <w:rsid w:val="00C37814"/>
    <w:rsid w:val="00C40353"/>
    <w:rsid w:val="00C41013"/>
    <w:rsid w:val="00C417D9"/>
    <w:rsid w:val="00C4349E"/>
    <w:rsid w:val="00C44B56"/>
    <w:rsid w:val="00C45229"/>
    <w:rsid w:val="00C45703"/>
    <w:rsid w:val="00C46676"/>
    <w:rsid w:val="00C46852"/>
    <w:rsid w:val="00C46953"/>
    <w:rsid w:val="00C479D0"/>
    <w:rsid w:val="00C509B9"/>
    <w:rsid w:val="00C50BB6"/>
    <w:rsid w:val="00C50D8A"/>
    <w:rsid w:val="00C50DDD"/>
    <w:rsid w:val="00C510BC"/>
    <w:rsid w:val="00C51E15"/>
    <w:rsid w:val="00C52756"/>
    <w:rsid w:val="00C53824"/>
    <w:rsid w:val="00C5449E"/>
    <w:rsid w:val="00C54514"/>
    <w:rsid w:val="00C558FC"/>
    <w:rsid w:val="00C55A8C"/>
    <w:rsid w:val="00C56738"/>
    <w:rsid w:val="00C56CC7"/>
    <w:rsid w:val="00C57A58"/>
    <w:rsid w:val="00C60182"/>
    <w:rsid w:val="00C611C8"/>
    <w:rsid w:val="00C62900"/>
    <w:rsid w:val="00C62A93"/>
    <w:rsid w:val="00C639EC"/>
    <w:rsid w:val="00C63F1D"/>
    <w:rsid w:val="00C64250"/>
    <w:rsid w:val="00C6496E"/>
    <w:rsid w:val="00C64B11"/>
    <w:rsid w:val="00C658D2"/>
    <w:rsid w:val="00C65EF4"/>
    <w:rsid w:val="00C67243"/>
    <w:rsid w:val="00C67DD1"/>
    <w:rsid w:val="00C70805"/>
    <w:rsid w:val="00C714B7"/>
    <w:rsid w:val="00C71CB0"/>
    <w:rsid w:val="00C7368F"/>
    <w:rsid w:val="00C73F17"/>
    <w:rsid w:val="00C767CB"/>
    <w:rsid w:val="00C80E62"/>
    <w:rsid w:val="00C80FEB"/>
    <w:rsid w:val="00C81AB3"/>
    <w:rsid w:val="00C82493"/>
    <w:rsid w:val="00C82B4A"/>
    <w:rsid w:val="00C831C9"/>
    <w:rsid w:val="00C842BF"/>
    <w:rsid w:val="00C84CC2"/>
    <w:rsid w:val="00C84CD0"/>
    <w:rsid w:val="00C84FBC"/>
    <w:rsid w:val="00C86B91"/>
    <w:rsid w:val="00C8751B"/>
    <w:rsid w:val="00C8777E"/>
    <w:rsid w:val="00C9198D"/>
    <w:rsid w:val="00C92DFF"/>
    <w:rsid w:val="00C93FAB"/>
    <w:rsid w:val="00C95A0E"/>
    <w:rsid w:val="00C95F35"/>
    <w:rsid w:val="00C96A47"/>
    <w:rsid w:val="00CA05B2"/>
    <w:rsid w:val="00CA1905"/>
    <w:rsid w:val="00CA2B02"/>
    <w:rsid w:val="00CA4E24"/>
    <w:rsid w:val="00CA4F02"/>
    <w:rsid w:val="00CA57AE"/>
    <w:rsid w:val="00CA5AF0"/>
    <w:rsid w:val="00CA647E"/>
    <w:rsid w:val="00CA76A4"/>
    <w:rsid w:val="00CA7C4A"/>
    <w:rsid w:val="00CB1701"/>
    <w:rsid w:val="00CB1E76"/>
    <w:rsid w:val="00CB32BD"/>
    <w:rsid w:val="00CB3B94"/>
    <w:rsid w:val="00CB3BA6"/>
    <w:rsid w:val="00CB485C"/>
    <w:rsid w:val="00CB48E1"/>
    <w:rsid w:val="00CB50D9"/>
    <w:rsid w:val="00CB5781"/>
    <w:rsid w:val="00CB6675"/>
    <w:rsid w:val="00CB725F"/>
    <w:rsid w:val="00CC159E"/>
    <w:rsid w:val="00CC26B0"/>
    <w:rsid w:val="00CC2EA3"/>
    <w:rsid w:val="00CC2EBB"/>
    <w:rsid w:val="00CC48B4"/>
    <w:rsid w:val="00CC4914"/>
    <w:rsid w:val="00CC4ADD"/>
    <w:rsid w:val="00CC5C20"/>
    <w:rsid w:val="00CC5E3B"/>
    <w:rsid w:val="00CC69CF"/>
    <w:rsid w:val="00CC6CD3"/>
    <w:rsid w:val="00CC784B"/>
    <w:rsid w:val="00CC7B3B"/>
    <w:rsid w:val="00CC7E04"/>
    <w:rsid w:val="00CD00EA"/>
    <w:rsid w:val="00CD0E79"/>
    <w:rsid w:val="00CD16CC"/>
    <w:rsid w:val="00CD1E12"/>
    <w:rsid w:val="00CD2003"/>
    <w:rsid w:val="00CD230F"/>
    <w:rsid w:val="00CD2692"/>
    <w:rsid w:val="00CD2855"/>
    <w:rsid w:val="00CD2BE4"/>
    <w:rsid w:val="00CD33A8"/>
    <w:rsid w:val="00CD4144"/>
    <w:rsid w:val="00CD44EB"/>
    <w:rsid w:val="00CD4613"/>
    <w:rsid w:val="00CD56E9"/>
    <w:rsid w:val="00CD5DB3"/>
    <w:rsid w:val="00CD5EB9"/>
    <w:rsid w:val="00CD69A4"/>
    <w:rsid w:val="00CE0253"/>
    <w:rsid w:val="00CE1401"/>
    <w:rsid w:val="00CE189E"/>
    <w:rsid w:val="00CE2506"/>
    <w:rsid w:val="00CE2886"/>
    <w:rsid w:val="00CE36B7"/>
    <w:rsid w:val="00CE3E11"/>
    <w:rsid w:val="00CE3FAE"/>
    <w:rsid w:val="00CE4239"/>
    <w:rsid w:val="00CE517A"/>
    <w:rsid w:val="00CE5CCD"/>
    <w:rsid w:val="00CE5D17"/>
    <w:rsid w:val="00CE7EE4"/>
    <w:rsid w:val="00CF0544"/>
    <w:rsid w:val="00CF1B39"/>
    <w:rsid w:val="00CF1F0A"/>
    <w:rsid w:val="00CF2ABF"/>
    <w:rsid w:val="00CF31F3"/>
    <w:rsid w:val="00CF335B"/>
    <w:rsid w:val="00CF3BCE"/>
    <w:rsid w:val="00CF4AA1"/>
    <w:rsid w:val="00CF4C3E"/>
    <w:rsid w:val="00CF6789"/>
    <w:rsid w:val="00CF75BF"/>
    <w:rsid w:val="00D0160E"/>
    <w:rsid w:val="00D02BE0"/>
    <w:rsid w:val="00D02D3C"/>
    <w:rsid w:val="00D03994"/>
    <w:rsid w:val="00D10038"/>
    <w:rsid w:val="00D12410"/>
    <w:rsid w:val="00D128F8"/>
    <w:rsid w:val="00D1309D"/>
    <w:rsid w:val="00D14D94"/>
    <w:rsid w:val="00D15D79"/>
    <w:rsid w:val="00D15E93"/>
    <w:rsid w:val="00D17229"/>
    <w:rsid w:val="00D173CA"/>
    <w:rsid w:val="00D17937"/>
    <w:rsid w:val="00D204BA"/>
    <w:rsid w:val="00D20613"/>
    <w:rsid w:val="00D2259E"/>
    <w:rsid w:val="00D233AB"/>
    <w:rsid w:val="00D23D1E"/>
    <w:rsid w:val="00D23FAC"/>
    <w:rsid w:val="00D242EE"/>
    <w:rsid w:val="00D2620B"/>
    <w:rsid w:val="00D26861"/>
    <w:rsid w:val="00D279C8"/>
    <w:rsid w:val="00D27C11"/>
    <w:rsid w:val="00D3023F"/>
    <w:rsid w:val="00D304C8"/>
    <w:rsid w:val="00D30799"/>
    <w:rsid w:val="00D30E2C"/>
    <w:rsid w:val="00D32E4E"/>
    <w:rsid w:val="00D335B4"/>
    <w:rsid w:val="00D343A3"/>
    <w:rsid w:val="00D34704"/>
    <w:rsid w:val="00D3536C"/>
    <w:rsid w:val="00D3562C"/>
    <w:rsid w:val="00D3727A"/>
    <w:rsid w:val="00D3742E"/>
    <w:rsid w:val="00D37640"/>
    <w:rsid w:val="00D37958"/>
    <w:rsid w:val="00D40822"/>
    <w:rsid w:val="00D43263"/>
    <w:rsid w:val="00D43CED"/>
    <w:rsid w:val="00D43E2E"/>
    <w:rsid w:val="00D443B9"/>
    <w:rsid w:val="00D45350"/>
    <w:rsid w:val="00D4592C"/>
    <w:rsid w:val="00D46150"/>
    <w:rsid w:val="00D46398"/>
    <w:rsid w:val="00D47487"/>
    <w:rsid w:val="00D475BB"/>
    <w:rsid w:val="00D5071F"/>
    <w:rsid w:val="00D50F52"/>
    <w:rsid w:val="00D5137A"/>
    <w:rsid w:val="00D517DB"/>
    <w:rsid w:val="00D51DCA"/>
    <w:rsid w:val="00D52A37"/>
    <w:rsid w:val="00D53D84"/>
    <w:rsid w:val="00D5414B"/>
    <w:rsid w:val="00D5466E"/>
    <w:rsid w:val="00D54704"/>
    <w:rsid w:val="00D55BC3"/>
    <w:rsid w:val="00D56A8D"/>
    <w:rsid w:val="00D56DC5"/>
    <w:rsid w:val="00D57AEC"/>
    <w:rsid w:val="00D60143"/>
    <w:rsid w:val="00D61031"/>
    <w:rsid w:val="00D62BE2"/>
    <w:rsid w:val="00D62E60"/>
    <w:rsid w:val="00D63802"/>
    <w:rsid w:val="00D64B93"/>
    <w:rsid w:val="00D65879"/>
    <w:rsid w:val="00D65C31"/>
    <w:rsid w:val="00D663FE"/>
    <w:rsid w:val="00D66813"/>
    <w:rsid w:val="00D66BD1"/>
    <w:rsid w:val="00D67894"/>
    <w:rsid w:val="00D71150"/>
    <w:rsid w:val="00D729FA"/>
    <w:rsid w:val="00D72FD6"/>
    <w:rsid w:val="00D730BB"/>
    <w:rsid w:val="00D73AEE"/>
    <w:rsid w:val="00D7408A"/>
    <w:rsid w:val="00D76204"/>
    <w:rsid w:val="00D771C0"/>
    <w:rsid w:val="00D77269"/>
    <w:rsid w:val="00D80779"/>
    <w:rsid w:val="00D807AD"/>
    <w:rsid w:val="00D81459"/>
    <w:rsid w:val="00D84674"/>
    <w:rsid w:val="00D86E34"/>
    <w:rsid w:val="00D86F0C"/>
    <w:rsid w:val="00D87BE2"/>
    <w:rsid w:val="00D926DE"/>
    <w:rsid w:val="00D93B0C"/>
    <w:rsid w:val="00D93B36"/>
    <w:rsid w:val="00D9409F"/>
    <w:rsid w:val="00D97270"/>
    <w:rsid w:val="00DA0011"/>
    <w:rsid w:val="00DA00CF"/>
    <w:rsid w:val="00DA09B0"/>
    <w:rsid w:val="00DA4595"/>
    <w:rsid w:val="00DA5B67"/>
    <w:rsid w:val="00DA7621"/>
    <w:rsid w:val="00DA7F7A"/>
    <w:rsid w:val="00DB29D1"/>
    <w:rsid w:val="00DB4A48"/>
    <w:rsid w:val="00DB5179"/>
    <w:rsid w:val="00DB738F"/>
    <w:rsid w:val="00DC16CA"/>
    <w:rsid w:val="00DC2110"/>
    <w:rsid w:val="00DC22CD"/>
    <w:rsid w:val="00DC3E6D"/>
    <w:rsid w:val="00DC40BF"/>
    <w:rsid w:val="00DC68A4"/>
    <w:rsid w:val="00DC6E45"/>
    <w:rsid w:val="00DC7077"/>
    <w:rsid w:val="00DC725F"/>
    <w:rsid w:val="00DD0283"/>
    <w:rsid w:val="00DD0FBF"/>
    <w:rsid w:val="00DD1DF5"/>
    <w:rsid w:val="00DD29FD"/>
    <w:rsid w:val="00DD423B"/>
    <w:rsid w:val="00DD4406"/>
    <w:rsid w:val="00DD443C"/>
    <w:rsid w:val="00DD4EE6"/>
    <w:rsid w:val="00DD57D4"/>
    <w:rsid w:val="00DD5CE9"/>
    <w:rsid w:val="00DD5EDD"/>
    <w:rsid w:val="00DD645F"/>
    <w:rsid w:val="00DD6BD3"/>
    <w:rsid w:val="00DD6D9B"/>
    <w:rsid w:val="00DE0288"/>
    <w:rsid w:val="00DE1319"/>
    <w:rsid w:val="00DE17D9"/>
    <w:rsid w:val="00DE21A1"/>
    <w:rsid w:val="00DE248B"/>
    <w:rsid w:val="00DE52BB"/>
    <w:rsid w:val="00DE53C0"/>
    <w:rsid w:val="00DE5720"/>
    <w:rsid w:val="00DE6836"/>
    <w:rsid w:val="00DF049E"/>
    <w:rsid w:val="00DF112C"/>
    <w:rsid w:val="00DF1846"/>
    <w:rsid w:val="00DF1D77"/>
    <w:rsid w:val="00DF349B"/>
    <w:rsid w:val="00DF5F0E"/>
    <w:rsid w:val="00DF65F2"/>
    <w:rsid w:val="00DF6BBE"/>
    <w:rsid w:val="00DF6FE7"/>
    <w:rsid w:val="00DF721D"/>
    <w:rsid w:val="00DF7D4E"/>
    <w:rsid w:val="00E01749"/>
    <w:rsid w:val="00E02C38"/>
    <w:rsid w:val="00E02C5D"/>
    <w:rsid w:val="00E03B0D"/>
    <w:rsid w:val="00E0407B"/>
    <w:rsid w:val="00E05047"/>
    <w:rsid w:val="00E05190"/>
    <w:rsid w:val="00E058C5"/>
    <w:rsid w:val="00E069D8"/>
    <w:rsid w:val="00E12773"/>
    <w:rsid w:val="00E12EC2"/>
    <w:rsid w:val="00E13CB5"/>
    <w:rsid w:val="00E15622"/>
    <w:rsid w:val="00E1738C"/>
    <w:rsid w:val="00E173E3"/>
    <w:rsid w:val="00E178B2"/>
    <w:rsid w:val="00E17B40"/>
    <w:rsid w:val="00E21EEC"/>
    <w:rsid w:val="00E229C7"/>
    <w:rsid w:val="00E23132"/>
    <w:rsid w:val="00E25C86"/>
    <w:rsid w:val="00E26BB8"/>
    <w:rsid w:val="00E2731E"/>
    <w:rsid w:val="00E27593"/>
    <w:rsid w:val="00E27D50"/>
    <w:rsid w:val="00E27EEE"/>
    <w:rsid w:val="00E3234E"/>
    <w:rsid w:val="00E32653"/>
    <w:rsid w:val="00E33329"/>
    <w:rsid w:val="00E34C7E"/>
    <w:rsid w:val="00E34E90"/>
    <w:rsid w:val="00E362AC"/>
    <w:rsid w:val="00E369FB"/>
    <w:rsid w:val="00E40532"/>
    <w:rsid w:val="00E4077E"/>
    <w:rsid w:val="00E40EF1"/>
    <w:rsid w:val="00E41A5B"/>
    <w:rsid w:val="00E44BE6"/>
    <w:rsid w:val="00E45236"/>
    <w:rsid w:val="00E45894"/>
    <w:rsid w:val="00E45D87"/>
    <w:rsid w:val="00E46D40"/>
    <w:rsid w:val="00E47011"/>
    <w:rsid w:val="00E50BD1"/>
    <w:rsid w:val="00E526D9"/>
    <w:rsid w:val="00E53D40"/>
    <w:rsid w:val="00E559FE"/>
    <w:rsid w:val="00E560C8"/>
    <w:rsid w:val="00E56797"/>
    <w:rsid w:val="00E57367"/>
    <w:rsid w:val="00E6085E"/>
    <w:rsid w:val="00E60878"/>
    <w:rsid w:val="00E608C2"/>
    <w:rsid w:val="00E61071"/>
    <w:rsid w:val="00E61F94"/>
    <w:rsid w:val="00E62CA7"/>
    <w:rsid w:val="00E6313B"/>
    <w:rsid w:val="00E65895"/>
    <w:rsid w:val="00E658D8"/>
    <w:rsid w:val="00E65E26"/>
    <w:rsid w:val="00E66F62"/>
    <w:rsid w:val="00E704F8"/>
    <w:rsid w:val="00E70B52"/>
    <w:rsid w:val="00E70CFE"/>
    <w:rsid w:val="00E711B9"/>
    <w:rsid w:val="00E71634"/>
    <w:rsid w:val="00E72331"/>
    <w:rsid w:val="00E72ECB"/>
    <w:rsid w:val="00E73BE5"/>
    <w:rsid w:val="00E770DD"/>
    <w:rsid w:val="00E77421"/>
    <w:rsid w:val="00E80A40"/>
    <w:rsid w:val="00E80D5F"/>
    <w:rsid w:val="00E8151F"/>
    <w:rsid w:val="00E82D2E"/>
    <w:rsid w:val="00E841B0"/>
    <w:rsid w:val="00E85343"/>
    <w:rsid w:val="00E85809"/>
    <w:rsid w:val="00E8780D"/>
    <w:rsid w:val="00E90ABB"/>
    <w:rsid w:val="00E9107D"/>
    <w:rsid w:val="00E927A6"/>
    <w:rsid w:val="00E94197"/>
    <w:rsid w:val="00E942B1"/>
    <w:rsid w:val="00E94844"/>
    <w:rsid w:val="00E954D7"/>
    <w:rsid w:val="00E95529"/>
    <w:rsid w:val="00E9583A"/>
    <w:rsid w:val="00E96239"/>
    <w:rsid w:val="00E96382"/>
    <w:rsid w:val="00E9642F"/>
    <w:rsid w:val="00E967F9"/>
    <w:rsid w:val="00E977B7"/>
    <w:rsid w:val="00E97A8E"/>
    <w:rsid w:val="00E97B7B"/>
    <w:rsid w:val="00E97F04"/>
    <w:rsid w:val="00EA0690"/>
    <w:rsid w:val="00EA0AD8"/>
    <w:rsid w:val="00EA0E1A"/>
    <w:rsid w:val="00EA41F2"/>
    <w:rsid w:val="00EA52D2"/>
    <w:rsid w:val="00EA6BD7"/>
    <w:rsid w:val="00EA7235"/>
    <w:rsid w:val="00EA7438"/>
    <w:rsid w:val="00EB3184"/>
    <w:rsid w:val="00EB4017"/>
    <w:rsid w:val="00EB51B8"/>
    <w:rsid w:val="00EB5861"/>
    <w:rsid w:val="00EB5CCC"/>
    <w:rsid w:val="00EB6DB9"/>
    <w:rsid w:val="00EB72B1"/>
    <w:rsid w:val="00EC06DF"/>
    <w:rsid w:val="00EC19E1"/>
    <w:rsid w:val="00EC2262"/>
    <w:rsid w:val="00EC243C"/>
    <w:rsid w:val="00EC2A0C"/>
    <w:rsid w:val="00EC3D4F"/>
    <w:rsid w:val="00EC4897"/>
    <w:rsid w:val="00EC5A9F"/>
    <w:rsid w:val="00EC6985"/>
    <w:rsid w:val="00EC6AC1"/>
    <w:rsid w:val="00EC7684"/>
    <w:rsid w:val="00EC7DE5"/>
    <w:rsid w:val="00ED01B3"/>
    <w:rsid w:val="00ED3679"/>
    <w:rsid w:val="00ED521A"/>
    <w:rsid w:val="00ED52A0"/>
    <w:rsid w:val="00ED6B30"/>
    <w:rsid w:val="00EE0798"/>
    <w:rsid w:val="00EE07B6"/>
    <w:rsid w:val="00EE24E6"/>
    <w:rsid w:val="00EE28F5"/>
    <w:rsid w:val="00EE2BF1"/>
    <w:rsid w:val="00EE311A"/>
    <w:rsid w:val="00EE38EF"/>
    <w:rsid w:val="00EE3D49"/>
    <w:rsid w:val="00EE4F71"/>
    <w:rsid w:val="00EE501D"/>
    <w:rsid w:val="00EE5317"/>
    <w:rsid w:val="00EE6035"/>
    <w:rsid w:val="00EE6539"/>
    <w:rsid w:val="00EE77D0"/>
    <w:rsid w:val="00EF0D49"/>
    <w:rsid w:val="00EF1003"/>
    <w:rsid w:val="00EF1949"/>
    <w:rsid w:val="00EF2E9D"/>
    <w:rsid w:val="00EF58C9"/>
    <w:rsid w:val="00EF6FAD"/>
    <w:rsid w:val="00F000E3"/>
    <w:rsid w:val="00F02266"/>
    <w:rsid w:val="00F0245C"/>
    <w:rsid w:val="00F02BF5"/>
    <w:rsid w:val="00F03030"/>
    <w:rsid w:val="00F05A64"/>
    <w:rsid w:val="00F06C77"/>
    <w:rsid w:val="00F07467"/>
    <w:rsid w:val="00F10FF0"/>
    <w:rsid w:val="00F117A1"/>
    <w:rsid w:val="00F12516"/>
    <w:rsid w:val="00F1280D"/>
    <w:rsid w:val="00F13DE4"/>
    <w:rsid w:val="00F14149"/>
    <w:rsid w:val="00F1478A"/>
    <w:rsid w:val="00F15514"/>
    <w:rsid w:val="00F15C5F"/>
    <w:rsid w:val="00F15DDE"/>
    <w:rsid w:val="00F17ACA"/>
    <w:rsid w:val="00F211EB"/>
    <w:rsid w:val="00F2182C"/>
    <w:rsid w:val="00F21ADD"/>
    <w:rsid w:val="00F220D0"/>
    <w:rsid w:val="00F22447"/>
    <w:rsid w:val="00F22A51"/>
    <w:rsid w:val="00F23BBC"/>
    <w:rsid w:val="00F2485C"/>
    <w:rsid w:val="00F254EB"/>
    <w:rsid w:val="00F27EB9"/>
    <w:rsid w:val="00F300C0"/>
    <w:rsid w:val="00F30E5C"/>
    <w:rsid w:val="00F31433"/>
    <w:rsid w:val="00F3262E"/>
    <w:rsid w:val="00F3311E"/>
    <w:rsid w:val="00F337D0"/>
    <w:rsid w:val="00F34EF3"/>
    <w:rsid w:val="00F35310"/>
    <w:rsid w:val="00F368F3"/>
    <w:rsid w:val="00F372A2"/>
    <w:rsid w:val="00F403E1"/>
    <w:rsid w:val="00F4051B"/>
    <w:rsid w:val="00F41C67"/>
    <w:rsid w:val="00F42038"/>
    <w:rsid w:val="00F428E8"/>
    <w:rsid w:val="00F42BFD"/>
    <w:rsid w:val="00F447D7"/>
    <w:rsid w:val="00F45DD1"/>
    <w:rsid w:val="00F4638E"/>
    <w:rsid w:val="00F46463"/>
    <w:rsid w:val="00F4697A"/>
    <w:rsid w:val="00F477E8"/>
    <w:rsid w:val="00F479A7"/>
    <w:rsid w:val="00F50136"/>
    <w:rsid w:val="00F514C2"/>
    <w:rsid w:val="00F522FC"/>
    <w:rsid w:val="00F535A6"/>
    <w:rsid w:val="00F53A04"/>
    <w:rsid w:val="00F54779"/>
    <w:rsid w:val="00F5506B"/>
    <w:rsid w:val="00F5520C"/>
    <w:rsid w:val="00F55229"/>
    <w:rsid w:val="00F554EA"/>
    <w:rsid w:val="00F555A3"/>
    <w:rsid w:val="00F566FA"/>
    <w:rsid w:val="00F56ACB"/>
    <w:rsid w:val="00F5750E"/>
    <w:rsid w:val="00F5753D"/>
    <w:rsid w:val="00F578C8"/>
    <w:rsid w:val="00F60A70"/>
    <w:rsid w:val="00F60B68"/>
    <w:rsid w:val="00F60D7C"/>
    <w:rsid w:val="00F61494"/>
    <w:rsid w:val="00F618BC"/>
    <w:rsid w:val="00F62584"/>
    <w:rsid w:val="00F62ABB"/>
    <w:rsid w:val="00F63019"/>
    <w:rsid w:val="00F63123"/>
    <w:rsid w:val="00F6339A"/>
    <w:rsid w:val="00F633AD"/>
    <w:rsid w:val="00F63CE1"/>
    <w:rsid w:val="00F640F3"/>
    <w:rsid w:val="00F64E74"/>
    <w:rsid w:val="00F663B7"/>
    <w:rsid w:val="00F66D8E"/>
    <w:rsid w:val="00F66FE9"/>
    <w:rsid w:val="00F6752B"/>
    <w:rsid w:val="00F7000B"/>
    <w:rsid w:val="00F70362"/>
    <w:rsid w:val="00F712D9"/>
    <w:rsid w:val="00F72724"/>
    <w:rsid w:val="00F73547"/>
    <w:rsid w:val="00F743D1"/>
    <w:rsid w:val="00F75FE5"/>
    <w:rsid w:val="00F76A7C"/>
    <w:rsid w:val="00F76C24"/>
    <w:rsid w:val="00F7747D"/>
    <w:rsid w:val="00F77D9F"/>
    <w:rsid w:val="00F77F5E"/>
    <w:rsid w:val="00F812B5"/>
    <w:rsid w:val="00F81741"/>
    <w:rsid w:val="00F822DE"/>
    <w:rsid w:val="00F82B81"/>
    <w:rsid w:val="00F82C15"/>
    <w:rsid w:val="00F835E5"/>
    <w:rsid w:val="00F850C3"/>
    <w:rsid w:val="00F8580C"/>
    <w:rsid w:val="00F8632E"/>
    <w:rsid w:val="00F874E9"/>
    <w:rsid w:val="00F90BE5"/>
    <w:rsid w:val="00F910FA"/>
    <w:rsid w:val="00F91712"/>
    <w:rsid w:val="00F91994"/>
    <w:rsid w:val="00F9205C"/>
    <w:rsid w:val="00F9244E"/>
    <w:rsid w:val="00F93AC4"/>
    <w:rsid w:val="00F9449B"/>
    <w:rsid w:val="00F94A27"/>
    <w:rsid w:val="00F94E47"/>
    <w:rsid w:val="00F9505C"/>
    <w:rsid w:val="00F967B1"/>
    <w:rsid w:val="00FA0320"/>
    <w:rsid w:val="00FA16F6"/>
    <w:rsid w:val="00FA26A9"/>
    <w:rsid w:val="00FA4370"/>
    <w:rsid w:val="00FA4860"/>
    <w:rsid w:val="00FA62E3"/>
    <w:rsid w:val="00FA630A"/>
    <w:rsid w:val="00FA6D03"/>
    <w:rsid w:val="00FA6D12"/>
    <w:rsid w:val="00FB1396"/>
    <w:rsid w:val="00FB216C"/>
    <w:rsid w:val="00FB2BAA"/>
    <w:rsid w:val="00FB32A8"/>
    <w:rsid w:val="00FB4B01"/>
    <w:rsid w:val="00FB6090"/>
    <w:rsid w:val="00FB649B"/>
    <w:rsid w:val="00FB6E0C"/>
    <w:rsid w:val="00FB7821"/>
    <w:rsid w:val="00FB792B"/>
    <w:rsid w:val="00FC47E6"/>
    <w:rsid w:val="00FC5448"/>
    <w:rsid w:val="00FC574B"/>
    <w:rsid w:val="00FC5B2B"/>
    <w:rsid w:val="00FC629C"/>
    <w:rsid w:val="00FC682F"/>
    <w:rsid w:val="00FD05AC"/>
    <w:rsid w:val="00FD1FBE"/>
    <w:rsid w:val="00FD3589"/>
    <w:rsid w:val="00FD35E8"/>
    <w:rsid w:val="00FD5CDF"/>
    <w:rsid w:val="00FD66B2"/>
    <w:rsid w:val="00FD7026"/>
    <w:rsid w:val="00FE0178"/>
    <w:rsid w:val="00FE5072"/>
    <w:rsid w:val="00FE5168"/>
    <w:rsid w:val="00FE58F3"/>
    <w:rsid w:val="00FE75F7"/>
    <w:rsid w:val="00FE7AB6"/>
    <w:rsid w:val="00FE7FD6"/>
    <w:rsid w:val="00FF2104"/>
    <w:rsid w:val="00FF2331"/>
    <w:rsid w:val="00FF3468"/>
    <w:rsid w:val="00FF4457"/>
    <w:rsid w:val="00FF49CA"/>
    <w:rsid w:val="00FF4B2A"/>
    <w:rsid w:val="00FF6846"/>
    <w:rsid w:val="00FF6A81"/>
    <w:rsid w:val="00FF7736"/>
    <w:rsid w:val="04AF9860"/>
    <w:rsid w:val="0673096E"/>
    <w:rsid w:val="0B467A91"/>
    <w:rsid w:val="0C9881CA"/>
    <w:rsid w:val="0CC92295"/>
    <w:rsid w:val="0E7E1B53"/>
    <w:rsid w:val="0F8AA101"/>
    <w:rsid w:val="0FFCEF0A"/>
    <w:rsid w:val="1019EBB4"/>
    <w:rsid w:val="10476BEE"/>
    <w:rsid w:val="1105C121"/>
    <w:rsid w:val="11B5BC15"/>
    <w:rsid w:val="120E5A8C"/>
    <w:rsid w:val="12A97F08"/>
    <w:rsid w:val="12C241C3"/>
    <w:rsid w:val="1AB490ED"/>
    <w:rsid w:val="1C8AACD9"/>
    <w:rsid w:val="1DB791C7"/>
    <w:rsid w:val="1DC36212"/>
    <w:rsid w:val="207FEB25"/>
    <w:rsid w:val="217A164F"/>
    <w:rsid w:val="281A1F8D"/>
    <w:rsid w:val="285729D5"/>
    <w:rsid w:val="289E8312"/>
    <w:rsid w:val="2A20E948"/>
    <w:rsid w:val="2B26BF1B"/>
    <w:rsid w:val="2C01DA07"/>
    <w:rsid w:val="2CA4DF67"/>
    <w:rsid w:val="2DE92D1C"/>
    <w:rsid w:val="2E96BB54"/>
    <w:rsid w:val="2F84FD7D"/>
    <w:rsid w:val="30034D8A"/>
    <w:rsid w:val="3128BB64"/>
    <w:rsid w:val="33CBCFB4"/>
    <w:rsid w:val="34EBB65A"/>
    <w:rsid w:val="39DBDAB7"/>
    <w:rsid w:val="3BA24ABA"/>
    <w:rsid w:val="3E731263"/>
    <w:rsid w:val="3FE6712A"/>
    <w:rsid w:val="413EDF2E"/>
    <w:rsid w:val="4227A3B6"/>
    <w:rsid w:val="43E69158"/>
    <w:rsid w:val="47B384FF"/>
    <w:rsid w:val="4844F9B2"/>
    <w:rsid w:val="4AC03D95"/>
    <w:rsid w:val="4BB4F5F1"/>
    <w:rsid w:val="4BBA68BF"/>
    <w:rsid w:val="4C466AA4"/>
    <w:rsid w:val="4EF7FCCC"/>
    <w:rsid w:val="52167531"/>
    <w:rsid w:val="548DD7B8"/>
    <w:rsid w:val="55E3103A"/>
    <w:rsid w:val="58760F75"/>
    <w:rsid w:val="59B8651C"/>
    <w:rsid w:val="5D6FCE9F"/>
    <w:rsid w:val="61DE05C5"/>
    <w:rsid w:val="62D5311D"/>
    <w:rsid w:val="67436843"/>
    <w:rsid w:val="6C67F626"/>
    <w:rsid w:val="6DA9A012"/>
    <w:rsid w:val="710B64A4"/>
    <w:rsid w:val="71502F3E"/>
    <w:rsid w:val="796EC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6D2FF"/>
  <w15:chartTrackingRefBased/>
  <w15:docId w15:val="{7C9B4036-8EA5-4862-994F-898EA0B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A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F1B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2CA7"/>
    <w:pPr>
      <w:ind w:left="720"/>
      <w:contextualSpacing/>
    </w:pPr>
  </w:style>
  <w:style w:type="character" w:styleId="Hyperlink">
    <w:name w:val="Hyperlink"/>
    <w:basedOn w:val="DefaultParagraphFont"/>
    <w:uiPriority w:val="99"/>
    <w:unhideWhenUsed/>
    <w:rsid w:val="008B5081"/>
    <w:rPr>
      <w:color w:val="0000FF"/>
      <w:u w:val="single"/>
    </w:rPr>
  </w:style>
  <w:style w:type="character" w:styleId="Strong">
    <w:name w:val="Strong"/>
    <w:basedOn w:val="DefaultParagraphFont"/>
    <w:uiPriority w:val="22"/>
    <w:qFormat/>
    <w:rsid w:val="0046562E"/>
    <w:rPr>
      <w:b/>
      <w:bCs/>
    </w:rPr>
  </w:style>
  <w:style w:type="paragraph" w:styleId="Header">
    <w:name w:val="header"/>
    <w:basedOn w:val="Normal"/>
    <w:link w:val="HeaderChar"/>
    <w:uiPriority w:val="99"/>
    <w:unhideWhenUsed/>
    <w:rsid w:val="006D3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39"/>
  </w:style>
  <w:style w:type="paragraph" w:styleId="Footer">
    <w:name w:val="footer"/>
    <w:basedOn w:val="Normal"/>
    <w:link w:val="FooterChar"/>
    <w:uiPriority w:val="99"/>
    <w:unhideWhenUsed/>
    <w:rsid w:val="006D3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A39"/>
  </w:style>
  <w:style w:type="paragraph" w:customStyle="1" w:styleId="Default">
    <w:name w:val="Default"/>
    <w:rsid w:val="00D4592C"/>
    <w:pPr>
      <w:autoSpaceDE w:val="0"/>
      <w:autoSpaceDN w:val="0"/>
      <w:adjustRightInd w:val="0"/>
      <w:spacing w:after="0" w:line="240" w:lineRule="auto"/>
    </w:pPr>
    <w:rPr>
      <w:rFonts w:ascii="AOIND F+ Gulliver" w:hAnsi="AOIND F+ Gulliver" w:cs="AOIND F+ Gulliver"/>
      <w:color w:val="000000"/>
      <w:sz w:val="24"/>
      <w:szCs w:val="24"/>
    </w:rPr>
  </w:style>
  <w:style w:type="character" w:customStyle="1" w:styleId="text">
    <w:name w:val="text"/>
    <w:basedOn w:val="DefaultParagraphFont"/>
    <w:rsid w:val="00381373"/>
  </w:style>
  <w:style w:type="table" w:styleId="TableGrid">
    <w:name w:val="Table Grid"/>
    <w:basedOn w:val="TableNormal"/>
    <w:uiPriority w:val="39"/>
    <w:rsid w:val="0031048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7AE8"/>
    <w:rPr>
      <w:rFonts w:ascii="Times New Roman" w:eastAsia="Times New Roman" w:hAnsi="Times New Roman" w:cs="Times New Roman"/>
      <w:b/>
      <w:bCs/>
      <w:kern w:val="36"/>
      <w:sz w:val="48"/>
      <w:szCs w:val="48"/>
    </w:rPr>
  </w:style>
  <w:style w:type="character" w:customStyle="1" w:styleId="title-text">
    <w:name w:val="title-text"/>
    <w:basedOn w:val="DefaultParagraphFont"/>
    <w:rsid w:val="001F7AE8"/>
  </w:style>
  <w:style w:type="character" w:styleId="Emphasis">
    <w:name w:val="Emphasis"/>
    <w:basedOn w:val="DefaultParagraphFont"/>
    <w:uiPriority w:val="20"/>
    <w:qFormat/>
    <w:rsid w:val="0080057B"/>
    <w:rPr>
      <w:i/>
      <w:iCs/>
    </w:rPr>
  </w:style>
  <w:style w:type="paragraph" w:styleId="BodyText">
    <w:name w:val="Body Text"/>
    <w:basedOn w:val="Normal"/>
    <w:link w:val="BodyTextChar"/>
    <w:uiPriority w:val="1"/>
    <w:qFormat/>
    <w:rsid w:val="00143814"/>
    <w:pPr>
      <w:widowControl w:val="0"/>
      <w:autoSpaceDE w:val="0"/>
      <w:autoSpaceDN w:val="0"/>
      <w:spacing w:after="0" w:line="240" w:lineRule="auto"/>
      <w:ind w:left="11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43814"/>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6D1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0588C"/>
    <w:rPr>
      <w:color w:val="808080"/>
    </w:rPr>
  </w:style>
  <w:style w:type="character" w:styleId="CommentReference">
    <w:name w:val="annotation reference"/>
    <w:basedOn w:val="DefaultParagraphFont"/>
    <w:uiPriority w:val="99"/>
    <w:semiHidden/>
    <w:unhideWhenUsed/>
    <w:rsid w:val="00965E07"/>
    <w:rPr>
      <w:sz w:val="16"/>
      <w:szCs w:val="16"/>
    </w:rPr>
  </w:style>
  <w:style w:type="paragraph" w:styleId="CommentText">
    <w:name w:val="annotation text"/>
    <w:basedOn w:val="Normal"/>
    <w:link w:val="CommentTextChar"/>
    <w:uiPriority w:val="99"/>
    <w:semiHidden/>
    <w:unhideWhenUsed/>
    <w:rsid w:val="00965E07"/>
    <w:pPr>
      <w:spacing w:line="240" w:lineRule="auto"/>
    </w:pPr>
    <w:rPr>
      <w:sz w:val="20"/>
      <w:szCs w:val="20"/>
    </w:rPr>
  </w:style>
  <w:style w:type="character" w:customStyle="1" w:styleId="CommentTextChar">
    <w:name w:val="Comment Text Char"/>
    <w:basedOn w:val="DefaultParagraphFont"/>
    <w:link w:val="CommentText"/>
    <w:uiPriority w:val="99"/>
    <w:semiHidden/>
    <w:rsid w:val="00965E07"/>
    <w:rPr>
      <w:sz w:val="20"/>
      <w:szCs w:val="20"/>
    </w:rPr>
  </w:style>
  <w:style w:type="paragraph" w:styleId="CommentSubject">
    <w:name w:val="annotation subject"/>
    <w:basedOn w:val="CommentText"/>
    <w:next w:val="CommentText"/>
    <w:link w:val="CommentSubjectChar"/>
    <w:uiPriority w:val="99"/>
    <w:semiHidden/>
    <w:unhideWhenUsed/>
    <w:rsid w:val="00965E07"/>
    <w:rPr>
      <w:b/>
      <w:bCs/>
    </w:rPr>
  </w:style>
  <w:style w:type="character" w:customStyle="1" w:styleId="CommentSubjectChar">
    <w:name w:val="Comment Subject Char"/>
    <w:basedOn w:val="CommentTextChar"/>
    <w:link w:val="CommentSubject"/>
    <w:uiPriority w:val="99"/>
    <w:semiHidden/>
    <w:rsid w:val="00965E07"/>
    <w:rPr>
      <w:b/>
      <w:bCs/>
      <w:sz w:val="20"/>
      <w:szCs w:val="20"/>
    </w:rPr>
  </w:style>
  <w:style w:type="paragraph" w:styleId="Revision">
    <w:name w:val="Revision"/>
    <w:hidden/>
    <w:uiPriority w:val="99"/>
    <w:semiHidden/>
    <w:rsid w:val="00A162DD"/>
    <w:pPr>
      <w:spacing w:after="0" w:line="240" w:lineRule="auto"/>
    </w:pPr>
  </w:style>
  <w:style w:type="paragraph" w:styleId="BalloonText">
    <w:name w:val="Balloon Text"/>
    <w:basedOn w:val="Normal"/>
    <w:link w:val="BalloonTextChar"/>
    <w:uiPriority w:val="99"/>
    <w:semiHidden/>
    <w:unhideWhenUsed/>
    <w:rsid w:val="00D5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D84"/>
    <w:rPr>
      <w:rFonts w:ascii="Segoe UI" w:hAnsi="Segoe UI" w:cs="Segoe UI"/>
      <w:sz w:val="18"/>
      <w:szCs w:val="18"/>
    </w:rPr>
  </w:style>
  <w:style w:type="character" w:customStyle="1" w:styleId="Heading3Char">
    <w:name w:val="Heading 3 Char"/>
    <w:basedOn w:val="DefaultParagraphFont"/>
    <w:link w:val="Heading3"/>
    <w:uiPriority w:val="9"/>
    <w:semiHidden/>
    <w:rsid w:val="000F1B3C"/>
    <w:rPr>
      <w:rFonts w:asciiTheme="majorHAnsi" w:eastAsiaTheme="majorEastAsia" w:hAnsiTheme="majorHAnsi" w:cstheme="majorBidi"/>
      <w:color w:val="1F4D78" w:themeColor="accent1" w:themeShade="7F"/>
      <w:sz w:val="24"/>
      <w:szCs w:val="24"/>
    </w:rPr>
  </w:style>
  <w:style w:type="character" w:customStyle="1" w:styleId="topic-highlight">
    <w:name w:val="topic-highlight"/>
    <w:basedOn w:val="DefaultParagraphFont"/>
    <w:rsid w:val="00207E77"/>
  </w:style>
  <w:style w:type="paragraph" w:customStyle="1" w:styleId="gmail-msocommenttext">
    <w:name w:val="gmail-msocommenttext"/>
    <w:basedOn w:val="Normal"/>
    <w:rsid w:val="00291D21"/>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0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2463">
      <w:bodyDiv w:val="1"/>
      <w:marLeft w:val="0"/>
      <w:marRight w:val="0"/>
      <w:marTop w:val="0"/>
      <w:marBottom w:val="0"/>
      <w:divBdr>
        <w:top w:val="none" w:sz="0" w:space="0" w:color="auto"/>
        <w:left w:val="none" w:sz="0" w:space="0" w:color="auto"/>
        <w:bottom w:val="none" w:sz="0" w:space="0" w:color="auto"/>
        <w:right w:val="none" w:sz="0" w:space="0" w:color="auto"/>
      </w:divBdr>
    </w:div>
    <w:div w:id="114520262">
      <w:bodyDiv w:val="1"/>
      <w:marLeft w:val="0"/>
      <w:marRight w:val="0"/>
      <w:marTop w:val="0"/>
      <w:marBottom w:val="0"/>
      <w:divBdr>
        <w:top w:val="none" w:sz="0" w:space="0" w:color="auto"/>
        <w:left w:val="none" w:sz="0" w:space="0" w:color="auto"/>
        <w:bottom w:val="none" w:sz="0" w:space="0" w:color="auto"/>
        <w:right w:val="none" w:sz="0" w:space="0" w:color="auto"/>
      </w:divBdr>
    </w:div>
    <w:div w:id="170419045">
      <w:bodyDiv w:val="1"/>
      <w:marLeft w:val="0"/>
      <w:marRight w:val="0"/>
      <w:marTop w:val="0"/>
      <w:marBottom w:val="0"/>
      <w:divBdr>
        <w:top w:val="none" w:sz="0" w:space="0" w:color="auto"/>
        <w:left w:val="none" w:sz="0" w:space="0" w:color="auto"/>
        <w:bottom w:val="none" w:sz="0" w:space="0" w:color="auto"/>
        <w:right w:val="none" w:sz="0" w:space="0" w:color="auto"/>
      </w:divBdr>
    </w:div>
    <w:div w:id="188840774">
      <w:bodyDiv w:val="1"/>
      <w:marLeft w:val="0"/>
      <w:marRight w:val="0"/>
      <w:marTop w:val="0"/>
      <w:marBottom w:val="0"/>
      <w:divBdr>
        <w:top w:val="none" w:sz="0" w:space="0" w:color="auto"/>
        <w:left w:val="none" w:sz="0" w:space="0" w:color="auto"/>
        <w:bottom w:val="none" w:sz="0" w:space="0" w:color="auto"/>
        <w:right w:val="none" w:sz="0" w:space="0" w:color="auto"/>
      </w:divBdr>
    </w:div>
    <w:div w:id="226494761">
      <w:bodyDiv w:val="1"/>
      <w:marLeft w:val="0"/>
      <w:marRight w:val="0"/>
      <w:marTop w:val="0"/>
      <w:marBottom w:val="0"/>
      <w:divBdr>
        <w:top w:val="none" w:sz="0" w:space="0" w:color="auto"/>
        <w:left w:val="none" w:sz="0" w:space="0" w:color="auto"/>
        <w:bottom w:val="none" w:sz="0" w:space="0" w:color="auto"/>
        <w:right w:val="none" w:sz="0" w:space="0" w:color="auto"/>
      </w:divBdr>
    </w:div>
    <w:div w:id="238906129">
      <w:bodyDiv w:val="1"/>
      <w:marLeft w:val="0"/>
      <w:marRight w:val="0"/>
      <w:marTop w:val="0"/>
      <w:marBottom w:val="0"/>
      <w:divBdr>
        <w:top w:val="none" w:sz="0" w:space="0" w:color="auto"/>
        <w:left w:val="none" w:sz="0" w:space="0" w:color="auto"/>
        <w:bottom w:val="none" w:sz="0" w:space="0" w:color="auto"/>
        <w:right w:val="none" w:sz="0" w:space="0" w:color="auto"/>
      </w:divBdr>
    </w:div>
    <w:div w:id="247738179">
      <w:bodyDiv w:val="1"/>
      <w:marLeft w:val="0"/>
      <w:marRight w:val="0"/>
      <w:marTop w:val="0"/>
      <w:marBottom w:val="0"/>
      <w:divBdr>
        <w:top w:val="none" w:sz="0" w:space="0" w:color="auto"/>
        <w:left w:val="none" w:sz="0" w:space="0" w:color="auto"/>
        <w:bottom w:val="none" w:sz="0" w:space="0" w:color="auto"/>
        <w:right w:val="none" w:sz="0" w:space="0" w:color="auto"/>
      </w:divBdr>
    </w:div>
    <w:div w:id="262421557">
      <w:bodyDiv w:val="1"/>
      <w:marLeft w:val="0"/>
      <w:marRight w:val="0"/>
      <w:marTop w:val="0"/>
      <w:marBottom w:val="0"/>
      <w:divBdr>
        <w:top w:val="none" w:sz="0" w:space="0" w:color="auto"/>
        <w:left w:val="none" w:sz="0" w:space="0" w:color="auto"/>
        <w:bottom w:val="none" w:sz="0" w:space="0" w:color="auto"/>
        <w:right w:val="none" w:sz="0" w:space="0" w:color="auto"/>
      </w:divBdr>
    </w:div>
    <w:div w:id="393088262">
      <w:bodyDiv w:val="1"/>
      <w:marLeft w:val="0"/>
      <w:marRight w:val="0"/>
      <w:marTop w:val="0"/>
      <w:marBottom w:val="0"/>
      <w:divBdr>
        <w:top w:val="none" w:sz="0" w:space="0" w:color="auto"/>
        <w:left w:val="none" w:sz="0" w:space="0" w:color="auto"/>
        <w:bottom w:val="none" w:sz="0" w:space="0" w:color="auto"/>
        <w:right w:val="none" w:sz="0" w:space="0" w:color="auto"/>
      </w:divBdr>
    </w:div>
    <w:div w:id="421414290">
      <w:bodyDiv w:val="1"/>
      <w:marLeft w:val="0"/>
      <w:marRight w:val="0"/>
      <w:marTop w:val="0"/>
      <w:marBottom w:val="0"/>
      <w:divBdr>
        <w:top w:val="none" w:sz="0" w:space="0" w:color="auto"/>
        <w:left w:val="none" w:sz="0" w:space="0" w:color="auto"/>
        <w:bottom w:val="none" w:sz="0" w:space="0" w:color="auto"/>
        <w:right w:val="none" w:sz="0" w:space="0" w:color="auto"/>
      </w:divBdr>
    </w:div>
    <w:div w:id="425201134">
      <w:bodyDiv w:val="1"/>
      <w:marLeft w:val="0"/>
      <w:marRight w:val="0"/>
      <w:marTop w:val="0"/>
      <w:marBottom w:val="0"/>
      <w:divBdr>
        <w:top w:val="none" w:sz="0" w:space="0" w:color="auto"/>
        <w:left w:val="none" w:sz="0" w:space="0" w:color="auto"/>
        <w:bottom w:val="none" w:sz="0" w:space="0" w:color="auto"/>
        <w:right w:val="none" w:sz="0" w:space="0" w:color="auto"/>
      </w:divBdr>
    </w:div>
    <w:div w:id="575166734">
      <w:bodyDiv w:val="1"/>
      <w:marLeft w:val="0"/>
      <w:marRight w:val="0"/>
      <w:marTop w:val="0"/>
      <w:marBottom w:val="0"/>
      <w:divBdr>
        <w:top w:val="none" w:sz="0" w:space="0" w:color="auto"/>
        <w:left w:val="none" w:sz="0" w:space="0" w:color="auto"/>
        <w:bottom w:val="none" w:sz="0" w:space="0" w:color="auto"/>
        <w:right w:val="none" w:sz="0" w:space="0" w:color="auto"/>
      </w:divBdr>
    </w:div>
    <w:div w:id="583341354">
      <w:bodyDiv w:val="1"/>
      <w:marLeft w:val="0"/>
      <w:marRight w:val="0"/>
      <w:marTop w:val="0"/>
      <w:marBottom w:val="0"/>
      <w:divBdr>
        <w:top w:val="none" w:sz="0" w:space="0" w:color="auto"/>
        <w:left w:val="none" w:sz="0" w:space="0" w:color="auto"/>
        <w:bottom w:val="none" w:sz="0" w:space="0" w:color="auto"/>
        <w:right w:val="none" w:sz="0" w:space="0" w:color="auto"/>
      </w:divBdr>
    </w:div>
    <w:div w:id="601693854">
      <w:bodyDiv w:val="1"/>
      <w:marLeft w:val="0"/>
      <w:marRight w:val="0"/>
      <w:marTop w:val="0"/>
      <w:marBottom w:val="0"/>
      <w:divBdr>
        <w:top w:val="none" w:sz="0" w:space="0" w:color="auto"/>
        <w:left w:val="none" w:sz="0" w:space="0" w:color="auto"/>
        <w:bottom w:val="none" w:sz="0" w:space="0" w:color="auto"/>
        <w:right w:val="none" w:sz="0" w:space="0" w:color="auto"/>
      </w:divBdr>
      <w:divsChild>
        <w:div w:id="1029721576">
          <w:marLeft w:val="0"/>
          <w:marRight w:val="0"/>
          <w:marTop w:val="0"/>
          <w:marBottom w:val="0"/>
          <w:divBdr>
            <w:top w:val="none" w:sz="0" w:space="0" w:color="auto"/>
            <w:left w:val="none" w:sz="0" w:space="0" w:color="auto"/>
            <w:bottom w:val="none" w:sz="0" w:space="0" w:color="auto"/>
            <w:right w:val="none" w:sz="0" w:space="0" w:color="auto"/>
          </w:divBdr>
        </w:div>
        <w:div w:id="1785535621">
          <w:marLeft w:val="0"/>
          <w:marRight w:val="0"/>
          <w:marTop w:val="240"/>
          <w:marBottom w:val="120"/>
          <w:divBdr>
            <w:top w:val="none" w:sz="0" w:space="0" w:color="auto"/>
            <w:left w:val="none" w:sz="0" w:space="0" w:color="auto"/>
            <w:bottom w:val="none" w:sz="0" w:space="0" w:color="auto"/>
            <w:right w:val="none" w:sz="0" w:space="0" w:color="auto"/>
          </w:divBdr>
        </w:div>
      </w:divsChild>
    </w:div>
    <w:div w:id="606893739">
      <w:bodyDiv w:val="1"/>
      <w:marLeft w:val="0"/>
      <w:marRight w:val="0"/>
      <w:marTop w:val="0"/>
      <w:marBottom w:val="0"/>
      <w:divBdr>
        <w:top w:val="none" w:sz="0" w:space="0" w:color="auto"/>
        <w:left w:val="none" w:sz="0" w:space="0" w:color="auto"/>
        <w:bottom w:val="none" w:sz="0" w:space="0" w:color="auto"/>
        <w:right w:val="none" w:sz="0" w:space="0" w:color="auto"/>
      </w:divBdr>
    </w:div>
    <w:div w:id="610749296">
      <w:bodyDiv w:val="1"/>
      <w:marLeft w:val="0"/>
      <w:marRight w:val="0"/>
      <w:marTop w:val="0"/>
      <w:marBottom w:val="0"/>
      <w:divBdr>
        <w:top w:val="none" w:sz="0" w:space="0" w:color="auto"/>
        <w:left w:val="none" w:sz="0" w:space="0" w:color="auto"/>
        <w:bottom w:val="none" w:sz="0" w:space="0" w:color="auto"/>
        <w:right w:val="none" w:sz="0" w:space="0" w:color="auto"/>
      </w:divBdr>
    </w:div>
    <w:div w:id="626205459">
      <w:bodyDiv w:val="1"/>
      <w:marLeft w:val="0"/>
      <w:marRight w:val="0"/>
      <w:marTop w:val="0"/>
      <w:marBottom w:val="0"/>
      <w:divBdr>
        <w:top w:val="none" w:sz="0" w:space="0" w:color="auto"/>
        <w:left w:val="none" w:sz="0" w:space="0" w:color="auto"/>
        <w:bottom w:val="none" w:sz="0" w:space="0" w:color="auto"/>
        <w:right w:val="none" w:sz="0" w:space="0" w:color="auto"/>
      </w:divBdr>
    </w:div>
    <w:div w:id="656887139">
      <w:bodyDiv w:val="1"/>
      <w:marLeft w:val="0"/>
      <w:marRight w:val="0"/>
      <w:marTop w:val="0"/>
      <w:marBottom w:val="0"/>
      <w:divBdr>
        <w:top w:val="none" w:sz="0" w:space="0" w:color="auto"/>
        <w:left w:val="none" w:sz="0" w:space="0" w:color="auto"/>
        <w:bottom w:val="none" w:sz="0" w:space="0" w:color="auto"/>
        <w:right w:val="none" w:sz="0" w:space="0" w:color="auto"/>
      </w:divBdr>
    </w:div>
    <w:div w:id="708527586">
      <w:bodyDiv w:val="1"/>
      <w:marLeft w:val="0"/>
      <w:marRight w:val="0"/>
      <w:marTop w:val="0"/>
      <w:marBottom w:val="0"/>
      <w:divBdr>
        <w:top w:val="none" w:sz="0" w:space="0" w:color="auto"/>
        <w:left w:val="none" w:sz="0" w:space="0" w:color="auto"/>
        <w:bottom w:val="none" w:sz="0" w:space="0" w:color="auto"/>
        <w:right w:val="none" w:sz="0" w:space="0" w:color="auto"/>
      </w:divBdr>
    </w:div>
    <w:div w:id="732394380">
      <w:bodyDiv w:val="1"/>
      <w:marLeft w:val="0"/>
      <w:marRight w:val="0"/>
      <w:marTop w:val="0"/>
      <w:marBottom w:val="0"/>
      <w:divBdr>
        <w:top w:val="none" w:sz="0" w:space="0" w:color="auto"/>
        <w:left w:val="none" w:sz="0" w:space="0" w:color="auto"/>
        <w:bottom w:val="none" w:sz="0" w:space="0" w:color="auto"/>
        <w:right w:val="none" w:sz="0" w:space="0" w:color="auto"/>
      </w:divBdr>
    </w:div>
    <w:div w:id="750854576">
      <w:bodyDiv w:val="1"/>
      <w:marLeft w:val="0"/>
      <w:marRight w:val="0"/>
      <w:marTop w:val="0"/>
      <w:marBottom w:val="0"/>
      <w:divBdr>
        <w:top w:val="none" w:sz="0" w:space="0" w:color="auto"/>
        <w:left w:val="none" w:sz="0" w:space="0" w:color="auto"/>
        <w:bottom w:val="none" w:sz="0" w:space="0" w:color="auto"/>
        <w:right w:val="none" w:sz="0" w:space="0" w:color="auto"/>
      </w:divBdr>
    </w:div>
    <w:div w:id="778110362">
      <w:bodyDiv w:val="1"/>
      <w:marLeft w:val="0"/>
      <w:marRight w:val="0"/>
      <w:marTop w:val="0"/>
      <w:marBottom w:val="0"/>
      <w:divBdr>
        <w:top w:val="none" w:sz="0" w:space="0" w:color="auto"/>
        <w:left w:val="none" w:sz="0" w:space="0" w:color="auto"/>
        <w:bottom w:val="none" w:sz="0" w:space="0" w:color="auto"/>
        <w:right w:val="none" w:sz="0" w:space="0" w:color="auto"/>
      </w:divBdr>
    </w:div>
    <w:div w:id="829324352">
      <w:bodyDiv w:val="1"/>
      <w:marLeft w:val="0"/>
      <w:marRight w:val="0"/>
      <w:marTop w:val="0"/>
      <w:marBottom w:val="0"/>
      <w:divBdr>
        <w:top w:val="none" w:sz="0" w:space="0" w:color="auto"/>
        <w:left w:val="none" w:sz="0" w:space="0" w:color="auto"/>
        <w:bottom w:val="none" w:sz="0" w:space="0" w:color="auto"/>
        <w:right w:val="none" w:sz="0" w:space="0" w:color="auto"/>
      </w:divBdr>
    </w:div>
    <w:div w:id="1073502135">
      <w:bodyDiv w:val="1"/>
      <w:marLeft w:val="0"/>
      <w:marRight w:val="0"/>
      <w:marTop w:val="0"/>
      <w:marBottom w:val="0"/>
      <w:divBdr>
        <w:top w:val="none" w:sz="0" w:space="0" w:color="auto"/>
        <w:left w:val="none" w:sz="0" w:space="0" w:color="auto"/>
        <w:bottom w:val="none" w:sz="0" w:space="0" w:color="auto"/>
        <w:right w:val="none" w:sz="0" w:space="0" w:color="auto"/>
      </w:divBdr>
    </w:div>
    <w:div w:id="1087195223">
      <w:bodyDiv w:val="1"/>
      <w:marLeft w:val="0"/>
      <w:marRight w:val="0"/>
      <w:marTop w:val="0"/>
      <w:marBottom w:val="0"/>
      <w:divBdr>
        <w:top w:val="none" w:sz="0" w:space="0" w:color="auto"/>
        <w:left w:val="none" w:sz="0" w:space="0" w:color="auto"/>
        <w:bottom w:val="none" w:sz="0" w:space="0" w:color="auto"/>
        <w:right w:val="none" w:sz="0" w:space="0" w:color="auto"/>
      </w:divBdr>
      <w:divsChild>
        <w:div w:id="975989309">
          <w:marLeft w:val="0"/>
          <w:marRight w:val="0"/>
          <w:marTop w:val="0"/>
          <w:marBottom w:val="0"/>
          <w:divBdr>
            <w:top w:val="none" w:sz="0" w:space="0" w:color="auto"/>
            <w:left w:val="none" w:sz="0" w:space="0" w:color="auto"/>
            <w:bottom w:val="none" w:sz="0" w:space="0" w:color="auto"/>
            <w:right w:val="none" w:sz="0" w:space="0" w:color="auto"/>
          </w:divBdr>
          <w:divsChild>
            <w:div w:id="2146585917">
              <w:marLeft w:val="0"/>
              <w:marRight w:val="0"/>
              <w:marTop w:val="0"/>
              <w:marBottom w:val="0"/>
              <w:divBdr>
                <w:top w:val="none" w:sz="0" w:space="0" w:color="auto"/>
                <w:left w:val="none" w:sz="0" w:space="0" w:color="auto"/>
                <w:bottom w:val="none" w:sz="0" w:space="0" w:color="auto"/>
                <w:right w:val="none" w:sz="0" w:space="0" w:color="auto"/>
              </w:divBdr>
              <w:divsChild>
                <w:div w:id="1362321144">
                  <w:marLeft w:val="0"/>
                  <w:marRight w:val="0"/>
                  <w:marTop w:val="0"/>
                  <w:marBottom w:val="0"/>
                  <w:divBdr>
                    <w:top w:val="none" w:sz="0" w:space="0" w:color="auto"/>
                    <w:left w:val="none" w:sz="0" w:space="0" w:color="auto"/>
                    <w:bottom w:val="none" w:sz="0" w:space="0" w:color="auto"/>
                    <w:right w:val="none" w:sz="0" w:space="0" w:color="auto"/>
                  </w:divBdr>
                  <w:divsChild>
                    <w:div w:id="1069494591">
                      <w:marLeft w:val="0"/>
                      <w:marRight w:val="0"/>
                      <w:marTop w:val="0"/>
                      <w:marBottom w:val="0"/>
                      <w:divBdr>
                        <w:top w:val="none" w:sz="0" w:space="0" w:color="auto"/>
                        <w:left w:val="none" w:sz="0" w:space="0" w:color="auto"/>
                        <w:bottom w:val="none" w:sz="0" w:space="0" w:color="auto"/>
                        <w:right w:val="none" w:sz="0" w:space="0" w:color="auto"/>
                      </w:divBdr>
                      <w:divsChild>
                        <w:div w:id="1799103459">
                          <w:marLeft w:val="0"/>
                          <w:marRight w:val="0"/>
                          <w:marTop w:val="0"/>
                          <w:marBottom w:val="0"/>
                          <w:divBdr>
                            <w:top w:val="single" w:sz="6" w:space="0" w:color="B8B8B8"/>
                            <w:left w:val="single" w:sz="6" w:space="0" w:color="B8B8B8"/>
                            <w:bottom w:val="single" w:sz="6" w:space="0" w:color="B8B8B8"/>
                            <w:right w:val="single" w:sz="6" w:space="0" w:color="B8B8B8"/>
                          </w:divBdr>
                          <w:divsChild>
                            <w:div w:id="788545456">
                              <w:marLeft w:val="0"/>
                              <w:marRight w:val="0"/>
                              <w:marTop w:val="0"/>
                              <w:marBottom w:val="0"/>
                              <w:divBdr>
                                <w:top w:val="none" w:sz="0" w:space="0" w:color="auto"/>
                                <w:left w:val="none" w:sz="0" w:space="0" w:color="auto"/>
                                <w:bottom w:val="none" w:sz="0" w:space="0" w:color="auto"/>
                                <w:right w:val="none" w:sz="0" w:space="0" w:color="auto"/>
                              </w:divBdr>
                              <w:divsChild>
                                <w:div w:id="1032729591">
                                  <w:marLeft w:val="0"/>
                                  <w:marRight w:val="0"/>
                                  <w:marTop w:val="0"/>
                                  <w:marBottom w:val="0"/>
                                  <w:divBdr>
                                    <w:top w:val="none" w:sz="0" w:space="0" w:color="auto"/>
                                    <w:left w:val="none" w:sz="0" w:space="0" w:color="auto"/>
                                    <w:bottom w:val="none" w:sz="0" w:space="0" w:color="auto"/>
                                    <w:right w:val="none" w:sz="0" w:space="0" w:color="auto"/>
                                  </w:divBdr>
                                  <w:divsChild>
                                    <w:div w:id="26030015">
                                      <w:marLeft w:val="0"/>
                                      <w:marRight w:val="0"/>
                                      <w:marTop w:val="75"/>
                                      <w:marBottom w:val="75"/>
                                      <w:divBdr>
                                        <w:top w:val="none" w:sz="0" w:space="0" w:color="auto"/>
                                        <w:left w:val="none" w:sz="0" w:space="0" w:color="auto"/>
                                        <w:bottom w:val="none" w:sz="0" w:space="0" w:color="auto"/>
                                        <w:right w:val="none" w:sz="0" w:space="0" w:color="auto"/>
                                      </w:divBdr>
                                      <w:divsChild>
                                        <w:div w:id="1777749771">
                                          <w:marLeft w:val="0"/>
                                          <w:marRight w:val="0"/>
                                          <w:marTop w:val="0"/>
                                          <w:marBottom w:val="0"/>
                                          <w:divBdr>
                                            <w:top w:val="none" w:sz="0" w:space="0" w:color="auto"/>
                                            <w:left w:val="none" w:sz="0" w:space="0" w:color="auto"/>
                                            <w:bottom w:val="none" w:sz="0" w:space="0" w:color="auto"/>
                                            <w:right w:val="none" w:sz="0" w:space="0" w:color="auto"/>
                                          </w:divBdr>
                                          <w:divsChild>
                                            <w:div w:id="2112430392">
                                              <w:marLeft w:val="0"/>
                                              <w:marRight w:val="0"/>
                                              <w:marTop w:val="0"/>
                                              <w:marBottom w:val="0"/>
                                              <w:divBdr>
                                                <w:top w:val="none" w:sz="0" w:space="0" w:color="auto"/>
                                                <w:left w:val="none" w:sz="0" w:space="0" w:color="auto"/>
                                                <w:bottom w:val="none" w:sz="0" w:space="0" w:color="auto"/>
                                                <w:right w:val="none" w:sz="0" w:space="0" w:color="auto"/>
                                              </w:divBdr>
                                              <w:divsChild>
                                                <w:div w:id="1261910954">
                                                  <w:marLeft w:val="0"/>
                                                  <w:marRight w:val="75"/>
                                                  <w:marTop w:val="0"/>
                                                  <w:marBottom w:val="90"/>
                                                  <w:divBdr>
                                                    <w:top w:val="none" w:sz="0" w:space="0" w:color="auto"/>
                                                    <w:left w:val="none" w:sz="0" w:space="0" w:color="auto"/>
                                                    <w:bottom w:val="none" w:sz="0" w:space="0" w:color="auto"/>
                                                    <w:right w:val="none" w:sz="0" w:space="0" w:color="auto"/>
                                                  </w:divBdr>
                                                </w:div>
                                                <w:div w:id="21039878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6485591">
      <w:bodyDiv w:val="1"/>
      <w:marLeft w:val="0"/>
      <w:marRight w:val="0"/>
      <w:marTop w:val="0"/>
      <w:marBottom w:val="0"/>
      <w:divBdr>
        <w:top w:val="none" w:sz="0" w:space="0" w:color="auto"/>
        <w:left w:val="none" w:sz="0" w:space="0" w:color="auto"/>
        <w:bottom w:val="none" w:sz="0" w:space="0" w:color="auto"/>
        <w:right w:val="none" w:sz="0" w:space="0" w:color="auto"/>
      </w:divBdr>
    </w:div>
    <w:div w:id="1211454394">
      <w:bodyDiv w:val="1"/>
      <w:marLeft w:val="0"/>
      <w:marRight w:val="0"/>
      <w:marTop w:val="0"/>
      <w:marBottom w:val="0"/>
      <w:divBdr>
        <w:top w:val="none" w:sz="0" w:space="0" w:color="auto"/>
        <w:left w:val="none" w:sz="0" w:space="0" w:color="auto"/>
        <w:bottom w:val="none" w:sz="0" w:space="0" w:color="auto"/>
        <w:right w:val="none" w:sz="0" w:space="0" w:color="auto"/>
      </w:divBdr>
    </w:div>
    <w:div w:id="1220291127">
      <w:bodyDiv w:val="1"/>
      <w:marLeft w:val="0"/>
      <w:marRight w:val="0"/>
      <w:marTop w:val="0"/>
      <w:marBottom w:val="0"/>
      <w:divBdr>
        <w:top w:val="none" w:sz="0" w:space="0" w:color="auto"/>
        <w:left w:val="none" w:sz="0" w:space="0" w:color="auto"/>
        <w:bottom w:val="none" w:sz="0" w:space="0" w:color="auto"/>
        <w:right w:val="none" w:sz="0" w:space="0" w:color="auto"/>
      </w:divBdr>
    </w:div>
    <w:div w:id="1233613676">
      <w:bodyDiv w:val="1"/>
      <w:marLeft w:val="0"/>
      <w:marRight w:val="0"/>
      <w:marTop w:val="0"/>
      <w:marBottom w:val="0"/>
      <w:divBdr>
        <w:top w:val="none" w:sz="0" w:space="0" w:color="auto"/>
        <w:left w:val="none" w:sz="0" w:space="0" w:color="auto"/>
        <w:bottom w:val="none" w:sz="0" w:space="0" w:color="auto"/>
        <w:right w:val="none" w:sz="0" w:space="0" w:color="auto"/>
      </w:divBdr>
    </w:div>
    <w:div w:id="1234240784">
      <w:bodyDiv w:val="1"/>
      <w:marLeft w:val="0"/>
      <w:marRight w:val="0"/>
      <w:marTop w:val="0"/>
      <w:marBottom w:val="0"/>
      <w:divBdr>
        <w:top w:val="none" w:sz="0" w:space="0" w:color="auto"/>
        <w:left w:val="none" w:sz="0" w:space="0" w:color="auto"/>
        <w:bottom w:val="none" w:sz="0" w:space="0" w:color="auto"/>
        <w:right w:val="none" w:sz="0" w:space="0" w:color="auto"/>
      </w:divBdr>
    </w:div>
    <w:div w:id="1235705537">
      <w:bodyDiv w:val="1"/>
      <w:marLeft w:val="0"/>
      <w:marRight w:val="0"/>
      <w:marTop w:val="0"/>
      <w:marBottom w:val="0"/>
      <w:divBdr>
        <w:top w:val="none" w:sz="0" w:space="0" w:color="auto"/>
        <w:left w:val="none" w:sz="0" w:space="0" w:color="auto"/>
        <w:bottom w:val="none" w:sz="0" w:space="0" w:color="auto"/>
        <w:right w:val="none" w:sz="0" w:space="0" w:color="auto"/>
      </w:divBdr>
    </w:div>
    <w:div w:id="1250820145">
      <w:bodyDiv w:val="1"/>
      <w:marLeft w:val="0"/>
      <w:marRight w:val="0"/>
      <w:marTop w:val="0"/>
      <w:marBottom w:val="0"/>
      <w:divBdr>
        <w:top w:val="none" w:sz="0" w:space="0" w:color="auto"/>
        <w:left w:val="none" w:sz="0" w:space="0" w:color="auto"/>
        <w:bottom w:val="none" w:sz="0" w:space="0" w:color="auto"/>
        <w:right w:val="none" w:sz="0" w:space="0" w:color="auto"/>
      </w:divBdr>
    </w:div>
    <w:div w:id="1264872879">
      <w:bodyDiv w:val="1"/>
      <w:marLeft w:val="0"/>
      <w:marRight w:val="0"/>
      <w:marTop w:val="0"/>
      <w:marBottom w:val="0"/>
      <w:divBdr>
        <w:top w:val="none" w:sz="0" w:space="0" w:color="auto"/>
        <w:left w:val="none" w:sz="0" w:space="0" w:color="auto"/>
        <w:bottom w:val="none" w:sz="0" w:space="0" w:color="auto"/>
        <w:right w:val="none" w:sz="0" w:space="0" w:color="auto"/>
      </w:divBdr>
    </w:div>
    <w:div w:id="1348872528">
      <w:bodyDiv w:val="1"/>
      <w:marLeft w:val="0"/>
      <w:marRight w:val="0"/>
      <w:marTop w:val="0"/>
      <w:marBottom w:val="0"/>
      <w:divBdr>
        <w:top w:val="none" w:sz="0" w:space="0" w:color="auto"/>
        <w:left w:val="none" w:sz="0" w:space="0" w:color="auto"/>
        <w:bottom w:val="none" w:sz="0" w:space="0" w:color="auto"/>
        <w:right w:val="none" w:sz="0" w:space="0" w:color="auto"/>
      </w:divBdr>
    </w:div>
    <w:div w:id="1353069524">
      <w:bodyDiv w:val="1"/>
      <w:marLeft w:val="0"/>
      <w:marRight w:val="0"/>
      <w:marTop w:val="0"/>
      <w:marBottom w:val="0"/>
      <w:divBdr>
        <w:top w:val="none" w:sz="0" w:space="0" w:color="auto"/>
        <w:left w:val="none" w:sz="0" w:space="0" w:color="auto"/>
        <w:bottom w:val="none" w:sz="0" w:space="0" w:color="auto"/>
        <w:right w:val="none" w:sz="0" w:space="0" w:color="auto"/>
      </w:divBdr>
    </w:div>
    <w:div w:id="1365012113">
      <w:bodyDiv w:val="1"/>
      <w:marLeft w:val="0"/>
      <w:marRight w:val="0"/>
      <w:marTop w:val="0"/>
      <w:marBottom w:val="0"/>
      <w:divBdr>
        <w:top w:val="none" w:sz="0" w:space="0" w:color="auto"/>
        <w:left w:val="none" w:sz="0" w:space="0" w:color="auto"/>
        <w:bottom w:val="none" w:sz="0" w:space="0" w:color="auto"/>
        <w:right w:val="none" w:sz="0" w:space="0" w:color="auto"/>
      </w:divBdr>
    </w:div>
    <w:div w:id="1490095534">
      <w:bodyDiv w:val="1"/>
      <w:marLeft w:val="0"/>
      <w:marRight w:val="0"/>
      <w:marTop w:val="0"/>
      <w:marBottom w:val="0"/>
      <w:divBdr>
        <w:top w:val="none" w:sz="0" w:space="0" w:color="auto"/>
        <w:left w:val="none" w:sz="0" w:space="0" w:color="auto"/>
        <w:bottom w:val="none" w:sz="0" w:space="0" w:color="auto"/>
        <w:right w:val="none" w:sz="0" w:space="0" w:color="auto"/>
      </w:divBdr>
    </w:div>
    <w:div w:id="1549798107">
      <w:bodyDiv w:val="1"/>
      <w:marLeft w:val="0"/>
      <w:marRight w:val="0"/>
      <w:marTop w:val="0"/>
      <w:marBottom w:val="0"/>
      <w:divBdr>
        <w:top w:val="none" w:sz="0" w:space="0" w:color="auto"/>
        <w:left w:val="none" w:sz="0" w:space="0" w:color="auto"/>
        <w:bottom w:val="none" w:sz="0" w:space="0" w:color="auto"/>
        <w:right w:val="none" w:sz="0" w:space="0" w:color="auto"/>
      </w:divBdr>
    </w:div>
    <w:div w:id="1573850221">
      <w:bodyDiv w:val="1"/>
      <w:marLeft w:val="0"/>
      <w:marRight w:val="0"/>
      <w:marTop w:val="0"/>
      <w:marBottom w:val="0"/>
      <w:divBdr>
        <w:top w:val="none" w:sz="0" w:space="0" w:color="auto"/>
        <w:left w:val="none" w:sz="0" w:space="0" w:color="auto"/>
        <w:bottom w:val="none" w:sz="0" w:space="0" w:color="auto"/>
        <w:right w:val="none" w:sz="0" w:space="0" w:color="auto"/>
      </w:divBdr>
    </w:div>
    <w:div w:id="1673021430">
      <w:bodyDiv w:val="1"/>
      <w:marLeft w:val="0"/>
      <w:marRight w:val="0"/>
      <w:marTop w:val="0"/>
      <w:marBottom w:val="0"/>
      <w:divBdr>
        <w:top w:val="none" w:sz="0" w:space="0" w:color="auto"/>
        <w:left w:val="none" w:sz="0" w:space="0" w:color="auto"/>
        <w:bottom w:val="none" w:sz="0" w:space="0" w:color="auto"/>
        <w:right w:val="none" w:sz="0" w:space="0" w:color="auto"/>
      </w:divBdr>
    </w:div>
    <w:div w:id="1674718189">
      <w:bodyDiv w:val="1"/>
      <w:marLeft w:val="0"/>
      <w:marRight w:val="0"/>
      <w:marTop w:val="0"/>
      <w:marBottom w:val="0"/>
      <w:divBdr>
        <w:top w:val="none" w:sz="0" w:space="0" w:color="auto"/>
        <w:left w:val="none" w:sz="0" w:space="0" w:color="auto"/>
        <w:bottom w:val="none" w:sz="0" w:space="0" w:color="auto"/>
        <w:right w:val="none" w:sz="0" w:space="0" w:color="auto"/>
      </w:divBdr>
    </w:div>
    <w:div w:id="1679120084">
      <w:bodyDiv w:val="1"/>
      <w:marLeft w:val="0"/>
      <w:marRight w:val="0"/>
      <w:marTop w:val="0"/>
      <w:marBottom w:val="0"/>
      <w:divBdr>
        <w:top w:val="none" w:sz="0" w:space="0" w:color="auto"/>
        <w:left w:val="none" w:sz="0" w:space="0" w:color="auto"/>
        <w:bottom w:val="none" w:sz="0" w:space="0" w:color="auto"/>
        <w:right w:val="none" w:sz="0" w:space="0" w:color="auto"/>
      </w:divBdr>
    </w:div>
    <w:div w:id="1696422930">
      <w:bodyDiv w:val="1"/>
      <w:marLeft w:val="0"/>
      <w:marRight w:val="0"/>
      <w:marTop w:val="0"/>
      <w:marBottom w:val="0"/>
      <w:divBdr>
        <w:top w:val="none" w:sz="0" w:space="0" w:color="auto"/>
        <w:left w:val="none" w:sz="0" w:space="0" w:color="auto"/>
        <w:bottom w:val="none" w:sz="0" w:space="0" w:color="auto"/>
        <w:right w:val="none" w:sz="0" w:space="0" w:color="auto"/>
      </w:divBdr>
    </w:div>
    <w:div w:id="1754814334">
      <w:bodyDiv w:val="1"/>
      <w:marLeft w:val="0"/>
      <w:marRight w:val="0"/>
      <w:marTop w:val="0"/>
      <w:marBottom w:val="0"/>
      <w:divBdr>
        <w:top w:val="none" w:sz="0" w:space="0" w:color="auto"/>
        <w:left w:val="none" w:sz="0" w:space="0" w:color="auto"/>
        <w:bottom w:val="none" w:sz="0" w:space="0" w:color="auto"/>
        <w:right w:val="none" w:sz="0" w:space="0" w:color="auto"/>
      </w:divBdr>
    </w:div>
    <w:div w:id="1846435517">
      <w:bodyDiv w:val="1"/>
      <w:marLeft w:val="0"/>
      <w:marRight w:val="0"/>
      <w:marTop w:val="0"/>
      <w:marBottom w:val="0"/>
      <w:divBdr>
        <w:top w:val="none" w:sz="0" w:space="0" w:color="auto"/>
        <w:left w:val="none" w:sz="0" w:space="0" w:color="auto"/>
        <w:bottom w:val="none" w:sz="0" w:space="0" w:color="auto"/>
        <w:right w:val="none" w:sz="0" w:space="0" w:color="auto"/>
      </w:divBdr>
    </w:div>
    <w:div w:id="1856191720">
      <w:bodyDiv w:val="1"/>
      <w:marLeft w:val="0"/>
      <w:marRight w:val="0"/>
      <w:marTop w:val="0"/>
      <w:marBottom w:val="0"/>
      <w:divBdr>
        <w:top w:val="none" w:sz="0" w:space="0" w:color="auto"/>
        <w:left w:val="none" w:sz="0" w:space="0" w:color="auto"/>
        <w:bottom w:val="none" w:sz="0" w:space="0" w:color="auto"/>
        <w:right w:val="none" w:sz="0" w:space="0" w:color="auto"/>
      </w:divBdr>
    </w:div>
    <w:div w:id="1894802926">
      <w:bodyDiv w:val="1"/>
      <w:marLeft w:val="0"/>
      <w:marRight w:val="0"/>
      <w:marTop w:val="0"/>
      <w:marBottom w:val="0"/>
      <w:divBdr>
        <w:top w:val="none" w:sz="0" w:space="0" w:color="auto"/>
        <w:left w:val="none" w:sz="0" w:space="0" w:color="auto"/>
        <w:bottom w:val="none" w:sz="0" w:space="0" w:color="auto"/>
        <w:right w:val="none" w:sz="0" w:space="0" w:color="auto"/>
      </w:divBdr>
    </w:div>
    <w:div w:id="1944416013">
      <w:bodyDiv w:val="1"/>
      <w:marLeft w:val="0"/>
      <w:marRight w:val="0"/>
      <w:marTop w:val="0"/>
      <w:marBottom w:val="0"/>
      <w:divBdr>
        <w:top w:val="none" w:sz="0" w:space="0" w:color="auto"/>
        <w:left w:val="none" w:sz="0" w:space="0" w:color="auto"/>
        <w:bottom w:val="none" w:sz="0" w:space="0" w:color="auto"/>
        <w:right w:val="none" w:sz="0" w:space="0" w:color="auto"/>
      </w:divBdr>
    </w:div>
    <w:div w:id="1984776158">
      <w:bodyDiv w:val="1"/>
      <w:marLeft w:val="0"/>
      <w:marRight w:val="0"/>
      <w:marTop w:val="0"/>
      <w:marBottom w:val="0"/>
      <w:divBdr>
        <w:top w:val="none" w:sz="0" w:space="0" w:color="auto"/>
        <w:left w:val="none" w:sz="0" w:space="0" w:color="auto"/>
        <w:bottom w:val="none" w:sz="0" w:space="0" w:color="auto"/>
        <w:right w:val="none" w:sz="0" w:space="0" w:color="auto"/>
      </w:divBdr>
    </w:div>
    <w:div w:id="2009939903">
      <w:bodyDiv w:val="1"/>
      <w:marLeft w:val="0"/>
      <w:marRight w:val="0"/>
      <w:marTop w:val="0"/>
      <w:marBottom w:val="0"/>
      <w:divBdr>
        <w:top w:val="none" w:sz="0" w:space="0" w:color="auto"/>
        <w:left w:val="none" w:sz="0" w:space="0" w:color="auto"/>
        <w:bottom w:val="none" w:sz="0" w:space="0" w:color="auto"/>
        <w:right w:val="none" w:sz="0" w:space="0" w:color="auto"/>
      </w:divBdr>
    </w:div>
    <w:div w:id="2029288077">
      <w:bodyDiv w:val="1"/>
      <w:marLeft w:val="0"/>
      <w:marRight w:val="0"/>
      <w:marTop w:val="0"/>
      <w:marBottom w:val="0"/>
      <w:divBdr>
        <w:top w:val="none" w:sz="0" w:space="0" w:color="auto"/>
        <w:left w:val="none" w:sz="0" w:space="0" w:color="auto"/>
        <w:bottom w:val="none" w:sz="0" w:space="0" w:color="auto"/>
        <w:right w:val="none" w:sz="0" w:space="0" w:color="auto"/>
      </w:divBdr>
    </w:div>
    <w:div w:id="2035378691">
      <w:bodyDiv w:val="1"/>
      <w:marLeft w:val="0"/>
      <w:marRight w:val="0"/>
      <w:marTop w:val="0"/>
      <w:marBottom w:val="0"/>
      <w:divBdr>
        <w:top w:val="none" w:sz="0" w:space="0" w:color="auto"/>
        <w:left w:val="none" w:sz="0" w:space="0" w:color="auto"/>
        <w:bottom w:val="none" w:sz="0" w:space="0" w:color="auto"/>
        <w:right w:val="none" w:sz="0" w:space="0" w:color="auto"/>
      </w:divBdr>
    </w:div>
    <w:div w:id="2065368014">
      <w:bodyDiv w:val="1"/>
      <w:marLeft w:val="0"/>
      <w:marRight w:val="0"/>
      <w:marTop w:val="0"/>
      <w:marBottom w:val="0"/>
      <w:divBdr>
        <w:top w:val="none" w:sz="0" w:space="0" w:color="auto"/>
        <w:left w:val="none" w:sz="0" w:space="0" w:color="auto"/>
        <w:bottom w:val="none" w:sz="0" w:space="0" w:color="auto"/>
        <w:right w:val="none" w:sz="0" w:space="0" w:color="auto"/>
      </w:divBdr>
    </w:div>
    <w:div w:id="2074039551">
      <w:bodyDiv w:val="1"/>
      <w:marLeft w:val="0"/>
      <w:marRight w:val="0"/>
      <w:marTop w:val="0"/>
      <w:marBottom w:val="0"/>
      <w:divBdr>
        <w:top w:val="none" w:sz="0" w:space="0" w:color="auto"/>
        <w:left w:val="none" w:sz="0" w:space="0" w:color="auto"/>
        <w:bottom w:val="none" w:sz="0" w:space="0" w:color="auto"/>
        <w:right w:val="none" w:sz="0" w:space="0" w:color="auto"/>
      </w:divBdr>
    </w:div>
    <w:div w:id="2108957506">
      <w:bodyDiv w:val="1"/>
      <w:marLeft w:val="0"/>
      <w:marRight w:val="0"/>
      <w:marTop w:val="0"/>
      <w:marBottom w:val="0"/>
      <w:divBdr>
        <w:top w:val="none" w:sz="0" w:space="0" w:color="auto"/>
        <w:left w:val="none" w:sz="0" w:space="0" w:color="auto"/>
        <w:bottom w:val="none" w:sz="0" w:space="0" w:color="auto"/>
        <w:right w:val="none" w:sz="0" w:space="0" w:color="auto"/>
      </w:divBdr>
    </w:div>
    <w:div w:id="2131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chart" Target="charts/chart10.xml"/><Relationship Id="rId21" Type="http://schemas.openxmlformats.org/officeDocument/2006/relationships/chart" Target="charts/chart5.xml"/><Relationship Id="rId34" Type="http://schemas.openxmlformats.org/officeDocument/2006/relationships/hyperlink" Target="https://doi.org/10.1016/j.jclepro.2019.03.22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yperlink" Target="https://doi.org/10.3390/su810104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ecoinvent-database" TargetMode="External"/><Relationship Id="rId24" Type="http://schemas.openxmlformats.org/officeDocument/2006/relationships/chart" Target="charts/chart8.xml"/><Relationship Id="rId32" Type="http://schemas.openxmlformats.org/officeDocument/2006/relationships/hyperlink" Target="https://doi.org/10.3390/su1401014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designingbuildings.co.uk/wiki/Painting"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yperlink" Target="https://doi.org/10.1051/matecconf/201712002013" TargetMode="External"/><Relationship Id="rId8" Type="http://schemas.openxmlformats.org/officeDocument/2006/relationships/hyperlink" Target="mailto:Willy.Sh@newcastle.edu.a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li\Dropbox\26-IF%20GLT-LVL\26.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li\Dropbox\26-IF%20GLT-LVL\26.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li\Dropbox\26-IF%20GLT-LVL\26.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i\Dropbox\28-IF\2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i\Desktop\2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Global Warming Potential </a:t>
            </a:r>
            <a:r>
              <a:rPr lang="en-US" sz="900" b="0" i="0" u="none" strike="noStrike" baseline="0">
                <a:effectLst/>
                <a:latin typeface="Times New Roman" panose="02020603050405020304" pitchFamily="18" charset="0"/>
                <a:cs typeface="Times New Roman" panose="02020603050405020304" pitchFamily="18" charset="0"/>
              </a:rPr>
              <a:t>(GWP)</a:t>
            </a:r>
            <a:r>
              <a:rPr lang="en-US" sz="900" b="0" i="0" baseline="0">
                <a:effectLst/>
                <a:latin typeface="Times New Roman" panose="02020603050405020304" pitchFamily="18" charset="0"/>
                <a:cs typeface="Times New Roman" panose="02020603050405020304" pitchFamily="18" charset="0"/>
              </a:rPr>
              <a:t> </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239673278879813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945490758609306"/>
          <c:y val="2.5131638915760101E-2"/>
          <c:w val="0.82054509241390694"/>
          <c:h val="0.88485787517029579"/>
        </c:manualLayout>
      </c:layout>
      <c:barChart>
        <c:barDir val="col"/>
        <c:grouping val="clustered"/>
        <c:varyColors val="0"/>
        <c:ser>
          <c:idx val="0"/>
          <c:order val="0"/>
          <c:tx>
            <c:strRef>
              <c:f>GWP!$C$21</c:f>
              <c:strCache>
                <c:ptCount val="1"/>
                <c:pt idx="0">
                  <c:v>GLT-h</c:v>
                </c:pt>
              </c:strCache>
            </c:strRef>
          </c:tx>
          <c:spPr>
            <a:solidFill>
              <a:schemeClr val="accent1"/>
            </a:solidFill>
            <a:ln>
              <a:noFill/>
            </a:ln>
            <a:effectLst/>
          </c:spPr>
          <c:invertIfNegative val="0"/>
          <c:cat>
            <c:strRef>
              <c:f>GWP!$D$20</c:f>
              <c:strCache>
                <c:ptCount val="1"/>
                <c:pt idx="0">
                  <c:v>Total</c:v>
                </c:pt>
              </c:strCache>
            </c:strRef>
          </c:cat>
          <c:val>
            <c:numRef>
              <c:f>GWP!$D$21</c:f>
              <c:numCache>
                <c:formatCode>General</c:formatCode>
                <c:ptCount val="1"/>
                <c:pt idx="0">
                  <c:v>58470</c:v>
                </c:pt>
              </c:numCache>
            </c:numRef>
          </c:val>
          <c:extLst>
            <c:ext xmlns:c16="http://schemas.microsoft.com/office/drawing/2014/chart" uri="{C3380CC4-5D6E-409C-BE32-E72D297353CC}">
              <c16:uniqueId val="{00000000-67EA-4089-8C54-A268607488A5}"/>
            </c:ext>
          </c:extLst>
        </c:ser>
        <c:ser>
          <c:idx val="1"/>
          <c:order val="1"/>
          <c:tx>
            <c:strRef>
              <c:f>GWP!$C$22</c:f>
              <c:strCache>
                <c:ptCount val="1"/>
                <c:pt idx="0">
                  <c:v>GLT-S</c:v>
                </c:pt>
              </c:strCache>
            </c:strRef>
          </c:tx>
          <c:spPr>
            <a:solidFill>
              <a:schemeClr val="accent2"/>
            </a:solidFill>
            <a:ln>
              <a:noFill/>
            </a:ln>
            <a:effectLst/>
          </c:spPr>
          <c:invertIfNegative val="0"/>
          <c:cat>
            <c:strRef>
              <c:f>GWP!$D$20</c:f>
              <c:strCache>
                <c:ptCount val="1"/>
                <c:pt idx="0">
                  <c:v>Total</c:v>
                </c:pt>
              </c:strCache>
            </c:strRef>
          </c:cat>
          <c:val>
            <c:numRef>
              <c:f>GWP!$D$22</c:f>
              <c:numCache>
                <c:formatCode>General</c:formatCode>
                <c:ptCount val="1"/>
                <c:pt idx="0">
                  <c:v>54770</c:v>
                </c:pt>
              </c:numCache>
            </c:numRef>
          </c:val>
          <c:extLst>
            <c:ext xmlns:c16="http://schemas.microsoft.com/office/drawing/2014/chart" uri="{C3380CC4-5D6E-409C-BE32-E72D297353CC}">
              <c16:uniqueId val="{00000001-67EA-4089-8C54-A268607488A5}"/>
            </c:ext>
          </c:extLst>
        </c:ser>
        <c:ser>
          <c:idx val="2"/>
          <c:order val="2"/>
          <c:tx>
            <c:strRef>
              <c:f>GWP!$C$23</c:f>
              <c:strCache>
                <c:ptCount val="1"/>
                <c:pt idx="0">
                  <c:v>LVL-h</c:v>
                </c:pt>
              </c:strCache>
            </c:strRef>
          </c:tx>
          <c:spPr>
            <a:solidFill>
              <a:schemeClr val="accent3"/>
            </a:solidFill>
            <a:ln>
              <a:noFill/>
            </a:ln>
            <a:effectLst/>
          </c:spPr>
          <c:invertIfNegative val="0"/>
          <c:cat>
            <c:strRef>
              <c:f>GWP!$D$20</c:f>
              <c:strCache>
                <c:ptCount val="1"/>
                <c:pt idx="0">
                  <c:v>Total</c:v>
                </c:pt>
              </c:strCache>
            </c:strRef>
          </c:cat>
          <c:val>
            <c:numRef>
              <c:f>GWP!$D$23</c:f>
              <c:numCache>
                <c:formatCode>General</c:formatCode>
                <c:ptCount val="1"/>
                <c:pt idx="0">
                  <c:v>41620</c:v>
                </c:pt>
              </c:numCache>
            </c:numRef>
          </c:val>
          <c:extLst>
            <c:ext xmlns:c16="http://schemas.microsoft.com/office/drawing/2014/chart" uri="{C3380CC4-5D6E-409C-BE32-E72D297353CC}">
              <c16:uniqueId val="{00000002-67EA-4089-8C54-A268607488A5}"/>
            </c:ext>
          </c:extLst>
        </c:ser>
        <c:ser>
          <c:idx val="3"/>
          <c:order val="3"/>
          <c:tx>
            <c:strRef>
              <c:f>GWP!$C$24</c:f>
              <c:strCache>
                <c:ptCount val="1"/>
                <c:pt idx="0">
                  <c:v>LVL-s</c:v>
                </c:pt>
              </c:strCache>
            </c:strRef>
          </c:tx>
          <c:spPr>
            <a:solidFill>
              <a:schemeClr val="accent4"/>
            </a:solidFill>
            <a:ln>
              <a:noFill/>
            </a:ln>
            <a:effectLst/>
          </c:spPr>
          <c:invertIfNegative val="0"/>
          <c:cat>
            <c:strRef>
              <c:f>GWP!$D$20</c:f>
              <c:strCache>
                <c:ptCount val="1"/>
                <c:pt idx="0">
                  <c:v>Total</c:v>
                </c:pt>
              </c:strCache>
            </c:strRef>
          </c:cat>
          <c:val>
            <c:numRef>
              <c:f>GWP!$D$24</c:f>
              <c:numCache>
                <c:formatCode>General</c:formatCode>
                <c:ptCount val="1"/>
                <c:pt idx="0">
                  <c:v>38960</c:v>
                </c:pt>
              </c:numCache>
            </c:numRef>
          </c:val>
          <c:extLst>
            <c:ext xmlns:c16="http://schemas.microsoft.com/office/drawing/2014/chart" uri="{C3380CC4-5D6E-409C-BE32-E72D297353CC}">
              <c16:uniqueId val="{00000003-67EA-4089-8C54-A268607488A5}"/>
            </c:ext>
          </c:extLst>
        </c:ser>
        <c:dLbls>
          <c:showLegendKey val="0"/>
          <c:showVal val="0"/>
          <c:showCatName val="0"/>
          <c:showSerName val="0"/>
          <c:showPercent val="0"/>
          <c:showBubbleSize val="0"/>
        </c:dLbls>
        <c:gapWidth val="219"/>
        <c:overlap val="-27"/>
        <c:axId val="339211056"/>
        <c:axId val="339211888"/>
      </c:barChart>
      <c:catAx>
        <c:axId val="339211056"/>
        <c:scaling>
          <c:orientation val="minMax"/>
        </c:scaling>
        <c:delete val="1"/>
        <c:axPos val="b"/>
        <c:numFmt formatCode="General" sourceLinked="1"/>
        <c:majorTickMark val="none"/>
        <c:minorTickMark val="none"/>
        <c:tickLblPos val="nextTo"/>
        <c:crossAx val="339211888"/>
        <c:crossesAt val="100"/>
        <c:auto val="1"/>
        <c:lblAlgn val="ctr"/>
        <c:lblOffset val="100"/>
        <c:noMultiLvlLbl val="0"/>
      </c:catAx>
      <c:valAx>
        <c:axId val="339211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b="0" i="0" baseline="0">
                    <a:effectLst/>
                    <a:latin typeface="Times New Roman" panose="02020603050405020304" pitchFamily="18" charset="0"/>
                    <a:cs typeface="Times New Roman" panose="02020603050405020304" pitchFamily="18" charset="0"/>
                  </a:rPr>
                  <a:t>Kg CO 2 eq</a:t>
                </a:r>
                <a:endParaRPr lang="en-US" sz="100">
                  <a:effectLst/>
                  <a:latin typeface="Times New Roman" panose="02020603050405020304" pitchFamily="18" charset="0"/>
                  <a:cs typeface="Times New Roman" panose="02020603050405020304" pitchFamily="18" charset="0"/>
                </a:endParaRPr>
              </a:p>
            </c:rich>
          </c:tx>
          <c:layout>
            <c:manualLayout>
              <c:xMode val="edge"/>
              <c:yMode val="edge"/>
              <c:x val="0"/>
              <c:y val="0.3366661278777102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211056"/>
        <c:crosses val="autoZero"/>
        <c:crossBetween val="between"/>
      </c:valAx>
      <c:spPr>
        <a:noFill/>
        <a:ln>
          <a:noFill/>
        </a:ln>
        <a:effectLst/>
      </c:spPr>
    </c:plotArea>
    <c:legend>
      <c:legendPos val="b"/>
      <c:layout>
        <c:manualLayout>
          <c:xMode val="edge"/>
          <c:yMode val="edge"/>
          <c:x val="8.2574999226014162E-2"/>
          <c:y val="0.92157942134066084"/>
          <c:w val="0.89483121863653059"/>
          <c:h val="7.72139927258577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0" i="0" baseline="0">
                <a:solidFill>
                  <a:sysClr val="windowText" lastClr="000000"/>
                </a:solidFill>
                <a:effectLst/>
                <a:latin typeface="Times New Roman" panose="02020603050405020304" pitchFamily="18" charset="0"/>
                <a:cs typeface="Times New Roman" panose="02020603050405020304" pitchFamily="18" charset="0"/>
              </a:rPr>
              <a:t>Ozone Layer Depletion </a:t>
            </a:r>
            <a:r>
              <a:rPr lang="en-US" sz="900" b="0" i="0" u="none" strike="noStrike" baseline="0">
                <a:solidFill>
                  <a:sysClr val="windowText" lastClr="000000"/>
                </a:solidFill>
                <a:effectLst/>
                <a:latin typeface="Times New Roman" panose="02020603050405020304" pitchFamily="18" charset="0"/>
                <a:cs typeface="Times New Roman" panose="02020603050405020304" pitchFamily="18" charset="0"/>
              </a:rPr>
              <a:t>(OLD)</a:t>
            </a:r>
            <a:endParaRPr lang="en-US" sz="2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5004686694041151"/>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369398383783853"/>
          <c:y val="2.9060950714494022E-2"/>
          <c:w val="0.82297755748364299"/>
          <c:h val="0.78273252347881284"/>
        </c:manualLayout>
      </c:layout>
      <c:barChart>
        <c:barDir val="col"/>
        <c:grouping val="stacked"/>
        <c:varyColors val="0"/>
        <c:ser>
          <c:idx val="0"/>
          <c:order val="0"/>
          <c:tx>
            <c:strRef>
              <c:f>OD!$D$12</c:f>
              <c:strCache>
                <c:ptCount val="1"/>
                <c:pt idx="0">
                  <c:v>Wood</c:v>
                </c:pt>
              </c:strCache>
            </c:strRef>
          </c:tx>
          <c:spPr>
            <a:pattFill prst="lgCheck">
              <a:fgClr>
                <a:schemeClr val="accent1"/>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OD!$D$13:$D$16</c:f>
              <c:numCache>
                <c:formatCode>General</c:formatCode>
                <c:ptCount val="4"/>
                <c:pt idx="0">
                  <c:v>49</c:v>
                </c:pt>
                <c:pt idx="1">
                  <c:v>44.400000000000006</c:v>
                </c:pt>
                <c:pt idx="2">
                  <c:v>28</c:v>
                </c:pt>
                <c:pt idx="3">
                  <c:v>25.8</c:v>
                </c:pt>
              </c:numCache>
            </c:numRef>
          </c:val>
          <c:extLst>
            <c:ext xmlns:c16="http://schemas.microsoft.com/office/drawing/2014/chart" uri="{C3380CC4-5D6E-409C-BE32-E72D297353CC}">
              <c16:uniqueId val="{00000000-751F-4C3D-BA8C-6BAA70847F08}"/>
            </c:ext>
          </c:extLst>
        </c:ser>
        <c:ser>
          <c:idx val="1"/>
          <c:order val="1"/>
          <c:tx>
            <c:strRef>
              <c:f>OD!$E$12</c:f>
              <c:strCache>
                <c:ptCount val="1"/>
                <c:pt idx="0">
                  <c:v>Adhesive</c:v>
                </c:pt>
              </c:strCache>
            </c:strRef>
          </c:tx>
          <c:spPr>
            <a:pattFill prst="sphere">
              <a:fgClr>
                <a:schemeClr val="accent2"/>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OD!$E$13:$E$16</c:f>
              <c:numCache>
                <c:formatCode>General</c:formatCode>
                <c:ptCount val="4"/>
                <c:pt idx="0">
                  <c:v>67.5</c:v>
                </c:pt>
                <c:pt idx="1">
                  <c:v>67.5</c:v>
                </c:pt>
                <c:pt idx="2">
                  <c:v>39.299999999999997</c:v>
                </c:pt>
                <c:pt idx="3">
                  <c:v>39.299999999999997</c:v>
                </c:pt>
              </c:numCache>
            </c:numRef>
          </c:val>
          <c:extLst>
            <c:ext xmlns:c16="http://schemas.microsoft.com/office/drawing/2014/chart" uri="{C3380CC4-5D6E-409C-BE32-E72D297353CC}">
              <c16:uniqueId val="{00000001-751F-4C3D-BA8C-6BAA70847F08}"/>
            </c:ext>
          </c:extLst>
        </c:ser>
        <c:ser>
          <c:idx val="2"/>
          <c:order val="2"/>
          <c:tx>
            <c:strRef>
              <c:f>OD!$F$12</c:f>
              <c:strCache>
                <c:ptCount val="1"/>
                <c:pt idx="0">
                  <c:v>Chemical </c:v>
                </c:pt>
              </c:strCache>
            </c:strRef>
          </c:tx>
          <c:spPr>
            <a:pattFill prst="pct90">
              <a:fgClr>
                <a:schemeClr val="bg2">
                  <a:lumMod val="75000"/>
                </a:schemeClr>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OD!$F$13:$F$16</c:f>
              <c:numCache>
                <c:formatCode>General</c:formatCode>
                <c:ptCount val="4"/>
                <c:pt idx="0">
                  <c:v>112.5</c:v>
                </c:pt>
                <c:pt idx="1">
                  <c:v>112.5</c:v>
                </c:pt>
                <c:pt idx="2">
                  <c:v>65.5</c:v>
                </c:pt>
                <c:pt idx="3">
                  <c:v>65.5</c:v>
                </c:pt>
              </c:numCache>
            </c:numRef>
          </c:val>
          <c:extLst>
            <c:ext xmlns:c16="http://schemas.microsoft.com/office/drawing/2014/chart" uri="{C3380CC4-5D6E-409C-BE32-E72D297353CC}">
              <c16:uniqueId val="{00000002-751F-4C3D-BA8C-6BAA70847F08}"/>
            </c:ext>
          </c:extLst>
        </c:ser>
        <c:ser>
          <c:idx val="3"/>
          <c:order val="3"/>
          <c:tx>
            <c:strRef>
              <c:f>OD!$G$12</c:f>
              <c:strCache>
                <c:ptCount val="1"/>
                <c:pt idx="0">
                  <c:v>Steel </c:v>
                </c:pt>
              </c:strCache>
            </c:strRef>
          </c:tx>
          <c:spPr>
            <a:pattFill prst="dkDnDiag">
              <a:fgClr>
                <a:schemeClr val="accent4"/>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OD!$G$13:$G$16</c:f>
              <c:numCache>
                <c:formatCode>General</c:formatCode>
                <c:ptCount val="4"/>
                <c:pt idx="0">
                  <c:v>4.1958041958041958</c:v>
                </c:pt>
                <c:pt idx="1">
                  <c:v>4.2</c:v>
                </c:pt>
                <c:pt idx="2">
                  <c:v>4.2</c:v>
                </c:pt>
                <c:pt idx="3">
                  <c:v>4.2</c:v>
                </c:pt>
              </c:numCache>
            </c:numRef>
          </c:val>
          <c:extLst>
            <c:ext xmlns:c16="http://schemas.microsoft.com/office/drawing/2014/chart" uri="{C3380CC4-5D6E-409C-BE32-E72D297353CC}">
              <c16:uniqueId val="{00000003-751F-4C3D-BA8C-6BAA70847F08}"/>
            </c:ext>
          </c:extLst>
        </c:ser>
        <c:ser>
          <c:idx val="4"/>
          <c:order val="4"/>
          <c:tx>
            <c:strRef>
              <c:f>OD!$H$12</c:f>
              <c:strCache>
                <c:ptCount val="1"/>
                <c:pt idx="0">
                  <c:v>Transportation</c:v>
                </c:pt>
              </c:strCache>
            </c:strRef>
          </c:tx>
          <c:spPr>
            <a:solidFill>
              <a:schemeClr val="accent5"/>
            </a:solidFill>
            <a:ln>
              <a:noFill/>
            </a:ln>
            <a:effectLst/>
          </c:spPr>
          <c:invertIfNegative val="0"/>
          <c:cat>
            <c:strRef>
              <c:f>OD!$C$13:$C$16</c:f>
              <c:strCache>
                <c:ptCount val="4"/>
                <c:pt idx="0">
                  <c:v>GLT-h</c:v>
                </c:pt>
                <c:pt idx="1">
                  <c:v>GLT-S</c:v>
                </c:pt>
                <c:pt idx="2">
                  <c:v>LVL-h</c:v>
                </c:pt>
                <c:pt idx="3">
                  <c:v>LVL-s</c:v>
                </c:pt>
              </c:strCache>
            </c:strRef>
          </c:cat>
          <c:val>
            <c:numRef>
              <c:f>OD!$H$13:$H$16</c:f>
              <c:numCache>
                <c:formatCode>General</c:formatCode>
                <c:ptCount val="4"/>
                <c:pt idx="0">
                  <c:v>0.52447552447552448</c:v>
                </c:pt>
                <c:pt idx="1">
                  <c:v>0.5</c:v>
                </c:pt>
                <c:pt idx="2">
                  <c:v>0.5</c:v>
                </c:pt>
                <c:pt idx="3">
                  <c:v>0.5</c:v>
                </c:pt>
              </c:numCache>
            </c:numRef>
          </c:val>
          <c:extLst>
            <c:ext xmlns:c16="http://schemas.microsoft.com/office/drawing/2014/chart" uri="{C3380CC4-5D6E-409C-BE32-E72D297353CC}">
              <c16:uniqueId val="{00000004-751F-4C3D-BA8C-6BAA70847F08}"/>
            </c:ext>
          </c:extLst>
        </c:ser>
        <c:ser>
          <c:idx val="5"/>
          <c:order val="5"/>
          <c:tx>
            <c:strRef>
              <c:f>OD!$I$12</c:f>
              <c:strCache>
                <c:ptCount val="1"/>
                <c:pt idx="0">
                  <c:v>Construction </c:v>
                </c:pt>
              </c:strCache>
            </c:strRef>
          </c:tx>
          <c:spPr>
            <a:solidFill>
              <a:schemeClr val="accent6"/>
            </a:solidFill>
            <a:ln>
              <a:noFill/>
            </a:ln>
            <a:effectLst/>
          </c:spPr>
          <c:invertIfNegative val="0"/>
          <c:cat>
            <c:strRef>
              <c:f>OD!$C$13:$C$16</c:f>
              <c:strCache>
                <c:ptCount val="4"/>
                <c:pt idx="0">
                  <c:v>GLT-h</c:v>
                </c:pt>
                <c:pt idx="1">
                  <c:v>GLT-S</c:v>
                </c:pt>
                <c:pt idx="2">
                  <c:v>LVL-h</c:v>
                </c:pt>
                <c:pt idx="3">
                  <c:v>LVL-s</c:v>
                </c:pt>
              </c:strCache>
            </c:strRef>
          </c:cat>
          <c:val>
            <c:numRef>
              <c:f>OD!$I$13:$I$16</c:f>
              <c:numCache>
                <c:formatCode>General</c:formatCode>
                <c:ptCount val="4"/>
                <c:pt idx="0">
                  <c:v>1.118881118881119</c:v>
                </c:pt>
                <c:pt idx="1">
                  <c:v>1.1047204890201299</c:v>
                </c:pt>
                <c:pt idx="2">
                  <c:v>0.65625</c:v>
                </c:pt>
                <c:pt idx="3">
                  <c:v>0.64786160499759726</c:v>
                </c:pt>
              </c:numCache>
            </c:numRef>
          </c:val>
          <c:extLst>
            <c:ext xmlns:c16="http://schemas.microsoft.com/office/drawing/2014/chart" uri="{C3380CC4-5D6E-409C-BE32-E72D297353CC}">
              <c16:uniqueId val="{00000005-751F-4C3D-BA8C-6BAA70847F08}"/>
            </c:ext>
          </c:extLst>
        </c:ser>
        <c:ser>
          <c:idx val="6"/>
          <c:order val="6"/>
          <c:tx>
            <c:strRef>
              <c:f>OD!$J$12</c:f>
              <c:strCache>
                <c:ptCount val="1"/>
                <c:pt idx="0">
                  <c:v>Maintennace </c:v>
                </c:pt>
              </c:strCache>
            </c:strRef>
          </c:tx>
          <c:spPr>
            <a:pattFill prst="narVert">
              <a:fgClr>
                <a:srgbClr val="0070C0"/>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OD!$J$13:$J$16</c:f>
              <c:numCache>
                <c:formatCode>General</c:formatCode>
                <c:ptCount val="4"/>
                <c:pt idx="0">
                  <c:v>3.8461538461538458</c:v>
                </c:pt>
                <c:pt idx="1">
                  <c:v>3.7974766810066964</c:v>
                </c:pt>
                <c:pt idx="2">
                  <c:v>2.8125</c:v>
                </c:pt>
                <c:pt idx="3">
                  <c:v>2.7765497357039886</c:v>
                </c:pt>
              </c:numCache>
            </c:numRef>
          </c:val>
          <c:extLst>
            <c:ext xmlns:c16="http://schemas.microsoft.com/office/drawing/2014/chart" uri="{C3380CC4-5D6E-409C-BE32-E72D297353CC}">
              <c16:uniqueId val="{00000006-751F-4C3D-BA8C-6BAA70847F08}"/>
            </c:ext>
          </c:extLst>
        </c:ser>
        <c:ser>
          <c:idx val="7"/>
          <c:order val="7"/>
          <c:tx>
            <c:strRef>
              <c:f>OD!$K$12</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OD!$C$13:$C$16</c:f>
              <c:strCache>
                <c:ptCount val="4"/>
                <c:pt idx="0">
                  <c:v>GLT-h</c:v>
                </c:pt>
                <c:pt idx="1">
                  <c:v>GLT-S</c:v>
                </c:pt>
                <c:pt idx="2">
                  <c:v>LVL-h</c:v>
                </c:pt>
                <c:pt idx="3">
                  <c:v>LVL-s</c:v>
                </c:pt>
              </c:strCache>
            </c:strRef>
          </c:cat>
          <c:val>
            <c:numRef>
              <c:f>OD!$K$13:$K$16</c:f>
              <c:numCache>
                <c:formatCode>General</c:formatCode>
                <c:ptCount val="4"/>
                <c:pt idx="0">
                  <c:v>-29.72027972027972</c:v>
                </c:pt>
                <c:pt idx="1">
                  <c:v>-29.344137989597201</c:v>
                </c:pt>
                <c:pt idx="2">
                  <c:v>-10.129478193146417</c:v>
                </c:pt>
                <c:pt idx="3">
                  <c:v>-10</c:v>
                </c:pt>
              </c:numCache>
            </c:numRef>
          </c:val>
          <c:extLst>
            <c:ext xmlns:c16="http://schemas.microsoft.com/office/drawing/2014/chart" uri="{C3380CC4-5D6E-409C-BE32-E72D297353CC}">
              <c16:uniqueId val="{00000007-751F-4C3D-BA8C-6BAA70847F08}"/>
            </c:ext>
          </c:extLst>
        </c:ser>
        <c:dLbls>
          <c:showLegendKey val="0"/>
          <c:showVal val="0"/>
          <c:showCatName val="0"/>
          <c:showSerName val="0"/>
          <c:showPercent val="0"/>
          <c:showBubbleSize val="0"/>
        </c:dLbls>
        <c:gapWidth val="150"/>
        <c:overlap val="100"/>
        <c:axId val="1209005775"/>
        <c:axId val="1209006191"/>
      </c:barChart>
      <c:catAx>
        <c:axId val="120900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9006191"/>
        <c:crosses val="autoZero"/>
        <c:auto val="1"/>
        <c:lblAlgn val="ctr"/>
        <c:lblOffset val="100"/>
        <c:noMultiLvlLbl val="0"/>
      </c:catAx>
      <c:valAx>
        <c:axId val="1209006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0" i="0" baseline="0">
                    <a:effectLst/>
                    <a:latin typeface="Times New Roman" panose="02020603050405020304" pitchFamily="18" charset="0"/>
                    <a:cs typeface="Times New Roman" panose="02020603050405020304" pitchFamily="18" charset="0"/>
                  </a:rPr>
                  <a:t>Kg CFC11 eq</a:t>
                </a:r>
                <a:endParaRPr lang="en-US" sz="200">
                  <a:effectLst/>
                  <a:latin typeface="Times New Roman" panose="02020603050405020304" pitchFamily="18" charset="0"/>
                  <a:cs typeface="Times New Roman" panose="02020603050405020304" pitchFamily="18" charset="0"/>
                </a:endParaRPr>
              </a:p>
            </c:rich>
          </c:tx>
          <c:layout>
            <c:manualLayout>
              <c:xMode val="edge"/>
              <c:yMode val="edge"/>
              <c:x val="0"/>
              <c:y val="0.3708076866497882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9005775"/>
        <c:crosses val="autoZero"/>
        <c:crossBetween val="between"/>
      </c:valAx>
      <c:spPr>
        <a:noFill/>
        <a:ln>
          <a:noFill/>
        </a:ln>
        <a:effectLst/>
      </c:spPr>
    </c:plotArea>
    <c:legend>
      <c:legendPos val="b"/>
      <c:layout>
        <c:manualLayout>
          <c:xMode val="edge"/>
          <c:yMode val="edge"/>
          <c:x val="0.10590264617955862"/>
          <c:y val="0.81270372176929206"/>
          <c:w val="0.88680903616796669"/>
          <c:h val="0.18729627823070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Terrestrial Ecotoxicity </a:t>
            </a:r>
            <a:r>
              <a:rPr lang="en-US" sz="900" b="0" i="0" u="none" strike="noStrike" baseline="0">
                <a:effectLst/>
                <a:latin typeface="Times New Roman" panose="02020603050405020304" pitchFamily="18" charset="0"/>
                <a:cs typeface="Times New Roman" panose="02020603050405020304" pitchFamily="18" charset="0"/>
              </a:rPr>
              <a:t>(TA)</a:t>
            </a:r>
            <a:r>
              <a:rPr lang="en-US" sz="900" b="0" i="0" baseline="0">
                <a:effectLst/>
                <a:latin typeface="Times New Roman" panose="02020603050405020304" pitchFamily="18" charset="0"/>
                <a:cs typeface="Times New Roman" panose="02020603050405020304" pitchFamily="18" charset="0"/>
              </a:rPr>
              <a:t> </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2713836826734686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82259435880377"/>
          <c:y val="3.0961215811946843E-2"/>
          <c:w val="0.83867896028365541"/>
          <c:h val="0.78411147609616272"/>
        </c:manualLayout>
      </c:layout>
      <c:barChart>
        <c:barDir val="col"/>
        <c:grouping val="stacked"/>
        <c:varyColors val="0"/>
        <c:ser>
          <c:idx val="0"/>
          <c:order val="0"/>
          <c:tx>
            <c:strRef>
              <c:f>TE!$E$13</c:f>
              <c:strCache>
                <c:ptCount val="1"/>
                <c:pt idx="0">
                  <c:v>Wood</c:v>
                </c:pt>
              </c:strCache>
            </c:strRef>
          </c:tx>
          <c:spPr>
            <a:pattFill prst="lgCheck">
              <a:fgClr>
                <a:schemeClr val="accent1"/>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TE!$E$14:$E$17</c:f>
              <c:numCache>
                <c:formatCode>General</c:formatCode>
                <c:ptCount val="4"/>
                <c:pt idx="0">
                  <c:v>67.98</c:v>
                </c:pt>
                <c:pt idx="1">
                  <c:v>67.099999999999994</c:v>
                </c:pt>
                <c:pt idx="2">
                  <c:v>91.52</c:v>
                </c:pt>
                <c:pt idx="3">
                  <c:v>85.58</c:v>
                </c:pt>
              </c:numCache>
            </c:numRef>
          </c:val>
          <c:extLst>
            <c:ext xmlns:c16="http://schemas.microsoft.com/office/drawing/2014/chart" uri="{C3380CC4-5D6E-409C-BE32-E72D297353CC}">
              <c16:uniqueId val="{00000000-2C8B-4B9E-9D4E-8CA40BF10FD6}"/>
            </c:ext>
          </c:extLst>
        </c:ser>
        <c:ser>
          <c:idx val="1"/>
          <c:order val="1"/>
          <c:tx>
            <c:strRef>
              <c:f>TE!$F$13</c:f>
              <c:strCache>
                <c:ptCount val="1"/>
                <c:pt idx="0">
                  <c:v>Adhesive</c:v>
                </c:pt>
              </c:strCache>
            </c:strRef>
          </c:tx>
          <c:spPr>
            <a:pattFill prst="sphere">
              <a:fgClr>
                <a:schemeClr val="accent2"/>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TE!$F$14:$F$17</c:f>
              <c:numCache>
                <c:formatCode>General</c:formatCode>
                <c:ptCount val="4"/>
                <c:pt idx="0">
                  <c:v>105.06</c:v>
                </c:pt>
                <c:pt idx="1">
                  <c:v>105.06</c:v>
                </c:pt>
                <c:pt idx="2">
                  <c:v>141.44</c:v>
                </c:pt>
                <c:pt idx="3">
                  <c:v>141.44</c:v>
                </c:pt>
              </c:numCache>
            </c:numRef>
          </c:val>
          <c:extLst>
            <c:ext xmlns:c16="http://schemas.microsoft.com/office/drawing/2014/chart" uri="{C3380CC4-5D6E-409C-BE32-E72D297353CC}">
              <c16:uniqueId val="{00000001-2C8B-4B9E-9D4E-8CA40BF10FD6}"/>
            </c:ext>
          </c:extLst>
        </c:ser>
        <c:ser>
          <c:idx val="2"/>
          <c:order val="2"/>
          <c:tx>
            <c:strRef>
              <c:f>TE!$G$13</c:f>
              <c:strCache>
                <c:ptCount val="1"/>
                <c:pt idx="0">
                  <c:v>Chemical </c:v>
                </c:pt>
              </c:strCache>
            </c:strRef>
          </c:tx>
          <c:spPr>
            <a:pattFill prst="pct90">
              <a:fgClr>
                <a:schemeClr val="bg2">
                  <a:lumMod val="75000"/>
                </a:schemeClr>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TE!$G$14:$G$17</c:f>
              <c:numCache>
                <c:formatCode>General</c:formatCode>
                <c:ptCount val="4"/>
                <c:pt idx="0">
                  <c:v>135.96</c:v>
                </c:pt>
                <c:pt idx="1">
                  <c:v>135.96</c:v>
                </c:pt>
                <c:pt idx="2">
                  <c:v>183.04</c:v>
                </c:pt>
                <c:pt idx="3">
                  <c:v>183.04</c:v>
                </c:pt>
              </c:numCache>
            </c:numRef>
          </c:val>
          <c:extLst>
            <c:ext xmlns:c16="http://schemas.microsoft.com/office/drawing/2014/chart" uri="{C3380CC4-5D6E-409C-BE32-E72D297353CC}">
              <c16:uniqueId val="{00000002-2C8B-4B9E-9D4E-8CA40BF10FD6}"/>
            </c:ext>
          </c:extLst>
        </c:ser>
        <c:ser>
          <c:idx val="3"/>
          <c:order val="3"/>
          <c:tx>
            <c:strRef>
              <c:f>TE!$H$13</c:f>
              <c:strCache>
                <c:ptCount val="1"/>
                <c:pt idx="0">
                  <c:v>Steel </c:v>
                </c:pt>
              </c:strCache>
            </c:strRef>
          </c:tx>
          <c:spPr>
            <a:pattFill prst="dkDnDiag">
              <a:fgClr>
                <a:schemeClr val="accent4"/>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TE!$H$14:$H$17</c:f>
              <c:numCache>
                <c:formatCode>General</c:formatCode>
                <c:ptCount val="4"/>
                <c:pt idx="0">
                  <c:v>5.7692307692307692</c:v>
                </c:pt>
                <c:pt idx="1">
                  <c:v>5.8</c:v>
                </c:pt>
                <c:pt idx="2">
                  <c:v>5.8</c:v>
                </c:pt>
                <c:pt idx="3">
                  <c:v>5.8</c:v>
                </c:pt>
              </c:numCache>
            </c:numRef>
          </c:val>
          <c:extLst>
            <c:ext xmlns:c16="http://schemas.microsoft.com/office/drawing/2014/chart" uri="{C3380CC4-5D6E-409C-BE32-E72D297353CC}">
              <c16:uniqueId val="{00000003-2C8B-4B9E-9D4E-8CA40BF10FD6}"/>
            </c:ext>
          </c:extLst>
        </c:ser>
        <c:ser>
          <c:idx val="4"/>
          <c:order val="4"/>
          <c:tx>
            <c:strRef>
              <c:f>TE!$I$13</c:f>
              <c:strCache>
                <c:ptCount val="1"/>
                <c:pt idx="0">
                  <c:v>Transportation</c:v>
                </c:pt>
              </c:strCache>
            </c:strRef>
          </c:tx>
          <c:spPr>
            <a:solidFill>
              <a:schemeClr val="accent5"/>
            </a:solidFill>
            <a:ln>
              <a:noFill/>
            </a:ln>
            <a:effectLst/>
          </c:spPr>
          <c:invertIfNegative val="0"/>
          <c:cat>
            <c:strRef>
              <c:f>TE!$D$14:$D$17</c:f>
              <c:strCache>
                <c:ptCount val="4"/>
                <c:pt idx="0">
                  <c:v>GLT-h</c:v>
                </c:pt>
                <c:pt idx="1">
                  <c:v>GLT-S</c:v>
                </c:pt>
                <c:pt idx="2">
                  <c:v>LVL-h</c:v>
                </c:pt>
                <c:pt idx="3">
                  <c:v>LVL-s</c:v>
                </c:pt>
              </c:strCache>
            </c:strRef>
          </c:cat>
          <c:val>
            <c:numRef>
              <c:f>TE!$I$14:$I$17</c:f>
              <c:numCache>
                <c:formatCode>General</c:formatCode>
                <c:ptCount val="4"/>
                <c:pt idx="0">
                  <c:v>0.72115384615384615</c:v>
                </c:pt>
                <c:pt idx="1">
                  <c:v>0.72</c:v>
                </c:pt>
                <c:pt idx="2">
                  <c:v>0.72</c:v>
                </c:pt>
                <c:pt idx="3">
                  <c:v>0.72</c:v>
                </c:pt>
              </c:numCache>
            </c:numRef>
          </c:val>
          <c:extLst>
            <c:ext xmlns:c16="http://schemas.microsoft.com/office/drawing/2014/chart" uri="{C3380CC4-5D6E-409C-BE32-E72D297353CC}">
              <c16:uniqueId val="{00000004-2C8B-4B9E-9D4E-8CA40BF10FD6}"/>
            </c:ext>
          </c:extLst>
        </c:ser>
        <c:ser>
          <c:idx val="5"/>
          <c:order val="5"/>
          <c:tx>
            <c:strRef>
              <c:f>TE!$J$13</c:f>
              <c:strCache>
                <c:ptCount val="1"/>
                <c:pt idx="0">
                  <c:v>Construction </c:v>
                </c:pt>
              </c:strCache>
            </c:strRef>
          </c:tx>
          <c:spPr>
            <a:solidFill>
              <a:schemeClr val="accent6"/>
            </a:solidFill>
            <a:ln>
              <a:noFill/>
            </a:ln>
            <a:effectLst/>
          </c:spPr>
          <c:invertIfNegative val="0"/>
          <c:cat>
            <c:strRef>
              <c:f>TE!$D$14:$D$17</c:f>
              <c:strCache>
                <c:ptCount val="4"/>
                <c:pt idx="0">
                  <c:v>GLT-h</c:v>
                </c:pt>
                <c:pt idx="1">
                  <c:v>GLT-S</c:v>
                </c:pt>
                <c:pt idx="2">
                  <c:v>LVL-h</c:v>
                </c:pt>
                <c:pt idx="3">
                  <c:v>LVL-s</c:v>
                </c:pt>
              </c:strCache>
            </c:strRef>
          </c:cat>
          <c:val>
            <c:numRef>
              <c:f>TE!$J$14:$J$17</c:f>
              <c:numCache>
                <c:formatCode>General</c:formatCode>
                <c:ptCount val="4"/>
                <c:pt idx="0">
                  <c:v>1.5384615384615385</c:v>
                </c:pt>
                <c:pt idx="1">
                  <c:v>1.5189906724026785</c:v>
                </c:pt>
                <c:pt idx="2">
                  <c:v>2.0192307692307692</c:v>
                </c:pt>
                <c:pt idx="3">
                  <c:v>1.9934203230695302</c:v>
                </c:pt>
              </c:numCache>
            </c:numRef>
          </c:val>
          <c:extLst>
            <c:ext xmlns:c16="http://schemas.microsoft.com/office/drawing/2014/chart" uri="{C3380CC4-5D6E-409C-BE32-E72D297353CC}">
              <c16:uniqueId val="{00000005-2C8B-4B9E-9D4E-8CA40BF10FD6}"/>
            </c:ext>
          </c:extLst>
        </c:ser>
        <c:ser>
          <c:idx val="6"/>
          <c:order val="6"/>
          <c:tx>
            <c:strRef>
              <c:f>TE!$K$13</c:f>
              <c:strCache>
                <c:ptCount val="1"/>
                <c:pt idx="0">
                  <c:v>Maintennace </c:v>
                </c:pt>
              </c:strCache>
            </c:strRef>
          </c:tx>
          <c:spPr>
            <a:pattFill prst="narVert">
              <a:fgClr>
                <a:srgbClr val="0070C0"/>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TE!$K$14:$K$17</c:f>
              <c:numCache>
                <c:formatCode>General</c:formatCode>
                <c:ptCount val="4"/>
                <c:pt idx="0">
                  <c:v>5.2884615384615383</c:v>
                </c:pt>
                <c:pt idx="1">
                  <c:v>5.2215304363842074</c:v>
                </c:pt>
                <c:pt idx="2">
                  <c:v>8.6538461538461533</c:v>
                </c:pt>
                <c:pt idx="3">
                  <c:v>8.5432299560122722</c:v>
                </c:pt>
              </c:numCache>
            </c:numRef>
          </c:val>
          <c:extLst>
            <c:ext xmlns:c16="http://schemas.microsoft.com/office/drawing/2014/chart" uri="{C3380CC4-5D6E-409C-BE32-E72D297353CC}">
              <c16:uniqueId val="{00000006-2C8B-4B9E-9D4E-8CA40BF10FD6}"/>
            </c:ext>
          </c:extLst>
        </c:ser>
        <c:ser>
          <c:idx val="7"/>
          <c:order val="7"/>
          <c:tx>
            <c:strRef>
              <c:f>TE!$L$13</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TE!$D$14:$D$17</c:f>
              <c:strCache>
                <c:ptCount val="4"/>
                <c:pt idx="0">
                  <c:v>GLT-h</c:v>
                </c:pt>
                <c:pt idx="1">
                  <c:v>GLT-S</c:v>
                </c:pt>
                <c:pt idx="2">
                  <c:v>LVL-h</c:v>
                </c:pt>
                <c:pt idx="3">
                  <c:v>LVL-s</c:v>
                </c:pt>
              </c:strCache>
            </c:strRef>
          </c:cat>
          <c:val>
            <c:numRef>
              <c:f>TE!$L$14:$L$17</c:f>
              <c:numCache>
                <c:formatCode>General</c:formatCode>
                <c:ptCount val="4"/>
                <c:pt idx="0">
                  <c:v>-40.865384615384613</c:v>
                </c:pt>
                <c:pt idx="1">
                  <c:v>-40.348189735696145</c:v>
                </c:pt>
                <c:pt idx="2">
                  <c:v>-31.167625209681283</c:v>
                </c:pt>
                <c:pt idx="3">
                  <c:v>-30.76923076923077</c:v>
                </c:pt>
              </c:numCache>
            </c:numRef>
          </c:val>
          <c:extLst>
            <c:ext xmlns:c16="http://schemas.microsoft.com/office/drawing/2014/chart" uri="{C3380CC4-5D6E-409C-BE32-E72D297353CC}">
              <c16:uniqueId val="{00000007-2C8B-4B9E-9D4E-8CA40BF10FD6}"/>
            </c:ext>
          </c:extLst>
        </c:ser>
        <c:dLbls>
          <c:showLegendKey val="0"/>
          <c:showVal val="0"/>
          <c:showCatName val="0"/>
          <c:showSerName val="0"/>
          <c:showPercent val="0"/>
          <c:showBubbleSize val="0"/>
        </c:dLbls>
        <c:gapWidth val="150"/>
        <c:overlap val="100"/>
        <c:axId val="1205969983"/>
        <c:axId val="1205966655"/>
      </c:barChart>
      <c:catAx>
        <c:axId val="120596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5966655"/>
        <c:crosses val="autoZero"/>
        <c:auto val="1"/>
        <c:lblAlgn val="ctr"/>
        <c:lblOffset val="100"/>
        <c:noMultiLvlLbl val="0"/>
      </c:catAx>
      <c:valAx>
        <c:axId val="1205966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Kg SO2 eq</a:t>
                </a:r>
                <a:endParaRPr lang="en-US" sz="300">
                  <a:effectLst/>
                  <a:latin typeface="Times New Roman" panose="02020603050405020304" pitchFamily="18" charset="0"/>
                  <a:cs typeface="Times New Roman" panose="02020603050405020304" pitchFamily="18" charset="0"/>
                </a:endParaRPr>
              </a:p>
            </c:rich>
          </c:tx>
          <c:layout>
            <c:manualLayout>
              <c:xMode val="edge"/>
              <c:yMode val="edge"/>
              <c:x val="0"/>
              <c:y val="0.3236189402480270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5969983"/>
        <c:crosses val="autoZero"/>
        <c:crossBetween val="between"/>
      </c:valAx>
      <c:spPr>
        <a:noFill/>
        <a:ln>
          <a:noFill/>
        </a:ln>
        <a:effectLst/>
      </c:spPr>
    </c:plotArea>
    <c:legend>
      <c:legendPos val="b"/>
      <c:layout>
        <c:manualLayout>
          <c:xMode val="edge"/>
          <c:yMode val="edge"/>
          <c:x val="0.12929533124042689"/>
          <c:y val="0.84837930534756778"/>
          <c:w val="0.87070466875957309"/>
          <c:h val="0.151620694652432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Land use </a:t>
            </a:r>
            <a:r>
              <a:rPr lang="en-US" sz="900" b="0" i="0" u="none" strike="noStrike" baseline="0">
                <a:effectLst/>
                <a:latin typeface="Times New Roman" panose="02020603050405020304" pitchFamily="18" charset="0"/>
                <a:cs typeface="Times New Roman" panose="02020603050405020304" pitchFamily="18" charset="0"/>
              </a:rPr>
              <a:t>(LU)</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3434901082909190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682487605715953"/>
          <c:y val="2.7325968582285424E-2"/>
          <c:w val="0.84266335519941193"/>
          <c:h val="0.76937386277635555"/>
        </c:manualLayout>
      </c:layout>
      <c:barChart>
        <c:barDir val="col"/>
        <c:grouping val="stacked"/>
        <c:varyColors val="0"/>
        <c:ser>
          <c:idx val="0"/>
          <c:order val="0"/>
          <c:tx>
            <c:strRef>
              <c:f>LU!$E$13</c:f>
              <c:strCache>
                <c:ptCount val="1"/>
                <c:pt idx="0">
                  <c:v>Wood</c:v>
                </c:pt>
              </c:strCache>
            </c:strRef>
          </c:tx>
          <c:spPr>
            <a:pattFill prst="lgCheck">
              <a:fgClr>
                <a:schemeClr val="accent1"/>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LU!$E$14:$E$17</c:f>
              <c:numCache>
                <c:formatCode>General</c:formatCode>
                <c:ptCount val="4"/>
                <c:pt idx="0">
                  <c:v>20</c:v>
                </c:pt>
                <c:pt idx="1">
                  <c:v>18.25</c:v>
                </c:pt>
                <c:pt idx="2">
                  <c:v>11.5</c:v>
                </c:pt>
                <c:pt idx="3">
                  <c:v>10.5</c:v>
                </c:pt>
              </c:numCache>
            </c:numRef>
          </c:val>
          <c:extLst>
            <c:ext xmlns:c16="http://schemas.microsoft.com/office/drawing/2014/chart" uri="{C3380CC4-5D6E-409C-BE32-E72D297353CC}">
              <c16:uniqueId val="{00000000-2A2D-47C1-837B-5B5591913DE2}"/>
            </c:ext>
          </c:extLst>
        </c:ser>
        <c:ser>
          <c:idx val="1"/>
          <c:order val="1"/>
          <c:tx>
            <c:strRef>
              <c:f>LU!$F$13</c:f>
              <c:strCache>
                <c:ptCount val="1"/>
                <c:pt idx="0">
                  <c:v>Adhesive</c:v>
                </c:pt>
              </c:strCache>
            </c:strRef>
          </c:tx>
          <c:spPr>
            <a:pattFill prst="sphere">
              <a:fgClr>
                <a:schemeClr val="accent2"/>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LU!$F$14:$F$17</c:f>
              <c:numCache>
                <c:formatCode>General</c:formatCode>
                <c:ptCount val="4"/>
                <c:pt idx="0">
                  <c:v>28</c:v>
                </c:pt>
                <c:pt idx="1">
                  <c:v>28</c:v>
                </c:pt>
                <c:pt idx="2">
                  <c:v>16.099999999999998</c:v>
                </c:pt>
                <c:pt idx="3">
                  <c:v>16.099999999999998</c:v>
                </c:pt>
              </c:numCache>
            </c:numRef>
          </c:val>
          <c:extLst>
            <c:ext xmlns:c16="http://schemas.microsoft.com/office/drawing/2014/chart" uri="{C3380CC4-5D6E-409C-BE32-E72D297353CC}">
              <c16:uniqueId val="{00000001-2A2D-47C1-837B-5B5591913DE2}"/>
            </c:ext>
          </c:extLst>
        </c:ser>
        <c:ser>
          <c:idx val="2"/>
          <c:order val="2"/>
          <c:tx>
            <c:strRef>
              <c:f>LU!$G$13</c:f>
              <c:strCache>
                <c:ptCount val="1"/>
                <c:pt idx="0">
                  <c:v>Chemical </c:v>
                </c:pt>
              </c:strCache>
            </c:strRef>
          </c:tx>
          <c:spPr>
            <a:pattFill prst="pct90">
              <a:fgClr>
                <a:schemeClr val="bg2">
                  <a:lumMod val="75000"/>
                </a:schemeClr>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LU!$G$14:$G$17</c:f>
              <c:numCache>
                <c:formatCode>General</c:formatCode>
                <c:ptCount val="4"/>
                <c:pt idx="0">
                  <c:v>32</c:v>
                </c:pt>
                <c:pt idx="1">
                  <c:v>32</c:v>
                </c:pt>
                <c:pt idx="2">
                  <c:v>18.400000000000002</c:v>
                </c:pt>
                <c:pt idx="3">
                  <c:v>18.400000000000002</c:v>
                </c:pt>
              </c:numCache>
            </c:numRef>
          </c:val>
          <c:extLst>
            <c:ext xmlns:c16="http://schemas.microsoft.com/office/drawing/2014/chart" uri="{C3380CC4-5D6E-409C-BE32-E72D297353CC}">
              <c16:uniqueId val="{00000002-2A2D-47C1-837B-5B5591913DE2}"/>
            </c:ext>
          </c:extLst>
        </c:ser>
        <c:ser>
          <c:idx val="3"/>
          <c:order val="3"/>
          <c:tx>
            <c:strRef>
              <c:f>LU!$H$13</c:f>
              <c:strCache>
                <c:ptCount val="1"/>
                <c:pt idx="0">
                  <c:v>Steel </c:v>
                </c:pt>
              </c:strCache>
            </c:strRef>
          </c:tx>
          <c:spPr>
            <a:pattFill prst="dkDnDiag">
              <a:fgClr>
                <a:schemeClr val="accent4"/>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LU!$H$14:$H$17</c:f>
              <c:numCache>
                <c:formatCode>General</c:formatCode>
                <c:ptCount val="4"/>
                <c:pt idx="0">
                  <c:v>1.4925373134328357</c:v>
                </c:pt>
                <c:pt idx="1">
                  <c:v>1.5</c:v>
                </c:pt>
                <c:pt idx="2">
                  <c:v>1.5</c:v>
                </c:pt>
                <c:pt idx="3">
                  <c:v>1.5</c:v>
                </c:pt>
              </c:numCache>
            </c:numRef>
          </c:val>
          <c:extLst>
            <c:ext xmlns:c16="http://schemas.microsoft.com/office/drawing/2014/chart" uri="{C3380CC4-5D6E-409C-BE32-E72D297353CC}">
              <c16:uniqueId val="{00000003-2A2D-47C1-837B-5B5591913DE2}"/>
            </c:ext>
          </c:extLst>
        </c:ser>
        <c:ser>
          <c:idx val="4"/>
          <c:order val="4"/>
          <c:tx>
            <c:strRef>
              <c:f>LU!$I$13</c:f>
              <c:strCache>
                <c:ptCount val="1"/>
                <c:pt idx="0">
                  <c:v>Transportation</c:v>
                </c:pt>
              </c:strCache>
            </c:strRef>
          </c:tx>
          <c:spPr>
            <a:solidFill>
              <a:schemeClr val="accent5"/>
            </a:solidFill>
            <a:ln>
              <a:noFill/>
            </a:ln>
            <a:effectLst/>
          </c:spPr>
          <c:invertIfNegative val="0"/>
          <c:cat>
            <c:strRef>
              <c:f>LU!$D$14:$D$17</c:f>
              <c:strCache>
                <c:ptCount val="4"/>
                <c:pt idx="0">
                  <c:v>GLT-h</c:v>
                </c:pt>
                <c:pt idx="1">
                  <c:v>GLT-S</c:v>
                </c:pt>
                <c:pt idx="2">
                  <c:v>LVL-h</c:v>
                </c:pt>
                <c:pt idx="3">
                  <c:v>LVL-s</c:v>
                </c:pt>
              </c:strCache>
            </c:strRef>
          </c:cat>
          <c:val>
            <c:numRef>
              <c:f>LU!$I$14:$I$17</c:f>
              <c:numCache>
                <c:formatCode>General</c:formatCode>
                <c:ptCount val="4"/>
                <c:pt idx="0">
                  <c:v>0.18656716417910446</c:v>
                </c:pt>
                <c:pt idx="1">
                  <c:v>1.9</c:v>
                </c:pt>
                <c:pt idx="2">
                  <c:v>1.9</c:v>
                </c:pt>
                <c:pt idx="3">
                  <c:v>1.9</c:v>
                </c:pt>
              </c:numCache>
            </c:numRef>
          </c:val>
          <c:extLst>
            <c:ext xmlns:c16="http://schemas.microsoft.com/office/drawing/2014/chart" uri="{C3380CC4-5D6E-409C-BE32-E72D297353CC}">
              <c16:uniqueId val="{00000004-2A2D-47C1-837B-5B5591913DE2}"/>
            </c:ext>
          </c:extLst>
        </c:ser>
        <c:ser>
          <c:idx val="5"/>
          <c:order val="5"/>
          <c:tx>
            <c:strRef>
              <c:f>LU!$J$13</c:f>
              <c:strCache>
                <c:ptCount val="1"/>
                <c:pt idx="0">
                  <c:v>Construction </c:v>
                </c:pt>
              </c:strCache>
            </c:strRef>
          </c:tx>
          <c:spPr>
            <a:solidFill>
              <a:schemeClr val="accent6"/>
            </a:solidFill>
            <a:ln>
              <a:noFill/>
            </a:ln>
            <a:effectLst/>
          </c:spPr>
          <c:invertIfNegative val="0"/>
          <c:cat>
            <c:strRef>
              <c:f>LU!$D$14:$D$17</c:f>
              <c:strCache>
                <c:ptCount val="4"/>
                <c:pt idx="0">
                  <c:v>GLT-h</c:v>
                </c:pt>
                <c:pt idx="1">
                  <c:v>GLT-S</c:v>
                </c:pt>
                <c:pt idx="2">
                  <c:v>LVL-h</c:v>
                </c:pt>
                <c:pt idx="3">
                  <c:v>LVL-s</c:v>
                </c:pt>
              </c:strCache>
            </c:strRef>
          </c:cat>
          <c:val>
            <c:numRef>
              <c:f>LU!$J$14:$J$17</c:f>
              <c:numCache>
                <c:formatCode>General</c:formatCode>
                <c:ptCount val="4"/>
                <c:pt idx="0">
                  <c:v>0.39800995024875624</c:v>
                </c:pt>
                <c:pt idx="1">
                  <c:v>0.39</c:v>
                </c:pt>
                <c:pt idx="2">
                  <c:v>0.23411371237458192</c:v>
                </c:pt>
                <c:pt idx="3">
                  <c:v>0.23</c:v>
                </c:pt>
              </c:numCache>
            </c:numRef>
          </c:val>
          <c:extLst>
            <c:ext xmlns:c16="http://schemas.microsoft.com/office/drawing/2014/chart" uri="{C3380CC4-5D6E-409C-BE32-E72D297353CC}">
              <c16:uniqueId val="{00000005-2A2D-47C1-837B-5B5591913DE2}"/>
            </c:ext>
          </c:extLst>
        </c:ser>
        <c:ser>
          <c:idx val="6"/>
          <c:order val="6"/>
          <c:tx>
            <c:strRef>
              <c:f>LU!$K$13</c:f>
              <c:strCache>
                <c:ptCount val="1"/>
                <c:pt idx="0">
                  <c:v>Maintennace </c:v>
                </c:pt>
              </c:strCache>
            </c:strRef>
          </c:tx>
          <c:spPr>
            <a:pattFill prst="narVert">
              <a:fgClr>
                <a:srgbClr val="0070C0"/>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LU!$K$14:$K$17</c:f>
              <c:numCache>
                <c:formatCode>General</c:formatCode>
                <c:ptCount val="4"/>
                <c:pt idx="0">
                  <c:v>1.3681592039800994</c:v>
                </c:pt>
                <c:pt idx="1">
                  <c:v>1.4</c:v>
                </c:pt>
                <c:pt idx="2">
                  <c:v>1.0033444816053512</c:v>
                </c:pt>
                <c:pt idx="3">
                  <c:v>1</c:v>
                </c:pt>
              </c:numCache>
            </c:numRef>
          </c:val>
          <c:extLst>
            <c:ext xmlns:c16="http://schemas.microsoft.com/office/drawing/2014/chart" uri="{C3380CC4-5D6E-409C-BE32-E72D297353CC}">
              <c16:uniqueId val="{00000006-2A2D-47C1-837B-5B5591913DE2}"/>
            </c:ext>
          </c:extLst>
        </c:ser>
        <c:ser>
          <c:idx val="7"/>
          <c:order val="7"/>
          <c:tx>
            <c:strRef>
              <c:f>LU!$L$13</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LU!$D$14:$D$17</c:f>
              <c:strCache>
                <c:ptCount val="4"/>
                <c:pt idx="0">
                  <c:v>GLT-h</c:v>
                </c:pt>
                <c:pt idx="1">
                  <c:v>GLT-S</c:v>
                </c:pt>
                <c:pt idx="2">
                  <c:v>LVL-h</c:v>
                </c:pt>
                <c:pt idx="3">
                  <c:v>LVL-s</c:v>
                </c:pt>
              </c:strCache>
            </c:strRef>
          </c:cat>
          <c:val>
            <c:numRef>
              <c:f>LU!$L$14:$L$17</c:f>
              <c:numCache>
                <c:formatCode>General</c:formatCode>
                <c:ptCount val="4"/>
                <c:pt idx="0">
                  <c:v>-10.572139303482587</c:v>
                </c:pt>
                <c:pt idx="1">
                  <c:v>-10.438337643065671</c:v>
                </c:pt>
                <c:pt idx="2">
                  <c:v>-3.6136377054702939</c:v>
                </c:pt>
                <c:pt idx="3">
                  <c:v>-3.5674470457079153</c:v>
                </c:pt>
              </c:numCache>
            </c:numRef>
          </c:val>
          <c:extLst>
            <c:ext xmlns:c16="http://schemas.microsoft.com/office/drawing/2014/chart" uri="{C3380CC4-5D6E-409C-BE32-E72D297353CC}">
              <c16:uniqueId val="{00000007-2A2D-47C1-837B-5B5591913DE2}"/>
            </c:ext>
          </c:extLst>
        </c:ser>
        <c:dLbls>
          <c:showLegendKey val="0"/>
          <c:showVal val="0"/>
          <c:showCatName val="0"/>
          <c:showSerName val="0"/>
          <c:showPercent val="0"/>
          <c:showBubbleSize val="0"/>
        </c:dLbls>
        <c:gapWidth val="150"/>
        <c:overlap val="100"/>
        <c:axId val="1205967903"/>
        <c:axId val="1205968319"/>
      </c:barChart>
      <c:catAx>
        <c:axId val="120596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5968319"/>
        <c:crosses val="autoZero"/>
        <c:auto val="1"/>
        <c:lblAlgn val="ctr"/>
        <c:lblOffset val="100"/>
        <c:noMultiLvlLbl val="0"/>
      </c:catAx>
      <c:valAx>
        <c:axId val="1205968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m2a crop eq</a:t>
                </a:r>
                <a:endParaRPr lang="en-US" sz="300">
                  <a:effectLst/>
                  <a:latin typeface="Times New Roman" panose="02020603050405020304" pitchFamily="18" charset="0"/>
                  <a:cs typeface="Times New Roman" panose="02020603050405020304" pitchFamily="18" charset="0"/>
                </a:endParaRPr>
              </a:p>
            </c:rich>
          </c:tx>
          <c:layout>
            <c:manualLayout>
              <c:xMode val="edge"/>
              <c:yMode val="edge"/>
              <c:x val="0"/>
              <c:y val="0.380646766169154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5967903"/>
        <c:crosses val="autoZero"/>
        <c:crossBetween val="between"/>
      </c:valAx>
      <c:spPr>
        <a:noFill/>
        <a:ln>
          <a:noFill/>
        </a:ln>
        <a:effectLst/>
      </c:spPr>
    </c:plotArea>
    <c:legend>
      <c:legendPos val="b"/>
      <c:layout>
        <c:manualLayout>
          <c:xMode val="edge"/>
          <c:yMode val="edge"/>
          <c:x val="0.11208277183173886"/>
          <c:y val="0.76721655958649337"/>
          <c:w val="0.88791722816826113"/>
          <c:h val="0.23278344041350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Embodied Energy</a:t>
            </a:r>
            <a:endParaRPr lang="en-US" sz="800">
              <a:effectLst/>
              <a:latin typeface="Times New Roman" panose="02020603050405020304" pitchFamily="18" charset="0"/>
              <a:cs typeface="Times New Roman" panose="02020603050405020304" pitchFamily="18" charset="0"/>
            </a:endParaRPr>
          </a:p>
        </c:rich>
      </c:tx>
      <c:layout>
        <c:manualLayout>
          <c:xMode val="edge"/>
          <c:yMode val="edge"/>
          <c:x val="0.4110693350831145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940048118985127"/>
          <c:y val="1.7046926396770235E-2"/>
          <c:w val="0.84948840769903766"/>
          <c:h val="0.85708138475100482"/>
        </c:manualLayout>
      </c:layout>
      <c:barChart>
        <c:barDir val="col"/>
        <c:grouping val="stacked"/>
        <c:varyColors val="0"/>
        <c:ser>
          <c:idx val="0"/>
          <c:order val="0"/>
          <c:tx>
            <c:strRef>
              <c:f>EE!$N$23</c:f>
              <c:strCache>
                <c:ptCount val="1"/>
                <c:pt idx="0">
                  <c:v>Manufactring </c:v>
                </c:pt>
              </c:strCache>
            </c:strRef>
          </c:tx>
          <c:spPr>
            <a:pattFill prst="pct90">
              <a:fgClr>
                <a:schemeClr val="accent1"/>
              </a:fgClr>
              <a:bgClr>
                <a:schemeClr val="bg1"/>
              </a:bgClr>
            </a:pattFill>
            <a:ln>
              <a:noFill/>
            </a:ln>
            <a:effectLst/>
          </c:spPr>
          <c:invertIfNegative val="0"/>
          <c:cat>
            <c:strRef>
              <c:f>EE!$O$22:$R$22</c:f>
              <c:strCache>
                <c:ptCount val="4"/>
                <c:pt idx="0">
                  <c:v>GLT-h</c:v>
                </c:pt>
                <c:pt idx="1">
                  <c:v>GLT-S</c:v>
                </c:pt>
                <c:pt idx="2">
                  <c:v>LVL-h</c:v>
                </c:pt>
                <c:pt idx="3">
                  <c:v>LVL-s</c:v>
                </c:pt>
              </c:strCache>
            </c:strRef>
          </c:cat>
          <c:val>
            <c:numRef>
              <c:f>EE!$O$23:$R$23</c:f>
              <c:numCache>
                <c:formatCode>0</c:formatCode>
                <c:ptCount val="4"/>
                <c:pt idx="0">
                  <c:v>274380</c:v>
                </c:pt>
                <c:pt idx="1">
                  <c:v>270490</c:v>
                </c:pt>
                <c:pt idx="2">
                  <c:v>154665</c:v>
                </c:pt>
                <c:pt idx="3">
                  <c:v>153860</c:v>
                </c:pt>
              </c:numCache>
            </c:numRef>
          </c:val>
          <c:extLst>
            <c:ext xmlns:c16="http://schemas.microsoft.com/office/drawing/2014/chart" uri="{C3380CC4-5D6E-409C-BE32-E72D297353CC}">
              <c16:uniqueId val="{00000000-7514-4CD4-A24E-07B53C8DDB2A}"/>
            </c:ext>
          </c:extLst>
        </c:ser>
        <c:ser>
          <c:idx val="1"/>
          <c:order val="1"/>
          <c:tx>
            <c:strRef>
              <c:f>EE!$N$24</c:f>
              <c:strCache>
                <c:ptCount val="1"/>
                <c:pt idx="0">
                  <c:v>construction </c:v>
                </c:pt>
              </c:strCache>
            </c:strRef>
          </c:tx>
          <c:spPr>
            <a:pattFill prst="wdUpDiag">
              <a:fgClr>
                <a:schemeClr val="accent2"/>
              </a:fgClr>
              <a:bgClr>
                <a:schemeClr val="bg1"/>
              </a:bgClr>
            </a:pattFill>
            <a:ln>
              <a:noFill/>
            </a:ln>
            <a:effectLst/>
          </c:spPr>
          <c:invertIfNegative val="0"/>
          <c:cat>
            <c:strRef>
              <c:f>EE!$O$22:$R$22</c:f>
              <c:strCache>
                <c:ptCount val="4"/>
                <c:pt idx="0">
                  <c:v>GLT-h</c:v>
                </c:pt>
                <c:pt idx="1">
                  <c:v>GLT-S</c:v>
                </c:pt>
                <c:pt idx="2">
                  <c:v>LVL-h</c:v>
                </c:pt>
                <c:pt idx="3">
                  <c:v>LVL-s</c:v>
                </c:pt>
              </c:strCache>
            </c:strRef>
          </c:cat>
          <c:val>
            <c:numRef>
              <c:f>EE!$O$24:$R$24</c:f>
              <c:numCache>
                <c:formatCode>0</c:formatCode>
                <c:ptCount val="4"/>
                <c:pt idx="0">
                  <c:v>18702</c:v>
                </c:pt>
                <c:pt idx="1">
                  <c:v>18702</c:v>
                </c:pt>
                <c:pt idx="2">
                  <c:v>15540.783783783783</c:v>
                </c:pt>
                <c:pt idx="3">
                  <c:v>15519.027027027027</c:v>
                </c:pt>
              </c:numCache>
            </c:numRef>
          </c:val>
          <c:extLst>
            <c:ext xmlns:c16="http://schemas.microsoft.com/office/drawing/2014/chart" uri="{C3380CC4-5D6E-409C-BE32-E72D297353CC}">
              <c16:uniqueId val="{00000001-7514-4CD4-A24E-07B53C8DDB2A}"/>
            </c:ext>
          </c:extLst>
        </c:ser>
        <c:ser>
          <c:idx val="2"/>
          <c:order val="2"/>
          <c:tx>
            <c:strRef>
              <c:f>EE!$N$25</c:f>
              <c:strCache>
                <c:ptCount val="1"/>
                <c:pt idx="0">
                  <c:v>Use stage</c:v>
                </c:pt>
              </c:strCache>
            </c:strRef>
          </c:tx>
          <c:spPr>
            <a:pattFill prst="dkUpDiag">
              <a:fgClr>
                <a:schemeClr val="accent6">
                  <a:lumMod val="75000"/>
                </a:schemeClr>
              </a:fgClr>
              <a:bgClr>
                <a:schemeClr val="bg1"/>
              </a:bgClr>
            </a:pattFill>
            <a:ln>
              <a:noFill/>
            </a:ln>
            <a:effectLst/>
          </c:spPr>
          <c:invertIfNegative val="0"/>
          <c:cat>
            <c:strRef>
              <c:f>EE!$O$22:$R$22</c:f>
              <c:strCache>
                <c:ptCount val="4"/>
                <c:pt idx="0">
                  <c:v>GLT-h</c:v>
                </c:pt>
                <c:pt idx="1">
                  <c:v>GLT-S</c:v>
                </c:pt>
                <c:pt idx="2">
                  <c:v>LVL-h</c:v>
                </c:pt>
                <c:pt idx="3">
                  <c:v>LVL-s</c:v>
                </c:pt>
              </c:strCache>
            </c:strRef>
          </c:cat>
          <c:val>
            <c:numRef>
              <c:f>EE!$O$25:$R$25</c:f>
              <c:numCache>
                <c:formatCode>0</c:formatCode>
                <c:ptCount val="4"/>
                <c:pt idx="0">
                  <c:v>26526</c:v>
                </c:pt>
                <c:pt idx="1">
                  <c:v>25416</c:v>
                </c:pt>
                <c:pt idx="2">
                  <c:v>15981.90909090909</c:v>
                </c:pt>
                <c:pt idx="3">
                  <c:v>15908.727272727272</c:v>
                </c:pt>
              </c:numCache>
            </c:numRef>
          </c:val>
          <c:extLst>
            <c:ext xmlns:c16="http://schemas.microsoft.com/office/drawing/2014/chart" uri="{C3380CC4-5D6E-409C-BE32-E72D297353CC}">
              <c16:uniqueId val="{00000002-7514-4CD4-A24E-07B53C8DDB2A}"/>
            </c:ext>
          </c:extLst>
        </c:ser>
        <c:ser>
          <c:idx val="3"/>
          <c:order val="3"/>
          <c:tx>
            <c:strRef>
              <c:f>EE!$N$26</c:f>
              <c:strCache>
                <c:ptCount val="1"/>
                <c:pt idx="0">
                  <c:v>End of life </c:v>
                </c:pt>
              </c:strCache>
            </c:strRef>
          </c:tx>
          <c:spPr>
            <a:pattFill prst="lgCheck">
              <a:fgClr>
                <a:schemeClr val="accent4"/>
              </a:fgClr>
              <a:bgClr>
                <a:schemeClr val="bg1"/>
              </a:bgClr>
            </a:pattFill>
            <a:ln>
              <a:noFill/>
            </a:ln>
            <a:effectLst/>
          </c:spPr>
          <c:invertIfNegative val="0"/>
          <c:cat>
            <c:strRef>
              <c:f>EE!$O$22:$R$22</c:f>
              <c:strCache>
                <c:ptCount val="4"/>
                <c:pt idx="0">
                  <c:v>GLT-h</c:v>
                </c:pt>
                <c:pt idx="1">
                  <c:v>GLT-S</c:v>
                </c:pt>
                <c:pt idx="2">
                  <c:v>LVL-h</c:v>
                </c:pt>
                <c:pt idx="3">
                  <c:v>LVL-s</c:v>
                </c:pt>
              </c:strCache>
            </c:strRef>
          </c:cat>
          <c:val>
            <c:numRef>
              <c:f>EE!$O$26:$R$26</c:f>
              <c:numCache>
                <c:formatCode>0</c:formatCode>
                <c:ptCount val="4"/>
                <c:pt idx="0">
                  <c:v>9992</c:v>
                </c:pt>
                <c:pt idx="1">
                  <c:v>9992</c:v>
                </c:pt>
                <c:pt idx="2">
                  <c:v>5893.2857142857147</c:v>
                </c:pt>
                <c:pt idx="3">
                  <c:v>5870.2857142857147</c:v>
                </c:pt>
              </c:numCache>
            </c:numRef>
          </c:val>
          <c:extLst>
            <c:ext xmlns:c16="http://schemas.microsoft.com/office/drawing/2014/chart" uri="{C3380CC4-5D6E-409C-BE32-E72D297353CC}">
              <c16:uniqueId val="{00000003-7514-4CD4-A24E-07B53C8DDB2A}"/>
            </c:ext>
          </c:extLst>
        </c:ser>
        <c:dLbls>
          <c:showLegendKey val="0"/>
          <c:showVal val="0"/>
          <c:showCatName val="0"/>
          <c:showSerName val="0"/>
          <c:showPercent val="0"/>
          <c:showBubbleSize val="0"/>
        </c:dLbls>
        <c:gapWidth val="150"/>
        <c:overlap val="100"/>
        <c:axId val="512095616"/>
        <c:axId val="512098944"/>
      </c:barChart>
      <c:catAx>
        <c:axId val="51209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2098944"/>
        <c:crosses val="autoZero"/>
        <c:auto val="1"/>
        <c:lblAlgn val="ctr"/>
        <c:lblOffset val="100"/>
        <c:noMultiLvlLbl val="0"/>
      </c:catAx>
      <c:valAx>
        <c:axId val="512098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latin typeface="Times New Roman" panose="02020603050405020304" pitchFamily="18" charset="0"/>
                    <a:cs typeface="Times New Roman" panose="02020603050405020304" pitchFamily="18" charset="0"/>
                  </a:rPr>
                  <a:t>MJ</a:t>
                </a:r>
                <a:endParaRPr lang="en-US" sz="700">
                  <a:effectLst/>
                  <a:latin typeface="Times New Roman" panose="02020603050405020304" pitchFamily="18" charset="0"/>
                  <a:cs typeface="Times New Roman" panose="02020603050405020304" pitchFamily="18" charset="0"/>
                </a:endParaRPr>
              </a:p>
            </c:rich>
          </c:tx>
          <c:layout>
            <c:manualLayout>
              <c:xMode val="edge"/>
              <c:yMode val="edge"/>
              <c:x val="5.5555555555555558E-3"/>
              <c:y val="0.467261426287558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2095616"/>
        <c:crosses val="autoZero"/>
        <c:crossBetween val="between"/>
      </c:valAx>
      <c:spPr>
        <a:noFill/>
        <a:ln>
          <a:noFill/>
        </a:ln>
        <a:effectLst/>
      </c:spPr>
    </c:plotArea>
    <c:legend>
      <c:legendPos val="b"/>
      <c:layout>
        <c:manualLayout>
          <c:xMode val="edge"/>
          <c:yMode val="edge"/>
          <c:x val="8.6087926509186355E-2"/>
          <c:y val="0.93595780603325918"/>
          <c:w val="0.86949081364829406"/>
          <c:h val="6.404219396674087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LCC</a:t>
            </a:r>
          </a:p>
        </c:rich>
      </c:tx>
      <c:layout>
        <c:manualLayout>
          <c:xMode val="edge"/>
          <c:yMode val="edge"/>
          <c:x val="0.4422211037271478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600916218083792"/>
          <c:y val="2.5428331875182269E-2"/>
          <c:w val="0.82619462383020092"/>
          <c:h val="0.82324768530677161"/>
        </c:manualLayout>
      </c:layout>
      <c:barChart>
        <c:barDir val="col"/>
        <c:grouping val="stacked"/>
        <c:varyColors val="0"/>
        <c:ser>
          <c:idx val="0"/>
          <c:order val="0"/>
          <c:tx>
            <c:strRef>
              <c:f>'Cost (2)'!$F$25</c:f>
              <c:strCache>
                <c:ptCount val="1"/>
                <c:pt idx="0">
                  <c:v>Production of wood</c:v>
                </c:pt>
              </c:strCache>
            </c:strRef>
          </c:tx>
          <c:spPr>
            <a:pattFill prst="pct90">
              <a:fgClr>
                <a:schemeClr val="accent1"/>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(2)'!$F$26:$F$29</c:f>
              <c:numCache>
                <c:formatCode>General</c:formatCode>
                <c:ptCount val="4"/>
                <c:pt idx="0">
                  <c:v>72880</c:v>
                </c:pt>
                <c:pt idx="1">
                  <c:v>58300</c:v>
                </c:pt>
                <c:pt idx="2">
                  <c:v>43820</c:v>
                </c:pt>
                <c:pt idx="3">
                  <c:v>34910</c:v>
                </c:pt>
              </c:numCache>
            </c:numRef>
          </c:val>
          <c:extLst>
            <c:ext xmlns:c16="http://schemas.microsoft.com/office/drawing/2014/chart" uri="{C3380CC4-5D6E-409C-BE32-E72D297353CC}">
              <c16:uniqueId val="{00000000-82AA-4951-A015-30D2BE6079A1}"/>
            </c:ext>
          </c:extLst>
        </c:ser>
        <c:ser>
          <c:idx val="1"/>
          <c:order val="1"/>
          <c:tx>
            <c:strRef>
              <c:f>'Cost (2)'!$G$25</c:f>
              <c:strCache>
                <c:ptCount val="1"/>
                <c:pt idx="0">
                  <c:v>other materials</c:v>
                </c:pt>
              </c:strCache>
            </c:strRef>
          </c:tx>
          <c:spPr>
            <a:pattFill prst="wdDnDiag">
              <a:fgClr>
                <a:schemeClr val="accent2"/>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(2)'!$G$26:$G$29</c:f>
              <c:numCache>
                <c:formatCode>General</c:formatCode>
                <c:ptCount val="4"/>
                <c:pt idx="0">
                  <c:v>40000</c:v>
                </c:pt>
                <c:pt idx="1">
                  <c:v>40000</c:v>
                </c:pt>
                <c:pt idx="2">
                  <c:v>40000</c:v>
                </c:pt>
                <c:pt idx="3">
                  <c:v>40000</c:v>
                </c:pt>
              </c:numCache>
            </c:numRef>
          </c:val>
          <c:extLst>
            <c:ext xmlns:c16="http://schemas.microsoft.com/office/drawing/2014/chart" uri="{C3380CC4-5D6E-409C-BE32-E72D297353CC}">
              <c16:uniqueId val="{00000001-82AA-4951-A015-30D2BE6079A1}"/>
            </c:ext>
          </c:extLst>
        </c:ser>
        <c:ser>
          <c:idx val="2"/>
          <c:order val="2"/>
          <c:tx>
            <c:strRef>
              <c:f>'Cost (2)'!$H$25</c:f>
              <c:strCache>
                <c:ptCount val="1"/>
                <c:pt idx="0">
                  <c:v>Transport</c:v>
                </c:pt>
              </c:strCache>
            </c:strRef>
          </c:tx>
          <c:spPr>
            <a:pattFill prst="sphere">
              <a:fgClr>
                <a:schemeClr val="accent3"/>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(2)'!$H$26:$H$29</c:f>
              <c:numCache>
                <c:formatCode>General</c:formatCode>
                <c:ptCount val="4"/>
                <c:pt idx="0">
                  <c:v>8100</c:v>
                </c:pt>
                <c:pt idx="1">
                  <c:v>8100</c:v>
                </c:pt>
                <c:pt idx="2">
                  <c:v>28350</c:v>
                </c:pt>
                <c:pt idx="3">
                  <c:v>28350</c:v>
                </c:pt>
              </c:numCache>
            </c:numRef>
          </c:val>
          <c:extLst>
            <c:ext xmlns:c16="http://schemas.microsoft.com/office/drawing/2014/chart" uri="{C3380CC4-5D6E-409C-BE32-E72D297353CC}">
              <c16:uniqueId val="{00000002-82AA-4951-A015-30D2BE6079A1}"/>
            </c:ext>
          </c:extLst>
        </c:ser>
        <c:ser>
          <c:idx val="3"/>
          <c:order val="3"/>
          <c:tx>
            <c:strRef>
              <c:f>'Cost (2)'!$I$25</c:f>
              <c:strCache>
                <c:ptCount val="1"/>
                <c:pt idx="0">
                  <c:v>Wages</c:v>
                </c:pt>
              </c:strCache>
            </c:strRef>
          </c:tx>
          <c:spPr>
            <a:pattFill prst="smCheck">
              <a:fgClr>
                <a:schemeClr val="accent4"/>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(2)'!$I$26:$I$29</c:f>
              <c:numCache>
                <c:formatCode>General</c:formatCode>
                <c:ptCount val="4"/>
                <c:pt idx="0">
                  <c:v>6500</c:v>
                </c:pt>
                <c:pt idx="1">
                  <c:v>6500</c:v>
                </c:pt>
                <c:pt idx="2">
                  <c:v>6400</c:v>
                </c:pt>
                <c:pt idx="3">
                  <c:v>6400</c:v>
                </c:pt>
              </c:numCache>
            </c:numRef>
          </c:val>
          <c:extLst>
            <c:ext xmlns:c16="http://schemas.microsoft.com/office/drawing/2014/chart" uri="{C3380CC4-5D6E-409C-BE32-E72D297353CC}">
              <c16:uniqueId val="{00000003-82AA-4951-A015-30D2BE6079A1}"/>
            </c:ext>
          </c:extLst>
        </c:ser>
        <c:ser>
          <c:idx val="4"/>
          <c:order val="4"/>
          <c:tx>
            <c:strRef>
              <c:f>'Cost (2)'!$J$25</c:f>
              <c:strCache>
                <c:ptCount val="1"/>
                <c:pt idx="0">
                  <c:v>Use stage</c:v>
                </c:pt>
              </c:strCache>
            </c:strRef>
          </c:tx>
          <c:spPr>
            <a:pattFill prst="dkVert">
              <a:fgClr>
                <a:schemeClr val="accent5"/>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(2)'!$J$26:$J$29</c:f>
              <c:numCache>
                <c:formatCode>General</c:formatCode>
                <c:ptCount val="4"/>
                <c:pt idx="0">
                  <c:v>2025</c:v>
                </c:pt>
                <c:pt idx="1">
                  <c:v>2025</c:v>
                </c:pt>
                <c:pt idx="2">
                  <c:v>1620</c:v>
                </c:pt>
                <c:pt idx="3">
                  <c:v>1620</c:v>
                </c:pt>
              </c:numCache>
            </c:numRef>
          </c:val>
          <c:extLst>
            <c:ext xmlns:c16="http://schemas.microsoft.com/office/drawing/2014/chart" uri="{C3380CC4-5D6E-409C-BE32-E72D297353CC}">
              <c16:uniqueId val="{00000004-82AA-4951-A015-30D2BE6079A1}"/>
            </c:ext>
          </c:extLst>
        </c:ser>
        <c:ser>
          <c:idx val="5"/>
          <c:order val="5"/>
          <c:tx>
            <c:strRef>
              <c:f>'Cost (2)'!$K$25</c:f>
              <c:strCache>
                <c:ptCount val="1"/>
                <c:pt idx="0">
                  <c:v>End of life</c:v>
                </c:pt>
              </c:strCache>
            </c:strRef>
          </c:tx>
          <c:spPr>
            <a:pattFill prst="solidDmnd">
              <a:fgClr>
                <a:schemeClr val="accent6"/>
              </a:fgClr>
              <a:bgClr>
                <a:schemeClr val="bg1"/>
              </a:bgClr>
            </a:pattFill>
            <a:ln>
              <a:noFill/>
            </a:ln>
            <a:effectLst/>
          </c:spPr>
          <c:invertIfNegative val="0"/>
          <c:cat>
            <c:strRef>
              <c:f>'Cost (2)'!$E$26:$E$29</c:f>
              <c:strCache>
                <c:ptCount val="4"/>
                <c:pt idx="0">
                  <c:v>GLT-h</c:v>
                </c:pt>
                <c:pt idx="1">
                  <c:v>GLT-S</c:v>
                </c:pt>
                <c:pt idx="2">
                  <c:v>LVL-h</c:v>
                </c:pt>
                <c:pt idx="3">
                  <c:v>LVL-s</c:v>
                </c:pt>
              </c:strCache>
            </c:strRef>
          </c:cat>
          <c:val>
            <c:numRef>
              <c:f>'Cost (2)'!$K$26:$K$29</c:f>
              <c:numCache>
                <c:formatCode>General</c:formatCode>
                <c:ptCount val="4"/>
                <c:pt idx="0">
                  <c:v>-13770</c:v>
                </c:pt>
                <c:pt idx="1">
                  <c:v>-13770</c:v>
                </c:pt>
                <c:pt idx="2">
                  <c:v>-13770</c:v>
                </c:pt>
                <c:pt idx="3">
                  <c:v>-13770</c:v>
                </c:pt>
              </c:numCache>
            </c:numRef>
          </c:val>
          <c:extLst>
            <c:ext xmlns:c16="http://schemas.microsoft.com/office/drawing/2014/chart" uri="{C3380CC4-5D6E-409C-BE32-E72D297353CC}">
              <c16:uniqueId val="{00000005-82AA-4951-A015-30D2BE6079A1}"/>
            </c:ext>
          </c:extLst>
        </c:ser>
        <c:dLbls>
          <c:showLegendKey val="0"/>
          <c:showVal val="0"/>
          <c:showCatName val="0"/>
          <c:showSerName val="0"/>
          <c:showPercent val="0"/>
          <c:showBubbleSize val="0"/>
        </c:dLbls>
        <c:gapWidth val="150"/>
        <c:overlap val="100"/>
        <c:axId val="513524496"/>
        <c:axId val="513526576"/>
      </c:barChart>
      <c:catAx>
        <c:axId val="51352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3526576"/>
        <c:crosses val="autoZero"/>
        <c:auto val="1"/>
        <c:lblAlgn val="ctr"/>
        <c:lblOffset val="100"/>
        <c:noMultiLvlLbl val="0"/>
      </c:catAx>
      <c:valAx>
        <c:axId val="513526576"/>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MYR</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
              <c:y val="0.483898139172870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3524496"/>
        <c:crosses val="autoZero"/>
        <c:crossBetween val="between"/>
      </c:valAx>
      <c:spPr>
        <a:noFill/>
        <a:ln>
          <a:noFill/>
        </a:ln>
        <a:effectLst/>
      </c:spPr>
    </c:plotArea>
    <c:legend>
      <c:legendPos val="b"/>
      <c:layout>
        <c:manualLayout>
          <c:xMode val="edge"/>
          <c:yMode val="edge"/>
          <c:x val="0.12098787759872377"/>
          <c:y val="0.86203616603715905"/>
          <c:w val="0.87503365437933478"/>
          <c:h val="0.137963833962840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LCC</a:t>
            </a:r>
          </a:p>
        </c:rich>
      </c:tx>
      <c:layout>
        <c:manualLayout>
          <c:xMode val="edge"/>
          <c:yMode val="edge"/>
          <c:x val="0.4417539550675431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532622642353192"/>
          <c:y val="1.567608779042098E-2"/>
          <c:w val="0.84467377357646811"/>
          <c:h val="0.89372036500288887"/>
        </c:manualLayout>
      </c:layout>
      <c:barChart>
        <c:barDir val="col"/>
        <c:grouping val="stack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0-6E43-4BAF-9B34-03D5058AD002}"/>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1-6E43-4BAF-9B34-03D5058AD002}"/>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2-6E43-4BAF-9B34-03D5058AD002}"/>
              </c:ext>
            </c:extLst>
          </c:dPt>
          <c:cat>
            <c:strRef>
              <c:f>'Cost (2)'!$E$31:$E$34</c:f>
              <c:strCache>
                <c:ptCount val="4"/>
                <c:pt idx="0">
                  <c:v>GLT-h</c:v>
                </c:pt>
                <c:pt idx="1">
                  <c:v>GLT-S</c:v>
                </c:pt>
                <c:pt idx="2">
                  <c:v>LVL-h</c:v>
                </c:pt>
                <c:pt idx="3">
                  <c:v>LVL-s</c:v>
                </c:pt>
              </c:strCache>
            </c:strRef>
          </c:cat>
          <c:val>
            <c:numRef>
              <c:f>'Cost (2)'!$F$31:$F$34</c:f>
              <c:numCache>
                <c:formatCode>General</c:formatCode>
                <c:ptCount val="4"/>
                <c:pt idx="0">
                  <c:v>115735</c:v>
                </c:pt>
                <c:pt idx="1">
                  <c:v>101155</c:v>
                </c:pt>
                <c:pt idx="2">
                  <c:v>106420</c:v>
                </c:pt>
                <c:pt idx="3">
                  <c:v>97510</c:v>
                </c:pt>
              </c:numCache>
            </c:numRef>
          </c:val>
          <c:extLst>
            <c:ext xmlns:c16="http://schemas.microsoft.com/office/drawing/2014/chart" uri="{C3380CC4-5D6E-409C-BE32-E72D297353CC}">
              <c16:uniqueId val="{00000000-4569-47DB-9B40-F1C838533D71}"/>
            </c:ext>
          </c:extLst>
        </c:ser>
        <c:dLbls>
          <c:showLegendKey val="0"/>
          <c:showVal val="0"/>
          <c:showCatName val="0"/>
          <c:showSerName val="0"/>
          <c:showPercent val="0"/>
          <c:showBubbleSize val="0"/>
        </c:dLbls>
        <c:gapWidth val="150"/>
        <c:overlap val="100"/>
        <c:axId val="513542800"/>
        <c:axId val="513543216"/>
      </c:barChart>
      <c:catAx>
        <c:axId val="51354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3543216"/>
        <c:crosses val="autoZero"/>
        <c:auto val="1"/>
        <c:lblAlgn val="ctr"/>
        <c:lblOffset val="100"/>
        <c:noMultiLvlLbl val="0"/>
      </c:catAx>
      <c:valAx>
        <c:axId val="5135432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MYR</a:t>
                </a:r>
                <a:endParaRPr lang="en-US" sz="900" b="0">
                  <a:effectLst/>
                  <a:latin typeface="Times New Roman" panose="02020603050405020304" pitchFamily="18" charset="0"/>
                  <a:cs typeface="Times New Roman" panose="02020603050405020304" pitchFamily="18" charset="0"/>
                </a:endParaRPr>
              </a:p>
            </c:rich>
          </c:tx>
          <c:layout>
            <c:manualLayout>
              <c:xMode val="edge"/>
              <c:yMode val="edge"/>
              <c:x val="0"/>
              <c:y val="0.4772621281648465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3542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Human carcinogenic toxicity </a:t>
            </a:r>
            <a:r>
              <a:rPr lang="en-US" sz="900" b="0" i="0" u="none" strike="noStrike" baseline="0">
                <a:effectLst/>
              </a:rPr>
              <a:t>(HCT)</a:t>
            </a:r>
            <a:r>
              <a:rPr lang="en-US" sz="900">
                <a:latin typeface="Times New Roman" panose="02020603050405020304" pitchFamily="18" charset="0"/>
                <a:cs typeface="Times New Roman" panose="02020603050405020304" pitchFamily="18" charset="0"/>
              </a:rPr>
              <a:t> </a:t>
            </a:r>
          </a:p>
        </c:rich>
      </c:tx>
      <c:layout>
        <c:manualLayout>
          <c:xMode val="edge"/>
          <c:yMode val="edge"/>
          <c:x val="0.260419959688840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218671469257831"/>
          <c:y val="2.7923333426738028E-2"/>
          <c:w val="0.83781328530742172"/>
          <c:h val="0.8720722632090917"/>
        </c:manualLayout>
      </c:layout>
      <c:barChart>
        <c:barDir val="col"/>
        <c:grouping val="clustered"/>
        <c:varyColors val="0"/>
        <c:ser>
          <c:idx val="0"/>
          <c:order val="0"/>
          <c:tx>
            <c:strRef>
              <c:f>HT!$D$14</c:f>
              <c:strCache>
                <c:ptCount val="1"/>
                <c:pt idx="0">
                  <c:v>GLT-h</c:v>
                </c:pt>
              </c:strCache>
            </c:strRef>
          </c:tx>
          <c:spPr>
            <a:solidFill>
              <a:schemeClr val="accent1"/>
            </a:solidFill>
            <a:ln>
              <a:noFill/>
            </a:ln>
            <a:effectLst/>
          </c:spPr>
          <c:invertIfNegative val="0"/>
          <c:val>
            <c:numRef>
              <c:f>HT!$E$14</c:f>
              <c:numCache>
                <c:formatCode>General</c:formatCode>
                <c:ptCount val="1"/>
                <c:pt idx="0">
                  <c:v>1807</c:v>
                </c:pt>
              </c:numCache>
            </c:numRef>
          </c:val>
          <c:extLst>
            <c:ext xmlns:c16="http://schemas.microsoft.com/office/drawing/2014/chart" uri="{C3380CC4-5D6E-409C-BE32-E72D297353CC}">
              <c16:uniqueId val="{00000000-16D9-49E2-9356-EE72877B29A6}"/>
            </c:ext>
          </c:extLst>
        </c:ser>
        <c:ser>
          <c:idx val="1"/>
          <c:order val="1"/>
          <c:tx>
            <c:strRef>
              <c:f>HT!$D$15</c:f>
              <c:strCache>
                <c:ptCount val="1"/>
                <c:pt idx="0">
                  <c:v>GLT-S</c:v>
                </c:pt>
              </c:strCache>
            </c:strRef>
          </c:tx>
          <c:spPr>
            <a:solidFill>
              <a:schemeClr val="accent2"/>
            </a:solidFill>
            <a:ln>
              <a:noFill/>
            </a:ln>
            <a:effectLst/>
          </c:spPr>
          <c:invertIfNegative val="0"/>
          <c:val>
            <c:numRef>
              <c:f>HT!$E$15</c:f>
              <c:numCache>
                <c:formatCode>General</c:formatCode>
                <c:ptCount val="1"/>
                <c:pt idx="0">
                  <c:v>1711</c:v>
                </c:pt>
              </c:numCache>
            </c:numRef>
          </c:val>
          <c:extLst>
            <c:ext xmlns:c16="http://schemas.microsoft.com/office/drawing/2014/chart" uri="{C3380CC4-5D6E-409C-BE32-E72D297353CC}">
              <c16:uniqueId val="{00000001-16D9-49E2-9356-EE72877B29A6}"/>
            </c:ext>
          </c:extLst>
        </c:ser>
        <c:ser>
          <c:idx val="2"/>
          <c:order val="2"/>
          <c:tx>
            <c:strRef>
              <c:f>HT!$D$16</c:f>
              <c:strCache>
                <c:ptCount val="1"/>
                <c:pt idx="0">
                  <c:v>LVL-h</c:v>
                </c:pt>
              </c:strCache>
            </c:strRef>
          </c:tx>
          <c:spPr>
            <a:solidFill>
              <a:schemeClr val="accent3"/>
            </a:solidFill>
            <a:ln>
              <a:noFill/>
            </a:ln>
            <a:effectLst/>
          </c:spPr>
          <c:invertIfNegative val="0"/>
          <c:val>
            <c:numRef>
              <c:f>HT!$E$16</c:f>
              <c:numCache>
                <c:formatCode>General</c:formatCode>
                <c:ptCount val="1"/>
                <c:pt idx="0">
                  <c:v>2118.478260869565</c:v>
                </c:pt>
              </c:numCache>
            </c:numRef>
          </c:val>
          <c:extLst>
            <c:ext xmlns:c16="http://schemas.microsoft.com/office/drawing/2014/chart" uri="{C3380CC4-5D6E-409C-BE32-E72D297353CC}">
              <c16:uniqueId val="{00000002-16D9-49E2-9356-EE72877B29A6}"/>
            </c:ext>
          </c:extLst>
        </c:ser>
        <c:ser>
          <c:idx val="3"/>
          <c:order val="3"/>
          <c:tx>
            <c:strRef>
              <c:f>HT!$D$17</c:f>
              <c:strCache>
                <c:ptCount val="1"/>
                <c:pt idx="0">
                  <c:v>LVL-s</c:v>
                </c:pt>
              </c:strCache>
            </c:strRef>
          </c:tx>
          <c:spPr>
            <a:solidFill>
              <a:schemeClr val="accent4"/>
            </a:solidFill>
            <a:ln>
              <a:noFill/>
            </a:ln>
            <a:effectLst/>
          </c:spPr>
          <c:invertIfNegative val="0"/>
          <c:val>
            <c:numRef>
              <c:f>HT!$E$17</c:f>
              <c:numCache>
                <c:formatCode>General</c:formatCode>
                <c:ptCount val="1"/>
                <c:pt idx="0">
                  <c:v>1984.4202898550723</c:v>
                </c:pt>
              </c:numCache>
            </c:numRef>
          </c:val>
          <c:extLst>
            <c:ext xmlns:c16="http://schemas.microsoft.com/office/drawing/2014/chart" uri="{C3380CC4-5D6E-409C-BE32-E72D297353CC}">
              <c16:uniqueId val="{00000003-16D9-49E2-9356-EE72877B29A6}"/>
            </c:ext>
          </c:extLst>
        </c:ser>
        <c:dLbls>
          <c:showLegendKey val="0"/>
          <c:showVal val="0"/>
          <c:showCatName val="0"/>
          <c:showSerName val="0"/>
          <c:showPercent val="0"/>
          <c:showBubbleSize val="0"/>
        </c:dLbls>
        <c:gapWidth val="219"/>
        <c:overlap val="-27"/>
        <c:axId val="354580544"/>
        <c:axId val="354573056"/>
      </c:barChart>
      <c:catAx>
        <c:axId val="354580544"/>
        <c:scaling>
          <c:orientation val="minMax"/>
        </c:scaling>
        <c:delete val="1"/>
        <c:axPos val="b"/>
        <c:numFmt formatCode="General" sourceLinked="1"/>
        <c:majorTickMark val="none"/>
        <c:minorTickMark val="none"/>
        <c:tickLblPos val="nextTo"/>
        <c:crossAx val="354573056"/>
        <c:crosses val="autoZero"/>
        <c:auto val="1"/>
        <c:lblAlgn val="ctr"/>
        <c:lblOffset val="100"/>
        <c:noMultiLvlLbl val="0"/>
      </c:catAx>
      <c:valAx>
        <c:axId val="35457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b="0" i="0" baseline="0">
                    <a:effectLst/>
                    <a:latin typeface="Times New Roman" panose="02020603050405020304" pitchFamily="18" charset="0"/>
                    <a:cs typeface="Times New Roman" panose="02020603050405020304" pitchFamily="18" charset="0"/>
                  </a:rPr>
                  <a:t>Kg 1,4 DCB </a:t>
                </a:r>
                <a:endParaRPr lang="en-US" sz="100">
                  <a:effectLst/>
                  <a:latin typeface="Times New Roman" panose="02020603050405020304" pitchFamily="18" charset="0"/>
                  <a:cs typeface="Times New Roman" panose="02020603050405020304" pitchFamily="18" charset="0"/>
                </a:endParaRPr>
              </a:p>
            </c:rich>
          </c:tx>
          <c:layout>
            <c:manualLayout>
              <c:xMode val="edge"/>
              <c:yMode val="edge"/>
              <c:x val="0"/>
              <c:y val="0.331291528095236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4580544"/>
        <c:crosses val="autoZero"/>
        <c:crossBetween val="between"/>
      </c:valAx>
      <c:spPr>
        <a:noFill/>
        <a:ln>
          <a:noFill/>
        </a:ln>
        <a:effectLst/>
      </c:spPr>
    </c:plotArea>
    <c:legend>
      <c:legendPos val="b"/>
      <c:layout>
        <c:manualLayout>
          <c:xMode val="edge"/>
          <c:yMode val="edge"/>
          <c:x val="2.1276595744680851E-2"/>
          <c:y val="0.91322682111169906"/>
          <c:w val="0.97413799719685767"/>
          <c:h val="8.5791144434347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effectLst/>
                <a:latin typeface="Times New Roman" panose="02020603050405020304" pitchFamily="18" charset="0"/>
                <a:cs typeface="Times New Roman" panose="02020603050405020304" pitchFamily="18" charset="0"/>
              </a:rPr>
              <a:t>Fossil Depletion </a:t>
            </a:r>
            <a:r>
              <a:rPr lang="en-US" sz="900" b="0" i="0" u="none" strike="noStrike" baseline="0">
                <a:effectLst/>
                <a:latin typeface="Times New Roman" panose="02020603050405020304" pitchFamily="18" charset="0"/>
                <a:cs typeface="Times New Roman" panose="02020603050405020304" pitchFamily="18" charset="0"/>
              </a:rPr>
              <a:t>(FDP)</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3274906034532827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57664512167802"/>
          <c:y val="2.7271696549351392E-2"/>
          <c:w val="0.8148967417007541"/>
          <c:h val="0.87499578177727777"/>
        </c:manualLayout>
      </c:layout>
      <c:barChart>
        <c:barDir val="col"/>
        <c:grouping val="clustered"/>
        <c:varyColors val="0"/>
        <c:ser>
          <c:idx val="0"/>
          <c:order val="0"/>
          <c:tx>
            <c:strRef>
              <c:f>FD!$B$18</c:f>
              <c:strCache>
                <c:ptCount val="1"/>
                <c:pt idx="0">
                  <c:v>GLT-h</c:v>
                </c:pt>
              </c:strCache>
            </c:strRef>
          </c:tx>
          <c:spPr>
            <a:solidFill>
              <a:schemeClr val="accent1"/>
            </a:solidFill>
            <a:ln>
              <a:noFill/>
            </a:ln>
            <a:effectLst/>
          </c:spPr>
          <c:invertIfNegative val="0"/>
          <c:val>
            <c:numRef>
              <c:f>FD!$C$18</c:f>
              <c:numCache>
                <c:formatCode>General</c:formatCode>
                <c:ptCount val="1"/>
                <c:pt idx="0">
                  <c:v>15414.814814814814</c:v>
                </c:pt>
              </c:numCache>
            </c:numRef>
          </c:val>
          <c:extLst>
            <c:ext xmlns:c16="http://schemas.microsoft.com/office/drawing/2014/chart" uri="{C3380CC4-5D6E-409C-BE32-E72D297353CC}">
              <c16:uniqueId val="{00000000-82DC-4894-A332-AB160C41D6A9}"/>
            </c:ext>
          </c:extLst>
        </c:ser>
        <c:ser>
          <c:idx val="1"/>
          <c:order val="1"/>
          <c:tx>
            <c:strRef>
              <c:f>FD!$B$19</c:f>
              <c:strCache>
                <c:ptCount val="1"/>
                <c:pt idx="0">
                  <c:v>GLT-S</c:v>
                </c:pt>
              </c:strCache>
            </c:strRef>
          </c:tx>
          <c:spPr>
            <a:solidFill>
              <a:schemeClr val="accent2"/>
            </a:solidFill>
            <a:ln>
              <a:noFill/>
            </a:ln>
            <a:effectLst/>
          </c:spPr>
          <c:invertIfNegative val="0"/>
          <c:val>
            <c:numRef>
              <c:f>FD!$C$19</c:f>
              <c:numCache>
                <c:formatCode>General</c:formatCode>
                <c:ptCount val="1"/>
                <c:pt idx="0">
                  <c:v>14429.62962962963</c:v>
                </c:pt>
              </c:numCache>
            </c:numRef>
          </c:val>
          <c:extLst>
            <c:ext xmlns:c16="http://schemas.microsoft.com/office/drawing/2014/chart" uri="{C3380CC4-5D6E-409C-BE32-E72D297353CC}">
              <c16:uniqueId val="{00000001-82DC-4894-A332-AB160C41D6A9}"/>
            </c:ext>
          </c:extLst>
        </c:ser>
        <c:ser>
          <c:idx val="2"/>
          <c:order val="2"/>
          <c:tx>
            <c:strRef>
              <c:f>FD!$B$20</c:f>
              <c:strCache>
                <c:ptCount val="1"/>
                <c:pt idx="0">
                  <c:v>LVL-h</c:v>
                </c:pt>
              </c:strCache>
            </c:strRef>
          </c:tx>
          <c:spPr>
            <a:solidFill>
              <a:schemeClr val="accent3"/>
            </a:solidFill>
            <a:ln>
              <a:noFill/>
            </a:ln>
            <a:effectLst/>
          </c:spPr>
          <c:invertIfNegative val="0"/>
          <c:val>
            <c:numRef>
              <c:f>FD!$C$20</c:f>
              <c:numCache>
                <c:formatCode>General</c:formatCode>
                <c:ptCount val="1"/>
                <c:pt idx="0">
                  <c:v>21655.555555555555</c:v>
                </c:pt>
              </c:numCache>
            </c:numRef>
          </c:val>
          <c:extLst>
            <c:ext xmlns:c16="http://schemas.microsoft.com/office/drawing/2014/chart" uri="{C3380CC4-5D6E-409C-BE32-E72D297353CC}">
              <c16:uniqueId val="{00000002-82DC-4894-A332-AB160C41D6A9}"/>
            </c:ext>
          </c:extLst>
        </c:ser>
        <c:ser>
          <c:idx val="3"/>
          <c:order val="3"/>
          <c:tx>
            <c:strRef>
              <c:f>FD!$B$21</c:f>
              <c:strCache>
                <c:ptCount val="1"/>
                <c:pt idx="0">
                  <c:v>LVL-s</c:v>
                </c:pt>
              </c:strCache>
            </c:strRef>
          </c:tx>
          <c:spPr>
            <a:solidFill>
              <a:schemeClr val="accent4"/>
            </a:solidFill>
            <a:ln>
              <a:noFill/>
            </a:ln>
            <a:effectLst/>
          </c:spPr>
          <c:invertIfNegative val="0"/>
          <c:val>
            <c:numRef>
              <c:f>FD!$C$21</c:f>
              <c:numCache>
                <c:formatCode>General</c:formatCode>
                <c:ptCount val="1"/>
                <c:pt idx="0">
                  <c:v>20285.185185185182</c:v>
                </c:pt>
              </c:numCache>
            </c:numRef>
          </c:val>
          <c:extLst>
            <c:ext xmlns:c16="http://schemas.microsoft.com/office/drawing/2014/chart" uri="{C3380CC4-5D6E-409C-BE32-E72D297353CC}">
              <c16:uniqueId val="{00000003-82DC-4894-A332-AB160C41D6A9}"/>
            </c:ext>
          </c:extLst>
        </c:ser>
        <c:dLbls>
          <c:showLegendKey val="0"/>
          <c:showVal val="0"/>
          <c:showCatName val="0"/>
          <c:showSerName val="0"/>
          <c:showPercent val="0"/>
          <c:showBubbleSize val="0"/>
        </c:dLbls>
        <c:gapWidth val="219"/>
        <c:overlap val="-27"/>
        <c:axId val="342241856"/>
        <c:axId val="342235200"/>
      </c:barChart>
      <c:catAx>
        <c:axId val="342241856"/>
        <c:scaling>
          <c:orientation val="minMax"/>
        </c:scaling>
        <c:delete val="1"/>
        <c:axPos val="b"/>
        <c:numFmt formatCode="General" sourceLinked="1"/>
        <c:majorTickMark val="none"/>
        <c:minorTickMark val="none"/>
        <c:tickLblPos val="nextTo"/>
        <c:crossAx val="342235200"/>
        <c:crosses val="autoZero"/>
        <c:auto val="1"/>
        <c:lblAlgn val="ctr"/>
        <c:lblOffset val="100"/>
        <c:noMultiLvlLbl val="0"/>
      </c:catAx>
      <c:valAx>
        <c:axId val="342235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Kg oil eq</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2241856"/>
        <c:crosses val="autoZero"/>
        <c:crossBetween val="between"/>
      </c:valAx>
      <c:spPr>
        <a:noFill/>
        <a:ln>
          <a:noFill/>
        </a:ln>
        <a:effectLst/>
      </c:spPr>
    </c:plotArea>
    <c:legend>
      <c:legendPos val="b"/>
      <c:layout>
        <c:manualLayout>
          <c:xMode val="edge"/>
          <c:yMode val="edge"/>
          <c:x val="0.16587151698288635"/>
          <c:y val="0.90624934383202105"/>
          <c:w val="0.83158650216141339"/>
          <c:h val="9.37506561679790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solidFill>
                  <a:sysClr val="windowText" lastClr="000000"/>
                </a:solidFill>
                <a:latin typeface="Times New Roman" panose="02020603050405020304" pitchFamily="18" charset="0"/>
                <a:cs typeface="Times New Roman" panose="02020603050405020304" pitchFamily="18" charset="0"/>
              </a:rPr>
              <a:t>Ozone Layer </a:t>
            </a:r>
            <a:r>
              <a:rPr lang="en-US" sz="900" baseline="0">
                <a:solidFill>
                  <a:sysClr val="windowText" lastClr="000000"/>
                </a:solidFill>
                <a:latin typeface="Times New Roman" panose="02020603050405020304" pitchFamily="18" charset="0"/>
                <a:cs typeface="Times New Roman" panose="02020603050405020304" pitchFamily="18" charset="0"/>
              </a:rPr>
              <a:t>Depletion </a:t>
            </a:r>
            <a:r>
              <a:rPr lang="en-US" sz="900" b="0" i="0" u="none" strike="noStrike" baseline="0">
                <a:solidFill>
                  <a:sysClr val="windowText" lastClr="000000"/>
                </a:solidFill>
                <a:effectLst/>
                <a:latin typeface="Times New Roman" panose="02020603050405020304" pitchFamily="18" charset="0"/>
                <a:cs typeface="Times New Roman" panose="02020603050405020304" pitchFamily="18" charset="0"/>
              </a:rPr>
              <a:t>(OLD)</a:t>
            </a:r>
            <a:endParaRPr lang="en-US"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241712707182320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897391279128781"/>
          <c:y val="2.7271696549351392E-2"/>
          <c:w val="0.7903815199895593"/>
          <c:h val="0.86701829585314372"/>
        </c:manualLayout>
      </c:layout>
      <c:barChart>
        <c:barDir val="col"/>
        <c:grouping val="clustered"/>
        <c:varyColors val="0"/>
        <c:ser>
          <c:idx val="0"/>
          <c:order val="0"/>
          <c:tx>
            <c:strRef>
              <c:f>OD!$C$5</c:f>
              <c:strCache>
                <c:ptCount val="1"/>
                <c:pt idx="0">
                  <c:v>GLT-h</c:v>
                </c:pt>
              </c:strCache>
            </c:strRef>
          </c:tx>
          <c:spPr>
            <a:solidFill>
              <a:schemeClr val="accent1"/>
            </a:solidFill>
            <a:ln>
              <a:noFill/>
            </a:ln>
            <a:effectLst/>
          </c:spPr>
          <c:invertIfNegative val="0"/>
          <c:val>
            <c:numRef>
              <c:f>OD!$D$5</c:f>
              <c:numCache>
                <c:formatCode>General</c:formatCode>
                <c:ptCount val="1"/>
                <c:pt idx="0">
                  <c:v>204.44055944055944</c:v>
                </c:pt>
              </c:numCache>
            </c:numRef>
          </c:val>
          <c:extLst>
            <c:ext xmlns:c16="http://schemas.microsoft.com/office/drawing/2014/chart" uri="{C3380CC4-5D6E-409C-BE32-E72D297353CC}">
              <c16:uniqueId val="{00000000-32A3-4C7A-9E79-B2B25ED53A1B}"/>
            </c:ext>
          </c:extLst>
        </c:ser>
        <c:ser>
          <c:idx val="1"/>
          <c:order val="1"/>
          <c:tx>
            <c:strRef>
              <c:f>OD!$C$6</c:f>
              <c:strCache>
                <c:ptCount val="1"/>
                <c:pt idx="0">
                  <c:v>GLT-S</c:v>
                </c:pt>
              </c:strCache>
            </c:strRef>
          </c:tx>
          <c:spPr>
            <a:solidFill>
              <a:schemeClr val="accent2"/>
            </a:solidFill>
            <a:ln>
              <a:noFill/>
            </a:ln>
            <a:effectLst/>
          </c:spPr>
          <c:invertIfNegative val="0"/>
          <c:val>
            <c:numRef>
              <c:f>OD!$D$6</c:f>
              <c:numCache>
                <c:formatCode>General</c:formatCode>
                <c:ptCount val="1"/>
                <c:pt idx="0">
                  <c:v>191.50349650349651</c:v>
                </c:pt>
              </c:numCache>
            </c:numRef>
          </c:val>
          <c:extLst>
            <c:ext xmlns:c16="http://schemas.microsoft.com/office/drawing/2014/chart" uri="{C3380CC4-5D6E-409C-BE32-E72D297353CC}">
              <c16:uniqueId val="{00000001-32A3-4C7A-9E79-B2B25ED53A1B}"/>
            </c:ext>
          </c:extLst>
        </c:ser>
        <c:ser>
          <c:idx val="2"/>
          <c:order val="2"/>
          <c:tx>
            <c:strRef>
              <c:f>OD!$C$7</c:f>
              <c:strCache>
                <c:ptCount val="1"/>
                <c:pt idx="0">
                  <c:v>LVL-h</c:v>
                </c:pt>
              </c:strCache>
            </c:strRef>
          </c:tx>
          <c:spPr>
            <a:solidFill>
              <a:schemeClr val="accent3"/>
            </a:solidFill>
            <a:ln>
              <a:noFill/>
            </a:ln>
            <a:effectLst/>
          </c:spPr>
          <c:invertIfNegative val="0"/>
          <c:val>
            <c:numRef>
              <c:f>OD!$D$7</c:f>
              <c:numCache>
                <c:formatCode>General</c:formatCode>
                <c:ptCount val="1"/>
                <c:pt idx="0">
                  <c:v>130.0625</c:v>
                </c:pt>
              </c:numCache>
            </c:numRef>
          </c:val>
          <c:extLst>
            <c:ext xmlns:c16="http://schemas.microsoft.com/office/drawing/2014/chart" uri="{C3380CC4-5D6E-409C-BE32-E72D297353CC}">
              <c16:uniqueId val="{00000002-32A3-4C7A-9E79-B2B25ED53A1B}"/>
            </c:ext>
          </c:extLst>
        </c:ser>
        <c:ser>
          <c:idx val="3"/>
          <c:order val="3"/>
          <c:tx>
            <c:strRef>
              <c:f>OD!$C$8</c:f>
              <c:strCache>
                <c:ptCount val="1"/>
                <c:pt idx="0">
                  <c:v>LVL-s</c:v>
                </c:pt>
              </c:strCache>
            </c:strRef>
          </c:tx>
          <c:spPr>
            <a:solidFill>
              <a:schemeClr val="accent4"/>
            </a:solidFill>
            <a:ln>
              <a:noFill/>
            </a:ln>
            <a:effectLst/>
          </c:spPr>
          <c:invertIfNegative val="0"/>
          <c:val>
            <c:numRef>
              <c:f>OD!$D$8</c:f>
              <c:numCache>
                <c:formatCode>General</c:formatCode>
                <c:ptCount val="1"/>
                <c:pt idx="0">
                  <c:v>121.75</c:v>
                </c:pt>
              </c:numCache>
            </c:numRef>
          </c:val>
          <c:extLst>
            <c:ext xmlns:c16="http://schemas.microsoft.com/office/drawing/2014/chart" uri="{C3380CC4-5D6E-409C-BE32-E72D297353CC}">
              <c16:uniqueId val="{00000003-32A3-4C7A-9E79-B2B25ED53A1B}"/>
            </c:ext>
          </c:extLst>
        </c:ser>
        <c:dLbls>
          <c:showLegendKey val="0"/>
          <c:showVal val="0"/>
          <c:showCatName val="0"/>
          <c:showSerName val="0"/>
          <c:showPercent val="0"/>
          <c:showBubbleSize val="0"/>
        </c:dLbls>
        <c:gapWidth val="219"/>
        <c:overlap val="-27"/>
        <c:axId val="339212720"/>
        <c:axId val="339214800"/>
      </c:barChart>
      <c:catAx>
        <c:axId val="339212720"/>
        <c:scaling>
          <c:orientation val="minMax"/>
        </c:scaling>
        <c:delete val="1"/>
        <c:axPos val="b"/>
        <c:numFmt formatCode="General" sourceLinked="1"/>
        <c:majorTickMark val="none"/>
        <c:minorTickMark val="none"/>
        <c:tickLblPos val="nextTo"/>
        <c:crossAx val="339214800"/>
        <c:crosses val="autoZero"/>
        <c:auto val="1"/>
        <c:lblAlgn val="ctr"/>
        <c:lblOffset val="100"/>
        <c:noMultiLvlLbl val="0"/>
      </c:catAx>
      <c:valAx>
        <c:axId val="33921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Kg CFC11</a:t>
                </a:r>
                <a:r>
                  <a:rPr lang="en-US" sz="800" baseline="0">
                    <a:latin typeface="Times New Roman" panose="02020603050405020304" pitchFamily="18" charset="0"/>
                    <a:cs typeface="Times New Roman" panose="02020603050405020304" pitchFamily="18" charset="0"/>
                  </a:rPr>
                  <a:t> eq</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39212720"/>
        <c:crosses val="autoZero"/>
        <c:crossBetween val="between"/>
        <c:majorUnit val="25"/>
      </c:valAx>
      <c:spPr>
        <a:noFill/>
        <a:ln>
          <a:noFill/>
        </a:ln>
        <a:effectLst/>
      </c:spPr>
    </c:plotArea>
    <c:legend>
      <c:legendPos val="b"/>
      <c:layout>
        <c:manualLayout>
          <c:xMode val="edge"/>
          <c:yMode val="edge"/>
          <c:x val="3.7573315146630294E-2"/>
          <c:y val="0.91032138311662347"/>
          <c:w val="0.92024876379402853"/>
          <c:h val="8.378906708160983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u="none" strike="noStrike" baseline="0">
                <a:effectLst/>
                <a:latin typeface="Times New Roman" panose="02020603050405020304" pitchFamily="18" charset="0"/>
                <a:cs typeface="Times New Roman" panose="02020603050405020304" pitchFamily="18" charset="0"/>
              </a:rPr>
              <a:t>Terrestrial</a:t>
            </a:r>
            <a:r>
              <a:rPr lang="en-US" sz="1400" b="0" i="0" u="none" strike="noStrike" baseline="0">
                <a:effectLst/>
              </a:rPr>
              <a:t> </a:t>
            </a:r>
            <a:r>
              <a:rPr lang="en-US" sz="900" b="0" i="0" u="none" strike="noStrike" baseline="0">
                <a:effectLst/>
                <a:latin typeface="Times New Roman" panose="02020603050405020304" pitchFamily="18" charset="0"/>
                <a:cs typeface="Times New Roman" panose="02020603050405020304" pitchFamily="18" charset="0"/>
              </a:rPr>
              <a:t>Acidification (TA)</a:t>
            </a:r>
            <a:endParaRPr lang="en-US" sz="900">
              <a:latin typeface="Times New Roman" panose="02020603050405020304" pitchFamily="18" charset="0"/>
              <a:cs typeface="Times New Roman" panose="02020603050405020304" pitchFamily="18" charset="0"/>
            </a:endParaRPr>
          </a:p>
        </c:rich>
      </c:tx>
      <c:layout>
        <c:manualLayout>
          <c:xMode val="edge"/>
          <c:yMode val="edge"/>
          <c:x val="0.2801279122887163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380905511811023"/>
          <c:y val="3.134105383759983E-2"/>
          <c:w val="0.82705462598425195"/>
          <c:h val="0.83358980983297193"/>
        </c:manualLayout>
      </c:layout>
      <c:barChart>
        <c:barDir val="col"/>
        <c:grouping val="clustered"/>
        <c:varyColors val="0"/>
        <c:ser>
          <c:idx val="0"/>
          <c:order val="0"/>
          <c:tx>
            <c:strRef>
              <c:f>TE!$D$6</c:f>
              <c:strCache>
                <c:ptCount val="1"/>
                <c:pt idx="0">
                  <c:v>GLT-h</c:v>
                </c:pt>
              </c:strCache>
            </c:strRef>
          </c:tx>
          <c:spPr>
            <a:solidFill>
              <a:schemeClr val="accent1"/>
            </a:solidFill>
            <a:ln>
              <a:noFill/>
            </a:ln>
            <a:effectLst/>
          </c:spPr>
          <c:invertIfNegative val="0"/>
          <c:val>
            <c:numRef>
              <c:f>TE!$E$6</c:f>
              <c:numCache>
                <c:formatCode>General</c:formatCode>
                <c:ptCount val="1"/>
                <c:pt idx="0">
                  <c:v>281.10576923076923</c:v>
                </c:pt>
              </c:numCache>
            </c:numRef>
          </c:val>
          <c:extLst>
            <c:ext xmlns:c16="http://schemas.microsoft.com/office/drawing/2014/chart" uri="{C3380CC4-5D6E-409C-BE32-E72D297353CC}">
              <c16:uniqueId val="{00000000-EF82-4A88-9C05-ADB75580C0A7}"/>
            </c:ext>
          </c:extLst>
        </c:ser>
        <c:ser>
          <c:idx val="1"/>
          <c:order val="1"/>
          <c:tx>
            <c:strRef>
              <c:f>TE!$D$7</c:f>
              <c:strCache>
                <c:ptCount val="1"/>
                <c:pt idx="0">
                  <c:v>GLT-S</c:v>
                </c:pt>
              </c:strCache>
            </c:strRef>
          </c:tx>
          <c:spPr>
            <a:solidFill>
              <a:schemeClr val="accent2"/>
            </a:solidFill>
            <a:ln>
              <a:noFill/>
            </a:ln>
            <a:effectLst/>
          </c:spPr>
          <c:invertIfNegative val="0"/>
          <c:val>
            <c:numRef>
              <c:f>TE!$E$7</c:f>
              <c:numCache>
                <c:formatCode>General</c:formatCode>
                <c:ptCount val="1"/>
                <c:pt idx="0">
                  <c:v>263.31730769230768</c:v>
                </c:pt>
              </c:numCache>
            </c:numRef>
          </c:val>
          <c:extLst>
            <c:ext xmlns:c16="http://schemas.microsoft.com/office/drawing/2014/chart" uri="{C3380CC4-5D6E-409C-BE32-E72D297353CC}">
              <c16:uniqueId val="{00000001-EF82-4A88-9C05-ADB75580C0A7}"/>
            </c:ext>
          </c:extLst>
        </c:ser>
        <c:ser>
          <c:idx val="2"/>
          <c:order val="2"/>
          <c:tx>
            <c:strRef>
              <c:f>TE!$D$8</c:f>
              <c:strCache>
                <c:ptCount val="1"/>
                <c:pt idx="0">
                  <c:v>LVL-h</c:v>
                </c:pt>
              </c:strCache>
            </c:strRef>
          </c:tx>
          <c:spPr>
            <a:solidFill>
              <a:schemeClr val="accent3"/>
            </a:solidFill>
            <a:ln>
              <a:noFill/>
            </a:ln>
            <a:effectLst/>
          </c:spPr>
          <c:invertIfNegative val="0"/>
          <c:val>
            <c:numRef>
              <c:f>TE!$E$8</c:f>
              <c:numCache>
                <c:formatCode>General</c:formatCode>
                <c:ptCount val="1"/>
                <c:pt idx="0">
                  <c:v>400.19230769230768</c:v>
                </c:pt>
              </c:numCache>
            </c:numRef>
          </c:val>
          <c:extLst>
            <c:ext xmlns:c16="http://schemas.microsoft.com/office/drawing/2014/chart" uri="{C3380CC4-5D6E-409C-BE32-E72D297353CC}">
              <c16:uniqueId val="{00000002-EF82-4A88-9C05-ADB75580C0A7}"/>
            </c:ext>
          </c:extLst>
        </c:ser>
        <c:ser>
          <c:idx val="3"/>
          <c:order val="3"/>
          <c:tx>
            <c:strRef>
              <c:f>TE!$D$9</c:f>
              <c:strCache>
                <c:ptCount val="1"/>
                <c:pt idx="0">
                  <c:v>LVL-s</c:v>
                </c:pt>
              </c:strCache>
            </c:strRef>
          </c:tx>
          <c:spPr>
            <a:solidFill>
              <a:schemeClr val="accent4"/>
            </a:solidFill>
            <a:ln>
              <a:noFill/>
            </a:ln>
            <a:effectLst/>
          </c:spPr>
          <c:invertIfNegative val="0"/>
          <c:val>
            <c:numRef>
              <c:f>TE!$E$9</c:f>
              <c:numCache>
                <c:formatCode>General</c:formatCode>
                <c:ptCount val="1"/>
                <c:pt idx="0">
                  <c:v>374.61538461538464</c:v>
                </c:pt>
              </c:numCache>
            </c:numRef>
          </c:val>
          <c:extLst>
            <c:ext xmlns:c16="http://schemas.microsoft.com/office/drawing/2014/chart" uri="{C3380CC4-5D6E-409C-BE32-E72D297353CC}">
              <c16:uniqueId val="{00000003-EF82-4A88-9C05-ADB75580C0A7}"/>
            </c:ext>
          </c:extLst>
        </c:ser>
        <c:dLbls>
          <c:showLegendKey val="0"/>
          <c:showVal val="0"/>
          <c:showCatName val="0"/>
          <c:showSerName val="0"/>
          <c:showPercent val="0"/>
          <c:showBubbleSize val="0"/>
        </c:dLbls>
        <c:gapWidth val="219"/>
        <c:overlap val="-27"/>
        <c:axId val="353700848"/>
        <c:axId val="353701264"/>
      </c:barChart>
      <c:catAx>
        <c:axId val="353700848"/>
        <c:scaling>
          <c:orientation val="minMax"/>
        </c:scaling>
        <c:delete val="1"/>
        <c:axPos val="b"/>
        <c:numFmt formatCode="General" sourceLinked="1"/>
        <c:majorTickMark val="none"/>
        <c:minorTickMark val="none"/>
        <c:tickLblPos val="nextTo"/>
        <c:crossAx val="353701264"/>
        <c:crosses val="autoZero"/>
        <c:auto val="1"/>
        <c:lblAlgn val="ctr"/>
        <c:lblOffset val="100"/>
        <c:noMultiLvlLbl val="0"/>
      </c:catAx>
      <c:valAx>
        <c:axId val="35370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a:latin typeface="Times New Roman" panose="02020603050405020304" pitchFamily="18" charset="0"/>
                    <a:cs typeface="Times New Roman" panose="02020603050405020304" pitchFamily="18" charset="0"/>
                  </a:rPr>
                  <a:t>Kg SO2 eq</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3700848"/>
        <c:crosses val="autoZero"/>
        <c:crossBetween val="between"/>
      </c:valAx>
      <c:spPr>
        <a:noFill/>
        <a:ln>
          <a:noFill/>
        </a:ln>
        <a:effectLst/>
      </c:spPr>
    </c:plotArea>
    <c:legend>
      <c:legendPos val="b"/>
      <c:layout>
        <c:manualLayout>
          <c:xMode val="edge"/>
          <c:yMode val="edge"/>
          <c:x val="4.5777159543248978E-2"/>
          <c:y val="0.8993131677698748"/>
          <c:w val="0.94051179303820465"/>
          <c:h val="9.6291686791647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Land use </a:t>
            </a:r>
            <a:r>
              <a:rPr lang="en-US" sz="900" b="0" i="0" u="none" strike="noStrike" baseline="0">
                <a:effectLst/>
                <a:latin typeface="Times New Roman" panose="02020603050405020304" pitchFamily="18" charset="0"/>
                <a:cs typeface="Times New Roman" panose="02020603050405020304" pitchFamily="18" charset="0"/>
              </a:rPr>
              <a:t>(LU)</a:t>
            </a:r>
            <a:endParaRPr lang="en-US" sz="900">
              <a:latin typeface="Times New Roman" panose="02020603050405020304" pitchFamily="18" charset="0"/>
              <a:cs typeface="Times New Roman" panose="02020603050405020304" pitchFamily="18" charset="0"/>
            </a:endParaRPr>
          </a:p>
        </c:rich>
      </c:tx>
      <c:layout>
        <c:manualLayout>
          <c:xMode val="edge"/>
          <c:yMode val="edge"/>
          <c:x val="0.39269292799777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102072870812408"/>
          <c:y val="3.2824074074074089E-2"/>
          <c:w val="0.84113046892760457"/>
          <c:h val="0.87503233291490745"/>
        </c:manualLayout>
      </c:layout>
      <c:barChart>
        <c:barDir val="col"/>
        <c:grouping val="clustered"/>
        <c:varyColors val="0"/>
        <c:ser>
          <c:idx val="0"/>
          <c:order val="0"/>
          <c:tx>
            <c:strRef>
              <c:f>LU!$D$6</c:f>
              <c:strCache>
                <c:ptCount val="1"/>
                <c:pt idx="0">
                  <c:v>GLT-h</c:v>
                </c:pt>
              </c:strCache>
            </c:strRef>
          </c:tx>
          <c:spPr>
            <a:solidFill>
              <a:schemeClr val="accent1"/>
            </a:solidFill>
            <a:ln>
              <a:noFill/>
            </a:ln>
            <a:effectLst/>
          </c:spPr>
          <c:invertIfNegative val="0"/>
          <c:val>
            <c:numRef>
              <c:f>LU!$E$6</c:f>
              <c:numCache>
                <c:formatCode>General</c:formatCode>
                <c:ptCount val="1"/>
                <c:pt idx="0">
                  <c:v>72.723880597014926</c:v>
                </c:pt>
              </c:numCache>
            </c:numRef>
          </c:val>
          <c:extLst>
            <c:ext xmlns:c16="http://schemas.microsoft.com/office/drawing/2014/chart" uri="{C3380CC4-5D6E-409C-BE32-E72D297353CC}">
              <c16:uniqueId val="{00000000-D603-4406-B51D-A69CEDE9394A}"/>
            </c:ext>
          </c:extLst>
        </c:ser>
        <c:ser>
          <c:idx val="1"/>
          <c:order val="1"/>
          <c:tx>
            <c:strRef>
              <c:f>LU!$D$7</c:f>
              <c:strCache>
                <c:ptCount val="1"/>
                <c:pt idx="0">
                  <c:v>GLT-S</c:v>
                </c:pt>
              </c:strCache>
            </c:strRef>
          </c:tx>
          <c:spPr>
            <a:solidFill>
              <a:schemeClr val="accent2"/>
            </a:solidFill>
            <a:ln>
              <a:noFill/>
            </a:ln>
            <a:effectLst/>
          </c:spPr>
          <c:invertIfNegative val="0"/>
          <c:val>
            <c:numRef>
              <c:f>LU!$E$7</c:f>
              <c:numCache>
                <c:formatCode>General</c:formatCode>
                <c:ptCount val="1"/>
                <c:pt idx="0">
                  <c:v>68.121890547263675</c:v>
                </c:pt>
              </c:numCache>
            </c:numRef>
          </c:val>
          <c:extLst>
            <c:ext xmlns:c16="http://schemas.microsoft.com/office/drawing/2014/chart" uri="{C3380CC4-5D6E-409C-BE32-E72D297353CC}">
              <c16:uniqueId val="{00000001-D603-4406-B51D-A69CEDE9394A}"/>
            </c:ext>
          </c:extLst>
        </c:ser>
        <c:ser>
          <c:idx val="2"/>
          <c:order val="2"/>
          <c:tx>
            <c:strRef>
              <c:f>LU!$D$8</c:f>
              <c:strCache>
                <c:ptCount val="1"/>
                <c:pt idx="0">
                  <c:v>LVL-h</c:v>
                </c:pt>
              </c:strCache>
            </c:strRef>
          </c:tx>
          <c:spPr>
            <a:solidFill>
              <a:schemeClr val="accent3"/>
            </a:solidFill>
            <a:ln>
              <a:noFill/>
            </a:ln>
            <a:effectLst/>
          </c:spPr>
          <c:invertIfNegative val="0"/>
          <c:val>
            <c:numRef>
              <c:f>LU!$E$8</c:f>
              <c:numCache>
                <c:formatCode>General</c:formatCode>
                <c:ptCount val="1"/>
                <c:pt idx="0">
                  <c:v>46.399108138238574</c:v>
                </c:pt>
              </c:numCache>
            </c:numRef>
          </c:val>
          <c:extLst>
            <c:ext xmlns:c16="http://schemas.microsoft.com/office/drawing/2014/chart" uri="{C3380CC4-5D6E-409C-BE32-E72D297353CC}">
              <c16:uniqueId val="{00000002-D603-4406-B51D-A69CEDE9394A}"/>
            </c:ext>
          </c:extLst>
        </c:ser>
        <c:ser>
          <c:idx val="3"/>
          <c:order val="3"/>
          <c:tx>
            <c:strRef>
              <c:f>LU!$D$9</c:f>
              <c:strCache>
                <c:ptCount val="1"/>
                <c:pt idx="0">
                  <c:v>LVL-s</c:v>
                </c:pt>
              </c:strCache>
            </c:strRef>
          </c:tx>
          <c:spPr>
            <a:solidFill>
              <a:schemeClr val="accent4"/>
            </a:solidFill>
            <a:ln>
              <a:noFill/>
            </a:ln>
            <a:effectLst/>
          </c:spPr>
          <c:invertIfNegative val="0"/>
          <c:val>
            <c:numRef>
              <c:f>LU!$E$9</c:f>
              <c:numCache>
                <c:formatCode>General</c:formatCode>
                <c:ptCount val="1"/>
                <c:pt idx="0">
                  <c:v>43.433667781493867</c:v>
                </c:pt>
              </c:numCache>
            </c:numRef>
          </c:val>
          <c:extLst>
            <c:ext xmlns:c16="http://schemas.microsoft.com/office/drawing/2014/chart" uri="{C3380CC4-5D6E-409C-BE32-E72D297353CC}">
              <c16:uniqueId val="{00000003-D603-4406-B51D-A69CEDE9394A}"/>
            </c:ext>
          </c:extLst>
        </c:ser>
        <c:dLbls>
          <c:showLegendKey val="0"/>
          <c:showVal val="0"/>
          <c:showCatName val="0"/>
          <c:showSerName val="0"/>
          <c:showPercent val="0"/>
          <c:showBubbleSize val="0"/>
        </c:dLbls>
        <c:gapWidth val="219"/>
        <c:overlap val="-27"/>
        <c:axId val="354573888"/>
        <c:axId val="354576800"/>
      </c:barChart>
      <c:catAx>
        <c:axId val="354573888"/>
        <c:scaling>
          <c:orientation val="minMax"/>
        </c:scaling>
        <c:delete val="1"/>
        <c:axPos val="b"/>
        <c:numFmt formatCode="General" sourceLinked="1"/>
        <c:majorTickMark val="none"/>
        <c:minorTickMark val="none"/>
        <c:tickLblPos val="nextTo"/>
        <c:crossAx val="354576800"/>
        <c:crosses val="autoZero"/>
        <c:auto val="1"/>
        <c:lblAlgn val="ctr"/>
        <c:lblOffset val="100"/>
        <c:noMultiLvlLbl val="0"/>
      </c:catAx>
      <c:valAx>
        <c:axId val="35457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0" i="0" baseline="0">
                    <a:effectLst/>
                    <a:latin typeface="Times New Roman" panose="02020603050405020304" pitchFamily="18" charset="0"/>
                    <a:cs typeface="Times New Roman" panose="02020603050405020304" pitchFamily="18" charset="0"/>
                  </a:rPr>
                  <a:t>m2a crop eq</a:t>
                </a:r>
                <a:endParaRPr lang="en-US" sz="200">
                  <a:effectLst/>
                  <a:latin typeface="Times New Roman" panose="02020603050405020304" pitchFamily="18" charset="0"/>
                  <a:cs typeface="Times New Roman" panose="02020603050405020304" pitchFamily="18" charset="0"/>
                </a:endParaRPr>
              </a:p>
            </c:rich>
          </c:tx>
          <c:layout>
            <c:manualLayout>
              <c:xMode val="edge"/>
              <c:yMode val="edge"/>
              <c:x val="0"/>
              <c:y val="0.321106261173875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54573888"/>
        <c:crosses val="autoZero"/>
        <c:crossBetween val="between"/>
      </c:valAx>
      <c:spPr>
        <a:noFill/>
        <a:ln>
          <a:noFill/>
        </a:ln>
        <a:effectLst/>
      </c:spPr>
    </c:plotArea>
    <c:legend>
      <c:legendPos val="b"/>
      <c:layout>
        <c:manualLayout>
          <c:xMode val="edge"/>
          <c:yMode val="edge"/>
          <c:x val="7.8634757269514535E-2"/>
          <c:y val="0.89855880786640796"/>
          <c:w val="0.91337523310630009"/>
          <c:h val="9.6291686791647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Global Warming Potential </a:t>
            </a:r>
            <a:r>
              <a:rPr lang="en-US" sz="900" b="0" i="0" u="none" strike="noStrike" baseline="0">
                <a:effectLst/>
                <a:latin typeface="Times New Roman" panose="02020603050405020304" pitchFamily="18" charset="0"/>
                <a:cs typeface="Times New Roman" panose="02020603050405020304" pitchFamily="18" charset="0"/>
              </a:rPr>
              <a:t>(GWP)</a:t>
            </a:r>
            <a:r>
              <a:rPr lang="en-US" sz="900" b="0" i="0" baseline="0">
                <a:effectLst/>
                <a:latin typeface="Times New Roman" panose="02020603050405020304" pitchFamily="18" charset="0"/>
                <a:cs typeface="Times New Roman" panose="02020603050405020304" pitchFamily="18" charset="0"/>
              </a:rPr>
              <a:t> </a:t>
            </a:r>
            <a:endParaRPr lang="en-US" sz="900">
              <a:effectLst/>
              <a:latin typeface="Times New Roman" panose="02020603050405020304" pitchFamily="18" charset="0"/>
              <a:cs typeface="Times New Roman" panose="02020603050405020304" pitchFamily="18" charset="0"/>
            </a:endParaRPr>
          </a:p>
        </c:rich>
      </c:tx>
      <c:overlay val="1"/>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027508292598489"/>
          <c:y val="2.0738227997128073E-2"/>
          <c:w val="0.80887898651489742"/>
          <c:h val="0.81660077909793605"/>
        </c:manualLayout>
      </c:layout>
      <c:barChart>
        <c:barDir val="col"/>
        <c:grouping val="stacked"/>
        <c:varyColors val="0"/>
        <c:ser>
          <c:idx val="0"/>
          <c:order val="0"/>
          <c:tx>
            <c:strRef>
              <c:f>GWP!$D$15</c:f>
              <c:strCache>
                <c:ptCount val="1"/>
                <c:pt idx="0">
                  <c:v>Wood</c:v>
                </c:pt>
              </c:strCache>
            </c:strRef>
          </c:tx>
          <c:spPr>
            <a:pattFill prst="lgCheck">
              <a:fgClr>
                <a:schemeClr val="accent1"/>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GWP!$D$16:$D$19</c:f>
              <c:numCache>
                <c:formatCode>General</c:formatCode>
                <c:ptCount val="4"/>
                <c:pt idx="0">
                  <c:v>12840</c:v>
                </c:pt>
                <c:pt idx="1">
                  <c:v>12100</c:v>
                </c:pt>
                <c:pt idx="2">
                  <c:v>8382</c:v>
                </c:pt>
                <c:pt idx="3">
                  <c:v>7850</c:v>
                </c:pt>
              </c:numCache>
            </c:numRef>
          </c:val>
          <c:extLst>
            <c:ext xmlns:c16="http://schemas.microsoft.com/office/drawing/2014/chart" uri="{C3380CC4-5D6E-409C-BE32-E72D297353CC}">
              <c16:uniqueId val="{00000000-CC39-4CD6-AF24-3D8DA8750F77}"/>
            </c:ext>
          </c:extLst>
        </c:ser>
        <c:ser>
          <c:idx val="1"/>
          <c:order val="1"/>
          <c:tx>
            <c:strRef>
              <c:f>GWP!$E$15</c:f>
              <c:strCache>
                <c:ptCount val="1"/>
                <c:pt idx="0">
                  <c:v>Adhesive</c:v>
                </c:pt>
              </c:strCache>
            </c:strRef>
          </c:tx>
          <c:spPr>
            <a:pattFill prst="sphere">
              <a:fgClr>
                <a:schemeClr val="accent2">
                  <a:lumMod val="75000"/>
                </a:schemeClr>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GWP!$E$16:$E$19</c:f>
              <c:numCache>
                <c:formatCode>General</c:formatCode>
                <c:ptCount val="4"/>
                <c:pt idx="0">
                  <c:v>19260</c:v>
                </c:pt>
                <c:pt idx="1">
                  <c:v>19260</c:v>
                </c:pt>
                <c:pt idx="2">
                  <c:v>12573</c:v>
                </c:pt>
                <c:pt idx="3">
                  <c:v>12573</c:v>
                </c:pt>
              </c:numCache>
            </c:numRef>
          </c:val>
          <c:extLst>
            <c:ext xmlns:c16="http://schemas.microsoft.com/office/drawing/2014/chart" uri="{C3380CC4-5D6E-409C-BE32-E72D297353CC}">
              <c16:uniqueId val="{00000001-CC39-4CD6-AF24-3D8DA8750F77}"/>
            </c:ext>
          </c:extLst>
        </c:ser>
        <c:ser>
          <c:idx val="2"/>
          <c:order val="2"/>
          <c:tx>
            <c:strRef>
              <c:f>GWP!$F$15</c:f>
              <c:strCache>
                <c:ptCount val="1"/>
                <c:pt idx="0">
                  <c:v>Chemical </c:v>
                </c:pt>
              </c:strCache>
            </c:strRef>
          </c:tx>
          <c:spPr>
            <a:pattFill prst="pct90">
              <a:fgClr>
                <a:schemeClr val="bg2">
                  <a:lumMod val="75000"/>
                </a:schemeClr>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GWP!$F$16:$F$19</c:f>
              <c:numCache>
                <c:formatCode>General</c:formatCode>
                <c:ptCount val="4"/>
                <c:pt idx="0">
                  <c:v>32100</c:v>
                </c:pt>
                <c:pt idx="1">
                  <c:v>32100</c:v>
                </c:pt>
                <c:pt idx="2">
                  <c:v>20955</c:v>
                </c:pt>
                <c:pt idx="3">
                  <c:v>20955</c:v>
                </c:pt>
              </c:numCache>
            </c:numRef>
          </c:val>
          <c:extLst>
            <c:ext xmlns:c16="http://schemas.microsoft.com/office/drawing/2014/chart" uri="{C3380CC4-5D6E-409C-BE32-E72D297353CC}">
              <c16:uniqueId val="{00000002-CC39-4CD6-AF24-3D8DA8750F77}"/>
            </c:ext>
          </c:extLst>
        </c:ser>
        <c:ser>
          <c:idx val="3"/>
          <c:order val="3"/>
          <c:tx>
            <c:strRef>
              <c:f>GWP!$G$15</c:f>
              <c:strCache>
                <c:ptCount val="1"/>
                <c:pt idx="0">
                  <c:v>Steel </c:v>
                </c:pt>
              </c:strCache>
            </c:strRef>
          </c:tx>
          <c:spPr>
            <a:pattFill prst="dkDnDiag">
              <a:fgClr>
                <a:schemeClr val="accent4"/>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GWP!$G$16:$G$19</c:f>
              <c:numCache>
                <c:formatCode>General</c:formatCode>
                <c:ptCount val="4"/>
                <c:pt idx="0">
                  <c:v>1200</c:v>
                </c:pt>
                <c:pt idx="1">
                  <c:v>1200</c:v>
                </c:pt>
                <c:pt idx="2">
                  <c:v>1200</c:v>
                </c:pt>
                <c:pt idx="3">
                  <c:v>1200</c:v>
                </c:pt>
              </c:numCache>
            </c:numRef>
          </c:val>
          <c:extLst>
            <c:ext xmlns:c16="http://schemas.microsoft.com/office/drawing/2014/chart" uri="{C3380CC4-5D6E-409C-BE32-E72D297353CC}">
              <c16:uniqueId val="{00000003-CC39-4CD6-AF24-3D8DA8750F77}"/>
            </c:ext>
          </c:extLst>
        </c:ser>
        <c:ser>
          <c:idx val="4"/>
          <c:order val="4"/>
          <c:tx>
            <c:strRef>
              <c:f>GWP!$H$15</c:f>
              <c:strCache>
                <c:ptCount val="1"/>
                <c:pt idx="0">
                  <c:v>Transportation</c:v>
                </c:pt>
              </c:strCache>
            </c:strRef>
          </c:tx>
          <c:spPr>
            <a:solidFill>
              <a:schemeClr val="accent5"/>
            </a:solidFill>
            <a:ln>
              <a:noFill/>
            </a:ln>
            <a:effectLst/>
          </c:spPr>
          <c:invertIfNegative val="0"/>
          <c:cat>
            <c:strRef>
              <c:f>GWP!$C$16:$C$19</c:f>
              <c:strCache>
                <c:ptCount val="4"/>
                <c:pt idx="0">
                  <c:v>GLT-h</c:v>
                </c:pt>
                <c:pt idx="1">
                  <c:v>GLT-S</c:v>
                </c:pt>
                <c:pt idx="2">
                  <c:v>LVL-h</c:v>
                </c:pt>
                <c:pt idx="3">
                  <c:v>LVL-s</c:v>
                </c:pt>
              </c:strCache>
            </c:strRef>
          </c:cat>
          <c:val>
            <c:numRef>
              <c:f>GWP!$H$16:$H$19</c:f>
              <c:numCache>
                <c:formatCode>General</c:formatCode>
                <c:ptCount val="4"/>
                <c:pt idx="0">
                  <c:v>150</c:v>
                </c:pt>
                <c:pt idx="1">
                  <c:v>150</c:v>
                </c:pt>
                <c:pt idx="2">
                  <c:v>600</c:v>
                </c:pt>
                <c:pt idx="3">
                  <c:v>600</c:v>
                </c:pt>
              </c:numCache>
            </c:numRef>
          </c:val>
          <c:extLst>
            <c:ext xmlns:c16="http://schemas.microsoft.com/office/drawing/2014/chart" uri="{C3380CC4-5D6E-409C-BE32-E72D297353CC}">
              <c16:uniqueId val="{00000004-CC39-4CD6-AF24-3D8DA8750F77}"/>
            </c:ext>
          </c:extLst>
        </c:ser>
        <c:ser>
          <c:idx val="5"/>
          <c:order val="5"/>
          <c:tx>
            <c:strRef>
              <c:f>GWP!$I$15</c:f>
              <c:strCache>
                <c:ptCount val="1"/>
                <c:pt idx="0">
                  <c:v>Construction </c:v>
                </c:pt>
              </c:strCache>
            </c:strRef>
          </c:tx>
          <c:spPr>
            <a:solidFill>
              <a:schemeClr val="accent6"/>
            </a:solidFill>
            <a:ln>
              <a:noFill/>
            </a:ln>
            <a:effectLst/>
          </c:spPr>
          <c:invertIfNegative val="0"/>
          <c:cat>
            <c:strRef>
              <c:f>GWP!$C$16:$C$19</c:f>
              <c:strCache>
                <c:ptCount val="4"/>
                <c:pt idx="0">
                  <c:v>GLT-h</c:v>
                </c:pt>
                <c:pt idx="1">
                  <c:v>GLT-S</c:v>
                </c:pt>
                <c:pt idx="2">
                  <c:v>LVL-h</c:v>
                </c:pt>
                <c:pt idx="3">
                  <c:v>LVL-s</c:v>
                </c:pt>
              </c:strCache>
            </c:strRef>
          </c:cat>
          <c:val>
            <c:numRef>
              <c:f>GWP!$I$16:$I$19</c:f>
              <c:numCache>
                <c:formatCode>General</c:formatCode>
                <c:ptCount val="4"/>
                <c:pt idx="0">
                  <c:v>320</c:v>
                </c:pt>
                <c:pt idx="1">
                  <c:v>320</c:v>
                </c:pt>
                <c:pt idx="2">
                  <c:v>210</c:v>
                </c:pt>
                <c:pt idx="3">
                  <c:v>210</c:v>
                </c:pt>
              </c:numCache>
            </c:numRef>
          </c:val>
          <c:extLst>
            <c:ext xmlns:c16="http://schemas.microsoft.com/office/drawing/2014/chart" uri="{C3380CC4-5D6E-409C-BE32-E72D297353CC}">
              <c16:uniqueId val="{00000005-CC39-4CD6-AF24-3D8DA8750F77}"/>
            </c:ext>
          </c:extLst>
        </c:ser>
        <c:ser>
          <c:idx val="6"/>
          <c:order val="6"/>
          <c:tx>
            <c:strRef>
              <c:f>GWP!$J$15</c:f>
              <c:strCache>
                <c:ptCount val="1"/>
                <c:pt idx="0">
                  <c:v>Maintennace </c:v>
                </c:pt>
              </c:strCache>
            </c:strRef>
          </c:tx>
          <c:spPr>
            <a:pattFill prst="narVert">
              <a:fgClr>
                <a:srgbClr val="0070C0"/>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GWP!$J$16:$J$19</c:f>
              <c:numCache>
                <c:formatCode>General</c:formatCode>
                <c:ptCount val="4"/>
                <c:pt idx="0">
                  <c:v>1100</c:v>
                </c:pt>
                <c:pt idx="1">
                  <c:v>1100</c:v>
                </c:pt>
                <c:pt idx="2">
                  <c:v>900</c:v>
                </c:pt>
                <c:pt idx="3">
                  <c:v>900</c:v>
                </c:pt>
              </c:numCache>
            </c:numRef>
          </c:val>
          <c:extLst>
            <c:ext xmlns:c16="http://schemas.microsoft.com/office/drawing/2014/chart" uri="{C3380CC4-5D6E-409C-BE32-E72D297353CC}">
              <c16:uniqueId val="{00000006-CC39-4CD6-AF24-3D8DA8750F77}"/>
            </c:ext>
          </c:extLst>
        </c:ser>
        <c:ser>
          <c:idx val="7"/>
          <c:order val="7"/>
          <c:tx>
            <c:strRef>
              <c:f>GWP!$K$15</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GWP!$C$16:$C$19</c:f>
              <c:strCache>
                <c:ptCount val="4"/>
                <c:pt idx="0">
                  <c:v>GLT-h</c:v>
                </c:pt>
                <c:pt idx="1">
                  <c:v>GLT-S</c:v>
                </c:pt>
                <c:pt idx="2">
                  <c:v>LVL-h</c:v>
                </c:pt>
                <c:pt idx="3">
                  <c:v>LVL-s</c:v>
                </c:pt>
              </c:strCache>
            </c:strRef>
          </c:cat>
          <c:val>
            <c:numRef>
              <c:f>GWP!$K$16:$K$19</c:f>
              <c:numCache>
                <c:formatCode>General</c:formatCode>
                <c:ptCount val="4"/>
                <c:pt idx="0">
                  <c:v>-8500</c:v>
                </c:pt>
                <c:pt idx="1">
                  <c:v>-8500</c:v>
                </c:pt>
                <c:pt idx="2">
                  <c:v>-3200</c:v>
                </c:pt>
                <c:pt idx="3">
                  <c:v>-3200</c:v>
                </c:pt>
              </c:numCache>
            </c:numRef>
          </c:val>
          <c:extLst>
            <c:ext xmlns:c16="http://schemas.microsoft.com/office/drawing/2014/chart" uri="{C3380CC4-5D6E-409C-BE32-E72D297353CC}">
              <c16:uniqueId val="{00000007-CC39-4CD6-AF24-3D8DA8750F77}"/>
            </c:ext>
          </c:extLst>
        </c:ser>
        <c:dLbls>
          <c:showLegendKey val="0"/>
          <c:showVal val="0"/>
          <c:showCatName val="0"/>
          <c:showSerName val="0"/>
          <c:showPercent val="0"/>
          <c:showBubbleSize val="0"/>
        </c:dLbls>
        <c:gapWidth val="150"/>
        <c:overlap val="100"/>
        <c:axId val="1199386223"/>
        <c:axId val="1199390383"/>
      </c:barChart>
      <c:catAx>
        <c:axId val="119938622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199390383"/>
        <c:crosses val="autoZero"/>
        <c:auto val="1"/>
        <c:lblAlgn val="ctr"/>
        <c:lblOffset val="100"/>
        <c:noMultiLvlLbl val="0"/>
      </c:catAx>
      <c:valAx>
        <c:axId val="1199390383"/>
        <c:scaling>
          <c:orientation val="minMax"/>
          <c:min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b="0" i="0" u="none" strike="noStrike" baseline="0">
                    <a:effectLst/>
                    <a:latin typeface="Times New Roman" panose="02020603050405020304" pitchFamily="18" charset="0"/>
                    <a:cs typeface="Times New Roman" panose="02020603050405020304" pitchFamily="18" charset="0"/>
                  </a:rPr>
                  <a:t>Kg CO2 eq</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9386223"/>
        <c:crosses val="autoZero"/>
        <c:crossBetween val="between"/>
      </c:valAx>
      <c:spPr>
        <a:noFill/>
        <a:ln>
          <a:noFill/>
        </a:ln>
        <a:effectLst/>
      </c:spPr>
    </c:plotArea>
    <c:legend>
      <c:legendPos val="b"/>
      <c:layout>
        <c:manualLayout>
          <c:xMode val="edge"/>
          <c:yMode val="edge"/>
          <c:x val="0.11172600201767688"/>
          <c:y val="0.86738151278134368"/>
          <c:w val="0.88827399798232309"/>
          <c:h val="0.132618487218656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Human carcinogenic toxicity </a:t>
            </a:r>
            <a:r>
              <a:rPr lang="en-US" sz="900" b="0" i="0" u="none" strike="noStrike" baseline="0">
                <a:effectLst/>
                <a:latin typeface="Times New Roman" panose="02020603050405020304" pitchFamily="18" charset="0"/>
                <a:cs typeface="Times New Roman" panose="02020603050405020304" pitchFamily="18" charset="0"/>
              </a:rPr>
              <a:t>(HCT)</a:t>
            </a:r>
            <a:r>
              <a:rPr lang="en-US" sz="900" b="0" i="0" baseline="0">
                <a:effectLst/>
                <a:latin typeface="Times New Roman" panose="02020603050405020304" pitchFamily="18" charset="0"/>
                <a:cs typeface="Times New Roman" panose="02020603050405020304" pitchFamily="18" charset="0"/>
              </a:rPr>
              <a:t> </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23709992736561239"/>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467091394225474"/>
          <c:y val="2.6591719608033745E-2"/>
          <c:w val="0.7996456876115241"/>
          <c:h val="0.82648029143449708"/>
        </c:manualLayout>
      </c:layout>
      <c:barChart>
        <c:barDir val="col"/>
        <c:grouping val="stacked"/>
        <c:varyColors val="0"/>
        <c:ser>
          <c:idx val="0"/>
          <c:order val="0"/>
          <c:tx>
            <c:strRef>
              <c:f>HT!$K$5</c:f>
              <c:strCache>
                <c:ptCount val="1"/>
                <c:pt idx="0">
                  <c:v>Wood</c:v>
                </c:pt>
              </c:strCache>
            </c:strRef>
          </c:tx>
          <c:spPr>
            <a:pattFill prst="lgCheck">
              <a:fgClr>
                <a:schemeClr val="accent1"/>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HT!$K$6:$K$9</c:f>
              <c:numCache>
                <c:formatCode>General</c:formatCode>
                <c:ptCount val="4"/>
                <c:pt idx="0">
                  <c:v>487</c:v>
                </c:pt>
                <c:pt idx="1">
                  <c:v>469.5</c:v>
                </c:pt>
                <c:pt idx="2">
                  <c:v>549.5</c:v>
                </c:pt>
                <c:pt idx="3">
                  <c:v>516</c:v>
                </c:pt>
              </c:numCache>
            </c:numRef>
          </c:val>
          <c:extLst>
            <c:ext xmlns:c16="http://schemas.microsoft.com/office/drawing/2014/chart" uri="{C3380CC4-5D6E-409C-BE32-E72D297353CC}">
              <c16:uniqueId val="{00000000-CC02-492A-8005-094CC2B18471}"/>
            </c:ext>
          </c:extLst>
        </c:ser>
        <c:ser>
          <c:idx val="1"/>
          <c:order val="1"/>
          <c:tx>
            <c:strRef>
              <c:f>HT!$L$5</c:f>
              <c:strCache>
                <c:ptCount val="1"/>
                <c:pt idx="0">
                  <c:v>Adhesive</c:v>
                </c:pt>
              </c:strCache>
            </c:strRef>
          </c:tx>
          <c:spPr>
            <a:pattFill prst="sphere">
              <a:fgClr>
                <a:schemeClr val="accent2"/>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HT!$L$6:$L$9</c:f>
              <c:numCache>
                <c:formatCode>General</c:formatCode>
                <c:ptCount val="4"/>
                <c:pt idx="0">
                  <c:v>681.8</c:v>
                </c:pt>
                <c:pt idx="1">
                  <c:v>681.8</c:v>
                </c:pt>
                <c:pt idx="2">
                  <c:v>769.3</c:v>
                </c:pt>
                <c:pt idx="3">
                  <c:v>769.3</c:v>
                </c:pt>
              </c:numCache>
            </c:numRef>
          </c:val>
          <c:extLst>
            <c:ext xmlns:c16="http://schemas.microsoft.com/office/drawing/2014/chart" uri="{C3380CC4-5D6E-409C-BE32-E72D297353CC}">
              <c16:uniqueId val="{00000001-CC02-492A-8005-094CC2B18471}"/>
            </c:ext>
          </c:extLst>
        </c:ser>
        <c:ser>
          <c:idx val="2"/>
          <c:order val="2"/>
          <c:tx>
            <c:strRef>
              <c:f>HT!$M$5</c:f>
              <c:strCache>
                <c:ptCount val="1"/>
                <c:pt idx="0">
                  <c:v>Chemical </c:v>
                </c:pt>
              </c:strCache>
            </c:strRef>
          </c:tx>
          <c:spPr>
            <a:pattFill prst="pct90">
              <a:fgClr>
                <a:schemeClr val="bg2">
                  <a:lumMod val="50000"/>
                </a:schemeClr>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HT!$M$6:$M$9</c:f>
              <c:numCache>
                <c:formatCode>General</c:formatCode>
                <c:ptCount val="4"/>
                <c:pt idx="0">
                  <c:v>779.2</c:v>
                </c:pt>
                <c:pt idx="1">
                  <c:v>779.2</c:v>
                </c:pt>
                <c:pt idx="2">
                  <c:v>879.2</c:v>
                </c:pt>
                <c:pt idx="3">
                  <c:v>879.2</c:v>
                </c:pt>
              </c:numCache>
            </c:numRef>
          </c:val>
          <c:extLst>
            <c:ext xmlns:c16="http://schemas.microsoft.com/office/drawing/2014/chart" uri="{C3380CC4-5D6E-409C-BE32-E72D297353CC}">
              <c16:uniqueId val="{00000002-CC02-492A-8005-094CC2B18471}"/>
            </c:ext>
          </c:extLst>
        </c:ser>
        <c:ser>
          <c:idx val="3"/>
          <c:order val="3"/>
          <c:tx>
            <c:strRef>
              <c:f>HT!$N$5</c:f>
              <c:strCache>
                <c:ptCount val="1"/>
                <c:pt idx="0">
                  <c:v>Steel </c:v>
                </c:pt>
              </c:strCache>
            </c:strRef>
          </c:tx>
          <c:spPr>
            <a:pattFill prst="dkDnDiag">
              <a:fgClr>
                <a:schemeClr val="accent4"/>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HT!$N$6:$N$9</c:f>
              <c:numCache>
                <c:formatCode>General</c:formatCode>
                <c:ptCount val="4"/>
                <c:pt idx="0">
                  <c:v>37</c:v>
                </c:pt>
                <c:pt idx="1">
                  <c:v>37</c:v>
                </c:pt>
                <c:pt idx="2">
                  <c:v>37</c:v>
                </c:pt>
                <c:pt idx="3">
                  <c:v>37</c:v>
                </c:pt>
              </c:numCache>
            </c:numRef>
          </c:val>
          <c:extLst>
            <c:ext xmlns:c16="http://schemas.microsoft.com/office/drawing/2014/chart" uri="{C3380CC4-5D6E-409C-BE32-E72D297353CC}">
              <c16:uniqueId val="{00000003-CC02-492A-8005-094CC2B18471}"/>
            </c:ext>
          </c:extLst>
        </c:ser>
        <c:ser>
          <c:idx val="4"/>
          <c:order val="4"/>
          <c:tx>
            <c:strRef>
              <c:f>HT!$O$5</c:f>
              <c:strCache>
                <c:ptCount val="1"/>
                <c:pt idx="0">
                  <c:v>Transportation</c:v>
                </c:pt>
              </c:strCache>
            </c:strRef>
          </c:tx>
          <c:spPr>
            <a:solidFill>
              <a:schemeClr val="accent5"/>
            </a:solidFill>
            <a:ln>
              <a:noFill/>
            </a:ln>
            <a:effectLst/>
          </c:spPr>
          <c:invertIfNegative val="0"/>
          <c:cat>
            <c:strRef>
              <c:f>HT!$J$6:$J$9</c:f>
              <c:strCache>
                <c:ptCount val="4"/>
                <c:pt idx="0">
                  <c:v>GLT-h</c:v>
                </c:pt>
                <c:pt idx="1">
                  <c:v>GLT-S</c:v>
                </c:pt>
                <c:pt idx="2">
                  <c:v>LVL-h</c:v>
                </c:pt>
                <c:pt idx="3">
                  <c:v>LVL-s</c:v>
                </c:pt>
              </c:strCache>
            </c:strRef>
          </c:cat>
          <c:val>
            <c:numRef>
              <c:f>HT!$O$6:$O$9</c:f>
              <c:numCache>
                <c:formatCode>General</c:formatCode>
                <c:ptCount val="4"/>
                <c:pt idx="0">
                  <c:v>5</c:v>
                </c:pt>
                <c:pt idx="1">
                  <c:v>5</c:v>
                </c:pt>
                <c:pt idx="2">
                  <c:v>5</c:v>
                </c:pt>
                <c:pt idx="3">
                  <c:v>5</c:v>
                </c:pt>
              </c:numCache>
            </c:numRef>
          </c:val>
          <c:extLst>
            <c:ext xmlns:c16="http://schemas.microsoft.com/office/drawing/2014/chart" uri="{C3380CC4-5D6E-409C-BE32-E72D297353CC}">
              <c16:uniqueId val="{00000004-CC02-492A-8005-094CC2B18471}"/>
            </c:ext>
          </c:extLst>
        </c:ser>
        <c:ser>
          <c:idx val="5"/>
          <c:order val="5"/>
          <c:tx>
            <c:strRef>
              <c:f>HT!$P$5</c:f>
              <c:strCache>
                <c:ptCount val="1"/>
                <c:pt idx="0">
                  <c:v>Construction </c:v>
                </c:pt>
              </c:strCache>
            </c:strRef>
          </c:tx>
          <c:spPr>
            <a:solidFill>
              <a:schemeClr val="accent6"/>
            </a:solidFill>
            <a:ln>
              <a:noFill/>
            </a:ln>
            <a:effectLst/>
          </c:spPr>
          <c:invertIfNegative val="0"/>
          <c:cat>
            <c:strRef>
              <c:f>HT!$J$6:$J$9</c:f>
              <c:strCache>
                <c:ptCount val="4"/>
                <c:pt idx="0">
                  <c:v>GLT-h</c:v>
                </c:pt>
                <c:pt idx="1">
                  <c:v>GLT-S</c:v>
                </c:pt>
                <c:pt idx="2">
                  <c:v>LVL-h</c:v>
                </c:pt>
                <c:pt idx="3">
                  <c:v>LVL-s</c:v>
                </c:pt>
              </c:strCache>
            </c:strRef>
          </c:cat>
          <c:val>
            <c:numRef>
              <c:f>HT!$P$6:$P$9</c:f>
              <c:numCache>
                <c:formatCode>General</c:formatCode>
                <c:ptCount val="4"/>
                <c:pt idx="0">
                  <c:v>10</c:v>
                </c:pt>
                <c:pt idx="1">
                  <c:v>10</c:v>
                </c:pt>
                <c:pt idx="2">
                  <c:v>10</c:v>
                </c:pt>
                <c:pt idx="3">
                  <c:v>10</c:v>
                </c:pt>
              </c:numCache>
            </c:numRef>
          </c:val>
          <c:extLst>
            <c:ext xmlns:c16="http://schemas.microsoft.com/office/drawing/2014/chart" uri="{C3380CC4-5D6E-409C-BE32-E72D297353CC}">
              <c16:uniqueId val="{00000005-CC02-492A-8005-094CC2B18471}"/>
            </c:ext>
          </c:extLst>
        </c:ser>
        <c:ser>
          <c:idx val="6"/>
          <c:order val="6"/>
          <c:tx>
            <c:strRef>
              <c:f>HT!$Q$5</c:f>
              <c:strCache>
                <c:ptCount val="1"/>
                <c:pt idx="0">
                  <c:v>Maintennace </c:v>
                </c:pt>
              </c:strCache>
            </c:strRef>
          </c:tx>
          <c:spPr>
            <a:pattFill prst="narVert">
              <a:fgClr>
                <a:srgbClr val="0070C0"/>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HT!$Q$6:$Q$9</c:f>
              <c:numCache>
                <c:formatCode>General</c:formatCode>
                <c:ptCount val="4"/>
                <c:pt idx="0">
                  <c:v>34</c:v>
                </c:pt>
                <c:pt idx="1">
                  <c:v>34</c:v>
                </c:pt>
                <c:pt idx="2">
                  <c:v>31</c:v>
                </c:pt>
                <c:pt idx="3">
                  <c:v>31</c:v>
                </c:pt>
              </c:numCache>
            </c:numRef>
          </c:val>
          <c:extLst>
            <c:ext xmlns:c16="http://schemas.microsoft.com/office/drawing/2014/chart" uri="{C3380CC4-5D6E-409C-BE32-E72D297353CC}">
              <c16:uniqueId val="{00000006-CC02-492A-8005-094CC2B18471}"/>
            </c:ext>
          </c:extLst>
        </c:ser>
        <c:ser>
          <c:idx val="7"/>
          <c:order val="7"/>
          <c:tx>
            <c:strRef>
              <c:f>HT!$R$5</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HT!$J$6:$J$9</c:f>
              <c:strCache>
                <c:ptCount val="4"/>
                <c:pt idx="0">
                  <c:v>GLT-h</c:v>
                </c:pt>
                <c:pt idx="1">
                  <c:v>GLT-S</c:v>
                </c:pt>
                <c:pt idx="2">
                  <c:v>LVL-h</c:v>
                </c:pt>
                <c:pt idx="3">
                  <c:v>LVL-s</c:v>
                </c:pt>
              </c:strCache>
            </c:strRef>
          </c:cat>
          <c:val>
            <c:numRef>
              <c:f>HT!$R$6:$R$9</c:f>
              <c:numCache>
                <c:formatCode>General</c:formatCode>
                <c:ptCount val="4"/>
                <c:pt idx="0">
                  <c:v>-262.69026851376776</c:v>
                </c:pt>
                <c:pt idx="1">
                  <c:v>-262</c:v>
                </c:pt>
                <c:pt idx="2">
                  <c:v>-162.88155777949564</c:v>
                </c:pt>
                <c:pt idx="3">
                  <c:v>-162.88155777949564</c:v>
                </c:pt>
              </c:numCache>
            </c:numRef>
          </c:val>
          <c:extLst>
            <c:ext xmlns:c16="http://schemas.microsoft.com/office/drawing/2014/chart" uri="{C3380CC4-5D6E-409C-BE32-E72D297353CC}">
              <c16:uniqueId val="{00000007-CC02-492A-8005-094CC2B18471}"/>
            </c:ext>
          </c:extLst>
        </c:ser>
        <c:dLbls>
          <c:showLegendKey val="0"/>
          <c:showVal val="0"/>
          <c:showCatName val="0"/>
          <c:showSerName val="0"/>
          <c:showPercent val="0"/>
          <c:showBubbleSize val="0"/>
        </c:dLbls>
        <c:gapWidth val="150"/>
        <c:overlap val="100"/>
        <c:axId val="1199387055"/>
        <c:axId val="1199387887"/>
      </c:barChart>
      <c:catAx>
        <c:axId val="1199387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9387887"/>
        <c:crosses val="autoZero"/>
        <c:auto val="1"/>
        <c:lblAlgn val="ctr"/>
        <c:lblOffset val="100"/>
        <c:noMultiLvlLbl val="0"/>
      </c:catAx>
      <c:valAx>
        <c:axId val="1199387887"/>
        <c:scaling>
          <c:orientation val="minMax"/>
          <c:min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700" b="0" i="0" baseline="0">
                    <a:effectLst/>
                    <a:latin typeface="Times New Roman" panose="02020603050405020304" pitchFamily="18" charset="0"/>
                    <a:cs typeface="Times New Roman" panose="02020603050405020304" pitchFamily="18" charset="0"/>
                  </a:rPr>
                  <a:t>Kg 1,4 DCB </a:t>
                </a:r>
                <a:endParaRPr lang="en-US" sz="100">
                  <a:effectLst/>
                  <a:latin typeface="Times New Roman" panose="02020603050405020304" pitchFamily="18" charset="0"/>
                  <a:cs typeface="Times New Roman" panose="02020603050405020304" pitchFamily="18" charset="0"/>
                </a:endParaRPr>
              </a:p>
            </c:rich>
          </c:tx>
          <c:layout>
            <c:manualLayout>
              <c:xMode val="edge"/>
              <c:yMode val="edge"/>
              <c:x val="0"/>
              <c:y val="0.402130788460129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99387055"/>
        <c:crosses val="autoZero"/>
        <c:crossBetween val="between"/>
      </c:valAx>
      <c:spPr>
        <a:noFill/>
        <a:ln>
          <a:noFill/>
        </a:ln>
        <a:effectLst/>
      </c:spPr>
    </c:plotArea>
    <c:legend>
      <c:legendPos val="b"/>
      <c:layout>
        <c:manualLayout>
          <c:xMode val="edge"/>
          <c:yMode val="edge"/>
          <c:x val="0.11554760866618057"/>
          <c:y val="0.84771962966883529"/>
          <c:w val="0.88445239133381948"/>
          <c:h val="0.152280370331164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Fossile Deplition </a:t>
            </a:r>
            <a:r>
              <a:rPr lang="en-US" sz="900" b="0" i="0" u="none" strike="noStrike" baseline="0">
                <a:effectLst/>
                <a:latin typeface="Times New Roman" panose="02020603050405020304" pitchFamily="18" charset="0"/>
                <a:cs typeface="Times New Roman" panose="02020603050405020304" pitchFamily="18" charset="0"/>
              </a:rPr>
              <a:t>(FDP)</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2762060564731405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290114285411431"/>
          <c:y val="1.795129775444736E-2"/>
          <c:w val="0.8272949390413028"/>
          <c:h val="0.8300486336266788"/>
        </c:manualLayout>
      </c:layout>
      <c:barChart>
        <c:barDir val="col"/>
        <c:grouping val="stacked"/>
        <c:varyColors val="0"/>
        <c:ser>
          <c:idx val="0"/>
          <c:order val="0"/>
          <c:tx>
            <c:strRef>
              <c:f>FD!$F$8</c:f>
              <c:strCache>
                <c:ptCount val="1"/>
                <c:pt idx="0">
                  <c:v>Wood</c:v>
                </c:pt>
              </c:strCache>
            </c:strRef>
          </c:tx>
          <c:spPr>
            <a:pattFill prst="lgCheck">
              <a:fgClr>
                <a:schemeClr val="accent1"/>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FD!$F$9:$F$12</c:f>
              <c:numCache>
                <c:formatCode>General</c:formatCode>
                <c:ptCount val="4"/>
                <c:pt idx="0">
                  <c:v>3723.5</c:v>
                </c:pt>
                <c:pt idx="1">
                  <c:v>3675.98</c:v>
                </c:pt>
                <c:pt idx="2">
                  <c:v>4797.32</c:v>
                </c:pt>
                <c:pt idx="3">
                  <c:v>4618.8999999999996</c:v>
                </c:pt>
              </c:numCache>
            </c:numRef>
          </c:val>
          <c:extLst>
            <c:ext xmlns:c16="http://schemas.microsoft.com/office/drawing/2014/chart" uri="{C3380CC4-5D6E-409C-BE32-E72D297353CC}">
              <c16:uniqueId val="{00000000-3035-4FDE-9351-CE3B8D2B30E5}"/>
            </c:ext>
          </c:extLst>
        </c:ser>
        <c:ser>
          <c:idx val="1"/>
          <c:order val="1"/>
          <c:tx>
            <c:strRef>
              <c:f>FD!$G$8</c:f>
              <c:strCache>
                <c:ptCount val="1"/>
                <c:pt idx="0">
                  <c:v>Adhesive</c:v>
                </c:pt>
              </c:strCache>
            </c:strRef>
          </c:tx>
          <c:spPr>
            <a:pattFill prst="sphere">
              <a:fgClr>
                <a:schemeClr val="accent2"/>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FD!$G$9:$G$12</c:f>
              <c:numCache>
                <c:formatCode>General</c:formatCode>
                <c:ptCount val="4"/>
                <c:pt idx="0">
                  <c:v>5754.5</c:v>
                </c:pt>
                <c:pt idx="1">
                  <c:v>5754.5</c:v>
                </c:pt>
                <c:pt idx="2">
                  <c:v>7414.0400000000009</c:v>
                </c:pt>
                <c:pt idx="3">
                  <c:v>7414.0400000000009</c:v>
                </c:pt>
              </c:numCache>
            </c:numRef>
          </c:val>
          <c:extLst>
            <c:ext xmlns:c16="http://schemas.microsoft.com/office/drawing/2014/chart" uri="{C3380CC4-5D6E-409C-BE32-E72D297353CC}">
              <c16:uniqueId val="{00000001-3035-4FDE-9351-CE3B8D2B30E5}"/>
            </c:ext>
          </c:extLst>
        </c:ser>
        <c:ser>
          <c:idx val="2"/>
          <c:order val="2"/>
          <c:tx>
            <c:strRef>
              <c:f>FD!$H$8</c:f>
              <c:strCache>
                <c:ptCount val="1"/>
                <c:pt idx="0">
                  <c:v>Chemical </c:v>
                </c:pt>
              </c:strCache>
            </c:strRef>
          </c:tx>
          <c:spPr>
            <a:pattFill prst="pct90">
              <a:fgClr>
                <a:schemeClr val="bg2">
                  <a:lumMod val="75000"/>
                </a:schemeClr>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FD!$H$9:$H$12</c:f>
              <c:numCache>
                <c:formatCode>General</c:formatCode>
                <c:ptCount val="4"/>
                <c:pt idx="0">
                  <c:v>7447</c:v>
                </c:pt>
                <c:pt idx="1">
                  <c:v>7447</c:v>
                </c:pt>
                <c:pt idx="2">
                  <c:v>9594.64</c:v>
                </c:pt>
                <c:pt idx="3">
                  <c:v>9594.64</c:v>
                </c:pt>
              </c:numCache>
            </c:numRef>
          </c:val>
          <c:extLst>
            <c:ext xmlns:c16="http://schemas.microsoft.com/office/drawing/2014/chart" uri="{C3380CC4-5D6E-409C-BE32-E72D297353CC}">
              <c16:uniqueId val="{00000002-3035-4FDE-9351-CE3B8D2B30E5}"/>
            </c:ext>
          </c:extLst>
        </c:ser>
        <c:ser>
          <c:idx val="3"/>
          <c:order val="3"/>
          <c:tx>
            <c:strRef>
              <c:f>FD!$I$8</c:f>
              <c:strCache>
                <c:ptCount val="1"/>
                <c:pt idx="0">
                  <c:v>Steel </c:v>
                </c:pt>
              </c:strCache>
            </c:strRef>
          </c:tx>
          <c:spPr>
            <a:pattFill prst="dkDnDiag">
              <a:fgClr>
                <a:schemeClr val="accent4"/>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FD!$I$9:$I$12</c:f>
              <c:numCache>
                <c:formatCode>General</c:formatCode>
                <c:ptCount val="4"/>
                <c:pt idx="0">
                  <c:v>316.36356726146357</c:v>
                </c:pt>
                <c:pt idx="1">
                  <c:v>316</c:v>
                </c:pt>
                <c:pt idx="2">
                  <c:v>316</c:v>
                </c:pt>
                <c:pt idx="3">
                  <c:v>316</c:v>
                </c:pt>
              </c:numCache>
            </c:numRef>
          </c:val>
          <c:extLst>
            <c:ext xmlns:c16="http://schemas.microsoft.com/office/drawing/2014/chart" uri="{C3380CC4-5D6E-409C-BE32-E72D297353CC}">
              <c16:uniqueId val="{00000003-3035-4FDE-9351-CE3B8D2B30E5}"/>
            </c:ext>
          </c:extLst>
        </c:ser>
        <c:ser>
          <c:idx val="4"/>
          <c:order val="4"/>
          <c:tx>
            <c:strRef>
              <c:f>FD!$J$8</c:f>
              <c:strCache>
                <c:ptCount val="1"/>
                <c:pt idx="0">
                  <c:v>Transportation</c:v>
                </c:pt>
              </c:strCache>
            </c:strRef>
          </c:tx>
          <c:spPr>
            <a:solidFill>
              <a:schemeClr val="accent5"/>
            </a:solidFill>
            <a:ln>
              <a:noFill/>
            </a:ln>
            <a:effectLst/>
          </c:spPr>
          <c:invertIfNegative val="0"/>
          <c:cat>
            <c:strRef>
              <c:f>FD!$E$9:$E$12</c:f>
              <c:strCache>
                <c:ptCount val="4"/>
                <c:pt idx="0">
                  <c:v>GLT-h</c:v>
                </c:pt>
                <c:pt idx="1">
                  <c:v>GLT-S</c:v>
                </c:pt>
                <c:pt idx="2">
                  <c:v>LVL-h</c:v>
                </c:pt>
                <c:pt idx="3">
                  <c:v>LVL-s</c:v>
                </c:pt>
              </c:strCache>
            </c:strRef>
          </c:cat>
          <c:val>
            <c:numRef>
              <c:f>FD!$J$9:$J$12</c:f>
              <c:numCache>
                <c:formatCode>General</c:formatCode>
                <c:ptCount val="4"/>
                <c:pt idx="0">
                  <c:v>39.545445907682947</c:v>
                </c:pt>
                <c:pt idx="1">
                  <c:v>40</c:v>
                </c:pt>
                <c:pt idx="2">
                  <c:v>40</c:v>
                </c:pt>
                <c:pt idx="3">
                  <c:v>40</c:v>
                </c:pt>
              </c:numCache>
            </c:numRef>
          </c:val>
          <c:extLst>
            <c:ext xmlns:c16="http://schemas.microsoft.com/office/drawing/2014/chart" uri="{C3380CC4-5D6E-409C-BE32-E72D297353CC}">
              <c16:uniqueId val="{00000004-3035-4FDE-9351-CE3B8D2B30E5}"/>
            </c:ext>
          </c:extLst>
        </c:ser>
        <c:ser>
          <c:idx val="5"/>
          <c:order val="5"/>
          <c:tx>
            <c:strRef>
              <c:f>FD!$K$8</c:f>
              <c:strCache>
                <c:ptCount val="1"/>
                <c:pt idx="0">
                  <c:v>Construction </c:v>
                </c:pt>
              </c:strCache>
            </c:strRef>
          </c:tx>
          <c:spPr>
            <a:solidFill>
              <a:schemeClr val="accent6"/>
            </a:solidFill>
            <a:ln>
              <a:noFill/>
            </a:ln>
            <a:effectLst/>
          </c:spPr>
          <c:invertIfNegative val="0"/>
          <c:cat>
            <c:strRef>
              <c:f>FD!$E$9:$E$12</c:f>
              <c:strCache>
                <c:ptCount val="4"/>
                <c:pt idx="0">
                  <c:v>GLT-h</c:v>
                </c:pt>
                <c:pt idx="1">
                  <c:v>GLT-S</c:v>
                </c:pt>
                <c:pt idx="2">
                  <c:v>LVL-h</c:v>
                </c:pt>
                <c:pt idx="3">
                  <c:v>LVL-s</c:v>
                </c:pt>
              </c:strCache>
            </c:strRef>
          </c:cat>
          <c:val>
            <c:numRef>
              <c:f>FD!$K$9:$K$12</c:f>
              <c:numCache>
                <c:formatCode>General</c:formatCode>
                <c:ptCount val="4"/>
                <c:pt idx="0">
                  <c:v>84.363617936390298</c:v>
                </c:pt>
                <c:pt idx="1">
                  <c:v>83.285255496645945</c:v>
                </c:pt>
                <c:pt idx="2">
                  <c:v>109.26637834374499</c:v>
                </c:pt>
                <c:pt idx="3">
                  <c:v>107.88349618239094</c:v>
                </c:pt>
              </c:numCache>
            </c:numRef>
          </c:val>
          <c:extLst>
            <c:ext xmlns:c16="http://schemas.microsoft.com/office/drawing/2014/chart" uri="{C3380CC4-5D6E-409C-BE32-E72D297353CC}">
              <c16:uniqueId val="{00000005-3035-4FDE-9351-CE3B8D2B30E5}"/>
            </c:ext>
          </c:extLst>
        </c:ser>
        <c:ser>
          <c:idx val="6"/>
          <c:order val="6"/>
          <c:tx>
            <c:strRef>
              <c:f>FD!$L$8</c:f>
              <c:strCache>
                <c:ptCount val="1"/>
                <c:pt idx="0">
                  <c:v>Maintennace </c:v>
                </c:pt>
              </c:strCache>
            </c:strRef>
          </c:tx>
          <c:spPr>
            <a:pattFill prst="narVert">
              <a:fgClr>
                <a:srgbClr val="0070C0"/>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FD!$L$9:$L$12</c:f>
              <c:numCache>
                <c:formatCode>General</c:formatCode>
                <c:ptCount val="4"/>
                <c:pt idx="0">
                  <c:v>289.99993665634162</c:v>
                </c:pt>
                <c:pt idx="1">
                  <c:v>286.29306576972044</c:v>
                </c:pt>
                <c:pt idx="2">
                  <c:v>468.28447861604991</c:v>
                </c:pt>
                <c:pt idx="3">
                  <c:v>462.35784078167546</c:v>
                </c:pt>
              </c:numCache>
            </c:numRef>
          </c:val>
          <c:extLst>
            <c:ext xmlns:c16="http://schemas.microsoft.com/office/drawing/2014/chart" uri="{C3380CC4-5D6E-409C-BE32-E72D297353CC}">
              <c16:uniqueId val="{00000006-3035-4FDE-9351-CE3B8D2B30E5}"/>
            </c:ext>
          </c:extLst>
        </c:ser>
        <c:ser>
          <c:idx val="7"/>
          <c:order val="7"/>
          <c:tx>
            <c:strRef>
              <c:f>FD!$M$8</c:f>
              <c:strCache>
                <c:ptCount val="1"/>
                <c:pt idx="0">
                  <c:v>End of life </c:v>
                </c:pt>
              </c:strCache>
            </c:strRef>
          </c:tx>
          <c:spPr>
            <a:pattFill prst="dkHorz">
              <a:fgClr>
                <a:schemeClr val="accent6">
                  <a:lumMod val="75000"/>
                </a:schemeClr>
              </a:fgClr>
              <a:bgClr>
                <a:schemeClr val="bg1"/>
              </a:bgClr>
            </a:pattFill>
            <a:ln>
              <a:noFill/>
            </a:ln>
            <a:effectLst/>
          </c:spPr>
          <c:invertIfNegative val="0"/>
          <c:cat>
            <c:strRef>
              <c:f>FD!$E$9:$E$12</c:f>
              <c:strCache>
                <c:ptCount val="4"/>
                <c:pt idx="0">
                  <c:v>GLT-h</c:v>
                </c:pt>
                <c:pt idx="1">
                  <c:v>GLT-S</c:v>
                </c:pt>
                <c:pt idx="2">
                  <c:v>LVL-h</c:v>
                </c:pt>
                <c:pt idx="3">
                  <c:v>LVL-s</c:v>
                </c:pt>
              </c:strCache>
            </c:strRef>
          </c:cat>
          <c:val>
            <c:numRef>
              <c:f>FD!$M$9:$M$12</c:f>
              <c:numCache>
                <c:formatCode>General</c:formatCode>
                <c:ptCount val="4"/>
                <c:pt idx="0">
                  <c:v>-2240.908601435367</c:v>
                </c:pt>
                <c:pt idx="1">
                  <c:v>-2212.2645991296581</c:v>
                </c:pt>
                <c:pt idx="2">
                  <c:v>-1686.5697473174109</c:v>
                </c:pt>
                <c:pt idx="3">
                  <c:v>-1665.2244144455983</c:v>
                </c:pt>
              </c:numCache>
            </c:numRef>
          </c:val>
          <c:extLst>
            <c:ext xmlns:c16="http://schemas.microsoft.com/office/drawing/2014/chart" uri="{C3380CC4-5D6E-409C-BE32-E72D297353CC}">
              <c16:uniqueId val="{00000007-3035-4FDE-9351-CE3B8D2B30E5}"/>
            </c:ext>
          </c:extLst>
        </c:ser>
        <c:dLbls>
          <c:showLegendKey val="0"/>
          <c:showVal val="0"/>
          <c:showCatName val="0"/>
          <c:showSerName val="0"/>
          <c:showPercent val="0"/>
          <c:showBubbleSize val="0"/>
        </c:dLbls>
        <c:gapWidth val="150"/>
        <c:overlap val="100"/>
        <c:axId val="1209007023"/>
        <c:axId val="1209007439"/>
      </c:barChart>
      <c:catAx>
        <c:axId val="120900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9007439"/>
        <c:crosses val="autoZero"/>
        <c:auto val="1"/>
        <c:lblAlgn val="ctr"/>
        <c:lblOffset val="100"/>
        <c:noMultiLvlLbl val="0"/>
      </c:catAx>
      <c:valAx>
        <c:axId val="1209007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Kg oil eq</a:t>
                </a:r>
                <a:endParaRPr lang="en-US" sz="300">
                  <a:effectLst/>
                  <a:latin typeface="Times New Roman" panose="02020603050405020304" pitchFamily="18" charset="0"/>
                  <a:cs typeface="Times New Roman" panose="02020603050405020304" pitchFamily="18" charset="0"/>
                </a:endParaRPr>
              </a:p>
            </c:rich>
          </c:tx>
          <c:layout>
            <c:manualLayout>
              <c:xMode val="edge"/>
              <c:yMode val="edge"/>
              <c:x val="0"/>
              <c:y val="0.366377223680373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09007023"/>
        <c:crosses val="autoZero"/>
        <c:crossBetween val="between"/>
      </c:valAx>
      <c:spPr>
        <a:noFill/>
        <a:ln>
          <a:noFill/>
        </a:ln>
        <a:effectLst/>
      </c:spPr>
    </c:plotArea>
    <c:legend>
      <c:legendPos val="b"/>
      <c:layout>
        <c:manualLayout>
          <c:xMode val="edge"/>
          <c:yMode val="edge"/>
          <c:x val="0.13687219431876602"/>
          <c:y val="0.83286243631310808"/>
          <c:w val="0.8608749573792619"/>
          <c:h val="0.162235602902578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6A4CFDB-A1E6-4A37-96B6-DFF92344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35027</Words>
  <Characters>199658</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 Tighnavard Balasbaneh</cp:lastModifiedBy>
  <cp:revision>99</cp:revision>
  <dcterms:created xsi:type="dcterms:W3CDTF">2022-06-06T02:18:00Z</dcterms:created>
  <dcterms:modified xsi:type="dcterms:W3CDTF">2024-07-02T14:26:00Z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1925b4fe-36fc-3059-9786-12e99c144cd6</vt:lpwstr>
  </property>
  <property fmtid="{D5CDD505-2E9C-101B-9397-08002B2CF9AE}" pid="24" name="Mendeley Citation Style_1">
    <vt:lpwstr>http://www.zotero.org/styles/apa</vt:lpwstr>
  </property>
</Properties>
</file>