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D97B08" w14:textId="77777777" w:rsidR="007B5AC4" w:rsidRPr="00536B77" w:rsidRDefault="007B5AC4" w:rsidP="004473E1">
      <w:pPr>
        <w:jc w:val="center"/>
        <w:rPr>
          <w:b/>
        </w:rPr>
      </w:pPr>
      <w:bookmarkStart w:id="0" w:name="_GoBack"/>
      <w:bookmarkEnd w:id="0"/>
      <w:commentRangeStart w:id="1"/>
      <w:r w:rsidRPr="00536B77">
        <w:rPr>
          <w:b/>
        </w:rPr>
        <w:t>Chapter</w:t>
      </w:r>
      <w:commentRangeEnd w:id="1"/>
      <w:r w:rsidR="003852F7">
        <w:rPr>
          <w:rStyle w:val="CommentReference"/>
        </w:rPr>
        <w:commentReference w:id="1"/>
      </w:r>
      <w:r w:rsidRPr="00536B77">
        <w:rPr>
          <w:b/>
        </w:rPr>
        <w:t xml:space="preserve"> </w:t>
      </w:r>
      <w:r w:rsidR="00DA35D7" w:rsidRPr="00536B77">
        <w:rPr>
          <w:b/>
        </w:rPr>
        <w:t>Four</w:t>
      </w:r>
    </w:p>
    <w:p w14:paraId="7C51C449" w14:textId="77777777" w:rsidR="00DA35D7" w:rsidRPr="00536B77" w:rsidRDefault="00DA35D7" w:rsidP="004473E1">
      <w:pPr>
        <w:jc w:val="center"/>
        <w:rPr>
          <w:b/>
        </w:rPr>
      </w:pPr>
    </w:p>
    <w:p w14:paraId="67E41150" w14:textId="77777777" w:rsidR="00542069" w:rsidRPr="00536B77" w:rsidRDefault="00542069" w:rsidP="004473E1">
      <w:pPr>
        <w:jc w:val="center"/>
        <w:rPr>
          <w:b/>
        </w:rPr>
      </w:pPr>
      <w:r w:rsidRPr="00536B77">
        <w:rPr>
          <w:b/>
        </w:rPr>
        <w:t xml:space="preserve">The </w:t>
      </w:r>
      <w:r w:rsidRPr="008F77DD">
        <w:rPr>
          <w:b/>
          <w:i/>
        </w:rPr>
        <w:t>Pinochet</w:t>
      </w:r>
      <w:r w:rsidRPr="00536B77">
        <w:rPr>
          <w:b/>
        </w:rPr>
        <w:t xml:space="preserve"> Judgment Fifteen Years On</w:t>
      </w:r>
    </w:p>
    <w:p w14:paraId="33792060" w14:textId="77777777" w:rsidR="00DA35D7" w:rsidRPr="00536B77" w:rsidRDefault="00DA35D7" w:rsidP="004473E1">
      <w:pPr>
        <w:jc w:val="center"/>
        <w:rPr>
          <w:b/>
        </w:rPr>
      </w:pPr>
    </w:p>
    <w:p w14:paraId="48DBD572" w14:textId="77777777" w:rsidR="00542069" w:rsidRPr="00536B77" w:rsidRDefault="00542069" w:rsidP="004473E1">
      <w:pPr>
        <w:jc w:val="center"/>
        <w:rPr>
          <w:b/>
        </w:rPr>
      </w:pPr>
      <w:r w:rsidRPr="00536B77">
        <w:rPr>
          <w:b/>
        </w:rPr>
        <w:t>J. Craig Barker</w:t>
      </w:r>
    </w:p>
    <w:p w14:paraId="349856B3" w14:textId="77777777" w:rsidR="00DA35D7" w:rsidRPr="00536B77" w:rsidRDefault="00DA35D7" w:rsidP="004473E1">
      <w:pPr>
        <w:rPr>
          <w:b/>
        </w:rPr>
      </w:pPr>
    </w:p>
    <w:p w14:paraId="5342D42A" w14:textId="77777777" w:rsidR="005922E6" w:rsidRPr="00536B77" w:rsidRDefault="007B5AC4" w:rsidP="00536B77">
      <w:pPr>
        <w:spacing w:line="480" w:lineRule="auto"/>
        <w:rPr>
          <w:b/>
        </w:rPr>
      </w:pPr>
      <w:r w:rsidRPr="00536B77">
        <w:rPr>
          <w:b/>
        </w:rPr>
        <w:t>I</w:t>
      </w:r>
      <w:r w:rsidR="005922E6" w:rsidRPr="00536B77">
        <w:rPr>
          <w:b/>
        </w:rPr>
        <w:t>.</w:t>
      </w:r>
      <w:r w:rsidRPr="00536B77">
        <w:rPr>
          <w:b/>
        </w:rPr>
        <w:t>)</w:t>
      </w:r>
      <w:r w:rsidR="005922E6" w:rsidRPr="00536B77">
        <w:rPr>
          <w:b/>
        </w:rPr>
        <w:t xml:space="preserve"> Introduction</w:t>
      </w:r>
    </w:p>
    <w:p w14:paraId="45D21F82" w14:textId="1290A9EA" w:rsidR="00542069" w:rsidRPr="00536B77" w:rsidRDefault="009C5FE6" w:rsidP="00536B77">
      <w:pPr>
        <w:spacing w:line="480" w:lineRule="auto"/>
      </w:pPr>
      <w:r w:rsidRPr="00536B77">
        <w:t>I am delighted to have been invited to contribute to this volume.</w:t>
      </w:r>
      <w:r w:rsidR="007B5AC4" w:rsidRPr="00536B77">
        <w:t xml:space="preserve"> </w:t>
      </w:r>
      <w:r w:rsidRPr="00536B77">
        <w:t xml:space="preserve"> As a colleague of </w:t>
      </w:r>
      <w:r w:rsidR="002F5520" w:rsidRPr="00536B77">
        <w:t xml:space="preserve">Professor </w:t>
      </w:r>
      <w:r w:rsidRPr="00536B77">
        <w:t>Sandy</w:t>
      </w:r>
      <w:r w:rsidR="002F5520" w:rsidRPr="00536B77">
        <w:t xml:space="preserve"> Ghandhi</w:t>
      </w:r>
      <w:r w:rsidRPr="00536B77">
        <w:t xml:space="preserve"> for </w:t>
      </w:r>
      <w:r w:rsidR="00315888" w:rsidRPr="00536B77">
        <w:t xml:space="preserve">just over ten years, and a friend for even longer, I have benefitted, through countless engaging and challenging discussions, </w:t>
      </w:r>
      <w:r w:rsidR="002F5520" w:rsidRPr="00536B77">
        <w:t xml:space="preserve">from </w:t>
      </w:r>
      <w:r w:rsidR="00127B10" w:rsidRPr="00536B77">
        <w:t>Sandy’s</w:t>
      </w:r>
      <w:r w:rsidR="00315888" w:rsidRPr="00536B77">
        <w:t xml:space="preserve"> wisdom, </w:t>
      </w:r>
      <w:r w:rsidR="00FB4F14" w:rsidRPr="00536B77">
        <w:t xml:space="preserve">thoughtfulness and rigour. </w:t>
      </w:r>
      <w:r w:rsidR="007B5AC4" w:rsidRPr="00536B77">
        <w:t xml:space="preserve"> </w:t>
      </w:r>
      <w:r w:rsidR="00FB4F14" w:rsidRPr="00536B77">
        <w:t xml:space="preserve">It is </w:t>
      </w:r>
      <w:r w:rsidR="00F6283B" w:rsidRPr="00536B77">
        <w:t xml:space="preserve">particularly </w:t>
      </w:r>
      <w:r w:rsidR="00FB4F14" w:rsidRPr="00536B77">
        <w:t>his ri</w:t>
      </w:r>
      <w:r w:rsidR="00127B10" w:rsidRPr="00536B77">
        <w:t>gour that I believe sets Sandy</w:t>
      </w:r>
      <w:r w:rsidR="00FB4F14" w:rsidRPr="00536B77">
        <w:t xml:space="preserve"> apart as a human rights lawyer. </w:t>
      </w:r>
      <w:r w:rsidR="007B5AC4" w:rsidRPr="00536B77">
        <w:t xml:space="preserve"> </w:t>
      </w:r>
      <w:r w:rsidR="00FB4F14" w:rsidRPr="00536B77">
        <w:t xml:space="preserve">Christopher Waters, in </w:t>
      </w:r>
      <w:r w:rsidR="00A16CA5">
        <w:t>the first Chapter of this</w:t>
      </w:r>
      <w:r w:rsidR="00FB4F14" w:rsidRPr="00536B77">
        <w:t xml:space="preserve"> volume, </w:t>
      </w:r>
      <w:r w:rsidR="00E62105" w:rsidRPr="00536B77">
        <w:t xml:space="preserve">has </w:t>
      </w:r>
      <w:r w:rsidR="00F6283B" w:rsidRPr="00536B77">
        <w:t xml:space="preserve">highlighted </w:t>
      </w:r>
      <w:r w:rsidR="00127B10" w:rsidRPr="00536B77">
        <w:t>Sandy</w:t>
      </w:r>
      <w:r w:rsidR="00F6283B" w:rsidRPr="00536B77">
        <w:t xml:space="preserve">’s concern with “proper procedure” and his focus on the achievement of the </w:t>
      </w:r>
      <w:r w:rsidR="00F6283B" w:rsidRPr="00536B77">
        <w:rPr>
          <w:lang w:val="en-US"/>
        </w:rPr>
        <w:t>furtherance of human protection “within the confines of the relevant treaty or legislation</w:t>
      </w:r>
      <w:r w:rsidR="00127B10" w:rsidRPr="00536B77">
        <w:rPr>
          <w:lang w:val="en-US"/>
        </w:rPr>
        <w:t xml:space="preserve">”. </w:t>
      </w:r>
      <w:r w:rsidR="007B5AC4" w:rsidRPr="00536B77">
        <w:rPr>
          <w:lang w:val="en-US"/>
        </w:rPr>
        <w:t xml:space="preserve"> </w:t>
      </w:r>
      <w:r w:rsidR="00127B10" w:rsidRPr="00536B77">
        <w:rPr>
          <w:lang w:val="en-US"/>
        </w:rPr>
        <w:t>The work that Sandy</w:t>
      </w:r>
      <w:r w:rsidR="00F6283B" w:rsidRPr="00536B77">
        <w:rPr>
          <w:lang w:val="en-US"/>
        </w:rPr>
        <w:t xml:space="preserve"> and I did together on the </w:t>
      </w:r>
      <w:r w:rsidR="00F6283B" w:rsidRPr="00536B77">
        <w:rPr>
          <w:i/>
          <w:lang w:val="en-US"/>
        </w:rPr>
        <w:t>Pinochet</w:t>
      </w:r>
      <w:r w:rsidR="00F6283B" w:rsidRPr="00536B77">
        <w:rPr>
          <w:lang w:val="en-US"/>
        </w:rPr>
        <w:t xml:space="preserve"> case, resulting in a </w:t>
      </w:r>
      <w:r w:rsidR="00E62105" w:rsidRPr="00536B77">
        <w:rPr>
          <w:lang w:val="en-US"/>
        </w:rPr>
        <w:t xml:space="preserve">co-authored </w:t>
      </w:r>
      <w:r w:rsidR="00F6283B" w:rsidRPr="00536B77">
        <w:rPr>
          <w:lang w:val="en-US"/>
        </w:rPr>
        <w:t xml:space="preserve">piece published in the </w:t>
      </w:r>
      <w:r w:rsidR="00F6283B" w:rsidRPr="00536B77">
        <w:rPr>
          <w:i/>
          <w:lang w:val="en-US"/>
        </w:rPr>
        <w:t>Indian Journal of International Law</w:t>
      </w:r>
      <w:r w:rsidR="00F6283B" w:rsidRPr="00536B77">
        <w:rPr>
          <w:lang w:val="en-US"/>
        </w:rPr>
        <w:t xml:space="preserve"> in 2000,</w:t>
      </w:r>
      <w:r w:rsidR="00F6283B" w:rsidRPr="00536B77">
        <w:rPr>
          <w:vertAlign w:val="superscript"/>
        </w:rPr>
        <w:footnoteReference w:id="1"/>
      </w:r>
      <w:r w:rsidR="00F6283B" w:rsidRPr="00536B77">
        <w:rPr>
          <w:vertAlign w:val="superscript"/>
        </w:rPr>
        <w:t xml:space="preserve"> </w:t>
      </w:r>
      <w:r w:rsidR="00127B10" w:rsidRPr="00536B77">
        <w:rPr>
          <w:lang w:val="en-US"/>
        </w:rPr>
        <w:t>fully reflects Sandy</w:t>
      </w:r>
      <w:r w:rsidR="00F6283B" w:rsidRPr="00536B77">
        <w:rPr>
          <w:lang w:val="en-US"/>
        </w:rPr>
        <w:t xml:space="preserve">’s rigorous </w:t>
      </w:r>
      <w:r w:rsidR="00542069" w:rsidRPr="00536B77">
        <w:rPr>
          <w:lang w:val="en-US"/>
        </w:rPr>
        <w:t xml:space="preserve">approach. </w:t>
      </w:r>
      <w:r w:rsidR="007B5AC4" w:rsidRPr="00536B77">
        <w:rPr>
          <w:lang w:val="en-US"/>
        </w:rPr>
        <w:t xml:space="preserve"> </w:t>
      </w:r>
      <w:r w:rsidR="00542069" w:rsidRPr="00536B77">
        <w:t xml:space="preserve">The purpose of that article was to examine the House of Lord’s judgment in </w:t>
      </w:r>
      <w:r w:rsidR="00542069" w:rsidRPr="00536B77">
        <w:rPr>
          <w:i/>
        </w:rPr>
        <w:t>Ex Parte Pinochet No. 3</w:t>
      </w:r>
      <w:r w:rsidR="00542069" w:rsidRPr="008F77DD">
        <w:rPr>
          <w:vertAlign w:val="superscript"/>
        </w:rPr>
        <w:footnoteReference w:id="2"/>
      </w:r>
      <w:r w:rsidR="00542069" w:rsidRPr="008F77DD">
        <w:t xml:space="preserve"> </w:t>
      </w:r>
      <w:r w:rsidR="00542069" w:rsidRPr="00536B77">
        <w:t xml:space="preserve">and to highlight some of the potential implications of </w:t>
      </w:r>
      <w:r w:rsidR="00E62105" w:rsidRPr="00536B77">
        <w:t xml:space="preserve">that </w:t>
      </w:r>
      <w:r w:rsidR="00542069" w:rsidRPr="00536B77">
        <w:t xml:space="preserve">judgment in terms of both domestic and international law, with a particular emphasis on the question of the protection of human rights. </w:t>
      </w:r>
    </w:p>
    <w:p w14:paraId="290F864F" w14:textId="0A52C711" w:rsidR="00955EDA" w:rsidRPr="00536B77" w:rsidRDefault="00955EDA" w:rsidP="00536B77">
      <w:pPr>
        <w:spacing w:line="480" w:lineRule="auto"/>
        <w:ind w:firstLine="720"/>
      </w:pPr>
      <w:r w:rsidRPr="00536B77">
        <w:t xml:space="preserve">For many leading scholars writing at the time, the </w:t>
      </w:r>
      <w:r w:rsidRPr="00536B77">
        <w:rPr>
          <w:i/>
        </w:rPr>
        <w:t>Pinochet</w:t>
      </w:r>
      <w:r w:rsidRPr="00536B77">
        <w:t xml:space="preserve"> case was a game changer. </w:t>
      </w:r>
      <w:r w:rsidR="007B5AC4" w:rsidRPr="00536B77">
        <w:t xml:space="preserve"> </w:t>
      </w:r>
      <w:r w:rsidRPr="00536B77">
        <w:t>According to Ruth Wedgewood, for example, the decision “changed the structure of international law”.</w:t>
      </w:r>
      <w:r w:rsidRPr="00536B77">
        <w:rPr>
          <w:rStyle w:val="FootnoteReference"/>
        </w:rPr>
        <w:footnoteReference w:id="3"/>
      </w:r>
      <w:r w:rsidR="007B5AC4" w:rsidRPr="00536B77">
        <w:t xml:space="preserve"> </w:t>
      </w:r>
      <w:r w:rsidRPr="00536B77">
        <w:t xml:space="preserve"> William Aceves asserted that the </w:t>
      </w:r>
      <w:r w:rsidRPr="008F77DD">
        <w:rPr>
          <w:i/>
        </w:rPr>
        <w:t>Pinochet</w:t>
      </w:r>
      <w:r w:rsidRPr="00536B77">
        <w:t xml:space="preserve"> case represented an “emerging trend towards the development of a universal system of transnational law litigation”</w:t>
      </w:r>
      <w:r w:rsidR="00FB28D0" w:rsidRPr="00536B77">
        <w:t>,</w:t>
      </w:r>
      <w:r w:rsidRPr="00536B77">
        <w:rPr>
          <w:rStyle w:val="FootnoteReference"/>
        </w:rPr>
        <w:footnoteReference w:id="4"/>
      </w:r>
      <w:r w:rsidR="00FB28D0" w:rsidRPr="00536B77">
        <w:t xml:space="preserve"> while Christine Chinkin spoke of a victory for the gl</w:t>
      </w:r>
      <w:r w:rsidR="007B5AC4" w:rsidRPr="00536B77">
        <w:t>obalization of human rights law</w:t>
      </w:r>
      <w:r w:rsidR="00FB28D0" w:rsidRPr="00536B77">
        <w:t xml:space="preserve"> over the </w:t>
      </w:r>
      <w:r w:rsidR="00FB28D0" w:rsidRPr="00536B77">
        <w:lastRenderedPageBreak/>
        <w:t xml:space="preserve">horizontal vision of international law based upon the sovereign equality of </w:t>
      </w:r>
      <w:r w:rsidR="000F6A9C" w:rsidRPr="00536B77">
        <w:t>State</w:t>
      </w:r>
      <w:r w:rsidR="00FB28D0" w:rsidRPr="00536B77">
        <w:t>s.</w:t>
      </w:r>
      <w:r w:rsidR="00FB28D0" w:rsidRPr="00536B77">
        <w:rPr>
          <w:rStyle w:val="FootnoteReference"/>
        </w:rPr>
        <w:footnoteReference w:id="5"/>
      </w:r>
      <w:r w:rsidRPr="00536B77">
        <w:t xml:space="preserve"> </w:t>
      </w:r>
      <w:r w:rsidR="007B5AC4" w:rsidRPr="00536B77">
        <w:t xml:space="preserve"> </w:t>
      </w:r>
      <w:r w:rsidRPr="00536B77">
        <w:t>Furthermore, the “unprecedented character” of the case led Andrea Bianchi to assert that “</w:t>
      </w:r>
      <w:commentRangeStart w:id="2"/>
      <w:r w:rsidRPr="00536B77">
        <w:t>neither jurisdictional immunities no</w:t>
      </w:r>
      <w:r w:rsidR="00875E89">
        <w:t>r</w:t>
      </w:r>
      <w:r w:rsidRPr="00536B77">
        <w:t xml:space="preserve"> act of </w:t>
      </w:r>
      <w:r w:rsidR="000F6A9C" w:rsidRPr="00536B77">
        <w:t>State</w:t>
      </w:r>
      <w:r w:rsidRPr="00536B77">
        <w:t xml:space="preserve"> and other doctrines of judicial self-restraint are consistent with the notion of crimes of international law”</w:t>
      </w:r>
      <w:commentRangeEnd w:id="2"/>
      <w:r w:rsidR="00E62105" w:rsidRPr="00536B77">
        <w:rPr>
          <w:rStyle w:val="CommentReference"/>
          <w:sz w:val="24"/>
          <w:szCs w:val="24"/>
        </w:rPr>
        <w:commentReference w:id="2"/>
      </w:r>
      <w:r w:rsidRPr="00536B77">
        <w:t>.</w:t>
      </w:r>
      <w:r w:rsidRPr="00536B77">
        <w:rPr>
          <w:rStyle w:val="FootnoteReference"/>
        </w:rPr>
        <w:footnoteReference w:id="6"/>
      </w:r>
      <w:r w:rsidRPr="00536B77">
        <w:t xml:space="preserve"> </w:t>
      </w:r>
      <w:r w:rsidR="007B5AC4" w:rsidRPr="00536B77">
        <w:t xml:space="preserve"> </w:t>
      </w:r>
      <w:r w:rsidRPr="00536B77">
        <w:t xml:space="preserve">Sandy and I were far more circumspect in our analysis, noting the very limited </w:t>
      </w:r>
      <w:r w:rsidRPr="008F77DD">
        <w:rPr>
          <w:i/>
        </w:rPr>
        <w:t>ratio</w:t>
      </w:r>
      <w:r w:rsidRPr="00536B77">
        <w:t xml:space="preserve"> of the decision in relation to the var</w:t>
      </w:r>
      <w:r w:rsidR="00FB28D0" w:rsidRPr="00536B77">
        <w:t>ious different elements at iss</w:t>
      </w:r>
      <w:r w:rsidR="00EE6030" w:rsidRPr="00536B77">
        <w:t>u</w:t>
      </w:r>
      <w:r w:rsidRPr="00536B77">
        <w:t>e in the case, concluding, ultimately, that “in spite of the many claims that the case against Senator Pinochet stands at the threshold of a new international legal order, the reality is that the case was dependent on a certain very narrow question of UK law”.</w:t>
      </w:r>
      <w:r w:rsidRPr="00536B77">
        <w:rPr>
          <w:rStyle w:val="FootnoteReference"/>
        </w:rPr>
        <w:footnoteReference w:id="7"/>
      </w:r>
    </w:p>
    <w:p w14:paraId="53A0547F" w14:textId="64A53252" w:rsidR="00EE6030" w:rsidRPr="00536B77" w:rsidRDefault="00542069" w:rsidP="00536B77">
      <w:pPr>
        <w:spacing w:line="480" w:lineRule="auto"/>
        <w:ind w:firstLine="720"/>
      </w:pPr>
      <w:r w:rsidRPr="00536B77">
        <w:t xml:space="preserve">Fifteen years after the </w:t>
      </w:r>
      <w:r w:rsidRPr="00536B77">
        <w:rPr>
          <w:i/>
        </w:rPr>
        <w:t>Pinochet</w:t>
      </w:r>
      <w:r w:rsidRPr="00536B77">
        <w:t xml:space="preserve"> judgment this chapter will id</w:t>
      </w:r>
      <w:r w:rsidR="00955EDA" w:rsidRPr="00536B77">
        <w:t>entify the key arguments in our</w:t>
      </w:r>
      <w:r w:rsidRPr="00536B77">
        <w:t xml:space="preserve"> original article and test that analysis against the present day </w:t>
      </w:r>
      <w:r w:rsidR="000F6A9C" w:rsidRPr="00536B77">
        <w:t>State</w:t>
      </w:r>
      <w:r w:rsidRPr="00536B77">
        <w:t xml:space="preserve"> of international and domestic law</w:t>
      </w:r>
      <w:r w:rsidR="00E62105" w:rsidRPr="00536B77">
        <w:t xml:space="preserve">, </w:t>
      </w:r>
      <w:r w:rsidR="001756FB" w:rsidRPr="00536B77">
        <w:t>particularly within the context of the highly controversial relationship between immunities and human rights.</w:t>
      </w:r>
      <w:r w:rsidRPr="00536B77">
        <w:t xml:space="preserve"> </w:t>
      </w:r>
      <w:r w:rsidR="007B5AC4" w:rsidRPr="00536B77">
        <w:t xml:space="preserve"> </w:t>
      </w:r>
      <w:r w:rsidRPr="00536B77">
        <w:t>Additionally, this chapter will seek to further analyse the judgment against recent case law emanating from domestic courts, the European Court of Human Rights and the International Court of Justice</w:t>
      </w:r>
      <w:r w:rsidR="0098341E">
        <w:t xml:space="preserve"> (ICJ)</w:t>
      </w:r>
      <w:r w:rsidRPr="00536B77">
        <w:t xml:space="preserve">. </w:t>
      </w:r>
      <w:r w:rsidR="001756FB" w:rsidRPr="00536B77">
        <w:t xml:space="preserve">The analysis </w:t>
      </w:r>
      <w:r w:rsidRPr="00536B77">
        <w:t xml:space="preserve">will </w:t>
      </w:r>
      <w:r w:rsidR="00EE6030" w:rsidRPr="00536B77">
        <w:t xml:space="preserve">also briefly </w:t>
      </w:r>
      <w:r w:rsidRPr="00536B77">
        <w:t xml:space="preserve">consider the </w:t>
      </w:r>
      <w:r w:rsidR="00EE6030" w:rsidRPr="00536B77">
        <w:t>alternatives to the constant challenges to immunity from jurisdiction that have the potential further to undermine what is an important procedural safeguard in the conduct of international relations.</w:t>
      </w:r>
    </w:p>
    <w:p w14:paraId="48D67722" w14:textId="77777777" w:rsidR="00F23572" w:rsidRPr="00536B77" w:rsidRDefault="007B5AC4" w:rsidP="00536B77">
      <w:pPr>
        <w:spacing w:line="480" w:lineRule="auto"/>
        <w:rPr>
          <w:b/>
        </w:rPr>
      </w:pPr>
      <w:r w:rsidRPr="00536B77">
        <w:rPr>
          <w:b/>
        </w:rPr>
        <w:t>II.)</w:t>
      </w:r>
      <w:r w:rsidR="001756FB" w:rsidRPr="00536B77">
        <w:rPr>
          <w:b/>
        </w:rPr>
        <w:t xml:space="preserve"> The </w:t>
      </w:r>
      <w:r w:rsidR="001756FB" w:rsidRPr="00536B77">
        <w:rPr>
          <w:b/>
          <w:i/>
        </w:rPr>
        <w:t>Pinochet</w:t>
      </w:r>
      <w:r w:rsidR="00F23572" w:rsidRPr="00536B77">
        <w:rPr>
          <w:b/>
        </w:rPr>
        <w:t xml:space="preserve"> Case: A Limited Precedent</w:t>
      </w:r>
    </w:p>
    <w:p w14:paraId="66A53BE0" w14:textId="77777777" w:rsidR="00E41380" w:rsidRPr="00536B77" w:rsidRDefault="00E41380" w:rsidP="00536B77">
      <w:pPr>
        <w:spacing w:line="480" w:lineRule="auto"/>
      </w:pPr>
      <w:r w:rsidRPr="00536B77">
        <w:lastRenderedPageBreak/>
        <w:t>It will be recalled</w:t>
      </w:r>
      <w:r w:rsidR="00EE6030" w:rsidRPr="00536B77">
        <w:t>,</w:t>
      </w:r>
      <w:r w:rsidRPr="00536B77">
        <w:t xml:space="preserve"> briefly</w:t>
      </w:r>
      <w:r w:rsidR="00EE6030" w:rsidRPr="00536B77">
        <w:t>,</w:t>
      </w:r>
      <w:r w:rsidRPr="00536B77">
        <w:t xml:space="preserve"> that Senator (then Genera</w:t>
      </w:r>
      <w:r w:rsidR="00EE6030" w:rsidRPr="00536B77">
        <w:t xml:space="preserve">l) Augusto Pinochet had become </w:t>
      </w:r>
      <w:r w:rsidR="000F6A9C" w:rsidRPr="00536B77">
        <w:t>Head of</w:t>
      </w:r>
      <w:r w:rsidRPr="00536B77">
        <w:t xml:space="preserve"> </w:t>
      </w:r>
      <w:r w:rsidR="000F6A9C" w:rsidRPr="00536B77">
        <w:t>State</w:t>
      </w:r>
      <w:r w:rsidRPr="00536B77">
        <w:t xml:space="preserve"> in Chile after leading a </w:t>
      </w:r>
      <w:r w:rsidRPr="00536B77">
        <w:rPr>
          <w:i/>
        </w:rPr>
        <w:t>coup d’état</w:t>
      </w:r>
      <w:r w:rsidRPr="00536B77">
        <w:t xml:space="preserve"> on 11 September 1973 and had remained in power in</w:t>
      </w:r>
      <w:r w:rsidR="00EE6030" w:rsidRPr="00536B77">
        <w:t xml:space="preserve"> that country until 11 March 199</w:t>
      </w:r>
      <w:r w:rsidRPr="00536B77">
        <w:t>0.</w:t>
      </w:r>
      <w:r w:rsidR="00EE6030" w:rsidRPr="00536B77">
        <w:rPr>
          <w:rStyle w:val="FootnoteReference"/>
        </w:rPr>
        <w:footnoteReference w:id="8"/>
      </w:r>
      <w:r w:rsidRPr="00536B77">
        <w:t xml:space="preserve"> </w:t>
      </w:r>
      <w:r w:rsidR="007B5AC4" w:rsidRPr="00536B77">
        <w:t xml:space="preserve"> </w:t>
      </w:r>
      <w:r w:rsidRPr="00536B77">
        <w:t xml:space="preserve">Pinochet’s time in office was notable for the many appalling acts of brutality perpetrated by his forces against the civilian population of that country. </w:t>
      </w:r>
      <w:r w:rsidR="007B5AC4" w:rsidRPr="00536B77">
        <w:t xml:space="preserve"> </w:t>
      </w:r>
      <w:r w:rsidRPr="00536B77">
        <w:t xml:space="preserve">In 1998, Senator Pinochet visited the United Kingdom to receive medical treatment. </w:t>
      </w:r>
      <w:r w:rsidR="007B5AC4" w:rsidRPr="00536B77">
        <w:t xml:space="preserve"> </w:t>
      </w:r>
      <w:r w:rsidRPr="00536B77">
        <w:t xml:space="preserve">Judicial authorities in Spain learned of his visit to the UK and sought his extradition in order that he might stand trial </w:t>
      </w:r>
      <w:r w:rsidR="00EE6030" w:rsidRPr="00536B77">
        <w:t>in Spain</w:t>
      </w:r>
      <w:r w:rsidRPr="00536B77">
        <w:t xml:space="preserve"> for conspiracy to commit the crime of murder, torture and hostage-taking. </w:t>
      </w:r>
      <w:r w:rsidR="007B5AC4" w:rsidRPr="00536B77">
        <w:t xml:space="preserve"> </w:t>
      </w:r>
      <w:r w:rsidRPr="00536B77">
        <w:t xml:space="preserve">As a result of this action, an international arrest warrant was issued on 16 October 1998 and a provisional arrest warrant was </w:t>
      </w:r>
      <w:r w:rsidR="00EE6030" w:rsidRPr="00536B77">
        <w:t>confirmed</w:t>
      </w:r>
      <w:r w:rsidRPr="00536B77">
        <w:t xml:space="preserve"> by a London Magistrate under section 8 of the Extradition Act 1989.</w:t>
      </w:r>
      <w:r w:rsidR="007B5AC4" w:rsidRPr="00536B77">
        <w:t xml:space="preserve"> </w:t>
      </w:r>
      <w:r w:rsidRPr="00536B77">
        <w:t xml:space="preserve"> In pursuance of this warrant, Pinochet was arrested in a London hospital on 17 October 1998. </w:t>
      </w:r>
      <w:r w:rsidR="007B5AC4" w:rsidRPr="00536B77">
        <w:t xml:space="preserve"> </w:t>
      </w:r>
      <w:r w:rsidRPr="00536B77">
        <w:t>On 22 October, a further arrest warrant was issued by Bow Street Magistrates accusing Senator Pinochet of a rang</w:t>
      </w:r>
      <w:r w:rsidR="0003792D" w:rsidRPr="00536B77">
        <w:t>e of additional</w:t>
      </w:r>
      <w:r w:rsidRPr="00536B77">
        <w:t xml:space="preserve"> offences.</w:t>
      </w:r>
    </w:p>
    <w:p w14:paraId="6BF6E91F" w14:textId="4C4873BA" w:rsidR="00BF691B" w:rsidRPr="00536B77" w:rsidRDefault="002F542A" w:rsidP="00536B77">
      <w:pPr>
        <w:spacing w:line="480" w:lineRule="auto"/>
        <w:ind w:firstLine="720"/>
      </w:pPr>
      <w:r w:rsidRPr="00536B77">
        <w:t xml:space="preserve">Senator </w:t>
      </w:r>
      <w:r w:rsidR="0003792D" w:rsidRPr="00536B77">
        <w:t xml:space="preserve">Pinochet commenced proceedings for </w:t>
      </w:r>
      <w:r w:rsidR="0003792D" w:rsidRPr="00536B77">
        <w:rPr>
          <w:i/>
        </w:rPr>
        <w:t>habeas corpus</w:t>
      </w:r>
      <w:r w:rsidR="0003792D" w:rsidRPr="00536B77">
        <w:t xml:space="preserve"> and sought leave for judicial review of the issuance of the two provisional </w:t>
      </w:r>
      <w:r w:rsidR="00BF691B" w:rsidRPr="00536B77">
        <w:t xml:space="preserve">arrest </w:t>
      </w:r>
      <w:r w:rsidR="0003792D" w:rsidRPr="00536B77">
        <w:t xml:space="preserve">warrants. </w:t>
      </w:r>
      <w:r w:rsidR="007B5AC4" w:rsidRPr="00536B77">
        <w:t xml:space="preserve"> </w:t>
      </w:r>
      <w:r w:rsidR="0003792D" w:rsidRPr="00536B77">
        <w:t>The matter was heard before a Divisional Court on 28 October 1998 which quashed both warrants</w:t>
      </w:r>
      <w:r w:rsidR="00BF691B" w:rsidRPr="00536B77">
        <w:t>,</w:t>
      </w:r>
      <w:r w:rsidR="0003792D" w:rsidRPr="00536B77">
        <w:t xml:space="preserve"> pr</w:t>
      </w:r>
      <w:r w:rsidR="00EE6030" w:rsidRPr="00536B77">
        <w:t xml:space="preserve">imarily on the basis of the </w:t>
      </w:r>
      <w:r w:rsidR="0003792D" w:rsidRPr="00536B77">
        <w:t>immunity to which Senator Pin</w:t>
      </w:r>
      <w:r w:rsidR="00EE6030" w:rsidRPr="00536B77">
        <w:t xml:space="preserve">ochet was entitled as a former </w:t>
      </w:r>
      <w:r w:rsidR="000F6A9C" w:rsidRPr="00536B77">
        <w:t>Head of</w:t>
      </w:r>
      <w:r w:rsidR="00EE6030" w:rsidRPr="00536B77">
        <w:t xml:space="preserve"> </w:t>
      </w:r>
      <w:r w:rsidR="000F6A9C" w:rsidRPr="00536B77">
        <w:t>State</w:t>
      </w:r>
      <w:r w:rsidR="0003792D" w:rsidRPr="00536B77">
        <w:t>.</w:t>
      </w:r>
      <w:commentRangeStart w:id="3"/>
      <w:r w:rsidR="0003792D" w:rsidRPr="00536B77">
        <w:rPr>
          <w:rStyle w:val="FootnoteReference"/>
        </w:rPr>
        <w:footnoteReference w:id="9"/>
      </w:r>
      <w:r w:rsidR="0003792D" w:rsidRPr="00536B77">
        <w:t xml:space="preserve"> </w:t>
      </w:r>
      <w:commentRangeEnd w:id="3"/>
      <w:r w:rsidR="00E62105" w:rsidRPr="00536B77">
        <w:rPr>
          <w:rStyle w:val="CommentReference"/>
          <w:sz w:val="24"/>
          <w:szCs w:val="24"/>
        </w:rPr>
        <w:commentReference w:id="3"/>
      </w:r>
      <w:r w:rsidR="007B5AC4" w:rsidRPr="00536B77">
        <w:t xml:space="preserve"> </w:t>
      </w:r>
      <w:r w:rsidR="00BF691B" w:rsidRPr="00536B77">
        <w:t xml:space="preserve">The Crown Prosecution Service was given leave to pursue an expedited appeal to the House of Lords, which first heard the case between 4 and 12 November 1998. </w:t>
      </w:r>
      <w:r w:rsidR="007B5AC4" w:rsidRPr="00536B77">
        <w:t xml:space="preserve"> </w:t>
      </w:r>
      <w:r w:rsidR="00BF691B" w:rsidRPr="00536B77">
        <w:t xml:space="preserve">The House of Lords decision in </w:t>
      </w:r>
      <w:r w:rsidR="00BF691B" w:rsidRPr="00536B77">
        <w:rPr>
          <w:i/>
        </w:rPr>
        <w:t>Pinochet No. 1</w:t>
      </w:r>
      <w:r w:rsidR="00BF691B" w:rsidRPr="00536B77">
        <w:t xml:space="preserve"> by a majority of 3 to 2 found that Senator Pinochet was not entitled to immunity in relation to crimes under international law.</w:t>
      </w:r>
      <w:r w:rsidR="00BF691B" w:rsidRPr="00536B77">
        <w:rPr>
          <w:rStyle w:val="FootnoteReference"/>
        </w:rPr>
        <w:footnoteReference w:id="10"/>
      </w:r>
      <w:r w:rsidR="00BF691B" w:rsidRPr="00536B77">
        <w:t xml:space="preserve"> </w:t>
      </w:r>
      <w:r w:rsidR="007B5AC4" w:rsidRPr="00536B77">
        <w:t xml:space="preserve"> </w:t>
      </w:r>
      <w:r w:rsidR="00BF691B" w:rsidRPr="00536B77">
        <w:t>Unfortunately</w:t>
      </w:r>
      <w:r w:rsidR="00536B77">
        <w:t>,</w:t>
      </w:r>
      <w:r w:rsidR="00BF691B" w:rsidRPr="00536B77">
        <w:t xml:space="preserve"> for some, this decision was set aside by the House of Lords on 15 January 199</w:t>
      </w:r>
      <w:r w:rsidR="00D22319">
        <w:t>9</w:t>
      </w:r>
      <w:r w:rsidR="00BF691B" w:rsidRPr="00536B77">
        <w:t xml:space="preserve"> </w:t>
      </w:r>
      <w:commentRangeStart w:id="4"/>
      <w:commentRangeStart w:id="5"/>
      <w:r w:rsidR="00BF691B" w:rsidRPr="00536B77">
        <w:t>on</w:t>
      </w:r>
      <w:commentRangeEnd w:id="4"/>
      <w:r w:rsidR="009661A3">
        <w:rPr>
          <w:rStyle w:val="CommentReference"/>
        </w:rPr>
        <w:commentReference w:id="4"/>
      </w:r>
      <w:commentRangeEnd w:id="5"/>
      <w:r w:rsidR="00D22319">
        <w:rPr>
          <w:rStyle w:val="CommentReference"/>
        </w:rPr>
        <w:commentReference w:id="5"/>
      </w:r>
      <w:r w:rsidR="00BF691B" w:rsidRPr="00536B77">
        <w:t xml:space="preserve"> the ground that the Appellate Committee had not been properly constructed during the first </w:t>
      </w:r>
      <w:r w:rsidR="00536A31" w:rsidRPr="00536B77">
        <w:t>hearing of the matter</w:t>
      </w:r>
      <w:r w:rsidR="0075442A" w:rsidRPr="00536B77">
        <w:t xml:space="preserve"> </w:t>
      </w:r>
      <w:r w:rsidR="0075442A" w:rsidRPr="00536B77">
        <w:lastRenderedPageBreak/>
        <w:t>(</w:t>
      </w:r>
      <w:r w:rsidR="0075442A" w:rsidRPr="00536B77">
        <w:rPr>
          <w:i/>
        </w:rPr>
        <w:t>Pinochet No</w:t>
      </w:r>
      <w:r w:rsidR="00C7585E" w:rsidRPr="00536B77">
        <w:rPr>
          <w:i/>
        </w:rPr>
        <w:t>.</w:t>
      </w:r>
      <w:r w:rsidR="0075442A" w:rsidRPr="00536B77">
        <w:rPr>
          <w:i/>
        </w:rPr>
        <w:t xml:space="preserve"> 2</w:t>
      </w:r>
      <w:r w:rsidR="0075442A" w:rsidRPr="00536B77">
        <w:t>)</w:t>
      </w:r>
      <w:r w:rsidR="00BF691B" w:rsidRPr="00536B77">
        <w:t>.</w:t>
      </w:r>
      <w:r w:rsidR="00536A31" w:rsidRPr="00536B77">
        <w:rPr>
          <w:rStyle w:val="FootnoteReference"/>
        </w:rPr>
        <w:footnoteReference w:id="11"/>
      </w:r>
      <w:r w:rsidR="007B5AC4" w:rsidRPr="00536B77">
        <w:t xml:space="preserve"> </w:t>
      </w:r>
      <w:r w:rsidR="00BF691B" w:rsidRPr="00536B77">
        <w:t xml:space="preserve"> The </w:t>
      </w:r>
      <w:commentRangeStart w:id="6"/>
      <w:r w:rsidR="00BF691B" w:rsidRPr="00536B77">
        <w:t xml:space="preserve">matter was reheard before the House of Lords </w:t>
      </w:r>
      <w:r w:rsidR="00536A31" w:rsidRPr="00536B77">
        <w:t>on 18 January 199</w:t>
      </w:r>
      <w:r w:rsidR="00D22319">
        <w:t>9</w:t>
      </w:r>
      <w:r w:rsidR="00EE6030" w:rsidRPr="00536B77">
        <w:t xml:space="preserve"> which</w:t>
      </w:r>
      <w:r w:rsidR="00FB28D0" w:rsidRPr="00536B77">
        <w:t xml:space="preserve"> delivered its final opinion </w:t>
      </w:r>
      <w:commentRangeEnd w:id="6"/>
      <w:r w:rsidR="00536B77">
        <w:rPr>
          <w:rStyle w:val="CommentReference"/>
        </w:rPr>
        <w:commentReference w:id="6"/>
      </w:r>
      <w:r w:rsidR="00FB28D0" w:rsidRPr="00536B77">
        <w:t xml:space="preserve">on </w:t>
      </w:r>
      <w:r w:rsidR="00FC6BD3">
        <w:t>24 March</w:t>
      </w:r>
      <w:r w:rsidR="00FB28D0" w:rsidRPr="00536B77">
        <w:t xml:space="preserve"> 199</w:t>
      </w:r>
      <w:r w:rsidR="00D22319">
        <w:t>9</w:t>
      </w:r>
      <w:r w:rsidR="0075442A" w:rsidRPr="00536B77">
        <w:t xml:space="preserve"> (</w:t>
      </w:r>
      <w:r w:rsidR="0075442A" w:rsidRPr="00536B77">
        <w:rPr>
          <w:i/>
        </w:rPr>
        <w:t xml:space="preserve">Pinochet </w:t>
      </w:r>
      <w:r w:rsidR="00C7585E" w:rsidRPr="00536B77">
        <w:rPr>
          <w:i/>
        </w:rPr>
        <w:t>No. 3</w:t>
      </w:r>
      <w:r w:rsidR="0075442A" w:rsidRPr="00536B77">
        <w:t>)</w:t>
      </w:r>
      <w:r w:rsidR="00FB28D0" w:rsidRPr="00536B77">
        <w:t>.</w:t>
      </w:r>
      <w:r w:rsidR="0075442A" w:rsidRPr="00536B77">
        <w:rPr>
          <w:rStyle w:val="FootnoteReference"/>
        </w:rPr>
        <w:footnoteReference w:id="12"/>
      </w:r>
    </w:p>
    <w:p w14:paraId="7A5A47EA" w14:textId="29CA3A4C" w:rsidR="007F782A" w:rsidRPr="00536B77" w:rsidRDefault="0075442A" w:rsidP="00536B77">
      <w:pPr>
        <w:spacing w:line="480" w:lineRule="auto"/>
        <w:ind w:firstLine="720"/>
      </w:pPr>
      <w:r w:rsidRPr="00536B77">
        <w:t xml:space="preserve">In order to facilitate the present discussion, it would seem apposite briefly to summarise the conclusions we reached in </w:t>
      </w:r>
      <w:r w:rsidR="009E0DAC" w:rsidRPr="00536B77">
        <w:t xml:space="preserve">our </w:t>
      </w:r>
      <w:r w:rsidR="00536B77">
        <w:rPr>
          <w:i/>
        </w:rPr>
        <w:t>Indian Journal of International Law</w:t>
      </w:r>
      <w:r w:rsidR="00536B77" w:rsidRPr="00536B77">
        <w:t xml:space="preserve"> </w:t>
      </w:r>
      <w:r w:rsidR="009E0DAC" w:rsidRPr="00536B77">
        <w:t xml:space="preserve">article in </w:t>
      </w:r>
      <w:r w:rsidRPr="00536B77">
        <w:t xml:space="preserve">relation to the decision of the House of Lords in </w:t>
      </w:r>
      <w:r w:rsidRPr="00536B77">
        <w:rPr>
          <w:i/>
        </w:rPr>
        <w:t>Pinochet No. 3</w:t>
      </w:r>
      <w:r w:rsidRPr="00536B77">
        <w:t xml:space="preserve">. </w:t>
      </w:r>
      <w:r w:rsidR="007B5AC4" w:rsidRPr="00536B77">
        <w:t xml:space="preserve"> </w:t>
      </w:r>
      <w:r w:rsidRPr="00536B77">
        <w:t>In outlining the legal issues</w:t>
      </w:r>
      <w:r w:rsidR="009E0DAC" w:rsidRPr="00536B77">
        <w:t>,</w:t>
      </w:r>
      <w:r w:rsidRPr="00536B77">
        <w:t xml:space="preserve"> we highlighted the two specific question</w:t>
      </w:r>
      <w:r w:rsidR="00067A19">
        <w:t>s</w:t>
      </w:r>
      <w:r w:rsidRPr="00536B77">
        <w:t xml:space="preserve"> of law that had to be addressed by the Appel</w:t>
      </w:r>
      <w:r w:rsidR="009E0DAC" w:rsidRPr="00536B77">
        <w:t xml:space="preserve">late Committee. </w:t>
      </w:r>
      <w:r w:rsidR="007B5AC4" w:rsidRPr="00536B77">
        <w:t xml:space="preserve"> </w:t>
      </w:r>
      <w:r w:rsidR="009E0DAC" w:rsidRPr="00536B77">
        <w:t xml:space="preserve">First, the question had to be addressed as to whether the offences of which Pinochet was accused constituted extradition crimes within the meaning of the Extradition Act 1989. </w:t>
      </w:r>
      <w:r w:rsidR="007B5AC4" w:rsidRPr="00536B77">
        <w:t xml:space="preserve"> </w:t>
      </w:r>
      <w:r w:rsidR="00540A81" w:rsidRPr="00536B77">
        <w:t xml:space="preserve">In other words, were the requirements of double criminality met? </w:t>
      </w:r>
      <w:r w:rsidR="007B5AC4" w:rsidRPr="00536B77">
        <w:t xml:space="preserve"> </w:t>
      </w:r>
      <w:r w:rsidR="00540A81" w:rsidRPr="00536B77">
        <w:t xml:space="preserve">The second question concerned </w:t>
      </w:r>
      <w:r w:rsidR="009E0DAC" w:rsidRPr="00536B77">
        <w:t>whether Senator Pinochet was entitled to any form of immunity in respect of those crimes.</w:t>
      </w:r>
      <w:r w:rsidR="007B5AC4" w:rsidRPr="00536B77">
        <w:t xml:space="preserve"> </w:t>
      </w:r>
      <w:r w:rsidR="009E0DAC" w:rsidRPr="00536B77">
        <w:t xml:space="preserve"> </w:t>
      </w:r>
      <w:r w:rsidR="00540A81" w:rsidRPr="00536B77">
        <w:t>Naturally t</w:t>
      </w:r>
      <w:r w:rsidR="009E0DAC" w:rsidRPr="00536B77">
        <w:t xml:space="preserve">his second question would only </w:t>
      </w:r>
      <w:r w:rsidR="00067A19">
        <w:t>need</w:t>
      </w:r>
      <w:r w:rsidR="00067A19" w:rsidRPr="00536B77">
        <w:t xml:space="preserve"> </w:t>
      </w:r>
      <w:r w:rsidR="009E0DAC" w:rsidRPr="00536B77">
        <w:t>to be addressed if the answer to the first question was in the affi</w:t>
      </w:r>
      <w:r w:rsidR="007F782A" w:rsidRPr="00536B77">
        <w:t>rmative.</w:t>
      </w:r>
      <w:r w:rsidR="007F782A" w:rsidRPr="00536B77">
        <w:rPr>
          <w:rStyle w:val="FootnoteReference"/>
        </w:rPr>
        <w:footnoteReference w:id="13"/>
      </w:r>
      <w:r w:rsidR="007B5AC4" w:rsidRPr="00536B77">
        <w:t xml:space="preserve">  </w:t>
      </w:r>
      <w:r w:rsidR="007F782A" w:rsidRPr="00536B77">
        <w:t>In relation</w:t>
      </w:r>
      <w:r w:rsidR="00540A81" w:rsidRPr="00536B77">
        <w:t xml:space="preserve"> to the first question, we concluded that:</w:t>
      </w:r>
    </w:p>
    <w:p w14:paraId="7485CD5F" w14:textId="6D4C0F31" w:rsidR="00540A81" w:rsidRPr="00536B77" w:rsidRDefault="00067A19" w:rsidP="00536B77">
      <w:pPr>
        <w:spacing w:line="480" w:lineRule="auto"/>
        <w:ind w:left="567" w:right="522"/>
      </w:pPr>
      <w:r>
        <w:t>[T]</w:t>
      </w:r>
      <w:r w:rsidRPr="00536B77">
        <w:t xml:space="preserve">here </w:t>
      </w:r>
      <w:r w:rsidR="00540A81" w:rsidRPr="00536B77">
        <w:t xml:space="preserve">was a </w:t>
      </w:r>
      <w:r w:rsidR="00DD2B31" w:rsidRPr="00536B77">
        <w:t xml:space="preserve">general lack of willingness among their lordships to pursue a policy-oriented analysis, with their choosing instead to adopt a strict black-letter approach to the question of statutory interpretation. </w:t>
      </w:r>
      <w:r w:rsidR="007B5AC4" w:rsidRPr="00536B77">
        <w:t xml:space="preserve"> </w:t>
      </w:r>
      <w:r>
        <w:t>Similarly…</w:t>
      </w:r>
      <w:r w:rsidR="00DD2B31" w:rsidRPr="00536B77">
        <w:t>their lordships were generally slow to adopt arguments relating to the right to prosecute an individual accused of torture on the basis that the right existed in customary international law.</w:t>
      </w:r>
      <w:r w:rsidR="00DD2B31" w:rsidRPr="00536B77">
        <w:rPr>
          <w:rStyle w:val="FootnoteReference"/>
        </w:rPr>
        <w:footnoteReference w:id="14"/>
      </w:r>
    </w:p>
    <w:p w14:paraId="4C24AEF8" w14:textId="77777777" w:rsidR="00067A19" w:rsidRDefault="00DD2B31" w:rsidP="00536B77">
      <w:pPr>
        <w:spacing w:line="480" w:lineRule="auto"/>
      </w:pPr>
      <w:r w:rsidRPr="00536B77">
        <w:t xml:space="preserve">Our analysis of the </w:t>
      </w:r>
      <w:r w:rsidR="00372D7A" w:rsidRPr="00536B77">
        <w:t>issue of immunity drew attention to the inconsistency of the approach of their lordships to the crucial question of whether Pinochet was acting in an official capacity when he was committing torture or conspiring to torture.</w:t>
      </w:r>
      <w:r w:rsidR="00077CD7" w:rsidRPr="00536B77">
        <w:rPr>
          <w:rStyle w:val="FootnoteReference"/>
        </w:rPr>
        <w:footnoteReference w:id="15"/>
      </w:r>
      <w:r w:rsidR="00077CD7" w:rsidRPr="00536B77">
        <w:t xml:space="preserve"> </w:t>
      </w:r>
      <w:r w:rsidR="007B5AC4" w:rsidRPr="00536B77">
        <w:t xml:space="preserve"> </w:t>
      </w:r>
      <w:r w:rsidR="00077CD7" w:rsidRPr="00536B77">
        <w:t xml:space="preserve">Crucially, </w:t>
      </w:r>
      <w:r w:rsidR="00372D7A" w:rsidRPr="00536B77">
        <w:t xml:space="preserve">Pinochet could not </w:t>
      </w:r>
      <w:r w:rsidR="00372D7A" w:rsidRPr="00536B77">
        <w:lastRenderedPageBreak/>
        <w:t>have committed the crime of torture as defined in the United Nations Convention Against Torture 1984 had he not been acting in an official capacity.</w:t>
      </w:r>
      <w:r w:rsidR="00077CD7" w:rsidRPr="00536B77">
        <w:rPr>
          <w:rStyle w:val="FootnoteReference"/>
        </w:rPr>
        <w:footnoteReference w:id="16"/>
      </w:r>
      <w:r w:rsidR="00372D7A" w:rsidRPr="00536B77">
        <w:t xml:space="preserve"> </w:t>
      </w:r>
      <w:r w:rsidR="007B5AC4" w:rsidRPr="00536B77">
        <w:t xml:space="preserve"> </w:t>
      </w:r>
      <w:r w:rsidR="00372D7A" w:rsidRPr="00536B77">
        <w:t xml:space="preserve">However, insofar as Pinochet was entitled to immunity as a former </w:t>
      </w:r>
      <w:r w:rsidR="000F6A9C" w:rsidRPr="00536B77">
        <w:t>Head of</w:t>
      </w:r>
      <w:r w:rsidR="00372D7A" w:rsidRPr="00536B77">
        <w:t xml:space="preserve"> </w:t>
      </w:r>
      <w:r w:rsidR="000F6A9C" w:rsidRPr="00536B77">
        <w:t>State</w:t>
      </w:r>
      <w:r w:rsidR="00372D7A" w:rsidRPr="00536B77">
        <w:t xml:space="preserve">, that immunity was only available in relation to his official acts. </w:t>
      </w:r>
      <w:r w:rsidR="007B5AC4" w:rsidRPr="00536B77">
        <w:t xml:space="preserve"> </w:t>
      </w:r>
      <w:r w:rsidR="00372D7A" w:rsidRPr="00536B77">
        <w:t>Acc</w:t>
      </w:r>
      <w:r w:rsidR="00077CD7" w:rsidRPr="00536B77">
        <w:t>ordingly, the immunity was</w:t>
      </w:r>
      <w:r w:rsidR="00372D7A" w:rsidRPr="00536B77">
        <w:t xml:space="preserve"> co-extensive with the </w:t>
      </w:r>
      <w:r w:rsidR="00077CD7" w:rsidRPr="00536B77">
        <w:t xml:space="preserve">crime. </w:t>
      </w:r>
      <w:r w:rsidR="007B5AC4" w:rsidRPr="00536B77">
        <w:t xml:space="preserve"> </w:t>
      </w:r>
    </w:p>
    <w:p w14:paraId="36594ADE" w14:textId="77777777" w:rsidR="001D47B1" w:rsidRPr="00536B77" w:rsidRDefault="00077CD7" w:rsidP="008F77DD">
      <w:pPr>
        <w:spacing w:line="480" w:lineRule="auto"/>
        <w:ind w:firstLine="720"/>
      </w:pPr>
      <w:r w:rsidRPr="00536B77">
        <w:t>Three of the six law l</w:t>
      </w:r>
      <w:r w:rsidR="009E09AC" w:rsidRPr="00536B77">
        <w:t xml:space="preserve">ords who made up the majority in the case </w:t>
      </w:r>
      <w:r w:rsidR="00372D7A" w:rsidRPr="00536B77">
        <w:t>sought to avoid this difficulty by asserting that Pinochet was not acting in an official capacity when he was committing the alleged crimes.</w:t>
      </w:r>
      <w:r w:rsidRPr="00536B77">
        <w:rPr>
          <w:rStyle w:val="FootnoteReference"/>
        </w:rPr>
        <w:footnoteReference w:id="17"/>
      </w:r>
      <w:r w:rsidR="007B5AC4" w:rsidRPr="00536B77">
        <w:t xml:space="preserve"> </w:t>
      </w:r>
      <w:r w:rsidR="00372D7A" w:rsidRPr="00536B77">
        <w:t xml:space="preserve"> However, if this were the case then no crime </w:t>
      </w:r>
      <w:commentRangeStart w:id="7"/>
      <w:commentRangeStart w:id="8"/>
      <w:r w:rsidR="00372D7A" w:rsidRPr="00536B77">
        <w:t xml:space="preserve">would </w:t>
      </w:r>
      <w:commentRangeEnd w:id="7"/>
      <w:r w:rsidR="00067A19">
        <w:rPr>
          <w:rStyle w:val="CommentReference"/>
        </w:rPr>
        <w:commentReference w:id="7"/>
      </w:r>
      <w:commentRangeEnd w:id="8"/>
      <w:r w:rsidR="00FC6BD3">
        <w:rPr>
          <w:rStyle w:val="CommentReference"/>
        </w:rPr>
        <w:commentReference w:id="8"/>
      </w:r>
      <w:r w:rsidR="00372D7A" w:rsidRPr="00536B77">
        <w:t>have been committe</w:t>
      </w:r>
      <w:r w:rsidR="00B21B39" w:rsidRPr="00536B77">
        <w:t xml:space="preserve">d by Pinochet. </w:t>
      </w:r>
      <w:r w:rsidR="007B5AC4" w:rsidRPr="00536B77">
        <w:t xml:space="preserve"> </w:t>
      </w:r>
      <w:r w:rsidR="00B21B39" w:rsidRPr="00536B77">
        <w:t>The other three Law Lords who made up the majority ar</w:t>
      </w:r>
      <w:r w:rsidR="00372D7A" w:rsidRPr="00536B77">
        <w:t>gued, on the contrary, that Pinochet had been acting in an official capacity</w:t>
      </w:r>
      <w:r w:rsidR="00B21B39" w:rsidRPr="00536B77">
        <w:t>.</w:t>
      </w:r>
      <w:r w:rsidR="00C03EB7" w:rsidRPr="00536B77">
        <w:rPr>
          <w:vertAlign w:val="superscript"/>
        </w:rPr>
        <w:footnoteReference w:id="18"/>
      </w:r>
      <w:r w:rsidR="00B21B39" w:rsidRPr="00536B77">
        <w:t xml:space="preserve"> </w:t>
      </w:r>
      <w:r w:rsidR="007B5AC4" w:rsidRPr="00536B77">
        <w:t xml:space="preserve"> </w:t>
      </w:r>
      <w:r w:rsidR="00B21B39" w:rsidRPr="00536B77">
        <w:t>Ordinarily this would have meant that he was entitled to immunity.</w:t>
      </w:r>
      <w:r w:rsidR="00067A19">
        <w:t xml:space="preserve"> </w:t>
      </w:r>
      <w:r w:rsidR="00B21B39" w:rsidRPr="00536B77">
        <w:t xml:space="preserve"> However, insofar as the international crime of torture had been incorporated into English law by section 134 of the Criminal Justice Act 1988 and that provision was enacted after the coming into force of the </w:t>
      </w:r>
      <w:r w:rsidR="000F6A9C" w:rsidRPr="00536B77">
        <w:t>State</w:t>
      </w:r>
      <w:r w:rsidR="00B21B39" w:rsidRPr="00536B77">
        <w:t xml:space="preserve"> Immunity Act 1978, which governed the question of </w:t>
      </w:r>
      <w:r w:rsidR="000F6A9C" w:rsidRPr="00536B77">
        <w:t>State</w:t>
      </w:r>
      <w:r w:rsidR="00B21B39" w:rsidRPr="00536B77">
        <w:t xml:space="preserve"> immunity, and, by analogy, </w:t>
      </w:r>
      <w:r w:rsidR="000F6A9C" w:rsidRPr="00536B77">
        <w:t>Head of</w:t>
      </w:r>
      <w:r w:rsidR="00B21B39" w:rsidRPr="00536B77">
        <w:t xml:space="preserve"> </w:t>
      </w:r>
      <w:r w:rsidR="000F6A9C" w:rsidRPr="00536B77">
        <w:t>State</w:t>
      </w:r>
      <w:r w:rsidR="00B21B39" w:rsidRPr="00536B77">
        <w:t xml:space="preserve"> immunity within English law, </w:t>
      </w:r>
      <w:r w:rsidR="00BE2765" w:rsidRPr="00536B77">
        <w:t xml:space="preserve">their lordships considered that </w:t>
      </w:r>
      <w:r w:rsidR="00B21B39" w:rsidRPr="00536B77">
        <w:t>Parliament could not have intended to create</w:t>
      </w:r>
      <w:r w:rsidR="009E09AC" w:rsidRPr="00536B77">
        <w:t>, or establish jurisdiction over,</w:t>
      </w:r>
      <w:r w:rsidR="00B21B39" w:rsidRPr="00536B77">
        <w:t xml:space="preserve"> a crim</w:t>
      </w:r>
      <w:r w:rsidR="009E09AC" w:rsidRPr="00536B77">
        <w:t>e that was co-extensive with an</w:t>
      </w:r>
      <w:r w:rsidR="00B21B39" w:rsidRPr="00536B77">
        <w:t xml:space="preserve"> immunity </w:t>
      </w:r>
      <w:r w:rsidR="009E09AC" w:rsidRPr="00536B77">
        <w:t>from jurisdiction that would be available</w:t>
      </w:r>
      <w:r w:rsidR="00B21B39" w:rsidRPr="00536B77">
        <w:t xml:space="preserve"> to anyone accused of committing that crime. </w:t>
      </w:r>
    </w:p>
    <w:p w14:paraId="1A99FA45" w14:textId="77777777" w:rsidR="000A394B" w:rsidRPr="00536B77" w:rsidRDefault="000A394B" w:rsidP="00536B77">
      <w:pPr>
        <w:spacing w:line="480" w:lineRule="auto"/>
        <w:ind w:firstLine="720"/>
      </w:pPr>
      <w:r w:rsidRPr="00536B77">
        <w:lastRenderedPageBreak/>
        <w:t xml:space="preserve">Ultimately, the decision of the majority in </w:t>
      </w:r>
      <w:r w:rsidRPr="00536B77">
        <w:rPr>
          <w:i/>
        </w:rPr>
        <w:t>Pinochet No.3</w:t>
      </w:r>
      <w:r w:rsidRPr="008F77DD">
        <w:t>,</w:t>
      </w:r>
      <w:r w:rsidRPr="00536B77">
        <w:t xml:space="preserve"> although lengthy and, at times, rather confusing, correctly concluded that Pinochet could be extradited to Spain to stand trial in respect of acts of torture committed after 29 September 1988. </w:t>
      </w:r>
      <w:r w:rsidR="007B5AC4" w:rsidRPr="00536B77">
        <w:t xml:space="preserve"> </w:t>
      </w:r>
      <w:r w:rsidRPr="00536B77">
        <w:t>As we know</w:t>
      </w:r>
      <w:r w:rsidR="00067A19">
        <w:t>,</w:t>
      </w:r>
      <w:r w:rsidRPr="00536B77">
        <w:t xml:space="preserve"> Pinochet’s extradition was eventually blocked by Jack Straw, the then Home Secretary, on medical grounds.</w:t>
      </w:r>
      <w:r w:rsidR="007B5AC4" w:rsidRPr="00536B77">
        <w:t xml:space="preserve"> </w:t>
      </w:r>
      <w:r w:rsidRPr="00536B77">
        <w:t xml:space="preserve"> However, this should not take away from the fact that, as a matter of law, the Hous</w:t>
      </w:r>
      <w:r w:rsidR="00C7585E" w:rsidRPr="00536B77">
        <w:t xml:space="preserve">e of Lords found that a former </w:t>
      </w:r>
      <w:r w:rsidR="000F6A9C" w:rsidRPr="00536B77">
        <w:t>Head of</w:t>
      </w:r>
      <w:r w:rsidR="00C7585E" w:rsidRPr="00536B77">
        <w:t xml:space="preserve"> </w:t>
      </w:r>
      <w:r w:rsidR="000F6A9C" w:rsidRPr="00536B77">
        <w:t>State</w:t>
      </w:r>
      <w:r w:rsidRPr="00536B77">
        <w:t xml:space="preserve"> was </w:t>
      </w:r>
      <w:r w:rsidRPr="00536B77">
        <w:rPr>
          <w:i/>
        </w:rPr>
        <w:t>not</w:t>
      </w:r>
      <w:r w:rsidRPr="00536B77">
        <w:t xml:space="preserve"> entitled to immunity form the criminal jurisdiction of the United Kingdom for acts of torture committed by them after the entry into force of section 134 of the Criminal Justice Act 1988.</w:t>
      </w:r>
      <w:r w:rsidR="007B5AC4" w:rsidRPr="00536B77">
        <w:t xml:space="preserve"> </w:t>
      </w:r>
      <w:r w:rsidRPr="00536B77">
        <w:t xml:space="preserve"> Accordingly, this was a highly significant and historic decision. </w:t>
      </w:r>
    </w:p>
    <w:p w14:paraId="2022F7D1" w14:textId="77777777" w:rsidR="00BF691B" w:rsidRPr="00536B77" w:rsidRDefault="007B5AC4" w:rsidP="00536B77">
      <w:pPr>
        <w:spacing w:line="480" w:lineRule="auto"/>
        <w:ind w:firstLine="720"/>
      </w:pPr>
      <w:r w:rsidRPr="00536B77">
        <w:t>Nevertheless, g</w:t>
      </w:r>
      <w:r w:rsidR="00D736C5" w:rsidRPr="00536B77">
        <w:t xml:space="preserve">iven our analysis of the limited value of </w:t>
      </w:r>
      <w:r w:rsidR="00D736C5" w:rsidRPr="00536B77">
        <w:rPr>
          <w:i/>
        </w:rPr>
        <w:t xml:space="preserve">Pinochet No. 3 </w:t>
      </w:r>
      <w:r w:rsidR="00D736C5" w:rsidRPr="00536B77">
        <w:t xml:space="preserve">as a precedent, </w:t>
      </w:r>
      <w:r w:rsidR="00425D9C" w:rsidRPr="00536B77">
        <w:t xml:space="preserve">it is important to note what the decision did not do. </w:t>
      </w:r>
      <w:r w:rsidRPr="00536B77">
        <w:t xml:space="preserve"> </w:t>
      </w:r>
      <w:r w:rsidR="0080432D" w:rsidRPr="00536B77">
        <w:t>First, the decision did not support the assertion that torture was subject to universal jurisdiction</w:t>
      </w:r>
      <w:r w:rsidR="001A04DD" w:rsidRPr="00536B77">
        <w:t xml:space="preserve"> by virtu</w:t>
      </w:r>
      <w:r w:rsidR="00B41198" w:rsidRPr="00536B77">
        <w:t>e of customary international law</w:t>
      </w:r>
      <w:r w:rsidR="0080432D" w:rsidRPr="00536B77">
        <w:t>.</w:t>
      </w:r>
      <w:r w:rsidRPr="00536B77">
        <w:t xml:space="preserve"> </w:t>
      </w:r>
      <w:r w:rsidR="0080432D" w:rsidRPr="00536B77">
        <w:t xml:space="preserve"> Lord Millett argued forcibly that the prohibition of the crime of torture had been a peremptory norm</w:t>
      </w:r>
      <w:r w:rsidR="001A04DD" w:rsidRPr="00536B77">
        <w:t xml:space="preserve"> (</w:t>
      </w:r>
      <w:r w:rsidR="001A04DD" w:rsidRPr="00536B77">
        <w:rPr>
          <w:i/>
        </w:rPr>
        <w:t>jus cogens</w:t>
      </w:r>
      <w:r w:rsidR="001A04DD" w:rsidRPr="00536B77">
        <w:t>)</w:t>
      </w:r>
      <w:r w:rsidR="0080432D" w:rsidRPr="00536B77">
        <w:t xml:space="preserve"> since at least 1973, the year </w:t>
      </w:r>
      <w:r w:rsidR="001A04DD" w:rsidRPr="00536B77">
        <w:t xml:space="preserve">in which </w:t>
      </w:r>
      <w:r w:rsidR="0080432D" w:rsidRPr="00536B77">
        <w:t xml:space="preserve">Pinochet </w:t>
      </w:r>
      <w:r w:rsidR="001A04DD" w:rsidRPr="00536B77">
        <w:t>had taken</w:t>
      </w:r>
      <w:r w:rsidR="0080432D" w:rsidRPr="00536B77">
        <w:t xml:space="preserve"> power in Chile, and that Pinochet could be tried </w:t>
      </w:r>
      <w:r w:rsidR="00B41198" w:rsidRPr="00536B77">
        <w:t xml:space="preserve">anywhere on the basis of universal jurisdiction </w:t>
      </w:r>
      <w:r w:rsidR="0080432D" w:rsidRPr="00536B77">
        <w:t>for</w:t>
      </w:r>
      <w:r w:rsidR="00B41198" w:rsidRPr="00536B77">
        <w:t xml:space="preserve"> torture offences committed at any time during his regime</w:t>
      </w:r>
      <w:r w:rsidRPr="00536B77">
        <w:t xml:space="preserve">. </w:t>
      </w:r>
      <w:r w:rsidR="0080432D" w:rsidRPr="00536B77">
        <w:t xml:space="preserve"> The rest of the majority were not persuaded by this analysis</w:t>
      </w:r>
      <w:r w:rsidR="00B41198" w:rsidRPr="00536B77">
        <w:t>.</w:t>
      </w:r>
      <w:r w:rsidR="00B41198" w:rsidRPr="00536B77">
        <w:rPr>
          <w:rStyle w:val="FootnoteReference"/>
        </w:rPr>
        <w:footnoteReference w:id="19"/>
      </w:r>
      <w:r w:rsidR="00B41198" w:rsidRPr="00536B77">
        <w:t xml:space="preserve"> </w:t>
      </w:r>
      <w:r w:rsidRPr="00536B77">
        <w:t xml:space="preserve"> </w:t>
      </w:r>
      <w:r w:rsidR="001A04DD" w:rsidRPr="00536B77">
        <w:t xml:space="preserve">They preferred the argument that the Torture Convention had conferred on the UK the right to assert jurisdiction in relation to allegations of torture as defined by the Torture Convention, and that that right had been exercised through the enactment and coming into force of the relevant provision of UK domestic law. </w:t>
      </w:r>
      <w:r w:rsidRPr="00536B77">
        <w:t xml:space="preserve"> </w:t>
      </w:r>
      <w:r w:rsidR="001A04DD" w:rsidRPr="00536B77">
        <w:t>Crucially</w:t>
      </w:r>
      <w:r w:rsidR="00067A19">
        <w:t>,</w:t>
      </w:r>
      <w:r w:rsidR="001A04DD" w:rsidRPr="00536B77">
        <w:t xml:space="preserve"> the status of torture as </w:t>
      </w:r>
      <w:r w:rsidR="001A04DD" w:rsidRPr="00536B77">
        <w:rPr>
          <w:i/>
        </w:rPr>
        <w:t>jus cogens</w:t>
      </w:r>
      <w:r w:rsidR="001A04DD" w:rsidRPr="008F77DD">
        <w:t>,</w:t>
      </w:r>
      <w:r w:rsidR="001A04DD" w:rsidRPr="00536B77">
        <w:rPr>
          <w:i/>
        </w:rPr>
        <w:t xml:space="preserve"> </w:t>
      </w:r>
      <w:r w:rsidR="001A04DD" w:rsidRPr="00536B77">
        <w:t xml:space="preserve">or a peremptory norm of international law, did </w:t>
      </w:r>
      <w:r w:rsidR="001A04DD" w:rsidRPr="00536B77">
        <w:lastRenderedPageBreak/>
        <w:t xml:space="preserve">not confer on </w:t>
      </w:r>
      <w:r w:rsidR="000F6A9C" w:rsidRPr="00536B77">
        <w:t>State</w:t>
      </w:r>
      <w:r w:rsidR="001A04DD" w:rsidRPr="00536B77">
        <w:t>s the right to claim universal jurisdiction.</w:t>
      </w:r>
      <w:r w:rsidR="00B543FE" w:rsidRPr="00536B77">
        <w:t xml:space="preserve"> </w:t>
      </w:r>
      <w:r w:rsidRPr="00536B77">
        <w:t xml:space="preserve"> </w:t>
      </w:r>
      <w:r w:rsidR="00B543FE" w:rsidRPr="00536B77">
        <w:t xml:space="preserve">Furthermore, in relation to the question of jurisdiction, the decision in </w:t>
      </w:r>
      <w:r w:rsidR="00B543FE" w:rsidRPr="00536B77">
        <w:rPr>
          <w:i/>
        </w:rPr>
        <w:t>Pinochet No.3</w:t>
      </w:r>
      <w:r w:rsidR="00B543FE" w:rsidRPr="00536B77">
        <w:t xml:space="preserve"> dealt only with criminal jurisdiction</w:t>
      </w:r>
      <w:r w:rsidR="00067A19">
        <w:t>.</w:t>
      </w:r>
    </w:p>
    <w:p w14:paraId="7889E317" w14:textId="77777777" w:rsidR="002F542A" w:rsidRPr="00536B77" w:rsidRDefault="00B543FE" w:rsidP="00536B77">
      <w:pPr>
        <w:spacing w:line="480" w:lineRule="auto"/>
        <w:ind w:firstLine="720"/>
      </w:pPr>
      <w:r w:rsidRPr="00536B77">
        <w:t xml:space="preserve">Secondly, in relation to the question of immunity from jurisdiction, </w:t>
      </w:r>
      <w:r w:rsidR="00826487" w:rsidRPr="00536B77">
        <w:t>the decision</w:t>
      </w:r>
      <w:r w:rsidR="009D2BA3" w:rsidRPr="00536B77">
        <w:t xml:space="preserve"> did not remove immunity for all </w:t>
      </w:r>
      <w:r w:rsidR="000F6A9C" w:rsidRPr="00536B77">
        <w:t>State</w:t>
      </w:r>
      <w:r w:rsidRPr="00536B77">
        <w:t xml:space="preserve"> officials, serving or former. </w:t>
      </w:r>
      <w:r w:rsidR="007B5AC4" w:rsidRPr="00536B77">
        <w:t xml:space="preserve"> </w:t>
      </w:r>
      <w:r w:rsidRPr="00536B77">
        <w:t xml:space="preserve">Thus, insofar as the case dealt only with a former </w:t>
      </w:r>
      <w:r w:rsidR="000F6A9C" w:rsidRPr="00536B77">
        <w:t>Head of</w:t>
      </w:r>
      <w:r w:rsidRPr="00536B77">
        <w:t xml:space="preserve"> </w:t>
      </w:r>
      <w:r w:rsidR="000F6A9C" w:rsidRPr="00536B77">
        <w:t>State</w:t>
      </w:r>
      <w:r w:rsidRPr="00536B77">
        <w:t xml:space="preserve">, </w:t>
      </w:r>
      <w:r w:rsidR="002F542A" w:rsidRPr="00536B77">
        <w:t>whose position was analogous to that of a diplomatic agent,</w:t>
      </w:r>
      <w:r w:rsidR="002F542A" w:rsidRPr="00536B77">
        <w:rPr>
          <w:rStyle w:val="FootnoteReference"/>
        </w:rPr>
        <w:footnoteReference w:id="20"/>
      </w:r>
      <w:r w:rsidR="002F542A" w:rsidRPr="00536B77">
        <w:t xml:space="preserve"> </w:t>
      </w:r>
      <w:r w:rsidRPr="00536B77">
        <w:t xml:space="preserve">it left open the question of the immunity of other </w:t>
      </w:r>
      <w:r w:rsidR="000F6A9C" w:rsidRPr="00536B77">
        <w:t>State</w:t>
      </w:r>
      <w:r w:rsidRPr="00536B77">
        <w:t xml:space="preserve"> functionaries, as well as other individuals acting on behalf of the </w:t>
      </w:r>
      <w:r w:rsidR="000F6A9C" w:rsidRPr="00536B77">
        <w:t>State</w:t>
      </w:r>
      <w:r w:rsidRPr="00536B77">
        <w:t xml:space="preserve">, who may be entitled to immunity </w:t>
      </w:r>
      <w:r w:rsidRPr="00536B77">
        <w:rPr>
          <w:i/>
        </w:rPr>
        <w:t>rationae materiae</w:t>
      </w:r>
      <w:r w:rsidRPr="00536B77">
        <w:t xml:space="preserve"> in respect of their official acts.</w:t>
      </w:r>
      <w:r w:rsidR="00D736C5" w:rsidRPr="00536B77">
        <w:t xml:space="preserve"> </w:t>
      </w:r>
      <w:r w:rsidR="007B5AC4" w:rsidRPr="00536B77">
        <w:t xml:space="preserve"> </w:t>
      </w:r>
      <w:r w:rsidR="002F542A" w:rsidRPr="00536B77">
        <w:t xml:space="preserve">It is worth noting that the question of the immunity of </w:t>
      </w:r>
      <w:r w:rsidR="000F6A9C" w:rsidRPr="00536B77">
        <w:t>State</w:t>
      </w:r>
      <w:r w:rsidR="002F542A" w:rsidRPr="00536B77">
        <w:t xml:space="preserve"> officials from the criminal jurisdiction of foreign </w:t>
      </w:r>
      <w:r w:rsidR="000F6A9C" w:rsidRPr="00536B77">
        <w:t>State</w:t>
      </w:r>
      <w:r w:rsidR="002F542A" w:rsidRPr="00536B77">
        <w:t>s remains highly controversial and is currently under consideration by the International Law Commission with a view to codification.</w:t>
      </w:r>
      <w:r w:rsidR="002F542A" w:rsidRPr="00536B77">
        <w:rPr>
          <w:rStyle w:val="FootnoteReference"/>
        </w:rPr>
        <w:footnoteReference w:id="21"/>
      </w:r>
      <w:r w:rsidR="002F542A" w:rsidRPr="00536B77">
        <w:t xml:space="preserve"> </w:t>
      </w:r>
    </w:p>
    <w:p w14:paraId="5CD9E536" w14:textId="77777777" w:rsidR="009D2BA3" w:rsidRPr="00536B77" w:rsidRDefault="00B543FE" w:rsidP="00536B77">
      <w:pPr>
        <w:spacing w:line="480" w:lineRule="auto"/>
        <w:ind w:firstLine="720"/>
      </w:pPr>
      <w:r w:rsidRPr="00536B77">
        <w:t xml:space="preserve">Finally, </w:t>
      </w:r>
      <w:r w:rsidR="00826487" w:rsidRPr="00536B77">
        <w:t>the decision</w:t>
      </w:r>
      <w:r w:rsidR="00D736C5" w:rsidRPr="00536B77">
        <w:t xml:space="preserve"> rejected the </w:t>
      </w:r>
      <w:r w:rsidR="009D2BA3" w:rsidRPr="00536B77">
        <w:t xml:space="preserve">idea that the </w:t>
      </w:r>
      <w:r w:rsidR="009D2BA3" w:rsidRPr="00536B77">
        <w:rPr>
          <w:i/>
        </w:rPr>
        <w:t>jus cogens</w:t>
      </w:r>
      <w:r w:rsidR="009D2BA3" w:rsidRPr="00536B77">
        <w:t xml:space="preserve"> character of the prohibition against torture “trumped” </w:t>
      </w:r>
      <w:r w:rsidRPr="00536B77">
        <w:t xml:space="preserve">any form of immunity from jurisdiction. </w:t>
      </w:r>
      <w:r w:rsidR="007B5AC4" w:rsidRPr="00536B77">
        <w:t xml:space="preserve"> </w:t>
      </w:r>
      <w:r w:rsidR="009D2BA3" w:rsidRPr="00536B77">
        <w:t xml:space="preserve">This is, perhaps, the most controversial aspect of the decision </w:t>
      </w:r>
      <w:r w:rsidRPr="00536B77">
        <w:t>and is deservin</w:t>
      </w:r>
      <w:r w:rsidR="009D2BA3" w:rsidRPr="00536B77">
        <w:t xml:space="preserve">g </w:t>
      </w:r>
      <w:r w:rsidR="00067A19">
        <w:t xml:space="preserve">of </w:t>
      </w:r>
      <w:r w:rsidR="009D2BA3" w:rsidRPr="00536B77">
        <w:t>further comme</w:t>
      </w:r>
      <w:r w:rsidRPr="00536B77">
        <w:t xml:space="preserve">nt, not least because it </w:t>
      </w:r>
      <w:r w:rsidR="00D736C5" w:rsidRPr="00536B77">
        <w:t>is an argument that keeps being put forward despite its essential invalidity.</w:t>
      </w:r>
      <w:r w:rsidR="007B5AC4" w:rsidRPr="00536B77">
        <w:t xml:space="preserve"> </w:t>
      </w:r>
      <w:r w:rsidR="00F856FF" w:rsidRPr="00536B77">
        <w:t xml:space="preserve"> I</w:t>
      </w:r>
      <w:r w:rsidR="002F542A" w:rsidRPr="00536B77">
        <w:t>t is, accordingly, an issue to which this chapter will return in due course.</w:t>
      </w:r>
    </w:p>
    <w:p w14:paraId="2E3B2C33" w14:textId="77777777" w:rsidR="005963C0" w:rsidRPr="00536B77" w:rsidRDefault="007B5AC4" w:rsidP="00536B77">
      <w:pPr>
        <w:spacing w:line="480" w:lineRule="auto"/>
        <w:rPr>
          <w:b/>
        </w:rPr>
      </w:pPr>
      <w:r w:rsidRPr="00536B77">
        <w:rPr>
          <w:b/>
        </w:rPr>
        <w:t>III</w:t>
      </w:r>
      <w:r w:rsidR="005922E6" w:rsidRPr="00536B77">
        <w:rPr>
          <w:b/>
        </w:rPr>
        <w:t>.</w:t>
      </w:r>
      <w:r w:rsidRPr="00536B77">
        <w:rPr>
          <w:b/>
        </w:rPr>
        <w:t>)</w:t>
      </w:r>
      <w:r w:rsidR="005922E6" w:rsidRPr="00536B77">
        <w:rPr>
          <w:b/>
        </w:rPr>
        <w:t xml:space="preserve"> </w:t>
      </w:r>
      <w:r w:rsidR="005963C0" w:rsidRPr="00536B77">
        <w:rPr>
          <w:b/>
        </w:rPr>
        <w:t>Challenging Immunity from Jurisdiction</w:t>
      </w:r>
      <w:r w:rsidR="005922E6" w:rsidRPr="00536B77">
        <w:rPr>
          <w:b/>
        </w:rPr>
        <w:t xml:space="preserve"> in Cases involving Abuse of Human Rights</w:t>
      </w:r>
    </w:p>
    <w:p w14:paraId="2F1B635D" w14:textId="77777777" w:rsidR="00067A19" w:rsidRDefault="005963C0" w:rsidP="00536B77">
      <w:pPr>
        <w:spacing w:line="480" w:lineRule="auto"/>
      </w:pPr>
      <w:r w:rsidRPr="00536B77">
        <w:t xml:space="preserve">Although the </w:t>
      </w:r>
      <w:r w:rsidRPr="00536B77">
        <w:rPr>
          <w:i/>
        </w:rPr>
        <w:t xml:space="preserve">Pinochet </w:t>
      </w:r>
      <w:r w:rsidRPr="00536B77">
        <w:t xml:space="preserve">case was unprecedented insofar as it was the first time “a former </w:t>
      </w:r>
      <w:r w:rsidR="000F6A9C" w:rsidRPr="00536B77">
        <w:t>Head of</w:t>
      </w:r>
      <w:r w:rsidRPr="00536B77">
        <w:t xml:space="preserve"> a foreign co</w:t>
      </w:r>
      <w:r w:rsidR="00067A19">
        <w:t>untry had been held accountable…</w:t>
      </w:r>
      <w:r w:rsidRPr="00536B77">
        <w:t xml:space="preserve">before a municipal court for acts of torture </w:t>
      </w:r>
      <w:r w:rsidRPr="00536B77">
        <w:lastRenderedPageBreak/>
        <w:t>allegedly committed while he was in his post”</w:t>
      </w:r>
      <w:r w:rsidR="00067A19">
        <w:t>,</w:t>
      </w:r>
      <w:r w:rsidRPr="00536B77">
        <w:rPr>
          <w:rStyle w:val="FootnoteReference"/>
        </w:rPr>
        <w:footnoteReference w:id="22"/>
      </w:r>
      <w:r w:rsidRPr="00536B77">
        <w:t xml:space="preserve"> the</w:t>
      </w:r>
      <w:r w:rsidRPr="00536B77">
        <w:rPr>
          <w:i/>
        </w:rPr>
        <w:t xml:space="preserve"> </w:t>
      </w:r>
      <w:r w:rsidRPr="00536B77">
        <w:t xml:space="preserve">case was certainly not the first time that the immunity of a </w:t>
      </w:r>
      <w:r w:rsidR="000F6A9C" w:rsidRPr="00536B77">
        <w:t>State</w:t>
      </w:r>
      <w:r w:rsidRPr="00536B77">
        <w:t xml:space="preserve"> or a </w:t>
      </w:r>
      <w:r w:rsidR="000F6A9C" w:rsidRPr="00536B77">
        <w:t>State</w:t>
      </w:r>
      <w:r w:rsidRPr="00536B77">
        <w:t xml:space="preserve"> official had </w:t>
      </w:r>
      <w:r w:rsidR="00550C50" w:rsidRPr="00536B77">
        <w:t>been challenged</w:t>
      </w:r>
      <w:r w:rsidRPr="00536B77">
        <w:t xml:space="preserve"> in a domestic court. </w:t>
      </w:r>
      <w:r w:rsidR="007B5AC4" w:rsidRPr="00536B77">
        <w:t xml:space="preserve"> </w:t>
      </w:r>
      <w:r w:rsidRPr="00536B77">
        <w:t>Having once been considered as absolute,</w:t>
      </w:r>
      <w:commentRangeStart w:id="9"/>
      <w:commentRangeStart w:id="10"/>
      <w:r w:rsidR="00DD5AD1" w:rsidRPr="00536B77">
        <w:rPr>
          <w:rStyle w:val="FootnoteReference"/>
        </w:rPr>
        <w:footnoteReference w:id="23"/>
      </w:r>
      <w:commentRangeEnd w:id="9"/>
      <w:r w:rsidR="00E62105" w:rsidRPr="00536B77">
        <w:rPr>
          <w:rStyle w:val="CommentReference"/>
          <w:sz w:val="24"/>
          <w:szCs w:val="24"/>
        </w:rPr>
        <w:commentReference w:id="9"/>
      </w:r>
      <w:commentRangeEnd w:id="10"/>
      <w:r w:rsidR="00FC6BD3">
        <w:rPr>
          <w:rStyle w:val="CommentReference"/>
        </w:rPr>
        <w:commentReference w:id="10"/>
      </w:r>
      <w:r w:rsidRPr="00536B77">
        <w:t xml:space="preserve"> </w:t>
      </w:r>
      <w:r w:rsidR="00550C50" w:rsidRPr="00536B77">
        <w:t xml:space="preserve">the immunity of </w:t>
      </w:r>
      <w:r w:rsidR="000F6A9C" w:rsidRPr="00536B77">
        <w:t>State</w:t>
      </w:r>
      <w:r w:rsidR="00550C50" w:rsidRPr="00536B77">
        <w:t xml:space="preserve">s and </w:t>
      </w:r>
      <w:r w:rsidR="000F6A9C" w:rsidRPr="00536B77">
        <w:t>State</w:t>
      </w:r>
      <w:r w:rsidR="00550C50" w:rsidRPr="00536B77">
        <w:t xml:space="preserve"> officials from the domestic jurisdiction of foreign countries </w:t>
      </w:r>
      <w:r w:rsidR="002B0739" w:rsidRPr="00536B77">
        <w:t>underwent</w:t>
      </w:r>
      <w:r w:rsidR="00550C50" w:rsidRPr="00536B77">
        <w:t xml:space="preserve"> a radical transformation during the latter half of the twentieth century in favour of the so-called restrictive doctrine of </w:t>
      </w:r>
      <w:r w:rsidR="000F6A9C" w:rsidRPr="00536B77">
        <w:t>State</w:t>
      </w:r>
      <w:r w:rsidR="00550C50" w:rsidRPr="00536B77">
        <w:t xml:space="preserve"> immunity. </w:t>
      </w:r>
      <w:r w:rsidR="007B5AC4" w:rsidRPr="00536B77">
        <w:t xml:space="preserve"> </w:t>
      </w:r>
    </w:p>
    <w:p w14:paraId="48BFC186" w14:textId="6DB39506" w:rsidR="00DD5AD1" w:rsidRPr="00536B77" w:rsidRDefault="00550C50" w:rsidP="008F77DD">
      <w:pPr>
        <w:spacing w:line="480" w:lineRule="auto"/>
        <w:ind w:firstLine="720"/>
      </w:pPr>
      <w:r w:rsidRPr="00536B77">
        <w:t xml:space="preserve">Under this doctrine, which sought to distinguish between official or sovereign acts (acts </w:t>
      </w:r>
      <w:r w:rsidRPr="00536B77">
        <w:rPr>
          <w:i/>
        </w:rPr>
        <w:t>jure imperii</w:t>
      </w:r>
      <w:r w:rsidRPr="00536B77">
        <w:t xml:space="preserve">) and </w:t>
      </w:r>
      <w:r w:rsidR="006A355C" w:rsidRPr="00536B77">
        <w:t>non-sovereign</w:t>
      </w:r>
      <w:r w:rsidRPr="00536B77">
        <w:t xml:space="preserve"> acts (acts </w:t>
      </w:r>
      <w:r w:rsidRPr="00536B77">
        <w:rPr>
          <w:i/>
        </w:rPr>
        <w:t>jure gestionis</w:t>
      </w:r>
      <w:r w:rsidRPr="00536B77">
        <w:t xml:space="preserve">), a </w:t>
      </w:r>
      <w:r w:rsidR="000F6A9C" w:rsidRPr="00536B77">
        <w:t>State</w:t>
      </w:r>
      <w:r w:rsidRPr="00536B77">
        <w:t xml:space="preserve"> or </w:t>
      </w:r>
      <w:r w:rsidR="000F6A9C" w:rsidRPr="00536B77">
        <w:t>State</w:t>
      </w:r>
      <w:r w:rsidRPr="00536B77">
        <w:t xml:space="preserve"> official was entitled to immunity from the domestic courts</w:t>
      </w:r>
      <w:r w:rsidR="006A355C" w:rsidRPr="00536B77">
        <w:t xml:space="preserve"> of a foreign </w:t>
      </w:r>
      <w:r w:rsidR="000F6A9C" w:rsidRPr="00536B77">
        <w:t>State</w:t>
      </w:r>
      <w:r w:rsidR="006A355C" w:rsidRPr="00536B77">
        <w:t xml:space="preserve"> only in respect of the former (i.e.</w:t>
      </w:r>
      <w:r w:rsidR="00067A19">
        <w:t>,</w:t>
      </w:r>
      <w:r w:rsidR="006A355C" w:rsidRPr="00536B77">
        <w:t xml:space="preserve"> acts </w:t>
      </w:r>
      <w:r w:rsidR="006A355C" w:rsidRPr="00536B77">
        <w:rPr>
          <w:i/>
        </w:rPr>
        <w:t>jure imperii</w:t>
      </w:r>
      <w:r w:rsidR="006A355C" w:rsidRPr="00536B77">
        <w:t>).</w:t>
      </w:r>
      <w:r w:rsidR="006C1588" w:rsidRPr="00536B77">
        <w:t xml:space="preserve"> </w:t>
      </w:r>
      <w:r w:rsidR="007B5AC4" w:rsidRPr="00536B77">
        <w:t xml:space="preserve"> </w:t>
      </w:r>
      <w:r w:rsidR="006C1588" w:rsidRPr="00536B77">
        <w:t>T</w:t>
      </w:r>
      <w:r w:rsidR="006A355C" w:rsidRPr="00536B77">
        <w:t>he development of the restrictive doctrine occurr</w:t>
      </w:r>
      <w:r w:rsidR="006C1588" w:rsidRPr="00536B77">
        <w:t>ed not as the result of formal international agreement</w:t>
      </w:r>
      <w:r w:rsidR="00067A19">
        <w:t xml:space="preserve"> </w:t>
      </w:r>
      <w:r w:rsidR="006C1588" w:rsidRPr="00536B77">
        <w:t>but</w:t>
      </w:r>
      <w:r w:rsidR="00067A19">
        <w:t>,</w:t>
      </w:r>
      <w:r w:rsidR="006C1588" w:rsidRPr="00536B77">
        <w:t xml:space="preserve"> </w:t>
      </w:r>
      <w:commentRangeStart w:id="11"/>
      <w:r w:rsidR="006C1588" w:rsidRPr="00536B77">
        <w:t xml:space="preserve">rather, as </w:t>
      </w:r>
      <w:r w:rsidR="00DD5AD1" w:rsidRPr="00536B77">
        <w:t xml:space="preserve">a result of challenges to the absolute rule of </w:t>
      </w:r>
      <w:r w:rsidR="000F6A9C" w:rsidRPr="00536B77">
        <w:t>State</w:t>
      </w:r>
      <w:r w:rsidR="00DD5AD1" w:rsidRPr="00536B77">
        <w:t xml:space="preserve"> immunity </w:t>
      </w:r>
      <w:r w:rsidR="002B0739" w:rsidRPr="00536B77">
        <w:t xml:space="preserve">by domestic legal authorities and </w:t>
      </w:r>
      <w:r w:rsidR="00DD5AD1" w:rsidRPr="00536B77">
        <w:t>within domestic courts</w:t>
      </w:r>
      <w:r w:rsidR="002B0739" w:rsidRPr="00536B77">
        <w:t xml:space="preserve"> leading, eventually, to the enactment of legislation crystalizing the restrictive theory</w:t>
      </w:r>
      <w:r w:rsidR="00DD5AD1" w:rsidRPr="00536B77">
        <w:t>.</w:t>
      </w:r>
      <w:r w:rsidR="00FE0EBA" w:rsidRPr="00536B77">
        <w:rPr>
          <w:rStyle w:val="FootnoteReference"/>
        </w:rPr>
        <w:footnoteReference w:id="24"/>
      </w:r>
      <w:r w:rsidR="00DD5AD1" w:rsidRPr="00536B77">
        <w:t xml:space="preserve"> </w:t>
      </w:r>
      <w:r w:rsidR="007B5AC4" w:rsidRPr="00536B77">
        <w:t xml:space="preserve"> </w:t>
      </w:r>
      <w:r w:rsidR="00167990" w:rsidRPr="00536B77">
        <w:t xml:space="preserve">This </w:t>
      </w:r>
      <w:commentRangeEnd w:id="11"/>
      <w:r w:rsidR="00067A19">
        <w:rPr>
          <w:rStyle w:val="CommentReference"/>
        </w:rPr>
        <w:commentReference w:id="11"/>
      </w:r>
      <w:r w:rsidR="00FC6BD3">
        <w:t>seems to</w:t>
      </w:r>
      <w:r w:rsidR="00167990" w:rsidRPr="00536B77">
        <w:t xml:space="preserve"> beg the question that i</w:t>
      </w:r>
      <w:r w:rsidR="00DD5AD1" w:rsidRPr="00536B77">
        <w:t>f such an approach had been successful in relation to the restricting of immunity in the case of commercial transaction</w:t>
      </w:r>
      <w:r w:rsidR="00167990" w:rsidRPr="00536B77">
        <w:t>s</w:t>
      </w:r>
      <w:r w:rsidR="00DD5AD1" w:rsidRPr="00536B77">
        <w:t xml:space="preserve">, why should a similar approach not prove equally successful in the context of limiting immunity of </w:t>
      </w:r>
      <w:r w:rsidR="000F6A9C" w:rsidRPr="00536B77">
        <w:t>State</w:t>
      </w:r>
      <w:r w:rsidR="00DD5AD1" w:rsidRPr="00536B77">
        <w:t xml:space="preserve">s and </w:t>
      </w:r>
      <w:r w:rsidR="000F6A9C" w:rsidRPr="00536B77">
        <w:t>State</w:t>
      </w:r>
      <w:r w:rsidR="00DD5AD1" w:rsidRPr="00536B77">
        <w:t xml:space="preserve"> officials in respect of breaches of international criminal law and massive human rights abuses?</w:t>
      </w:r>
      <w:r w:rsidR="00167990" w:rsidRPr="00536B77">
        <w:t xml:space="preserve"> </w:t>
      </w:r>
      <w:r w:rsidR="007B5AC4" w:rsidRPr="00536B77">
        <w:t xml:space="preserve"> </w:t>
      </w:r>
      <w:r w:rsidR="00167990" w:rsidRPr="00536B77">
        <w:t>However, as will be shown, the approach has</w:t>
      </w:r>
      <w:commentRangeStart w:id="12"/>
      <w:r w:rsidR="00167990" w:rsidRPr="00536B77">
        <w:t xml:space="preserve"> failed.</w:t>
      </w:r>
    </w:p>
    <w:p w14:paraId="7F700A3E" w14:textId="1D68F913" w:rsidR="00DB2857" w:rsidRPr="00536B77" w:rsidRDefault="00DB2857" w:rsidP="00536B77">
      <w:pPr>
        <w:spacing w:line="480" w:lineRule="auto"/>
        <w:ind w:firstLine="720"/>
        <w:rPr>
          <w:i/>
        </w:rPr>
      </w:pPr>
      <w:r w:rsidRPr="00536B77">
        <w:lastRenderedPageBreak/>
        <w:t xml:space="preserve">In fact </w:t>
      </w:r>
      <w:commentRangeEnd w:id="12"/>
      <w:r w:rsidR="00067A19">
        <w:rPr>
          <w:rStyle w:val="CommentReference"/>
        </w:rPr>
        <w:commentReference w:id="12"/>
      </w:r>
      <w:r w:rsidRPr="00536B77">
        <w:t xml:space="preserve">a number of challenges to </w:t>
      </w:r>
      <w:r w:rsidR="000F6A9C" w:rsidRPr="00536B77">
        <w:t>State</w:t>
      </w:r>
      <w:r w:rsidRPr="00536B77">
        <w:t xml:space="preserve"> immunity in the context of human rights claims had already been made in domestic courts, primarily within the </w:t>
      </w:r>
      <w:r w:rsidR="00067A19" w:rsidRPr="00536B77">
        <w:t>U</w:t>
      </w:r>
      <w:r w:rsidR="00067A19">
        <w:t>nited States</w:t>
      </w:r>
      <w:r w:rsidRPr="00536B77">
        <w:t xml:space="preserve">, before the case against Pinochet was brought before the British courts, with varying degrees of success. </w:t>
      </w:r>
      <w:r w:rsidR="007B5AC4" w:rsidRPr="00536B77">
        <w:t xml:space="preserve"> </w:t>
      </w:r>
      <w:r w:rsidRPr="00536B77">
        <w:t xml:space="preserve">One of the earliest such cases was </w:t>
      </w:r>
      <w:r w:rsidRPr="00536B77">
        <w:rPr>
          <w:i/>
        </w:rPr>
        <w:t>Filartiga v</w:t>
      </w:r>
      <w:r w:rsidR="00067A19">
        <w:rPr>
          <w:i/>
        </w:rPr>
        <w:t>.</w:t>
      </w:r>
      <w:r w:rsidRPr="00536B77">
        <w:rPr>
          <w:i/>
        </w:rPr>
        <w:t xml:space="preserve"> Pena-Irala</w:t>
      </w:r>
      <w:r w:rsidRPr="008F77DD">
        <w:rPr>
          <w:rStyle w:val="FootnoteReference"/>
        </w:rPr>
        <w:footnoteReference w:id="25"/>
      </w:r>
      <w:r w:rsidRPr="00536B77">
        <w:rPr>
          <w:i/>
        </w:rPr>
        <w:t xml:space="preserve"> </w:t>
      </w:r>
      <w:r w:rsidRPr="00536B77">
        <w:t>in which the US Court of Appeals for the Second Circuit held that the Alien Tort Claims Act 1789, which provides for the exerci</w:t>
      </w:r>
      <w:r w:rsidR="00167990" w:rsidRPr="00536B77">
        <w:t>se of jurisdiction by the courts</w:t>
      </w:r>
      <w:r w:rsidRPr="00536B77">
        <w:t xml:space="preserve"> of the United </w:t>
      </w:r>
      <w:r w:rsidR="000F6A9C" w:rsidRPr="00536B77">
        <w:t>State</w:t>
      </w:r>
      <w:r w:rsidRPr="00536B77">
        <w:t xml:space="preserve">s in cases in which an alien sues for a tort “committed in violation of the law of nations or a treaty of the United </w:t>
      </w:r>
      <w:r w:rsidR="000F6A9C" w:rsidRPr="00536B77">
        <w:t>State</w:t>
      </w:r>
      <w:r w:rsidRPr="00536B77">
        <w:t xml:space="preserve">s,” allowed for the exercise of jurisdiction in the US in a case brought by a Paraguayan national against a Paraguayan police official for acts of torture perpetrated in Paraguay. </w:t>
      </w:r>
      <w:r w:rsidR="007B5AC4" w:rsidRPr="00536B77">
        <w:t xml:space="preserve"> </w:t>
      </w:r>
      <w:r w:rsidRPr="00536B77">
        <w:t xml:space="preserve">However, the </w:t>
      </w:r>
      <w:r w:rsidRPr="00536B77">
        <w:rPr>
          <w:i/>
        </w:rPr>
        <w:t>Filartiga</w:t>
      </w:r>
      <w:r w:rsidRPr="00536B77">
        <w:t xml:space="preserve"> case did not directly address the potential immunity of the Paraguayan official.</w:t>
      </w:r>
      <w:r w:rsidR="007B5AC4" w:rsidRPr="00536B77">
        <w:t xml:space="preserve"> </w:t>
      </w:r>
      <w:r w:rsidRPr="00536B77">
        <w:t xml:space="preserve"> In a subsequent case involving similar allegations of </w:t>
      </w:r>
      <w:r w:rsidR="000F6A9C" w:rsidRPr="00536B77">
        <w:t>State</w:t>
      </w:r>
      <w:r w:rsidRPr="00536B77">
        <w:t xml:space="preserve">-sanctioned torture, that of </w:t>
      </w:r>
      <w:r w:rsidRPr="00536B77">
        <w:rPr>
          <w:i/>
        </w:rPr>
        <w:t>Siderman de Blake v</w:t>
      </w:r>
      <w:r w:rsidR="00067A19">
        <w:rPr>
          <w:i/>
        </w:rPr>
        <w:t>.</w:t>
      </w:r>
      <w:r w:rsidRPr="00536B77">
        <w:rPr>
          <w:i/>
        </w:rPr>
        <w:t xml:space="preserve"> Republic of Argentina</w:t>
      </w:r>
      <w:r w:rsidRPr="00536B77">
        <w:t>,</w:t>
      </w:r>
      <w:r w:rsidRPr="00536B77">
        <w:rPr>
          <w:rStyle w:val="FootnoteReference"/>
        </w:rPr>
        <w:footnoteReference w:id="26"/>
      </w:r>
      <w:r w:rsidRPr="00536B77">
        <w:t xml:space="preserve"> it was held that the Alien Tort Claims Act did not constitute an exception to the principle of sovereign (</w:t>
      </w:r>
      <w:r w:rsidR="000F6A9C" w:rsidRPr="00536B77">
        <w:t>State) immunity a</w:t>
      </w:r>
      <w:r w:rsidRPr="00536B77">
        <w:t xml:space="preserve">lbeit in relation to an action that directly impleaded a </w:t>
      </w:r>
      <w:r w:rsidR="000F6A9C" w:rsidRPr="00536B77">
        <w:t>State,</w:t>
      </w:r>
      <w:r w:rsidRPr="00536B77">
        <w:t xml:space="preserve"> as opposed to an official of a </w:t>
      </w:r>
      <w:r w:rsidR="000F6A9C" w:rsidRPr="00536B77">
        <w:t>State</w:t>
      </w:r>
      <w:r w:rsidRPr="00536B77">
        <w:t xml:space="preserve">, as had been the case in </w:t>
      </w:r>
      <w:r w:rsidRPr="00536B77">
        <w:rPr>
          <w:i/>
        </w:rPr>
        <w:t>Filartiga.</w:t>
      </w:r>
    </w:p>
    <w:p w14:paraId="0845E131" w14:textId="5F2804F9" w:rsidR="00F022D7" w:rsidRPr="00536B77" w:rsidRDefault="00F022D7" w:rsidP="00536B77">
      <w:pPr>
        <w:spacing w:line="480" w:lineRule="auto"/>
        <w:ind w:firstLine="720"/>
      </w:pPr>
      <w:r w:rsidRPr="00536B77">
        <w:t xml:space="preserve">Given the jurisdictional complications of these US cases, a more important claim in the context of the </w:t>
      </w:r>
      <w:r w:rsidRPr="00536B77">
        <w:rPr>
          <w:i/>
        </w:rPr>
        <w:t xml:space="preserve">Pinochet </w:t>
      </w:r>
      <w:r w:rsidRPr="00536B77">
        <w:t>litigation</w:t>
      </w:r>
      <w:r w:rsidR="000F6A9C" w:rsidRPr="00536B77">
        <w:t>,</w:t>
      </w:r>
      <w:r w:rsidRPr="00536B77">
        <w:t xml:space="preserve"> had </w:t>
      </w:r>
      <w:r w:rsidR="000F6A9C" w:rsidRPr="00536B77">
        <w:t xml:space="preserve">previously </w:t>
      </w:r>
      <w:r w:rsidRPr="00536B77">
        <w:t xml:space="preserve">been brought in the UK courts in the case of </w:t>
      </w:r>
      <w:r w:rsidRPr="00536B77">
        <w:rPr>
          <w:i/>
        </w:rPr>
        <w:t>Al-Adsani v</w:t>
      </w:r>
      <w:r w:rsidR="00FB0BEC">
        <w:rPr>
          <w:i/>
        </w:rPr>
        <w:t>.</w:t>
      </w:r>
      <w:r w:rsidRPr="00536B77">
        <w:rPr>
          <w:i/>
        </w:rPr>
        <w:t xml:space="preserve"> Government of Kuwait</w:t>
      </w:r>
      <w:r w:rsidR="00237ACE" w:rsidRPr="00536B77">
        <w:t xml:space="preserve">. </w:t>
      </w:r>
      <w:r w:rsidR="007B5AC4" w:rsidRPr="00536B77">
        <w:t xml:space="preserve"> </w:t>
      </w:r>
      <w:r w:rsidR="00237ACE" w:rsidRPr="00536B77">
        <w:t>Sulaiman Al-Adsani was a dual British and Kuwaiti national who was allegedly tortured in Kuwait during May 1991 by various Kuwaiti officials directed by a relation (“the Sheikh”) of the Emir of Kuwait</w:t>
      </w:r>
      <w:r w:rsidR="000F6A9C" w:rsidRPr="00536B77">
        <w:t>,</w:t>
      </w:r>
      <w:r w:rsidR="00237ACE" w:rsidRPr="00536B77">
        <w:t xml:space="preserve"> resulting in burns to over 25% of his body. </w:t>
      </w:r>
      <w:r w:rsidR="007B5AC4" w:rsidRPr="00536B77">
        <w:t xml:space="preserve"> </w:t>
      </w:r>
      <w:r w:rsidR="00237ACE" w:rsidRPr="00536B77">
        <w:t>On 29 August 1992</w:t>
      </w:r>
      <w:r w:rsidR="00FB0BEC">
        <w:t>,</w:t>
      </w:r>
      <w:r w:rsidR="00237ACE" w:rsidRPr="00536B77">
        <w:t xml:space="preserve"> Al-Adsani brought a civil claim against the Sheikh and certain other individuals.</w:t>
      </w:r>
      <w:r w:rsidR="007B5AC4" w:rsidRPr="00536B77">
        <w:t xml:space="preserve"> </w:t>
      </w:r>
      <w:r w:rsidR="00237ACE" w:rsidRPr="00536B77">
        <w:t xml:space="preserve"> He later brought further claims against the Government of Kuwait. </w:t>
      </w:r>
      <w:r w:rsidR="007B5AC4" w:rsidRPr="00536B77">
        <w:t xml:space="preserve"> </w:t>
      </w:r>
      <w:r w:rsidR="00C77E4C" w:rsidRPr="00536B77">
        <w:t xml:space="preserve">Apparently influenced by the case of </w:t>
      </w:r>
      <w:r w:rsidR="00C77E4C" w:rsidRPr="00536B77">
        <w:rPr>
          <w:i/>
        </w:rPr>
        <w:t>Filartiga v</w:t>
      </w:r>
      <w:r w:rsidR="00FB0BEC">
        <w:rPr>
          <w:i/>
        </w:rPr>
        <w:t>.</w:t>
      </w:r>
      <w:r w:rsidR="00C77E4C" w:rsidRPr="00536B77">
        <w:rPr>
          <w:i/>
        </w:rPr>
        <w:t xml:space="preserve"> Pena-Irala</w:t>
      </w:r>
      <w:r w:rsidR="00C77E4C" w:rsidRPr="00536B77">
        <w:t>, the Court of Appeal</w:t>
      </w:r>
      <w:r w:rsidR="000F6A9C" w:rsidRPr="00536B77">
        <w:t>,</w:t>
      </w:r>
      <w:r w:rsidR="00C77E4C" w:rsidRPr="00536B77">
        <w:t xml:space="preserve"> in 1994</w:t>
      </w:r>
      <w:r w:rsidR="000F6A9C" w:rsidRPr="00536B77">
        <w:t>,</w:t>
      </w:r>
      <w:r w:rsidR="00C77E4C" w:rsidRPr="00536B77">
        <w:t xml:space="preserve"> refused to apply the </w:t>
      </w:r>
      <w:r w:rsidR="000F6A9C" w:rsidRPr="00536B77">
        <w:t>State</w:t>
      </w:r>
      <w:r w:rsidR="00C77E4C" w:rsidRPr="00536B77">
        <w:t xml:space="preserve"> Immunity Act </w:t>
      </w:r>
      <w:r w:rsidR="000F6A9C" w:rsidRPr="00536B77">
        <w:t xml:space="preserve">1978 </w:t>
      </w:r>
      <w:r w:rsidR="00C77E4C" w:rsidRPr="00536B77">
        <w:t xml:space="preserve">and granted Al-Adsani leave </w:t>
      </w:r>
      <w:r w:rsidR="00C77E4C" w:rsidRPr="00536B77">
        <w:lastRenderedPageBreak/>
        <w:t>to serve proceedings abroad against the Government of Kuwait.</w:t>
      </w:r>
      <w:r w:rsidR="00C77E4C" w:rsidRPr="00536B77">
        <w:rPr>
          <w:rStyle w:val="FootnoteReference"/>
        </w:rPr>
        <w:footnoteReference w:id="27"/>
      </w:r>
      <w:r w:rsidR="00C77E4C" w:rsidRPr="00536B77">
        <w:t xml:space="preserve"> </w:t>
      </w:r>
      <w:r w:rsidR="007B5AC4" w:rsidRPr="00536B77">
        <w:t xml:space="preserve"> </w:t>
      </w:r>
      <w:r w:rsidR="00C77E4C" w:rsidRPr="00536B77">
        <w:t xml:space="preserve">However, a request from the Government of Kuwait to strike out the claim on the ground of </w:t>
      </w:r>
      <w:r w:rsidR="000F6A9C" w:rsidRPr="00536B77">
        <w:t>State</w:t>
      </w:r>
      <w:r w:rsidR="00C77E4C" w:rsidRPr="00536B77">
        <w:t xml:space="preserve"> immunity was granted by the High Court</w:t>
      </w:r>
      <w:r w:rsidR="00843409" w:rsidRPr="00536B77">
        <w:t xml:space="preserve"> in 1995,</w:t>
      </w:r>
      <w:commentRangeStart w:id="13"/>
      <w:r w:rsidR="00843409" w:rsidRPr="00536B77">
        <w:rPr>
          <w:rStyle w:val="FootnoteReference"/>
        </w:rPr>
        <w:footnoteReference w:id="28"/>
      </w:r>
      <w:commentRangeEnd w:id="13"/>
      <w:r w:rsidR="00E62105" w:rsidRPr="00536B77">
        <w:rPr>
          <w:rStyle w:val="CommentReference"/>
          <w:sz w:val="24"/>
          <w:szCs w:val="24"/>
        </w:rPr>
        <w:commentReference w:id="13"/>
      </w:r>
      <w:r w:rsidR="00843409" w:rsidRPr="00536B77">
        <w:t xml:space="preserve"> </w:t>
      </w:r>
      <w:r w:rsidR="00C77E4C" w:rsidRPr="00536B77">
        <w:t xml:space="preserve">and </w:t>
      </w:r>
      <w:r w:rsidR="00FB0BEC">
        <w:t xml:space="preserve">this was </w:t>
      </w:r>
      <w:r w:rsidR="00C77E4C" w:rsidRPr="00536B77">
        <w:t>then unanimously upheld by the Court of Appeal</w:t>
      </w:r>
      <w:r w:rsidR="00843409" w:rsidRPr="00536B77">
        <w:t xml:space="preserve"> in 1996.</w:t>
      </w:r>
      <w:commentRangeStart w:id="14"/>
      <w:r w:rsidR="00843409" w:rsidRPr="00536B77">
        <w:rPr>
          <w:rStyle w:val="FootnoteReference"/>
        </w:rPr>
        <w:footnoteReference w:id="29"/>
      </w:r>
      <w:commentRangeEnd w:id="14"/>
      <w:r w:rsidR="00E62105" w:rsidRPr="00536B77">
        <w:rPr>
          <w:rStyle w:val="CommentReference"/>
          <w:sz w:val="24"/>
          <w:szCs w:val="24"/>
        </w:rPr>
        <w:commentReference w:id="14"/>
      </w:r>
      <w:r w:rsidR="007B5AC4" w:rsidRPr="00536B77">
        <w:t xml:space="preserve"> </w:t>
      </w:r>
      <w:r w:rsidR="000F6A9C" w:rsidRPr="00536B77">
        <w:t xml:space="preserve"> Leave to a</w:t>
      </w:r>
      <w:r w:rsidR="00843409" w:rsidRPr="00536B77">
        <w:t>ppeal was denied by the House of Lords.</w:t>
      </w:r>
      <w:r w:rsidR="00843409" w:rsidRPr="00536B77">
        <w:rPr>
          <w:rStyle w:val="FootnoteReference"/>
        </w:rPr>
        <w:footnoteReference w:id="30"/>
      </w:r>
      <w:r w:rsidR="00843409" w:rsidRPr="00536B77">
        <w:t xml:space="preserve"> </w:t>
      </w:r>
    </w:p>
    <w:p w14:paraId="7BDCC13B" w14:textId="2ED519CA" w:rsidR="006D1C26" w:rsidRPr="00536B77" w:rsidRDefault="006D1C26" w:rsidP="00536B77">
      <w:pPr>
        <w:spacing w:line="480" w:lineRule="auto"/>
        <w:ind w:firstLine="720"/>
      </w:pPr>
      <w:r w:rsidRPr="00536B77">
        <w:t xml:space="preserve">Although the </w:t>
      </w:r>
      <w:r w:rsidR="000F6A9C" w:rsidRPr="00536B77">
        <w:t>State</w:t>
      </w:r>
      <w:r w:rsidRPr="00536B77">
        <w:t xml:space="preserve"> Immunity Act 1978 confirmed the application of the restrictive doctrine of </w:t>
      </w:r>
      <w:r w:rsidR="000F6A9C" w:rsidRPr="00536B77">
        <w:t>State</w:t>
      </w:r>
      <w:r w:rsidRPr="00536B77">
        <w:t xml:space="preserve"> immunity in the United Kingdom, the Act by no means removed the right of a foreign </w:t>
      </w:r>
      <w:r w:rsidR="000F6A9C" w:rsidRPr="00536B77">
        <w:t>State</w:t>
      </w:r>
      <w:r w:rsidRPr="00536B77">
        <w:t xml:space="preserve"> to claim immunity from the jurisdiction of the British courts.</w:t>
      </w:r>
      <w:r w:rsidR="007B5AC4" w:rsidRPr="00536B77">
        <w:t xml:space="preserve"> </w:t>
      </w:r>
      <w:r w:rsidRPr="00536B77">
        <w:t xml:space="preserve"> Indeed, </w:t>
      </w:r>
      <w:r w:rsidR="00F1006E">
        <w:t>s</w:t>
      </w:r>
      <w:r w:rsidRPr="00536B77">
        <w:t xml:space="preserve">ection 1 of the </w:t>
      </w:r>
      <w:r w:rsidR="000F6A9C" w:rsidRPr="00536B77">
        <w:t>State</w:t>
      </w:r>
      <w:r w:rsidRPr="00536B77">
        <w:t xml:space="preserve"> Immunity Act 1978 explicitly provides for such</w:t>
      </w:r>
      <w:r w:rsidR="000F6A9C" w:rsidRPr="00536B77">
        <w:t xml:space="preserve"> immunity except as specified</w:t>
      </w:r>
      <w:r w:rsidRPr="00536B77">
        <w:t xml:space="preserve"> in the Act. </w:t>
      </w:r>
      <w:r w:rsidR="007B5AC4" w:rsidRPr="00536B77">
        <w:t xml:space="preserve"> </w:t>
      </w:r>
      <w:r w:rsidRPr="00536B77">
        <w:t xml:space="preserve">The exceptions to immunity are outlined in sections 2-11 of the Act and deny immunity to foreign </w:t>
      </w:r>
      <w:r w:rsidR="000F6A9C" w:rsidRPr="00536B77">
        <w:t>State</w:t>
      </w:r>
      <w:r w:rsidRPr="00536B77">
        <w:t>s only in a small range of situations, including, most importantly, in relation to commercial transactions.</w:t>
      </w:r>
      <w:r w:rsidRPr="00536B77">
        <w:rPr>
          <w:rStyle w:val="FootnoteReference"/>
        </w:rPr>
        <w:footnoteReference w:id="31"/>
      </w:r>
      <w:r w:rsidRPr="00536B77">
        <w:t xml:space="preserve"> </w:t>
      </w:r>
      <w:r w:rsidR="007B5AC4" w:rsidRPr="00536B77">
        <w:t xml:space="preserve"> </w:t>
      </w:r>
      <w:r w:rsidRPr="00536B77">
        <w:t xml:space="preserve">Additionally, in </w:t>
      </w:r>
      <w:r w:rsidR="00FB0BEC">
        <w:t>s</w:t>
      </w:r>
      <w:r w:rsidR="00FB0BEC" w:rsidRPr="00536B77">
        <w:t xml:space="preserve">ection </w:t>
      </w:r>
      <w:r w:rsidRPr="00536B77">
        <w:t xml:space="preserve">5, the Act denies immunity to a </w:t>
      </w:r>
      <w:r w:rsidR="000F6A9C" w:rsidRPr="00536B77">
        <w:t>State</w:t>
      </w:r>
      <w:r w:rsidRPr="00536B77">
        <w:t xml:space="preserve"> in case of torts but only where those torts have been caused by an act or omission in the United Kingdom. </w:t>
      </w:r>
      <w:r w:rsidR="007B5AC4" w:rsidRPr="00536B77">
        <w:t xml:space="preserve"> </w:t>
      </w:r>
      <w:r w:rsidRPr="00536B77">
        <w:t>Accordingly, in relation to the inflicting of torture occasioning injury committed in Kuwait, the right to claim immunity</w:t>
      </w:r>
      <w:r w:rsidR="00035E14" w:rsidRPr="00536B77">
        <w:t xml:space="preserve"> in the face of a tortious claim</w:t>
      </w:r>
      <w:r w:rsidRPr="00536B77">
        <w:t>, according to t</w:t>
      </w:r>
      <w:r w:rsidR="000F6A9C" w:rsidRPr="00536B77">
        <w:t>he terms of the statute, remained</w:t>
      </w:r>
      <w:r w:rsidRPr="00536B77">
        <w:t xml:space="preserve"> with the foreign government.</w:t>
      </w:r>
      <w:r w:rsidR="00070FD1" w:rsidRPr="00536B77">
        <w:t xml:space="preserve"> </w:t>
      </w:r>
      <w:r w:rsidR="007B5AC4" w:rsidRPr="00536B77">
        <w:t xml:space="preserve"> </w:t>
      </w:r>
      <w:r w:rsidR="00070FD1" w:rsidRPr="00536B77">
        <w:t xml:space="preserve">To this extent, the High Court and the Court of Appeal in </w:t>
      </w:r>
      <w:r w:rsidR="00070FD1" w:rsidRPr="00536B77">
        <w:rPr>
          <w:i/>
        </w:rPr>
        <w:t>Al-Adsani</w:t>
      </w:r>
      <w:r w:rsidR="00070FD1" w:rsidRPr="00536B77">
        <w:t xml:space="preserve"> had merely applied the normal rules of statutory interpretation.</w:t>
      </w:r>
    </w:p>
    <w:p w14:paraId="5EEDE99F" w14:textId="7A830350" w:rsidR="00070FD1" w:rsidRPr="00536B77" w:rsidRDefault="00035E14" w:rsidP="00536B77">
      <w:pPr>
        <w:spacing w:line="480" w:lineRule="auto"/>
        <w:ind w:firstLine="720"/>
      </w:pPr>
      <w:r w:rsidRPr="00536B77">
        <w:t>Having exhausted his available remedies in the United Kingdom, M</w:t>
      </w:r>
      <w:r w:rsidR="00070FD1" w:rsidRPr="00536B77">
        <w:t>r Al-Adsani</w:t>
      </w:r>
      <w:r w:rsidR="000F6A9C" w:rsidRPr="00536B77">
        <w:t>,</w:t>
      </w:r>
      <w:r w:rsidR="00070FD1" w:rsidRPr="00536B77">
        <w:t xml:space="preserve"> initiated a claim before</w:t>
      </w:r>
      <w:r w:rsidRPr="00536B77">
        <w:t xml:space="preserve"> the European Court of Human Rights</w:t>
      </w:r>
      <w:r w:rsidR="00070FD1" w:rsidRPr="00536B77">
        <w:t xml:space="preserve">. </w:t>
      </w:r>
      <w:r w:rsidR="007B5AC4" w:rsidRPr="00536B77">
        <w:t xml:space="preserve"> </w:t>
      </w:r>
      <w:r w:rsidR="00070FD1" w:rsidRPr="00536B77">
        <w:t>The basis of his claim was not the torture inflicted upon him under Article 3 but, rather, the denial of the right to a fair trial in terms of Article 6.</w:t>
      </w:r>
      <w:r w:rsidR="00DB3B3F" w:rsidRPr="00536B77">
        <w:rPr>
          <w:rStyle w:val="FootnoteReference"/>
        </w:rPr>
        <w:footnoteReference w:id="32"/>
      </w:r>
      <w:r w:rsidR="00070FD1" w:rsidRPr="00536B77">
        <w:t xml:space="preserve"> </w:t>
      </w:r>
      <w:r w:rsidR="007B5AC4" w:rsidRPr="00536B77">
        <w:t xml:space="preserve"> </w:t>
      </w:r>
      <w:r w:rsidR="00DB3B3F" w:rsidRPr="00536B77">
        <w:t xml:space="preserve">The decision of the Grand Chamber, by a very narrow majority of 9 </w:t>
      </w:r>
      <w:r w:rsidR="00DB3B3F" w:rsidRPr="00536B77">
        <w:lastRenderedPageBreak/>
        <w:t xml:space="preserve">votes to 8, was to the effect that </w:t>
      </w:r>
      <w:r w:rsidR="000F6A9C" w:rsidRPr="00536B77">
        <w:t>State</w:t>
      </w:r>
      <w:r w:rsidR="00DB3B3F" w:rsidRPr="00536B77">
        <w:t xml:space="preserve"> immunity “pursues the legitimate aim of complying with international law to promote comity and good relations between </w:t>
      </w:r>
      <w:r w:rsidR="000F6A9C" w:rsidRPr="00536B77">
        <w:t>State</w:t>
      </w:r>
      <w:r w:rsidR="00DB3B3F" w:rsidRPr="00536B77">
        <w:t xml:space="preserve">s through the respect of another </w:t>
      </w:r>
      <w:r w:rsidR="000F6A9C" w:rsidRPr="00536B77">
        <w:t>State</w:t>
      </w:r>
      <w:r w:rsidR="00DB3B3F" w:rsidRPr="00536B77">
        <w:t>’s sovereignty”.</w:t>
      </w:r>
      <w:commentRangeStart w:id="15"/>
      <w:r w:rsidR="00DB3B3F" w:rsidRPr="00536B77">
        <w:rPr>
          <w:rStyle w:val="FootnoteReference"/>
        </w:rPr>
        <w:footnoteReference w:id="33"/>
      </w:r>
      <w:commentRangeEnd w:id="15"/>
      <w:r w:rsidR="00E62105" w:rsidRPr="00536B77">
        <w:rPr>
          <w:rStyle w:val="CommentReference"/>
          <w:sz w:val="24"/>
          <w:szCs w:val="24"/>
        </w:rPr>
        <w:commentReference w:id="15"/>
      </w:r>
      <w:r w:rsidR="007B5AC4" w:rsidRPr="00536B77">
        <w:t xml:space="preserve"> </w:t>
      </w:r>
      <w:r w:rsidR="00DB3B3F" w:rsidRPr="00536B77">
        <w:t xml:space="preserve"> On the other hand, according to the </w:t>
      </w:r>
      <w:r w:rsidR="00FB0BEC">
        <w:t>j</w:t>
      </w:r>
      <w:r w:rsidR="00FB0BEC" w:rsidRPr="00536B77">
        <w:t xml:space="preserve">oint </w:t>
      </w:r>
      <w:r w:rsidR="00FB0BEC">
        <w:t>d</w:t>
      </w:r>
      <w:r w:rsidR="00FB0BEC" w:rsidRPr="00536B77">
        <w:t>issent</w:t>
      </w:r>
      <w:r w:rsidR="00FB0BEC">
        <w:t>ing opinion</w:t>
      </w:r>
      <w:r w:rsidR="00FB0BEC" w:rsidRPr="00536B77">
        <w:t xml:space="preserve"> </w:t>
      </w:r>
      <w:r w:rsidR="00DB3B3F" w:rsidRPr="00536B77">
        <w:t>of six of the minority, “</w:t>
      </w:r>
      <w:r w:rsidR="00FB0BEC">
        <w:t>t</w:t>
      </w:r>
      <w:r w:rsidR="00DB3B3F" w:rsidRPr="00536B77">
        <w:t xml:space="preserve">he prohibition of torture, being a rule of </w:t>
      </w:r>
      <w:r w:rsidR="00DB3B3F" w:rsidRPr="00536B77">
        <w:rPr>
          <w:i/>
        </w:rPr>
        <w:t>jus cogens</w:t>
      </w:r>
      <w:r w:rsidR="00DB3B3F" w:rsidRPr="00536B77">
        <w:t>, acts in the international sphere and deprives the rule of sovereign immunity of all of its legal effects in that sphere”.</w:t>
      </w:r>
      <w:r w:rsidR="00DB3B3F" w:rsidRPr="00536B77">
        <w:rPr>
          <w:rStyle w:val="FootnoteReference"/>
        </w:rPr>
        <w:footnoteReference w:id="34"/>
      </w:r>
    </w:p>
    <w:p w14:paraId="682855E5" w14:textId="77777777" w:rsidR="009D38AD" w:rsidRPr="00536B77" w:rsidRDefault="00070FD1" w:rsidP="00536B77">
      <w:pPr>
        <w:spacing w:line="480" w:lineRule="auto"/>
        <w:ind w:firstLine="720"/>
        <w:rPr>
          <w:rStyle w:val="sb8d990e2"/>
          <w:color w:val="000000"/>
          <w:shd w:val="clear" w:color="auto" w:fill="FFFFFF"/>
        </w:rPr>
      </w:pPr>
      <w:r w:rsidRPr="00536B77">
        <w:t xml:space="preserve">By the time the Grand Chamber sat to hear this case in 2001, the </w:t>
      </w:r>
      <w:r w:rsidRPr="008F77DD">
        <w:rPr>
          <w:i/>
        </w:rPr>
        <w:t>Pinochet</w:t>
      </w:r>
      <w:r w:rsidRPr="00536B77">
        <w:t xml:space="preserve"> decision had been delivered</w:t>
      </w:r>
      <w:r w:rsidR="00DB3B3F" w:rsidRPr="00536B77">
        <w:t xml:space="preserve">. </w:t>
      </w:r>
      <w:r w:rsidR="007B5AC4" w:rsidRPr="00536B77">
        <w:t xml:space="preserve"> </w:t>
      </w:r>
      <w:r w:rsidR="00996D78" w:rsidRPr="00536B77">
        <w:t xml:space="preserve">Given that </w:t>
      </w:r>
      <w:r w:rsidR="00996D78" w:rsidRPr="00536B77">
        <w:rPr>
          <w:i/>
        </w:rPr>
        <w:t>Pinochet</w:t>
      </w:r>
      <w:r w:rsidR="00996D78" w:rsidRPr="00536B77">
        <w:t xml:space="preserve"> concerned a matter of criminal law and </w:t>
      </w:r>
      <w:r w:rsidR="00996D78" w:rsidRPr="00536B77">
        <w:rPr>
          <w:i/>
        </w:rPr>
        <w:t xml:space="preserve">Al-Adsani </w:t>
      </w:r>
      <w:r w:rsidR="00996D78" w:rsidRPr="00536B77">
        <w:t xml:space="preserve">concerned a civil claim, the former was not a </w:t>
      </w:r>
      <w:r w:rsidR="009D38AD" w:rsidRPr="00536B77">
        <w:t xml:space="preserve">direct </w:t>
      </w:r>
      <w:r w:rsidR="00996D78" w:rsidRPr="00536B77">
        <w:t>precedent for the latter.</w:t>
      </w:r>
      <w:r w:rsidR="007B5AC4" w:rsidRPr="00536B77">
        <w:t xml:space="preserve"> </w:t>
      </w:r>
      <w:r w:rsidR="00996D78" w:rsidRPr="00536B77">
        <w:t xml:space="preserve"> Indeed, although the </w:t>
      </w:r>
      <w:r w:rsidR="00996D78" w:rsidRPr="00536B77">
        <w:rPr>
          <w:i/>
        </w:rPr>
        <w:t>Pinochet</w:t>
      </w:r>
      <w:r w:rsidR="00996D78" w:rsidRPr="00536B77">
        <w:t xml:space="preserve"> decision was referred to in the judgment of the Grand Chamber</w:t>
      </w:r>
      <w:r w:rsidR="007B5AC4" w:rsidRPr="00536B77">
        <w:t>,</w:t>
      </w:r>
      <w:r w:rsidR="00996D78" w:rsidRPr="00536B77">
        <w:t xml:space="preserve"> the majority sought to distinguish that case as a criminal case that removed the immunity </w:t>
      </w:r>
      <w:r w:rsidR="00996D78" w:rsidRPr="00536B77">
        <w:rPr>
          <w:i/>
        </w:rPr>
        <w:t>rationae materiae</w:t>
      </w:r>
      <w:r w:rsidR="00996D78" w:rsidRPr="00536B77">
        <w:t xml:space="preserve"> from criminal jurisdiction of a former </w:t>
      </w:r>
      <w:r w:rsidR="000F6A9C" w:rsidRPr="00536B77">
        <w:t>Head of</w:t>
      </w:r>
      <w:r w:rsidR="00996D78" w:rsidRPr="00536B77">
        <w:t xml:space="preserve"> </w:t>
      </w:r>
      <w:r w:rsidR="000F6A9C" w:rsidRPr="00536B77">
        <w:t>State</w:t>
      </w:r>
      <w:r w:rsidR="00996D78" w:rsidRPr="00536B77">
        <w:t xml:space="preserve"> and “did not in any way affect the immunity </w:t>
      </w:r>
      <w:r w:rsidR="00996D78" w:rsidRPr="00536B77">
        <w:rPr>
          <w:i/>
        </w:rPr>
        <w:t>rationae personae</w:t>
      </w:r>
      <w:r w:rsidR="00996D78" w:rsidRPr="00536B77">
        <w:t xml:space="preserve"> of foreign sovereign </w:t>
      </w:r>
      <w:r w:rsidR="000F6A9C" w:rsidRPr="00536B77">
        <w:t>State</w:t>
      </w:r>
      <w:r w:rsidR="00996D78" w:rsidRPr="00536B77">
        <w:t>s from civil jurisdiction in respect of such acts”.</w:t>
      </w:r>
      <w:r w:rsidR="00996D78" w:rsidRPr="00536B77">
        <w:rPr>
          <w:rStyle w:val="FootnoteReference"/>
        </w:rPr>
        <w:footnoteReference w:id="35"/>
      </w:r>
      <w:r w:rsidR="00996D78" w:rsidRPr="00536B77">
        <w:t xml:space="preserve"> </w:t>
      </w:r>
      <w:r w:rsidR="007B5AC4" w:rsidRPr="00536B77">
        <w:t xml:space="preserve"> </w:t>
      </w:r>
      <w:r w:rsidR="00996D78" w:rsidRPr="00536B77">
        <w:t xml:space="preserve">For the minority, that distinction was spurious. </w:t>
      </w:r>
      <w:r w:rsidR="007B5AC4" w:rsidRPr="00536B77">
        <w:t xml:space="preserve"> </w:t>
      </w:r>
      <w:r w:rsidR="00996D78" w:rsidRPr="00536B77">
        <w:t xml:space="preserve">According to Judge Ferrari Bravo, the Court need only have applied the decision in </w:t>
      </w:r>
      <w:r w:rsidR="00996D78" w:rsidRPr="00536B77">
        <w:rPr>
          <w:i/>
        </w:rPr>
        <w:t>Pinochet No.3</w:t>
      </w:r>
      <w:r w:rsidR="00996D78" w:rsidRPr="00536B77">
        <w:t xml:space="preserve"> “</w:t>
      </w:r>
      <w:r w:rsidR="00996D78" w:rsidRPr="00536B77">
        <w:rPr>
          <w:rStyle w:val="sb8d990e2"/>
          <w:color w:val="000000"/>
          <w:shd w:val="clear" w:color="auto" w:fill="FFFFFF"/>
        </w:rPr>
        <w:t>to the effect that the prohibition of torture is now</w:t>
      </w:r>
      <w:r w:rsidR="00996D78" w:rsidRPr="00536B77">
        <w:rPr>
          <w:rStyle w:val="apple-converted-space"/>
          <w:color w:val="000000"/>
          <w:shd w:val="clear" w:color="auto" w:fill="FFFFFF"/>
        </w:rPr>
        <w:t> </w:t>
      </w:r>
      <w:r w:rsidR="00996D78" w:rsidRPr="00536B77">
        <w:rPr>
          <w:rStyle w:val="s6b621b36"/>
          <w:i/>
          <w:iCs/>
          <w:color w:val="000000"/>
          <w:shd w:val="clear" w:color="auto" w:fill="FFFFFF"/>
        </w:rPr>
        <w:t>jus cogens</w:t>
      </w:r>
      <w:r w:rsidR="00996D78" w:rsidRPr="00536B77">
        <w:rPr>
          <w:rStyle w:val="sb8d990e2"/>
          <w:color w:val="000000"/>
          <w:shd w:val="clear" w:color="auto" w:fill="FFFFFF"/>
        </w:rPr>
        <w:t xml:space="preserve">, so that torture is a crime under international law. </w:t>
      </w:r>
      <w:r w:rsidR="007B5AC4" w:rsidRPr="00536B77">
        <w:rPr>
          <w:rStyle w:val="sb8d990e2"/>
          <w:color w:val="000000"/>
          <w:shd w:val="clear" w:color="auto" w:fill="FFFFFF"/>
        </w:rPr>
        <w:t xml:space="preserve"> </w:t>
      </w:r>
      <w:r w:rsidR="00996D78" w:rsidRPr="00536B77">
        <w:rPr>
          <w:rStyle w:val="sb8d990e2"/>
          <w:color w:val="000000"/>
          <w:shd w:val="clear" w:color="auto" w:fill="FFFFFF"/>
        </w:rPr>
        <w:t xml:space="preserve">It follows that every </w:t>
      </w:r>
      <w:r w:rsidR="000F6A9C" w:rsidRPr="00536B77">
        <w:rPr>
          <w:rStyle w:val="sb8d990e2"/>
          <w:color w:val="000000"/>
          <w:shd w:val="clear" w:color="auto" w:fill="FFFFFF"/>
        </w:rPr>
        <w:t>State</w:t>
      </w:r>
      <w:r w:rsidR="00996D78" w:rsidRPr="00536B77">
        <w:rPr>
          <w:rStyle w:val="sb8d990e2"/>
          <w:color w:val="000000"/>
          <w:shd w:val="clear" w:color="auto" w:fill="FFFFFF"/>
        </w:rPr>
        <w:t xml:space="preserve"> has a duty to</w:t>
      </w:r>
      <w:r w:rsidR="00996D78" w:rsidRPr="00536B77">
        <w:rPr>
          <w:rStyle w:val="apple-converted-space"/>
          <w:color w:val="000000"/>
          <w:shd w:val="clear" w:color="auto" w:fill="FFFFFF"/>
        </w:rPr>
        <w:t> </w:t>
      </w:r>
      <w:r w:rsidR="00996D78" w:rsidRPr="00536B77">
        <w:rPr>
          <w:rStyle w:val="s6b621b36"/>
          <w:i/>
          <w:iCs/>
          <w:color w:val="000000"/>
          <w:shd w:val="clear" w:color="auto" w:fill="FFFFFF"/>
        </w:rPr>
        <w:t>contribute</w:t>
      </w:r>
      <w:r w:rsidR="00996D78" w:rsidRPr="00536B77">
        <w:rPr>
          <w:rStyle w:val="apple-converted-space"/>
          <w:color w:val="000000"/>
          <w:shd w:val="clear" w:color="auto" w:fill="FFFFFF"/>
        </w:rPr>
        <w:t> </w:t>
      </w:r>
      <w:r w:rsidR="00996D78" w:rsidRPr="00536B77">
        <w:rPr>
          <w:rStyle w:val="sb8d990e2"/>
          <w:color w:val="000000"/>
          <w:shd w:val="clear" w:color="auto" w:fill="FFFFFF"/>
        </w:rPr>
        <w:t>to the punishment of torture and cannot hide behind formalist arguments to avoid having to give judgment.”</w:t>
      </w:r>
      <w:r w:rsidR="00996D78" w:rsidRPr="00536B77">
        <w:rPr>
          <w:rStyle w:val="FootnoteReference"/>
          <w:color w:val="000000"/>
          <w:shd w:val="clear" w:color="auto" w:fill="FFFFFF"/>
        </w:rPr>
        <w:footnoteReference w:id="36"/>
      </w:r>
      <w:r w:rsidR="000F6A9C" w:rsidRPr="00536B77">
        <w:rPr>
          <w:rStyle w:val="sb8d990e2"/>
          <w:color w:val="000000"/>
          <w:shd w:val="clear" w:color="auto" w:fill="FFFFFF"/>
        </w:rPr>
        <w:t xml:space="preserve"> </w:t>
      </w:r>
      <w:r w:rsidR="007B5AC4" w:rsidRPr="00536B77">
        <w:rPr>
          <w:rStyle w:val="sb8d990e2"/>
          <w:color w:val="000000"/>
          <w:shd w:val="clear" w:color="auto" w:fill="FFFFFF"/>
        </w:rPr>
        <w:t xml:space="preserve"> </w:t>
      </w:r>
      <w:r w:rsidR="000F6A9C" w:rsidRPr="00536B77">
        <w:rPr>
          <w:rStyle w:val="sb8d990e2"/>
          <w:color w:val="000000"/>
          <w:shd w:val="clear" w:color="auto" w:fill="FFFFFF"/>
        </w:rPr>
        <w:t>The rest of the minority</w:t>
      </w:r>
      <w:r w:rsidR="00996D78" w:rsidRPr="00536B77">
        <w:rPr>
          <w:rStyle w:val="sb8d990e2"/>
          <w:color w:val="000000"/>
          <w:shd w:val="clear" w:color="auto" w:fill="FFFFFF"/>
        </w:rPr>
        <w:t xml:space="preserve"> merely rejected the distinction between civil and criminal proceedings as “not consonant with the very essence of the operation of the </w:t>
      </w:r>
      <w:r w:rsidR="00996D78" w:rsidRPr="00536B77">
        <w:rPr>
          <w:rStyle w:val="sb8d990e2"/>
          <w:i/>
          <w:color w:val="000000"/>
          <w:shd w:val="clear" w:color="auto" w:fill="FFFFFF"/>
        </w:rPr>
        <w:t>jus cogens</w:t>
      </w:r>
      <w:r w:rsidR="00996D78" w:rsidRPr="00536B77">
        <w:rPr>
          <w:rStyle w:val="sb8d990e2"/>
          <w:color w:val="000000"/>
          <w:shd w:val="clear" w:color="auto" w:fill="FFFFFF"/>
        </w:rPr>
        <w:t xml:space="preserve"> rules”.</w:t>
      </w:r>
      <w:r w:rsidR="00996D78" w:rsidRPr="00536B77">
        <w:rPr>
          <w:rStyle w:val="FootnoteReference"/>
          <w:color w:val="000000"/>
          <w:shd w:val="clear" w:color="auto" w:fill="FFFFFF"/>
        </w:rPr>
        <w:footnoteReference w:id="37"/>
      </w:r>
      <w:r w:rsidR="00996D78" w:rsidRPr="00536B77">
        <w:rPr>
          <w:rStyle w:val="sb8d990e2"/>
          <w:color w:val="000000"/>
          <w:shd w:val="clear" w:color="auto" w:fill="FFFFFF"/>
        </w:rPr>
        <w:t xml:space="preserve"> </w:t>
      </w:r>
    </w:p>
    <w:p w14:paraId="6E7429ED" w14:textId="666C1D18" w:rsidR="00EC63EC" w:rsidRPr="00536B77" w:rsidRDefault="005922E6" w:rsidP="00536B77">
      <w:pPr>
        <w:spacing w:line="480" w:lineRule="auto"/>
        <w:ind w:firstLine="720"/>
        <w:rPr>
          <w:rStyle w:val="sb8d990e2"/>
          <w:color w:val="000000"/>
          <w:shd w:val="clear" w:color="auto" w:fill="FFFFFF"/>
        </w:rPr>
      </w:pPr>
      <w:r w:rsidRPr="00536B77">
        <w:rPr>
          <w:rStyle w:val="sb8d990e2"/>
          <w:color w:val="000000"/>
          <w:shd w:val="clear" w:color="auto" w:fill="FFFFFF"/>
        </w:rPr>
        <w:lastRenderedPageBreak/>
        <w:t xml:space="preserve">A </w:t>
      </w:r>
      <w:r w:rsidR="00765E03" w:rsidRPr="00536B77">
        <w:rPr>
          <w:rStyle w:val="sb8d990e2"/>
          <w:color w:val="000000"/>
          <w:shd w:val="clear" w:color="auto" w:fill="FFFFFF"/>
        </w:rPr>
        <w:t xml:space="preserve">slightly </w:t>
      </w:r>
      <w:r w:rsidRPr="00536B77">
        <w:rPr>
          <w:rStyle w:val="sb8d990e2"/>
          <w:color w:val="000000"/>
          <w:shd w:val="clear" w:color="auto" w:fill="FFFFFF"/>
        </w:rPr>
        <w:t>different approach</w:t>
      </w:r>
      <w:r w:rsidR="00765E03" w:rsidRPr="00536B77">
        <w:rPr>
          <w:rStyle w:val="sb8d990e2"/>
          <w:color w:val="000000"/>
          <w:shd w:val="clear" w:color="auto" w:fill="FFFFFF"/>
        </w:rPr>
        <w:t xml:space="preserve"> was taken by the applicants in </w:t>
      </w:r>
      <w:r w:rsidR="00765E03" w:rsidRPr="00536B77">
        <w:rPr>
          <w:rStyle w:val="sb8d990e2"/>
          <w:i/>
          <w:color w:val="000000"/>
          <w:shd w:val="clear" w:color="auto" w:fill="FFFFFF"/>
        </w:rPr>
        <w:t>Jones v</w:t>
      </w:r>
      <w:r w:rsidR="00FB0BEC">
        <w:rPr>
          <w:rStyle w:val="sb8d990e2"/>
          <w:i/>
          <w:color w:val="000000"/>
          <w:shd w:val="clear" w:color="auto" w:fill="FFFFFF"/>
        </w:rPr>
        <w:t>.</w:t>
      </w:r>
      <w:r w:rsidR="00765E03" w:rsidRPr="00536B77">
        <w:rPr>
          <w:rStyle w:val="sb8d990e2"/>
          <w:i/>
          <w:color w:val="000000"/>
          <w:shd w:val="clear" w:color="auto" w:fill="FFFFFF"/>
        </w:rPr>
        <w:t xml:space="preserve"> Saudi Arabia</w:t>
      </w:r>
      <w:r w:rsidR="00765E03" w:rsidRPr="00536B77">
        <w:rPr>
          <w:rStyle w:val="sb8d990e2"/>
          <w:color w:val="000000"/>
          <w:shd w:val="clear" w:color="auto" w:fill="FFFFFF"/>
        </w:rPr>
        <w:t>,</w:t>
      </w:r>
      <w:commentRangeStart w:id="16"/>
      <w:r w:rsidR="00FB0BEC">
        <w:rPr>
          <w:rStyle w:val="FootnoteReference"/>
          <w:color w:val="000000"/>
          <w:shd w:val="clear" w:color="auto" w:fill="FFFFFF"/>
        </w:rPr>
        <w:footnoteReference w:id="38"/>
      </w:r>
      <w:r w:rsidR="00765E03" w:rsidRPr="00536B77">
        <w:rPr>
          <w:rStyle w:val="sb8d990e2"/>
          <w:color w:val="000000"/>
          <w:shd w:val="clear" w:color="auto" w:fill="FFFFFF"/>
        </w:rPr>
        <w:t xml:space="preserve"> </w:t>
      </w:r>
      <w:commentRangeEnd w:id="16"/>
      <w:r w:rsidR="00FB0BEC">
        <w:rPr>
          <w:rStyle w:val="CommentReference"/>
        </w:rPr>
        <w:commentReference w:id="16"/>
      </w:r>
      <w:r w:rsidR="00765E03" w:rsidRPr="00536B77">
        <w:rPr>
          <w:rStyle w:val="sb8d990e2"/>
          <w:color w:val="000000"/>
          <w:shd w:val="clear" w:color="auto" w:fill="FFFFFF"/>
        </w:rPr>
        <w:t xml:space="preserve">which was another civil claim involving similar facts to those in </w:t>
      </w:r>
      <w:r w:rsidR="00765E03" w:rsidRPr="00536B77">
        <w:rPr>
          <w:rStyle w:val="sb8d990e2"/>
          <w:i/>
          <w:color w:val="000000"/>
          <w:shd w:val="clear" w:color="auto" w:fill="FFFFFF"/>
        </w:rPr>
        <w:t xml:space="preserve">Al-Adsani. </w:t>
      </w:r>
      <w:r w:rsidR="007B5AC4" w:rsidRPr="00536B77">
        <w:rPr>
          <w:rStyle w:val="sb8d990e2"/>
          <w:i/>
          <w:color w:val="000000"/>
          <w:shd w:val="clear" w:color="auto" w:fill="FFFFFF"/>
        </w:rPr>
        <w:t xml:space="preserve"> </w:t>
      </w:r>
      <w:r w:rsidR="00765E03" w:rsidRPr="00536B77">
        <w:rPr>
          <w:rStyle w:val="sb8d990e2"/>
          <w:color w:val="000000"/>
          <w:shd w:val="clear" w:color="auto" w:fill="FFFFFF"/>
        </w:rPr>
        <w:t xml:space="preserve">In </w:t>
      </w:r>
      <w:r w:rsidR="00765E03" w:rsidRPr="008F77DD">
        <w:rPr>
          <w:rStyle w:val="sb8d990e2"/>
          <w:i/>
          <w:color w:val="000000"/>
          <w:shd w:val="clear" w:color="auto" w:fill="FFFFFF"/>
        </w:rPr>
        <w:t>Jones</w:t>
      </w:r>
      <w:r w:rsidR="00765E03" w:rsidRPr="00536B77">
        <w:rPr>
          <w:rStyle w:val="sb8d990e2"/>
          <w:color w:val="000000"/>
          <w:shd w:val="clear" w:color="auto" w:fill="FFFFFF"/>
        </w:rPr>
        <w:t>, Mr Jones and Mr Mitchell, with others</w:t>
      </w:r>
      <w:r w:rsidR="000F6A9C" w:rsidRPr="00536B77">
        <w:rPr>
          <w:rStyle w:val="sb8d990e2"/>
          <w:color w:val="000000"/>
          <w:shd w:val="clear" w:color="auto" w:fill="FFFFFF"/>
        </w:rPr>
        <w:t>,</w:t>
      </w:r>
      <w:r w:rsidR="00765E03" w:rsidRPr="00536B77">
        <w:rPr>
          <w:rStyle w:val="sb8d990e2"/>
          <w:color w:val="000000"/>
          <w:shd w:val="clear" w:color="auto" w:fill="FFFFFF"/>
        </w:rPr>
        <w:t xml:space="preserve"> </w:t>
      </w:r>
      <w:r w:rsidR="00B74E23" w:rsidRPr="00536B77">
        <w:rPr>
          <w:rStyle w:val="sb8d990e2"/>
          <w:color w:val="000000"/>
          <w:shd w:val="clear" w:color="auto" w:fill="FFFFFF"/>
        </w:rPr>
        <w:t>alleged that they had been systematically tortured while imprisoned in Saudi Arabia and claimed damages for physical and mental injuries they suffered as a result.</w:t>
      </w:r>
      <w:r w:rsidR="007B5AC4" w:rsidRPr="00536B77">
        <w:rPr>
          <w:rStyle w:val="sb8d990e2"/>
          <w:color w:val="000000"/>
          <w:shd w:val="clear" w:color="auto" w:fill="FFFFFF"/>
        </w:rPr>
        <w:t xml:space="preserve"> </w:t>
      </w:r>
      <w:r w:rsidR="00B74E23" w:rsidRPr="00536B77">
        <w:rPr>
          <w:rStyle w:val="sb8d990e2"/>
          <w:color w:val="000000"/>
          <w:shd w:val="clear" w:color="auto" w:fill="FFFFFF"/>
        </w:rPr>
        <w:t xml:space="preserve"> In the first action, Mr Jones made claims against the Kingdom of Saudi Arabia and officials of the Ministry of the Interior led by Lieutenant-Colonel Abdul Aziz. </w:t>
      </w:r>
      <w:r w:rsidR="00FB0BEC">
        <w:rPr>
          <w:rStyle w:val="sb8d990e2"/>
          <w:color w:val="000000"/>
          <w:shd w:val="clear" w:color="auto" w:fill="FFFFFF"/>
        </w:rPr>
        <w:t xml:space="preserve"> </w:t>
      </w:r>
      <w:r w:rsidR="00B74E23" w:rsidRPr="00536B77">
        <w:rPr>
          <w:rStyle w:val="sb8d990e2"/>
          <w:color w:val="000000"/>
          <w:shd w:val="clear" w:color="auto" w:fill="FFFFFF"/>
        </w:rPr>
        <w:t>His attempts to serve the claim against Aziz had failed and he sought permiss</w:t>
      </w:r>
      <w:r w:rsidR="00EC63EC" w:rsidRPr="00536B77">
        <w:rPr>
          <w:rStyle w:val="sb8d990e2"/>
          <w:color w:val="000000"/>
          <w:shd w:val="clear" w:color="auto" w:fill="FFFFFF"/>
        </w:rPr>
        <w:t xml:space="preserve">ion to serve </w:t>
      </w:r>
      <w:r w:rsidR="00B74E23" w:rsidRPr="00536B77">
        <w:rPr>
          <w:rStyle w:val="sb8d990e2"/>
          <w:color w:val="000000"/>
          <w:shd w:val="clear" w:color="auto" w:fill="FFFFFF"/>
        </w:rPr>
        <w:t>Aziz out of the jurisdiction.</w:t>
      </w:r>
      <w:r w:rsidR="00DD18D4">
        <w:rPr>
          <w:rStyle w:val="FootnoteReference"/>
          <w:color w:val="000000"/>
          <w:shd w:val="clear" w:color="auto" w:fill="FFFFFF"/>
        </w:rPr>
        <w:footnoteReference w:id="39"/>
      </w:r>
      <w:r w:rsidR="00B74E23" w:rsidRPr="00536B77">
        <w:rPr>
          <w:rStyle w:val="sb8d990e2"/>
          <w:color w:val="000000"/>
          <w:shd w:val="clear" w:color="auto" w:fill="FFFFFF"/>
        </w:rPr>
        <w:t xml:space="preserve"> </w:t>
      </w:r>
      <w:r w:rsidR="007B5AC4" w:rsidRPr="00536B77">
        <w:rPr>
          <w:rStyle w:val="sb8d990e2"/>
          <w:color w:val="000000"/>
          <w:shd w:val="clear" w:color="auto" w:fill="FFFFFF"/>
        </w:rPr>
        <w:t xml:space="preserve"> </w:t>
      </w:r>
      <w:commentRangeStart w:id="17"/>
      <w:r w:rsidR="00B74E23" w:rsidRPr="00536B77">
        <w:rPr>
          <w:rStyle w:val="sb8d990e2"/>
          <w:color w:val="000000"/>
          <w:shd w:val="clear" w:color="auto" w:fill="FFFFFF"/>
        </w:rPr>
        <w:t>In the second action, Mr Mitchell and others made claims against four named individuals and sought permission to serve these individuals out of the jurisdiction.</w:t>
      </w:r>
      <w:r w:rsidR="00DD18D4">
        <w:rPr>
          <w:rStyle w:val="FootnoteReference"/>
          <w:color w:val="000000"/>
          <w:shd w:val="clear" w:color="auto" w:fill="FFFFFF"/>
        </w:rPr>
        <w:footnoteReference w:id="40"/>
      </w:r>
      <w:r w:rsidR="00B74E23" w:rsidRPr="00536B77">
        <w:rPr>
          <w:rStyle w:val="sb8d990e2"/>
          <w:color w:val="000000"/>
          <w:shd w:val="clear" w:color="auto" w:fill="FFFFFF"/>
        </w:rPr>
        <w:t xml:space="preserve"> </w:t>
      </w:r>
      <w:r w:rsidR="007B5AC4" w:rsidRPr="00536B77">
        <w:rPr>
          <w:rStyle w:val="sb8d990e2"/>
          <w:color w:val="000000"/>
          <w:shd w:val="clear" w:color="auto" w:fill="FFFFFF"/>
        </w:rPr>
        <w:t xml:space="preserve"> </w:t>
      </w:r>
      <w:r w:rsidR="00B74E23" w:rsidRPr="00536B77">
        <w:rPr>
          <w:rStyle w:val="sb8d990e2"/>
          <w:color w:val="000000"/>
          <w:shd w:val="clear" w:color="auto" w:fill="FFFFFF"/>
        </w:rPr>
        <w:t xml:space="preserve">In the </w:t>
      </w:r>
      <w:r w:rsidR="00DD18D4">
        <w:rPr>
          <w:rStyle w:val="sb8d990e2"/>
          <w:color w:val="000000"/>
          <w:shd w:val="clear" w:color="auto" w:fill="FFFFFF"/>
        </w:rPr>
        <w:t>case brought by Jones</w:t>
      </w:r>
      <w:r w:rsidR="00B74E23" w:rsidRPr="00536B77">
        <w:rPr>
          <w:rStyle w:val="sb8d990e2"/>
          <w:color w:val="000000"/>
          <w:shd w:val="clear" w:color="auto" w:fill="FFFFFF"/>
        </w:rPr>
        <w:t xml:space="preserve">, the Kingdom of Saudi Arabia claimed immunity for itself and for its agent in terms of </w:t>
      </w:r>
      <w:r w:rsidR="00F1006E">
        <w:rPr>
          <w:rStyle w:val="sb8d990e2"/>
          <w:color w:val="000000"/>
          <w:shd w:val="clear" w:color="auto" w:fill="FFFFFF"/>
        </w:rPr>
        <w:t>s</w:t>
      </w:r>
      <w:r w:rsidR="00F1006E" w:rsidRPr="00536B77">
        <w:rPr>
          <w:rStyle w:val="sb8d990e2"/>
          <w:color w:val="000000"/>
          <w:shd w:val="clear" w:color="auto" w:fill="FFFFFF"/>
        </w:rPr>
        <w:t xml:space="preserve">ection </w:t>
      </w:r>
      <w:r w:rsidR="00B74E23" w:rsidRPr="00536B77">
        <w:rPr>
          <w:rStyle w:val="sb8d990e2"/>
          <w:color w:val="000000"/>
          <w:shd w:val="clear" w:color="auto" w:fill="FFFFFF"/>
        </w:rPr>
        <w:t xml:space="preserve">1 and </w:t>
      </w:r>
      <w:r w:rsidR="00F1006E">
        <w:rPr>
          <w:rStyle w:val="sb8d990e2"/>
          <w:color w:val="000000"/>
          <w:shd w:val="clear" w:color="auto" w:fill="FFFFFF"/>
        </w:rPr>
        <w:t>s</w:t>
      </w:r>
      <w:r w:rsidR="00F1006E" w:rsidRPr="00536B77">
        <w:rPr>
          <w:rStyle w:val="sb8d990e2"/>
          <w:color w:val="000000"/>
          <w:shd w:val="clear" w:color="auto" w:fill="FFFFFF"/>
        </w:rPr>
        <w:t xml:space="preserve">ection </w:t>
      </w:r>
      <w:r w:rsidR="00B74E23" w:rsidRPr="00536B77">
        <w:rPr>
          <w:rStyle w:val="sb8d990e2"/>
          <w:color w:val="000000"/>
          <w:shd w:val="clear" w:color="auto" w:fill="FFFFFF"/>
        </w:rPr>
        <w:t xml:space="preserve">14(1) of the </w:t>
      </w:r>
      <w:r w:rsidR="000F6A9C" w:rsidRPr="00536B77">
        <w:rPr>
          <w:rStyle w:val="sb8d990e2"/>
          <w:color w:val="000000"/>
          <w:shd w:val="clear" w:color="auto" w:fill="FFFFFF"/>
        </w:rPr>
        <w:t>State</w:t>
      </w:r>
      <w:r w:rsidR="00B74E23" w:rsidRPr="00536B77">
        <w:rPr>
          <w:rStyle w:val="sb8d990e2"/>
          <w:color w:val="000000"/>
          <w:shd w:val="clear" w:color="auto" w:fill="FFFFFF"/>
        </w:rPr>
        <w:t xml:space="preserve"> Immunity Act 1978. </w:t>
      </w:r>
      <w:r w:rsidR="007B5AC4" w:rsidRPr="00536B77">
        <w:rPr>
          <w:rStyle w:val="sb8d990e2"/>
          <w:color w:val="000000"/>
          <w:shd w:val="clear" w:color="auto" w:fill="FFFFFF"/>
        </w:rPr>
        <w:t xml:space="preserve"> </w:t>
      </w:r>
      <w:r w:rsidR="00B74E23" w:rsidRPr="00536B77">
        <w:rPr>
          <w:rStyle w:val="sb8d990e2"/>
          <w:color w:val="000000"/>
          <w:shd w:val="clear" w:color="auto" w:fill="FFFFFF"/>
        </w:rPr>
        <w:t xml:space="preserve">In the </w:t>
      </w:r>
      <w:r w:rsidR="00DD18D4">
        <w:rPr>
          <w:rStyle w:val="sb8d990e2"/>
          <w:color w:val="000000"/>
          <w:shd w:val="clear" w:color="auto" w:fill="FFFFFF"/>
        </w:rPr>
        <w:t xml:space="preserve">Mitchell </w:t>
      </w:r>
      <w:r w:rsidR="00B74E23" w:rsidRPr="00536B77">
        <w:rPr>
          <w:rStyle w:val="sb8d990e2"/>
          <w:color w:val="000000"/>
          <w:shd w:val="clear" w:color="auto" w:fill="FFFFFF"/>
        </w:rPr>
        <w:t>action,</w:t>
      </w:r>
      <w:commentRangeEnd w:id="17"/>
      <w:r w:rsidR="00FB0BEC">
        <w:rPr>
          <w:rStyle w:val="CommentReference"/>
        </w:rPr>
        <w:commentReference w:id="17"/>
      </w:r>
      <w:r w:rsidR="00B74E23" w:rsidRPr="00536B77">
        <w:rPr>
          <w:rStyle w:val="sb8d990e2"/>
          <w:color w:val="000000"/>
          <w:shd w:val="clear" w:color="auto" w:fill="FFFFFF"/>
        </w:rPr>
        <w:t xml:space="preserve"> it claimed immunity for its agents in terms of </w:t>
      </w:r>
      <w:r w:rsidR="00FB0BEC">
        <w:rPr>
          <w:rStyle w:val="sb8d990e2"/>
          <w:color w:val="000000"/>
          <w:shd w:val="clear" w:color="auto" w:fill="FFFFFF"/>
        </w:rPr>
        <w:t>s</w:t>
      </w:r>
      <w:r w:rsidR="00FB0BEC" w:rsidRPr="00536B77">
        <w:rPr>
          <w:rStyle w:val="sb8d990e2"/>
          <w:color w:val="000000"/>
          <w:shd w:val="clear" w:color="auto" w:fill="FFFFFF"/>
        </w:rPr>
        <w:t xml:space="preserve">ection </w:t>
      </w:r>
      <w:r w:rsidR="00B74E23" w:rsidRPr="00536B77">
        <w:rPr>
          <w:rStyle w:val="sb8d990e2"/>
          <w:color w:val="000000"/>
          <w:shd w:val="clear" w:color="auto" w:fill="FFFFFF"/>
        </w:rPr>
        <w:t>14(1) of the 1978 Act.</w:t>
      </w:r>
      <w:r w:rsidR="00EC63EC" w:rsidRPr="00536B77">
        <w:rPr>
          <w:rStyle w:val="sb8d990e2"/>
          <w:color w:val="000000"/>
          <w:shd w:val="clear" w:color="auto" w:fill="FFFFFF"/>
        </w:rPr>
        <w:t xml:space="preserve"> </w:t>
      </w:r>
      <w:r w:rsidR="007B5AC4" w:rsidRPr="00536B77">
        <w:rPr>
          <w:rStyle w:val="sb8d990e2"/>
          <w:color w:val="000000"/>
          <w:shd w:val="clear" w:color="auto" w:fill="FFFFFF"/>
        </w:rPr>
        <w:t xml:space="preserve"> </w:t>
      </w:r>
      <w:r w:rsidR="00DD18D4">
        <w:rPr>
          <w:rStyle w:val="sb8d990e2"/>
          <w:color w:val="000000"/>
          <w:shd w:val="clear" w:color="auto" w:fill="FFFFFF"/>
        </w:rPr>
        <w:t>In both actions, a</w:t>
      </w:r>
      <w:r w:rsidR="00EC63EC" w:rsidRPr="00536B77">
        <w:rPr>
          <w:rStyle w:val="sb8d990e2"/>
          <w:color w:val="000000"/>
          <w:shd w:val="clear" w:color="auto" w:fill="FFFFFF"/>
        </w:rPr>
        <w:t>t first instan</w:t>
      </w:r>
      <w:r w:rsidR="00DD18D4">
        <w:rPr>
          <w:rStyle w:val="sb8d990e2"/>
          <w:color w:val="000000"/>
          <w:shd w:val="clear" w:color="auto" w:fill="FFFFFF"/>
        </w:rPr>
        <w:t>ce</w:t>
      </w:r>
      <w:r w:rsidR="00EC63EC" w:rsidRPr="00536B77">
        <w:rPr>
          <w:rStyle w:val="sb8d990e2"/>
          <w:color w:val="000000"/>
          <w:shd w:val="clear" w:color="auto" w:fill="FFFFFF"/>
        </w:rPr>
        <w:t xml:space="preserve">, the right to serve Aziz and the four other officials was refused on the grounds of </w:t>
      </w:r>
      <w:r w:rsidR="00FB0BEC">
        <w:rPr>
          <w:rStyle w:val="sb8d990e2"/>
          <w:color w:val="000000"/>
          <w:shd w:val="clear" w:color="auto" w:fill="FFFFFF"/>
        </w:rPr>
        <w:t>s</w:t>
      </w:r>
      <w:r w:rsidR="00FB0BEC" w:rsidRPr="00536B77">
        <w:rPr>
          <w:rStyle w:val="sb8d990e2"/>
          <w:color w:val="000000"/>
          <w:shd w:val="clear" w:color="auto" w:fill="FFFFFF"/>
        </w:rPr>
        <w:t xml:space="preserve">ection </w:t>
      </w:r>
      <w:r w:rsidR="00EC63EC" w:rsidRPr="00536B77">
        <w:rPr>
          <w:rStyle w:val="sb8d990e2"/>
          <w:color w:val="000000"/>
          <w:shd w:val="clear" w:color="auto" w:fill="FFFFFF"/>
        </w:rPr>
        <w:t xml:space="preserve">1 of the </w:t>
      </w:r>
      <w:r w:rsidR="000F6A9C" w:rsidRPr="00536B77">
        <w:rPr>
          <w:rStyle w:val="sb8d990e2"/>
          <w:color w:val="000000"/>
          <w:shd w:val="clear" w:color="auto" w:fill="FFFFFF"/>
        </w:rPr>
        <w:t>State</w:t>
      </w:r>
      <w:r w:rsidR="00EC63EC" w:rsidRPr="00536B77">
        <w:rPr>
          <w:rStyle w:val="sb8d990e2"/>
          <w:color w:val="000000"/>
          <w:shd w:val="clear" w:color="auto" w:fill="FFFFFF"/>
        </w:rPr>
        <w:t xml:space="preserve"> Immunity Act 1978 and on the basis of the decision of the European Court of Human Rights in </w:t>
      </w:r>
      <w:r w:rsidR="00EC63EC" w:rsidRPr="00536B77">
        <w:rPr>
          <w:rStyle w:val="sb8d990e2"/>
          <w:i/>
          <w:color w:val="000000"/>
          <w:shd w:val="clear" w:color="auto" w:fill="FFFFFF"/>
        </w:rPr>
        <w:t>Al-Adsani</w:t>
      </w:r>
      <w:r w:rsidR="00EC63EC" w:rsidRPr="00536B77">
        <w:rPr>
          <w:rStyle w:val="sb8d990e2"/>
          <w:color w:val="000000"/>
          <w:shd w:val="clear" w:color="auto" w:fill="FFFFFF"/>
        </w:rPr>
        <w:t>.</w:t>
      </w:r>
      <w:r w:rsidR="007B5AC4" w:rsidRPr="00536B77">
        <w:rPr>
          <w:rStyle w:val="sb8d990e2"/>
          <w:color w:val="000000"/>
          <w:shd w:val="clear" w:color="auto" w:fill="FFFFFF"/>
        </w:rPr>
        <w:t xml:space="preserve"> </w:t>
      </w:r>
      <w:r w:rsidR="00EC63EC" w:rsidRPr="00536B77">
        <w:rPr>
          <w:rStyle w:val="sb8d990e2"/>
          <w:color w:val="000000"/>
          <w:shd w:val="clear" w:color="auto" w:fill="FFFFFF"/>
        </w:rPr>
        <w:t xml:space="preserve"> In relation to the individual defendants, the judge, Master Whitaker, found that the immunity of the Kingdom of Saudi Arabia attached also to them on the basis that</w:t>
      </w:r>
      <w:r w:rsidR="000F6A9C" w:rsidRPr="00536B77">
        <w:rPr>
          <w:rStyle w:val="sb8d990e2"/>
          <w:color w:val="000000"/>
          <w:shd w:val="clear" w:color="auto" w:fill="FFFFFF"/>
        </w:rPr>
        <w:t>,</w:t>
      </w:r>
      <w:r w:rsidR="00EC63EC" w:rsidRPr="00536B77">
        <w:rPr>
          <w:rStyle w:val="sb8d990e2"/>
          <w:color w:val="000000"/>
          <w:shd w:val="clear" w:color="auto" w:fill="FFFFFF"/>
        </w:rPr>
        <w:t xml:space="preserve"> if this were not the case, the immunity of Saudi Arabia could be circumvented by </w:t>
      </w:r>
      <w:r w:rsidR="00A1231E" w:rsidRPr="00536B77">
        <w:rPr>
          <w:rStyle w:val="sb8d990e2"/>
          <w:color w:val="000000"/>
          <w:shd w:val="clear" w:color="auto" w:fill="FFFFFF"/>
        </w:rPr>
        <w:t>impleading its officials.</w:t>
      </w:r>
    </w:p>
    <w:p w14:paraId="79794CF9" w14:textId="77BC4379" w:rsidR="00437530" w:rsidRPr="00536B77" w:rsidRDefault="00DD18D4" w:rsidP="00536B77">
      <w:pPr>
        <w:spacing w:line="480" w:lineRule="auto"/>
        <w:ind w:firstLine="720"/>
        <w:rPr>
          <w:rStyle w:val="sb8d990e2"/>
          <w:color w:val="000000"/>
          <w:shd w:val="clear" w:color="auto" w:fill="FFFFFF"/>
        </w:rPr>
      </w:pPr>
      <w:r>
        <w:rPr>
          <w:rStyle w:val="sb8d990e2"/>
          <w:color w:val="000000"/>
          <w:shd w:val="clear" w:color="auto" w:fill="FFFFFF"/>
        </w:rPr>
        <w:t>T</w:t>
      </w:r>
      <w:r w:rsidR="00765E03" w:rsidRPr="00536B77">
        <w:rPr>
          <w:rStyle w:val="sb8d990e2"/>
          <w:color w:val="000000"/>
          <w:shd w:val="clear" w:color="auto" w:fill="FFFFFF"/>
        </w:rPr>
        <w:t>he immunity of the Kingdom of Saudi Arabia was upheld</w:t>
      </w:r>
      <w:r w:rsidR="00F1006E">
        <w:rPr>
          <w:rStyle w:val="sb8d990e2"/>
          <w:color w:val="000000"/>
          <w:shd w:val="clear" w:color="auto" w:fill="FFFFFF"/>
        </w:rPr>
        <w:t xml:space="preserve"> a</w:t>
      </w:r>
      <w:r w:rsidR="00F1006E" w:rsidRPr="00536B77">
        <w:rPr>
          <w:rStyle w:val="sb8d990e2"/>
          <w:color w:val="000000"/>
          <w:shd w:val="clear" w:color="auto" w:fill="FFFFFF"/>
        </w:rPr>
        <w:t>t the Court of Appeal</w:t>
      </w:r>
      <w:r>
        <w:rPr>
          <w:rStyle w:val="sb8d990e2"/>
          <w:color w:val="000000"/>
          <w:shd w:val="clear" w:color="auto" w:fill="FFFFFF"/>
        </w:rPr>
        <w:t xml:space="preserve"> after a conjoined hearing</w:t>
      </w:r>
      <w:r w:rsidR="00765E03" w:rsidRPr="00536B77">
        <w:rPr>
          <w:rStyle w:val="sb8d990e2"/>
          <w:color w:val="000000"/>
          <w:shd w:val="clear" w:color="auto" w:fill="FFFFFF"/>
        </w:rPr>
        <w:t>.</w:t>
      </w:r>
      <w:r>
        <w:rPr>
          <w:rStyle w:val="FootnoteReference"/>
          <w:color w:val="000000"/>
          <w:shd w:val="clear" w:color="auto" w:fill="FFFFFF"/>
        </w:rPr>
        <w:footnoteReference w:id="41"/>
      </w:r>
      <w:r w:rsidR="00765E03" w:rsidRPr="00536B77">
        <w:rPr>
          <w:rStyle w:val="sb8d990e2"/>
          <w:color w:val="000000"/>
          <w:shd w:val="clear" w:color="auto" w:fill="FFFFFF"/>
        </w:rPr>
        <w:t xml:space="preserve"> </w:t>
      </w:r>
      <w:r w:rsidR="007B5AC4" w:rsidRPr="00536B77">
        <w:rPr>
          <w:rStyle w:val="sb8d990e2"/>
          <w:color w:val="000000"/>
          <w:shd w:val="clear" w:color="auto" w:fill="FFFFFF"/>
        </w:rPr>
        <w:t xml:space="preserve"> </w:t>
      </w:r>
      <w:r w:rsidR="00765E03" w:rsidRPr="00536B77">
        <w:rPr>
          <w:rStyle w:val="sb8d990e2"/>
          <w:color w:val="000000"/>
          <w:shd w:val="clear" w:color="auto" w:fill="FFFFFF"/>
        </w:rPr>
        <w:t xml:space="preserve">However, the Court was willing to accept a different approach in relation to the immunity of the individual officials. </w:t>
      </w:r>
      <w:r w:rsidR="007B5AC4" w:rsidRPr="00536B77">
        <w:rPr>
          <w:rStyle w:val="sb8d990e2"/>
          <w:color w:val="000000"/>
          <w:shd w:val="clear" w:color="auto" w:fill="FFFFFF"/>
        </w:rPr>
        <w:t xml:space="preserve"> </w:t>
      </w:r>
      <w:r w:rsidR="00765E03" w:rsidRPr="00536B77">
        <w:rPr>
          <w:rStyle w:val="sb8d990e2"/>
          <w:color w:val="000000"/>
          <w:shd w:val="clear" w:color="auto" w:fill="FFFFFF"/>
        </w:rPr>
        <w:t xml:space="preserve">The decision to remove the immunity of the </w:t>
      </w:r>
      <w:r w:rsidR="000F6A9C" w:rsidRPr="00536B77">
        <w:rPr>
          <w:rStyle w:val="sb8d990e2"/>
          <w:color w:val="000000"/>
          <w:shd w:val="clear" w:color="auto" w:fill="FFFFFF"/>
        </w:rPr>
        <w:t>State</w:t>
      </w:r>
      <w:r w:rsidR="00765E03" w:rsidRPr="00536B77">
        <w:rPr>
          <w:rStyle w:val="sb8d990e2"/>
          <w:color w:val="000000"/>
          <w:shd w:val="clear" w:color="auto" w:fill="FFFFFF"/>
        </w:rPr>
        <w:t xml:space="preserve"> officials relied heavily on the </w:t>
      </w:r>
      <w:r w:rsidR="00765E03" w:rsidRPr="008F77DD">
        <w:rPr>
          <w:rStyle w:val="sb8d990e2"/>
          <w:i/>
          <w:color w:val="000000"/>
          <w:shd w:val="clear" w:color="auto" w:fill="FFFFFF"/>
        </w:rPr>
        <w:t>Pinochet</w:t>
      </w:r>
      <w:r w:rsidR="00765E03" w:rsidRPr="00536B77">
        <w:rPr>
          <w:rStyle w:val="sb8d990e2"/>
          <w:color w:val="000000"/>
          <w:shd w:val="clear" w:color="auto" w:fill="FFFFFF"/>
        </w:rPr>
        <w:t xml:space="preserve"> decision. </w:t>
      </w:r>
      <w:r w:rsidR="00F1006E">
        <w:rPr>
          <w:rStyle w:val="sb8d990e2"/>
          <w:color w:val="000000"/>
          <w:shd w:val="clear" w:color="auto" w:fill="FFFFFF"/>
        </w:rPr>
        <w:t xml:space="preserve"> </w:t>
      </w:r>
      <w:r w:rsidR="00765E03" w:rsidRPr="00536B77">
        <w:rPr>
          <w:rStyle w:val="sb8d990e2"/>
          <w:color w:val="000000"/>
          <w:shd w:val="clear" w:color="auto" w:fill="FFFFFF"/>
        </w:rPr>
        <w:t>Mance LJ</w:t>
      </w:r>
      <w:r w:rsidR="00F1006E">
        <w:rPr>
          <w:rStyle w:val="sb8d990e2"/>
          <w:color w:val="000000"/>
          <w:shd w:val="clear" w:color="auto" w:fill="FFFFFF"/>
        </w:rPr>
        <w:t>,</w:t>
      </w:r>
      <w:r w:rsidR="00765E03" w:rsidRPr="00536B77">
        <w:rPr>
          <w:rStyle w:val="sb8d990e2"/>
          <w:color w:val="000000"/>
          <w:shd w:val="clear" w:color="auto" w:fill="FFFFFF"/>
        </w:rPr>
        <w:t xml:space="preserve"> in delivering the </w:t>
      </w:r>
      <w:r w:rsidR="00765E03" w:rsidRPr="00536B77">
        <w:rPr>
          <w:rStyle w:val="sb8d990e2"/>
          <w:color w:val="000000"/>
          <w:shd w:val="clear" w:color="auto" w:fill="FFFFFF"/>
        </w:rPr>
        <w:lastRenderedPageBreak/>
        <w:t>leading judgment</w:t>
      </w:r>
      <w:r w:rsidR="00F1006E">
        <w:rPr>
          <w:rStyle w:val="sb8d990e2"/>
          <w:color w:val="000000"/>
          <w:shd w:val="clear" w:color="auto" w:fill="FFFFFF"/>
        </w:rPr>
        <w:t>,</w:t>
      </w:r>
      <w:r w:rsidR="00765E03" w:rsidRPr="00536B77">
        <w:rPr>
          <w:rStyle w:val="sb8d990e2"/>
          <w:color w:val="000000"/>
          <w:shd w:val="clear" w:color="auto" w:fill="FFFFFF"/>
        </w:rPr>
        <w:t xml:space="preserve"> </w:t>
      </w:r>
      <w:r w:rsidR="00556296" w:rsidRPr="00536B77">
        <w:rPr>
          <w:rStyle w:val="sb8d990e2"/>
          <w:color w:val="000000"/>
          <w:shd w:val="clear" w:color="auto" w:fill="FFFFFF"/>
        </w:rPr>
        <w:t>undertook an</w:t>
      </w:r>
      <w:r w:rsidR="00A1231E" w:rsidRPr="00536B77">
        <w:rPr>
          <w:rStyle w:val="sb8d990e2"/>
          <w:color w:val="000000"/>
          <w:shd w:val="clear" w:color="auto" w:fill="FFFFFF"/>
        </w:rPr>
        <w:t xml:space="preserve"> extensive review of </w:t>
      </w:r>
      <w:r w:rsidR="00DE79E6" w:rsidRPr="00536B77">
        <w:rPr>
          <w:rStyle w:val="sb8d990e2"/>
          <w:color w:val="000000"/>
          <w:shd w:val="clear" w:color="auto" w:fill="FFFFFF"/>
        </w:rPr>
        <w:t xml:space="preserve">relevant case law </w:t>
      </w:r>
      <w:r w:rsidR="00F1006E">
        <w:rPr>
          <w:rStyle w:val="sb8d990e2"/>
          <w:color w:val="000000"/>
          <w:shd w:val="clear" w:color="auto" w:fill="FFFFFF"/>
        </w:rPr>
        <w:t>(</w:t>
      </w:r>
      <w:r w:rsidR="00DE79E6" w:rsidRPr="00536B77">
        <w:rPr>
          <w:rStyle w:val="sb8d990e2"/>
          <w:color w:val="000000"/>
          <w:shd w:val="clear" w:color="auto" w:fill="FFFFFF"/>
        </w:rPr>
        <w:t>primarily from the UK and the US</w:t>
      </w:r>
      <w:r w:rsidR="00F1006E">
        <w:rPr>
          <w:rStyle w:val="sb8d990e2"/>
          <w:color w:val="000000"/>
          <w:shd w:val="clear" w:color="auto" w:fill="FFFFFF"/>
        </w:rPr>
        <w:t>)</w:t>
      </w:r>
      <w:r w:rsidR="00DE79E6" w:rsidRPr="00536B77">
        <w:rPr>
          <w:rStyle w:val="sb8d990e2"/>
          <w:color w:val="000000"/>
          <w:shd w:val="clear" w:color="auto" w:fill="FFFFFF"/>
        </w:rPr>
        <w:t xml:space="preserve">. </w:t>
      </w:r>
      <w:r w:rsidR="007B5AC4" w:rsidRPr="00536B77">
        <w:rPr>
          <w:rStyle w:val="sb8d990e2"/>
          <w:color w:val="000000"/>
          <w:shd w:val="clear" w:color="auto" w:fill="FFFFFF"/>
        </w:rPr>
        <w:t xml:space="preserve"> </w:t>
      </w:r>
      <w:r w:rsidR="00DE79E6" w:rsidRPr="00536B77">
        <w:rPr>
          <w:rStyle w:val="sb8d990e2"/>
          <w:color w:val="000000"/>
          <w:shd w:val="clear" w:color="auto" w:fill="FFFFFF"/>
        </w:rPr>
        <w:t xml:space="preserve">He acknowledged, first, that three of their lordships in </w:t>
      </w:r>
      <w:r w:rsidR="00DE79E6" w:rsidRPr="00536B77">
        <w:rPr>
          <w:rStyle w:val="sb8d990e2"/>
          <w:i/>
          <w:color w:val="000000"/>
          <w:shd w:val="clear" w:color="auto" w:fill="FFFFFF"/>
        </w:rPr>
        <w:t>Pinochet No. 3</w:t>
      </w:r>
      <w:r w:rsidR="00DE79E6" w:rsidRPr="00536B77">
        <w:rPr>
          <w:rStyle w:val="sb8d990e2"/>
          <w:color w:val="000000"/>
          <w:shd w:val="clear" w:color="auto" w:fill="FFFFFF"/>
        </w:rPr>
        <w:t xml:space="preserve"> had </w:t>
      </w:r>
      <w:r w:rsidR="00556296" w:rsidRPr="00536B77">
        <w:rPr>
          <w:rStyle w:val="sb8d990e2"/>
          <w:color w:val="000000"/>
          <w:shd w:val="clear" w:color="auto" w:fill="FFFFFF"/>
        </w:rPr>
        <w:t>s</w:t>
      </w:r>
      <w:r w:rsidR="000F6A9C" w:rsidRPr="00536B77">
        <w:rPr>
          <w:rStyle w:val="sb8d990e2"/>
          <w:color w:val="000000"/>
          <w:shd w:val="clear" w:color="auto" w:fill="FFFFFF"/>
        </w:rPr>
        <w:t>tate</w:t>
      </w:r>
      <w:r w:rsidR="00DE79E6" w:rsidRPr="00536B77">
        <w:rPr>
          <w:rStyle w:val="sb8d990e2"/>
          <w:color w:val="000000"/>
          <w:shd w:val="clear" w:color="auto" w:fill="FFFFFF"/>
        </w:rPr>
        <w:t>d</w:t>
      </w:r>
      <w:r w:rsidR="00556296" w:rsidRPr="00536B77">
        <w:rPr>
          <w:rStyle w:val="sb8d990e2"/>
          <w:color w:val="000000"/>
          <w:shd w:val="clear" w:color="auto" w:fill="FFFFFF"/>
        </w:rPr>
        <w:t>,</w:t>
      </w:r>
      <w:r w:rsidR="00DE79E6" w:rsidRPr="00536B77">
        <w:rPr>
          <w:rStyle w:val="sb8d990e2"/>
          <w:color w:val="000000"/>
          <w:shd w:val="clear" w:color="auto" w:fill="FFFFFF"/>
        </w:rPr>
        <w:t xml:space="preserve"> in </w:t>
      </w:r>
      <w:r w:rsidR="00DE79E6" w:rsidRPr="00536B77">
        <w:rPr>
          <w:rStyle w:val="sb8d990e2"/>
          <w:i/>
          <w:color w:val="000000"/>
          <w:shd w:val="clear" w:color="auto" w:fill="FFFFFF"/>
        </w:rPr>
        <w:t>obiter</w:t>
      </w:r>
      <w:r w:rsidR="00556296" w:rsidRPr="008F77DD">
        <w:rPr>
          <w:rStyle w:val="sb8d990e2"/>
          <w:color w:val="000000"/>
          <w:shd w:val="clear" w:color="auto" w:fill="FFFFFF"/>
        </w:rPr>
        <w:t>,</w:t>
      </w:r>
      <w:r w:rsidR="00DE79E6" w:rsidRPr="00536B77">
        <w:rPr>
          <w:rStyle w:val="sb8d990e2"/>
          <w:color w:val="000000"/>
          <w:shd w:val="clear" w:color="auto" w:fill="FFFFFF"/>
        </w:rPr>
        <w:t xml:space="preserve"> that immunity </w:t>
      </w:r>
      <w:r w:rsidR="00DE79E6" w:rsidRPr="00536B77">
        <w:rPr>
          <w:rStyle w:val="sb8d990e2"/>
          <w:i/>
          <w:color w:val="000000"/>
          <w:shd w:val="clear" w:color="auto" w:fill="FFFFFF"/>
        </w:rPr>
        <w:t>rationae materiae</w:t>
      </w:r>
      <w:r w:rsidR="00DE79E6" w:rsidRPr="00536B77">
        <w:rPr>
          <w:rStyle w:val="sb8d990e2"/>
          <w:color w:val="000000"/>
          <w:shd w:val="clear" w:color="auto" w:fill="FFFFFF"/>
        </w:rPr>
        <w:t xml:space="preserve"> would continue in respect of a former </w:t>
      </w:r>
      <w:r w:rsidR="000F6A9C" w:rsidRPr="00536B77">
        <w:rPr>
          <w:rStyle w:val="sb8d990e2"/>
          <w:color w:val="000000"/>
          <w:shd w:val="clear" w:color="auto" w:fill="FFFFFF"/>
        </w:rPr>
        <w:t>Head of</w:t>
      </w:r>
      <w:r w:rsidR="00DE79E6" w:rsidRPr="00536B77">
        <w:rPr>
          <w:rStyle w:val="sb8d990e2"/>
          <w:color w:val="000000"/>
          <w:shd w:val="clear" w:color="auto" w:fill="FFFFFF"/>
        </w:rPr>
        <w:t xml:space="preserve"> </w:t>
      </w:r>
      <w:r w:rsidR="000F6A9C" w:rsidRPr="00536B77">
        <w:rPr>
          <w:rStyle w:val="sb8d990e2"/>
          <w:color w:val="000000"/>
          <w:shd w:val="clear" w:color="auto" w:fill="FFFFFF"/>
        </w:rPr>
        <w:t>State</w:t>
      </w:r>
      <w:r w:rsidR="00DE79E6" w:rsidRPr="00536B77">
        <w:rPr>
          <w:rStyle w:val="sb8d990e2"/>
          <w:color w:val="000000"/>
          <w:shd w:val="clear" w:color="auto" w:fill="FFFFFF"/>
        </w:rPr>
        <w:t xml:space="preserve"> or other </w:t>
      </w:r>
      <w:r w:rsidR="000F6A9C" w:rsidRPr="00536B77">
        <w:rPr>
          <w:rStyle w:val="sb8d990e2"/>
          <w:color w:val="000000"/>
          <w:shd w:val="clear" w:color="auto" w:fill="FFFFFF"/>
        </w:rPr>
        <w:t>State</w:t>
      </w:r>
      <w:r w:rsidR="00DE79E6" w:rsidRPr="00536B77">
        <w:rPr>
          <w:rStyle w:val="sb8d990e2"/>
          <w:color w:val="000000"/>
          <w:shd w:val="clear" w:color="auto" w:fill="FFFFFF"/>
        </w:rPr>
        <w:t xml:space="preserve"> official in civil proceedings.</w:t>
      </w:r>
      <w:r w:rsidR="00DE79E6" w:rsidRPr="00536B77">
        <w:rPr>
          <w:rStyle w:val="FootnoteReference"/>
          <w:color w:val="000000"/>
          <w:shd w:val="clear" w:color="auto" w:fill="FFFFFF"/>
        </w:rPr>
        <w:footnoteReference w:id="42"/>
      </w:r>
      <w:r w:rsidR="00DE79E6" w:rsidRPr="00536B77">
        <w:rPr>
          <w:rStyle w:val="sb8d990e2"/>
          <w:color w:val="000000"/>
          <w:shd w:val="clear" w:color="auto" w:fill="FFFFFF"/>
        </w:rPr>
        <w:t xml:space="preserve"> </w:t>
      </w:r>
      <w:r w:rsidR="007B5AC4" w:rsidRPr="00536B77">
        <w:rPr>
          <w:rStyle w:val="sb8d990e2"/>
          <w:color w:val="000000"/>
          <w:shd w:val="clear" w:color="auto" w:fill="FFFFFF"/>
        </w:rPr>
        <w:t xml:space="preserve"> </w:t>
      </w:r>
      <w:r w:rsidR="00DE79E6" w:rsidRPr="00536B77">
        <w:rPr>
          <w:rStyle w:val="sb8d990e2"/>
          <w:color w:val="000000"/>
          <w:shd w:val="clear" w:color="auto" w:fill="FFFFFF"/>
        </w:rPr>
        <w:t xml:space="preserve">However, he then </w:t>
      </w:r>
      <w:r w:rsidR="005A29FB" w:rsidRPr="00536B77">
        <w:rPr>
          <w:rStyle w:val="sb8d990e2"/>
          <w:color w:val="000000"/>
          <w:shd w:val="clear" w:color="auto" w:fill="FFFFFF"/>
        </w:rPr>
        <w:t xml:space="preserve">argued that at least some of their lordships in that case had concluded that Pinochet’s alleged acts could not be regarded as a function of a </w:t>
      </w:r>
      <w:r w:rsidR="000F6A9C" w:rsidRPr="00536B77">
        <w:rPr>
          <w:rStyle w:val="sb8d990e2"/>
          <w:color w:val="000000"/>
          <w:shd w:val="clear" w:color="auto" w:fill="FFFFFF"/>
        </w:rPr>
        <w:t>Head of</w:t>
      </w:r>
      <w:r w:rsidR="005A29FB" w:rsidRPr="00536B77">
        <w:rPr>
          <w:rStyle w:val="sb8d990e2"/>
          <w:color w:val="000000"/>
          <w:shd w:val="clear" w:color="auto" w:fill="FFFFFF"/>
        </w:rPr>
        <w:t xml:space="preserve"> </w:t>
      </w:r>
      <w:r w:rsidR="000F6A9C" w:rsidRPr="00536B77">
        <w:rPr>
          <w:rStyle w:val="sb8d990e2"/>
          <w:color w:val="000000"/>
          <w:shd w:val="clear" w:color="auto" w:fill="FFFFFF"/>
        </w:rPr>
        <w:t>State</w:t>
      </w:r>
      <w:r w:rsidR="005A29FB" w:rsidRPr="00536B77">
        <w:rPr>
          <w:rStyle w:val="sb8d990e2"/>
          <w:color w:val="000000"/>
          <w:shd w:val="clear" w:color="auto" w:fill="FFFFFF"/>
        </w:rPr>
        <w:t>.</w:t>
      </w:r>
      <w:r w:rsidR="007B5AC4" w:rsidRPr="00536B77">
        <w:rPr>
          <w:rStyle w:val="sb8d990e2"/>
          <w:color w:val="000000"/>
          <w:shd w:val="clear" w:color="auto" w:fill="FFFFFF"/>
        </w:rPr>
        <w:t xml:space="preserve"> </w:t>
      </w:r>
      <w:r w:rsidR="005A29FB" w:rsidRPr="00536B77">
        <w:rPr>
          <w:rStyle w:val="sb8d990e2"/>
          <w:color w:val="000000"/>
          <w:shd w:val="clear" w:color="auto" w:fill="FFFFFF"/>
        </w:rPr>
        <w:t xml:space="preserve"> For Mance, that finding could be applied equally to </w:t>
      </w:r>
      <w:r w:rsidR="00765E03" w:rsidRPr="00536B77">
        <w:rPr>
          <w:rStyle w:val="sb8d990e2"/>
          <w:color w:val="000000"/>
          <w:shd w:val="clear" w:color="auto" w:fill="FFFFFF"/>
        </w:rPr>
        <w:t xml:space="preserve">other </w:t>
      </w:r>
      <w:r w:rsidR="000F6A9C" w:rsidRPr="00536B77">
        <w:rPr>
          <w:rStyle w:val="sb8d990e2"/>
          <w:color w:val="000000"/>
          <w:shd w:val="clear" w:color="auto" w:fill="FFFFFF"/>
        </w:rPr>
        <w:t>State</w:t>
      </w:r>
      <w:r w:rsidR="00765E03" w:rsidRPr="00536B77">
        <w:rPr>
          <w:rStyle w:val="sb8d990e2"/>
          <w:color w:val="000000"/>
          <w:shd w:val="clear" w:color="auto" w:fill="FFFFFF"/>
        </w:rPr>
        <w:t xml:space="preserve"> officials as well as to both </w:t>
      </w:r>
      <w:r w:rsidR="005A29FB" w:rsidRPr="00536B77">
        <w:rPr>
          <w:rStyle w:val="sb8d990e2"/>
          <w:color w:val="000000"/>
          <w:shd w:val="clear" w:color="auto" w:fill="FFFFFF"/>
        </w:rPr>
        <w:t xml:space="preserve">civil and criminal cases and would have the effect of removing immunity </w:t>
      </w:r>
      <w:r w:rsidR="005A29FB" w:rsidRPr="00536B77">
        <w:rPr>
          <w:rStyle w:val="sb8d990e2"/>
          <w:i/>
          <w:color w:val="000000"/>
          <w:shd w:val="clear" w:color="auto" w:fill="FFFFFF"/>
        </w:rPr>
        <w:t>rationae materiae</w:t>
      </w:r>
      <w:r w:rsidR="005A29FB" w:rsidRPr="00536B77">
        <w:rPr>
          <w:rStyle w:val="sb8d990e2"/>
          <w:color w:val="000000"/>
          <w:shd w:val="clear" w:color="auto" w:fill="FFFFFF"/>
        </w:rPr>
        <w:t xml:space="preserve"> in </w:t>
      </w:r>
      <w:r w:rsidR="00765E03" w:rsidRPr="00536B77">
        <w:rPr>
          <w:rStyle w:val="sb8d990e2"/>
          <w:color w:val="000000"/>
          <w:shd w:val="clear" w:color="auto" w:fill="FFFFFF"/>
        </w:rPr>
        <w:t>all cases involving allegations of torture</w:t>
      </w:r>
      <w:r w:rsidR="005A29FB" w:rsidRPr="00536B77">
        <w:rPr>
          <w:rStyle w:val="sb8d990e2"/>
          <w:color w:val="000000"/>
          <w:shd w:val="clear" w:color="auto" w:fill="FFFFFF"/>
        </w:rPr>
        <w:t>.</w:t>
      </w:r>
      <w:r w:rsidR="007B5AC4" w:rsidRPr="00536B77">
        <w:rPr>
          <w:rStyle w:val="sb8d990e2"/>
          <w:color w:val="000000"/>
          <w:shd w:val="clear" w:color="auto" w:fill="FFFFFF"/>
        </w:rPr>
        <w:t xml:space="preserve"> </w:t>
      </w:r>
      <w:r w:rsidR="005A29FB" w:rsidRPr="00536B77">
        <w:rPr>
          <w:rStyle w:val="sb8d990e2"/>
          <w:color w:val="000000"/>
          <w:shd w:val="clear" w:color="auto" w:fill="FFFFFF"/>
        </w:rPr>
        <w:t xml:space="preserve"> He concluded</w:t>
      </w:r>
      <w:r w:rsidR="00437530" w:rsidRPr="00536B77">
        <w:rPr>
          <w:rStyle w:val="sb8d990e2"/>
          <w:color w:val="000000"/>
          <w:shd w:val="clear" w:color="auto" w:fill="FFFFFF"/>
        </w:rPr>
        <w:t xml:space="preserve">: </w:t>
      </w:r>
    </w:p>
    <w:p w14:paraId="3D8AF19B" w14:textId="77777777" w:rsidR="00437530" w:rsidRPr="00536B77" w:rsidRDefault="00437530" w:rsidP="00536B77">
      <w:pPr>
        <w:spacing w:line="480" w:lineRule="auto"/>
        <w:ind w:left="567" w:right="522"/>
        <w:rPr>
          <w:rStyle w:val="sb8d990e2"/>
          <w:color w:val="000000"/>
          <w:shd w:val="clear" w:color="auto" w:fill="FFFFFF"/>
        </w:rPr>
      </w:pPr>
      <w:r w:rsidRPr="00536B77">
        <w:rPr>
          <w:rStyle w:val="sb8d990e2"/>
          <w:color w:val="000000"/>
          <w:shd w:val="clear" w:color="auto" w:fill="FFFFFF"/>
        </w:rPr>
        <w:t xml:space="preserve">Once it has been firmly established (as it has been by </w:t>
      </w:r>
      <w:r w:rsidRPr="00536B77">
        <w:rPr>
          <w:rStyle w:val="sb8d990e2"/>
          <w:i/>
          <w:color w:val="000000"/>
          <w:shd w:val="clear" w:color="auto" w:fill="FFFFFF"/>
        </w:rPr>
        <w:t>Ex p Pinochet (No 3)</w:t>
      </w:r>
      <w:r w:rsidRPr="00536B77">
        <w:rPr>
          <w:rStyle w:val="sb8d990e2"/>
          <w:color w:val="000000"/>
          <w:shd w:val="clear" w:color="auto" w:fill="FFFFFF"/>
        </w:rPr>
        <w:t xml:space="preserve">) that a </w:t>
      </w:r>
      <w:r w:rsidR="000F6A9C" w:rsidRPr="00536B77">
        <w:rPr>
          <w:rStyle w:val="sb8d990e2"/>
          <w:color w:val="000000"/>
          <w:shd w:val="clear" w:color="auto" w:fill="FFFFFF"/>
        </w:rPr>
        <w:t>State</w:t>
      </w:r>
      <w:r w:rsidRPr="00536B77">
        <w:rPr>
          <w:rStyle w:val="sb8d990e2"/>
          <w:color w:val="000000"/>
          <w:shd w:val="clear" w:color="auto" w:fill="FFFFFF"/>
        </w:rPr>
        <w:t xml:space="preserve"> can claim no immunity in respect of an individual officer committing systematic torture in an official context, the issue whether there is or should be civil immunity seems to me to acquire a different complexion, and to start from a different point, to that which applied when the argument was proceeding the other way around.</w:t>
      </w:r>
      <w:r w:rsidRPr="00536B77">
        <w:rPr>
          <w:rStyle w:val="FootnoteReference"/>
          <w:color w:val="000000"/>
          <w:shd w:val="clear" w:color="auto" w:fill="FFFFFF"/>
        </w:rPr>
        <w:footnoteReference w:id="43"/>
      </w:r>
    </w:p>
    <w:p w14:paraId="1663989C" w14:textId="45B69EB8" w:rsidR="006521C4" w:rsidRPr="00536B77" w:rsidRDefault="00765E03" w:rsidP="00536B77">
      <w:pPr>
        <w:spacing w:line="480" w:lineRule="auto"/>
        <w:rPr>
          <w:rStyle w:val="sb8d990e2"/>
          <w:color w:val="000000"/>
          <w:shd w:val="clear" w:color="auto" w:fill="FFFFFF"/>
        </w:rPr>
      </w:pPr>
      <w:r w:rsidRPr="00536B77">
        <w:rPr>
          <w:rStyle w:val="sb8d990e2"/>
          <w:color w:val="000000"/>
          <w:shd w:val="clear" w:color="auto" w:fill="FFFFFF"/>
        </w:rPr>
        <w:t xml:space="preserve"> </w:t>
      </w:r>
      <w:r w:rsidR="0014748C" w:rsidRPr="00536B77">
        <w:rPr>
          <w:rStyle w:val="sb8d990e2"/>
          <w:color w:val="000000"/>
          <w:shd w:val="clear" w:color="auto" w:fill="FFFFFF"/>
        </w:rPr>
        <w:t>In</w:t>
      </w:r>
      <w:r w:rsidR="00C17312" w:rsidRPr="00536B77">
        <w:rPr>
          <w:rStyle w:val="sb8d990e2"/>
          <w:color w:val="000000"/>
          <w:shd w:val="clear" w:color="auto" w:fill="FFFFFF"/>
        </w:rPr>
        <w:t xml:space="preserve"> the House of Lords, this attempt to distinguish between the immunity of the </w:t>
      </w:r>
      <w:r w:rsidR="000F6A9C" w:rsidRPr="00536B77">
        <w:rPr>
          <w:rStyle w:val="sb8d990e2"/>
          <w:color w:val="000000"/>
          <w:shd w:val="clear" w:color="auto" w:fill="FFFFFF"/>
        </w:rPr>
        <w:t>State</w:t>
      </w:r>
      <w:r w:rsidR="00C17312" w:rsidRPr="00536B77">
        <w:rPr>
          <w:rStyle w:val="sb8d990e2"/>
          <w:color w:val="000000"/>
          <w:shd w:val="clear" w:color="auto" w:fill="FFFFFF"/>
        </w:rPr>
        <w:t xml:space="preserve"> and that of a </w:t>
      </w:r>
      <w:r w:rsidR="000F6A9C" w:rsidRPr="00536B77">
        <w:rPr>
          <w:rStyle w:val="sb8d990e2"/>
          <w:color w:val="000000"/>
          <w:shd w:val="clear" w:color="auto" w:fill="FFFFFF"/>
        </w:rPr>
        <w:t>State</w:t>
      </w:r>
      <w:r w:rsidR="00C17312" w:rsidRPr="00536B77">
        <w:rPr>
          <w:rStyle w:val="sb8d990e2"/>
          <w:color w:val="000000"/>
          <w:shd w:val="clear" w:color="auto" w:fill="FFFFFF"/>
        </w:rPr>
        <w:t>’s officials in respect of the same acts was firmly rejected.</w:t>
      </w:r>
      <w:r w:rsidR="00FC6D30">
        <w:rPr>
          <w:rStyle w:val="FootnoteReference"/>
          <w:color w:val="000000"/>
          <w:shd w:val="clear" w:color="auto" w:fill="FFFFFF"/>
        </w:rPr>
        <w:footnoteReference w:id="44"/>
      </w:r>
      <w:r w:rsidR="00C17312" w:rsidRPr="00536B77">
        <w:rPr>
          <w:rStyle w:val="sb8d990e2"/>
          <w:color w:val="000000"/>
          <w:shd w:val="clear" w:color="auto" w:fill="FFFFFF"/>
        </w:rPr>
        <w:t xml:space="preserve"> </w:t>
      </w:r>
      <w:r w:rsidR="007B5AC4" w:rsidRPr="00536B77">
        <w:rPr>
          <w:rStyle w:val="sb8d990e2"/>
          <w:color w:val="000000"/>
          <w:shd w:val="clear" w:color="auto" w:fill="FFFFFF"/>
        </w:rPr>
        <w:t xml:space="preserve"> </w:t>
      </w:r>
      <w:commentRangeStart w:id="18"/>
      <w:r w:rsidR="00C17312" w:rsidRPr="00536B77">
        <w:rPr>
          <w:rStyle w:val="sb8d990e2"/>
          <w:color w:val="000000"/>
          <w:shd w:val="clear" w:color="auto" w:fill="FFFFFF"/>
        </w:rPr>
        <w:t xml:space="preserve">Lord Bingham noted that </w:t>
      </w:r>
      <w:r w:rsidR="00F1006E">
        <w:rPr>
          <w:rStyle w:val="sb8d990e2"/>
          <w:color w:val="000000"/>
          <w:shd w:val="clear" w:color="auto" w:fill="FFFFFF"/>
        </w:rPr>
        <w:t>s</w:t>
      </w:r>
      <w:r w:rsidR="00F1006E" w:rsidRPr="00536B77">
        <w:rPr>
          <w:rStyle w:val="sb8d990e2"/>
          <w:color w:val="000000"/>
          <w:shd w:val="clear" w:color="auto" w:fill="FFFFFF"/>
        </w:rPr>
        <w:t xml:space="preserve">ection </w:t>
      </w:r>
      <w:r w:rsidR="00C17312" w:rsidRPr="00536B77">
        <w:rPr>
          <w:rStyle w:val="sb8d990e2"/>
          <w:color w:val="000000"/>
          <w:shd w:val="clear" w:color="auto" w:fill="FFFFFF"/>
        </w:rPr>
        <w:t xml:space="preserve">1(1) of the </w:t>
      </w:r>
      <w:r w:rsidR="000F6A9C" w:rsidRPr="00536B77">
        <w:rPr>
          <w:rStyle w:val="sb8d990e2"/>
          <w:color w:val="000000"/>
          <w:shd w:val="clear" w:color="auto" w:fill="FFFFFF"/>
        </w:rPr>
        <w:t>State</w:t>
      </w:r>
      <w:r w:rsidR="00C17312" w:rsidRPr="00536B77">
        <w:rPr>
          <w:rStyle w:val="sb8d990e2"/>
          <w:color w:val="000000"/>
          <w:shd w:val="clear" w:color="auto" w:fill="FFFFFF"/>
        </w:rPr>
        <w:t xml:space="preserve"> Immunity Act 1978, in line with the domestic law of other </w:t>
      </w:r>
      <w:r w:rsidR="000F6A9C" w:rsidRPr="00536B77">
        <w:rPr>
          <w:rStyle w:val="sb8d990e2"/>
          <w:color w:val="000000"/>
          <w:shd w:val="clear" w:color="auto" w:fill="FFFFFF"/>
        </w:rPr>
        <w:t>State</w:t>
      </w:r>
      <w:r w:rsidR="00C17312" w:rsidRPr="00536B77">
        <w:rPr>
          <w:rStyle w:val="sb8d990e2"/>
          <w:color w:val="000000"/>
          <w:shd w:val="clear" w:color="auto" w:fill="FFFFFF"/>
        </w:rPr>
        <w:t>s, provides only for specified exceptions</w:t>
      </w:r>
      <w:r w:rsidR="00FC6D30">
        <w:rPr>
          <w:rStyle w:val="sb8d990e2"/>
          <w:color w:val="000000"/>
          <w:shd w:val="clear" w:color="auto" w:fill="FFFFFF"/>
        </w:rPr>
        <w:t>.</w:t>
      </w:r>
      <w:r w:rsidR="00FC6D30">
        <w:rPr>
          <w:rStyle w:val="FootnoteReference"/>
          <w:color w:val="000000"/>
          <w:shd w:val="clear" w:color="auto" w:fill="FFFFFF"/>
        </w:rPr>
        <w:footnoteReference w:id="45"/>
      </w:r>
      <w:r w:rsidR="00FC6D30">
        <w:rPr>
          <w:rStyle w:val="sb8d990e2"/>
          <w:color w:val="000000"/>
          <w:shd w:val="clear" w:color="auto" w:fill="FFFFFF"/>
        </w:rPr>
        <w:t xml:space="preserve"> He did not consider that</w:t>
      </w:r>
      <w:r w:rsidR="00C17312" w:rsidRPr="00536B77">
        <w:rPr>
          <w:rStyle w:val="sb8d990e2"/>
          <w:color w:val="000000"/>
          <w:shd w:val="clear" w:color="auto" w:fill="FFFFFF"/>
        </w:rPr>
        <w:t xml:space="preserve"> the present case was one</w:t>
      </w:r>
      <w:r w:rsidR="00FC6D30">
        <w:rPr>
          <w:rStyle w:val="sb8d990e2"/>
          <w:color w:val="000000"/>
          <w:shd w:val="clear" w:color="auto" w:fill="FFFFFF"/>
        </w:rPr>
        <w:t xml:space="preserve"> in which any of the relevant exceptions applied</w:t>
      </w:r>
      <w:r w:rsidR="00C17312" w:rsidRPr="00536B77">
        <w:rPr>
          <w:rStyle w:val="sb8d990e2"/>
          <w:color w:val="000000"/>
          <w:shd w:val="clear" w:color="auto" w:fill="FFFFFF"/>
        </w:rPr>
        <w:t>.</w:t>
      </w:r>
      <w:r w:rsidR="00FC6D30">
        <w:rPr>
          <w:rStyle w:val="FootnoteReference"/>
          <w:color w:val="000000"/>
          <w:shd w:val="clear" w:color="auto" w:fill="FFFFFF"/>
        </w:rPr>
        <w:footnoteReference w:id="46"/>
      </w:r>
      <w:r w:rsidR="007B5AC4" w:rsidRPr="00536B77">
        <w:rPr>
          <w:rStyle w:val="sb8d990e2"/>
          <w:color w:val="000000"/>
          <w:shd w:val="clear" w:color="auto" w:fill="FFFFFF"/>
        </w:rPr>
        <w:t xml:space="preserve"> </w:t>
      </w:r>
      <w:r w:rsidR="00C17312" w:rsidRPr="00536B77">
        <w:rPr>
          <w:rStyle w:val="sb8d990e2"/>
          <w:color w:val="000000"/>
          <w:shd w:val="clear" w:color="auto" w:fill="FFFFFF"/>
        </w:rPr>
        <w:t xml:space="preserve"> </w:t>
      </w:r>
      <w:commentRangeEnd w:id="18"/>
      <w:r w:rsidR="00F1006E">
        <w:rPr>
          <w:rStyle w:val="CommentReference"/>
        </w:rPr>
        <w:commentReference w:id="18"/>
      </w:r>
      <w:r w:rsidR="00C17312" w:rsidRPr="00536B77">
        <w:rPr>
          <w:rStyle w:val="sb8d990e2"/>
          <w:color w:val="000000"/>
          <w:shd w:val="clear" w:color="auto" w:fill="FFFFFF"/>
        </w:rPr>
        <w:t xml:space="preserve">Furthermore, </w:t>
      </w:r>
      <w:r w:rsidR="00556296" w:rsidRPr="00536B77">
        <w:rPr>
          <w:rStyle w:val="sb8d990e2"/>
          <w:color w:val="000000"/>
          <w:shd w:val="clear" w:color="auto" w:fill="FFFFFF"/>
        </w:rPr>
        <w:t xml:space="preserve">he </w:t>
      </w:r>
      <w:r w:rsidR="00C17312" w:rsidRPr="00536B77">
        <w:rPr>
          <w:rStyle w:val="sb8d990e2"/>
          <w:color w:val="000000"/>
          <w:shd w:val="clear" w:color="auto" w:fill="FFFFFF"/>
        </w:rPr>
        <w:t xml:space="preserve">considered that there was </w:t>
      </w:r>
      <w:r w:rsidR="00556296" w:rsidRPr="00536B77">
        <w:rPr>
          <w:rStyle w:val="sb8d990e2"/>
          <w:color w:val="000000"/>
          <w:shd w:val="clear" w:color="auto" w:fill="FFFFFF"/>
        </w:rPr>
        <w:t>ample authority to show that a</w:t>
      </w:r>
      <w:r w:rsidR="00C17312" w:rsidRPr="00536B77">
        <w:rPr>
          <w:rStyle w:val="sb8d990e2"/>
          <w:color w:val="000000"/>
          <w:shd w:val="clear" w:color="auto" w:fill="FFFFFF"/>
        </w:rPr>
        <w:t xml:space="preserve"> foreign </w:t>
      </w:r>
      <w:r w:rsidR="000F6A9C" w:rsidRPr="00536B77">
        <w:rPr>
          <w:rStyle w:val="sb8d990e2"/>
          <w:color w:val="000000"/>
          <w:shd w:val="clear" w:color="auto" w:fill="FFFFFF"/>
        </w:rPr>
        <w:t>State</w:t>
      </w:r>
      <w:r w:rsidR="00C17312" w:rsidRPr="00536B77">
        <w:rPr>
          <w:rStyle w:val="sb8d990e2"/>
          <w:color w:val="000000"/>
          <w:shd w:val="clear" w:color="auto" w:fill="FFFFFF"/>
        </w:rPr>
        <w:t xml:space="preserve"> is entitled to claim immunity for its servants in circumstances in which it can claim immunity for itself; to do otherwise would be to </w:t>
      </w:r>
      <w:r w:rsidR="00C17312" w:rsidRPr="00536B77">
        <w:rPr>
          <w:rStyle w:val="sb8d990e2"/>
          <w:color w:val="000000"/>
          <w:shd w:val="clear" w:color="auto" w:fill="FFFFFF"/>
        </w:rPr>
        <w:lastRenderedPageBreak/>
        <w:t xml:space="preserve">implead the </w:t>
      </w:r>
      <w:r w:rsidR="000F6A9C" w:rsidRPr="00536B77">
        <w:rPr>
          <w:rStyle w:val="sb8d990e2"/>
          <w:color w:val="000000"/>
          <w:shd w:val="clear" w:color="auto" w:fill="FFFFFF"/>
        </w:rPr>
        <w:t>State</w:t>
      </w:r>
      <w:r w:rsidR="00556296" w:rsidRPr="00536B77">
        <w:rPr>
          <w:rStyle w:val="sb8d990e2"/>
          <w:color w:val="000000"/>
          <w:shd w:val="clear" w:color="auto" w:fill="FFFFFF"/>
        </w:rPr>
        <w:t xml:space="preserve"> through</w:t>
      </w:r>
      <w:r w:rsidR="00C17312" w:rsidRPr="00536B77">
        <w:rPr>
          <w:rStyle w:val="sb8d990e2"/>
          <w:color w:val="000000"/>
          <w:shd w:val="clear" w:color="auto" w:fill="FFFFFF"/>
        </w:rPr>
        <w:t xml:space="preserve"> the back door.</w:t>
      </w:r>
      <w:r w:rsidR="00FC6D30">
        <w:rPr>
          <w:rStyle w:val="FootnoteReference"/>
          <w:color w:val="000000"/>
          <w:shd w:val="clear" w:color="auto" w:fill="FFFFFF"/>
        </w:rPr>
        <w:footnoteReference w:id="47"/>
      </w:r>
      <w:r w:rsidR="00C17312" w:rsidRPr="00536B77">
        <w:rPr>
          <w:rStyle w:val="sb8d990e2"/>
          <w:color w:val="000000"/>
          <w:shd w:val="clear" w:color="auto" w:fill="FFFFFF"/>
        </w:rPr>
        <w:t xml:space="preserve"> </w:t>
      </w:r>
      <w:r w:rsidR="007B5AC4" w:rsidRPr="00536B77">
        <w:rPr>
          <w:rStyle w:val="sb8d990e2"/>
          <w:color w:val="000000"/>
          <w:shd w:val="clear" w:color="auto" w:fill="FFFFFF"/>
        </w:rPr>
        <w:t xml:space="preserve"> </w:t>
      </w:r>
      <w:r w:rsidR="00C17312" w:rsidRPr="00536B77">
        <w:rPr>
          <w:rStyle w:val="sb8d990e2"/>
          <w:color w:val="000000"/>
          <w:shd w:val="clear" w:color="auto" w:fill="FFFFFF"/>
        </w:rPr>
        <w:t xml:space="preserve">Lord Bingham followed the clear reasoning of the majority in </w:t>
      </w:r>
      <w:r w:rsidR="00C17312" w:rsidRPr="008F77DD">
        <w:rPr>
          <w:rStyle w:val="sb8d990e2"/>
          <w:i/>
          <w:color w:val="000000"/>
          <w:shd w:val="clear" w:color="auto" w:fill="FFFFFF"/>
        </w:rPr>
        <w:t>Pinochet</w:t>
      </w:r>
      <w:r w:rsidR="00C17312" w:rsidRPr="00536B77">
        <w:rPr>
          <w:rStyle w:val="sb8d990e2"/>
          <w:color w:val="000000"/>
          <w:shd w:val="clear" w:color="auto" w:fill="FFFFFF"/>
        </w:rPr>
        <w:t xml:space="preserve">, </w:t>
      </w:r>
      <w:r w:rsidR="00556296" w:rsidRPr="00536B77">
        <w:rPr>
          <w:rStyle w:val="sb8d990e2"/>
          <w:color w:val="000000"/>
          <w:shd w:val="clear" w:color="auto" w:fill="FFFFFF"/>
        </w:rPr>
        <w:t xml:space="preserve">in finding </w:t>
      </w:r>
      <w:r w:rsidR="00C17312" w:rsidRPr="00536B77">
        <w:rPr>
          <w:rStyle w:val="sb8d990e2"/>
          <w:color w:val="000000"/>
          <w:shd w:val="clear" w:color="auto" w:fill="FFFFFF"/>
        </w:rPr>
        <w:t>that torture is only a crime under international law if it is committed by an official or person acting in an official capacity.</w:t>
      </w:r>
      <w:r w:rsidR="00FC6D30">
        <w:rPr>
          <w:rStyle w:val="FootnoteReference"/>
          <w:color w:val="000000"/>
          <w:shd w:val="clear" w:color="auto" w:fill="FFFFFF"/>
        </w:rPr>
        <w:footnoteReference w:id="48"/>
      </w:r>
      <w:r w:rsidR="007B5AC4" w:rsidRPr="00536B77">
        <w:rPr>
          <w:rStyle w:val="sb8d990e2"/>
          <w:color w:val="000000"/>
          <w:shd w:val="clear" w:color="auto" w:fill="FFFFFF"/>
        </w:rPr>
        <w:t xml:space="preserve"> </w:t>
      </w:r>
      <w:r w:rsidR="00C17312" w:rsidRPr="00536B77">
        <w:rPr>
          <w:rStyle w:val="sb8d990e2"/>
          <w:color w:val="000000"/>
          <w:shd w:val="clear" w:color="auto" w:fill="FFFFFF"/>
        </w:rPr>
        <w:t xml:space="preserve"> Other than in that context, the </w:t>
      </w:r>
      <w:r w:rsidR="00C17312" w:rsidRPr="008F77DD">
        <w:rPr>
          <w:rStyle w:val="sb8d990e2"/>
          <w:i/>
          <w:color w:val="000000"/>
          <w:shd w:val="clear" w:color="auto" w:fill="FFFFFF"/>
        </w:rPr>
        <w:t>Pinochet</w:t>
      </w:r>
      <w:r w:rsidR="00C17312" w:rsidRPr="00536B77">
        <w:rPr>
          <w:rStyle w:val="sb8d990e2"/>
          <w:color w:val="000000"/>
          <w:shd w:val="clear" w:color="auto" w:fill="FFFFFF"/>
        </w:rPr>
        <w:t xml:space="preserve"> precedent was categorically different from the circumstances of the present case, particularly in relation the question of jurisdiction.</w:t>
      </w:r>
      <w:r w:rsidR="00FC6D30">
        <w:rPr>
          <w:rStyle w:val="FootnoteReference"/>
          <w:color w:val="000000"/>
          <w:shd w:val="clear" w:color="auto" w:fill="FFFFFF"/>
        </w:rPr>
        <w:footnoteReference w:id="49"/>
      </w:r>
      <w:r w:rsidR="006521C4" w:rsidRPr="00536B77">
        <w:rPr>
          <w:rStyle w:val="sb8d990e2"/>
          <w:color w:val="000000"/>
          <w:shd w:val="clear" w:color="auto" w:fill="FFFFFF"/>
        </w:rPr>
        <w:t xml:space="preserve"> </w:t>
      </w:r>
      <w:r w:rsidR="007B5AC4" w:rsidRPr="00536B77">
        <w:rPr>
          <w:rStyle w:val="sb8d990e2"/>
          <w:color w:val="000000"/>
          <w:shd w:val="clear" w:color="auto" w:fill="FFFFFF"/>
        </w:rPr>
        <w:t xml:space="preserve"> </w:t>
      </w:r>
      <w:r w:rsidR="00C17312" w:rsidRPr="00536B77">
        <w:rPr>
          <w:rStyle w:val="sb8d990e2"/>
          <w:color w:val="000000"/>
          <w:shd w:val="clear" w:color="auto" w:fill="FFFFFF"/>
        </w:rPr>
        <w:t>Lord Hoffmann developed the jurisdictional question by noting that a conflict between</w:t>
      </w:r>
      <w:r w:rsidR="006521C4" w:rsidRPr="00536B77">
        <w:rPr>
          <w:rStyle w:val="sb8d990e2"/>
          <w:color w:val="000000"/>
          <w:shd w:val="clear" w:color="auto" w:fill="FFFFFF"/>
        </w:rPr>
        <w:t xml:space="preserve"> the prohibition of torture and </w:t>
      </w:r>
      <w:r w:rsidR="000F6A9C" w:rsidRPr="00536B77">
        <w:rPr>
          <w:rStyle w:val="sb8d990e2"/>
          <w:color w:val="000000"/>
          <w:shd w:val="clear" w:color="auto" w:fill="FFFFFF"/>
        </w:rPr>
        <w:t>State</w:t>
      </w:r>
      <w:r w:rsidR="00556296" w:rsidRPr="00536B77">
        <w:rPr>
          <w:rStyle w:val="sb8d990e2"/>
          <w:color w:val="000000"/>
          <w:shd w:val="clear" w:color="auto" w:fill="FFFFFF"/>
        </w:rPr>
        <w:t xml:space="preserve"> immunity </w:t>
      </w:r>
      <w:r w:rsidR="0086525E">
        <w:rPr>
          <w:rStyle w:val="sb8d990e2"/>
          <w:color w:val="000000"/>
          <w:shd w:val="clear" w:color="auto" w:fill="FFFFFF"/>
        </w:rPr>
        <w:t xml:space="preserve">would exist </w:t>
      </w:r>
      <w:r w:rsidR="00556296" w:rsidRPr="00536B77">
        <w:rPr>
          <w:rStyle w:val="sb8d990e2"/>
          <w:color w:val="000000"/>
          <w:shd w:val="clear" w:color="auto" w:fill="FFFFFF"/>
        </w:rPr>
        <w:t>if</w:t>
      </w:r>
      <w:r w:rsidR="006521C4" w:rsidRPr="00536B77">
        <w:rPr>
          <w:rStyle w:val="sb8d990e2"/>
          <w:color w:val="000000"/>
          <w:shd w:val="clear" w:color="auto" w:fill="FFFFFF"/>
        </w:rPr>
        <w:t xml:space="preserve"> the prohibition on torture were subject to a rule of international law entitling or requiring </w:t>
      </w:r>
      <w:r w:rsidR="000F6A9C" w:rsidRPr="00536B77">
        <w:rPr>
          <w:rStyle w:val="sb8d990e2"/>
          <w:color w:val="000000"/>
          <w:shd w:val="clear" w:color="auto" w:fill="FFFFFF"/>
        </w:rPr>
        <w:t>State</w:t>
      </w:r>
      <w:r w:rsidR="006521C4" w:rsidRPr="00536B77">
        <w:rPr>
          <w:rStyle w:val="sb8d990e2"/>
          <w:color w:val="000000"/>
          <w:shd w:val="clear" w:color="auto" w:fill="FFFFFF"/>
        </w:rPr>
        <w:t xml:space="preserve">s to assume civil jurisdiction over other </w:t>
      </w:r>
      <w:r w:rsidR="000F6A9C" w:rsidRPr="00536B77">
        <w:rPr>
          <w:rStyle w:val="sb8d990e2"/>
          <w:color w:val="000000"/>
          <w:shd w:val="clear" w:color="auto" w:fill="FFFFFF"/>
        </w:rPr>
        <w:t>State</w:t>
      </w:r>
      <w:r w:rsidR="006521C4" w:rsidRPr="00536B77">
        <w:rPr>
          <w:rStyle w:val="sb8d990e2"/>
          <w:color w:val="000000"/>
          <w:shd w:val="clear" w:color="auto" w:fill="FFFFFF"/>
        </w:rPr>
        <w:t xml:space="preserve">s in cases where torture is alleged. </w:t>
      </w:r>
      <w:r w:rsidR="00656634">
        <w:rPr>
          <w:rStyle w:val="FootnoteReference"/>
          <w:color w:val="000000"/>
          <w:shd w:val="clear" w:color="auto" w:fill="FFFFFF"/>
        </w:rPr>
        <w:footnoteReference w:id="50"/>
      </w:r>
    </w:p>
    <w:p w14:paraId="05E24F39" w14:textId="77777777" w:rsidR="006521C4" w:rsidRPr="00536B77" w:rsidRDefault="007B5AC4" w:rsidP="00536B77">
      <w:pPr>
        <w:spacing w:line="480" w:lineRule="auto"/>
        <w:rPr>
          <w:rStyle w:val="sb8d990e2"/>
          <w:b/>
          <w:color w:val="000000"/>
          <w:shd w:val="clear" w:color="auto" w:fill="FFFFFF"/>
        </w:rPr>
      </w:pPr>
      <w:r w:rsidRPr="00536B77">
        <w:rPr>
          <w:rStyle w:val="sb8d990e2"/>
          <w:b/>
          <w:color w:val="000000"/>
          <w:shd w:val="clear" w:color="auto" w:fill="FFFFFF"/>
        </w:rPr>
        <w:t>IV.)</w:t>
      </w:r>
      <w:r w:rsidR="006521C4" w:rsidRPr="00536B77">
        <w:rPr>
          <w:rStyle w:val="sb8d990e2"/>
          <w:b/>
          <w:color w:val="000000"/>
          <w:shd w:val="clear" w:color="auto" w:fill="FFFFFF"/>
        </w:rPr>
        <w:t xml:space="preserve"> Normative Hierarchy and the Problem of Impunity</w:t>
      </w:r>
    </w:p>
    <w:p w14:paraId="5605FA2C" w14:textId="77777777" w:rsidR="006521C4" w:rsidRPr="00536B77" w:rsidRDefault="006521C4" w:rsidP="00536B77">
      <w:pPr>
        <w:spacing w:line="480" w:lineRule="auto"/>
        <w:rPr>
          <w:rStyle w:val="sb8d990e2"/>
          <w:color w:val="000000"/>
          <w:shd w:val="clear" w:color="auto" w:fill="FFFFFF"/>
        </w:rPr>
      </w:pPr>
      <w:r w:rsidRPr="00536B77">
        <w:rPr>
          <w:rStyle w:val="sb8d990e2"/>
          <w:color w:val="000000"/>
          <w:shd w:val="clear" w:color="auto" w:fill="FFFFFF"/>
        </w:rPr>
        <w:t xml:space="preserve">Needless to say, the </w:t>
      </w:r>
      <w:r w:rsidR="00556296" w:rsidRPr="00536B77">
        <w:rPr>
          <w:rStyle w:val="sb8d990e2"/>
          <w:color w:val="000000"/>
          <w:shd w:val="clear" w:color="auto" w:fill="FFFFFF"/>
        </w:rPr>
        <w:t xml:space="preserve">European Court of Human Rights decision in </w:t>
      </w:r>
      <w:r w:rsidR="00556296" w:rsidRPr="00536B77">
        <w:rPr>
          <w:rStyle w:val="sb8d990e2"/>
          <w:i/>
          <w:color w:val="000000"/>
          <w:shd w:val="clear" w:color="auto" w:fill="FFFFFF"/>
        </w:rPr>
        <w:t xml:space="preserve">Al-Adsani </w:t>
      </w:r>
      <w:r w:rsidR="00556296" w:rsidRPr="00536B77">
        <w:rPr>
          <w:rStyle w:val="sb8d990e2"/>
          <w:color w:val="000000"/>
          <w:shd w:val="clear" w:color="auto" w:fill="FFFFFF"/>
        </w:rPr>
        <w:t xml:space="preserve">and the </w:t>
      </w:r>
      <w:r w:rsidRPr="00536B77">
        <w:rPr>
          <w:rStyle w:val="sb8d990e2"/>
          <w:color w:val="000000"/>
          <w:shd w:val="clear" w:color="auto" w:fill="FFFFFF"/>
        </w:rPr>
        <w:t xml:space="preserve">House of Lords decision in </w:t>
      </w:r>
      <w:r w:rsidRPr="00536B77">
        <w:rPr>
          <w:rStyle w:val="sb8d990e2"/>
          <w:i/>
          <w:color w:val="000000"/>
          <w:shd w:val="clear" w:color="auto" w:fill="FFFFFF"/>
        </w:rPr>
        <w:t>Jones</w:t>
      </w:r>
      <w:r w:rsidR="00556296" w:rsidRPr="00536B77">
        <w:rPr>
          <w:rStyle w:val="sb8d990e2"/>
          <w:color w:val="000000"/>
          <w:shd w:val="clear" w:color="auto" w:fill="FFFFFF"/>
        </w:rPr>
        <w:t xml:space="preserve"> were</w:t>
      </w:r>
      <w:r w:rsidRPr="00536B77">
        <w:rPr>
          <w:rStyle w:val="sb8d990e2"/>
          <w:color w:val="000000"/>
          <w:shd w:val="clear" w:color="auto" w:fill="FFFFFF"/>
        </w:rPr>
        <w:t xml:space="preserve"> the subject of significant academic criticism. </w:t>
      </w:r>
      <w:r w:rsidR="007B5AC4" w:rsidRPr="00536B77">
        <w:rPr>
          <w:rStyle w:val="sb8d990e2"/>
          <w:color w:val="000000"/>
          <w:shd w:val="clear" w:color="auto" w:fill="FFFFFF"/>
        </w:rPr>
        <w:t xml:space="preserve"> </w:t>
      </w:r>
      <w:r w:rsidRPr="00536B77">
        <w:rPr>
          <w:rStyle w:val="sb8d990e2"/>
          <w:color w:val="000000"/>
          <w:shd w:val="clear" w:color="auto" w:fill="FFFFFF"/>
        </w:rPr>
        <w:t xml:space="preserve">Two such criticisms are worthy of further comment at this point in the analysis. Alexander Orakhelashvili has repeatedly argued in favour of the importance of </w:t>
      </w:r>
      <w:r w:rsidRPr="00536B77">
        <w:rPr>
          <w:rStyle w:val="sb8d990e2"/>
          <w:i/>
          <w:color w:val="000000"/>
          <w:shd w:val="clear" w:color="auto" w:fill="FFFFFF"/>
        </w:rPr>
        <w:t>jus cogens</w:t>
      </w:r>
      <w:r w:rsidRPr="00536B77">
        <w:rPr>
          <w:rStyle w:val="sb8d990e2"/>
          <w:color w:val="000000"/>
          <w:shd w:val="clear" w:color="auto" w:fill="FFFFFF"/>
        </w:rPr>
        <w:t xml:space="preserve"> and the normative hierarchy of international law.</w:t>
      </w:r>
      <w:commentRangeStart w:id="19"/>
      <w:r w:rsidR="0086525E">
        <w:rPr>
          <w:rStyle w:val="FootnoteReference"/>
          <w:color w:val="000000"/>
          <w:shd w:val="clear" w:color="auto" w:fill="FFFFFF"/>
        </w:rPr>
        <w:footnoteReference w:id="51"/>
      </w:r>
      <w:commentRangeEnd w:id="19"/>
      <w:r w:rsidR="00F163C7">
        <w:rPr>
          <w:rStyle w:val="CommentReference"/>
        </w:rPr>
        <w:commentReference w:id="19"/>
      </w:r>
      <w:r w:rsidRPr="00536B77">
        <w:rPr>
          <w:rStyle w:val="sb8d990e2"/>
          <w:color w:val="000000"/>
          <w:shd w:val="clear" w:color="auto" w:fill="FFFFFF"/>
        </w:rPr>
        <w:t xml:space="preserve"> </w:t>
      </w:r>
      <w:r w:rsidR="007B5AC4" w:rsidRPr="00536B77">
        <w:rPr>
          <w:rStyle w:val="sb8d990e2"/>
          <w:color w:val="000000"/>
          <w:shd w:val="clear" w:color="auto" w:fill="FFFFFF"/>
        </w:rPr>
        <w:t xml:space="preserve"> </w:t>
      </w:r>
      <w:r w:rsidRPr="00536B77">
        <w:rPr>
          <w:rStyle w:val="sb8d990e2"/>
          <w:color w:val="000000"/>
          <w:shd w:val="clear" w:color="auto" w:fill="FFFFFF"/>
        </w:rPr>
        <w:t xml:space="preserve">In relation to </w:t>
      </w:r>
      <w:r w:rsidRPr="00536B77">
        <w:rPr>
          <w:rStyle w:val="sb8d990e2"/>
          <w:i/>
          <w:color w:val="000000"/>
          <w:shd w:val="clear" w:color="auto" w:fill="FFFFFF"/>
        </w:rPr>
        <w:t>Jones</w:t>
      </w:r>
      <w:r w:rsidR="00556296" w:rsidRPr="008F77DD">
        <w:rPr>
          <w:rStyle w:val="sb8d990e2"/>
          <w:color w:val="000000"/>
          <w:shd w:val="clear" w:color="auto" w:fill="FFFFFF"/>
        </w:rPr>
        <w:t>,</w:t>
      </w:r>
      <w:r w:rsidR="00556296" w:rsidRPr="00536B77">
        <w:rPr>
          <w:rStyle w:val="sb8d990e2"/>
          <w:i/>
          <w:color w:val="000000"/>
          <w:shd w:val="clear" w:color="auto" w:fill="FFFFFF"/>
        </w:rPr>
        <w:t xml:space="preserve"> </w:t>
      </w:r>
      <w:r w:rsidR="00556296" w:rsidRPr="00536B77">
        <w:rPr>
          <w:rStyle w:val="sb8d990e2"/>
          <w:color w:val="000000"/>
          <w:shd w:val="clear" w:color="auto" w:fill="FFFFFF"/>
        </w:rPr>
        <w:t xml:space="preserve">in particular, </w:t>
      </w:r>
      <w:r w:rsidRPr="00536B77">
        <w:rPr>
          <w:rStyle w:val="sb8d990e2"/>
          <w:color w:val="000000"/>
          <w:shd w:val="clear" w:color="auto" w:fill="FFFFFF"/>
        </w:rPr>
        <w:t xml:space="preserve">he argued that the normatively higher status of the prohibition on torture should have the effect of overriding the hierarchically inferior norm providing for </w:t>
      </w:r>
      <w:r w:rsidR="000F6A9C" w:rsidRPr="00536B77">
        <w:rPr>
          <w:rStyle w:val="sb8d990e2"/>
          <w:color w:val="000000"/>
          <w:shd w:val="clear" w:color="auto" w:fill="FFFFFF"/>
        </w:rPr>
        <w:t>State</w:t>
      </w:r>
      <w:r w:rsidRPr="00536B77">
        <w:rPr>
          <w:rStyle w:val="sb8d990e2"/>
          <w:color w:val="000000"/>
          <w:shd w:val="clear" w:color="auto" w:fill="FFFFFF"/>
        </w:rPr>
        <w:t xml:space="preserve"> immunity.</w:t>
      </w:r>
      <w:commentRangeStart w:id="20"/>
      <w:r w:rsidR="0086525E">
        <w:rPr>
          <w:rStyle w:val="FootnoteReference"/>
          <w:color w:val="000000"/>
          <w:shd w:val="clear" w:color="auto" w:fill="FFFFFF"/>
        </w:rPr>
        <w:footnoteReference w:id="52"/>
      </w:r>
      <w:commentRangeEnd w:id="20"/>
      <w:r w:rsidR="0086525E">
        <w:rPr>
          <w:rStyle w:val="CommentReference"/>
        </w:rPr>
        <w:commentReference w:id="20"/>
      </w:r>
      <w:r w:rsidRPr="00536B77">
        <w:rPr>
          <w:rStyle w:val="sb8d990e2"/>
          <w:color w:val="000000"/>
          <w:shd w:val="clear" w:color="auto" w:fill="FFFFFF"/>
        </w:rPr>
        <w:t xml:space="preserve"> </w:t>
      </w:r>
      <w:r w:rsidR="007B5AC4" w:rsidRPr="00536B77">
        <w:rPr>
          <w:rStyle w:val="sb8d990e2"/>
          <w:color w:val="000000"/>
          <w:shd w:val="clear" w:color="auto" w:fill="FFFFFF"/>
        </w:rPr>
        <w:t xml:space="preserve"> </w:t>
      </w:r>
      <w:r w:rsidRPr="00536B77">
        <w:rPr>
          <w:rStyle w:val="sb8d990e2"/>
          <w:color w:val="000000"/>
          <w:shd w:val="clear" w:color="auto" w:fill="FFFFFF"/>
        </w:rPr>
        <w:t xml:space="preserve">As has been seen, this argument reflects the views of the minority in the </w:t>
      </w:r>
      <w:r w:rsidRPr="00536B77">
        <w:rPr>
          <w:rStyle w:val="sb8d990e2"/>
          <w:i/>
          <w:color w:val="000000"/>
          <w:shd w:val="clear" w:color="auto" w:fill="FFFFFF"/>
        </w:rPr>
        <w:t xml:space="preserve">Al-Adsani </w:t>
      </w:r>
      <w:r w:rsidRPr="00536B77">
        <w:rPr>
          <w:rStyle w:val="sb8d990e2"/>
          <w:color w:val="000000"/>
          <w:shd w:val="clear" w:color="auto" w:fill="FFFFFF"/>
        </w:rPr>
        <w:t>case at the European Court of Human Rights.</w:t>
      </w:r>
      <w:r w:rsidR="007B5AC4" w:rsidRPr="00536B77">
        <w:rPr>
          <w:rStyle w:val="sb8d990e2"/>
          <w:color w:val="000000"/>
          <w:shd w:val="clear" w:color="auto" w:fill="FFFFFF"/>
        </w:rPr>
        <w:t xml:space="preserve"> </w:t>
      </w:r>
      <w:r w:rsidRPr="00536B77">
        <w:rPr>
          <w:rStyle w:val="sb8d990e2"/>
          <w:color w:val="000000"/>
          <w:shd w:val="clear" w:color="auto" w:fill="FFFFFF"/>
        </w:rPr>
        <w:t xml:space="preserve"> However, the argument was not persuasive to the majority in </w:t>
      </w:r>
      <w:r w:rsidRPr="00536B77">
        <w:rPr>
          <w:rStyle w:val="sb8d990e2"/>
          <w:i/>
          <w:color w:val="000000"/>
          <w:shd w:val="clear" w:color="auto" w:fill="FFFFFF"/>
        </w:rPr>
        <w:t>Al-Adsani</w:t>
      </w:r>
      <w:r w:rsidRPr="00536B77">
        <w:rPr>
          <w:rStyle w:val="sb8d990e2"/>
          <w:color w:val="000000"/>
          <w:shd w:val="clear" w:color="auto" w:fill="FFFFFF"/>
        </w:rPr>
        <w:t xml:space="preserve">. Furthermore, the issue of </w:t>
      </w:r>
      <w:r w:rsidRPr="00536B77">
        <w:rPr>
          <w:rStyle w:val="sb8d990e2"/>
          <w:i/>
          <w:color w:val="000000"/>
          <w:shd w:val="clear" w:color="auto" w:fill="FFFFFF"/>
        </w:rPr>
        <w:t>jus cogens</w:t>
      </w:r>
      <w:r w:rsidRPr="00536B77">
        <w:rPr>
          <w:rStyle w:val="sb8d990e2"/>
          <w:color w:val="000000"/>
          <w:shd w:val="clear" w:color="auto" w:fill="FFFFFF"/>
        </w:rPr>
        <w:t xml:space="preserve">, although referred to extensively in the various majority speeches in </w:t>
      </w:r>
      <w:r w:rsidRPr="008F77DD">
        <w:rPr>
          <w:rStyle w:val="sb8d990e2"/>
          <w:i/>
          <w:color w:val="000000"/>
          <w:shd w:val="clear" w:color="auto" w:fill="FFFFFF"/>
        </w:rPr>
        <w:t>Pinochet</w:t>
      </w:r>
      <w:r w:rsidRPr="00536B77">
        <w:rPr>
          <w:rStyle w:val="sb8d990e2"/>
          <w:color w:val="000000"/>
          <w:shd w:val="clear" w:color="auto" w:fill="FFFFFF"/>
        </w:rPr>
        <w:t xml:space="preserve"> in fact did not form the basis of any of their lordship’s decisions. </w:t>
      </w:r>
      <w:r w:rsidR="007B5AC4" w:rsidRPr="00536B77">
        <w:rPr>
          <w:rStyle w:val="sb8d990e2"/>
          <w:color w:val="000000"/>
          <w:shd w:val="clear" w:color="auto" w:fill="FFFFFF"/>
        </w:rPr>
        <w:t xml:space="preserve"> </w:t>
      </w:r>
      <w:r w:rsidRPr="00536B77">
        <w:rPr>
          <w:rStyle w:val="sb8d990e2"/>
          <w:color w:val="000000"/>
          <w:shd w:val="clear" w:color="auto" w:fill="FFFFFF"/>
        </w:rPr>
        <w:t xml:space="preserve">In </w:t>
      </w:r>
      <w:r w:rsidRPr="00536B77">
        <w:rPr>
          <w:rStyle w:val="sb8d990e2"/>
          <w:i/>
          <w:color w:val="000000"/>
          <w:shd w:val="clear" w:color="auto" w:fill="FFFFFF"/>
        </w:rPr>
        <w:lastRenderedPageBreak/>
        <w:t>Jones</w:t>
      </w:r>
      <w:r w:rsidRPr="00536B77">
        <w:rPr>
          <w:rStyle w:val="sb8d990e2"/>
          <w:color w:val="000000"/>
          <w:shd w:val="clear" w:color="auto" w:fill="FFFFFF"/>
        </w:rPr>
        <w:t xml:space="preserve">, Mance LJ appeared to steer clear of the concept of </w:t>
      </w:r>
      <w:r w:rsidRPr="00536B77">
        <w:rPr>
          <w:rStyle w:val="sb8d990e2"/>
          <w:i/>
          <w:color w:val="000000"/>
          <w:shd w:val="clear" w:color="auto" w:fill="FFFFFF"/>
        </w:rPr>
        <w:t>jus cogens</w:t>
      </w:r>
      <w:r w:rsidRPr="00536B77">
        <w:rPr>
          <w:rStyle w:val="sb8d990e2"/>
          <w:color w:val="000000"/>
          <w:shd w:val="clear" w:color="auto" w:fill="FFFFFF"/>
        </w:rPr>
        <w:t xml:space="preserve"> in his analysis, as did Lord Phillips who delivered a concurring opinion.</w:t>
      </w:r>
      <w:commentRangeStart w:id="21"/>
      <w:r w:rsidR="004473E1">
        <w:rPr>
          <w:rStyle w:val="FootnoteReference"/>
          <w:color w:val="000000"/>
          <w:shd w:val="clear" w:color="auto" w:fill="FFFFFF"/>
        </w:rPr>
        <w:footnoteReference w:id="53"/>
      </w:r>
      <w:commentRangeEnd w:id="21"/>
      <w:r w:rsidR="004473E1">
        <w:rPr>
          <w:rStyle w:val="CommentReference"/>
        </w:rPr>
        <w:commentReference w:id="21"/>
      </w:r>
      <w:r w:rsidRPr="00536B77">
        <w:rPr>
          <w:rStyle w:val="sb8d990e2"/>
          <w:color w:val="000000"/>
          <w:shd w:val="clear" w:color="auto" w:fill="FFFFFF"/>
        </w:rPr>
        <w:t xml:space="preserve"> </w:t>
      </w:r>
      <w:r w:rsidR="007B5AC4" w:rsidRPr="00536B77">
        <w:rPr>
          <w:rStyle w:val="sb8d990e2"/>
          <w:color w:val="000000"/>
          <w:shd w:val="clear" w:color="auto" w:fill="FFFFFF"/>
        </w:rPr>
        <w:t xml:space="preserve"> </w:t>
      </w:r>
      <w:r w:rsidRPr="00536B77">
        <w:rPr>
          <w:rStyle w:val="sb8d990e2"/>
          <w:color w:val="000000"/>
          <w:shd w:val="clear" w:color="auto" w:fill="FFFFFF"/>
        </w:rPr>
        <w:t xml:space="preserve">In the House of Lords, once again, the issue of </w:t>
      </w:r>
      <w:r w:rsidRPr="00536B77">
        <w:rPr>
          <w:rStyle w:val="sb8d990e2"/>
          <w:i/>
          <w:color w:val="000000"/>
          <w:shd w:val="clear" w:color="auto" w:fill="FFFFFF"/>
        </w:rPr>
        <w:t>jus cogens</w:t>
      </w:r>
      <w:r w:rsidR="00790D42" w:rsidRPr="00536B77">
        <w:rPr>
          <w:rStyle w:val="sb8d990e2"/>
          <w:color w:val="000000"/>
          <w:shd w:val="clear" w:color="auto" w:fill="FFFFFF"/>
        </w:rPr>
        <w:t xml:space="preserve"> was largely avoided essentially through the approved citation of the now famous words of Lady Hazel Fox to the effect that:</w:t>
      </w:r>
    </w:p>
    <w:p w14:paraId="3E5B5A3A" w14:textId="77777777" w:rsidR="00790D42" w:rsidRPr="00536B77" w:rsidRDefault="000F6A9C" w:rsidP="00536B77">
      <w:pPr>
        <w:spacing w:line="480" w:lineRule="auto"/>
        <w:ind w:left="567" w:right="522"/>
        <w:rPr>
          <w:rStyle w:val="sb8d990e2"/>
          <w:color w:val="000000"/>
          <w:shd w:val="clear" w:color="auto" w:fill="FFFFFF"/>
        </w:rPr>
      </w:pPr>
      <w:r w:rsidRPr="00536B77">
        <w:rPr>
          <w:rStyle w:val="sb8d990e2"/>
          <w:color w:val="000000"/>
          <w:shd w:val="clear" w:color="auto" w:fill="FFFFFF"/>
        </w:rPr>
        <w:t>State</w:t>
      </w:r>
      <w:r w:rsidR="00790D42" w:rsidRPr="00536B77">
        <w:rPr>
          <w:rStyle w:val="sb8d990e2"/>
          <w:color w:val="000000"/>
          <w:shd w:val="clear" w:color="auto" w:fill="FFFFFF"/>
        </w:rPr>
        <w:t xml:space="preserve"> immunity is a procedural rule going to the jurisdiction of a national court. </w:t>
      </w:r>
      <w:r w:rsidR="007B5AC4" w:rsidRPr="00536B77">
        <w:rPr>
          <w:rStyle w:val="sb8d990e2"/>
          <w:color w:val="000000"/>
          <w:shd w:val="clear" w:color="auto" w:fill="FFFFFF"/>
        </w:rPr>
        <w:t xml:space="preserve"> </w:t>
      </w:r>
      <w:r w:rsidR="00790D42" w:rsidRPr="00536B77">
        <w:rPr>
          <w:rStyle w:val="sb8d990e2"/>
          <w:color w:val="000000"/>
          <w:shd w:val="clear" w:color="auto" w:fill="FFFFFF"/>
        </w:rPr>
        <w:t xml:space="preserve">It does not go to substantive law; it does not contradict a prohibition contained in a jus cogens norm but merely diverts any breach of it to a different method of settlement. </w:t>
      </w:r>
      <w:r w:rsidR="007B5AC4" w:rsidRPr="00536B77">
        <w:rPr>
          <w:rStyle w:val="sb8d990e2"/>
          <w:color w:val="000000"/>
          <w:shd w:val="clear" w:color="auto" w:fill="FFFFFF"/>
        </w:rPr>
        <w:t xml:space="preserve"> </w:t>
      </w:r>
      <w:r w:rsidR="00790D42" w:rsidRPr="00536B77">
        <w:rPr>
          <w:rStyle w:val="sb8d990e2"/>
          <w:color w:val="000000"/>
          <w:shd w:val="clear" w:color="auto" w:fill="FFFFFF"/>
        </w:rPr>
        <w:t xml:space="preserve">Arguably, then, there is no substantive content in the procedural plea of </w:t>
      </w:r>
      <w:r w:rsidRPr="00536B77">
        <w:rPr>
          <w:rStyle w:val="sb8d990e2"/>
          <w:color w:val="000000"/>
          <w:shd w:val="clear" w:color="auto" w:fill="FFFFFF"/>
        </w:rPr>
        <w:t>State</w:t>
      </w:r>
      <w:r w:rsidR="00790D42" w:rsidRPr="00536B77">
        <w:rPr>
          <w:rStyle w:val="sb8d990e2"/>
          <w:color w:val="000000"/>
          <w:shd w:val="clear" w:color="auto" w:fill="FFFFFF"/>
        </w:rPr>
        <w:t xml:space="preserve"> immunity upon which a jus cogens mandate can bite.</w:t>
      </w:r>
      <w:commentRangeStart w:id="22"/>
      <w:r w:rsidR="004473E1">
        <w:rPr>
          <w:rStyle w:val="FootnoteReference"/>
          <w:color w:val="000000"/>
          <w:shd w:val="clear" w:color="auto" w:fill="FFFFFF"/>
        </w:rPr>
        <w:footnoteReference w:id="54"/>
      </w:r>
      <w:commentRangeEnd w:id="22"/>
      <w:r w:rsidR="004473E1">
        <w:rPr>
          <w:rStyle w:val="CommentReference"/>
        </w:rPr>
        <w:commentReference w:id="22"/>
      </w:r>
    </w:p>
    <w:p w14:paraId="51A140A8" w14:textId="09F3DF80" w:rsidR="00790D42" w:rsidRPr="00536B77" w:rsidRDefault="00790D42" w:rsidP="00536B77">
      <w:pPr>
        <w:spacing w:line="480" w:lineRule="auto"/>
        <w:rPr>
          <w:rStyle w:val="sb8d990e2"/>
          <w:color w:val="000000"/>
          <w:shd w:val="clear" w:color="auto" w:fill="FFFFFF"/>
        </w:rPr>
      </w:pPr>
      <w:r w:rsidRPr="00536B77">
        <w:rPr>
          <w:rStyle w:val="sb8d990e2"/>
          <w:color w:val="000000"/>
          <w:shd w:val="clear" w:color="auto" w:fill="FFFFFF"/>
        </w:rPr>
        <w:t xml:space="preserve">This procedural versus substantive differentiation is persuasive and has more recently been cited with approval by the </w:t>
      </w:r>
      <w:r w:rsidR="0098341E">
        <w:rPr>
          <w:rStyle w:val="sb8d990e2"/>
          <w:color w:val="000000"/>
          <w:shd w:val="clear" w:color="auto" w:fill="FFFFFF"/>
        </w:rPr>
        <w:t>ICJ</w:t>
      </w:r>
      <w:r w:rsidR="00556296" w:rsidRPr="00536B77">
        <w:rPr>
          <w:rStyle w:val="sb8d990e2"/>
          <w:color w:val="000000"/>
          <w:shd w:val="clear" w:color="auto" w:fill="FFFFFF"/>
        </w:rPr>
        <w:t xml:space="preserve"> in the </w:t>
      </w:r>
      <w:r w:rsidR="00556296" w:rsidRPr="00536B77">
        <w:rPr>
          <w:rStyle w:val="sb8d990e2"/>
          <w:i/>
          <w:color w:val="000000"/>
          <w:shd w:val="clear" w:color="auto" w:fill="FFFFFF"/>
        </w:rPr>
        <w:t>Jurisdictional Immunities of the State</w:t>
      </w:r>
      <w:r w:rsidR="00556296" w:rsidRPr="00536B77">
        <w:rPr>
          <w:rStyle w:val="sb8d990e2"/>
          <w:color w:val="000000"/>
          <w:shd w:val="clear" w:color="auto" w:fill="FFFFFF"/>
        </w:rPr>
        <w:t xml:space="preserve"> case</w:t>
      </w:r>
      <w:r w:rsidRPr="00536B77">
        <w:rPr>
          <w:rStyle w:val="sb8d990e2"/>
          <w:color w:val="000000"/>
          <w:shd w:val="clear" w:color="auto" w:fill="FFFFFF"/>
        </w:rPr>
        <w:t>.</w:t>
      </w:r>
      <w:r w:rsidR="0086525E">
        <w:rPr>
          <w:rStyle w:val="FootnoteReference"/>
          <w:color w:val="000000"/>
          <w:shd w:val="clear" w:color="auto" w:fill="FFFFFF"/>
        </w:rPr>
        <w:footnoteReference w:id="55"/>
      </w:r>
      <w:r w:rsidRPr="00536B77">
        <w:rPr>
          <w:rStyle w:val="sb8d990e2"/>
          <w:color w:val="000000"/>
          <w:shd w:val="clear" w:color="auto" w:fill="FFFFFF"/>
        </w:rPr>
        <w:t xml:space="preserve"> </w:t>
      </w:r>
      <w:r w:rsidR="007B5AC4" w:rsidRPr="00536B77">
        <w:rPr>
          <w:rStyle w:val="sb8d990e2"/>
          <w:color w:val="000000"/>
          <w:shd w:val="clear" w:color="auto" w:fill="FFFFFF"/>
        </w:rPr>
        <w:t xml:space="preserve"> </w:t>
      </w:r>
      <w:r w:rsidRPr="00536B77">
        <w:rPr>
          <w:rStyle w:val="sb8d990e2"/>
          <w:color w:val="000000"/>
          <w:shd w:val="clear" w:color="auto" w:fill="FFFFFF"/>
        </w:rPr>
        <w:t xml:space="preserve">However, for this author, the rejection of the </w:t>
      </w:r>
      <w:r w:rsidRPr="00536B77">
        <w:rPr>
          <w:rStyle w:val="sb8d990e2"/>
          <w:i/>
          <w:color w:val="000000"/>
          <w:shd w:val="clear" w:color="auto" w:fill="FFFFFF"/>
        </w:rPr>
        <w:t>jus cogens</w:t>
      </w:r>
      <w:r w:rsidRPr="00536B77">
        <w:rPr>
          <w:rStyle w:val="sb8d990e2"/>
          <w:color w:val="000000"/>
          <w:shd w:val="clear" w:color="auto" w:fill="FFFFFF"/>
        </w:rPr>
        <w:t xml:space="preserve"> argument has a more practical aspect to it. </w:t>
      </w:r>
      <w:r w:rsidR="0086525E">
        <w:rPr>
          <w:rStyle w:val="sb8d990e2"/>
          <w:color w:val="000000"/>
          <w:shd w:val="clear" w:color="auto" w:fill="FFFFFF"/>
        </w:rPr>
        <w:t xml:space="preserve"> </w:t>
      </w:r>
      <w:r w:rsidRPr="00536B77">
        <w:rPr>
          <w:rStyle w:val="sb8d990e2"/>
          <w:color w:val="000000"/>
          <w:shd w:val="clear" w:color="auto" w:fill="FFFFFF"/>
        </w:rPr>
        <w:t xml:space="preserve">If the </w:t>
      </w:r>
      <w:r w:rsidRPr="00536B77">
        <w:rPr>
          <w:rStyle w:val="sb8d990e2"/>
          <w:i/>
          <w:color w:val="000000"/>
          <w:shd w:val="clear" w:color="auto" w:fill="FFFFFF"/>
        </w:rPr>
        <w:t>jus cogens</w:t>
      </w:r>
      <w:r w:rsidRPr="00536B77">
        <w:rPr>
          <w:rStyle w:val="sb8d990e2"/>
          <w:color w:val="000000"/>
          <w:shd w:val="clear" w:color="auto" w:fill="FFFFFF"/>
        </w:rPr>
        <w:t xml:space="preserve"> argument were to prevail, it would not be limited merely to the immunity of a </w:t>
      </w:r>
      <w:r w:rsidR="000F6A9C" w:rsidRPr="00536B77">
        <w:rPr>
          <w:rStyle w:val="sb8d990e2"/>
          <w:color w:val="000000"/>
          <w:shd w:val="clear" w:color="auto" w:fill="FFFFFF"/>
        </w:rPr>
        <w:t>State</w:t>
      </w:r>
      <w:r w:rsidRPr="00536B77">
        <w:rPr>
          <w:rStyle w:val="sb8d990e2"/>
          <w:color w:val="000000"/>
          <w:shd w:val="clear" w:color="auto" w:fill="FFFFFF"/>
        </w:rPr>
        <w:t xml:space="preserve"> official, or even to the immunity of a </w:t>
      </w:r>
      <w:r w:rsidR="000F6A9C" w:rsidRPr="00536B77">
        <w:rPr>
          <w:rStyle w:val="sb8d990e2"/>
          <w:color w:val="000000"/>
          <w:shd w:val="clear" w:color="auto" w:fill="FFFFFF"/>
        </w:rPr>
        <w:t>Head of</w:t>
      </w:r>
      <w:r w:rsidRPr="00536B77">
        <w:rPr>
          <w:rStyle w:val="sb8d990e2"/>
          <w:color w:val="000000"/>
          <w:shd w:val="clear" w:color="auto" w:fill="FFFFFF"/>
        </w:rPr>
        <w:t xml:space="preserve"> </w:t>
      </w:r>
      <w:r w:rsidR="000F6A9C" w:rsidRPr="00536B77">
        <w:rPr>
          <w:rStyle w:val="sb8d990e2"/>
          <w:color w:val="000000"/>
          <w:shd w:val="clear" w:color="auto" w:fill="FFFFFF"/>
        </w:rPr>
        <w:t>State</w:t>
      </w:r>
      <w:r w:rsidRPr="00536B77">
        <w:rPr>
          <w:rStyle w:val="sb8d990e2"/>
          <w:color w:val="000000"/>
          <w:shd w:val="clear" w:color="auto" w:fill="FFFFFF"/>
        </w:rPr>
        <w:t xml:space="preserve">. </w:t>
      </w:r>
      <w:r w:rsidR="007B5AC4" w:rsidRPr="00536B77">
        <w:rPr>
          <w:rStyle w:val="sb8d990e2"/>
          <w:color w:val="000000"/>
          <w:shd w:val="clear" w:color="auto" w:fill="FFFFFF"/>
        </w:rPr>
        <w:t xml:space="preserve"> </w:t>
      </w:r>
      <w:r w:rsidRPr="00536B77">
        <w:rPr>
          <w:rStyle w:val="sb8d990e2"/>
          <w:color w:val="000000"/>
          <w:shd w:val="clear" w:color="auto" w:fill="FFFFFF"/>
        </w:rPr>
        <w:t xml:space="preserve">It would necessarily apply to all forms of immunity from jurisdiction. </w:t>
      </w:r>
      <w:r w:rsidR="007B5AC4" w:rsidRPr="00536B77">
        <w:rPr>
          <w:rStyle w:val="sb8d990e2"/>
          <w:color w:val="000000"/>
          <w:shd w:val="clear" w:color="auto" w:fill="FFFFFF"/>
        </w:rPr>
        <w:t xml:space="preserve"> </w:t>
      </w:r>
      <w:r w:rsidR="00556296" w:rsidRPr="00536B77">
        <w:rPr>
          <w:rStyle w:val="sb8d990e2"/>
          <w:color w:val="000000"/>
          <w:shd w:val="clear" w:color="auto" w:fill="FFFFFF"/>
        </w:rPr>
        <w:t>Furthermore</w:t>
      </w:r>
      <w:r w:rsidRPr="00536B77">
        <w:rPr>
          <w:rStyle w:val="sb8d990e2"/>
          <w:color w:val="000000"/>
          <w:shd w:val="clear" w:color="auto" w:fill="FFFFFF"/>
        </w:rPr>
        <w:t xml:space="preserve">, and even more problematically, it would “trump” not only immunity </w:t>
      </w:r>
      <w:r w:rsidRPr="00536B77">
        <w:rPr>
          <w:rStyle w:val="sb8d990e2"/>
          <w:i/>
          <w:color w:val="000000"/>
          <w:shd w:val="clear" w:color="auto" w:fill="FFFFFF"/>
        </w:rPr>
        <w:t>rationae materiae</w:t>
      </w:r>
      <w:r w:rsidRPr="008F77DD">
        <w:rPr>
          <w:rStyle w:val="sb8d990e2"/>
          <w:color w:val="000000"/>
          <w:shd w:val="clear" w:color="auto" w:fill="FFFFFF"/>
        </w:rPr>
        <w:t>,</w:t>
      </w:r>
      <w:r w:rsidRPr="00536B77">
        <w:rPr>
          <w:rStyle w:val="sb8d990e2"/>
          <w:i/>
          <w:color w:val="000000"/>
          <w:shd w:val="clear" w:color="auto" w:fill="FFFFFF"/>
        </w:rPr>
        <w:t xml:space="preserve"> </w:t>
      </w:r>
      <w:r w:rsidRPr="00536B77">
        <w:rPr>
          <w:rStyle w:val="sb8d990e2"/>
          <w:color w:val="000000"/>
          <w:shd w:val="clear" w:color="auto" w:fill="FFFFFF"/>
        </w:rPr>
        <w:t xml:space="preserve">covering official acts after the termination of a particular function, but also immunity </w:t>
      </w:r>
      <w:r w:rsidRPr="00536B77">
        <w:rPr>
          <w:rStyle w:val="sb8d990e2"/>
          <w:i/>
          <w:color w:val="000000"/>
          <w:shd w:val="clear" w:color="auto" w:fill="FFFFFF"/>
        </w:rPr>
        <w:t>rationae personae</w:t>
      </w:r>
      <w:r w:rsidRPr="00536B77">
        <w:rPr>
          <w:rStyle w:val="sb8d990e2"/>
          <w:color w:val="000000"/>
          <w:shd w:val="clear" w:color="auto" w:fill="FFFFFF"/>
        </w:rPr>
        <w:t>, an immunity that applies, for example</w:t>
      </w:r>
      <w:r w:rsidR="00556296" w:rsidRPr="00536B77">
        <w:rPr>
          <w:rStyle w:val="sb8d990e2"/>
          <w:color w:val="000000"/>
          <w:shd w:val="clear" w:color="auto" w:fill="FFFFFF"/>
        </w:rPr>
        <w:t>,</w:t>
      </w:r>
      <w:r w:rsidRPr="00536B77">
        <w:rPr>
          <w:rStyle w:val="sb8d990e2"/>
          <w:color w:val="000000"/>
          <w:shd w:val="clear" w:color="auto" w:fill="FFFFFF"/>
        </w:rPr>
        <w:t xml:space="preserve"> in relation to diplomatic pe</w:t>
      </w:r>
      <w:r w:rsidR="00556296" w:rsidRPr="00536B77">
        <w:rPr>
          <w:rStyle w:val="sb8d990e2"/>
          <w:color w:val="000000"/>
          <w:shd w:val="clear" w:color="auto" w:fill="FFFFFF"/>
        </w:rPr>
        <w:t>rsonnel, as well as to serving H</w:t>
      </w:r>
      <w:r w:rsidRPr="00536B77">
        <w:rPr>
          <w:rStyle w:val="sb8d990e2"/>
          <w:color w:val="000000"/>
          <w:shd w:val="clear" w:color="auto" w:fill="FFFFFF"/>
        </w:rPr>
        <w:t xml:space="preserve">eads of </w:t>
      </w:r>
      <w:r w:rsidR="000F6A9C" w:rsidRPr="00536B77">
        <w:rPr>
          <w:rStyle w:val="sb8d990e2"/>
          <w:color w:val="000000"/>
          <w:shd w:val="clear" w:color="auto" w:fill="FFFFFF"/>
        </w:rPr>
        <w:t>State</w:t>
      </w:r>
      <w:r w:rsidRPr="00536B77">
        <w:rPr>
          <w:rStyle w:val="sb8d990e2"/>
          <w:color w:val="000000"/>
          <w:shd w:val="clear" w:color="auto" w:fill="FFFFFF"/>
        </w:rPr>
        <w:t xml:space="preserve"> and other high-ranking </w:t>
      </w:r>
      <w:r w:rsidR="000F6A9C" w:rsidRPr="00536B77">
        <w:rPr>
          <w:rStyle w:val="sb8d990e2"/>
          <w:color w:val="000000"/>
          <w:shd w:val="clear" w:color="auto" w:fill="FFFFFF"/>
        </w:rPr>
        <w:t>State</w:t>
      </w:r>
      <w:r w:rsidRPr="00536B77">
        <w:rPr>
          <w:rStyle w:val="sb8d990e2"/>
          <w:color w:val="000000"/>
          <w:shd w:val="clear" w:color="auto" w:fill="FFFFFF"/>
        </w:rPr>
        <w:t xml:space="preserve"> officials</w:t>
      </w:r>
      <w:r w:rsidR="00556296" w:rsidRPr="00536B77">
        <w:rPr>
          <w:rStyle w:val="sb8d990e2"/>
          <w:color w:val="000000"/>
          <w:shd w:val="clear" w:color="auto" w:fill="FFFFFF"/>
        </w:rPr>
        <w:t xml:space="preserve">. </w:t>
      </w:r>
      <w:r w:rsidR="007B5AC4" w:rsidRPr="00536B77">
        <w:rPr>
          <w:rStyle w:val="sb8d990e2"/>
          <w:color w:val="000000"/>
          <w:shd w:val="clear" w:color="auto" w:fill="FFFFFF"/>
        </w:rPr>
        <w:t xml:space="preserve"> </w:t>
      </w:r>
      <w:r w:rsidR="00556296" w:rsidRPr="00536B77">
        <w:rPr>
          <w:rStyle w:val="sb8d990e2"/>
          <w:color w:val="000000"/>
          <w:shd w:val="clear" w:color="auto" w:fill="FFFFFF"/>
        </w:rPr>
        <w:t xml:space="preserve">Immunity would be subject to removal even where such individuals had merely been </w:t>
      </w:r>
      <w:r w:rsidRPr="00536B77">
        <w:rPr>
          <w:rStyle w:val="sb8d990e2"/>
          <w:color w:val="000000"/>
          <w:shd w:val="clear" w:color="auto" w:fill="FFFFFF"/>
        </w:rPr>
        <w:t xml:space="preserve">accused of violations of </w:t>
      </w:r>
      <w:r w:rsidRPr="00536B77">
        <w:rPr>
          <w:rStyle w:val="sb8d990e2"/>
          <w:i/>
          <w:color w:val="000000"/>
          <w:shd w:val="clear" w:color="auto" w:fill="FFFFFF"/>
        </w:rPr>
        <w:t xml:space="preserve">jus cogens </w:t>
      </w:r>
      <w:r w:rsidRPr="00536B77">
        <w:rPr>
          <w:rStyle w:val="sb8d990e2"/>
          <w:color w:val="000000"/>
          <w:shd w:val="clear" w:color="auto" w:fill="FFFFFF"/>
        </w:rPr>
        <w:t xml:space="preserve">norms. </w:t>
      </w:r>
      <w:r w:rsidR="007B5AC4" w:rsidRPr="00536B77">
        <w:rPr>
          <w:rStyle w:val="sb8d990e2"/>
          <w:color w:val="000000"/>
          <w:shd w:val="clear" w:color="auto" w:fill="FFFFFF"/>
        </w:rPr>
        <w:t xml:space="preserve"> </w:t>
      </w:r>
      <w:r w:rsidRPr="00536B77">
        <w:rPr>
          <w:rStyle w:val="sb8d990e2"/>
          <w:color w:val="000000"/>
          <w:shd w:val="clear" w:color="auto" w:fill="FFFFFF"/>
        </w:rPr>
        <w:t>The unintended consequences of this and the potential impact on long established and important rules providing for the efficacious and orderly conduct of foreign relations</w:t>
      </w:r>
      <w:r w:rsidR="0086525E">
        <w:rPr>
          <w:rStyle w:val="sb8d990e2"/>
          <w:color w:val="000000"/>
          <w:shd w:val="clear" w:color="auto" w:fill="FFFFFF"/>
        </w:rPr>
        <w:t>,</w:t>
      </w:r>
      <w:r w:rsidRPr="00536B77">
        <w:rPr>
          <w:rStyle w:val="sb8d990e2"/>
          <w:color w:val="000000"/>
          <w:shd w:val="clear" w:color="auto" w:fill="FFFFFF"/>
        </w:rPr>
        <w:t xml:space="preserve"> as well as for the </w:t>
      </w:r>
      <w:r w:rsidRPr="00536B77">
        <w:rPr>
          <w:rStyle w:val="sb8d990e2"/>
          <w:color w:val="000000"/>
          <w:shd w:val="clear" w:color="auto" w:fill="FFFFFF"/>
        </w:rPr>
        <w:lastRenderedPageBreak/>
        <w:t xml:space="preserve">physical security of </w:t>
      </w:r>
      <w:r w:rsidR="000F6A9C" w:rsidRPr="00536B77">
        <w:rPr>
          <w:rStyle w:val="sb8d990e2"/>
          <w:color w:val="000000"/>
          <w:shd w:val="clear" w:color="auto" w:fill="FFFFFF"/>
        </w:rPr>
        <w:t>State</w:t>
      </w:r>
      <w:r w:rsidRPr="00536B77">
        <w:rPr>
          <w:rStyle w:val="sb8d990e2"/>
          <w:color w:val="000000"/>
          <w:shd w:val="clear" w:color="auto" w:fill="FFFFFF"/>
        </w:rPr>
        <w:t xml:space="preserve"> officials living and working outside their hom</w:t>
      </w:r>
      <w:r w:rsidR="00D37306" w:rsidRPr="00536B77">
        <w:rPr>
          <w:rStyle w:val="sb8d990e2"/>
          <w:color w:val="000000"/>
          <w:shd w:val="clear" w:color="auto" w:fill="FFFFFF"/>
        </w:rPr>
        <w:t>e country</w:t>
      </w:r>
      <w:r w:rsidR="0086525E">
        <w:rPr>
          <w:rStyle w:val="sb8d990e2"/>
          <w:color w:val="000000"/>
          <w:shd w:val="clear" w:color="auto" w:fill="FFFFFF"/>
        </w:rPr>
        <w:t>,</w:t>
      </w:r>
      <w:r w:rsidR="00D37306" w:rsidRPr="00536B77">
        <w:rPr>
          <w:rStyle w:val="sb8d990e2"/>
          <w:color w:val="000000"/>
          <w:shd w:val="clear" w:color="auto" w:fill="FFFFFF"/>
        </w:rPr>
        <w:t xml:space="preserve"> could be devastating.</w:t>
      </w:r>
    </w:p>
    <w:p w14:paraId="323A41DA" w14:textId="6E3948D0" w:rsidR="00D37306" w:rsidRPr="00536B77" w:rsidRDefault="00D37306" w:rsidP="00536B77">
      <w:pPr>
        <w:spacing w:line="480" w:lineRule="auto"/>
        <w:ind w:firstLine="720"/>
        <w:rPr>
          <w:rStyle w:val="sb8d990e2"/>
          <w:color w:val="000000"/>
          <w:shd w:val="clear" w:color="auto" w:fill="FFFFFF"/>
        </w:rPr>
      </w:pPr>
      <w:r w:rsidRPr="00536B77">
        <w:rPr>
          <w:rStyle w:val="sb8d990e2"/>
          <w:color w:val="000000"/>
          <w:shd w:val="clear" w:color="auto" w:fill="FFFFFF"/>
        </w:rPr>
        <w:t xml:space="preserve">A separate criticism of the decision of the House of Lords in </w:t>
      </w:r>
      <w:r w:rsidRPr="00536B77">
        <w:rPr>
          <w:rStyle w:val="sb8d990e2"/>
          <w:i/>
          <w:color w:val="000000"/>
          <w:shd w:val="clear" w:color="auto" w:fill="FFFFFF"/>
        </w:rPr>
        <w:t>Jones</w:t>
      </w:r>
      <w:r w:rsidRPr="00536B77">
        <w:rPr>
          <w:rStyle w:val="sb8d990e2"/>
          <w:color w:val="000000"/>
          <w:shd w:val="clear" w:color="auto" w:fill="FFFFFF"/>
        </w:rPr>
        <w:t xml:space="preserve"> was provided by Lorna McGregor who argued, perhaps i</w:t>
      </w:r>
      <w:r w:rsidR="00F45693">
        <w:rPr>
          <w:rStyle w:val="sb8d990e2"/>
          <w:color w:val="000000"/>
          <w:shd w:val="clear" w:color="auto" w:fill="FFFFFF"/>
        </w:rPr>
        <w:t>n</w:t>
      </w:r>
      <w:r w:rsidRPr="00536B77">
        <w:rPr>
          <w:rStyle w:val="sb8d990e2"/>
          <w:color w:val="000000"/>
          <w:shd w:val="clear" w:color="auto" w:fill="FFFFFF"/>
        </w:rPr>
        <w:t xml:space="preserve"> light of the Fox </w:t>
      </w:r>
      <w:r w:rsidR="00556296" w:rsidRPr="00536B77">
        <w:rPr>
          <w:rStyle w:val="sb8d990e2"/>
          <w:color w:val="000000"/>
          <w:shd w:val="clear" w:color="auto" w:fill="FFFFFF"/>
        </w:rPr>
        <w:t>s</w:t>
      </w:r>
      <w:r w:rsidR="000F6A9C" w:rsidRPr="00536B77">
        <w:rPr>
          <w:rStyle w:val="sb8d990e2"/>
          <w:color w:val="000000"/>
          <w:shd w:val="clear" w:color="auto" w:fill="FFFFFF"/>
        </w:rPr>
        <w:t>tate</w:t>
      </w:r>
      <w:r w:rsidRPr="00536B77">
        <w:rPr>
          <w:rStyle w:val="sb8d990e2"/>
          <w:color w:val="000000"/>
          <w:shd w:val="clear" w:color="auto" w:fill="FFFFFF"/>
        </w:rPr>
        <w:t>ment cited above, that “formalistic interpretive techniques are often employed to deny the impact of immunity on i</w:t>
      </w:r>
      <w:r w:rsidR="00556296" w:rsidRPr="00536B77">
        <w:rPr>
          <w:rStyle w:val="sb8d990e2"/>
          <w:color w:val="000000"/>
          <w:shd w:val="clear" w:color="auto" w:fill="FFFFFF"/>
        </w:rPr>
        <w:t>mpunity”.</w:t>
      </w:r>
      <w:commentRangeStart w:id="23"/>
      <w:r w:rsidR="0086525E">
        <w:rPr>
          <w:rStyle w:val="FootnoteReference"/>
          <w:color w:val="000000"/>
          <w:shd w:val="clear" w:color="auto" w:fill="FFFFFF"/>
        </w:rPr>
        <w:footnoteReference w:id="56"/>
      </w:r>
      <w:commentRangeEnd w:id="23"/>
      <w:r w:rsidR="0086525E">
        <w:rPr>
          <w:rStyle w:val="CommentReference"/>
        </w:rPr>
        <w:commentReference w:id="23"/>
      </w:r>
      <w:r w:rsidR="00556296" w:rsidRPr="00536B77">
        <w:rPr>
          <w:rStyle w:val="sb8d990e2"/>
          <w:color w:val="000000"/>
          <w:shd w:val="clear" w:color="auto" w:fill="FFFFFF"/>
        </w:rPr>
        <w:t xml:space="preserve"> </w:t>
      </w:r>
      <w:r w:rsidR="007B5AC4" w:rsidRPr="00536B77">
        <w:rPr>
          <w:rStyle w:val="sb8d990e2"/>
          <w:color w:val="000000"/>
          <w:shd w:val="clear" w:color="auto" w:fill="FFFFFF"/>
        </w:rPr>
        <w:t xml:space="preserve"> </w:t>
      </w:r>
      <w:r w:rsidR="00556296" w:rsidRPr="00536B77">
        <w:rPr>
          <w:rStyle w:val="sb8d990e2"/>
          <w:color w:val="000000"/>
          <w:shd w:val="clear" w:color="auto" w:fill="FFFFFF"/>
        </w:rPr>
        <w:t>Specifically</w:t>
      </w:r>
      <w:r w:rsidR="0086525E">
        <w:rPr>
          <w:rStyle w:val="sb8d990e2"/>
          <w:color w:val="000000"/>
          <w:shd w:val="clear" w:color="auto" w:fill="FFFFFF"/>
        </w:rPr>
        <w:t>,</w:t>
      </w:r>
      <w:r w:rsidR="00556296" w:rsidRPr="00536B77">
        <w:rPr>
          <w:rStyle w:val="sb8d990e2"/>
          <w:color w:val="000000"/>
          <w:shd w:val="clear" w:color="auto" w:fill="FFFFFF"/>
        </w:rPr>
        <w:t xml:space="preserve"> </w:t>
      </w:r>
      <w:r w:rsidR="0086525E" w:rsidRPr="00536B77">
        <w:rPr>
          <w:rStyle w:val="sb8d990e2"/>
          <w:color w:val="000000"/>
          <w:shd w:val="clear" w:color="auto" w:fill="FFFFFF"/>
        </w:rPr>
        <w:t>McGregor</w:t>
      </w:r>
      <w:r w:rsidR="0086525E" w:rsidRPr="00536B77" w:rsidDel="0086525E">
        <w:rPr>
          <w:rStyle w:val="sb8d990e2"/>
          <w:color w:val="000000"/>
          <w:shd w:val="clear" w:color="auto" w:fill="FFFFFF"/>
        </w:rPr>
        <w:t xml:space="preserve"> </w:t>
      </w:r>
      <w:r w:rsidR="00556296" w:rsidRPr="00536B77">
        <w:rPr>
          <w:rStyle w:val="sb8d990e2"/>
          <w:color w:val="000000"/>
          <w:shd w:val="clear" w:color="auto" w:fill="FFFFFF"/>
        </w:rPr>
        <w:t>noted</w:t>
      </w:r>
      <w:r w:rsidRPr="00536B77">
        <w:rPr>
          <w:rStyle w:val="sb8d990e2"/>
          <w:color w:val="000000"/>
          <w:shd w:val="clear" w:color="auto" w:fill="FFFFFF"/>
        </w:rPr>
        <w:t xml:space="preserve"> that the procedural immunity rule essentially trumps the substa</w:t>
      </w:r>
      <w:r w:rsidR="00F67F05" w:rsidRPr="00536B77">
        <w:rPr>
          <w:rStyle w:val="sb8d990e2"/>
          <w:color w:val="000000"/>
          <w:shd w:val="clear" w:color="auto" w:fill="FFFFFF"/>
        </w:rPr>
        <w:t>ntive human rights norm,</w:t>
      </w:r>
      <w:r w:rsidRPr="00536B77">
        <w:rPr>
          <w:rStyle w:val="sb8d990e2"/>
          <w:color w:val="000000"/>
          <w:shd w:val="clear" w:color="auto" w:fill="FFFFFF"/>
        </w:rPr>
        <w:t xml:space="preserve"> </w:t>
      </w:r>
      <w:r w:rsidR="00556296" w:rsidRPr="00536B77">
        <w:rPr>
          <w:rStyle w:val="sb8d990e2"/>
          <w:color w:val="000000"/>
          <w:shd w:val="clear" w:color="auto" w:fill="FFFFFF"/>
        </w:rPr>
        <w:t xml:space="preserve">and does so </w:t>
      </w:r>
      <w:r w:rsidRPr="00536B77">
        <w:rPr>
          <w:rStyle w:val="sb8d990e2"/>
          <w:color w:val="000000"/>
          <w:shd w:val="clear" w:color="auto" w:fill="FFFFFF"/>
        </w:rPr>
        <w:t>more o</w:t>
      </w:r>
      <w:r w:rsidR="00F67F05" w:rsidRPr="00536B77">
        <w:rPr>
          <w:rStyle w:val="sb8d990e2"/>
          <w:color w:val="000000"/>
          <w:shd w:val="clear" w:color="auto" w:fill="FFFFFF"/>
        </w:rPr>
        <w:t>ften than</w:t>
      </w:r>
      <w:r w:rsidRPr="00536B77">
        <w:rPr>
          <w:rStyle w:val="sb8d990e2"/>
          <w:color w:val="000000"/>
          <w:shd w:val="clear" w:color="auto" w:fill="FFFFFF"/>
        </w:rPr>
        <w:t xml:space="preserve"> not where no other rem</w:t>
      </w:r>
      <w:r w:rsidR="00556296" w:rsidRPr="00536B77">
        <w:rPr>
          <w:rStyle w:val="sb8d990e2"/>
          <w:color w:val="000000"/>
          <w:shd w:val="clear" w:color="auto" w:fill="FFFFFF"/>
        </w:rPr>
        <w:t xml:space="preserve">edy exists for the applicant. </w:t>
      </w:r>
      <w:r w:rsidR="007B5AC4" w:rsidRPr="00536B77">
        <w:rPr>
          <w:rStyle w:val="sb8d990e2"/>
          <w:color w:val="000000"/>
          <w:shd w:val="clear" w:color="auto" w:fill="FFFFFF"/>
        </w:rPr>
        <w:t xml:space="preserve"> </w:t>
      </w:r>
      <w:r w:rsidR="00556296" w:rsidRPr="00536B77">
        <w:rPr>
          <w:rStyle w:val="sb8d990e2"/>
          <w:color w:val="000000"/>
          <w:shd w:val="clear" w:color="auto" w:fill="FFFFFF"/>
        </w:rPr>
        <w:t>This effectively results</w:t>
      </w:r>
      <w:r w:rsidRPr="00536B77">
        <w:rPr>
          <w:rStyle w:val="sb8d990e2"/>
          <w:color w:val="000000"/>
          <w:shd w:val="clear" w:color="auto" w:fill="FFFFFF"/>
        </w:rPr>
        <w:t xml:space="preserve"> in </w:t>
      </w:r>
      <w:r w:rsidR="00556296" w:rsidRPr="00536B77">
        <w:rPr>
          <w:rStyle w:val="sb8d990e2"/>
          <w:color w:val="000000"/>
          <w:shd w:val="clear" w:color="auto" w:fill="FFFFFF"/>
        </w:rPr>
        <w:t xml:space="preserve">the vast majority of cases in </w:t>
      </w:r>
      <w:r w:rsidRPr="00536B77">
        <w:rPr>
          <w:rStyle w:val="sb8d990e2"/>
          <w:color w:val="000000"/>
          <w:shd w:val="clear" w:color="auto" w:fill="FFFFFF"/>
        </w:rPr>
        <w:t>a denial of justice.</w:t>
      </w:r>
      <w:r w:rsidR="007B5AC4" w:rsidRPr="00536B77">
        <w:rPr>
          <w:rStyle w:val="sb8d990e2"/>
          <w:color w:val="000000"/>
          <w:shd w:val="clear" w:color="auto" w:fill="FFFFFF"/>
        </w:rPr>
        <w:t xml:space="preserve"> </w:t>
      </w:r>
      <w:r w:rsidRPr="00536B77">
        <w:rPr>
          <w:rStyle w:val="sb8d990e2"/>
          <w:color w:val="000000"/>
          <w:shd w:val="clear" w:color="auto" w:fill="FFFFFF"/>
        </w:rPr>
        <w:t xml:space="preserve"> </w:t>
      </w:r>
      <w:r w:rsidR="00556296" w:rsidRPr="00536B77">
        <w:rPr>
          <w:rStyle w:val="sb8d990e2"/>
          <w:color w:val="000000"/>
          <w:shd w:val="clear" w:color="auto" w:fill="FFFFFF"/>
        </w:rPr>
        <w:t>Persuasive as this argument undoubtedly is</w:t>
      </w:r>
      <w:r w:rsidRPr="00536B77">
        <w:rPr>
          <w:rStyle w:val="sb8d990e2"/>
          <w:color w:val="000000"/>
          <w:shd w:val="clear" w:color="auto" w:fill="FFFFFF"/>
        </w:rPr>
        <w:t xml:space="preserve">, it is worth noting that many other procedural rules will have the same effect in situations </w:t>
      </w:r>
      <w:r w:rsidR="00556296" w:rsidRPr="00536B77">
        <w:rPr>
          <w:rStyle w:val="sb8d990e2"/>
          <w:color w:val="000000"/>
          <w:shd w:val="clear" w:color="auto" w:fill="FFFFFF"/>
        </w:rPr>
        <w:t xml:space="preserve">where the procedural rules </w:t>
      </w:r>
      <w:r w:rsidR="00F45693">
        <w:rPr>
          <w:rStyle w:val="sb8d990e2"/>
          <w:color w:val="000000"/>
          <w:shd w:val="clear" w:color="auto" w:fill="FFFFFF"/>
        </w:rPr>
        <w:t>are</w:t>
      </w:r>
      <w:r w:rsidR="00556296" w:rsidRPr="00536B77">
        <w:rPr>
          <w:rStyle w:val="sb8d990e2"/>
          <w:color w:val="000000"/>
          <w:shd w:val="clear" w:color="auto" w:fill="FFFFFF"/>
        </w:rPr>
        <w:t xml:space="preserve"> </w:t>
      </w:r>
      <w:r w:rsidRPr="00536B77">
        <w:rPr>
          <w:rStyle w:val="sb8d990e2"/>
          <w:color w:val="000000"/>
          <w:shd w:val="clear" w:color="auto" w:fill="FFFFFF"/>
        </w:rPr>
        <w:t>often disparagingly described as legal</w:t>
      </w:r>
      <w:r w:rsidR="00556296" w:rsidRPr="00536B77">
        <w:rPr>
          <w:rStyle w:val="sb8d990e2"/>
          <w:color w:val="000000"/>
          <w:shd w:val="clear" w:color="auto" w:fill="FFFFFF"/>
        </w:rPr>
        <w:t xml:space="preserve"> technicalities.</w:t>
      </w:r>
      <w:r w:rsidR="00301435" w:rsidDel="00301435">
        <w:rPr>
          <w:rStyle w:val="FootnoteReference"/>
          <w:color w:val="000000"/>
          <w:shd w:val="clear" w:color="auto" w:fill="FFFFFF"/>
        </w:rPr>
        <w:t xml:space="preserve"> </w:t>
      </w:r>
      <w:r w:rsidR="0086525E">
        <w:rPr>
          <w:rStyle w:val="CommentReference"/>
        </w:rPr>
        <w:commentReference w:id="24"/>
      </w:r>
      <w:r w:rsidR="00556296" w:rsidRPr="00536B77">
        <w:rPr>
          <w:rStyle w:val="sb8d990e2"/>
          <w:color w:val="000000"/>
          <w:shd w:val="clear" w:color="auto" w:fill="FFFFFF"/>
        </w:rPr>
        <w:t xml:space="preserve"> </w:t>
      </w:r>
      <w:r w:rsidR="007B5AC4" w:rsidRPr="00536B77">
        <w:rPr>
          <w:rStyle w:val="sb8d990e2"/>
          <w:color w:val="000000"/>
          <w:shd w:val="clear" w:color="auto" w:fill="FFFFFF"/>
        </w:rPr>
        <w:t xml:space="preserve"> </w:t>
      </w:r>
      <w:r w:rsidR="00556296" w:rsidRPr="00536B77">
        <w:rPr>
          <w:rStyle w:val="sb8d990e2"/>
          <w:color w:val="000000"/>
          <w:shd w:val="clear" w:color="auto" w:fill="FFFFFF"/>
        </w:rPr>
        <w:t>For example, i</w:t>
      </w:r>
      <w:r w:rsidRPr="00536B77">
        <w:rPr>
          <w:rStyle w:val="sb8d990e2"/>
          <w:color w:val="000000"/>
          <w:shd w:val="clear" w:color="auto" w:fill="FFFFFF"/>
        </w:rPr>
        <w:t xml:space="preserve">n </w:t>
      </w:r>
      <w:r w:rsidRPr="00536B77">
        <w:rPr>
          <w:rStyle w:val="sb8d990e2"/>
          <w:i/>
          <w:color w:val="000000"/>
          <w:shd w:val="clear" w:color="auto" w:fill="FFFFFF"/>
        </w:rPr>
        <w:t>Jones</w:t>
      </w:r>
      <w:r w:rsidR="00556296" w:rsidRPr="00536B77">
        <w:rPr>
          <w:rStyle w:val="sb8d990e2"/>
          <w:color w:val="000000"/>
          <w:shd w:val="clear" w:color="auto" w:fill="FFFFFF"/>
        </w:rPr>
        <w:t xml:space="preserve">, the </w:t>
      </w:r>
      <w:r w:rsidRPr="00536B77">
        <w:rPr>
          <w:rStyle w:val="sb8d990e2"/>
          <w:color w:val="000000"/>
          <w:shd w:val="clear" w:color="auto" w:fill="FFFFFF"/>
        </w:rPr>
        <w:t xml:space="preserve">torture of Jones and </w:t>
      </w:r>
      <w:r w:rsidR="00F45693">
        <w:rPr>
          <w:rStyle w:val="sb8d990e2"/>
          <w:color w:val="000000"/>
          <w:shd w:val="clear" w:color="auto" w:fill="FFFFFF"/>
        </w:rPr>
        <w:t>h</w:t>
      </w:r>
      <w:r w:rsidRPr="00536B77">
        <w:rPr>
          <w:rStyle w:val="sb8d990e2"/>
          <w:color w:val="000000"/>
          <w:shd w:val="clear" w:color="auto" w:fill="FFFFFF"/>
        </w:rPr>
        <w:t>is fellow applicants is unlikely to have been isolated and probably occurred as part of a regime of mistreatment and torture of prisoners in gaols across Saudi Arabia.</w:t>
      </w:r>
      <w:r w:rsidR="007B5AC4" w:rsidRPr="00536B77">
        <w:rPr>
          <w:rStyle w:val="sb8d990e2"/>
          <w:color w:val="000000"/>
          <w:shd w:val="clear" w:color="auto" w:fill="FFFFFF"/>
        </w:rPr>
        <w:t xml:space="preserve"> </w:t>
      </w:r>
      <w:r w:rsidRPr="00536B77">
        <w:rPr>
          <w:rStyle w:val="sb8d990e2"/>
          <w:color w:val="000000"/>
          <w:shd w:val="clear" w:color="auto" w:fill="FFFFFF"/>
        </w:rPr>
        <w:t xml:space="preserve"> Nevertheless, Saudi </w:t>
      </w:r>
      <w:r w:rsidR="00F67F05" w:rsidRPr="00536B77">
        <w:rPr>
          <w:rStyle w:val="sb8d990e2"/>
          <w:color w:val="000000"/>
          <w:shd w:val="clear" w:color="auto" w:fill="FFFFFF"/>
        </w:rPr>
        <w:t>nationals subjected to the same or similar appalling treatment would not be entitled to bring a claim before</w:t>
      </w:r>
      <w:r w:rsidR="00C67FB5" w:rsidRPr="00536B77">
        <w:rPr>
          <w:rStyle w:val="sb8d990e2"/>
          <w:color w:val="000000"/>
          <w:shd w:val="clear" w:color="auto" w:fill="FFFFFF"/>
        </w:rPr>
        <w:t xml:space="preserve"> British courts on the basis of which might be described as a similarly formalistic procedural issue, specifically, the lack of jurisdiction. </w:t>
      </w:r>
      <w:r w:rsidR="007B5AC4" w:rsidRPr="00536B77">
        <w:rPr>
          <w:rStyle w:val="sb8d990e2"/>
          <w:color w:val="000000"/>
          <w:shd w:val="clear" w:color="auto" w:fill="FFFFFF"/>
        </w:rPr>
        <w:t xml:space="preserve"> This</w:t>
      </w:r>
      <w:r w:rsidR="00C67FB5" w:rsidRPr="00536B77">
        <w:rPr>
          <w:rStyle w:val="sb8d990e2"/>
          <w:color w:val="000000"/>
          <w:shd w:val="clear" w:color="auto" w:fill="FFFFFF"/>
        </w:rPr>
        <w:t xml:space="preserve"> might seem to be a rather extreme example.</w:t>
      </w:r>
      <w:r w:rsidR="007B5AC4" w:rsidRPr="00536B77">
        <w:rPr>
          <w:rStyle w:val="sb8d990e2"/>
          <w:color w:val="000000"/>
          <w:shd w:val="clear" w:color="auto" w:fill="FFFFFF"/>
        </w:rPr>
        <w:t xml:space="preserve"> </w:t>
      </w:r>
      <w:r w:rsidR="00C67FB5" w:rsidRPr="00536B77">
        <w:rPr>
          <w:rStyle w:val="sb8d990e2"/>
          <w:color w:val="000000"/>
          <w:shd w:val="clear" w:color="auto" w:fill="FFFFFF"/>
        </w:rPr>
        <w:t xml:space="preserve"> However, the point is that procedural matters should not simply be condemned as overly formalistic.</w:t>
      </w:r>
      <w:r w:rsidR="007B5AC4" w:rsidRPr="00536B77">
        <w:rPr>
          <w:rStyle w:val="sb8d990e2"/>
          <w:color w:val="000000"/>
          <w:shd w:val="clear" w:color="auto" w:fill="FFFFFF"/>
        </w:rPr>
        <w:t xml:space="preserve"> </w:t>
      </w:r>
      <w:r w:rsidR="00C67FB5" w:rsidRPr="00536B77">
        <w:rPr>
          <w:rStyle w:val="sb8d990e2"/>
          <w:color w:val="000000"/>
          <w:shd w:val="clear" w:color="auto" w:fill="FFFFFF"/>
        </w:rPr>
        <w:t xml:space="preserve"> </w:t>
      </w:r>
      <w:commentRangeStart w:id="25"/>
      <w:r w:rsidR="00C67FB5" w:rsidRPr="00536B77">
        <w:rPr>
          <w:rStyle w:val="sb8d990e2"/>
          <w:color w:val="000000"/>
          <w:shd w:val="clear" w:color="auto" w:fill="FFFFFF"/>
        </w:rPr>
        <w:t xml:space="preserve">As </w:t>
      </w:r>
      <w:r w:rsidR="0086525E">
        <w:rPr>
          <w:rStyle w:val="sb8d990e2"/>
          <w:color w:val="000000"/>
          <w:shd w:val="clear" w:color="auto" w:fill="FFFFFF"/>
        </w:rPr>
        <w:t>Sandy</w:t>
      </w:r>
      <w:r w:rsidR="0086525E" w:rsidRPr="00536B77">
        <w:rPr>
          <w:rStyle w:val="sb8d990e2"/>
          <w:color w:val="000000"/>
          <w:shd w:val="clear" w:color="auto" w:fill="FFFFFF"/>
        </w:rPr>
        <w:t xml:space="preserve"> </w:t>
      </w:r>
      <w:r w:rsidR="00C67FB5" w:rsidRPr="00536B77">
        <w:rPr>
          <w:rStyle w:val="sb8d990e2"/>
          <w:color w:val="000000"/>
          <w:shd w:val="clear" w:color="auto" w:fill="FFFFFF"/>
        </w:rPr>
        <w:t>Ghandhi has long argued, they are an integral part of every legal process.</w:t>
      </w:r>
      <w:commentRangeEnd w:id="25"/>
      <w:r w:rsidR="0086525E">
        <w:rPr>
          <w:rStyle w:val="CommentReference"/>
        </w:rPr>
        <w:commentReference w:id="25"/>
      </w:r>
      <w:r w:rsidR="007A49A2">
        <w:rPr>
          <w:rStyle w:val="FootnoteReference"/>
          <w:color w:val="000000"/>
          <w:shd w:val="clear" w:color="auto" w:fill="FFFFFF"/>
        </w:rPr>
        <w:footnoteReference w:id="57"/>
      </w:r>
    </w:p>
    <w:p w14:paraId="7FFD1358" w14:textId="44347BB6" w:rsidR="009D38AD" w:rsidRPr="00536B77" w:rsidRDefault="007B5AC4" w:rsidP="00536B77">
      <w:pPr>
        <w:spacing w:line="480" w:lineRule="auto"/>
        <w:rPr>
          <w:rStyle w:val="sb8d990e2"/>
          <w:b/>
          <w:color w:val="000000"/>
          <w:shd w:val="clear" w:color="auto" w:fill="FFFFFF"/>
        </w:rPr>
      </w:pPr>
      <w:r w:rsidRPr="00536B77">
        <w:rPr>
          <w:rStyle w:val="sb8d990e2"/>
          <w:b/>
          <w:color w:val="000000"/>
          <w:shd w:val="clear" w:color="auto" w:fill="FFFFFF"/>
        </w:rPr>
        <w:t>V</w:t>
      </w:r>
      <w:r w:rsidR="00556296" w:rsidRPr="00536B77">
        <w:rPr>
          <w:rStyle w:val="sb8d990e2"/>
          <w:b/>
          <w:color w:val="000000"/>
          <w:shd w:val="clear" w:color="auto" w:fill="FFFFFF"/>
        </w:rPr>
        <w:t>.</w:t>
      </w:r>
      <w:r w:rsidRPr="00536B77">
        <w:rPr>
          <w:rStyle w:val="sb8d990e2"/>
          <w:b/>
          <w:color w:val="000000"/>
          <w:shd w:val="clear" w:color="auto" w:fill="FFFFFF"/>
        </w:rPr>
        <w:t>)</w:t>
      </w:r>
      <w:r w:rsidR="00556296" w:rsidRPr="00536B77">
        <w:rPr>
          <w:rStyle w:val="sb8d990e2"/>
          <w:b/>
          <w:color w:val="000000"/>
          <w:shd w:val="clear" w:color="auto" w:fill="FFFFFF"/>
        </w:rPr>
        <w:t xml:space="preserve"> </w:t>
      </w:r>
      <w:commentRangeStart w:id="26"/>
      <w:r w:rsidR="00C67FB5" w:rsidRPr="00536B77">
        <w:rPr>
          <w:rStyle w:val="sb8d990e2"/>
          <w:b/>
          <w:color w:val="000000"/>
          <w:shd w:val="clear" w:color="auto" w:fill="FFFFFF"/>
        </w:rPr>
        <w:t>Immunity and Human Rights in International Courts</w:t>
      </w:r>
      <w:commentRangeEnd w:id="26"/>
      <w:r w:rsidR="004473E1">
        <w:rPr>
          <w:rStyle w:val="CommentReference"/>
        </w:rPr>
        <w:commentReference w:id="26"/>
      </w:r>
    </w:p>
    <w:p w14:paraId="2ADC1E4A" w14:textId="2C7AC8BD" w:rsidR="00C67FB5" w:rsidRPr="00536B77" w:rsidRDefault="00C67FB5" w:rsidP="00536B77">
      <w:pPr>
        <w:spacing w:line="480" w:lineRule="auto"/>
        <w:rPr>
          <w:rStyle w:val="sb8d990e2"/>
          <w:color w:val="000000"/>
          <w:shd w:val="clear" w:color="auto" w:fill="FFFFFF"/>
        </w:rPr>
      </w:pPr>
      <w:r w:rsidRPr="00536B77">
        <w:rPr>
          <w:rStyle w:val="sb8d990e2"/>
          <w:color w:val="000000"/>
          <w:shd w:val="clear" w:color="auto" w:fill="FFFFFF"/>
        </w:rPr>
        <w:t xml:space="preserve">Reference has already been made to the, admittedly rather narrow, decision of the European Court of Human Rights in </w:t>
      </w:r>
      <w:r w:rsidRPr="00536B77">
        <w:rPr>
          <w:rStyle w:val="sb8d990e2"/>
          <w:i/>
          <w:color w:val="000000"/>
          <w:shd w:val="clear" w:color="auto" w:fill="FFFFFF"/>
        </w:rPr>
        <w:t>Al-Adsani v</w:t>
      </w:r>
      <w:r w:rsidR="0086525E">
        <w:rPr>
          <w:rStyle w:val="sb8d990e2"/>
          <w:i/>
          <w:color w:val="000000"/>
          <w:shd w:val="clear" w:color="auto" w:fill="FFFFFF"/>
        </w:rPr>
        <w:t>.</w:t>
      </w:r>
      <w:r w:rsidRPr="00536B77">
        <w:rPr>
          <w:rStyle w:val="sb8d990e2"/>
          <w:i/>
          <w:color w:val="000000"/>
          <w:shd w:val="clear" w:color="auto" w:fill="FFFFFF"/>
        </w:rPr>
        <w:t xml:space="preserve"> United Kingdom</w:t>
      </w:r>
      <w:r w:rsidRPr="00536B77">
        <w:rPr>
          <w:rStyle w:val="sb8d990e2"/>
          <w:color w:val="000000"/>
          <w:shd w:val="clear" w:color="auto" w:fill="FFFFFF"/>
        </w:rPr>
        <w:t xml:space="preserve">. </w:t>
      </w:r>
      <w:r w:rsidR="007B5AC4" w:rsidRPr="00536B77">
        <w:rPr>
          <w:rStyle w:val="sb8d990e2"/>
          <w:color w:val="000000"/>
          <w:shd w:val="clear" w:color="auto" w:fill="FFFFFF"/>
        </w:rPr>
        <w:t xml:space="preserve"> </w:t>
      </w:r>
      <w:r w:rsidRPr="00536B77">
        <w:rPr>
          <w:rStyle w:val="sb8d990e2"/>
          <w:color w:val="000000"/>
          <w:shd w:val="clear" w:color="auto" w:fill="FFFFFF"/>
        </w:rPr>
        <w:t>Th</w:t>
      </w:r>
      <w:r w:rsidR="00556296" w:rsidRPr="00536B77">
        <w:rPr>
          <w:rStyle w:val="sb8d990e2"/>
          <w:color w:val="000000"/>
          <w:shd w:val="clear" w:color="auto" w:fill="FFFFFF"/>
        </w:rPr>
        <w:t xml:space="preserve">at decision was </w:t>
      </w:r>
      <w:r w:rsidRPr="00536B77">
        <w:rPr>
          <w:rStyle w:val="sb8d990e2"/>
          <w:color w:val="000000"/>
          <w:shd w:val="clear" w:color="auto" w:fill="FFFFFF"/>
        </w:rPr>
        <w:t xml:space="preserve">effectively upheld by the same </w:t>
      </w:r>
      <w:r w:rsidR="00F45693">
        <w:rPr>
          <w:rStyle w:val="sb8d990e2"/>
          <w:color w:val="000000"/>
          <w:shd w:val="clear" w:color="auto" w:fill="FFFFFF"/>
        </w:rPr>
        <w:t xml:space="preserve">court </w:t>
      </w:r>
      <w:r w:rsidRPr="00536B77">
        <w:rPr>
          <w:rStyle w:val="sb8d990e2"/>
          <w:color w:val="000000"/>
          <w:shd w:val="clear" w:color="auto" w:fill="FFFFFF"/>
        </w:rPr>
        <w:t xml:space="preserve">on 14 January 2014 when it delivered its long awaited judgment in </w:t>
      </w:r>
      <w:r w:rsidRPr="00536B77">
        <w:rPr>
          <w:rStyle w:val="sb8d990e2"/>
          <w:color w:val="000000"/>
          <w:shd w:val="clear" w:color="auto" w:fill="FFFFFF"/>
        </w:rPr>
        <w:lastRenderedPageBreak/>
        <w:t xml:space="preserve">the </w:t>
      </w:r>
      <w:r w:rsidRPr="00536B77">
        <w:rPr>
          <w:rStyle w:val="sb8d990e2"/>
          <w:i/>
          <w:color w:val="000000"/>
          <w:shd w:val="clear" w:color="auto" w:fill="FFFFFF"/>
        </w:rPr>
        <w:t>Jones and others v</w:t>
      </w:r>
      <w:r w:rsidR="0086525E">
        <w:rPr>
          <w:rStyle w:val="sb8d990e2"/>
          <w:i/>
          <w:color w:val="000000"/>
          <w:shd w:val="clear" w:color="auto" w:fill="FFFFFF"/>
        </w:rPr>
        <w:t>.</w:t>
      </w:r>
      <w:r w:rsidRPr="00536B77">
        <w:rPr>
          <w:rStyle w:val="sb8d990e2"/>
          <w:i/>
          <w:color w:val="000000"/>
          <w:shd w:val="clear" w:color="auto" w:fill="FFFFFF"/>
        </w:rPr>
        <w:t xml:space="preserve"> United Kingdom</w:t>
      </w:r>
      <w:r w:rsidRPr="008F77DD">
        <w:rPr>
          <w:rStyle w:val="sb8d990e2"/>
          <w:color w:val="000000"/>
          <w:shd w:val="clear" w:color="auto" w:fill="FFFFFF"/>
        </w:rPr>
        <w:t>,</w:t>
      </w:r>
      <w:commentRangeStart w:id="27"/>
      <w:r w:rsidR="004473E1">
        <w:rPr>
          <w:rStyle w:val="FootnoteReference"/>
          <w:color w:val="000000"/>
          <w:shd w:val="clear" w:color="auto" w:fill="FFFFFF"/>
        </w:rPr>
        <w:footnoteReference w:id="58"/>
      </w:r>
      <w:commentRangeEnd w:id="27"/>
      <w:r w:rsidR="004473E1">
        <w:rPr>
          <w:rStyle w:val="CommentReference"/>
        </w:rPr>
        <w:commentReference w:id="27"/>
      </w:r>
      <w:r w:rsidRPr="00536B77">
        <w:rPr>
          <w:rStyle w:val="sb8d990e2"/>
          <w:i/>
          <w:color w:val="000000"/>
          <w:shd w:val="clear" w:color="auto" w:fill="FFFFFF"/>
        </w:rPr>
        <w:t xml:space="preserve"> </w:t>
      </w:r>
      <w:r w:rsidRPr="00536B77">
        <w:rPr>
          <w:rStyle w:val="sb8d990e2"/>
          <w:color w:val="000000"/>
          <w:shd w:val="clear" w:color="auto" w:fill="FFFFFF"/>
        </w:rPr>
        <w:t xml:space="preserve">which was an application submitted as a result of the decision of the House of Lords in </w:t>
      </w:r>
      <w:r w:rsidRPr="00536B77">
        <w:rPr>
          <w:rStyle w:val="sb8d990e2"/>
          <w:i/>
          <w:color w:val="000000"/>
          <w:shd w:val="clear" w:color="auto" w:fill="FFFFFF"/>
        </w:rPr>
        <w:t>Jones v</w:t>
      </w:r>
      <w:r w:rsidR="004473E1">
        <w:rPr>
          <w:rStyle w:val="sb8d990e2"/>
          <w:i/>
          <w:color w:val="000000"/>
          <w:shd w:val="clear" w:color="auto" w:fill="FFFFFF"/>
        </w:rPr>
        <w:t>.</w:t>
      </w:r>
      <w:r w:rsidRPr="00536B77">
        <w:rPr>
          <w:rStyle w:val="sb8d990e2"/>
          <w:i/>
          <w:color w:val="000000"/>
          <w:shd w:val="clear" w:color="auto" w:fill="FFFFFF"/>
        </w:rPr>
        <w:t xml:space="preserve"> Saudi Arabia</w:t>
      </w:r>
      <w:r w:rsidRPr="00536B77">
        <w:rPr>
          <w:rStyle w:val="sb8d990e2"/>
          <w:color w:val="000000"/>
          <w:shd w:val="clear" w:color="auto" w:fill="FFFFFF"/>
        </w:rPr>
        <w:t xml:space="preserve">. </w:t>
      </w:r>
      <w:r w:rsidR="007B5AC4" w:rsidRPr="00536B77">
        <w:rPr>
          <w:rStyle w:val="sb8d990e2"/>
          <w:color w:val="000000"/>
          <w:shd w:val="clear" w:color="auto" w:fill="FFFFFF"/>
        </w:rPr>
        <w:t xml:space="preserve"> </w:t>
      </w:r>
      <w:r w:rsidRPr="00536B77">
        <w:rPr>
          <w:rStyle w:val="sb8d990e2"/>
          <w:color w:val="000000"/>
          <w:shd w:val="clear" w:color="auto" w:fill="FFFFFF"/>
        </w:rPr>
        <w:t xml:space="preserve">A Chamber of the ECtHR, by a majority of six to one, upheld the decision of the House of Lords to grant immunity to the Kingdom of Saudi Arabia and to certain of its officials in civil proceedings on the basis that immunity was a generally recognised rule of public international law. </w:t>
      </w:r>
      <w:r w:rsidR="007B5AC4" w:rsidRPr="00536B77">
        <w:rPr>
          <w:rStyle w:val="sb8d990e2"/>
          <w:color w:val="000000"/>
          <w:shd w:val="clear" w:color="auto" w:fill="FFFFFF"/>
        </w:rPr>
        <w:t xml:space="preserve"> </w:t>
      </w:r>
      <w:r w:rsidRPr="00536B77">
        <w:rPr>
          <w:rStyle w:val="sb8d990e2"/>
          <w:color w:val="000000"/>
          <w:shd w:val="clear" w:color="auto" w:fill="FFFFFF"/>
        </w:rPr>
        <w:t>Immunity therefore did not contravene Article 6(1) of the European Convention on Human Rights.</w:t>
      </w:r>
      <w:r w:rsidR="007B5AC4" w:rsidRPr="00536B77">
        <w:rPr>
          <w:rStyle w:val="sb8d990e2"/>
          <w:color w:val="000000"/>
          <w:shd w:val="clear" w:color="auto" w:fill="FFFFFF"/>
        </w:rPr>
        <w:t xml:space="preserve"> </w:t>
      </w:r>
      <w:r w:rsidRPr="00536B77">
        <w:rPr>
          <w:rStyle w:val="sb8d990e2"/>
          <w:color w:val="000000"/>
          <w:shd w:val="clear" w:color="auto" w:fill="FFFFFF"/>
        </w:rPr>
        <w:t xml:space="preserve"> Furthermore, according to the Court, the immunity of the </w:t>
      </w:r>
      <w:r w:rsidR="000F6A9C" w:rsidRPr="00536B77">
        <w:rPr>
          <w:rStyle w:val="sb8d990e2"/>
          <w:color w:val="000000"/>
          <w:shd w:val="clear" w:color="auto" w:fill="FFFFFF"/>
        </w:rPr>
        <w:t>State</w:t>
      </w:r>
      <w:r w:rsidRPr="00536B77">
        <w:rPr>
          <w:rStyle w:val="sb8d990e2"/>
          <w:color w:val="000000"/>
          <w:shd w:val="clear" w:color="auto" w:fill="FFFFFF"/>
        </w:rPr>
        <w:t xml:space="preserve"> could not be circumvented by suing </w:t>
      </w:r>
      <w:r w:rsidR="00556296" w:rsidRPr="00536B77">
        <w:rPr>
          <w:rStyle w:val="sb8d990e2"/>
          <w:color w:val="000000"/>
          <w:shd w:val="clear" w:color="auto" w:fill="FFFFFF"/>
        </w:rPr>
        <w:t>that State’s</w:t>
      </w:r>
      <w:r w:rsidRPr="00536B77">
        <w:rPr>
          <w:rStyle w:val="sb8d990e2"/>
          <w:color w:val="000000"/>
          <w:shd w:val="clear" w:color="auto" w:fill="FFFFFF"/>
        </w:rPr>
        <w:t xml:space="preserve"> officials.</w:t>
      </w:r>
    </w:p>
    <w:p w14:paraId="5982D885" w14:textId="7DF49C5D" w:rsidR="000738E1" w:rsidRPr="00536B77" w:rsidRDefault="007B5AC4" w:rsidP="00536B77">
      <w:pPr>
        <w:spacing w:line="480" w:lineRule="auto"/>
        <w:ind w:firstLine="720"/>
        <w:rPr>
          <w:rStyle w:val="sb8d990e2"/>
          <w:color w:val="000000"/>
          <w:shd w:val="clear" w:color="auto" w:fill="FFFFFF"/>
        </w:rPr>
      </w:pPr>
      <w:r w:rsidRPr="00536B77">
        <w:rPr>
          <w:rStyle w:val="sb8d990e2"/>
          <w:color w:val="000000"/>
          <w:shd w:val="clear" w:color="auto" w:fill="FFFFFF"/>
        </w:rPr>
        <w:t xml:space="preserve">Since </w:t>
      </w:r>
      <w:r w:rsidRPr="008F77DD">
        <w:rPr>
          <w:rStyle w:val="sb8d990e2"/>
          <w:i/>
          <w:color w:val="000000"/>
          <w:shd w:val="clear" w:color="auto" w:fill="FFFFFF"/>
        </w:rPr>
        <w:t>Pinochet</w:t>
      </w:r>
      <w:r w:rsidRPr="00536B77">
        <w:rPr>
          <w:rStyle w:val="sb8d990e2"/>
          <w:color w:val="000000"/>
          <w:shd w:val="clear" w:color="auto" w:fill="FFFFFF"/>
        </w:rPr>
        <w:t xml:space="preserve">, in addition to the European Court of Human Rights, the issue of the extent of the immunity from jurisdiction of States and State officials from the domestic courts of foreign courts has been considered by </w:t>
      </w:r>
      <w:r w:rsidR="000738E1" w:rsidRPr="00536B77">
        <w:rPr>
          <w:rStyle w:val="sb8d990e2"/>
          <w:color w:val="000000"/>
          <w:shd w:val="clear" w:color="auto" w:fill="FFFFFF"/>
        </w:rPr>
        <w:t xml:space="preserve">the </w:t>
      </w:r>
      <w:r w:rsidR="0098341E">
        <w:rPr>
          <w:rStyle w:val="sb8d990e2"/>
          <w:color w:val="000000"/>
          <w:shd w:val="clear" w:color="auto" w:fill="FFFFFF"/>
        </w:rPr>
        <w:t>ICJ</w:t>
      </w:r>
      <w:r w:rsidR="000738E1" w:rsidRPr="00536B77">
        <w:rPr>
          <w:rStyle w:val="sb8d990e2"/>
          <w:color w:val="000000"/>
          <w:shd w:val="clear" w:color="auto" w:fill="FFFFFF"/>
        </w:rPr>
        <w:t xml:space="preserve"> </w:t>
      </w:r>
      <w:r w:rsidRPr="00536B77">
        <w:rPr>
          <w:rStyle w:val="sb8d990e2"/>
          <w:color w:val="000000"/>
          <w:shd w:val="clear" w:color="auto" w:fill="FFFFFF"/>
        </w:rPr>
        <w:t>on at least two occasions</w:t>
      </w:r>
      <w:r w:rsidR="0012062E" w:rsidRPr="00536B77">
        <w:rPr>
          <w:rStyle w:val="sb8d990e2"/>
          <w:color w:val="000000"/>
          <w:shd w:val="clear" w:color="auto" w:fill="FFFFFF"/>
        </w:rPr>
        <w:t xml:space="preserve">. </w:t>
      </w:r>
      <w:r w:rsidRPr="00536B77">
        <w:rPr>
          <w:rStyle w:val="sb8d990e2"/>
          <w:color w:val="000000"/>
          <w:shd w:val="clear" w:color="auto" w:fill="FFFFFF"/>
        </w:rPr>
        <w:t xml:space="preserve"> </w:t>
      </w:r>
      <w:r w:rsidR="0012062E" w:rsidRPr="00536B77">
        <w:rPr>
          <w:rStyle w:val="sb8d990e2"/>
          <w:color w:val="000000"/>
          <w:shd w:val="clear" w:color="auto" w:fill="FFFFFF"/>
        </w:rPr>
        <w:t xml:space="preserve">The </w:t>
      </w:r>
      <w:r w:rsidR="0012062E" w:rsidRPr="00536B77">
        <w:rPr>
          <w:rStyle w:val="sb8d990e2"/>
          <w:i/>
          <w:color w:val="000000"/>
          <w:shd w:val="clear" w:color="auto" w:fill="FFFFFF"/>
        </w:rPr>
        <w:t>Arrest Warrant Case</w:t>
      </w:r>
      <w:r w:rsidR="00F2235B" w:rsidRPr="00F2235B">
        <w:rPr>
          <w:rStyle w:val="FootnoteReference"/>
          <w:color w:val="000000"/>
          <w:shd w:val="clear" w:color="auto" w:fill="FFFFFF"/>
        </w:rPr>
        <w:footnoteReference w:id="59"/>
      </w:r>
      <w:r w:rsidR="0012062E" w:rsidRPr="00536B77">
        <w:rPr>
          <w:rStyle w:val="sb8d990e2"/>
          <w:color w:val="000000"/>
          <w:shd w:val="clear" w:color="auto" w:fill="FFFFFF"/>
        </w:rPr>
        <w:t xml:space="preserve"> concerned the validity of an arrest warrant issued </w:t>
      </w:r>
      <w:r w:rsidRPr="00536B77">
        <w:rPr>
          <w:rStyle w:val="sb8d990e2"/>
          <w:color w:val="000000"/>
          <w:shd w:val="clear" w:color="auto" w:fill="FFFFFF"/>
        </w:rPr>
        <w:t xml:space="preserve">by Belgium </w:t>
      </w:r>
      <w:r w:rsidR="0012062E" w:rsidRPr="00536B77">
        <w:rPr>
          <w:rStyle w:val="sb8d990e2"/>
          <w:color w:val="000000"/>
          <w:shd w:val="clear" w:color="auto" w:fill="FFFFFF"/>
        </w:rPr>
        <w:t>against Abdoulave Yerodia Ndombasi, the serving Minister of Foreign Affairs for the Democratic Republic of the Congo.</w:t>
      </w:r>
      <w:r w:rsidRPr="00536B77">
        <w:rPr>
          <w:rStyle w:val="sb8d990e2"/>
          <w:color w:val="000000"/>
          <w:shd w:val="clear" w:color="auto" w:fill="FFFFFF"/>
        </w:rPr>
        <w:t xml:space="preserve"> </w:t>
      </w:r>
      <w:r w:rsidR="0012062E" w:rsidRPr="00536B77">
        <w:rPr>
          <w:rStyle w:val="sb8d990e2"/>
          <w:color w:val="000000"/>
          <w:shd w:val="clear" w:color="auto" w:fill="FFFFFF"/>
        </w:rPr>
        <w:t xml:space="preserve"> The arrest warrant sought Yerodia’s detention and extradition to Belgium as a result of his alleged violations of international humanitarian law. </w:t>
      </w:r>
      <w:r w:rsidRPr="00536B77">
        <w:rPr>
          <w:rStyle w:val="sb8d990e2"/>
          <w:color w:val="000000"/>
          <w:shd w:val="clear" w:color="auto" w:fill="FFFFFF"/>
        </w:rPr>
        <w:t xml:space="preserve"> </w:t>
      </w:r>
      <w:r w:rsidR="0012062E" w:rsidRPr="00536B77">
        <w:rPr>
          <w:rStyle w:val="sb8d990e2"/>
          <w:color w:val="000000"/>
          <w:shd w:val="clear" w:color="auto" w:fill="FFFFFF"/>
        </w:rPr>
        <w:t>The DRC claimed that Belgium had violated its sovereig</w:t>
      </w:r>
      <w:r w:rsidRPr="00536B77">
        <w:rPr>
          <w:rStyle w:val="sb8d990e2"/>
          <w:color w:val="000000"/>
          <w:shd w:val="clear" w:color="auto" w:fill="FFFFFF"/>
        </w:rPr>
        <w:t xml:space="preserve">nty and that it </w:t>
      </w:r>
      <w:r w:rsidR="004473E1">
        <w:rPr>
          <w:rStyle w:val="sb8d990e2"/>
          <w:color w:val="000000"/>
          <w:shd w:val="clear" w:color="auto" w:fill="FFFFFF"/>
        </w:rPr>
        <w:t>was in breach of</w:t>
      </w:r>
      <w:r w:rsidR="004473E1" w:rsidRPr="00536B77">
        <w:rPr>
          <w:rStyle w:val="sb8d990e2"/>
          <w:color w:val="000000"/>
          <w:shd w:val="clear" w:color="auto" w:fill="FFFFFF"/>
        </w:rPr>
        <w:t xml:space="preserve"> </w:t>
      </w:r>
      <w:r w:rsidR="0012062E" w:rsidRPr="00536B77">
        <w:rPr>
          <w:rStyle w:val="sb8d990e2"/>
          <w:color w:val="000000"/>
          <w:shd w:val="clear" w:color="auto" w:fill="FFFFFF"/>
        </w:rPr>
        <w:t xml:space="preserve">international law relating to immunity from jurisdiction. </w:t>
      </w:r>
      <w:r w:rsidRPr="00536B77">
        <w:rPr>
          <w:rStyle w:val="sb8d990e2"/>
          <w:color w:val="000000"/>
          <w:shd w:val="clear" w:color="auto" w:fill="FFFFFF"/>
        </w:rPr>
        <w:t xml:space="preserve"> </w:t>
      </w:r>
      <w:r w:rsidR="0012062E" w:rsidRPr="00536B77">
        <w:rPr>
          <w:rStyle w:val="sb8d990e2"/>
          <w:color w:val="000000"/>
          <w:shd w:val="clear" w:color="auto" w:fill="FFFFFF"/>
        </w:rPr>
        <w:t xml:space="preserve">Most notably for present purposes, </w:t>
      </w:r>
      <w:r w:rsidR="004473E1">
        <w:rPr>
          <w:rStyle w:val="sb8d990e2"/>
          <w:color w:val="000000"/>
          <w:shd w:val="clear" w:color="auto" w:fill="FFFFFF"/>
        </w:rPr>
        <w:t>Belgium,</w:t>
      </w:r>
      <w:r w:rsidR="0012062E" w:rsidRPr="00536B77">
        <w:rPr>
          <w:rStyle w:val="sb8d990e2"/>
          <w:color w:val="000000"/>
          <w:shd w:val="clear" w:color="auto" w:fill="FFFFFF"/>
        </w:rPr>
        <w:t xml:space="preserve"> </w:t>
      </w:r>
      <w:r w:rsidR="004473E1" w:rsidRPr="00536B77">
        <w:rPr>
          <w:rStyle w:val="sb8d990e2"/>
          <w:color w:val="000000"/>
          <w:shd w:val="clear" w:color="auto" w:fill="FFFFFF"/>
        </w:rPr>
        <w:t>in</w:t>
      </w:r>
      <w:r w:rsidR="004473E1">
        <w:rPr>
          <w:rStyle w:val="sb8d990e2"/>
          <w:color w:val="000000"/>
          <w:shd w:val="clear" w:color="auto" w:fill="FFFFFF"/>
        </w:rPr>
        <w:t xml:space="preserve"> its </w:t>
      </w:r>
      <w:r w:rsidR="0012062E" w:rsidRPr="00536B77">
        <w:rPr>
          <w:rStyle w:val="sb8d990e2"/>
          <w:color w:val="000000"/>
          <w:shd w:val="clear" w:color="auto" w:fill="FFFFFF"/>
        </w:rPr>
        <w:t xml:space="preserve">argument before the </w:t>
      </w:r>
      <w:r w:rsidR="0098341E">
        <w:rPr>
          <w:rStyle w:val="sb8d990e2"/>
          <w:color w:val="000000"/>
          <w:shd w:val="clear" w:color="auto" w:fill="FFFFFF"/>
        </w:rPr>
        <w:t>ICJ</w:t>
      </w:r>
      <w:r w:rsidR="004473E1">
        <w:rPr>
          <w:rStyle w:val="sb8d990e2"/>
          <w:color w:val="000000"/>
          <w:shd w:val="clear" w:color="auto" w:fill="FFFFFF"/>
        </w:rPr>
        <w:t>,</w:t>
      </w:r>
      <w:r w:rsidR="0012062E" w:rsidRPr="00536B77">
        <w:rPr>
          <w:rStyle w:val="sb8d990e2"/>
          <w:color w:val="000000"/>
          <w:shd w:val="clear" w:color="auto" w:fill="FFFFFF"/>
        </w:rPr>
        <w:t xml:space="preserve"> relied on the </w:t>
      </w:r>
      <w:r w:rsidR="0012062E" w:rsidRPr="008F77DD">
        <w:rPr>
          <w:rStyle w:val="sb8d990e2"/>
          <w:i/>
          <w:color w:val="000000"/>
          <w:shd w:val="clear" w:color="auto" w:fill="FFFFFF"/>
        </w:rPr>
        <w:t>Pinochet</w:t>
      </w:r>
      <w:r w:rsidR="0012062E" w:rsidRPr="00536B77">
        <w:rPr>
          <w:rStyle w:val="sb8d990e2"/>
          <w:color w:val="000000"/>
          <w:shd w:val="clear" w:color="auto" w:fill="FFFFFF"/>
        </w:rPr>
        <w:t xml:space="preserve"> case</w:t>
      </w:r>
      <w:r w:rsidR="004473E1">
        <w:rPr>
          <w:rStyle w:val="sb8d990e2"/>
          <w:color w:val="000000"/>
          <w:shd w:val="clear" w:color="auto" w:fill="FFFFFF"/>
        </w:rPr>
        <w:t>,</w:t>
      </w:r>
      <w:r w:rsidR="0012062E" w:rsidRPr="00536B77">
        <w:rPr>
          <w:rStyle w:val="sb8d990e2"/>
          <w:color w:val="000000"/>
          <w:shd w:val="clear" w:color="auto" w:fill="FFFFFF"/>
        </w:rPr>
        <w:t xml:space="preserve"> </w:t>
      </w:r>
      <w:r w:rsidRPr="00536B77">
        <w:rPr>
          <w:rStyle w:val="sb8d990e2"/>
          <w:color w:val="000000"/>
          <w:shd w:val="clear" w:color="auto" w:fill="FFFFFF"/>
        </w:rPr>
        <w:t xml:space="preserve">asserting that that case had established that </w:t>
      </w:r>
      <w:r w:rsidR="0012062E" w:rsidRPr="00536B77">
        <w:rPr>
          <w:rStyle w:val="sb8d990e2"/>
          <w:color w:val="000000"/>
          <w:shd w:val="clear" w:color="auto" w:fill="FFFFFF"/>
        </w:rPr>
        <w:t xml:space="preserve">an exception to immunity </w:t>
      </w:r>
      <w:r w:rsidRPr="00536B77">
        <w:rPr>
          <w:rStyle w:val="sb8d990e2"/>
          <w:color w:val="000000"/>
          <w:shd w:val="clear" w:color="auto" w:fill="FFFFFF"/>
        </w:rPr>
        <w:t>existed</w:t>
      </w:r>
      <w:r w:rsidR="0012062E" w:rsidRPr="00536B77">
        <w:rPr>
          <w:rStyle w:val="sb8d990e2"/>
          <w:color w:val="000000"/>
          <w:shd w:val="clear" w:color="auto" w:fill="FFFFFF"/>
        </w:rPr>
        <w:t xml:space="preserve"> in the case of serious crimes under international law.</w:t>
      </w:r>
      <w:commentRangeStart w:id="28"/>
      <w:r w:rsidR="00F2235B">
        <w:rPr>
          <w:rStyle w:val="FootnoteReference"/>
          <w:color w:val="000000"/>
          <w:shd w:val="clear" w:color="auto" w:fill="FFFFFF"/>
        </w:rPr>
        <w:footnoteReference w:id="60"/>
      </w:r>
      <w:commentRangeEnd w:id="28"/>
      <w:r w:rsidR="00F2235B">
        <w:rPr>
          <w:rStyle w:val="CommentReference"/>
        </w:rPr>
        <w:commentReference w:id="28"/>
      </w:r>
      <w:r w:rsidR="0012062E" w:rsidRPr="00536B77">
        <w:rPr>
          <w:rStyle w:val="sb8d990e2"/>
          <w:color w:val="000000"/>
          <w:shd w:val="clear" w:color="auto" w:fill="FFFFFF"/>
        </w:rPr>
        <w:t xml:space="preserve"> </w:t>
      </w:r>
      <w:r w:rsidRPr="00536B77">
        <w:rPr>
          <w:rStyle w:val="sb8d990e2"/>
          <w:color w:val="000000"/>
          <w:shd w:val="clear" w:color="auto" w:fill="FFFFFF"/>
        </w:rPr>
        <w:t xml:space="preserve"> </w:t>
      </w:r>
      <w:r w:rsidR="0012062E" w:rsidRPr="00536B77">
        <w:rPr>
          <w:rStyle w:val="sb8d990e2"/>
          <w:color w:val="000000"/>
          <w:shd w:val="clear" w:color="auto" w:fill="FFFFFF"/>
        </w:rPr>
        <w:t xml:space="preserve">Given the above analysis, </w:t>
      </w:r>
      <w:r w:rsidRPr="00536B77">
        <w:rPr>
          <w:rStyle w:val="sb8d990e2"/>
          <w:color w:val="000000"/>
          <w:shd w:val="clear" w:color="auto" w:fill="FFFFFF"/>
        </w:rPr>
        <w:t xml:space="preserve">it is clear that </w:t>
      </w:r>
      <w:r w:rsidR="0012062E" w:rsidRPr="00536B77">
        <w:rPr>
          <w:rStyle w:val="sb8d990e2"/>
          <w:color w:val="000000"/>
          <w:shd w:val="clear" w:color="auto" w:fill="FFFFFF"/>
        </w:rPr>
        <w:t xml:space="preserve">this assertion was quite simply wrong and it was rightly ignored by the ICJ which held that </w:t>
      </w:r>
      <w:r w:rsidR="00060B74" w:rsidRPr="00536B77">
        <w:rPr>
          <w:rStyle w:val="sb8d990e2"/>
          <w:color w:val="000000"/>
          <w:shd w:val="clear" w:color="auto" w:fill="FFFFFF"/>
        </w:rPr>
        <w:t>the arrest warrant was a violation of Yerodia’s immunity from criminal jurisdiction and the inviolability of the incumbent Minister for Foreign Affairs of the DRC.</w:t>
      </w:r>
    </w:p>
    <w:p w14:paraId="0BB945C7" w14:textId="12663AAA" w:rsidR="00060B74" w:rsidRPr="00536B77" w:rsidRDefault="00060B74" w:rsidP="00536B77">
      <w:pPr>
        <w:spacing w:line="480" w:lineRule="auto"/>
        <w:ind w:firstLine="720"/>
        <w:rPr>
          <w:rStyle w:val="sb8d990e2"/>
          <w:color w:val="000000"/>
          <w:shd w:val="clear" w:color="auto" w:fill="FFFFFF"/>
        </w:rPr>
      </w:pPr>
      <w:r w:rsidRPr="00536B77">
        <w:rPr>
          <w:rStyle w:val="sb8d990e2"/>
          <w:color w:val="000000"/>
          <w:shd w:val="clear" w:color="auto" w:fill="FFFFFF"/>
        </w:rPr>
        <w:lastRenderedPageBreak/>
        <w:t xml:space="preserve">The separate concurring opinion of Judges Higgins, Kooijmans and Buergenthal in the </w:t>
      </w:r>
      <w:r w:rsidRPr="00536B77">
        <w:rPr>
          <w:rStyle w:val="sb8d990e2"/>
          <w:i/>
          <w:color w:val="000000"/>
          <w:shd w:val="clear" w:color="auto" w:fill="FFFFFF"/>
        </w:rPr>
        <w:t>Arrest Warrant Case</w:t>
      </w:r>
      <w:r w:rsidRPr="00536B77">
        <w:rPr>
          <w:rStyle w:val="sb8d990e2"/>
          <w:color w:val="000000"/>
          <w:shd w:val="clear" w:color="auto" w:fill="FFFFFF"/>
        </w:rPr>
        <w:t xml:space="preserve"> suggested the possibility of an emerging rule of international law providing potentially for the removal of immunity in cases of serious international crimes insofar as such activities cannot be considered as official acts.</w:t>
      </w:r>
      <w:commentRangeStart w:id="29"/>
      <w:commentRangeStart w:id="30"/>
      <w:r w:rsidRPr="00536B77">
        <w:rPr>
          <w:rStyle w:val="FootnoteReference"/>
          <w:color w:val="000000"/>
          <w:shd w:val="clear" w:color="auto" w:fill="FFFFFF"/>
        </w:rPr>
        <w:footnoteReference w:id="61"/>
      </w:r>
      <w:commentRangeEnd w:id="29"/>
      <w:r w:rsidR="009E2941" w:rsidRPr="00536B77">
        <w:rPr>
          <w:rStyle w:val="CommentReference"/>
          <w:sz w:val="24"/>
          <w:szCs w:val="24"/>
        </w:rPr>
        <w:commentReference w:id="29"/>
      </w:r>
      <w:commentRangeEnd w:id="30"/>
      <w:r w:rsidR="00644556">
        <w:rPr>
          <w:rStyle w:val="CommentReference"/>
        </w:rPr>
        <w:commentReference w:id="30"/>
      </w:r>
      <w:r w:rsidRPr="00536B77">
        <w:rPr>
          <w:rStyle w:val="sb8d990e2"/>
          <w:color w:val="000000"/>
          <w:shd w:val="clear" w:color="auto" w:fill="FFFFFF"/>
        </w:rPr>
        <w:t xml:space="preserve"> </w:t>
      </w:r>
      <w:r w:rsidR="007B5AC4" w:rsidRPr="00536B77">
        <w:rPr>
          <w:rStyle w:val="sb8d990e2"/>
          <w:color w:val="000000"/>
          <w:shd w:val="clear" w:color="auto" w:fill="FFFFFF"/>
        </w:rPr>
        <w:t xml:space="preserve"> </w:t>
      </w:r>
      <w:r w:rsidRPr="00536B77">
        <w:rPr>
          <w:rStyle w:val="sb8d990e2"/>
          <w:color w:val="000000"/>
          <w:shd w:val="clear" w:color="auto" w:fill="FFFFFF"/>
        </w:rPr>
        <w:t xml:space="preserve">However, the evidence they provided for this assertion was rather limited and </w:t>
      </w:r>
      <w:r w:rsidR="007B5AC4" w:rsidRPr="00536B77">
        <w:rPr>
          <w:rStyle w:val="sb8d990e2"/>
          <w:color w:val="000000"/>
          <w:shd w:val="clear" w:color="auto" w:fill="FFFFFF"/>
        </w:rPr>
        <w:t xml:space="preserve">was </w:t>
      </w:r>
      <w:r w:rsidRPr="00536B77">
        <w:rPr>
          <w:rStyle w:val="sb8d990e2"/>
          <w:color w:val="000000"/>
          <w:shd w:val="clear" w:color="auto" w:fill="FFFFFF"/>
        </w:rPr>
        <w:t xml:space="preserve">made up, to a large </w:t>
      </w:r>
      <w:r w:rsidR="007B5AC4" w:rsidRPr="00536B77">
        <w:rPr>
          <w:rStyle w:val="sb8d990e2"/>
          <w:color w:val="000000"/>
          <w:shd w:val="clear" w:color="auto" w:fill="FFFFFF"/>
        </w:rPr>
        <w:t>extent</w:t>
      </w:r>
      <w:r w:rsidRPr="00536B77">
        <w:rPr>
          <w:rStyle w:val="sb8d990e2"/>
          <w:color w:val="000000"/>
          <w:shd w:val="clear" w:color="auto" w:fill="FFFFFF"/>
        </w:rPr>
        <w:t xml:space="preserve">, </w:t>
      </w:r>
      <w:r w:rsidR="007B5AC4" w:rsidRPr="00536B77">
        <w:rPr>
          <w:rStyle w:val="sb8d990e2"/>
          <w:color w:val="000000"/>
          <w:shd w:val="clear" w:color="auto" w:fill="FFFFFF"/>
        </w:rPr>
        <w:t>by</w:t>
      </w:r>
      <w:r w:rsidRPr="00536B77">
        <w:rPr>
          <w:rStyle w:val="sb8d990e2"/>
          <w:color w:val="000000"/>
          <w:shd w:val="clear" w:color="auto" w:fill="FFFFFF"/>
        </w:rPr>
        <w:t xml:space="preserve"> the speeches of only two of their lordships in </w:t>
      </w:r>
      <w:r w:rsidRPr="008F77DD">
        <w:rPr>
          <w:rStyle w:val="sb8d990e2"/>
          <w:i/>
          <w:color w:val="000000"/>
          <w:shd w:val="clear" w:color="auto" w:fill="FFFFFF"/>
        </w:rPr>
        <w:t>Pinochet No</w:t>
      </w:r>
      <w:r w:rsidR="00F2235B">
        <w:rPr>
          <w:rStyle w:val="sb8d990e2"/>
          <w:i/>
          <w:color w:val="000000"/>
          <w:shd w:val="clear" w:color="auto" w:fill="FFFFFF"/>
        </w:rPr>
        <w:t>.</w:t>
      </w:r>
      <w:r w:rsidRPr="008F77DD">
        <w:rPr>
          <w:rStyle w:val="sb8d990e2"/>
          <w:i/>
          <w:color w:val="000000"/>
          <w:shd w:val="clear" w:color="auto" w:fill="FFFFFF"/>
        </w:rPr>
        <w:t xml:space="preserve"> 3</w:t>
      </w:r>
      <w:r w:rsidRPr="00536B77">
        <w:rPr>
          <w:rStyle w:val="sb8d990e2"/>
          <w:color w:val="000000"/>
          <w:shd w:val="clear" w:color="auto" w:fill="FFFFFF"/>
        </w:rPr>
        <w:t xml:space="preserve"> and two in </w:t>
      </w:r>
      <w:r w:rsidRPr="008F77DD">
        <w:rPr>
          <w:rStyle w:val="sb8d990e2"/>
          <w:i/>
          <w:color w:val="000000"/>
          <w:shd w:val="clear" w:color="auto" w:fill="FFFFFF"/>
        </w:rPr>
        <w:t>Pinochet No.1</w:t>
      </w:r>
      <w:r w:rsidRPr="00536B77">
        <w:rPr>
          <w:rStyle w:val="sb8d990e2"/>
          <w:color w:val="000000"/>
          <w:shd w:val="clear" w:color="auto" w:fill="FFFFFF"/>
        </w:rPr>
        <w:t xml:space="preserve">, </w:t>
      </w:r>
      <w:r w:rsidR="007B5AC4" w:rsidRPr="00536B77">
        <w:rPr>
          <w:rStyle w:val="sb8d990e2"/>
          <w:color w:val="000000"/>
          <w:shd w:val="clear" w:color="auto" w:fill="FFFFFF"/>
        </w:rPr>
        <w:t xml:space="preserve">the latter of </w:t>
      </w:r>
      <w:r w:rsidRPr="00536B77">
        <w:rPr>
          <w:rStyle w:val="sb8d990e2"/>
          <w:color w:val="000000"/>
          <w:shd w:val="clear" w:color="auto" w:fill="FFFFFF"/>
        </w:rPr>
        <w:t>which, of course</w:t>
      </w:r>
      <w:r w:rsidR="007B5AC4" w:rsidRPr="00536B77">
        <w:rPr>
          <w:rStyle w:val="sb8d990e2"/>
          <w:color w:val="000000"/>
          <w:shd w:val="clear" w:color="auto" w:fill="FFFFFF"/>
        </w:rPr>
        <w:t>,</w:t>
      </w:r>
      <w:r w:rsidRPr="00536B77">
        <w:rPr>
          <w:rStyle w:val="sb8d990e2"/>
          <w:color w:val="000000"/>
          <w:shd w:val="clear" w:color="auto" w:fill="FFFFFF"/>
        </w:rPr>
        <w:t xml:space="preserve"> had been vacated and therefore was of no legal effect.</w:t>
      </w:r>
      <w:r w:rsidR="00644556">
        <w:rPr>
          <w:rStyle w:val="sb8d990e2"/>
          <w:color w:val="000000"/>
          <w:shd w:val="clear" w:color="auto" w:fill="FFFFFF"/>
        </w:rPr>
        <w:t xml:space="preserve"> The</w:t>
      </w:r>
      <w:r w:rsidRPr="00536B77">
        <w:rPr>
          <w:rStyle w:val="sb8d990e2"/>
          <w:color w:val="000000"/>
          <w:shd w:val="clear" w:color="auto" w:fill="FFFFFF"/>
        </w:rPr>
        <w:t xml:space="preserve"> development</w:t>
      </w:r>
      <w:r w:rsidR="00644556">
        <w:rPr>
          <w:rStyle w:val="sb8d990e2"/>
          <w:color w:val="000000"/>
          <w:shd w:val="clear" w:color="auto" w:fill="FFFFFF"/>
        </w:rPr>
        <w:t xml:space="preserve"> of a rule of international law </w:t>
      </w:r>
      <w:r w:rsidR="00644556" w:rsidRPr="00644556">
        <w:rPr>
          <w:rStyle w:val="sb8d990e2"/>
          <w:color w:val="000000"/>
          <w:shd w:val="clear" w:color="auto" w:fill="FFFFFF"/>
        </w:rPr>
        <w:t>that serious international crimes cannot be regarded as official acts</w:t>
      </w:r>
      <w:r w:rsidR="00644556">
        <w:rPr>
          <w:rStyle w:val="sb8d990e2"/>
          <w:color w:val="000000"/>
          <w:shd w:val="clear" w:color="auto" w:fill="FFFFFF"/>
        </w:rPr>
        <w:t>,</w:t>
      </w:r>
      <w:r w:rsidR="00644556" w:rsidRPr="00644556">
        <w:rPr>
          <w:rStyle w:val="sb8d990e2"/>
          <w:color w:val="000000"/>
          <w:shd w:val="clear" w:color="auto" w:fill="FFFFFF"/>
        </w:rPr>
        <w:t xml:space="preserve"> </w:t>
      </w:r>
      <w:r w:rsidRPr="00536B77">
        <w:rPr>
          <w:rStyle w:val="sb8d990e2"/>
          <w:color w:val="000000"/>
          <w:shd w:val="clear" w:color="auto" w:fill="FFFFFF"/>
        </w:rPr>
        <w:t>were it to happen</w:t>
      </w:r>
      <w:r w:rsidR="00F2235B">
        <w:rPr>
          <w:rStyle w:val="sb8d990e2"/>
          <w:color w:val="000000"/>
          <w:shd w:val="clear" w:color="auto" w:fill="FFFFFF"/>
        </w:rPr>
        <w:t>,</w:t>
      </w:r>
      <w:r w:rsidRPr="00536B77">
        <w:rPr>
          <w:rStyle w:val="sb8d990e2"/>
          <w:color w:val="000000"/>
          <w:shd w:val="clear" w:color="auto" w:fill="FFFFFF"/>
        </w:rPr>
        <w:t xml:space="preserve"> would be welcome and would help significantly in clarifying the availability of immunities in cases of serious international crimes.</w:t>
      </w:r>
      <w:r w:rsidR="007B5AC4" w:rsidRPr="00536B77">
        <w:rPr>
          <w:rStyle w:val="sb8d990e2"/>
          <w:color w:val="000000"/>
          <w:shd w:val="clear" w:color="auto" w:fill="FFFFFF"/>
        </w:rPr>
        <w:t xml:space="preserve"> </w:t>
      </w:r>
      <w:r w:rsidRPr="00536B77">
        <w:rPr>
          <w:rStyle w:val="sb8d990e2"/>
          <w:color w:val="000000"/>
          <w:shd w:val="clear" w:color="auto" w:fill="FFFFFF"/>
        </w:rPr>
        <w:t xml:space="preserve"> However, the evidence that has emerged from the attempts by the International Law Commission to codify the question of the jurisdictional immunities of </w:t>
      </w:r>
      <w:r w:rsidR="000F6A9C" w:rsidRPr="00536B77">
        <w:rPr>
          <w:rStyle w:val="sb8d990e2"/>
          <w:color w:val="000000"/>
          <w:shd w:val="clear" w:color="auto" w:fill="FFFFFF"/>
        </w:rPr>
        <w:t>State</w:t>
      </w:r>
      <w:r w:rsidRPr="00536B77">
        <w:rPr>
          <w:rStyle w:val="sb8d990e2"/>
          <w:color w:val="000000"/>
          <w:shd w:val="clear" w:color="auto" w:fill="FFFFFF"/>
        </w:rPr>
        <w:t xml:space="preserve">s and the resulting United Nations Convention on the Jurisdictional Immunities of </w:t>
      </w:r>
      <w:r w:rsidR="000F6A9C" w:rsidRPr="00536B77">
        <w:rPr>
          <w:rStyle w:val="sb8d990e2"/>
          <w:color w:val="000000"/>
          <w:shd w:val="clear" w:color="auto" w:fill="FFFFFF"/>
        </w:rPr>
        <w:t>State</w:t>
      </w:r>
      <w:r w:rsidRPr="00536B77">
        <w:rPr>
          <w:rStyle w:val="sb8d990e2"/>
          <w:color w:val="000000"/>
          <w:shd w:val="clear" w:color="auto" w:fill="FFFFFF"/>
        </w:rPr>
        <w:t xml:space="preserve">s and Their Property </w:t>
      </w:r>
      <w:commentRangeStart w:id="31"/>
      <w:r w:rsidRPr="00536B77">
        <w:rPr>
          <w:rStyle w:val="sb8d990e2"/>
          <w:color w:val="000000"/>
          <w:shd w:val="clear" w:color="auto" w:fill="FFFFFF"/>
        </w:rPr>
        <w:t>2004</w:t>
      </w:r>
      <w:commentRangeEnd w:id="31"/>
      <w:r w:rsidR="00F2235B">
        <w:rPr>
          <w:rStyle w:val="CommentReference"/>
        </w:rPr>
        <w:commentReference w:id="31"/>
      </w:r>
      <w:r w:rsidR="00644556">
        <w:rPr>
          <w:rStyle w:val="FootnoteReference"/>
          <w:color w:val="000000"/>
          <w:shd w:val="clear" w:color="auto" w:fill="FFFFFF"/>
        </w:rPr>
        <w:footnoteReference w:id="62"/>
      </w:r>
      <w:r w:rsidRPr="00536B77">
        <w:rPr>
          <w:rStyle w:val="sb8d990e2"/>
          <w:color w:val="000000"/>
          <w:shd w:val="clear" w:color="auto" w:fill="FFFFFF"/>
        </w:rPr>
        <w:t xml:space="preserve"> suggests that </w:t>
      </w:r>
      <w:r w:rsidR="000F6A9C" w:rsidRPr="00536B77">
        <w:rPr>
          <w:rStyle w:val="sb8d990e2"/>
          <w:color w:val="000000"/>
          <w:shd w:val="clear" w:color="auto" w:fill="FFFFFF"/>
        </w:rPr>
        <w:t>State</w:t>
      </w:r>
      <w:r w:rsidRPr="00536B77">
        <w:rPr>
          <w:rStyle w:val="sb8d990e2"/>
          <w:color w:val="000000"/>
          <w:shd w:val="clear" w:color="auto" w:fill="FFFFFF"/>
        </w:rPr>
        <w:t xml:space="preserve"> practice has, in fact</w:t>
      </w:r>
      <w:r w:rsidR="007B5AC4" w:rsidRPr="00536B77">
        <w:rPr>
          <w:rStyle w:val="sb8d990e2"/>
          <w:color w:val="000000"/>
          <w:shd w:val="clear" w:color="auto" w:fill="FFFFFF"/>
        </w:rPr>
        <w:t>,</w:t>
      </w:r>
      <w:r w:rsidRPr="00536B77">
        <w:rPr>
          <w:rStyle w:val="sb8d990e2"/>
          <w:color w:val="000000"/>
          <w:shd w:val="clear" w:color="auto" w:fill="FFFFFF"/>
        </w:rPr>
        <w:t xml:space="preserve"> gone the other way</w:t>
      </w:r>
      <w:r w:rsidR="00260C6A">
        <w:rPr>
          <w:rStyle w:val="sb8d990e2"/>
          <w:color w:val="000000"/>
          <w:shd w:val="clear" w:color="auto" w:fill="FFFFFF"/>
        </w:rPr>
        <w:t xml:space="preserve">.  </w:t>
      </w:r>
      <w:r w:rsidR="000F6A9C" w:rsidRPr="00536B77">
        <w:rPr>
          <w:rStyle w:val="sb8d990e2"/>
          <w:color w:val="000000"/>
          <w:shd w:val="clear" w:color="auto" w:fill="FFFFFF"/>
        </w:rPr>
        <w:t>State</w:t>
      </w:r>
      <w:r w:rsidRPr="00536B77">
        <w:rPr>
          <w:rStyle w:val="sb8d990e2"/>
          <w:color w:val="000000"/>
          <w:shd w:val="clear" w:color="auto" w:fill="FFFFFF"/>
        </w:rPr>
        <w:t xml:space="preserve">s are less and less willing to accepts further restrictions on their immunity and that of their officials from the jurisdiction of foreign </w:t>
      </w:r>
      <w:r w:rsidR="000F6A9C" w:rsidRPr="00536B77">
        <w:rPr>
          <w:rStyle w:val="sb8d990e2"/>
          <w:color w:val="000000"/>
          <w:shd w:val="clear" w:color="auto" w:fill="FFFFFF"/>
        </w:rPr>
        <w:t>State</w:t>
      </w:r>
      <w:r w:rsidRPr="00536B77">
        <w:rPr>
          <w:rStyle w:val="sb8d990e2"/>
          <w:color w:val="000000"/>
          <w:shd w:val="clear" w:color="auto" w:fill="FFFFFF"/>
        </w:rPr>
        <w:t xml:space="preserve">s. </w:t>
      </w:r>
    </w:p>
    <w:p w14:paraId="5DB6A681" w14:textId="55559FD8" w:rsidR="007B5AC4" w:rsidRPr="00536B77" w:rsidRDefault="00060B74" w:rsidP="00536B77">
      <w:pPr>
        <w:spacing w:line="480" w:lineRule="auto"/>
        <w:ind w:firstLine="720"/>
        <w:rPr>
          <w:color w:val="000000"/>
          <w:shd w:val="clear" w:color="auto" w:fill="FFFFFF"/>
        </w:rPr>
      </w:pPr>
      <w:r w:rsidRPr="00536B77">
        <w:rPr>
          <w:rStyle w:val="sb8d990e2"/>
          <w:color w:val="000000"/>
          <w:shd w:val="clear" w:color="auto" w:fill="FFFFFF"/>
        </w:rPr>
        <w:t xml:space="preserve">This perspective has been made all the clearer by the most recent decision of the </w:t>
      </w:r>
      <w:r w:rsidR="0098341E">
        <w:rPr>
          <w:rStyle w:val="sb8d990e2"/>
          <w:color w:val="000000"/>
          <w:shd w:val="clear" w:color="auto" w:fill="FFFFFF"/>
        </w:rPr>
        <w:t>ICJ</w:t>
      </w:r>
      <w:r w:rsidRPr="00536B77">
        <w:rPr>
          <w:rStyle w:val="sb8d990e2"/>
          <w:color w:val="000000"/>
          <w:shd w:val="clear" w:color="auto" w:fill="FFFFFF"/>
        </w:rPr>
        <w:t xml:space="preserve"> on the issue of immunity from jurisdiction in the </w:t>
      </w:r>
      <w:r w:rsidRPr="00536B77">
        <w:rPr>
          <w:rStyle w:val="sb8d990e2"/>
          <w:i/>
          <w:color w:val="000000"/>
          <w:shd w:val="clear" w:color="auto" w:fill="FFFFFF"/>
        </w:rPr>
        <w:t xml:space="preserve">Jurisdictional Immunities of the </w:t>
      </w:r>
      <w:r w:rsidR="000F6A9C" w:rsidRPr="00536B77">
        <w:rPr>
          <w:rStyle w:val="sb8d990e2"/>
          <w:i/>
          <w:color w:val="000000"/>
          <w:shd w:val="clear" w:color="auto" w:fill="FFFFFF"/>
        </w:rPr>
        <w:t>State</w:t>
      </w:r>
      <w:r w:rsidRPr="00536B77">
        <w:rPr>
          <w:rStyle w:val="sb8d990e2"/>
          <w:color w:val="000000"/>
          <w:shd w:val="clear" w:color="auto" w:fill="FFFFFF"/>
        </w:rPr>
        <w:t xml:space="preserve"> case </w:t>
      </w:r>
      <w:r w:rsidRPr="00536B77">
        <w:rPr>
          <w:rStyle w:val="sb8d990e2"/>
          <w:color w:val="000000"/>
          <w:shd w:val="clear" w:color="auto" w:fill="FFFFFF"/>
        </w:rPr>
        <w:lastRenderedPageBreak/>
        <w:t>in 2012.</w:t>
      </w:r>
      <w:r w:rsidR="00EB04D1" w:rsidRPr="00536B77">
        <w:rPr>
          <w:rStyle w:val="FootnoteReference"/>
          <w:color w:val="000000"/>
          <w:shd w:val="clear" w:color="auto" w:fill="FFFFFF"/>
        </w:rPr>
        <w:footnoteReference w:id="63"/>
      </w:r>
      <w:r w:rsidRPr="00536B77">
        <w:rPr>
          <w:rStyle w:val="sb8d990e2"/>
          <w:color w:val="000000"/>
          <w:shd w:val="clear" w:color="auto" w:fill="FFFFFF"/>
        </w:rPr>
        <w:t xml:space="preserve"> </w:t>
      </w:r>
      <w:r w:rsidR="007B5AC4" w:rsidRPr="00536B77">
        <w:rPr>
          <w:rStyle w:val="sb8d990e2"/>
          <w:color w:val="000000"/>
          <w:shd w:val="clear" w:color="auto" w:fill="FFFFFF"/>
        </w:rPr>
        <w:t xml:space="preserve"> </w:t>
      </w:r>
      <w:r w:rsidRPr="00536B77">
        <w:rPr>
          <w:rStyle w:val="sb8d990e2"/>
          <w:color w:val="000000"/>
          <w:shd w:val="clear" w:color="auto" w:fill="FFFFFF"/>
        </w:rPr>
        <w:t xml:space="preserve">The case </w:t>
      </w:r>
      <w:r w:rsidR="00757044" w:rsidRPr="00536B77">
        <w:rPr>
          <w:rStyle w:val="sb8d990e2"/>
          <w:color w:val="000000"/>
          <w:shd w:val="clear" w:color="auto" w:fill="FFFFFF"/>
        </w:rPr>
        <w:t xml:space="preserve">relates to an action initiated in </w:t>
      </w:r>
      <w:r w:rsidR="00D97E3A" w:rsidRPr="00536B77">
        <w:rPr>
          <w:color w:val="000000"/>
          <w:shd w:val="clear" w:color="auto" w:fill="FFFFFF"/>
        </w:rPr>
        <w:t xml:space="preserve">the Italian courts by Mr Luigi Ferrini, an Italian national who had been arrested and deported to Germany during the Second World War. </w:t>
      </w:r>
      <w:r w:rsidR="007B5AC4" w:rsidRPr="00536B77">
        <w:rPr>
          <w:color w:val="000000"/>
          <w:shd w:val="clear" w:color="auto" w:fill="FFFFFF"/>
        </w:rPr>
        <w:t xml:space="preserve"> </w:t>
      </w:r>
      <w:r w:rsidR="00D97E3A" w:rsidRPr="00536B77">
        <w:rPr>
          <w:color w:val="000000"/>
          <w:shd w:val="clear" w:color="auto" w:fill="FFFFFF"/>
        </w:rPr>
        <w:t>Mr Ferrini and many of his compatriots had been forced to work in mun</w:t>
      </w:r>
      <w:r w:rsidR="007B5AC4" w:rsidRPr="00536B77">
        <w:rPr>
          <w:color w:val="000000"/>
          <w:shd w:val="clear" w:color="auto" w:fill="FFFFFF"/>
        </w:rPr>
        <w:t xml:space="preserve">itions factories in Germany, </w:t>
      </w:r>
      <w:r w:rsidR="00D97E3A" w:rsidRPr="00536B77">
        <w:rPr>
          <w:color w:val="000000"/>
          <w:shd w:val="clear" w:color="auto" w:fill="FFFFFF"/>
        </w:rPr>
        <w:t xml:space="preserve">had been subjected to gross violations of their human rights and were seeking compensation in respect of that treatment. </w:t>
      </w:r>
      <w:r w:rsidR="007B5AC4" w:rsidRPr="00536B77">
        <w:rPr>
          <w:color w:val="000000"/>
          <w:shd w:val="clear" w:color="auto" w:fill="FFFFFF"/>
        </w:rPr>
        <w:t xml:space="preserve"> </w:t>
      </w:r>
      <w:r w:rsidR="00D97E3A" w:rsidRPr="00536B77">
        <w:rPr>
          <w:color w:val="000000"/>
          <w:shd w:val="clear" w:color="auto" w:fill="FFFFFF"/>
        </w:rPr>
        <w:t>The Italian courts</w:t>
      </w:r>
      <w:r w:rsidR="00F2235B">
        <w:rPr>
          <w:color w:val="000000"/>
          <w:shd w:val="clear" w:color="auto" w:fill="FFFFFF"/>
        </w:rPr>
        <w:t>,</w:t>
      </w:r>
      <w:r w:rsidR="00D97E3A" w:rsidRPr="00536B77">
        <w:rPr>
          <w:color w:val="000000"/>
          <w:shd w:val="clear" w:color="auto" w:fill="FFFFFF"/>
        </w:rPr>
        <w:t xml:space="preserve"> at first instance, and on appeal, dismissed Ferrini’s case due to the jurisdictional immunity of Germany.</w:t>
      </w:r>
      <w:r w:rsidR="00D97E3A" w:rsidRPr="00536B77">
        <w:rPr>
          <w:color w:val="000000"/>
          <w:shd w:val="clear" w:color="auto" w:fill="FFFFFF"/>
          <w:vertAlign w:val="superscript"/>
        </w:rPr>
        <w:footnoteReference w:id="64"/>
      </w:r>
      <w:r w:rsidR="00D97E3A" w:rsidRPr="00536B77">
        <w:rPr>
          <w:color w:val="000000"/>
          <w:shd w:val="clear" w:color="auto" w:fill="FFFFFF"/>
        </w:rPr>
        <w:t xml:space="preserve"> </w:t>
      </w:r>
      <w:r w:rsidR="007B5AC4" w:rsidRPr="00536B77">
        <w:rPr>
          <w:color w:val="000000"/>
          <w:shd w:val="clear" w:color="auto" w:fill="FFFFFF"/>
        </w:rPr>
        <w:t xml:space="preserve"> </w:t>
      </w:r>
      <w:r w:rsidR="00D97E3A" w:rsidRPr="00536B77">
        <w:rPr>
          <w:color w:val="000000"/>
          <w:shd w:val="clear" w:color="auto" w:fill="FFFFFF"/>
        </w:rPr>
        <w:t xml:space="preserve">However, at the Italian Court of Cassation on 11 March 2004, </w:t>
      </w:r>
      <w:r w:rsidR="001D1112" w:rsidRPr="00536B77">
        <w:rPr>
          <w:color w:val="000000"/>
          <w:shd w:val="clear" w:color="auto" w:fill="FFFFFF"/>
        </w:rPr>
        <w:t xml:space="preserve">in reliance to a significant degree on the decision of the English House of Lords in </w:t>
      </w:r>
      <w:r w:rsidR="001D1112" w:rsidRPr="00536B77">
        <w:rPr>
          <w:i/>
          <w:color w:val="000000"/>
          <w:shd w:val="clear" w:color="auto" w:fill="FFFFFF"/>
        </w:rPr>
        <w:t>Pinochet No. 3</w:t>
      </w:r>
      <w:r w:rsidR="001D1112" w:rsidRPr="00536B77">
        <w:rPr>
          <w:color w:val="000000"/>
          <w:shd w:val="clear" w:color="auto" w:fill="FFFFFF"/>
        </w:rPr>
        <w:t>,</w:t>
      </w:r>
      <w:r w:rsidR="001D1112" w:rsidRPr="00536B77">
        <w:rPr>
          <w:rStyle w:val="FootnoteReference"/>
          <w:color w:val="000000"/>
          <w:shd w:val="clear" w:color="auto" w:fill="FFFFFF"/>
        </w:rPr>
        <w:footnoteReference w:id="65"/>
      </w:r>
      <w:r w:rsidR="001D1112" w:rsidRPr="00536B77">
        <w:rPr>
          <w:color w:val="000000"/>
          <w:shd w:val="clear" w:color="auto" w:fill="FFFFFF"/>
        </w:rPr>
        <w:t xml:space="preserve"> </w:t>
      </w:r>
      <w:r w:rsidR="00D97E3A" w:rsidRPr="00536B77">
        <w:rPr>
          <w:color w:val="000000"/>
          <w:shd w:val="clear" w:color="auto" w:fill="FFFFFF"/>
        </w:rPr>
        <w:t>it was held that the immunity of Germany did not apply as the act complained of constituted an international crime.</w:t>
      </w:r>
      <w:commentRangeStart w:id="32"/>
      <w:r w:rsidR="00D97E3A" w:rsidRPr="00536B77">
        <w:rPr>
          <w:color w:val="000000"/>
          <w:shd w:val="clear" w:color="auto" w:fill="FFFFFF"/>
          <w:vertAlign w:val="superscript"/>
        </w:rPr>
        <w:footnoteReference w:id="66"/>
      </w:r>
      <w:commentRangeEnd w:id="32"/>
      <w:r w:rsidR="00E041AA" w:rsidRPr="00536B77">
        <w:rPr>
          <w:rStyle w:val="CommentReference"/>
          <w:sz w:val="24"/>
          <w:szCs w:val="24"/>
        </w:rPr>
        <w:commentReference w:id="32"/>
      </w:r>
      <w:r w:rsidR="00D97E3A" w:rsidRPr="00536B77">
        <w:rPr>
          <w:color w:val="000000"/>
          <w:shd w:val="clear" w:color="auto" w:fill="FFFFFF"/>
        </w:rPr>
        <w:t xml:space="preserve"> </w:t>
      </w:r>
      <w:r w:rsidR="007B5AC4" w:rsidRPr="00536B77">
        <w:rPr>
          <w:color w:val="000000"/>
          <w:shd w:val="clear" w:color="auto" w:fill="FFFFFF"/>
        </w:rPr>
        <w:t xml:space="preserve"> </w:t>
      </w:r>
      <w:r w:rsidR="00D97E3A" w:rsidRPr="00536B77">
        <w:rPr>
          <w:color w:val="000000"/>
          <w:shd w:val="clear" w:color="auto" w:fill="FFFFFF"/>
        </w:rPr>
        <w:t>The case was returned to the original court</w:t>
      </w:r>
      <w:r w:rsidR="00F2235B">
        <w:rPr>
          <w:color w:val="000000"/>
          <w:shd w:val="clear" w:color="auto" w:fill="FFFFFF"/>
        </w:rPr>
        <w:t>,</w:t>
      </w:r>
      <w:r w:rsidR="00D97E3A" w:rsidRPr="00536B77">
        <w:rPr>
          <w:color w:val="000000"/>
          <w:shd w:val="clear" w:color="auto" w:fill="FFFFFF"/>
        </w:rPr>
        <w:t xml:space="preserve"> which held, nevertheless</w:t>
      </w:r>
      <w:r w:rsidR="00757044" w:rsidRPr="00536B77">
        <w:rPr>
          <w:color w:val="000000"/>
          <w:shd w:val="clear" w:color="auto" w:fill="FFFFFF"/>
        </w:rPr>
        <w:t>,</w:t>
      </w:r>
      <w:r w:rsidR="00D97E3A" w:rsidRPr="00536B77">
        <w:rPr>
          <w:color w:val="000000"/>
          <w:shd w:val="clear" w:color="auto" w:fill="FFFFFF"/>
        </w:rPr>
        <w:t xml:space="preserve"> that the claim was time barred. </w:t>
      </w:r>
      <w:r w:rsidR="007B5AC4" w:rsidRPr="00536B77">
        <w:rPr>
          <w:color w:val="000000"/>
          <w:shd w:val="clear" w:color="auto" w:fill="FFFFFF"/>
        </w:rPr>
        <w:t xml:space="preserve"> </w:t>
      </w:r>
      <w:r w:rsidR="00D97E3A" w:rsidRPr="00536B77">
        <w:rPr>
          <w:color w:val="000000"/>
          <w:shd w:val="clear" w:color="auto" w:fill="FFFFFF"/>
        </w:rPr>
        <w:t>This decision was, however, reversed by the Court of Appeal of Florence, and Germany was held liable to pay damages.</w:t>
      </w:r>
      <w:r w:rsidR="00D97E3A" w:rsidRPr="00536B77">
        <w:rPr>
          <w:color w:val="000000"/>
          <w:shd w:val="clear" w:color="auto" w:fill="FFFFFF"/>
          <w:vertAlign w:val="superscript"/>
        </w:rPr>
        <w:footnoteReference w:id="67"/>
      </w:r>
      <w:r w:rsidR="00D97E3A" w:rsidRPr="00536B77">
        <w:rPr>
          <w:color w:val="000000"/>
          <w:shd w:val="clear" w:color="auto" w:fill="FFFFFF"/>
        </w:rPr>
        <w:t xml:space="preserve"> </w:t>
      </w:r>
      <w:r w:rsidR="007B5AC4" w:rsidRPr="00536B77">
        <w:rPr>
          <w:color w:val="000000"/>
          <w:shd w:val="clear" w:color="auto" w:fill="FFFFFF"/>
        </w:rPr>
        <w:t xml:space="preserve"> </w:t>
      </w:r>
      <w:r w:rsidR="00D97E3A" w:rsidRPr="00536B77">
        <w:rPr>
          <w:color w:val="000000"/>
          <w:shd w:val="clear" w:color="auto" w:fill="FFFFFF"/>
        </w:rPr>
        <w:t xml:space="preserve">After the initial Court of Cassation decision in Ferrini, subsequent cases were brought by further claimants in Turin and Sciacca. </w:t>
      </w:r>
      <w:r w:rsidR="007B5AC4" w:rsidRPr="00536B77">
        <w:rPr>
          <w:color w:val="000000"/>
          <w:shd w:val="clear" w:color="auto" w:fill="FFFFFF"/>
        </w:rPr>
        <w:t xml:space="preserve"> </w:t>
      </w:r>
      <w:r w:rsidR="00D97E3A" w:rsidRPr="00536B77">
        <w:rPr>
          <w:color w:val="000000"/>
          <w:shd w:val="clear" w:color="auto" w:fill="FFFFFF"/>
        </w:rPr>
        <w:t xml:space="preserve">These led to the filing of an interlocutory appeal by Germany before the Italian Court of Cassation requesting a declaration of lack of jurisdiction. </w:t>
      </w:r>
      <w:r w:rsidR="007B5AC4" w:rsidRPr="00536B77">
        <w:rPr>
          <w:color w:val="000000"/>
          <w:shd w:val="clear" w:color="auto" w:fill="FFFFFF"/>
        </w:rPr>
        <w:t xml:space="preserve"> </w:t>
      </w:r>
      <w:r w:rsidR="00D97E3A" w:rsidRPr="00536B77">
        <w:rPr>
          <w:color w:val="000000"/>
          <w:shd w:val="clear" w:color="auto" w:fill="FFFFFF"/>
        </w:rPr>
        <w:t>By two orders of 29 May 2008, “the Italian Court of Cassation confirmed that the Italian courts had jurisdiction over the claims against Germany”.</w:t>
      </w:r>
      <w:r w:rsidR="00D97E3A" w:rsidRPr="00536B77">
        <w:rPr>
          <w:color w:val="000000"/>
          <w:shd w:val="clear" w:color="auto" w:fill="FFFFFF"/>
          <w:vertAlign w:val="superscript"/>
        </w:rPr>
        <w:footnoteReference w:id="68"/>
      </w:r>
      <w:r w:rsidR="00D97E3A" w:rsidRPr="00536B77">
        <w:rPr>
          <w:color w:val="000000"/>
          <w:shd w:val="clear" w:color="auto" w:fill="FFFFFF"/>
        </w:rPr>
        <w:t xml:space="preserve"> </w:t>
      </w:r>
      <w:r w:rsidR="007B5AC4" w:rsidRPr="00536B77">
        <w:rPr>
          <w:color w:val="000000"/>
          <w:shd w:val="clear" w:color="auto" w:fill="FFFFFF"/>
        </w:rPr>
        <w:t xml:space="preserve"> </w:t>
      </w:r>
      <w:r w:rsidR="00D97E3A" w:rsidRPr="00536B77">
        <w:rPr>
          <w:color w:val="000000"/>
          <w:shd w:val="clear" w:color="auto" w:fill="FFFFFF"/>
        </w:rPr>
        <w:t xml:space="preserve">Ultimately, Germany brought the case to the </w:t>
      </w:r>
      <w:r w:rsidR="0098341E">
        <w:rPr>
          <w:color w:val="000000"/>
          <w:shd w:val="clear" w:color="auto" w:fill="FFFFFF"/>
        </w:rPr>
        <w:t>ICJ</w:t>
      </w:r>
      <w:r w:rsidR="00F2235B">
        <w:rPr>
          <w:color w:val="000000"/>
          <w:shd w:val="clear" w:color="auto" w:fill="FFFFFF"/>
        </w:rPr>
        <w:t>,</w:t>
      </w:r>
      <w:r w:rsidR="00D97E3A" w:rsidRPr="00536B77">
        <w:rPr>
          <w:color w:val="000000"/>
          <w:shd w:val="clear" w:color="auto" w:fill="FFFFFF"/>
        </w:rPr>
        <w:t xml:space="preserve"> alleging </w:t>
      </w:r>
      <w:r w:rsidR="00D97E3A" w:rsidRPr="00536B77">
        <w:rPr>
          <w:i/>
          <w:iCs/>
          <w:color w:val="000000"/>
          <w:shd w:val="clear" w:color="auto" w:fill="FFFFFF"/>
        </w:rPr>
        <w:t>inter alia</w:t>
      </w:r>
      <w:r w:rsidR="00D97E3A" w:rsidRPr="00536B77">
        <w:rPr>
          <w:color w:val="000000"/>
          <w:shd w:val="clear" w:color="auto" w:fill="FFFFFF"/>
        </w:rPr>
        <w:t xml:space="preserve"> that by allowing civil claims to be brought against it, Italy had failed to respect the jurisdictional immunity that Germany enjoyed under international law.</w:t>
      </w:r>
      <w:r w:rsidR="00D97E3A" w:rsidRPr="00536B77">
        <w:rPr>
          <w:color w:val="000000"/>
          <w:shd w:val="clear" w:color="auto" w:fill="FFFFFF"/>
          <w:vertAlign w:val="superscript"/>
        </w:rPr>
        <w:footnoteReference w:id="69"/>
      </w:r>
      <w:r w:rsidR="00D97E3A" w:rsidRPr="00536B77">
        <w:rPr>
          <w:color w:val="000000"/>
          <w:shd w:val="clear" w:color="auto" w:fill="FFFFFF"/>
        </w:rPr>
        <w:t xml:space="preserve"> </w:t>
      </w:r>
    </w:p>
    <w:p w14:paraId="431E7A14" w14:textId="0BD8EC82" w:rsidR="00060B74" w:rsidRPr="00536B77" w:rsidRDefault="00D97E3A" w:rsidP="00536B77">
      <w:pPr>
        <w:spacing w:line="480" w:lineRule="auto"/>
        <w:ind w:firstLine="720"/>
        <w:rPr>
          <w:rStyle w:val="sb8d990e2"/>
          <w:color w:val="000000"/>
          <w:shd w:val="clear" w:color="auto" w:fill="FFFFFF"/>
        </w:rPr>
      </w:pPr>
      <w:r w:rsidRPr="00536B77">
        <w:rPr>
          <w:color w:val="000000"/>
          <w:shd w:val="clear" w:color="auto" w:fill="FFFFFF"/>
        </w:rPr>
        <w:lastRenderedPageBreak/>
        <w:t>It is not intended here to provide a detailed analysis of the Court’s decision, something that has been done elsewhere by the present author.</w:t>
      </w:r>
      <w:r w:rsidRPr="00536B77">
        <w:rPr>
          <w:color w:val="000000"/>
          <w:shd w:val="clear" w:color="auto" w:fill="FFFFFF"/>
          <w:vertAlign w:val="superscript"/>
        </w:rPr>
        <w:footnoteReference w:id="70"/>
      </w:r>
      <w:r w:rsidRPr="00536B77">
        <w:rPr>
          <w:color w:val="000000"/>
          <w:shd w:val="clear" w:color="auto" w:fill="FFFFFF"/>
        </w:rPr>
        <w:t xml:space="preserve"> </w:t>
      </w:r>
      <w:r w:rsidR="007B5AC4" w:rsidRPr="00536B77">
        <w:rPr>
          <w:color w:val="000000"/>
          <w:shd w:val="clear" w:color="auto" w:fill="FFFFFF"/>
        </w:rPr>
        <w:t xml:space="preserve"> Nevertheless, g</w:t>
      </w:r>
      <w:r w:rsidR="001D1112" w:rsidRPr="00536B77">
        <w:rPr>
          <w:color w:val="000000"/>
          <w:shd w:val="clear" w:color="auto" w:fill="FFFFFF"/>
        </w:rPr>
        <w:t xml:space="preserve">iven the reasoning </w:t>
      </w:r>
      <w:r w:rsidR="007B5AC4" w:rsidRPr="00536B77">
        <w:rPr>
          <w:color w:val="000000"/>
          <w:shd w:val="clear" w:color="auto" w:fill="FFFFFF"/>
        </w:rPr>
        <w:t>outlined</w:t>
      </w:r>
      <w:r w:rsidR="001D1112" w:rsidRPr="00536B77">
        <w:rPr>
          <w:color w:val="000000"/>
          <w:shd w:val="clear" w:color="auto" w:fill="FFFFFF"/>
        </w:rPr>
        <w:t xml:space="preserve"> above, it should </w:t>
      </w:r>
      <w:r w:rsidR="007B5AC4" w:rsidRPr="00536B77">
        <w:rPr>
          <w:color w:val="000000"/>
          <w:shd w:val="clear" w:color="auto" w:fill="FFFFFF"/>
        </w:rPr>
        <w:t>co</w:t>
      </w:r>
      <w:r w:rsidR="00260C6A">
        <w:rPr>
          <w:color w:val="000000"/>
          <w:shd w:val="clear" w:color="auto" w:fill="FFFFFF"/>
        </w:rPr>
        <w:t>me</w:t>
      </w:r>
      <w:r w:rsidR="007B5AC4" w:rsidRPr="00536B77">
        <w:rPr>
          <w:color w:val="000000"/>
          <w:shd w:val="clear" w:color="auto" w:fill="FFFFFF"/>
        </w:rPr>
        <w:t xml:space="preserve"> as no </w:t>
      </w:r>
      <w:r w:rsidR="001D1112" w:rsidRPr="00536B77">
        <w:rPr>
          <w:color w:val="000000"/>
          <w:shd w:val="clear" w:color="auto" w:fill="FFFFFF"/>
        </w:rPr>
        <w:t xml:space="preserve">surprise that the </w:t>
      </w:r>
      <w:r w:rsidR="0098341E">
        <w:rPr>
          <w:color w:val="000000"/>
          <w:shd w:val="clear" w:color="auto" w:fill="FFFFFF"/>
        </w:rPr>
        <w:t>ICJ</w:t>
      </w:r>
      <w:r w:rsidR="001D1112" w:rsidRPr="00536B77">
        <w:rPr>
          <w:color w:val="000000"/>
          <w:shd w:val="clear" w:color="auto" w:fill="FFFFFF"/>
        </w:rPr>
        <w:t xml:space="preserve"> considered that the </w:t>
      </w:r>
      <w:r w:rsidR="001D1112" w:rsidRPr="008F77DD">
        <w:rPr>
          <w:i/>
          <w:color w:val="000000"/>
          <w:shd w:val="clear" w:color="auto" w:fill="FFFFFF"/>
        </w:rPr>
        <w:t>Pinochet</w:t>
      </w:r>
      <w:r w:rsidR="001D1112" w:rsidRPr="00536B77">
        <w:rPr>
          <w:color w:val="000000"/>
          <w:shd w:val="clear" w:color="auto" w:fill="FFFFFF"/>
        </w:rPr>
        <w:t xml:space="preserve"> decision was irrelevant to the present case on the grounds that “Pinochet concerned the immunity of a former </w:t>
      </w:r>
      <w:r w:rsidR="000F6A9C" w:rsidRPr="00536B77">
        <w:rPr>
          <w:color w:val="000000"/>
          <w:shd w:val="clear" w:color="auto" w:fill="FFFFFF"/>
        </w:rPr>
        <w:t>Head of</w:t>
      </w:r>
      <w:r w:rsidR="001D1112" w:rsidRPr="00536B77">
        <w:rPr>
          <w:color w:val="000000"/>
          <w:shd w:val="clear" w:color="auto" w:fill="FFFFFF"/>
        </w:rPr>
        <w:t xml:space="preserve"> </w:t>
      </w:r>
      <w:r w:rsidR="000F6A9C" w:rsidRPr="00536B77">
        <w:rPr>
          <w:color w:val="000000"/>
          <w:shd w:val="clear" w:color="auto" w:fill="FFFFFF"/>
        </w:rPr>
        <w:t>State</w:t>
      </w:r>
      <w:r w:rsidR="001D1112" w:rsidRPr="00536B77">
        <w:rPr>
          <w:color w:val="000000"/>
          <w:shd w:val="clear" w:color="auto" w:fill="FFFFFF"/>
        </w:rPr>
        <w:t xml:space="preserve"> from the criminal jurisdiction of another </w:t>
      </w:r>
      <w:r w:rsidR="000F6A9C" w:rsidRPr="00536B77">
        <w:rPr>
          <w:color w:val="000000"/>
          <w:shd w:val="clear" w:color="auto" w:fill="FFFFFF"/>
        </w:rPr>
        <w:t>State</w:t>
      </w:r>
      <w:r w:rsidR="001D1112" w:rsidRPr="00536B77">
        <w:rPr>
          <w:color w:val="000000"/>
          <w:shd w:val="clear" w:color="auto" w:fill="FFFFFF"/>
        </w:rPr>
        <w:t xml:space="preserve">, not the immunity of the </w:t>
      </w:r>
      <w:r w:rsidR="000F6A9C" w:rsidRPr="00536B77">
        <w:rPr>
          <w:color w:val="000000"/>
          <w:shd w:val="clear" w:color="auto" w:fill="FFFFFF"/>
        </w:rPr>
        <w:t>State</w:t>
      </w:r>
      <w:r w:rsidR="001D1112" w:rsidRPr="00536B77">
        <w:rPr>
          <w:color w:val="000000"/>
          <w:shd w:val="clear" w:color="auto" w:fill="FFFFFF"/>
        </w:rPr>
        <w:t xml:space="preserve"> itself designed to establish its liability to damages</w:t>
      </w:r>
      <w:r w:rsidR="00071B8F" w:rsidRPr="00536B77">
        <w:rPr>
          <w:color w:val="000000"/>
          <w:shd w:val="clear" w:color="auto" w:fill="FFFFFF"/>
        </w:rPr>
        <w:t>.”</w:t>
      </w:r>
      <w:r w:rsidR="00071B8F" w:rsidRPr="00536B77">
        <w:rPr>
          <w:rStyle w:val="FootnoteReference"/>
          <w:color w:val="000000"/>
          <w:shd w:val="clear" w:color="auto" w:fill="FFFFFF"/>
        </w:rPr>
        <w:footnoteReference w:id="71"/>
      </w:r>
      <w:r w:rsidR="00071B8F" w:rsidRPr="00536B77">
        <w:rPr>
          <w:color w:val="000000"/>
          <w:shd w:val="clear" w:color="auto" w:fill="FFFFFF"/>
        </w:rPr>
        <w:t xml:space="preserve"> </w:t>
      </w:r>
      <w:r w:rsidR="007B5AC4" w:rsidRPr="00536B77">
        <w:rPr>
          <w:color w:val="000000"/>
          <w:shd w:val="clear" w:color="auto" w:fill="FFFFFF"/>
        </w:rPr>
        <w:t xml:space="preserve"> </w:t>
      </w:r>
      <w:r w:rsidR="00071B8F" w:rsidRPr="00536B77">
        <w:rPr>
          <w:color w:val="000000"/>
          <w:shd w:val="clear" w:color="auto" w:fill="FFFFFF"/>
        </w:rPr>
        <w:t xml:space="preserve">The Court further noted that: “In its later judgment in </w:t>
      </w:r>
      <w:r w:rsidR="00071B8F" w:rsidRPr="00536B77">
        <w:rPr>
          <w:i/>
          <w:color w:val="000000"/>
          <w:shd w:val="clear" w:color="auto" w:fill="FFFFFF"/>
        </w:rPr>
        <w:t>Jones v</w:t>
      </w:r>
      <w:r w:rsidR="00F2235B">
        <w:rPr>
          <w:i/>
          <w:color w:val="000000"/>
          <w:shd w:val="clear" w:color="auto" w:fill="FFFFFF"/>
        </w:rPr>
        <w:t>.</w:t>
      </w:r>
      <w:r w:rsidR="00071B8F" w:rsidRPr="00536B77">
        <w:rPr>
          <w:i/>
          <w:color w:val="000000"/>
          <w:shd w:val="clear" w:color="auto" w:fill="FFFFFF"/>
        </w:rPr>
        <w:t xml:space="preserve"> Saudi Arabia</w:t>
      </w:r>
      <w:r w:rsidR="00071B8F" w:rsidRPr="00536B77">
        <w:rPr>
          <w:color w:val="000000"/>
          <w:shd w:val="clear" w:color="auto" w:fill="FFFFFF"/>
        </w:rPr>
        <w:t xml:space="preserve">, the House of Lords further clarified this distinction, Lord Bingham describing the distinction between civil and criminal proceedings as ‘fundamental to the decision’ in </w:t>
      </w:r>
      <w:r w:rsidR="00071B8F" w:rsidRPr="008F77DD">
        <w:rPr>
          <w:i/>
          <w:color w:val="000000"/>
          <w:shd w:val="clear" w:color="auto" w:fill="FFFFFF"/>
        </w:rPr>
        <w:t>Pinochet</w:t>
      </w:r>
      <w:r w:rsidR="00071B8F" w:rsidRPr="00536B77">
        <w:rPr>
          <w:color w:val="000000"/>
          <w:shd w:val="clear" w:color="auto" w:fill="FFFFFF"/>
        </w:rPr>
        <w:t>.”</w:t>
      </w:r>
      <w:r w:rsidR="00071B8F" w:rsidRPr="00536B77">
        <w:rPr>
          <w:rStyle w:val="FootnoteReference"/>
          <w:color w:val="000000"/>
          <w:shd w:val="clear" w:color="auto" w:fill="FFFFFF"/>
        </w:rPr>
        <w:footnoteReference w:id="72"/>
      </w:r>
      <w:r w:rsidR="00A236BD" w:rsidRPr="00536B77">
        <w:rPr>
          <w:color w:val="000000"/>
          <w:shd w:val="clear" w:color="auto" w:fill="FFFFFF"/>
        </w:rPr>
        <w:t xml:space="preserve"> </w:t>
      </w:r>
      <w:r w:rsidR="007B5AC4" w:rsidRPr="00536B77">
        <w:rPr>
          <w:color w:val="000000"/>
          <w:shd w:val="clear" w:color="auto" w:fill="FFFFFF"/>
        </w:rPr>
        <w:t xml:space="preserve"> </w:t>
      </w:r>
      <w:r w:rsidR="00A236BD" w:rsidRPr="00536B77">
        <w:rPr>
          <w:color w:val="000000"/>
          <w:shd w:val="clear" w:color="auto" w:fill="FFFFFF"/>
        </w:rPr>
        <w:t>Ultimately</w:t>
      </w:r>
      <w:r w:rsidR="00F2235B">
        <w:rPr>
          <w:color w:val="000000"/>
          <w:shd w:val="clear" w:color="auto" w:fill="FFFFFF"/>
        </w:rPr>
        <w:t>,</w:t>
      </w:r>
      <w:r w:rsidR="00A236BD" w:rsidRPr="00536B77">
        <w:rPr>
          <w:color w:val="000000"/>
          <w:shd w:val="clear" w:color="auto" w:fill="FFFFFF"/>
        </w:rPr>
        <w:t xml:space="preserve"> the ICJ found</w:t>
      </w:r>
      <w:r w:rsidR="00071B8F" w:rsidRPr="00536B77">
        <w:rPr>
          <w:color w:val="000000"/>
          <w:shd w:val="clear" w:color="auto" w:fill="FFFFFF"/>
        </w:rPr>
        <w:t xml:space="preserve"> that there is no limitation of </w:t>
      </w:r>
      <w:r w:rsidR="000F6A9C" w:rsidRPr="00536B77">
        <w:rPr>
          <w:color w:val="000000"/>
          <w:shd w:val="clear" w:color="auto" w:fill="FFFFFF"/>
        </w:rPr>
        <w:t>State</w:t>
      </w:r>
      <w:r w:rsidR="00071B8F" w:rsidRPr="00536B77">
        <w:rPr>
          <w:color w:val="000000"/>
          <w:shd w:val="clear" w:color="auto" w:fill="FFFFFF"/>
        </w:rPr>
        <w:t xml:space="preserve"> immunity by virtue of “the gravity of the violation or the peremptory character of the rule breached”.</w:t>
      </w:r>
      <w:r w:rsidR="00A236BD" w:rsidRPr="00536B77">
        <w:rPr>
          <w:rStyle w:val="FootnoteReference"/>
          <w:color w:val="000000"/>
          <w:shd w:val="clear" w:color="auto" w:fill="FFFFFF"/>
        </w:rPr>
        <w:footnoteReference w:id="73"/>
      </w:r>
      <w:r w:rsidR="00071B8F" w:rsidRPr="00536B77">
        <w:rPr>
          <w:color w:val="000000"/>
          <w:shd w:val="clear" w:color="auto" w:fill="FFFFFF"/>
        </w:rPr>
        <w:t xml:space="preserve"> </w:t>
      </w:r>
      <w:r w:rsidR="007B5AC4" w:rsidRPr="00536B77">
        <w:rPr>
          <w:color w:val="000000"/>
          <w:shd w:val="clear" w:color="auto" w:fill="FFFFFF"/>
        </w:rPr>
        <w:t xml:space="preserve"> </w:t>
      </w:r>
      <w:r w:rsidR="00071B8F" w:rsidRPr="00536B77">
        <w:rPr>
          <w:color w:val="000000"/>
          <w:shd w:val="clear" w:color="auto" w:fill="FFFFFF"/>
        </w:rPr>
        <w:t xml:space="preserve">It noted that none of the relevant </w:t>
      </w:r>
      <w:r w:rsidR="000F6A9C" w:rsidRPr="00536B77">
        <w:rPr>
          <w:color w:val="000000"/>
          <w:shd w:val="clear" w:color="auto" w:fill="FFFFFF"/>
        </w:rPr>
        <w:t>State</w:t>
      </w:r>
      <w:r w:rsidR="00071B8F" w:rsidRPr="00536B77">
        <w:rPr>
          <w:color w:val="000000"/>
          <w:shd w:val="clear" w:color="auto" w:fill="FFFFFF"/>
        </w:rPr>
        <w:t xml:space="preserve"> practice </w:t>
      </w:r>
      <w:r w:rsidR="00A236BD" w:rsidRPr="00536B77">
        <w:rPr>
          <w:color w:val="000000"/>
          <w:shd w:val="clear" w:color="auto" w:fill="FFFFFF"/>
        </w:rPr>
        <w:t xml:space="preserve">and none of the relevant multilateral </w:t>
      </w:r>
      <w:r w:rsidR="00071B8F" w:rsidRPr="00536B77">
        <w:rPr>
          <w:color w:val="000000"/>
          <w:shd w:val="clear" w:color="auto" w:fill="FFFFFF"/>
        </w:rPr>
        <w:t xml:space="preserve">treaties, including the European Convention on </w:t>
      </w:r>
      <w:r w:rsidR="000F6A9C" w:rsidRPr="00536B77">
        <w:rPr>
          <w:color w:val="000000"/>
          <w:shd w:val="clear" w:color="auto" w:fill="FFFFFF"/>
        </w:rPr>
        <w:t>State</w:t>
      </w:r>
      <w:r w:rsidR="00071B8F" w:rsidRPr="00536B77">
        <w:rPr>
          <w:color w:val="000000"/>
          <w:shd w:val="clear" w:color="auto" w:fill="FFFFFF"/>
        </w:rPr>
        <w:t xml:space="preserve"> Immunity, 1972, the United Nations Convention</w:t>
      </w:r>
      <w:r w:rsidR="00A236BD" w:rsidRPr="00536B77">
        <w:rPr>
          <w:color w:val="000000"/>
          <w:shd w:val="clear" w:color="auto" w:fill="FFFFFF"/>
        </w:rPr>
        <w:t xml:space="preserve"> 2004 or the draft Inter-American Convention on Jurisdictional Immunity of </w:t>
      </w:r>
      <w:r w:rsidR="000F6A9C" w:rsidRPr="00536B77">
        <w:rPr>
          <w:color w:val="000000"/>
          <w:shd w:val="clear" w:color="auto" w:fill="FFFFFF"/>
        </w:rPr>
        <w:t>State</w:t>
      </w:r>
      <w:r w:rsidR="00A236BD" w:rsidRPr="00536B77">
        <w:rPr>
          <w:color w:val="000000"/>
          <w:shd w:val="clear" w:color="auto" w:fill="FFFFFF"/>
        </w:rPr>
        <w:t>s include</w:t>
      </w:r>
      <w:r w:rsidR="007B5AC4" w:rsidRPr="00536B77">
        <w:rPr>
          <w:color w:val="000000"/>
          <w:shd w:val="clear" w:color="auto" w:fill="FFFFFF"/>
        </w:rPr>
        <w:t>d such an exception to immunity</w:t>
      </w:r>
      <w:r w:rsidR="00A236BD" w:rsidRPr="00536B77">
        <w:rPr>
          <w:color w:val="000000"/>
          <w:shd w:val="clear" w:color="auto" w:fill="FFFFFF"/>
        </w:rPr>
        <w:t xml:space="preserve">. </w:t>
      </w:r>
      <w:r w:rsidR="007B5AC4" w:rsidRPr="00536B77">
        <w:rPr>
          <w:color w:val="000000"/>
          <w:shd w:val="clear" w:color="auto" w:fill="FFFFFF"/>
        </w:rPr>
        <w:t xml:space="preserve"> </w:t>
      </w:r>
      <w:r w:rsidR="00A236BD" w:rsidRPr="00536B77">
        <w:rPr>
          <w:color w:val="000000"/>
          <w:shd w:val="clear" w:color="auto" w:fill="FFFFFF"/>
        </w:rPr>
        <w:t xml:space="preserve">Although </w:t>
      </w:r>
      <w:r w:rsidR="007B5AC4" w:rsidRPr="00536B77">
        <w:rPr>
          <w:color w:val="000000"/>
          <w:shd w:val="clear" w:color="auto" w:fill="FFFFFF"/>
        </w:rPr>
        <w:t xml:space="preserve">it has been </w:t>
      </w:r>
      <w:r w:rsidR="00A236BD" w:rsidRPr="00536B77">
        <w:rPr>
          <w:color w:val="000000"/>
          <w:shd w:val="clear" w:color="auto" w:fill="FFFFFF"/>
        </w:rPr>
        <w:t xml:space="preserve">criticised by some as being too </w:t>
      </w:r>
      <w:r w:rsidR="000F6A9C" w:rsidRPr="00536B77">
        <w:rPr>
          <w:color w:val="000000"/>
          <w:shd w:val="clear" w:color="auto" w:fill="FFFFFF"/>
        </w:rPr>
        <w:t>State</w:t>
      </w:r>
      <w:r w:rsidR="007B5AC4" w:rsidRPr="00536B77">
        <w:rPr>
          <w:color w:val="000000"/>
          <w:shd w:val="clear" w:color="auto" w:fill="FFFFFF"/>
        </w:rPr>
        <w:t>-centric,</w:t>
      </w:r>
      <w:commentRangeStart w:id="33"/>
      <w:r w:rsidR="007B5AC4" w:rsidRPr="00536B77">
        <w:rPr>
          <w:rStyle w:val="FootnoteReference"/>
          <w:color w:val="000000"/>
          <w:shd w:val="clear" w:color="auto" w:fill="FFFFFF"/>
        </w:rPr>
        <w:footnoteReference w:id="74"/>
      </w:r>
      <w:commentRangeEnd w:id="33"/>
      <w:r w:rsidR="00E041AA" w:rsidRPr="00536B77">
        <w:rPr>
          <w:rStyle w:val="CommentReference"/>
          <w:sz w:val="24"/>
          <w:szCs w:val="24"/>
        </w:rPr>
        <w:commentReference w:id="33"/>
      </w:r>
      <w:r w:rsidR="007B5AC4" w:rsidRPr="00536B77">
        <w:rPr>
          <w:color w:val="000000"/>
          <w:shd w:val="clear" w:color="auto" w:fill="FFFFFF"/>
        </w:rPr>
        <w:t xml:space="preserve"> </w:t>
      </w:r>
      <w:r w:rsidR="00A236BD" w:rsidRPr="00536B77">
        <w:rPr>
          <w:color w:val="000000"/>
          <w:shd w:val="clear" w:color="auto" w:fill="FFFFFF"/>
        </w:rPr>
        <w:t xml:space="preserve">the ICJ in </w:t>
      </w:r>
      <w:r w:rsidR="00A236BD" w:rsidRPr="00536B77">
        <w:rPr>
          <w:i/>
          <w:color w:val="000000"/>
          <w:shd w:val="clear" w:color="auto" w:fill="FFFFFF"/>
        </w:rPr>
        <w:t xml:space="preserve">Jurisdictional Immunities of the </w:t>
      </w:r>
      <w:r w:rsidR="000F6A9C" w:rsidRPr="00536B77">
        <w:rPr>
          <w:i/>
          <w:color w:val="000000"/>
          <w:shd w:val="clear" w:color="auto" w:fill="FFFFFF"/>
        </w:rPr>
        <w:t>State</w:t>
      </w:r>
      <w:r w:rsidR="00A236BD" w:rsidRPr="00536B77">
        <w:rPr>
          <w:color w:val="000000"/>
          <w:shd w:val="clear" w:color="auto" w:fill="FFFFFF"/>
        </w:rPr>
        <w:t xml:space="preserve">, in much the same way as the House of Lords </w:t>
      </w:r>
      <w:commentRangeStart w:id="34"/>
      <w:r w:rsidR="00A236BD" w:rsidRPr="00536B77">
        <w:rPr>
          <w:color w:val="000000"/>
          <w:shd w:val="clear" w:color="auto" w:fill="FFFFFF"/>
        </w:rPr>
        <w:t xml:space="preserve">sought to do in its </w:t>
      </w:r>
      <w:r w:rsidR="00A236BD" w:rsidRPr="00536B77">
        <w:rPr>
          <w:i/>
          <w:color w:val="000000"/>
          <w:shd w:val="clear" w:color="auto" w:fill="FFFFFF"/>
        </w:rPr>
        <w:t>Pinochet</w:t>
      </w:r>
      <w:r w:rsidR="00A236BD" w:rsidRPr="00536B77">
        <w:rPr>
          <w:color w:val="000000"/>
          <w:shd w:val="clear" w:color="auto" w:fill="FFFFFF"/>
        </w:rPr>
        <w:t xml:space="preserve"> judgment, sought </w:t>
      </w:r>
      <w:commentRangeEnd w:id="34"/>
      <w:r w:rsidR="00F2235B">
        <w:rPr>
          <w:rStyle w:val="CommentReference"/>
        </w:rPr>
        <w:commentReference w:id="34"/>
      </w:r>
      <w:r w:rsidR="00A236BD" w:rsidRPr="00536B77">
        <w:rPr>
          <w:color w:val="000000"/>
          <w:shd w:val="clear" w:color="auto" w:fill="FFFFFF"/>
        </w:rPr>
        <w:t xml:space="preserve">to </w:t>
      </w:r>
      <w:r w:rsidR="000F6A9C" w:rsidRPr="00536B77">
        <w:rPr>
          <w:color w:val="000000"/>
          <w:shd w:val="clear" w:color="auto" w:fill="FFFFFF"/>
        </w:rPr>
        <w:t>State</w:t>
      </w:r>
      <w:r w:rsidR="00A236BD" w:rsidRPr="00536B77">
        <w:rPr>
          <w:color w:val="000000"/>
          <w:shd w:val="clear" w:color="auto" w:fill="FFFFFF"/>
        </w:rPr>
        <w:t xml:space="preserve"> the law as it stands not as other would like it to be.</w:t>
      </w:r>
    </w:p>
    <w:p w14:paraId="033E3B98" w14:textId="77777777" w:rsidR="00060B74" w:rsidRPr="00536B77" w:rsidRDefault="007B5AC4" w:rsidP="00536B77">
      <w:pPr>
        <w:spacing w:line="480" w:lineRule="auto"/>
        <w:rPr>
          <w:rStyle w:val="sb8d990e2"/>
          <w:b/>
          <w:color w:val="000000"/>
          <w:shd w:val="clear" w:color="auto" w:fill="FFFFFF"/>
        </w:rPr>
      </w:pPr>
      <w:r w:rsidRPr="00536B77">
        <w:rPr>
          <w:rStyle w:val="sb8d990e2"/>
          <w:b/>
          <w:color w:val="000000"/>
          <w:shd w:val="clear" w:color="auto" w:fill="FFFFFF"/>
        </w:rPr>
        <w:t xml:space="preserve">VI.) </w:t>
      </w:r>
      <w:r w:rsidR="00A236BD" w:rsidRPr="00536B77">
        <w:rPr>
          <w:rStyle w:val="sb8d990e2"/>
          <w:b/>
          <w:color w:val="000000"/>
          <w:shd w:val="clear" w:color="auto" w:fill="FFFFFF"/>
        </w:rPr>
        <w:t xml:space="preserve">Conclusions </w:t>
      </w:r>
    </w:p>
    <w:p w14:paraId="0580E008" w14:textId="1BF5F306" w:rsidR="00A236BD" w:rsidRPr="00536B77" w:rsidRDefault="00A236BD" w:rsidP="00536B77">
      <w:pPr>
        <w:spacing w:line="480" w:lineRule="auto"/>
        <w:rPr>
          <w:rStyle w:val="sb8d990e2"/>
          <w:color w:val="000000"/>
          <w:shd w:val="clear" w:color="auto" w:fill="FFFFFF"/>
        </w:rPr>
      </w:pPr>
      <w:r w:rsidRPr="00536B77">
        <w:rPr>
          <w:rStyle w:val="sb8d990e2"/>
          <w:color w:val="000000"/>
          <w:shd w:val="clear" w:color="auto" w:fill="FFFFFF"/>
        </w:rPr>
        <w:t xml:space="preserve">The decision in </w:t>
      </w:r>
      <w:r w:rsidR="007B5AC4" w:rsidRPr="00536B77">
        <w:rPr>
          <w:rStyle w:val="sb8d990e2"/>
          <w:i/>
          <w:color w:val="000000"/>
          <w:shd w:val="clear" w:color="auto" w:fill="FFFFFF"/>
        </w:rPr>
        <w:t>Pinochet No</w:t>
      </w:r>
      <w:r w:rsidR="00F2235B">
        <w:rPr>
          <w:rStyle w:val="sb8d990e2"/>
          <w:i/>
          <w:color w:val="000000"/>
          <w:shd w:val="clear" w:color="auto" w:fill="FFFFFF"/>
        </w:rPr>
        <w:t>.</w:t>
      </w:r>
      <w:r w:rsidR="007B5AC4" w:rsidRPr="00536B77">
        <w:rPr>
          <w:rStyle w:val="sb8d990e2"/>
          <w:i/>
          <w:color w:val="000000"/>
          <w:shd w:val="clear" w:color="auto" w:fill="FFFFFF"/>
        </w:rPr>
        <w:t xml:space="preserve"> 3</w:t>
      </w:r>
      <w:r w:rsidRPr="00536B77">
        <w:rPr>
          <w:rStyle w:val="sb8d990e2"/>
          <w:color w:val="000000"/>
          <w:shd w:val="clear" w:color="auto" w:fill="FFFFFF"/>
        </w:rPr>
        <w:t xml:space="preserve"> </w:t>
      </w:r>
      <w:r w:rsidR="00997B5D" w:rsidRPr="00536B77">
        <w:rPr>
          <w:rStyle w:val="sb8d990e2"/>
          <w:color w:val="000000"/>
          <w:shd w:val="clear" w:color="auto" w:fill="FFFFFF"/>
        </w:rPr>
        <w:t xml:space="preserve">certainly brought the issue of the relationship between immunities and human rights to the forefront of academic debate in international law. </w:t>
      </w:r>
      <w:r w:rsidR="007B5AC4" w:rsidRPr="00536B77">
        <w:rPr>
          <w:rStyle w:val="sb8d990e2"/>
          <w:color w:val="000000"/>
          <w:shd w:val="clear" w:color="auto" w:fill="FFFFFF"/>
        </w:rPr>
        <w:t xml:space="preserve"> </w:t>
      </w:r>
      <w:r w:rsidR="00997B5D" w:rsidRPr="00536B77">
        <w:rPr>
          <w:rStyle w:val="sb8d990e2"/>
          <w:color w:val="000000"/>
          <w:shd w:val="clear" w:color="auto" w:fill="FFFFFF"/>
        </w:rPr>
        <w:lastRenderedPageBreak/>
        <w:t xml:space="preserve">However, the decision itself has proved to be of limited value to proponents of further limitation of immunities beyond those of former </w:t>
      </w:r>
      <w:r w:rsidR="002817CF">
        <w:rPr>
          <w:rStyle w:val="sb8d990e2"/>
          <w:color w:val="000000"/>
          <w:shd w:val="clear" w:color="auto" w:fill="FFFFFF"/>
        </w:rPr>
        <w:t>H</w:t>
      </w:r>
      <w:r w:rsidR="002817CF" w:rsidRPr="00536B77">
        <w:rPr>
          <w:rStyle w:val="sb8d990e2"/>
          <w:color w:val="000000"/>
          <w:shd w:val="clear" w:color="auto" w:fill="FFFFFF"/>
        </w:rPr>
        <w:t xml:space="preserve">eads </w:t>
      </w:r>
      <w:r w:rsidR="00997B5D" w:rsidRPr="00536B77">
        <w:rPr>
          <w:rStyle w:val="sb8d990e2"/>
          <w:color w:val="000000"/>
          <w:shd w:val="clear" w:color="auto" w:fill="FFFFFF"/>
        </w:rPr>
        <w:t xml:space="preserve">of </w:t>
      </w:r>
      <w:r w:rsidR="000F6A9C" w:rsidRPr="00536B77">
        <w:rPr>
          <w:rStyle w:val="sb8d990e2"/>
          <w:color w:val="000000"/>
          <w:shd w:val="clear" w:color="auto" w:fill="FFFFFF"/>
        </w:rPr>
        <w:t>State</w:t>
      </w:r>
      <w:r w:rsidR="00997B5D" w:rsidRPr="00536B77">
        <w:rPr>
          <w:rStyle w:val="sb8d990e2"/>
          <w:color w:val="000000"/>
          <w:shd w:val="clear" w:color="auto" w:fill="FFFFFF"/>
        </w:rPr>
        <w:t xml:space="preserve">s in relation to the crime of torture. </w:t>
      </w:r>
      <w:r w:rsidR="007B5AC4" w:rsidRPr="00536B77">
        <w:rPr>
          <w:rStyle w:val="sb8d990e2"/>
          <w:color w:val="000000"/>
          <w:shd w:val="clear" w:color="auto" w:fill="FFFFFF"/>
        </w:rPr>
        <w:t xml:space="preserve"> </w:t>
      </w:r>
      <w:r w:rsidR="00997B5D" w:rsidRPr="00536B77">
        <w:rPr>
          <w:rStyle w:val="sb8d990e2"/>
          <w:color w:val="000000"/>
          <w:shd w:val="clear" w:color="auto" w:fill="FFFFFF"/>
        </w:rPr>
        <w:t xml:space="preserve">It seems that </w:t>
      </w:r>
      <w:r w:rsidR="000F6A9C" w:rsidRPr="00536B77">
        <w:rPr>
          <w:rStyle w:val="sb8d990e2"/>
          <w:color w:val="000000"/>
          <w:shd w:val="clear" w:color="auto" w:fill="FFFFFF"/>
        </w:rPr>
        <w:t>State</w:t>
      </w:r>
      <w:r w:rsidR="00997B5D" w:rsidRPr="00536B77">
        <w:rPr>
          <w:rStyle w:val="sb8d990e2"/>
          <w:color w:val="000000"/>
          <w:shd w:val="clear" w:color="auto" w:fill="FFFFFF"/>
        </w:rPr>
        <w:t xml:space="preserve">s </w:t>
      </w:r>
      <w:r w:rsidR="002817CF">
        <w:rPr>
          <w:rStyle w:val="sb8d990e2"/>
          <w:color w:val="000000"/>
          <w:shd w:val="clear" w:color="auto" w:fill="FFFFFF"/>
        </w:rPr>
        <w:t xml:space="preserve">– </w:t>
      </w:r>
      <w:r w:rsidR="00997B5D" w:rsidRPr="00536B77">
        <w:rPr>
          <w:rStyle w:val="sb8d990e2"/>
          <w:color w:val="000000"/>
          <w:shd w:val="clear" w:color="auto" w:fill="FFFFFF"/>
        </w:rPr>
        <w:t xml:space="preserve">and the highest national and international courts </w:t>
      </w:r>
      <w:r w:rsidR="002817CF">
        <w:rPr>
          <w:rStyle w:val="sb8d990e2"/>
          <w:color w:val="000000"/>
          <w:shd w:val="clear" w:color="auto" w:fill="FFFFFF"/>
        </w:rPr>
        <w:t xml:space="preserve">– </w:t>
      </w:r>
      <w:r w:rsidR="00997B5D" w:rsidRPr="00536B77">
        <w:rPr>
          <w:rStyle w:val="sb8d990e2"/>
          <w:color w:val="000000"/>
          <w:shd w:val="clear" w:color="auto" w:fill="FFFFFF"/>
        </w:rPr>
        <w:t xml:space="preserve">are reluctant further to limit </w:t>
      </w:r>
      <w:r w:rsidR="000F6A9C" w:rsidRPr="00536B77">
        <w:rPr>
          <w:rStyle w:val="sb8d990e2"/>
          <w:color w:val="000000"/>
          <w:shd w:val="clear" w:color="auto" w:fill="FFFFFF"/>
        </w:rPr>
        <w:t>State</w:t>
      </w:r>
      <w:r w:rsidR="00997B5D" w:rsidRPr="00536B77">
        <w:rPr>
          <w:rStyle w:val="sb8d990e2"/>
          <w:color w:val="000000"/>
          <w:shd w:val="clear" w:color="auto" w:fill="FFFFFF"/>
        </w:rPr>
        <w:t xml:space="preserve"> immunity. </w:t>
      </w:r>
      <w:r w:rsidR="007B5AC4" w:rsidRPr="00536B77">
        <w:rPr>
          <w:rStyle w:val="sb8d990e2"/>
          <w:color w:val="000000"/>
          <w:shd w:val="clear" w:color="auto" w:fill="FFFFFF"/>
        </w:rPr>
        <w:t xml:space="preserve"> As has been noted above, t</w:t>
      </w:r>
      <w:r w:rsidR="00997B5D" w:rsidRPr="00536B77">
        <w:rPr>
          <w:rStyle w:val="sb8d990e2"/>
          <w:color w:val="000000"/>
          <w:shd w:val="clear" w:color="auto" w:fill="FFFFFF"/>
        </w:rPr>
        <w:t xml:space="preserve">he International Law Commission is currently examining the question of </w:t>
      </w:r>
      <w:commentRangeStart w:id="35"/>
      <w:r w:rsidR="00997B5D" w:rsidRPr="00536B77">
        <w:rPr>
          <w:rStyle w:val="sb8d990e2"/>
          <w:color w:val="000000"/>
          <w:shd w:val="clear" w:color="auto" w:fill="FFFFFF"/>
        </w:rPr>
        <w:t xml:space="preserve">“Immunity of </w:t>
      </w:r>
      <w:r w:rsidR="000F6A9C" w:rsidRPr="00536B77">
        <w:rPr>
          <w:rStyle w:val="sb8d990e2"/>
          <w:color w:val="000000"/>
          <w:shd w:val="clear" w:color="auto" w:fill="FFFFFF"/>
        </w:rPr>
        <w:t>State</w:t>
      </w:r>
      <w:r w:rsidR="00997B5D" w:rsidRPr="00536B77">
        <w:rPr>
          <w:rStyle w:val="sb8d990e2"/>
          <w:color w:val="000000"/>
          <w:shd w:val="clear" w:color="auto" w:fill="FFFFFF"/>
        </w:rPr>
        <w:t xml:space="preserve"> Officials from Foreign Criminal Jurisdiction”</w:t>
      </w:r>
      <w:commentRangeEnd w:id="35"/>
      <w:r w:rsidR="00F81E63">
        <w:rPr>
          <w:rStyle w:val="CommentReference"/>
        </w:rPr>
        <w:commentReference w:id="35"/>
      </w:r>
      <w:r w:rsidR="00546479">
        <w:rPr>
          <w:rStyle w:val="FootnoteReference"/>
          <w:color w:val="000000"/>
          <w:shd w:val="clear" w:color="auto" w:fill="FFFFFF"/>
        </w:rPr>
        <w:footnoteReference w:id="75"/>
      </w:r>
      <w:r w:rsidR="00997B5D" w:rsidRPr="00536B77">
        <w:rPr>
          <w:rStyle w:val="sb8d990e2"/>
          <w:color w:val="000000"/>
          <w:shd w:val="clear" w:color="auto" w:fill="FFFFFF"/>
        </w:rPr>
        <w:t xml:space="preserve"> and it remains to be seen whether that work will result in a strengthening or diminution of the immunity of such individuals. </w:t>
      </w:r>
    </w:p>
    <w:p w14:paraId="3C1F5406" w14:textId="4578DEB5" w:rsidR="007B5AC4" w:rsidRPr="00536B77" w:rsidRDefault="0010607B" w:rsidP="00536B77">
      <w:pPr>
        <w:spacing w:line="480" w:lineRule="auto"/>
        <w:ind w:firstLine="720"/>
        <w:rPr>
          <w:rStyle w:val="sb8d990e2"/>
          <w:color w:val="000000"/>
          <w:shd w:val="clear" w:color="auto" w:fill="FFFFFF"/>
        </w:rPr>
      </w:pPr>
      <w:r w:rsidRPr="00536B77">
        <w:rPr>
          <w:rStyle w:val="sb8d990e2"/>
          <w:color w:val="000000"/>
          <w:shd w:val="clear" w:color="auto" w:fill="FFFFFF"/>
        </w:rPr>
        <w:t xml:space="preserve">The decision in </w:t>
      </w:r>
      <w:r w:rsidRPr="00536B77">
        <w:rPr>
          <w:rStyle w:val="sb8d990e2"/>
          <w:i/>
          <w:color w:val="000000"/>
          <w:shd w:val="clear" w:color="auto" w:fill="FFFFFF"/>
        </w:rPr>
        <w:t xml:space="preserve">Jurisdictional Immunities of the </w:t>
      </w:r>
      <w:r w:rsidR="000F6A9C" w:rsidRPr="00536B77">
        <w:rPr>
          <w:rStyle w:val="sb8d990e2"/>
          <w:i/>
          <w:color w:val="000000"/>
          <w:shd w:val="clear" w:color="auto" w:fill="FFFFFF"/>
        </w:rPr>
        <w:t>State</w:t>
      </w:r>
      <w:r w:rsidRPr="00536B77">
        <w:rPr>
          <w:rStyle w:val="sb8d990e2"/>
          <w:color w:val="000000"/>
          <w:shd w:val="clear" w:color="auto" w:fill="FFFFFF"/>
        </w:rPr>
        <w:t xml:space="preserve"> has likely ensured that it will be some time before domestic courts will feel able to challenge any form of jurisdictional immunities in the con</w:t>
      </w:r>
      <w:r w:rsidR="007B5AC4" w:rsidRPr="00536B77">
        <w:rPr>
          <w:rStyle w:val="sb8d990e2"/>
          <w:color w:val="000000"/>
          <w:shd w:val="clear" w:color="auto" w:fill="FFFFFF"/>
        </w:rPr>
        <w:t>text of human rights violations</w:t>
      </w:r>
      <w:r w:rsidRPr="00536B77">
        <w:rPr>
          <w:rStyle w:val="sb8d990e2"/>
          <w:color w:val="000000"/>
          <w:shd w:val="clear" w:color="auto" w:fill="FFFFFF"/>
        </w:rPr>
        <w:t xml:space="preserve">. </w:t>
      </w:r>
      <w:r w:rsidR="007B5AC4" w:rsidRPr="00536B77">
        <w:rPr>
          <w:rStyle w:val="sb8d990e2"/>
          <w:color w:val="000000"/>
          <w:shd w:val="clear" w:color="auto" w:fill="FFFFFF"/>
        </w:rPr>
        <w:t xml:space="preserve"> </w:t>
      </w:r>
      <w:r w:rsidRPr="00536B77">
        <w:rPr>
          <w:rStyle w:val="sb8d990e2"/>
          <w:color w:val="000000"/>
          <w:shd w:val="clear" w:color="auto" w:fill="FFFFFF"/>
        </w:rPr>
        <w:t xml:space="preserve">This may be seen as a bad thing. </w:t>
      </w:r>
      <w:r w:rsidR="007B5AC4" w:rsidRPr="00536B77">
        <w:rPr>
          <w:rStyle w:val="sb8d990e2"/>
          <w:color w:val="000000"/>
          <w:shd w:val="clear" w:color="auto" w:fill="FFFFFF"/>
        </w:rPr>
        <w:t xml:space="preserve"> </w:t>
      </w:r>
      <w:r w:rsidRPr="00536B77">
        <w:rPr>
          <w:rStyle w:val="sb8d990e2"/>
          <w:color w:val="000000"/>
          <w:shd w:val="clear" w:color="auto" w:fill="FFFFFF"/>
        </w:rPr>
        <w:t>However, it should be taken as an</w:t>
      </w:r>
      <w:r w:rsidR="007B5AC4" w:rsidRPr="00536B77">
        <w:rPr>
          <w:rStyle w:val="sb8d990e2"/>
          <w:color w:val="000000"/>
          <w:shd w:val="clear" w:color="auto" w:fill="FFFFFF"/>
        </w:rPr>
        <w:t xml:space="preserve"> opportunity to reconsider </w:t>
      </w:r>
      <w:r w:rsidRPr="00536B77">
        <w:rPr>
          <w:rStyle w:val="sb8d990e2"/>
          <w:color w:val="000000"/>
          <w:shd w:val="clear" w:color="auto" w:fill="FFFFFF"/>
        </w:rPr>
        <w:t xml:space="preserve">existing laws in order to better provide for the adjudication of human rights. </w:t>
      </w:r>
      <w:r w:rsidR="007B5AC4" w:rsidRPr="00536B77">
        <w:rPr>
          <w:rStyle w:val="sb8d990e2"/>
          <w:color w:val="000000"/>
          <w:shd w:val="clear" w:color="auto" w:fill="FFFFFF"/>
        </w:rPr>
        <w:t xml:space="preserve"> </w:t>
      </w:r>
      <w:r w:rsidRPr="00536B77">
        <w:rPr>
          <w:rStyle w:val="sb8d990e2"/>
          <w:color w:val="000000"/>
          <w:shd w:val="clear" w:color="auto" w:fill="FFFFFF"/>
        </w:rPr>
        <w:t>One way forward might be to strengthen human rights bodies</w:t>
      </w:r>
      <w:r w:rsidR="0005467E" w:rsidRPr="00536B77">
        <w:rPr>
          <w:rStyle w:val="sb8d990e2"/>
          <w:color w:val="000000"/>
          <w:shd w:val="clear" w:color="auto" w:fill="FFFFFF"/>
        </w:rPr>
        <w:t xml:space="preserve"> and international judicial processes. </w:t>
      </w:r>
      <w:r w:rsidR="007B5AC4" w:rsidRPr="00536B77">
        <w:rPr>
          <w:rStyle w:val="sb8d990e2"/>
          <w:color w:val="000000"/>
          <w:shd w:val="clear" w:color="auto" w:fill="FFFFFF"/>
        </w:rPr>
        <w:t xml:space="preserve"> </w:t>
      </w:r>
      <w:r w:rsidR="0005467E" w:rsidRPr="00536B77">
        <w:rPr>
          <w:rStyle w:val="sb8d990e2"/>
          <w:color w:val="000000"/>
          <w:shd w:val="clear" w:color="auto" w:fill="FFFFFF"/>
        </w:rPr>
        <w:t xml:space="preserve">Pinochet was undoubtedly an evil man but it should not have been left to a Spanish judge to issue an arrest warrant to have him arrested in the United Kingdom. </w:t>
      </w:r>
      <w:r w:rsidR="007B5AC4" w:rsidRPr="00536B77">
        <w:rPr>
          <w:rStyle w:val="sb8d990e2"/>
          <w:color w:val="000000"/>
          <w:shd w:val="clear" w:color="auto" w:fill="FFFFFF"/>
        </w:rPr>
        <w:t xml:space="preserve"> He could have been dealt with by other means, both judicial and political.  </w:t>
      </w:r>
      <w:r w:rsidR="0005467E" w:rsidRPr="00536B77">
        <w:rPr>
          <w:rStyle w:val="sb8d990e2"/>
          <w:color w:val="000000"/>
          <w:shd w:val="clear" w:color="auto" w:fill="FFFFFF"/>
        </w:rPr>
        <w:t xml:space="preserve">Similarly, the judges of the </w:t>
      </w:r>
      <w:r w:rsidR="0098341E">
        <w:rPr>
          <w:rStyle w:val="sb8d990e2"/>
          <w:color w:val="000000"/>
          <w:shd w:val="clear" w:color="auto" w:fill="FFFFFF"/>
        </w:rPr>
        <w:t>ICJ</w:t>
      </w:r>
      <w:r w:rsidR="0005467E" w:rsidRPr="00536B77">
        <w:rPr>
          <w:rStyle w:val="sb8d990e2"/>
          <w:color w:val="000000"/>
          <w:shd w:val="clear" w:color="auto" w:fill="FFFFFF"/>
        </w:rPr>
        <w:t xml:space="preserve"> should not be in a position to condemn the acts of the Nazi regime during the Second World War </w:t>
      </w:r>
      <w:r w:rsidR="007B5AC4" w:rsidRPr="00536B77">
        <w:rPr>
          <w:rStyle w:val="sb8d990e2"/>
          <w:color w:val="000000"/>
          <w:shd w:val="clear" w:color="auto" w:fill="FFFFFF"/>
        </w:rPr>
        <w:t xml:space="preserve">as they did in the </w:t>
      </w:r>
      <w:r w:rsidR="007B5AC4" w:rsidRPr="00536B77">
        <w:rPr>
          <w:rStyle w:val="sb8d990e2"/>
          <w:i/>
          <w:color w:val="000000"/>
          <w:shd w:val="clear" w:color="auto" w:fill="FFFFFF"/>
        </w:rPr>
        <w:t>Jurisdictional Immunities of the State</w:t>
      </w:r>
      <w:r w:rsidR="007B5AC4" w:rsidRPr="00536B77">
        <w:rPr>
          <w:rStyle w:val="sb8d990e2"/>
          <w:color w:val="000000"/>
          <w:shd w:val="clear" w:color="auto" w:fill="FFFFFF"/>
        </w:rPr>
        <w:t xml:space="preserve"> case, </w:t>
      </w:r>
      <w:r w:rsidR="0005467E" w:rsidRPr="00536B77">
        <w:rPr>
          <w:rStyle w:val="sb8d990e2"/>
          <w:color w:val="000000"/>
          <w:shd w:val="clear" w:color="auto" w:fill="FFFFFF"/>
        </w:rPr>
        <w:t>and then not be able to test the appropriateness of the compensation paid</w:t>
      </w:r>
      <w:r w:rsidR="007B5AC4" w:rsidRPr="00536B77">
        <w:rPr>
          <w:rStyle w:val="sb8d990e2"/>
          <w:color w:val="000000"/>
          <w:shd w:val="clear" w:color="auto" w:fill="FFFFFF"/>
        </w:rPr>
        <w:t xml:space="preserve"> by Germany to the entirety of its victims</w:t>
      </w:r>
      <w:r w:rsidR="0005467E" w:rsidRPr="00536B77">
        <w:rPr>
          <w:rStyle w:val="sb8d990e2"/>
          <w:color w:val="000000"/>
          <w:shd w:val="clear" w:color="auto" w:fill="FFFFFF"/>
        </w:rPr>
        <w:t xml:space="preserve">. </w:t>
      </w:r>
      <w:r w:rsidR="007B5AC4" w:rsidRPr="00536B77">
        <w:rPr>
          <w:rStyle w:val="sb8d990e2"/>
          <w:color w:val="000000"/>
          <w:shd w:val="clear" w:color="auto" w:fill="FFFFFF"/>
        </w:rPr>
        <w:t xml:space="preserve"> </w:t>
      </w:r>
      <w:r w:rsidR="0005467E" w:rsidRPr="00536B77">
        <w:rPr>
          <w:rStyle w:val="sb8d990e2"/>
          <w:color w:val="000000"/>
          <w:shd w:val="clear" w:color="auto" w:fill="FFFFFF"/>
        </w:rPr>
        <w:t xml:space="preserve">Mr Ferrini should not have been left having to sue the German government in the Italian courts but should have been fully compensated by his home government who could then have sought compensation from Germany. </w:t>
      </w:r>
    </w:p>
    <w:p w14:paraId="18E72EBB" w14:textId="4904A211" w:rsidR="00997B5D" w:rsidRPr="00536B77" w:rsidRDefault="007B5AC4" w:rsidP="00536B77">
      <w:pPr>
        <w:spacing w:line="480" w:lineRule="auto"/>
        <w:ind w:firstLine="720"/>
        <w:rPr>
          <w:rStyle w:val="sb8d990e2"/>
          <w:color w:val="000000"/>
          <w:shd w:val="clear" w:color="auto" w:fill="FFFFFF"/>
        </w:rPr>
      </w:pPr>
      <w:r w:rsidRPr="00536B77">
        <w:rPr>
          <w:rStyle w:val="sb8d990e2"/>
          <w:color w:val="000000"/>
          <w:shd w:val="clear" w:color="auto" w:fill="FFFFFF"/>
        </w:rPr>
        <w:t xml:space="preserve">Perhaps, given the failure to further develop the Pinochet precedent beyond its very narrow </w:t>
      </w:r>
      <w:r w:rsidRPr="00536B77">
        <w:rPr>
          <w:rStyle w:val="sb8d990e2"/>
          <w:i/>
          <w:color w:val="000000"/>
          <w:shd w:val="clear" w:color="auto" w:fill="FFFFFF"/>
        </w:rPr>
        <w:t>ratio</w:t>
      </w:r>
      <w:r w:rsidRPr="008F77DD">
        <w:rPr>
          <w:rStyle w:val="sb8d990e2"/>
          <w:color w:val="000000"/>
          <w:shd w:val="clear" w:color="auto" w:fill="FFFFFF"/>
        </w:rPr>
        <w:t>,</w:t>
      </w:r>
      <w:r w:rsidRPr="00536B77">
        <w:rPr>
          <w:rStyle w:val="sb8d990e2"/>
          <w:i/>
          <w:color w:val="000000"/>
          <w:shd w:val="clear" w:color="auto" w:fill="FFFFFF"/>
        </w:rPr>
        <w:t xml:space="preserve"> </w:t>
      </w:r>
      <w:r w:rsidRPr="00536B77">
        <w:rPr>
          <w:rStyle w:val="sb8d990e2"/>
          <w:color w:val="000000"/>
          <w:shd w:val="clear" w:color="auto" w:fill="FFFFFF"/>
        </w:rPr>
        <w:t xml:space="preserve">it is time to consider other approaches to the development of human rights adjudication and application other than through challenging jurisdictional immunity. After </w:t>
      </w:r>
      <w:r w:rsidRPr="00536B77">
        <w:rPr>
          <w:rStyle w:val="sb8d990e2"/>
          <w:color w:val="000000"/>
          <w:shd w:val="clear" w:color="auto" w:fill="FFFFFF"/>
        </w:rPr>
        <w:lastRenderedPageBreak/>
        <w:t>all, i</w:t>
      </w:r>
      <w:r w:rsidR="0005467E" w:rsidRPr="00536B77">
        <w:rPr>
          <w:rStyle w:val="sb8d990e2"/>
          <w:color w:val="000000"/>
          <w:shd w:val="clear" w:color="auto" w:fill="FFFFFF"/>
        </w:rPr>
        <w:t>mmunity</w:t>
      </w:r>
      <w:r w:rsidRPr="00536B77">
        <w:rPr>
          <w:rStyle w:val="sb8d990e2"/>
          <w:color w:val="000000"/>
          <w:shd w:val="clear" w:color="auto" w:fill="FFFFFF"/>
        </w:rPr>
        <w:t xml:space="preserve"> from jurisdiction</w:t>
      </w:r>
      <w:r w:rsidR="0005467E" w:rsidRPr="00536B77">
        <w:rPr>
          <w:rStyle w:val="sb8d990e2"/>
          <w:color w:val="000000"/>
          <w:shd w:val="clear" w:color="auto" w:fill="FFFFFF"/>
        </w:rPr>
        <w:t xml:space="preserve">, in all of its </w:t>
      </w:r>
      <w:r w:rsidRPr="00536B77">
        <w:rPr>
          <w:rStyle w:val="sb8d990e2"/>
          <w:color w:val="000000"/>
          <w:shd w:val="clear" w:color="auto" w:fill="FFFFFF"/>
        </w:rPr>
        <w:t xml:space="preserve">various </w:t>
      </w:r>
      <w:r w:rsidR="0005467E" w:rsidRPr="00536B77">
        <w:rPr>
          <w:rStyle w:val="sb8d990e2"/>
          <w:color w:val="000000"/>
          <w:shd w:val="clear" w:color="auto" w:fill="FFFFFF"/>
        </w:rPr>
        <w:t>forms, serves an important purpose in international relations and its demise would likely cause more problems than it would solve.</w:t>
      </w:r>
    </w:p>
    <w:p w14:paraId="77F88E34" w14:textId="77777777" w:rsidR="00060B74" w:rsidRPr="00536B77" w:rsidRDefault="00060B74" w:rsidP="00536B77">
      <w:pPr>
        <w:spacing w:line="480" w:lineRule="auto"/>
        <w:rPr>
          <w:rStyle w:val="sb8d990e2"/>
          <w:color w:val="000000"/>
          <w:shd w:val="clear" w:color="auto" w:fill="FFFFFF"/>
        </w:rPr>
      </w:pPr>
    </w:p>
    <w:sectPr w:rsidR="00060B74" w:rsidRPr="00536B77" w:rsidSect="00C13637">
      <w:footerReference w:type="default" r:id="rId10"/>
      <w:pgSz w:w="11907" w:h="16839" w:code="9"/>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James Green" w:date="2014-05-15T10:35:00Z" w:initials="JAG">
    <w:p w14:paraId="15744BAB" w14:textId="77777777" w:rsidR="00F45693" w:rsidRDefault="00F45693" w:rsidP="003852F7">
      <w:pPr>
        <w:pStyle w:val="CommentText"/>
      </w:pPr>
      <w:r>
        <w:rPr>
          <w:rStyle w:val="CommentReference"/>
        </w:rPr>
        <w:annotationRef/>
      </w:r>
      <w:r>
        <w:t>Craig, we’ve used track changes for any genuine substantive or stylistic ‘changes’, but decided to turn it off for some of the pure format changes: tweaks to citations styles, heading styles etc etc – as it would make the whole thing far too busy.</w:t>
      </w:r>
    </w:p>
    <w:p w14:paraId="29878C74" w14:textId="77777777" w:rsidR="00F45693" w:rsidRDefault="00F45693" w:rsidP="003852F7">
      <w:pPr>
        <w:pStyle w:val="CommentText"/>
      </w:pPr>
    </w:p>
    <w:p w14:paraId="502413DC" w14:textId="77777777" w:rsidR="00F45693" w:rsidRDefault="00F45693" w:rsidP="003852F7">
      <w:pPr>
        <w:pStyle w:val="CommentText"/>
      </w:pPr>
      <w:r>
        <w:t xml:space="preserve">Obviously the main thing is to add in some citations.  I’ve tried to highlight where I think they’re needed, but you may have others in mind.  </w:t>
      </w:r>
    </w:p>
    <w:p w14:paraId="131AB0F9" w14:textId="77777777" w:rsidR="00F45693" w:rsidRDefault="00F45693" w:rsidP="003852F7">
      <w:pPr>
        <w:pStyle w:val="CommentText"/>
      </w:pPr>
    </w:p>
    <w:p w14:paraId="0203EFF7" w14:textId="77777777" w:rsidR="00F45693" w:rsidRDefault="00F45693" w:rsidP="003852F7">
      <w:pPr>
        <w:pStyle w:val="CommentText"/>
      </w:pPr>
      <w:r>
        <w:t>Once all finished, please do check all cross referencing again – track changes messes with this until changes are accepted, and I know you’re adding more in.  I’ve highlighted in green for now where this needs doing (as it tands) for ease.</w:t>
      </w:r>
    </w:p>
    <w:p w14:paraId="6C199059" w14:textId="77777777" w:rsidR="00F45693" w:rsidRDefault="00F45693">
      <w:pPr>
        <w:pStyle w:val="CommentText"/>
      </w:pPr>
    </w:p>
  </w:comment>
  <w:comment w:id="2" w:author="James Green" w:date="2014-05-15T10:35:00Z" w:initials="JAG">
    <w:p w14:paraId="2BC39A53" w14:textId="77777777" w:rsidR="00F45693" w:rsidRDefault="00F45693">
      <w:pPr>
        <w:pStyle w:val="CommentText"/>
      </w:pPr>
      <w:r>
        <w:rPr>
          <w:rStyle w:val="CommentReference"/>
        </w:rPr>
        <w:annotationRef/>
      </w:r>
      <w:r>
        <w:t>Is this quote correct?</w:t>
      </w:r>
    </w:p>
  </w:comment>
  <w:comment w:id="3" w:author="James Green" w:date="2014-05-15T10:35:00Z" w:initials="JAG">
    <w:p w14:paraId="0A04339A" w14:textId="77777777" w:rsidR="00F45693" w:rsidRDefault="00F45693">
      <w:pPr>
        <w:pStyle w:val="CommentText"/>
      </w:pPr>
      <w:r>
        <w:rPr>
          <w:rStyle w:val="CommentReference"/>
        </w:rPr>
        <w:annotationRef/>
      </w:r>
      <w:r>
        <w:t>Please give full case name in f/n.</w:t>
      </w:r>
    </w:p>
  </w:comment>
  <w:comment w:id="4" w:author="Chris Waters" w:date="2014-05-15T09:53:00Z" w:initials="CW">
    <w:p w14:paraId="5E3C5F6E" w14:textId="77777777" w:rsidR="00F45693" w:rsidRDefault="00F45693">
      <w:pPr>
        <w:pStyle w:val="CommentText"/>
      </w:pPr>
      <w:r>
        <w:rPr>
          <w:rStyle w:val="CommentReference"/>
        </w:rPr>
        <w:annotationRef/>
      </w:r>
      <w:r>
        <w:t>I think this should be1999 no? If yes, maybe have a quick scan of the other dates too.  Makes my head spin trying to keep the cases straight…but then again I can barely recall my kids ‘ birth dates</w:t>
      </w:r>
    </w:p>
  </w:comment>
  <w:comment w:id="5" w:author="Craig Barker" w:date="2014-05-16T08:59:00Z" w:initials="CB">
    <w:p w14:paraId="6D7435C2" w14:textId="40EC4EF1" w:rsidR="00D22319" w:rsidRDefault="00D22319">
      <w:pPr>
        <w:pStyle w:val="CommentText"/>
      </w:pPr>
      <w:r>
        <w:rPr>
          <w:rStyle w:val="CommentReference"/>
        </w:rPr>
        <w:annotationRef/>
      </w:r>
      <w:r>
        <w:t xml:space="preserve">Good spot! </w:t>
      </w:r>
    </w:p>
  </w:comment>
  <w:comment w:id="6" w:author="James Green" w:date="2014-05-15T10:35:00Z" w:initials="JAG">
    <w:p w14:paraId="4D25D98C" w14:textId="77777777" w:rsidR="00F45693" w:rsidRDefault="00F45693">
      <w:pPr>
        <w:pStyle w:val="CommentText"/>
      </w:pPr>
      <w:r>
        <w:rPr>
          <w:rStyle w:val="CommentReference"/>
        </w:rPr>
        <w:annotationRef/>
      </w:r>
      <w:r>
        <w:t>Style: possible to reword to avoid the close repetition of ‘matter’ - ?</w:t>
      </w:r>
    </w:p>
  </w:comment>
  <w:comment w:id="7" w:author="James Green" w:date="2014-05-15T10:35:00Z" w:initials="JAG">
    <w:p w14:paraId="4017C0DA" w14:textId="77777777" w:rsidR="00F45693" w:rsidRDefault="00F45693">
      <w:pPr>
        <w:pStyle w:val="CommentText"/>
      </w:pPr>
      <w:r>
        <w:rPr>
          <w:rStyle w:val="CommentReference"/>
        </w:rPr>
        <w:annotationRef/>
      </w:r>
      <w:r>
        <w:t>Could?</w:t>
      </w:r>
    </w:p>
  </w:comment>
  <w:comment w:id="8" w:author="Craig Barker" w:date="2014-05-16T09:04:00Z" w:initials="CB">
    <w:p w14:paraId="46729AA0" w14:textId="57C8E7BE" w:rsidR="00FC6BD3" w:rsidRDefault="00FC6BD3">
      <w:pPr>
        <w:pStyle w:val="CommentText"/>
      </w:pPr>
      <w:r>
        <w:rPr>
          <w:rStyle w:val="CommentReference"/>
        </w:rPr>
        <w:annotationRef/>
      </w:r>
      <w:r>
        <w:t>I think would is right. He certainly could have committed the crime if he had been acting in his official capacity but if he was not so aacting then no crime would have been committed.</w:t>
      </w:r>
    </w:p>
  </w:comment>
  <w:comment w:id="9" w:author="James Green" w:date="2014-05-15T10:35:00Z" w:initials="JAG">
    <w:p w14:paraId="6A4E41BC" w14:textId="77777777" w:rsidR="00F45693" w:rsidRDefault="00F45693">
      <w:pPr>
        <w:pStyle w:val="CommentText"/>
      </w:pPr>
      <w:r>
        <w:rPr>
          <w:rStyle w:val="CommentReference"/>
        </w:rPr>
        <w:annotationRef/>
      </w:r>
      <w:r>
        <w:t>Is highlighted part of f/n right?  Seems an odd cite and has an unclosed bracket.</w:t>
      </w:r>
    </w:p>
  </w:comment>
  <w:comment w:id="10" w:author="Craig Barker" w:date="2014-05-16T09:07:00Z" w:initials="CB">
    <w:p w14:paraId="23CA3A28" w14:textId="61CB1E96" w:rsidR="00FC6BD3" w:rsidRDefault="00FC6BD3">
      <w:pPr>
        <w:pStyle w:val="CommentText"/>
      </w:pPr>
      <w:r>
        <w:rPr>
          <w:rStyle w:val="CommentReference"/>
        </w:rPr>
        <w:annotationRef/>
      </w:r>
      <w:r>
        <w:t>Good spot – fixed it!</w:t>
      </w:r>
    </w:p>
  </w:comment>
  <w:comment w:id="11" w:author="James Green" w:date="2014-05-15T10:35:00Z" w:initials="JAG">
    <w:p w14:paraId="573CC1A1" w14:textId="77777777" w:rsidR="00F45693" w:rsidRDefault="00F45693">
      <w:pPr>
        <w:pStyle w:val="CommentText"/>
      </w:pPr>
      <w:r>
        <w:rPr>
          <w:rStyle w:val="CommentReference"/>
        </w:rPr>
        <w:annotationRef/>
      </w:r>
      <w:r>
        <w:t>Possible to avoid close repetition of ‘rather’ - ?</w:t>
      </w:r>
    </w:p>
  </w:comment>
  <w:comment w:id="12" w:author="James Green" w:date="2014-05-15T10:35:00Z" w:initials="JAG">
    <w:p w14:paraId="50DD32C0" w14:textId="77777777" w:rsidR="00F45693" w:rsidRDefault="00F45693">
      <w:pPr>
        <w:pStyle w:val="CommentText"/>
      </w:pPr>
      <w:r>
        <w:rPr>
          <w:rStyle w:val="CommentReference"/>
        </w:rPr>
        <w:annotationRef/>
      </w:r>
      <w:r>
        <w:t>In fact/in fact – reword?</w:t>
      </w:r>
    </w:p>
  </w:comment>
  <w:comment w:id="13" w:author="James Green" w:date="2014-05-15T10:35:00Z" w:initials="JAG">
    <w:p w14:paraId="50F0D3DA" w14:textId="77777777" w:rsidR="00F45693" w:rsidRDefault="00F45693">
      <w:pPr>
        <w:pStyle w:val="CommentText"/>
      </w:pPr>
      <w:r>
        <w:rPr>
          <w:rStyle w:val="CommentReference"/>
        </w:rPr>
        <w:annotationRef/>
      </w:r>
      <w:r>
        <w:t>Please give full case name in f/n.</w:t>
      </w:r>
    </w:p>
  </w:comment>
  <w:comment w:id="14" w:author="James Green" w:date="2014-05-15T10:35:00Z" w:initials="JAG">
    <w:p w14:paraId="41FC45CF" w14:textId="77777777" w:rsidR="00F45693" w:rsidRDefault="00F45693">
      <w:pPr>
        <w:pStyle w:val="CommentText"/>
      </w:pPr>
      <w:r>
        <w:rPr>
          <w:rStyle w:val="CommentReference"/>
        </w:rPr>
        <w:annotationRef/>
      </w:r>
      <w:r>
        <w:t>Please give full case name in f/n.</w:t>
      </w:r>
    </w:p>
  </w:comment>
  <w:comment w:id="15" w:author="James Green" w:date="2014-05-15T10:35:00Z" w:initials="JAG">
    <w:p w14:paraId="060EFA75" w14:textId="77777777" w:rsidR="00F45693" w:rsidRDefault="00F45693">
      <w:pPr>
        <w:pStyle w:val="CommentText"/>
      </w:pPr>
      <w:r>
        <w:rPr>
          <w:rStyle w:val="CommentReference"/>
        </w:rPr>
        <w:annotationRef/>
      </w:r>
      <w:r>
        <w:t>I think these next few f/ns can all be cross referenced, but wanted to be sure I did so to the correct manifestation of the case – so please fill in the ‘?’s!</w:t>
      </w:r>
    </w:p>
  </w:comment>
  <w:comment w:id="16" w:author="James Green" w:date="2014-05-15T10:35:00Z" w:initials="JAG">
    <w:p w14:paraId="07AB0F55" w14:textId="77777777" w:rsidR="00F45693" w:rsidRDefault="00F45693">
      <w:pPr>
        <w:pStyle w:val="CommentText"/>
      </w:pPr>
      <w:r>
        <w:rPr>
          <w:rStyle w:val="CommentReference"/>
        </w:rPr>
        <w:annotationRef/>
      </w:r>
      <w:r>
        <w:t>Please cite case.</w:t>
      </w:r>
    </w:p>
  </w:comment>
  <w:comment w:id="17" w:author="James Green" w:date="2014-05-15T10:35:00Z" w:initials="JAG">
    <w:p w14:paraId="4877E587" w14:textId="77777777" w:rsidR="00F45693" w:rsidRDefault="00F45693">
      <w:pPr>
        <w:pStyle w:val="CommentText"/>
      </w:pPr>
      <w:r>
        <w:rPr>
          <w:rStyle w:val="CommentReference"/>
        </w:rPr>
        <w:annotationRef/>
      </w:r>
      <w:r>
        <w:t>Possible to avoid starting two sentences in a row with ‘In the second action’ - ?</w:t>
      </w:r>
    </w:p>
  </w:comment>
  <w:comment w:id="18" w:author="James Green" w:date="2014-05-15T10:35:00Z" w:initials="JAG">
    <w:p w14:paraId="3AAD47FB" w14:textId="77777777" w:rsidR="00F45693" w:rsidRDefault="00F45693">
      <w:pPr>
        <w:pStyle w:val="CommentText"/>
      </w:pPr>
      <w:r>
        <w:rPr>
          <w:rStyle w:val="CommentReference"/>
        </w:rPr>
        <w:annotationRef/>
      </w:r>
      <w:r>
        <w:t>A bit clunky – possible to rephrase?</w:t>
      </w:r>
    </w:p>
  </w:comment>
  <w:comment w:id="19" w:author="James Green" w:date="2014-05-15T10:35:00Z" w:initials="JAG">
    <w:p w14:paraId="24AF3D27" w14:textId="77777777" w:rsidR="00F45693" w:rsidRDefault="00F45693">
      <w:pPr>
        <w:pStyle w:val="CommentText"/>
      </w:pPr>
      <w:r>
        <w:rPr>
          <w:rStyle w:val="CommentReference"/>
        </w:rPr>
        <w:annotationRef/>
      </w:r>
      <w:r>
        <w:t>I added this in – just cause I know this book well, to save you finding a ref here.</w:t>
      </w:r>
    </w:p>
  </w:comment>
  <w:comment w:id="20" w:author="James Green" w:date="2014-05-15T10:35:00Z" w:initials="JAG">
    <w:p w14:paraId="71C9DA41" w14:textId="77777777" w:rsidR="00F45693" w:rsidRDefault="00F45693">
      <w:pPr>
        <w:pStyle w:val="CommentText"/>
      </w:pPr>
      <w:r>
        <w:rPr>
          <w:rStyle w:val="CommentReference"/>
        </w:rPr>
        <w:annotationRef/>
      </w:r>
      <w:r>
        <w:t>Cite.</w:t>
      </w:r>
    </w:p>
  </w:comment>
  <w:comment w:id="21" w:author="James Green" w:date="2014-05-15T10:35:00Z" w:initials="JAG">
    <w:p w14:paraId="67C6EEB1" w14:textId="77777777" w:rsidR="00F45693" w:rsidRDefault="00F45693" w:rsidP="004473E1">
      <w:pPr>
        <w:pStyle w:val="CommentText"/>
      </w:pPr>
      <w:r>
        <w:rPr>
          <w:rStyle w:val="CommentReference"/>
        </w:rPr>
        <w:annotationRef/>
      </w:r>
      <w:r>
        <w:t>Cite.</w:t>
      </w:r>
    </w:p>
  </w:comment>
  <w:comment w:id="22" w:author="James Green" w:date="2014-05-15T10:35:00Z" w:initials="JAG">
    <w:p w14:paraId="55BFD889" w14:textId="77777777" w:rsidR="00F45693" w:rsidRDefault="00F45693" w:rsidP="004473E1">
      <w:pPr>
        <w:pStyle w:val="CommentText"/>
      </w:pPr>
      <w:r>
        <w:rPr>
          <w:rStyle w:val="CommentReference"/>
        </w:rPr>
        <w:annotationRef/>
      </w:r>
      <w:r>
        <w:t>Cite.</w:t>
      </w:r>
    </w:p>
  </w:comment>
  <w:comment w:id="23" w:author="James Green" w:date="2014-05-15T10:35:00Z" w:initials="JAG">
    <w:p w14:paraId="3BE2F09D" w14:textId="77777777" w:rsidR="00F45693" w:rsidRDefault="00F45693" w:rsidP="0086525E">
      <w:pPr>
        <w:pStyle w:val="CommentText"/>
      </w:pPr>
      <w:r>
        <w:rPr>
          <w:rStyle w:val="CommentReference"/>
        </w:rPr>
        <w:annotationRef/>
      </w:r>
      <w:r>
        <w:t>Cite.</w:t>
      </w:r>
    </w:p>
  </w:comment>
  <w:comment w:id="24" w:author="James Green" w:date="2014-05-15T10:35:00Z" w:initials="JAG">
    <w:p w14:paraId="0C357FA5" w14:textId="77777777" w:rsidR="00F45693" w:rsidRDefault="00F45693" w:rsidP="0086525E">
      <w:pPr>
        <w:pStyle w:val="CommentText"/>
      </w:pPr>
      <w:r>
        <w:rPr>
          <w:rStyle w:val="CommentReference"/>
        </w:rPr>
        <w:annotationRef/>
      </w:r>
      <w:r>
        <w:t>Cite.</w:t>
      </w:r>
    </w:p>
  </w:comment>
  <w:comment w:id="25" w:author="James Green" w:date="2014-05-15T10:35:00Z" w:initials="JAG">
    <w:p w14:paraId="7B6E90CA" w14:textId="77777777" w:rsidR="00F45693" w:rsidRDefault="00F45693">
      <w:pPr>
        <w:pStyle w:val="CommentText"/>
      </w:pPr>
      <w:r>
        <w:rPr>
          <w:rStyle w:val="CommentReference"/>
        </w:rPr>
        <w:annotationRef/>
      </w:r>
      <w:r>
        <w:t>Possible to cite a specific place or places where Sandy has argued this – or cross ref Chris’ intro, perhaps.</w:t>
      </w:r>
    </w:p>
  </w:comment>
  <w:comment w:id="26" w:author="James Green" w:date="2014-05-15T10:35:00Z" w:initials="JAG">
    <w:p w14:paraId="5BB589E5" w14:textId="77777777" w:rsidR="00F45693" w:rsidRDefault="00F45693">
      <w:pPr>
        <w:pStyle w:val="CommentText"/>
      </w:pPr>
      <w:r>
        <w:rPr>
          <w:rStyle w:val="CommentReference"/>
        </w:rPr>
        <w:annotationRef/>
      </w:r>
      <w:r>
        <w:t>Remove the ‘the’? – i.e.: Immunity and Human Rights in International Courts -?</w:t>
      </w:r>
    </w:p>
  </w:comment>
  <w:comment w:id="27" w:author="James Green" w:date="2014-05-15T10:35:00Z" w:initials="JAG">
    <w:p w14:paraId="5E78016A" w14:textId="77777777" w:rsidR="00F45693" w:rsidRDefault="00F45693" w:rsidP="004473E1">
      <w:pPr>
        <w:pStyle w:val="CommentText"/>
      </w:pPr>
      <w:r>
        <w:rPr>
          <w:rStyle w:val="CommentReference"/>
        </w:rPr>
        <w:annotationRef/>
      </w:r>
      <w:r>
        <w:t>Cite.</w:t>
      </w:r>
    </w:p>
  </w:comment>
  <w:comment w:id="28" w:author="James Green" w:date="2014-05-15T10:35:00Z" w:initials="JAG">
    <w:p w14:paraId="3CDB1693" w14:textId="77777777" w:rsidR="00F45693" w:rsidRDefault="00F45693">
      <w:pPr>
        <w:pStyle w:val="CommentText"/>
      </w:pPr>
      <w:r>
        <w:rPr>
          <w:rStyle w:val="CommentReference"/>
        </w:rPr>
        <w:annotationRef/>
      </w:r>
      <w:r>
        <w:t>Cite Belgium pleadings</w:t>
      </w:r>
    </w:p>
  </w:comment>
  <w:comment w:id="29" w:author="James Green" w:date="2014-05-15T10:35:00Z" w:initials="JAG">
    <w:p w14:paraId="3BFDE1CA" w14:textId="77777777" w:rsidR="00F45693" w:rsidRDefault="00F45693">
      <w:pPr>
        <w:pStyle w:val="CommentText"/>
      </w:pPr>
      <w:r>
        <w:rPr>
          <w:rStyle w:val="CommentReference"/>
        </w:rPr>
        <w:annotationRef/>
      </w:r>
      <w:r>
        <w:t>The quote didn’t look entirely right, so have amended from the original opinion.  Also added in cite for the case.</w:t>
      </w:r>
    </w:p>
  </w:comment>
  <w:comment w:id="30" w:author="Craig Barker" w:date="2014-05-16T11:42:00Z" w:initials="CB">
    <w:p w14:paraId="04BC2B0D" w14:textId="52C71B60" w:rsidR="00644556" w:rsidRDefault="00644556">
      <w:pPr>
        <w:pStyle w:val="CommentText"/>
      </w:pPr>
      <w:r>
        <w:rPr>
          <w:rStyle w:val="CommentReference"/>
        </w:rPr>
        <w:annotationRef/>
      </w:r>
      <w:r>
        <w:t>Great! Thanks James</w:t>
      </w:r>
    </w:p>
  </w:comment>
  <w:comment w:id="31" w:author="James Green" w:date="2014-05-15T10:35:00Z" w:initials="JAG">
    <w:p w14:paraId="4895AAD6" w14:textId="77777777" w:rsidR="00F45693" w:rsidRDefault="00F45693">
      <w:pPr>
        <w:pStyle w:val="CommentText"/>
      </w:pPr>
      <w:r>
        <w:rPr>
          <w:rStyle w:val="CommentReference"/>
        </w:rPr>
        <w:annotationRef/>
      </w:r>
      <w:r>
        <w:t>Please reference.</w:t>
      </w:r>
    </w:p>
  </w:comment>
  <w:comment w:id="32" w:author="James Green" w:date="2014-05-15T10:35:00Z" w:initials="JAG">
    <w:p w14:paraId="30C7AEB5" w14:textId="77777777" w:rsidR="00F45693" w:rsidRDefault="00F45693">
      <w:pPr>
        <w:pStyle w:val="CommentText"/>
      </w:pPr>
      <w:r>
        <w:rPr>
          <w:rStyle w:val="CommentReference"/>
        </w:rPr>
        <w:annotationRef/>
      </w:r>
      <w:r>
        <w:t>Does the highlighted part of the f/n need completing?</w:t>
      </w:r>
    </w:p>
  </w:comment>
  <w:comment w:id="33" w:author="James Green" w:date="2014-05-15T10:35:00Z" w:initials="JAG">
    <w:p w14:paraId="6F0E0C38" w14:textId="77777777" w:rsidR="00F45693" w:rsidRDefault="00F45693">
      <w:pPr>
        <w:pStyle w:val="CommentText"/>
      </w:pPr>
      <w:r>
        <w:rPr>
          <w:rStyle w:val="CommentReference"/>
        </w:rPr>
        <w:annotationRef/>
      </w:r>
      <w:r>
        <w:t>Complete f/n.</w:t>
      </w:r>
    </w:p>
  </w:comment>
  <w:comment w:id="34" w:author="James Green" w:date="2014-05-15T10:35:00Z" w:initials="JAG">
    <w:p w14:paraId="08F7BA8E" w14:textId="77777777" w:rsidR="00F45693" w:rsidRDefault="00F45693">
      <w:pPr>
        <w:pStyle w:val="CommentText"/>
      </w:pPr>
      <w:r>
        <w:rPr>
          <w:rStyle w:val="CommentReference"/>
        </w:rPr>
        <w:annotationRef/>
      </w:r>
      <w:r>
        <w:t>Please avoid sought/sought.</w:t>
      </w:r>
    </w:p>
  </w:comment>
  <w:comment w:id="35" w:author="James Green" w:date="2014-05-15T10:35:00Z" w:initials="JAG">
    <w:p w14:paraId="22BC96F4" w14:textId="77777777" w:rsidR="00F45693" w:rsidRDefault="00F45693">
      <w:pPr>
        <w:pStyle w:val="CommentText"/>
      </w:pPr>
      <w:r>
        <w:rPr>
          <w:rStyle w:val="CommentReference"/>
        </w:rPr>
        <w:annotationRef/>
      </w:r>
      <w:r>
        <w:t>Possibly cross ref.</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C199059" w15:done="0"/>
  <w15:commentEx w15:paraId="2BC39A53" w15:done="0"/>
  <w15:commentEx w15:paraId="0A04339A" w15:done="0"/>
  <w15:commentEx w15:paraId="5E3C5F6E" w15:done="0"/>
  <w15:commentEx w15:paraId="6D7435C2" w15:paraIdParent="5E3C5F6E" w15:done="0"/>
  <w15:commentEx w15:paraId="4D25D98C" w15:done="0"/>
  <w15:commentEx w15:paraId="4017C0DA" w15:done="0"/>
  <w15:commentEx w15:paraId="46729AA0" w15:paraIdParent="4017C0DA" w15:done="0"/>
  <w15:commentEx w15:paraId="6A4E41BC" w15:done="0"/>
  <w15:commentEx w15:paraId="23CA3A28" w15:paraIdParent="6A4E41BC" w15:done="0"/>
  <w15:commentEx w15:paraId="573CC1A1" w15:done="0"/>
  <w15:commentEx w15:paraId="50DD32C0" w15:done="0"/>
  <w15:commentEx w15:paraId="50F0D3DA" w15:done="0"/>
  <w15:commentEx w15:paraId="41FC45CF" w15:done="0"/>
  <w15:commentEx w15:paraId="060EFA75" w15:done="0"/>
  <w15:commentEx w15:paraId="07AB0F55" w15:done="0"/>
  <w15:commentEx w15:paraId="4877E587" w15:done="0"/>
  <w15:commentEx w15:paraId="3AAD47FB" w15:done="0"/>
  <w15:commentEx w15:paraId="24AF3D27" w15:done="0"/>
  <w15:commentEx w15:paraId="71C9DA41" w15:done="0"/>
  <w15:commentEx w15:paraId="67C6EEB1" w15:done="0"/>
  <w15:commentEx w15:paraId="55BFD889" w15:done="0"/>
  <w15:commentEx w15:paraId="3BE2F09D" w15:done="0"/>
  <w15:commentEx w15:paraId="0C357FA5" w15:done="0"/>
  <w15:commentEx w15:paraId="7B6E90CA" w15:done="0"/>
  <w15:commentEx w15:paraId="5BB589E5" w15:done="0"/>
  <w15:commentEx w15:paraId="5E78016A" w15:done="0"/>
  <w15:commentEx w15:paraId="3CDB1693" w15:done="0"/>
  <w15:commentEx w15:paraId="3BFDE1CA" w15:done="0"/>
  <w15:commentEx w15:paraId="04BC2B0D" w15:paraIdParent="3BFDE1CA" w15:done="0"/>
  <w15:commentEx w15:paraId="4895AAD6" w15:done="0"/>
  <w15:commentEx w15:paraId="30C7AEB5" w15:done="0"/>
  <w15:commentEx w15:paraId="6F0E0C38" w15:done="0"/>
  <w15:commentEx w15:paraId="08F7BA8E" w15:done="0"/>
  <w15:commentEx w15:paraId="22BC96F4"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191882" w14:textId="77777777" w:rsidR="0021319F" w:rsidRDefault="0021319F" w:rsidP="00F6283B">
      <w:r>
        <w:separator/>
      </w:r>
    </w:p>
  </w:endnote>
  <w:endnote w:type="continuationSeparator" w:id="0">
    <w:p w14:paraId="0307C428" w14:textId="77777777" w:rsidR="0021319F" w:rsidRDefault="0021319F" w:rsidP="00F62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altName w:val="Calibri Light"/>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altName w:val="Palatino Linotype"/>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8697629"/>
      <w:docPartObj>
        <w:docPartGallery w:val="Page Numbers (Bottom of Page)"/>
        <w:docPartUnique/>
      </w:docPartObj>
    </w:sdtPr>
    <w:sdtEndPr>
      <w:rPr>
        <w:noProof/>
      </w:rPr>
    </w:sdtEndPr>
    <w:sdtContent>
      <w:p w14:paraId="0B1AE9F4" w14:textId="72938688" w:rsidR="00F45693" w:rsidRDefault="00F45693">
        <w:pPr>
          <w:pStyle w:val="Footer"/>
          <w:jc w:val="center"/>
        </w:pPr>
        <w:r>
          <w:fldChar w:fldCharType="begin"/>
        </w:r>
        <w:r>
          <w:instrText xml:space="preserve"> PAGE   \* MERGEFORMAT </w:instrText>
        </w:r>
        <w:r>
          <w:fldChar w:fldCharType="separate"/>
        </w:r>
        <w:r w:rsidR="00B00977">
          <w:rPr>
            <w:noProof/>
          </w:rPr>
          <w:t>1</w:t>
        </w:r>
        <w:r>
          <w:rPr>
            <w:noProof/>
          </w:rPr>
          <w:fldChar w:fldCharType="end"/>
        </w:r>
      </w:p>
    </w:sdtContent>
  </w:sdt>
  <w:p w14:paraId="228DDA5C" w14:textId="77777777" w:rsidR="00F45693" w:rsidRDefault="00F456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12F4A1" w14:textId="77777777" w:rsidR="0021319F" w:rsidRDefault="0021319F" w:rsidP="00F6283B">
      <w:r>
        <w:separator/>
      </w:r>
    </w:p>
  </w:footnote>
  <w:footnote w:type="continuationSeparator" w:id="0">
    <w:p w14:paraId="5AF48AD3" w14:textId="77777777" w:rsidR="0021319F" w:rsidRDefault="0021319F" w:rsidP="00F6283B">
      <w:r>
        <w:continuationSeparator/>
      </w:r>
    </w:p>
  </w:footnote>
  <w:footnote w:id="1">
    <w:p w14:paraId="6312813D" w14:textId="77777777" w:rsidR="00F45693" w:rsidRPr="0098341E" w:rsidRDefault="00F45693" w:rsidP="0098341E">
      <w:pPr>
        <w:pStyle w:val="FootnoteText"/>
      </w:pPr>
      <w:r w:rsidRPr="0098341E">
        <w:rPr>
          <w:rStyle w:val="FootnoteReference"/>
        </w:rPr>
        <w:footnoteRef/>
      </w:r>
      <w:r w:rsidRPr="0098341E">
        <w:t xml:space="preserve"> Sandy Ghandhi and J. Craig Barker, “The Pinochet Judgment: Analysis and Implications”, </w:t>
      </w:r>
      <w:r w:rsidRPr="0098341E">
        <w:rPr>
          <w:i/>
        </w:rPr>
        <w:t>Indian Journal of International Law</w:t>
      </w:r>
      <w:r w:rsidRPr="0098341E">
        <w:t xml:space="preserve"> (2000) 40, 4: 657.</w:t>
      </w:r>
      <w:r w:rsidR="009A6856">
        <w:t>i</w:t>
      </w:r>
    </w:p>
  </w:footnote>
  <w:footnote w:id="2">
    <w:p w14:paraId="57F4F67F" w14:textId="77777777" w:rsidR="00F45693" w:rsidRPr="0098341E" w:rsidRDefault="00F45693" w:rsidP="0098341E">
      <w:pPr>
        <w:pStyle w:val="FootnoteText"/>
      </w:pPr>
      <w:r w:rsidRPr="0098341E">
        <w:rPr>
          <w:rStyle w:val="FootnoteReference"/>
        </w:rPr>
        <w:footnoteRef/>
      </w:r>
      <w:r w:rsidRPr="0098341E">
        <w:t xml:space="preserve"> </w:t>
      </w:r>
      <w:r w:rsidRPr="0098341E">
        <w:rPr>
          <w:bCs/>
          <w:i/>
          <w:iCs/>
        </w:rPr>
        <w:t>R v. Bow Street Metropolitan Stipendiary Magistrate, Ex Parte Pinochet Ugarte (No. 3)</w:t>
      </w:r>
      <w:r w:rsidRPr="0098341E">
        <w:t xml:space="preserve"> [1999] 2 All E.R. 97 (hereinafter </w:t>
      </w:r>
      <w:r w:rsidRPr="0098341E">
        <w:rPr>
          <w:i/>
        </w:rPr>
        <w:t>Pinochet No.</w:t>
      </w:r>
      <w:r>
        <w:rPr>
          <w:i/>
        </w:rPr>
        <w:t xml:space="preserve"> </w:t>
      </w:r>
      <w:r w:rsidRPr="0098341E">
        <w:rPr>
          <w:i/>
        </w:rPr>
        <w:t>3</w:t>
      </w:r>
      <w:r w:rsidRPr="0098341E">
        <w:t>).</w:t>
      </w:r>
    </w:p>
  </w:footnote>
  <w:footnote w:id="3">
    <w:p w14:paraId="6BA15135" w14:textId="77777777" w:rsidR="00F45693" w:rsidRPr="0098341E" w:rsidRDefault="00F45693" w:rsidP="0098341E">
      <w:pPr>
        <w:pStyle w:val="FootnoteText"/>
      </w:pPr>
      <w:r w:rsidRPr="0098341E">
        <w:rPr>
          <w:rStyle w:val="FootnoteReference"/>
        </w:rPr>
        <w:footnoteRef/>
      </w:r>
      <w:r w:rsidRPr="0098341E">
        <w:t xml:space="preserve"> Ruth Wedgewood, “International Criminal Law and Augusto Pinochet”, </w:t>
      </w:r>
      <w:r w:rsidRPr="0098341E">
        <w:rPr>
          <w:i/>
        </w:rPr>
        <w:t>Virginia Journal of International Law</w:t>
      </w:r>
      <w:r w:rsidRPr="0098341E">
        <w:t xml:space="preserve"> 40, 4 (2000): 829, 831.  Wedgwood further noted that “the case has dramatically limited the immunity that State officials can claim for criminal activities conducted during their days in power.”</w:t>
      </w:r>
    </w:p>
  </w:footnote>
  <w:footnote w:id="4">
    <w:p w14:paraId="26B54DC0" w14:textId="77777777" w:rsidR="00F45693" w:rsidRPr="0098341E" w:rsidRDefault="00F45693" w:rsidP="0098341E">
      <w:pPr>
        <w:pStyle w:val="FootnoteText"/>
      </w:pPr>
      <w:r w:rsidRPr="0098341E">
        <w:rPr>
          <w:rStyle w:val="FootnoteReference"/>
        </w:rPr>
        <w:footnoteRef/>
      </w:r>
      <w:r w:rsidRPr="0098341E">
        <w:t xml:space="preserve"> William J. Aceves, “Liberalism and International Legal Scholarship: The </w:t>
      </w:r>
      <w:r w:rsidRPr="0098341E">
        <w:rPr>
          <w:i/>
        </w:rPr>
        <w:t>Pinochet</w:t>
      </w:r>
      <w:r w:rsidRPr="0098341E">
        <w:t xml:space="preserve"> Case and the Move Toward a Universal System of Transnational Law Litigation”, </w:t>
      </w:r>
      <w:r w:rsidRPr="0098341E">
        <w:rPr>
          <w:i/>
        </w:rPr>
        <w:t>Harvard International Law Journal</w:t>
      </w:r>
      <w:r w:rsidRPr="0098341E">
        <w:t xml:space="preserve"> 41, 1 (2000): 129, 135.</w:t>
      </w:r>
    </w:p>
  </w:footnote>
  <w:footnote w:id="5">
    <w:p w14:paraId="14747D05" w14:textId="77777777" w:rsidR="00F45693" w:rsidRPr="0098341E" w:rsidRDefault="00F45693" w:rsidP="0098341E">
      <w:pPr>
        <w:pStyle w:val="FootnoteText"/>
      </w:pPr>
      <w:r w:rsidRPr="0098341E">
        <w:rPr>
          <w:rStyle w:val="FootnoteReference"/>
        </w:rPr>
        <w:footnoteRef/>
      </w:r>
      <w:r w:rsidRPr="0098341E">
        <w:t xml:space="preserve"> Christine Chinkin, “United Kingdom House of Lords: </w:t>
      </w:r>
      <w:r w:rsidRPr="0098341E">
        <w:rPr>
          <w:i/>
        </w:rPr>
        <w:t>Regina v. Bow Street Stipendiary Magistrate</w:t>
      </w:r>
      <w:r w:rsidRPr="0098341E">
        <w:t>, ex parte</w:t>
      </w:r>
      <w:r w:rsidRPr="0098341E">
        <w:rPr>
          <w:i/>
        </w:rPr>
        <w:t xml:space="preserve"> Pinochet Ugarte</w:t>
      </w:r>
      <w:r w:rsidRPr="0098341E">
        <w:t xml:space="preserve">”, </w:t>
      </w:r>
      <w:r w:rsidRPr="0098341E">
        <w:rPr>
          <w:i/>
        </w:rPr>
        <w:t>American Journal of International Law</w:t>
      </w:r>
      <w:r w:rsidRPr="0098341E">
        <w:t xml:space="preserve"> 93, 3 (1999): 703, 711.</w:t>
      </w:r>
    </w:p>
  </w:footnote>
  <w:footnote w:id="6">
    <w:p w14:paraId="53ECDA1E" w14:textId="77777777" w:rsidR="00F45693" w:rsidRPr="0098341E" w:rsidRDefault="00F45693" w:rsidP="0098341E">
      <w:pPr>
        <w:pStyle w:val="FootnoteText"/>
      </w:pPr>
      <w:r w:rsidRPr="0098341E">
        <w:rPr>
          <w:rStyle w:val="FootnoteReference"/>
        </w:rPr>
        <w:footnoteRef/>
      </w:r>
      <w:r w:rsidRPr="0098341E">
        <w:t xml:space="preserve"> Andrea Bianchi, “Immunity versus Human Rights: The </w:t>
      </w:r>
      <w:r w:rsidRPr="0098341E">
        <w:rPr>
          <w:i/>
        </w:rPr>
        <w:t>Pinochet</w:t>
      </w:r>
      <w:r w:rsidRPr="0098341E">
        <w:t xml:space="preserve"> Case”, </w:t>
      </w:r>
      <w:r w:rsidRPr="0098341E">
        <w:rPr>
          <w:i/>
        </w:rPr>
        <w:t>European Journal of International Law</w:t>
      </w:r>
      <w:r w:rsidRPr="0098341E">
        <w:t xml:space="preserve"> 10, 2 (1999): 237, 237.</w:t>
      </w:r>
    </w:p>
  </w:footnote>
  <w:footnote w:id="7">
    <w:p w14:paraId="40789EAB" w14:textId="77777777" w:rsidR="00F45693" w:rsidRPr="0098341E" w:rsidRDefault="00F45693" w:rsidP="0098341E">
      <w:pPr>
        <w:pStyle w:val="FootnoteText"/>
      </w:pPr>
      <w:r w:rsidRPr="0098341E">
        <w:rPr>
          <w:rStyle w:val="FootnoteReference"/>
        </w:rPr>
        <w:footnoteRef/>
      </w:r>
      <w:r w:rsidRPr="0098341E">
        <w:t xml:space="preserve"> Ghandhi and Barker, </w:t>
      </w:r>
      <w:r w:rsidRPr="0098341E">
        <w:rPr>
          <w:i/>
        </w:rPr>
        <w:t>supra</w:t>
      </w:r>
      <w:r w:rsidRPr="0098341E">
        <w:t xml:space="preserve"> note 1, 707-708.</w:t>
      </w:r>
    </w:p>
  </w:footnote>
  <w:footnote w:id="8">
    <w:p w14:paraId="6E6BE3EE" w14:textId="77777777" w:rsidR="00F45693" w:rsidRPr="0098341E" w:rsidRDefault="00F45693" w:rsidP="0098341E">
      <w:pPr>
        <w:pStyle w:val="FootnoteText"/>
      </w:pPr>
      <w:r w:rsidRPr="0098341E">
        <w:rPr>
          <w:rStyle w:val="FootnoteReference"/>
        </w:rPr>
        <w:footnoteRef/>
      </w:r>
      <w:r w:rsidRPr="0098341E">
        <w:t xml:space="preserve"> </w:t>
      </w:r>
      <w:r w:rsidRPr="0098341E">
        <w:rPr>
          <w:i/>
        </w:rPr>
        <w:t>Pinochet No. 3</w:t>
      </w:r>
      <w:r w:rsidRPr="0098341E">
        <w:t xml:space="preserve">, </w:t>
      </w:r>
      <w:r w:rsidRPr="0098341E">
        <w:rPr>
          <w:i/>
        </w:rPr>
        <w:t>supra</w:t>
      </w:r>
      <w:r w:rsidRPr="0098341E">
        <w:t xml:space="preserve"> note 2.</w:t>
      </w:r>
      <w:r w:rsidRPr="0098341E">
        <w:rPr>
          <w:i/>
        </w:rPr>
        <w:t xml:space="preserve"> </w:t>
      </w:r>
      <w:r w:rsidRPr="0098341E">
        <w:t xml:space="preserve"> This factual account is drawn largely from the speech of Lord Browne-Wilkinson.</w:t>
      </w:r>
    </w:p>
  </w:footnote>
  <w:footnote w:id="9">
    <w:p w14:paraId="3C140B2F" w14:textId="55C4B99C" w:rsidR="00F45693" w:rsidRPr="0098341E" w:rsidRDefault="00F45693" w:rsidP="0098341E">
      <w:pPr>
        <w:pStyle w:val="FootnoteText"/>
      </w:pPr>
      <w:r w:rsidRPr="0098341E">
        <w:rPr>
          <w:rStyle w:val="FootnoteReference"/>
        </w:rPr>
        <w:footnoteRef/>
      </w:r>
      <w:r w:rsidRPr="0098341E">
        <w:t xml:space="preserve"> </w:t>
      </w:r>
      <w:r w:rsidR="00D22319">
        <w:t xml:space="preserve"> </w:t>
      </w:r>
      <w:r w:rsidR="00D22319">
        <w:rPr>
          <w:i/>
        </w:rPr>
        <w:t xml:space="preserve">Augusto Pinochet </w:t>
      </w:r>
      <w:r w:rsidR="00D22319" w:rsidRPr="008F77DD">
        <w:rPr>
          <w:i/>
        </w:rPr>
        <w:t>Ugarte</w:t>
      </w:r>
      <w:r w:rsidR="00D22319">
        <w:t xml:space="preserve"> [1999] </w:t>
      </w:r>
      <w:r w:rsidRPr="008F77DD">
        <w:t>ILM</w:t>
      </w:r>
      <w:r w:rsidRPr="008F77DD">
        <w:rPr>
          <w:i/>
        </w:rPr>
        <w:t xml:space="preserve"> </w:t>
      </w:r>
      <w:r w:rsidRPr="008F77DD">
        <w:t xml:space="preserve">38 </w:t>
      </w:r>
      <w:r w:rsidR="00D22319">
        <w:t xml:space="preserve"> (Q.B. Div’l Ct, 1998)</w:t>
      </w:r>
    </w:p>
  </w:footnote>
  <w:footnote w:id="10">
    <w:p w14:paraId="67FDEF4D" w14:textId="77777777" w:rsidR="00F45693" w:rsidRPr="0098341E" w:rsidRDefault="00F45693" w:rsidP="0098341E">
      <w:pPr>
        <w:pStyle w:val="FootnoteText"/>
      </w:pPr>
      <w:r w:rsidRPr="0098341E">
        <w:rPr>
          <w:rStyle w:val="FootnoteReference"/>
        </w:rPr>
        <w:footnoteRef/>
      </w:r>
      <w:r w:rsidRPr="0098341E">
        <w:t xml:space="preserve"> </w:t>
      </w:r>
      <w:r w:rsidRPr="0098341E">
        <w:rPr>
          <w:i/>
        </w:rPr>
        <w:t>Ex parte Pinochet Ugarte No. 1</w:t>
      </w:r>
      <w:r w:rsidRPr="0098341E">
        <w:t xml:space="preserve"> [1998] 4 All E.R. 897; [1998] 3 W.L.R. 1456.</w:t>
      </w:r>
    </w:p>
  </w:footnote>
  <w:footnote w:id="11">
    <w:p w14:paraId="13D24606" w14:textId="77777777" w:rsidR="00F45693" w:rsidRPr="0098341E" w:rsidRDefault="00F45693" w:rsidP="0098341E">
      <w:pPr>
        <w:pStyle w:val="FootnoteText"/>
      </w:pPr>
      <w:r w:rsidRPr="0098341E">
        <w:rPr>
          <w:rStyle w:val="FootnoteReference"/>
        </w:rPr>
        <w:footnoteRef/>
      </w:r>
      <w:r w:rsidRPr="0098341E">
        <w:t xml:space="preserve"> </w:t>
      </w:r>
      <w:r w:rsidRPr="0098341E">
        <w:rPr>
          <w:i/>
        </w:rPr>
        <w:t xml:space="preserve">Ex parte Pinochet Ugarte No. 2 </w:t>
      </w:r>
      <w:r w:rsidRPr="0098341E">
        <w:t>[1999] 1 All E.R. 577; [1999] 2 W.L.R. 272.</w:t>
      </w:r>
    </w:p>
  </w:footnote>
  <w:footnote w:id="12">
    <w:p w14:paraId="04D520FC" w14:textId="77777777" w:rsidR="00F45693" w:rsidRPr="0098341E" w:rsidRDefault="00F45693" w:rsidP="0098341E">
      <w:pPr>
        <w:pStyle w:val="FootnoteText"/>
      </w:pPr>
      <w:r w:rsidRPr="0098341E">
        <w:rPr>
          <w:rStyle w:val="FootnoteReference"/>
        </w:rPr>
        <w:footnoteRef/>
      </w:r>
      <w:r w:rsidRPr="0098341E">
        <w:t xml:space="preserve"> </w:t>
      </w:r>
      <w:r w:rsidRPr="0098341E">
        <w:rPr>
          <w:i/>
        </w:rPr>
        <w:t>Pinochet No. 3</w:t>
      </w:r>
      <w:r w:rsidRPr="0098341E">
        <w:t xml:space="preserve">, </w:t>
      </w:r>
      <w:r w:rsidRPr="0098341E">
        <w:rPr>
          <w:i/>
        </w:rPr>
        <w:t>supra</w:t>
      </w:r>
      <w:r w:rsidRPr="0098341E">
        <w:t xml:space="preserve"> note 2.</w:t>
      </w:r>
    </w:p>
  </w:footnote>
  <w:footnote w:id="13">
    <w:p w14:paraId="7F5F1DFD" w14:textId="77777777" w:rsidR="00F45693" w:rsidRPr="0098341E" w:rsidRDefault="00F45693" w:rsidP="0098341E">
      <w:pPr>
        <w:pStyle w:val="FootnoteText"/>
      </w:pPr>
      <w:r w:rsidRPr="0098341E">
        <w:rPr>
          <w:rStyle w:val="FootnoteReference"/>
        </w:rPr>
        <w:footnoteRef/>
      </w:r>
      <w:r w:rsidRPr="0098341E">
        <w:t xml:space="preserve"> Ghandhi and Barker, </w:t>
      </w:r>
      <w:r w:rsidRPr="0098341E">
        <w:rPr>
          <w:i/>
        </w:rPr>
        <w:t>supra</w:t>
      </w:r>
      <w:r w:rsidRPr="0098341E">
        <w:t xml:space="preserve"> note 1, 658-661.</w:t>
      </w:r>
    </w:p>
  </w:footnote>
  <w:footnote w:id="14">
    <w:p w14:paraId="7F0E66D2" w14:textId="77777777" w:rsidR="00F45693" w:rsidRPr="0098341E" w:rsidRDefault="00F45693" w:rsidP="0098341E">
      <w:pPr>
        <w:pStyle w:val="FootnoteText"/>
      </w:pPr>
      <w:r w:rsidRPr="0098341E">
        <w:rPr>
          <w:rStyle w:val="FootnoteReference"/>
        </w:rPr>
        <w:footnoteRef/>
      </w:r>
      <w:r w:rsidRPr="0098341E">
        <w:t xml:space="preserve"> </w:t>
      </w:r>
      <w:r w:rsidRPr="0098341E">
        <w:rPr>
          <w:i/>
        </w:rPr>
        <w:t>Ibid</w:t>
      </w:r>
      <w:r w:rsidRPr="0098341E">
        <w:t>., 706.</w:t>
      </w:r>
    </w:p>
  </w:footnote>
  <w:footnote w:id="15">
    <w:p w14:paraId="668B867D" w14:textId="77777777" w:rsidR="00F45693" w:rsidRPr="0098341E" w:rsidRDefault="00F45693" w:rsidP="0098341E">
      <w:pPr>
        <w:pStyle w:val="FootnoteText"/>
      </w:pPr>
      <w:r w:rsidRPr="0098341E">
        <w:rPr>
          <w:rStyle w:val="FootnoteReference"/>
        </w:rPr>
        <w:footnoteRef/>
      </w:r>
      <w:r w:rsidRPr="0098341E">
        <w:t xml:space="preserve"> Immunity from jurisdiction is available to individuals either </w:t>
      </w:r>
      <w:r w:rsidRPr="0098341E">
        <w:rPr>
          <w:i/>
        </w:rPr>
        <w:t>rationae personae</w:t>
      </w:r>
      <w:r w:rsidRPr="0098341E">
        <w:t xml:space="preserve">, if they have a particular status or fill a particular office, for example as a diplomatic agent or Head of State.  Immunity </w:t>
      </w:r>
      <w:r w:rsidRPr="0098341E">
        <w:rPr>
          <w:i/>
        </w:rPr>
        <w:t xml:space="preserve">rationae </w:t>
      </w:r>
      <w:r w:rsidRPr="008F77DD">
        <w:rPr>
          <w:i/>
        </w:rPr>
        <w:t>personae</w:t>
      </w:r>
      <w:r w:rsidRPr="0098341E">
        <w:t xml:space="preserve"> continues as long as they have that status or office.  Immunity </w:t>
      </w:r>
      <w:r w:rsidRPr="0098341E">
        <w:rPr>
          <w:i/>
        </w:rPr>
        <w:t>rationae materiae</w:t>
      </w:r>
      <w:r w:rsidRPr="0098341E">
        <w:t xml:space="preserve"> is an immunity available to individuals either in relation to a specific act or residually after termination of the status or office attracting immunity </w:t>
      </w:r>
      <w:r w:rsidRPr="0098341E">
        <w:rPr>
          <w:i/>
        </w:rPr>
        <w:t>rationae personae</w:t>
      </w:r>
      <w:r w:rsidRPr="0098341E">
        <w:t xml:space="preserve"> but only in respect of an official act performed on behalf of a State.  Effectively this immunity is the immunity of the State as applied to an individual.  The issue of whether an individual is acting within his or her official capacity is accordingly crucial to the determination of whether that person is or is not entitled to immunity.</w:t>
      </w:r>
    </w:p>
  </w:footnote>
  <w:footnote w:id="16">
    <w:p w14:paraId="11B36186" w14:textId="77777777" w:rsidR="00F45693" w:rsidRPr="0098341E" w:rsidRDefault="00F45693" w:rsidP="0098341E">
      <w:pPr>
        <w:pStyle w:val="FootnoteText"/>
      </w:pPr>
      <w:r w:rsidRPr="0098341E">
        <w:rPr>
          <w:rStyle w:val="FootnoteReference"/>
        </w:rPr>
        <w:footnoteRef/>
      </w:r>
      <w:r w:rsidRPr="0098341E">
        <w:t xml:space="preserve"> Article 1 of the United Nations Convention Against Torture 1984 defines torture in the following terms: “For the purposes of this Convention, the term ‘torture’ means any act by which severe pain or suffering, whether physical or mental, is intentionally inflicted on a person for such purposes as obtaining from him or a third person information or a confession, punishing him for an act he or a third person has committed or is suspected of having committed, or</w:t>
      </w:r>
    </w:p>
    <w:p w14:paraId="29B10BAD" w14:textId="77777777" w:rsidR="00F45693" w:rsidRPr="0098341E" w:rsidRDefault="00F45693" w:rsidP="0098341E">
      <w:pPr>
        <w:pStyle w:val="FootnoteText"/>
      </w:pPr>
      <w:r w:rsidRPr="0098341E">
        <w:t>intimidating or coercing him or a third person, or for any reason based on discrimination of any kind, when such pain or suffering is inflicted by or at the instigation of or with the consent or acquiescence of a public official or other person acting in an official capacity.  It does not include pain or suffering arising only from, inherent in or incidental to lawful sanctions.”</w:t>
      </w:r>
    </w:p>
  </w:footnote>
  <w:footnote w:id="17">
    <w:p w14:paraId="0819B5F5" w14:textId="77777777" w:rsidR="00F45693" w:rsidRPr="0098341E" w:rsidRDefault="00F45693" w:rsidP="0098341E">
      <w:pPr>
        <w:pStyle w:val="FootnoteText"/>
      </w:pPr>
      <w:r w:rsidRPr="0098341E">
        <w:rPr>
          <w:rStyle w:val="FootnoteReference"/>
        </w:rPr>
        <w:footnoteRef/>
      </w:r>
      <w:r w:rsidRPr="0098341E">
        <w:t xml:space="preserve"> Lords Browne-Wilkinson, Hutton and Phillips.</w:t>
      </w:r>
    </w:p>
  </w:footnote>
  <w:footnote w:id="18">
    <w:p w14:paraId="5D661DC4" w14:textId="77777777" w:rsidR="00F45693" w:rsidRPr="0098341E" w:rsidRDefault="00F45693" w:rsidP="0098341E">
      <w:pPr>
        <w:pStyle w:val="FootnoteText"/>
      </w:pPr>
      <w:r w:rsidRPr="0098341E">
        <w:rPr>
          <w:rStyle w:val="FootnoteReference"/>
        </w:rPr>
        <w:footnoteRef/>
      </w:r>
      <w:r w:rsidRPr="0098341E">
        <w:t xml:space="preserve"> Lords Hope, Saville and Millett.</w:t>
      </w:r>
    </w:p>
  </w:footnote>
  <w:footnote w:id="19">
    <w:p w14:paraId="3190D706" w14:textId="77777777" w:rsidR="00F45693" w:rsidRPr="0098341E" w:rsidRDefault="00F45693" w:rsidP="0098341E">
      <w:pPr>
        <w:pStyle w:val="FootnoteText"/>
      </w:pPr>
      <w:r w:rsidRPr="0098341E">
        <w:rPr>
          <w:rStyle w:val="FootnoteReference"/>
        </w:rPr>
        <w:footnoteRef/>
      </w:r>
      <w:r w:rsidRPr="0098341E">
        <w:t xml:space="preserve"> For a detailed analysis of the jurisdictional question see Ghandhi and Barker, </w:t>
      </w:r>
      <w:r w:rsidRPr="0098341E">
        <w:rPr>
          <w:i/>
        </w:rPr>
        <w:t>supra</w:t>
      </w:r>
      <w:r w:rsidRPr="0098341E">
        <w:t xml:space="preserve"> note 1, 677-694.  We concluded, at 689: “Lord Millett aside, none of their lordships were willing to find that there existed in customary international law … a right to prosecute alleged offenders wherever they are found.  In other words, customary international law did not provide for universal jurisdiction against torturers.  Accordingly, the only legal base for the exercise of universal jurisdiction against an individual accused of the crime of torture is provided by treaty, specifically the Torture Convention.”</w:t>
      </w:r>
    </w:p>
  </w:footnote>
  <w:footnote w:id="20">
    <w:p w14:paraId="1C95CD76" w14:textId="77117042" w:rsidR="00F45693" w:rsidRPr="0098341E" w:rsidRDefault="00F45693" w:rsidP="0098341E">
      <w:pPr>
        <w:pStyle w:val="FootnoteText"/>
      </w:pPr>
      <w:r w:rsidRPr="0098341E">
        <w:rPr>
          <w:rStyle w:val="FootnoteReference"/>
        </w:rPr>
        <w:footnoteRef/>
      </w:r>
      <w:r w:rsidRPr="0098341E">
        <w:t xml:space="preserve"> Section 20(1) of the State Immunity Act 1978 provides that the Diplomatic Privileges Act 1964 (and hence the Vienna Convention on Diplomatic Relations 1961, which was incorporated verbatim into UK law by the 1964 Act) “subject…to any necessary modifications…shall apply to (a) a sovereign or other Head of State…as it applies to a Head of a diplomatic mission.”  Article 39(2) of the Vienna Convention on Diplomatic Relations 1961 provides that diplomatic agents (and hence Heads of States) retain immunity after they have ceased to function as a diplomatic agent (or Head of State) but only in respect to “acts performed by such person in the course of his functions as a member of the mission”.  Accordingly, a diplomatic agent (or Head of State) has immunity </w:t>
      </w:r>
      <w:r w:rsidRPr="0098341E">
        <w:rPr>
          <w:i/>
        </w:rPr>
        <w:t>rationae personae</w:t>
      </w:r>
      <w:r w:rsidRPr="0098341E">
        <w:t xml:space="preserve"> up until the point where he ceases his functions after which time he retains residual immunity </w:t>
      </w:r>
      <w:r w:rsidRPr="0098341E">
        <w:rPr>
          <w:i/>
        </w:rPr>
        <w:t>rationae material</w:t>
      </w:r>
      <w:r w:rsidRPr="0098341E">
        <w:t xml:space="preserve"> in respect of his official acts.</w:t>
      </w:r>
    </w:p>
  </w:footnote>
  <w:footnote w:id="21">
    <w:p w14:paraId="39F7D7E6" w14:textId="77777777" w:rsidR="00F45693" w:rsidRPr="0098341E" w:rsidRDefault="00F45693" w:rsidP="0098341E">
      <w:pPr>
        <w:rPr>
          <w:sz w:val="20"/>
          <w:szCs w:val="20"/>
        </w:rPr>
      </w:pPr>
      <w:r w:rsidRPr="0098341E">
        <w:rPr>
          <w:rStyle w:val="FootnoteReference"/>
          <w:sz w:val="20"/>
          <w:szCs w:val="20"/>
        </w:rPr>
        <w:footnoteRef/>
      </w:r>
      <w:r w:rsidRPr="0098341E">
        <w:rPr>
          <w:sz w:val="20"/>
          <w:szCs w:val="20"/>
        </w:rPr>
        <w:t xml:space="preserve"> Analytical Guide to the Work of the International Law Commission, “</w:t>
      </w:r>
      <w:r w:rsidRPr="0098341E">
        <w:rPr>
          <w:bCs/>
          <w:color w:val="000000"/>
          <w:sz w:val="20"/>
          <w:szCs w:val="20"/>
          <w:shd w:val="clear" w:color="auto" w:fill="FFFFFF"/>
        </w:rPr>
        <w:t xml:space="preserve">Immunity of State Officials from Foreign Criminal Jurisdiction”, </w:t>
      </w:r>
      <w:r w:rsidRPr="0098341E">
        <w:rPr>
          <w:sz w:val="20"/>
          <w:szCs w:val="20"/>
        </w:rPr>
        <w:t>http://legal.un.org/ilc/guide/4_2.htm.</w:t>
      </w:r>
    </w:p>
  </w:footnote>
  <w:footnote w:id="22">
    <w:p w14:paraId="74225696" w14:textId="4255F4A3" w:rsidR="00F45693" w:rsidRPr="0098341E" w:rsidRDefault="00F45693" w:rsidP="0098341E">
      <w:pPr>
        <w:pStyle w:val="FootnoteText"/>
      </w:pPr>
      <w:r w:rsidRPr="0098341E">
        <w:rPr>
          <w:rStyle w:val="FootnoteReference"/>
        </w:rPr>
        <w:footnoteRef/>
      </w:r>
      <w:r w:rsidRPr="0098341E">
        <w:t xml:space="preserve"> Bianchi, </w:t>
      </w:r>
      <w:r w:rsidRPr="0098341E">
        <w:rPr>
          <w:i/>
        </w:rPr>
        <w:t>supra</w:t>
      </w:r>
      <w:r w:rsidRPr="0098341E">
        <w:t xml:space="preserve"> note</w:t>
      </w:r>
      <w:r w:rsidR="00FC6BD3">
        <w:t xml:space="preserve"> 6</w:t>
      </w:r>
      <w:r w:rsidRPr="0098341E">
        <w:t>, 237.</w:t>
      </w:r>
    </w:p>
  </w:footnote>
  <w:footnote w:id="23">
    <w:p w14:paraId="6460B5FF" w14:textId="15995736" w:rsidR="00F45693" w:rsidRPr="0098341E" w:rsidRDefault="00F45693" w:rsidP="0098341E">
      <w:pPr>
        <w:pStyle w:val="FootnoteText"/>
      </w:pPr>
      <w:r w:rsidRPr="0098341E">
        <w:rPr>
          <w:rStyle w:val="FootnoteReference"/>
        </w:rPr>
        <w:footnoteRef/>
      </w:r>
      <w:r w:rsidRPr="0098341E">
        <w:t xml:space="preserve"> The origins of the rule of absolute immunity are disputed and it is asserted that the rule was never part of the civil law tradition.  The origins of the rule within the common law tradition are linked to established rules of diplomatic immunity, and based on notions of sovereignty, equality and dignity </w:t>
      </w:r>
      <w:r w:rsidRPr="008F77DD">
        <w:t xml:space="preserve">(see </w:t>
      </w:r>
      <w:r w:rsidRPr="008F77DD">
        <w:rPr>
          <w:i/>
        </w:rPr>
        <w:t>The Schooner Exchange v. M</w:t>
      </w:r>
      <w:r w:rsidR="00FC6BD3" w:rsidRPr="008F77DD">
        <w:rPr>
          <w:i/>
        </w:rPr>
        <w:t>cFaddon</w:t>
      </w:r>
      <w:r w:rsidRPr="008F77DD">
        <w:t xml:space="preserve"> 7 Cranch 116</w:t>
      </w:r>
      <w:r w:rsidR="00FC6BD3" w:rsidRPr="008F77DD">
        <w:t>,</w:t>
      </w:r>
      <w:r w:rsidRPr="008F77DD">
        <w:t xml:space="preserve"> 31 L.Ed. 287 (1812)</w:t>
      </w:r>
      <w:r w:rsidR="00FC6BD3" w:rsidRPr="008F77DD">
        <w:t>)</w:t>
      </w:r>
      <w:r w:rsidRPr="0098341E">
        <w:t xml:space="preserve">.  On the theory of absolute immunity as applied in the United Kingdom, see the decisions of the Court of Appeal in </w:t>
      </w:r>
      <w:r w:rsidRPr="0098341E">
        <w:rPr>
          <w:i/>
        </w:rPr>
        <w:t>The Parlement Belge</w:t>
      </w:r>
      <w:r w:rsidRPr="0098341E">
        <w:t xml:space="preserve"> (1880) 5 P.D. 197 and </w:t>
      </w:r>
      <w:r w:rsidRPr="0098341E">
        <w:rPr>
          <w:i/>
        </w:rPr>
        <w:t>The Porto Alexandre</w:t>
      </w:r>
      <w:r w:rsidRPr="0098341E">
        <w:t xml:space="preserve"> [1920] P. 20 and the House of Lords in </w:t>
      </w:r>
      <w:r w:rsidRPr="0098341E">
        <w:rPr>
          <w:i/>
        </w:rPr>
        <w:t>The Christina</w:t>
      </w:r>
      <w:r w:rsidRPr="0098341E">
        <w:t xml:space="preserve"> [1938] A.C. 483.  On the application of the approach in the United States of America see the decision of the US Supreme Court in </w:t>
      </w:r>
      <w:r w:rsidRPr="0098341E">
        <w:rPr>
          <w:i/>
        </w:rPr>
        <w:t>Berizzi Bros. Co. v. S.S. Pesaro</w:t>
      </w:r>
      <w:r w:rsidRPr="0098341E">
        <w:t xml:space="preserve"> [1926]  271 U.S. 362.</w:t>
      </w:r>
    </w:p>
  </w:footnote>
  <w:footnote w:id="24">
    <w:p w14:paraId="6D32DB10" w14:textId="1C51ED88" w:rsidR="00F45693" w:rsidRPr="0098341E" w:rsidRDefault="00F45693" w:rsidP="0098341E">
      <w:pPr>
        <w:pStyle w:val="FootnoteText"/>
      </w:pPr>
      <w:r w:rsidRPr="0098341E">
        <w:rPr>
          <w:rStyle w:val="FootnoteReference"/>
        </w:rPr>
        <w:footnoteRef/>
      </w:r>
      <w:r w:rsidRPr="0098341E">
        <w:t xml:space="preserve"> The move to the restrictive approach was commenced in the US by the so-called Tate Letter (Letter from Jack B. Tate, Acting Legal Adviser of the US Department of State to Acting Attorney General Phillip B. Perlmann (May 19 1952) reprinted in 26 </w:t>
      </w:r>
      <w:r w:rsidRPr="0098341E">
        <w:rPr>
          <w:i/>
        </w:rPr>
        <w:t>Department of State Bulletin</w:t>
      </w:r>
      <w:r w:rsidRPr="0098341E">
        <w:t xml:space="preserve"> 984 (1952).  The process in the UK took significantly longer and was primarily facilitated by the judiciary through a series of cases culminating with the Court of Appeal decisions in </w:t>
      </w:r>
      <w:r w:rsidRPr="0098341E">
        <w:rPr>
          <w:i/>
        </w:rPr>
        <w:t>The Phillipine Admiral</w:t>
      </w:r>
      <w:r w:rsidRPr="0098341E">
        <w:t xml:space="preserve"> [1976] 2 WLR 214 and </w:t>
      </w:r>
      <w:r w:rsidRPr="0098341E">
        <w:rPr>
          <w:i/>
        </w:rPr>
        <w:t>Trendtex Trading Corporation v. Central Bank of Nigeria</w:t>
      </w:r>
      <w:r w:rsidRPr="0098341E">
        <w:t xml:space="preserve"> [1977] QB 529 and ultimately confirmed by the House of Lords in </w:t>
      </w:r>
      <w:r w:rsidRPr="0098341E">
        <w:rPr>
          <w:i/>
        </w:rPr>
        <w:t>I Congress Del Partido</w:t>
      </w:r>
      <w:r w:rsidRPr="0098341E">
        <w:t xml:space="preserve"> [1981] 2 All ER 1064.  The restrictive theory was enacted into legislation the Foreign Sovereign Immunities Act 1976 in the US and the State Immunity Act 1972 in the UK.  See also the European Convention on State Immunity 1972.</w:t>
      </w:r>
    </w:p>
  </w:footnote>
  <w:footnote w:id="25">
    <w:p w14:paraId="530AF670" w14:textId="77777777" w:rsidR="00F45693" w:rsidRPr="0098341E" w:rsidRDefault="00F45693" w:rsidP="0098341E">
      <w:pPr>
        <w:pStyle w:val="FootnoteText"/>
      </w:pPr>
      <w:r w:rsidRPr="0098341E">
        <w:rPr>
          <w:rStyle w:val="FootnoteReference"/>
        </w:rPr>
        <w:footnoteRef/>
      </w:r>
      <w:r w:rsidRPr="0098341E">
        <w:t xml:space="preserve"> </w:t>
      </w:r>
      <w:r w:rsidRPr="0098341E">
        <w:rPr>
          <w:i/>
        </w:rPr>
        <w:t>Filartiga v. Pena-Irala</w:t>
      </w:r>
      <w:r w:rsidRPr="0098341E">
        <w:t xml:space="preserve"> 630 F2d 876 (2d. Cir. 1980). </w:t>
      </w:r>
    </w:p>
  </w:footnote>
  <w:footnote w:id="26">
    <w:p w14:paraId="669D09D1" w14:textId="77777777" w:rsidR="00F45693" w:rsidRPr="0098341E" w:rsidRDefault="00F45693" w:rsidP="0098341E">
      <w:pPr>
        <w:pStyle w:val="FootnoteText"/>
      </w:pPr>
      <w:r w:rsidRPr="0098341E">
        <w:rPr>
          <w:rStyle w:val="FootnoteReference"/>
        </w:rPr>
        <w:footnoteRef/>
      </w:r>
      <w:r w:rsidRPr="0098341E">
        <w:t xml:space="preserve"> </w:t>
      </w:r>
      <w:r w:rsidRPr="0098341E">
        <w:rPr>
          <w:i/>
        </w:rPr>
        <w:t>Siderman de Blake v. Republic of Argentina</w:t>
      </w:r>
      <w:r w:rsidRPr="0098341E">
        <w:t xml:space="preserve"> 965 F.2d 699 (1992). </w:t>
      </w:r>
    </w:p>
  </w:footnote>
  <w:footnote w:id="27">
    <w:p w14:paraId="318E7CAE" w14:textId="0E122C89" w:rsidR="00F45693" w:rsidRPr="0098341E" w:rsidRDefault="00F45693" w:rsidP="0098341E">
      <w:pPr>
        <w:pStyle w:val="FootnoteText"/>
      </w:pPr>
      <w:r w:rsidRPr="0098341E">
        <w:rPr>
          <w:rStyle w:val="FootnoteReference"/>
        </w:rPr>
        <w:footnoteRef/>
      </w:r>
      <w:r w:rsidRPr="0098341E">
        <w:t xml:space="preserve"> </w:t>
      </w:r>
      <w:r w:rsidRPr="0098341E">
        <w:rPr>
          <w:i/>
        </w:rPr>
        <w:t xml:space="preserve">Al-Adsani v. Government of Kuwait and Others </w:t>
      </w:r>
      <w:r w:rsidRPr="0098341E">
        <w:t>[1994] P.I.Q.R. 236</w:t>
      </w:r>
      <w:r w:rsidR="00FC6BD3">
        <w:t>; 100 ILR 465.</w:t>
      </w:r>
    </w:p>
  </w:footnote>
  <w:footnote w:id="28">
    <w:p w14:paraId="4251EC50" w14:textId="6A434B19" w:rsidR="00F45693" w:rsidRPr="0098341E" w:rsidRDefault="00F45693" w:rsidP="0098341E">
      <w:pPr>
        <w:pStyle w:val="FootnoteText"/>
        <w:rPr>
          <w:highlight w:val="yellow"/>
        </w:rPr>
      </w:pPr>
      <w:r w:rsidRPr="0098341E">
        <w:rPr>
          <w:rStyle w:val="FootnoteReference"/>
        </w:rPr>
        <w:footnoteRef/>
      </w:r>
      <w:r w:rsidRPr="0098341E">
        <w:t xml:space="preserve"> </w:t>
      </w:r>
      <w:r w:rsidR="00FC6BD3">
        <w:rPr>
          <w:i/>
        </w:rPr>
        <w:t xml:space="preserve">Al-Adsani v Government of Kuwait and Others </w:t>
      </w:r>
      <w:r w:rsidR="00FC6BD3">
        <w:t>[1993] 103 ILR 420</w:t>
      </w:r>
      <w:r w:rsidRPr="008F77DD">
        <w:t>.</w:t>
      </w:r>
    </w:p>
  </w:footnote>
  <w:footnote w:id="29">
    <w:p w14:paraId="5BE38F61" w14:textId="38FFED97" w:rsidR="00F45693" w:rsidRPr="0098341E" w:rsidRDefault="00F45693" w:rsidP="0098341E">
      <w:pPr>
        <w:pStyle w:val="FootnoteText"/>
      </w:pPr>
      <w:r w:rsidRPr="008F77DD">
        <w:rPr>
          <w:rStyle w:val="FootnoteReference"/>
        </w:rPr>
        <w:footnoteRef/>
      </w:r>
      <w:r w:rsidRPr="008F77DD">
        <w:t xml:space="preserve"> </w:t>
      </w:r>
      <w:r w:rsidR="00FC6BD3" w:rsidRPr="008F77DD">
        <w:rPr>
          <w:i/>
        </w:rPr>
        <w:t xml:space="preserve">Al-Adsani v Government of Kuwait and Others </w:t>
      </w:r>
      <w:r w:rsidR="00FC6BD3" w:rsidRPr="008F77DD">
        <w:t>[</w:t>
      </w:r>
      <w:r w:rsidRPr="008F77DD">
        <w:t>1996</w:t>
      </w:r>
      <w:r w:rsidR="00FC6BD3" w:rsidRPr="008F77DD">
        <w:t>]</w:t>
      </w:r>
      <w:r w:rsidRPr="008F77DD">
        <w:t xml:space="preserve"> </w:t>
      </w:r>
      <w:r w:rsidR="00FC6BD3" w:rsidRPr="008F77DD">
        <w:t>107 ILR 536</w:t>
      </w:r>
      <w:r w:rsidR="00FC6BD3">
        <w:t>.</w:t>
      </w:r>
      <w:r w:rsidRPr="0098341E">
        <w:t xml:space="preserve"> </w:t>
      </w:r>
    </w:p>
  </w:footnote>
  <w:footnote w:id="30">
    <w:p w14:paraId="44005FAB" w14:textId="77777777" w:rsidR="00F45693" w:rsidRPr="0098341E" w:rsidRDefault="00F45693" w:rsidP="0098341E">
      <w:pPr>
        <w:pStyle w:val="FootnoteText"/>
      </w:pPr>
      <w:r w:rsidRPr="0098341E">
        <w:rPr>
          <w:rStyle w:val="FootnoteReference"/>
        </w:rPr>
        <w:footnoteRef/>
      </w:r>
      <w:r w:rsidRPr="0098341E">
        <w:t xml:space="preserve"> For a more detailed survey of the various hearings in this case see Ed Bates, “The </w:t>
      </w:r>
      <w:r w:rsidRPr="0098341E">
        <w:rPr>
          <w:i/>
        </w:rPr>
        <w:t>Al-Adsani</w:t>
      </w:r>
      <w:r w:rsidRPr="0098341E">
        <w:t xml:space="preserve"> Case, State Immunity and the International Legal Prohibition on Torture” </w:t>
      </w:r>
      <w:r w:rsidRPr="0098341E">
        <w:rPr>
          <w:i/>
        </w:rPr>
        <w:t>Human Rights Law Review</w:t>
      </w:r>
      <w:r w:rsidRPr="0098341E">
        <w:t xml:space="preserve"> 3, 1 (2003): 193.</w:t>
      </w:r>
    </w:p>
  </w:footnote>
  <w:footnote w:id="31">
    <w:p w14:paraId="5D62FE62" w14:textId="77777777" w:rsidR="00F45693" w:rsidRPr="0098341E" w:rsidRDefault="00F45693" w:rsidP="0098341E">
      <w:pPr>
        <w:pStyle w:val="FootnoteText"/>
      </w:pPr>
      <w:r w:rsidRPr="0098341E">
        <w:rPr>
          <w:rStyle w:val="FootnoteReference"/>
        </w:rPr>
        <w:footnoteRef/>
      </w:r>
      <w:r w:rsidRPr="0098341E">
        <w:t xml:space="preserve"> State Immunity Act 1978, s. 3.</w:t>
      </w:r>
    </w:p>
  </w:footnote>
  <w:footnote w:id="32">
    <w:p w14:paraId="39C5D895" w14:textId="4D4A8E39" w:rsidR="00F45693" w:rsidRPr="0098341E" w:rsidRDefault="00F45693" w:rsidP="0098341E">
      <w:pPr>
        <w:pStyle w:val="FootnoteText"/>
      </w:pPr>
      <w:r w:rsidRPr="0098341E">
        <w:rPr>
          <w:rStyle w:val="FootnoteReference"/>
        </w:rPr>
        <w:footnoteRef/>
      </w:r>
      <w:r w:rsidRPr="0098341E">
        <w:t xml:space="preserve"> The issue as to whether a successful claim to State immunity was in breach of Article 6 ECHR was considered in </w:t>
      </w:r>
      <w:r w:rsidRPr="0098341E">
        <w:rPr>
          <w:i/>
        </w:rPr>
        <w:t>Al-Adsani v. UK</w:t>
      </w:r>
      <w:r w:rsidRPr="0098341E">
        <w:t xml:space="preserve"> 2001-XI 79; (2002) 34 EHRR 273, alongside  two other cases: </w:t>
      </w:r>
      <w:r w:rsidRPr="0098341E">
        <w:rPr>
          <w:i/>
        </w:rPr>
        <w:t>Fogarty v. UK</w:t>
      </w:r>
      <w:r w:rsidRPr="0098341E">
        <w:t xml:space="preserve"> (2001-XI 157; (2002) 34 EHRR 302) and </w:t>
      </w:r>
      <w:r w:rsidRPr="0098341E">
        <w:rPr>
          <w:i/>
        </w:rPr>
        <w:t>McElhinney v. Ireland</w:t>
      </w:r>
      <w:r w:rsidRPr="0098341E">
        <w:t xml:space="preserve"> (2001-XI 37; (2002) 34 EHRR 322).</w:t>
      </w:r>
    </w:p>
  </w:footnote>
  <w:footnote w:id="33">
    <w:p w14:paraId="7612A3F1" w14:textId="403F0EC7" w:rsidR="00F45693" w:rsidRPr="0098341E" w:rsidRDefault="00F45693" w:rsidP="0098341E">
      <w:pPr>
        <w:pStyle w:val="FootnoteText"/>
        <w:rPr>
          <w:highlight w:val="yellow"/>
        </w:rPr>
      </w:pPr>
      <w:r w:rsidRPr="0098341E">
        <w:rPr>
          <w:rStyle w:val="FootnoteReference"/>
        </w:rPr>
        <w:footnoteRef/>
      </w:r>
      <w:r w:rsidRPr="0098341E">
        <w:t xml:space="preserve"> </w:t>
      </w:r>
      <w:r w:rsidRPr="0098341E">
        <w:rPr>
          <w:i/>
        </w:rPr>
        <w:t>Al-Adsani</w:t>
      </w:r>
      <w:r w:rsidRPr="0098341E">
        <w:t xml:space="preserve">, </w:t>
      </w:r>
      <w:r w:rsidRPr="0098341E">
        <w:rPr>
          <w:i/>
        </w:rPr>
        <w:t>supra</w:t>
      </w:r>
      <w:r w:rsidRPr="0098341E">
        <w:t xml:space="preserve"> note </w:t>
      </w:r>
      <w:r w:rsidR="00FC6BD3" w:rsidRPr="008F77DD">
        <w:t>32</w:t>
      </w:r>
      <w:r w:rsidRPr="0098341E">
        <w:t>,</w:t>
      </w:r>
      <w:r w:rsidRPr="0098341E">
        <w:rPr>
          <w:i/>
        </w:rPr>
        <w:t xml:space="preserve"> </w:t>
      </w:r>
      <w:r w:rsidRPr="0098341E">
        <w:t>¶ 54.</w:t>
      </w:r>
    </w:p>
  </w:footnote>
  <w:footnote w:id="34">
    <w:p w14:paraId="44285042" w14:textId="3EF84F46" w:rsidR="00F45693" w:rsidRPr="0098341E" w:rsidRDefault="00F45693" w:rsidP="0098341E">
      <w:pPr>
        <w:pStyle w:val="FootnoteText"/>
      </w:pPr>
      <w:r w:rsidRPr="0098341E">
        <w:rPr>
          <w:rStyle w:val="FootnoteReference"/>
        </w:rPr>
        <w:footnoteRef/>
      </w:r>
      <w:r w:rsidRPr="0098341E">
        <w:t xml:space="preserve"> </w:t>
      </w:r>
      <w:r w:rsidRPr="0098341E">
        <w:rPr>
          <w:i/>
        </w:rPr>
        <w:t>Al-Adsani</w:t>
      </w:r>
      <w:r w:rsidRPr="0098341E">
        <w:t xml:space="preserve">, </w:t>
      </w:r>
      <w:r w:rsidRPr="0098341E">
        <w:rPr>
          <w:i/>
        </w:rPr>
        <w:t>supra</w:t>
      </w:r>
      <w:r w:rsidRPr="0098341E">
        <w:t xml:space="preserve"> note</w:t>
      </w:r>
      <w:r w:rsidR="00FC6BD3">
        <w:t xml:space="preserve"> 32</w:t>
      </w:r>
      <w:r w:rsidRPr="0098341E">
        <w:t>,</w:t>
      </w:r>
      <w:r w:rsidRPr="0098341E">
        <w:rPr>
          <w:i/>
        </w:rPr>
        <w:t xml:space="preserve"> </w:t>
      </w:r>
      <w:r w:rsidRPr="0098341E">
        <w:t>Joint Dissent of Judges Rozakis and Caflisch joined by Judges Wildhaber, Costa, Cabral Barreto and Vajid at ¶ 4.</w:t>
      </w:r>
    </w:p>
  </w:footnote>
  <w:footnote w:id="35">
    <w:p w14:paraId="599BC99E" w14:textId="4AAB495A" w:rsidR="00F45693" w:rsidRPr="0098341E" w:rsidRDefault="00F45693" w:rsidP="0098341E">
      <w:pPr>
        <w:pStyle w:val="FootnoteText"/>
      </w:pPr>
      <w:r w:rsidRPr="0098341E">
        <w:rPr>
          <w:rStyle w:val="FootnoteReference"/>
        </w:rPr>
        <w:footnoteRef/>
      </w:r>
      <w:r w:rsidRPr="0098341E">
        <w:t xml:space="preserve"> </w:t>
      </w:r>
      <w:r w:rsidRPr="0098341E">
        <w:rPr>
          <w:i/>
        </w:rPr>
        <w:t>Al-Adsani</w:t>
      </w:r>
      <w:r w:rsidRPr="0098341E">
        <w:t xml:space="preserve">, </w:t>
      </w:r>
      <w:r w:rsidRPr="0098341E">
        <w:rPr>
          <w:i/>
        </w:rPr>
        <w:t>supra</w:t>
      </w:r>
      <w:r w:rsidRPr="0098341E">
        <w:t xml:space="preserve"> note </w:t>
      </w:r>
      <w:r w:rsidR="00FC6BD3">
        <w:t>32</w:t>
      </w:r>
      <w:r w:rsidRPr="0098341E">
        <w:t>,</w:t>
      </w:r>
      <w:r w:rsidRPr="0098341E">
        <w:rPr>
          <w:i/>
        </w:rPr>
        <w:t xml:space="preserve"> </w:t>
      </w:r>
      <w:r w:rsidRPr="0098341E">
        <w:t>¶ 65.</w:t>
      </w:r>
    </w:p>
  </w:footnote>
  <w:footnote w:id="36">
    <w:p w14:paraId="4892A3D7" w14:textId="1C777379" w:rsidR="00F45693" w:rsidRPr="0098341E" w:rsidRDefault="00F45693" w:rsidP="0098341E">
      <w:pPr>
        <w:pStyle w:val="FootnoteText"/>
      </w:pPr>
      <w:r w:rsidRPr="0098341E">
        <w:rPr>
          <w:rStyle w:val="FootnoteReference"/>
        </w:rPr>
        <w:footnoteRef/>
      </w:r>
      <w:r w:rsidRPr="0098341E">
        <w:t xml:space="preserve"> </w:t>
      </w:r>
      <w:r w:rsidRPr="0098341E">
        <w:rPr>
          <w:i/>
        </w:rPr>
        <w:t>Al-Adsani</w:t>
      </w:r>
      <w:r w:rsidRPr="0098341E">
        <w:t xml:space="preserve">, </w:t>
      </w:r>
      <w:r w:rsidRPr="0098341E">
        <w:rPr>
          <w:i/>
        </w:rPr>
        <w:t>supra</w:t>
      </w:r>
      <w:r w:rsidRPr="0098341E">
        <w:t xml:space="preserve"> note</w:t>
      </w:r>
      <w:r w:rsidR="00FC6BD3">
        <w:t xml:space="preserve"> 32</w:t>
      </w:r>
      <w:r w:rsidRPr="0098341E">
        <w:t>,</w:t>
      </w:r>
      <w:r w:rsidRPr="0098341E">
        <w:rPr>
          <w:i/>
        </w:rPr>
        <w:t xml:space="preserve"> </w:t>
      </w:r>
      <w:r>
        <w:t>d</w:t>
      </w:r>
      <w:r w:rsidRPr="0098341E">
        <w:t xml:space="preserve">issenting </w:t>
      </w:r>
      <w:r>
        <w:t>o</w:t>
      </w:r>
      <w:r w:rsidRPr="0098341E">
        <w:t>pinion of Judge Ferrari Bravo.</w:t>
      </w:r>
    </w:p>
  </w:footnote>
  <w:footnote w:id="37">
    <w:p w14:paraId="3CA44918" w14:textId="2D95B1CA" w:rsidR="00F45693" w:rsidRPr="0098341E" w:rsidRDefault="00F45693" w:rsidP="0098341E">
      <w:pPr>
        <w:pStyle w:val="FootnoteText"/>
      </w:pPr>
      <w:r w:rsidRPr="0098341E">
        <w:rPr>
          <w:rStyle w:val="FootnoteReference"/>
        </w:rPr>
        <w:footnoteRef/>
      </w:r>
      <w:r w:rsidRPr="0098341E">
        <w:t xml:space="preserve"> </w:t>
      </w:r>
      <w:r w:rsidRPr="0098341E">
        <w:rPr>
          <w:i/>
        </w:rPr>
        <w:t>Al-Adsani</w:t>
      </w:r>
      <w:r w:rsidRPr="0098341E">
        <w:t xml:space="preserve">, Joint Dissent, </w:t>
      </w:r>
      <w:r w:rsidRPr="0098341E">
        <w:rPr>
          <w:i/>
        </w:rPr>
        <w:t>supra</w:t>
      </w:r>
      <w:r w:rsidRPr="0098341E">
        <w:t xml:space="preserve"> note </w:t>
      </w:r>
      <w:r w:rsidR="00FC6BD3">
        <w:t>32</w:t>
      </w:r>
      <w:r w:rsidRPr="0098341E">
        <w:t>,</w:t>
      </w:r>
      <w:r w:rsidRPr="0098341E">
        <w:rPr>
          <w:i/>
        </w:rPr>
        <w:t xml:space="preserve"> </w:t>
      </w:r>
      <w:r w:rsidRPr="0098341E">
        <w:t xml:space="preserve">¶ 4. </w:t>
      </w:r>
    </w:p>
  </w:footnote>
  <w:footnote w:id="38">
    <w:p w14:paraId="0594FD55" w14:textId="77777777" w:rsidR="00F45693" w:rsidRPr="0098341E" w:rsidRDefault="00F45693" w:rsidP="0098341E">
      <w:pPr>
        <w:pStyle w:val="FootnoteText"/>
      </w:pPr>
      <w:r w:rsidRPr="0098341E">
        <w:rPr>
          <w:rStyle w:val="FootnoteReference"/>
        </w:rPr>
        <w:footnoteRef/>
      </w:r>
      <w:r w:rsidRPr="0098341E">
        <w:t xml:space="preserve"> </w:t>
      </w:r>
      <w:r w:rsidRPr="0098341E">
        <w:rPr>
          <w:highlight w:val="yellow"/>
        </w:rPr>
        <w:t>??</w:t>
      </w:r>
    </w:p>
  </w:footnote>
  <w:footnote w:id="39">
    <w:p w14:paraId="7A2A2B32" w14:textId="127045E0" w:rsidR="00DD18D4" w:rsidRDefault="00DD18D4" w:rsidP="00DD18D4">
      <w:pPr>
        <w:pStyle w:val="FootnoteText"/>
      </w:pPr>
      <w:r>
        <w:rPr>
          <w:rStyle w:val="FootnoteReference"/>
        </w:rPr>
        <w:footnoteRef/>
      </w:r>
      <w:r>
        <w:t xml:space="preserve"> </w:t>
      </w:r>
      <w:r w:rsidRPr="008F77DD">
        <w:rPr>
          <w:i/>
        </w:rPr>
        <w:t>Jones v Ministry o</w:t>
      </w:r>
      <w:r w:rsidR="00FC6D30" w:rsidRPr="008F77DD">
        <w:rPr>
          <w:i/>
        </w:rPr>
        <w:t>f Interior Al-Mamlaka Al-Arabiya</w:t>
      </w:r>
      <w:r w:rsidRPr="008F77DD">
        <w:rPr>
          <w:i/>
        </w:rPr>
        <w:t xml:space="preserve"> AS Saudiya (the Kingdom of Saudi Arabia)</w:t>
      </w:r>
      <w:r>
        <w:t xml:space="preserve">. Unreported decision of Master Whitaker, 30 July 2003. </w:t>
      </w:r>
    </w:p>
  </w:footnote>
  <w:footnote w:id="40">
    <w:p w14:paraId="04D23833" w14:textId="4917E24C" w:rsidR="00DD18D4" w:rsidRDefault="00DD18D4">
      <w:pPr>
        <w:pStyle w:val="FootnoteText"/>
      </w:pPr>
      <w:r>
        <w:rPr>
          <w:rStyle w:val="FootnoteReference"/>
        </w:rPr>
        <w:footnoteRef/>
      </w:r>
      <w:r>
        <w:t xml:space="preserve"> </w:t>
      </w:r>
      <w:r w:rsidRPr="008F77DD">
        <w:rPr>
          <w:i/>
        </w:rPr>
        <w:t>Mitchell and others v Al-Dali and others and Ministry of Interior Al-Mamlaka Al-Arabiya AS Saudiya (the Kingdom of Saudi Arabia)</w:t>
      </w:r>
      <w:r>
        <w:t>. Unreported decision of Master Whitaker, 30 July 2003.</w:t>
      </w:r>
    </w:p>
  </w:footnote>
  <w:footnote w:id="41">
    <w:p w14:paraId="3A9A4DC1" w14:textId="1A79AE14" w:rsidR="00DD18D4" w:rsidRPr="008F77DD" w:rsidRDefault="00DD18D4">
      <w:pPr>
        <w:pStyle w:val="FootnoteText"/>
      </w:pPr>
      <w:r>
        <w:rPr>
          <w:rStyle w:val="FootnoteReference"/>
        </w:rPr>
        <w:footnoteRef/>
      </w:r>
      <w:r>
        <w:t xml:space="preserve"> </w:t>
      </w:r>
      <w:r>
        <w:rPr>
          <w:i/>
        </w:rPr>
        <w:t xml:space="preserve">Jones v </w:t>
      </w:r>
      <w:r w:rsidRPr="00DD18D4">
        <w:rPr>
          <w:i/>
        </w:rPr>
        <w:t>Ministry of</w:t>
      </w:r>
      <w:r w:rsidR="00FC6D30">
        <w:rPr>
          <w:i/>
        </w:rPr>
        <w:t xml:space="preserve"> Interior Al-Mamlaka Al-Arabiya</w:t>
      </w:r>
      <w:r w:rsidRPr="00DD18D4">
        <w:rPr>
          <w:i/>
        </w:rPr>
        <w:t xml:space="preserve"> AS Saudiya (the Kingdom of Saudi Arabia)</w:t>
      </w:r>
      <w:r>
        <w:t xml:space="preserve"> </w:t>
      </w:r>
      <w:r w:rsidR="00FC6D30">
        <w:t>[2005] QB 699; [2005] 2WLR 808.</w:t>
      </w:r>
    </w:p>
  </w:footnote>
  <w:footnote w:id="42">
    <w:p w14:paraId="3FC750AA" w14:textId="77777777" w:rsidR="00F45693" w:rsidRPr="0098341E" w:rsidRDefault="00F45693" w:rsidP="0098341E">
      <w:pPr>
        <w:pStyle w:val="FootnoteText"/>
      </w:pPr>
      <w:r w:rsidRPr="0098341E">
        <w:rPr>
          <w:rStyle w:val="FootnoteReference"/>
        </w:rPr>
        <w:footnoteRef/>
      </w:r>
      <w:r w:rsidRPr="0098341E">
        <w:t xml:space="preserve"> </w:t>
      </w:r>
      <w:r w:rsidRPr="0098341E">
        <w:rPr>
          <w:i/>
        </w:rPr>
        <w:t>Ibid</w:t>
      </w:r>
      <w:r w:rsidRPr="0098341E">
        <w:t>., ¶57.</w:t>
      </w:r>
    </w:p>
  </w:footnote>
  <w:footnote w:id="43">
    <w:p w14:paraId="5C6E58BB" w14:textId="77777777" w:rsidR="00F45693" w:rsidRPr="0098341E" w:rsidRDefault="00F45693" w:rsidP="0098341E">
      <w:pPr>
        <w:pStyle w:val="FootnoteText"/>
      </w:pPr>
      <w:r w:rsidRPr="0098341E">
        <w:rPr>
          <w:rStyle w:val="FootnoteReference"/>
        </w:rPr>
        <w:footnoteRef/>
      </w:r>
      <w:r w:rsidRPr="0098341E">
        <w:t xml:space="preserve"> </w:t>
      </w:r>
      <w:r w:rsidRPr="0098341E">
        <w:rPr>
          <w:i/>
        </w:rPr>
        <w:t>Ibid</w:t>
      </w:r>
      <w:r w:rsidRPr="0098341E">
        <w:t>., ¶74.</w:t>
      </w:r>
    </w:p>
  </w:footnote>
  <w:footnote w:id="44">
    <w:p w14:paraId="166CB306" w14:textId="36009585" w:rsidR="00FC6D30" w:rsidRDefault="00FC6D30">
      <w:pPr>
        <w:pStyle w:val="FootnoteText"/>
      </w:pPr>
      <w:r>
        <w:rPr>
          <w:rStyle w:val="FootnoteReference"/>
        </w:rPr>
        <w:footnoteRef/>
      </w:r>
      <w:r>
        <w:t xml:space="preserve"> </w:t>
      </w:r>
      <w:r w:rsidRPr="008F77DD">
        <w:rPr>
          <w:i/>
        </w:rPr>
        <w:t xml:space="preserve">Jones v Ministry of Interior Al-Mamlaka Al-Arabiya AS Saudiya (the Kingdom of Saudi Arabia) </w:t>
      </w:r>
      <w:r>
        <w:t>[2007] 1AC 270; [2006] 2WLR 1424.</w:t>
      </w:r>
    </w:p>
  </w:footnote>
  <w:footnote w:id="45">
    <w:p w14:paraId="4F4D414D" w14:textId="72994EE8" w:rsidR="00FC6D30" w:rsidRPr="008F77DD" w:rsidRDefault="00FC6D30">
      <w:pPr>
        <w:pStyle w:val="FootnoteText"/>
      </w:pPr>
      <w:r>
        <w:rPr>
          <w:rStyle w:val="FootnoteReference"/>
        </w:rPr>
        <w:footnoteRef/>
      </w:r>
      <w:r>
        <w:t xml:space="preserve"> </w:t>
      </w:r>
      <w:r>
        <w:rPr>
          <w:i/>
        </w:rPr>
        <w:t>Ibid</w:t>
      </w:r>
      <w:r>
        <w:t>, ¶7.</w:t>
      </w:r>
    </w:p>
  </w:footnote>
  <w:footnote w:id="46">
    <w:p w14:paraId="6B976F09" w14:textId="2A24F7C5" w:rsidR="00FC6D30" w:rsidRPr="008F77DD" w:rsidRDefault="00FC6D30">
      <w:pPr>
        <w:pStyle w:val="FootnoteText"/>
      </w:pPr>
      <w:r>
        <w:rPr>
          <w:rStyle w:val="FootnoteReference"/>
        </w:rPr>
        <w:footnoteRef/>
      </w:r>
      <w:r>
        <w:t xml:space="preserve"> </w:t>
      </w:r>
      <w:r>
        <w:rPr>
          <w:i/>
        </w:rPr>
        <w:t>Ibid,</w:t>
      </w:r>
      <w:r>
        <w:t xml:space="preserve"> ¶9.</w:t>
      </w:r>
    </w:p>
  </w:footnote>
  <w:footnote w:id="47">
    <w:p w14:paraId="582DD454" w14:textId="2F5C1ABC" w:rsidR="00FC6D30" w:rsidRPr="008F77DD" w:rsidRDefault="00FC6D30">
      <w:pPr>
        <w:pStyle w:val="FootnoteText"/>
        <w:rPr>
          <w:i/>
        </w:rPr>
      </w:pPr>
      <w:r>
        <w:rPr>
          <w:rStyle w:val="FootnoteReference"/>
        </w:rPr>
        <w:footnoteRef/>
      </w:r>
      <w:r>
        <w:t xml:space="preserve"> </w:t>
      </w:r>
      <w:r>
        <w:rPr>
          <w:i/>
        </w:rPr>
        <w:t>Ibid</w:t>
      </w:r>
      <w:r>
        <w:t xml:space="preserve"> ¶</w:t>
      </w:r>
      <w:r w:rsidR="00656634">
        <w:t>¶</w:t>
      </w:r>
      <w:r>
        <w:t>11-13.</w:t>
      </w:r>
    </w:p>
  </w:footnote>
  <w:footnote w:id="48">
    <w:p w14:paraId="37760DDC" w14:textId="45023192" w:rsidR="00FC6D30" w:rsidRPr="008F77DD" w:rsidRDefault="00FC6D30">
      <w:pPr>
        <w:pStyle w:val="FootnoteText"/>
      </w:pPr>
      <w:r>
        <w:rPr>
          <w:rStyle w:val="FootnoteReference"/>
        </w:rPr>
        <w:footnoteRef/>
      </w:r>
      <w:r>
        <w:t xml:space="preserve"> </w:t>
      </w:r>
      <w:r>
        <w:rPr>
          <w:i/>
        </w:rPr>
        <w:t>Ibid</w:t>
      </w:r>
      <w:r>
        <w:t>, ¶19.</w:t>
      </w:r>
    </w:p>
  </w:footnote>
  <w:footnote w:id="49">
    <w:p w14:paraId="79F75849" w14:textId="4119DC63" w:rsidR="00FC6D30" w:rsidRPr="008F77DD" w:rsidRDefault="00FC6D30">
      <w:pPr>
        <w:pStyle w:val="FootnoteText"/>
      </w:pPr>
      <w:r>
        <w:rPr>
          <w:rStyle w:val="FootnoteReference"/>
        </w:rPr>
        <w:footnoteRef/>
      </w:r>
      <w:r>
        <w:t xml:space="preserve"> </w:t>
      </w:r>
      <w:r>
        <w:rPr>
          <w:i/>
        </w:rPr>
        <w:t>Ibid</w:t>
      </w:r>
      <w:r>
        <w:t>, ¶34.</w:t>
      </w:r>
    </w:p>
  </w:footnote>
  <w:footnote w:id="50">
    <w:p w14:paraId="45A9CB11" w14:textId="5FB49F9C" w:rsidR="00656634" w:rsidRPr="008F77DD" w:rsidRDefault="00656634">
      <w:pPr>
        <w:pStyle w:val="FootnoteText"/>
      </w:pPr>
      <w:r>
        <w:rPr>
          <w:rStyle w:val="FootnoteReference"/>
        </w:rPr>
        <w:footnoteRef/>
      </w:r>
      <w:r>
        <w:t xml:space="preserve"> </w:t>
      </w:r>
      <w:r>
        <w:rPr>
          <w:i/>
        </w:rPr>
        <w:t>Ibid</w:t>
      </w:r>
      <w:r>
        <w:t>, ¶¶43-46</w:t>
      </w:r>
    </w:p>
  </w:footnote>
  <w:footnote w:id="51">
    <w:p w14:paraId="104EE902" w14:textId="62D25B23" w:rsidR="00F45693" w:rsidRPr="0098341E" w:rsidRDefault="00F45693" w:rsidP="0098341E">
      <w:pPr>
        <w:pStyle w:val="Body"/>
        <w:jc w:val="both"/>
        <w:rPr>
          <w:rFonts w:hAnsi="Times New Roman" w:cs="Times New Roman"/>
          <w:color w:val="auto"/>
          <w:sz w:val="20"/>
          <w:szCs w:val="20"/>
          <w:lang w:val="en-GB"/>
        </w:rPr>
      </w:pPr>
      <w:r w:rsidRPr="0098341E">
        <w:rPr>
          <w:rStyle w:val="FootnoteReference"/>
          <w:rFonts w:hAnsi="Times New Roman" w:cs="Times New Roman"/>
          <w:sz w:val="20"/>
          <w:szCs w:val="20"/>
          <w:lang w:val="en-GB"/>
        </w:rPr>
        <w:footnoteRef/>
      </w:r>
      <w:r w:rsidRPr="0098341E">
        <w:rPr>
          <w:rFonts w:hAnsi="Times New Roman" w:cs="Times New Roman"/>
          <w:sz w:val="20"/>
          <w:szCs w:val="20"/>
          <w:lang w:val="en-GB"/>
        </w:rPr>
        <w:t xml:space="preserve"> </w:t>
      </w:r>
      <w:r w:rsidR="00656634">
        <w:rPr>
          <w:rFonts w:hAnsi="Times New Roman" w:cs="Times New Roman"/>
          <w:sz w:val="20"/>
          <w:szCs w:val="20"/>
          <w:lang w:val="en-GB"/>
        </w:rPr>
        <w:t>Alexander Orakhelashvili, “</w:t>
      </w:r>
      <w:r w:rsidR="00656634" w:rsidRPr="00656634">
        <w:rPr>
          <w:rFonts w:hAnsi="Times New Roman" w:cs="Times New Roman"/>
          <w:sz w:val="20"/>
          <w:szCs w:val="20"/>
          <w:lang w:val="en-GB"/>
        </w:rPr>
        <w:t>State Immunity and Hierarchy of Norms: Why the House of Lords Got it Wrong</w:t>
      </w:r>
      <w:r w:rsidR="00656634">
        <w:rPr>
          <w:rFonts w:hAnsi="Times New Roman" w:cs="Times New Roman"/>
          <w:sz w:val="20"/>
          <w:szCs w:val="20"/>
          <w:lang w:val="en-GB"/>
        </w:rPr>
        <w:t>”</w:t>
      </w:r>
      <w:r w:rsidR="00656634" w:rsidRPr="00656634">
        <w:rPr>
          <w:rFonts w:hAnsi="Times New Roman" w:cs="Times New Roman"/>
          <w:sz w:val="20"/>
          <w:szCs w:val="20"/>
          <w:lang w:val="en-GB"/>
        </w:rPr>
        <w:t xml:space="preserve">, </w:t>
      </w:r>
      <w:r w:rsidR="00656634" w:rsidRPr="008F77DD">
        <w:rPr>
          <w:rFonts w:hAnsi="Times New Roman" w:cs="Times New Roman"/>
          <w:i/>
          <w:sz w:val="20"/>
          <w:szCs w:val="20"/>
          <w:lang w:val="en-GB"/>
        </w:rPr>
        <w:t>European Journal of International Law</w:t>
      </w:r>
      <w:r w:rsidR="00656634" w:rsidRPr="00656634">
        <w:rPr>
          <w:rFonts w:hAnsi="Times New Roman" w:cs="Times New Roman"/>
          <w:sz w:val="20"/>
          <w:szCs w:val="20"/>
          <w:lang w:val="en-GB"/>
        </w:rPr>
        <w:t>, 18</w:t>
      </w:r>
      <w:r w:rsidR="00656634">
        <w:rPr>
          <w:rFonts w:hAnsi="Times New Roman" w:cs="Times New Roman"/>
          <w:sz w:val="20"/>
          <w:szCs w:val="20"/>
          <w:lang w:val="en-GB"/>
        </w:rPr>
        <w:t>, 5</w:t>
      </w:r>
      <w:r w:rsidR="00656634" w:rsidRPr="00656634">
        <w:rPr>
          <w:rFonts w:hAnsi="Times New Roman" w:cs="Times New Roman"/>
          <w:sz w:val="20"/>
          <w:szCs w:val="20"/>
          <w:lang w:val="en-GB"/>
        </w:rPr>
        <w:t xml:space="preserve"> </w:t>
      </w:r>
      <w:r w:rsidR="00656634">
        <w:rPr>
          <w:rFonts w:hAnsi="Times New Roman" w:cs="Times New Roman"/>
          <w:sz w:val="20"/>
          <w:szCs w:val="20"/>
          <w:lang w:val="en-GB"/>
        </w:rPr>
        <w:t>(2007)</w:t>
      </w:r>
      <w:r w:rsidR="00656634" w:rsidRPr="00656634">
        <w:rPr>
          <w:rFonts w:hAnsi="Times New Roman" w:cs="Times New Roman"/>
          <w:sz w:val="20"/>
          <w:szCs w:val="20"/>
          <w:lang w:val="en-GB"/>
        </w:rPr>
        <w:t xml:space="preserve"> 955</w:t>
      </w:r>
      <w:r w:rsidR="00656634">
        <w:rPr>
          <w:rFonts w:hAnsi="Times New Roman" w:cs="Times New Roman"/>
          <w:sz w:val="20"/>
          <w:szCs w:val="20"/>
          <w:lang w:val="en-GB"/>
        </w:rPr>
        <w:t xml:space="preserve">. </w:t>
      </w:r>
      <w:r w:rsidRPr="0098341E">
        <w:rPr>
          <w:rFonts w:hAnsi="Times New Roman" w:cs="Times New Roman"/>
          <w:sz w:val="20"/>
          <w:szCs w:val="20"/>
          <w:lang w:val="en-GB"/>
        </w:rPr>
        <w:t>See</w:t>
      </w:r>
      <w:r w:rsidR="00656634">
        <w:rPr>
          <w:rFonts w:hAnsi="Times New Roman" w:cs="Times New Roman"/>
          <w:sz w:val="20"/>
          <w:szCs w:val="20"/>
          <w:lang w:val="en-GB"/>
        </w:rPr>
        <w:t xml:space="preserve"> also</w:t>
      </w:r>
      <w:r w:rsidRPr="0098341E">
        <w:rPr>
          <w:rFonts w:hAnsi="Times New Roman" w:cs="Times New Roman"/>
          <w:sz w:val="20"/>
          <w:szCs w:val="20"/>
          <w:lang w:val="en-GB"/>
        </w:rPr>
        <w:t xml:space="preserve"> </w:t>
      </w:r>
      <w:r w:rsidRPr="0098341E">
        <w:rPr>
          <w:rFonts w:hAnsi="Times New Roman" w:cs="Times New Roman"/>
          <w:color w:val="auto"/>
          <w:sz w:val="20"/>
          <w:szCs w:val="20"/>
          <w:lang w:val="en-GB"/>
        </w:rPr>
        <w:t xml:space="preserve">Alexander Orakhelashvili, </w:t>
      </w:r>
      <w:r w:rsidRPr="0098341E">
        <w:rPr>
          <w:rFonts w:hAnsi="Times New Roman" w:cs="Times New Roman"/>
          <w:i/>
          <w:color w:val="auto"/>
          <w:sz w:val="20"/>
          <w:szCs w:val="20"/>
          <w:lang w:val="en-GB"/>
        </w:rPr>
        <w:t xml:space="preserve">Peremptory Norms in International Law </w:t>
      </w:r>
      <w:r w:rsidRPr="0098341E">
        <w:rPr>
          <w:rFonts w:hAnsi="Times New Roman" w:cs="Times New Roman"/>
          <w:color w:val="auto"/>
          <w:sz w:val="20"/>
          <w:szCs w:val="20"/>
          <w:lang w:val="en-GB"/>
        </w:rPr>
        <w:t xml:space="preserve">(Oxford: Oxford University Press, 2006). </w:t>
      </w:r>
    </w:p>
  </w:footnote>
  <w:footnote w:id="52">
    <w:p w14:paraId="3E4DBADB" w14:textId="17D9727C" w:rsidR="00F45693" w:rsidRPr="0098341E" w:rsidRDefault="00F45693" w:rsidP="0098341E">
      <w:pPr>
        <w:pStyle w:val="FootnoteText"/>
      </w:pPr>
      <w:r w:rsidRPr="0098341E">
        <w:rPr>
          <w:rStyle w:val="FootnoteReference"/>
        </w:rPr>
        <w:footnoteRef/>
      </w:r>
      <w:r w:rsidRPr="0098341E">
        <w:t xml:space="preserve"> </w:t>
      </w:r>
      <w:r w:rsidR="00656634" w:rsidRPr="008F77DD">
        <w:rPr>
          <w:i/>
        </w:rPr>
        <w:t>Ibid</w:t>
      </w:r>
      <w:r w:rsidR="00656634" w:rsidRPr="008F77DD">
        <w:t>, 963-70</w:t>
      </w:r>
      <w:r w:rsidR="00656634">
        <w:t>.</w:t>
      </w:r>
    </w:p>
  </w:footnote>
  <w:footnote w:id="53">
    <w:p w14:paraId="47064830" w14:textId="0C09C81B" w:rsidR="00F45693" w:rsidRPr="0098341E" w:rsidRDefault="00F45693" w:rsidP="0098341E">
      <w:pPr>
        <w:pStyle w:val="FootnoteText"/>
      </w:pPr>
      <w:r w:rsidRPr="0098341E">
        <w:rPr>
          <w:rStyle w:val="FootnoteReference"/>
        </w:rPr>
        <w:footnoteRef/>
      </w:r>
      <w:r w:rsidRPr="0098341E">
        <w:t xml:space="preserve"> </w:t>
      </w:r>
      <w:r w:rsidR="00656634">
        <w:rPr>
          <w:i/>
        </w:rPr>
        <w:t>Jones, supra</w:t>
      </w:r>
      <w:r w:rsidR="00656634">
        <w:t>, note 41, ¶</w:t>
      </w:r>
      <w:r w:rsidR="00656634" w:rsidRPr="008F77DD">
        <w:t>101</w:t>
      </w:r>
      <w:r w:rsidR="00656634">
        <w:t xml:space="preserve"> </w:t>
      </w:r>
      <w:r w:rsidR="00656634">
        <w:rPr>
          <w:i/>
        </w:rPr>
        <w:t>et seq</w:t>
      </w:r>
    </w:p>
  </w:footnote>
  <w:footnote w:id="54">
    <w:p w14:paraId="75A24B20" w14:textId="4822A2B0" w:rsidR="00656634" w:rsidRPr="0098341E" w:rsidRDefault="00F45693" w:rsidP="0098341E">
      <w:pPr>
        <w:pStyle w:val="FootnoteText"/>
      </w:pPr>
      <w:r w:rsidRPr="0098341E">
        <w:rPr>
          <w:rStyle w:val="FootnoteReference"/>
        </w:rPr>
        <w:footnoteRef/>
      </w:r>
      <w:r w:rsidRPr="0098341E">
        <w:t xml:space="preserve"> </w:t>
      </w:r>
      <w:r w:rsidR="00656634">
        <w:t xml:space="preserve">Hazel Fox, </w:t>
      </w:r>
      <w:r w:rsidR="00656634">
        <w:rPr>
          <w:i/>
        </w:rPr>
        <w:t>The Law of State Immunity</w:t>
      </w:r>
      <w:r w:rsidR="00656634">
        <w:t xml:space="preserve"> (Oxford: Oxford University Press, 2002) 525. Cited in </w:t>
      </w:r>
      <w:r w:rsidR="00656634">
        <w:rPr>
          <w:i/>
        </w:rPr>
        <w:t>Jones</w:t>
      </w:r>
      <w:r w:rsidR="00656634">
        <w:t xml:space="preserve">, </w:t>
      </w:r>
      <w:r w:rsidR="00656634">
        <w:rPr>
          <w:i/>
        </w:rPr>
        <w:t>supra</w:t>
      </w:r>
      <w:r w:rsidR="00656634">
        <w:t xml:space="preserve"> note 44, ¶44.</w:t>
      </w:r>
    </w:p>
  </w:footnote>
  <w:footnote w:id="55">
    <w:p w14:paraId="09C4A038" w14:textId="06196D7F" w:rsidR="00F45693" w:rsidRPr="0098341E" w:rsidRDefault="00F45693" w:rsidP="0098341E">
      <w:pPr>
        <w:pStyle w:val="FootnoteText"/>
      </w:pPr>
      <w:r w:rsidRPr="0098341E">
        <w:rPr>
          <w:rStyle w:val="FootnoteReference"/>
        </w:rPr>
        <w:footnoteRef/>
      </w:r>
      <w:r w:rsidRPr="0098341E">
        <w:t xml:space="preserve"> </w:t>
      </w:r>
      <w:r w:rsidRPr="0098341E">
        <w:rPr>
          <w:i/>
        </w:rPr>
        <w:t xml:space="preserve">Jurisdictional Immunities of the State </w:t>
      </w:r>
      <w:r w:rsidRPr="0098341E">
        <w:t>(</w:t>
      </w:r>
      <w:r w:rsidRPr="0098341E">
        <w:rPr>
          <w:i/>
        </w:rPr>
        <w:t>Germany v. Italy</w:t>
      </w:r>
      <w:r w:rsidRPr="0098341E">
        <w:t xml:space="preserve">: </w:t>
      </w:r>
      <w:r w:rsidRPr="0098341E">
        <w:rPr>
          <w:i/>
        </w:rPr>
        <w:t>Greece</w:t>
      </w:r>
      <w:r w:rsidRPr="0098341E">
        <w:t xml:space="preserve"> intervening), 2012 I.C.J 99 (3 Feb.), </w:t>
      </w:r>
      <w:r w:rsidR="003723BE">
        <w:t>¶¶92-97</w:t>
      </w:r>
    </w:p>
  </w:footnote>
  <w:footnote w:id="56">
    <w:p w14:paraId="57433BCA" w14:textId="36175BDC" w:rsidR="00F45693" w:rsidRPr="008F77DD" w:rsidRDefault="00F45693" w:rsidP="0098341E">
      <w:pPr>
        <w:pStyle w:val="FootnoteText"/>
      </w:pPr>
      <w:r w:rsidRPr="0098341E">
        <w:rPr>
          <w:rStyle w:val="FootnoteReference"/>
        </w:rPr>
        <w:footnoteRef/>
      </w:r>
      <w:r w:rsidRPr="0098341E">
        <w:t xml:space="preserve"> </w:t>
      </w:r>
      <w:r w:rsidR="003723BE" w:rsidRPr="008F77DD">
        <w:t>Lorna McGregor</w:t>
      </w:r>
      <w:r w:rsidR="003723BE">
        <w:t xml:space="preserve">, “Torture and State Immunity: Deflecting Impunity, Distorting Sovereignty” </w:t>
      </w:r>
      <w:r w:rsidR="003723BE">
        <w:rPr>
          <w:i/>
        </w:rPr>
        <w:t>European Journal of International Law</w:t>
      </w:r>
      <w:r w:rsidR="003723BE">
        <w:t xml:space="preserve"> 18, 5 (2007) 903, 905.</w:t>
      </w:r>
    </w:p>
  </w:footnote>
  <w:footnote w:id="57">
    <w:p w14:paraId="4AAD2AFE" w14:textId="67FF9C2A" w:rsidR="007A49A2" w:rsidRPr="008F77DD" w:rsidRDefault="007A49A2">
      <w:pPr>
        <w:pStyle w:val="FootnoteText"/>
      </w:pPr>
      <w:r>
        <w:rPr>
          <w:rStyle w:val="FootnoteReference"/>
        </w:rPr>
        <w:footnoteRef/>
      </w:r>
      <w:r>
        <w:t xml:space="preserve"> See for example, Sandy Ghandhi “</w:t>
      </w:r>
      <w:r w:rsidRPr="008F77DD">
        <w:t>Avena and other Mexican Nationsl (Mexico v United States of America), Provisional Measures, order of 5 February 2003</w:t>
      </w:r>
      <w:r>
        <w:t xml:space="preserve">” </w:t>
      </w:r>
      <w:r>
        <w:rPr>
          <w:i/>
        </w:rPr>
        <w:t>International and Comparative Law Quarterly</w:t>
      </w:r>
      <w:r>
        <w:t xml:space="preserve"> 53: 3 (2004) 738</w:t>
      </w:r>
    </w:p>
  </w:footnote>
  <w:footnote w:id="58">
    <w:p w14:paraId="0E1356F7" w14:textId="392BD6CC" w:rsidR="00F45693" w:rsidRPr="0098341E" w:rsidRDefault="00F45693" w:rsidP="0098341E">
      <w:pPr>
        <w:pStyle w:val="FootnoteText"/>
      </w:pPr>
      <w:r w:rsidRPr="0098341E">
        <w:rPr>
          <w:rStyle w:val="FootnoteReference"/>
        </w:rPr>
        <w:footnoteRef/>
      </w:r>
      <w:r w:rsidRPr="0098341E">
        <w:t xml:space="preserve"> </w:t>
      </w:r>
      <w:r w:rsidR="007A49A2" w:rsidRPr="008F77DD">
        <w:rPr>
          <w:i/>
        </w:rPr>
        <w:t>Jones</w:t>
      </w:r>
      <w:r w:rsidR="007A49A2">
        <w:rPr>
          <w:i/>
        </w:rPr>
        <w:t xml:space="preserve"> </w:t>
      </w:r>
      <w:r w:rsidR="007A49A2" w:rsidRPr="008F77DD">
        <w:rPr>
          <w:i/>
        </w:rPr>
        <w:t>v United Kingdom (Application 34356/06 and 40528/06)</w:t>
      </w:r>
      <w:r w:rsidR="007A49A2" w:rsidRPr="008F77DD">
        <w:t xml:space="preserve"> decision of 14 January 2014. </w:t>
      </w:r>
    </w:p>
  </w:footnote>
  <w:footnote w:id="59">
    <w:p w14:paraId="16FBFD73" w14:textId="77777777" w:rsidR="00F45693" w:rsidRPr="00F2235B" w:rsidRDefault="00F45693">
      <w:pPr>
        <w:pStyle w:val="FootnoteText"/>
      </w:pPr>
      <w:r w:rsidRPr="00F2235B">
        <w:rPr>
          <w:rStyle w:val="FootnoteReference"/>
        </w:rPr>
        <w:footnoteRef/>
      </w:r>
      <w:r w:rsidRPr="00F2235B">
        <w:t xml:space="preserve"> </w:t>
      </w:r>
      <w:r w:rsidRPr="00F2235B">
        <w:rPr>
          <w:i/>
        </w:rPr>
        <w:t>Arrest Warrant of 11 April 2000</w:t>
      </w:r>
      <w:r w:rsidRPr="00F2235B">
        <w:t xml:space="preserve"> (</w:t>
      </w:r>
      <w:r w:rsidRPr="00F2235B">
        <w:rPr>
          <w:i/>
        </w:rPr>
        <w:t>Democratic Republic of the Congo</w:t>
      </w:r>
      <w:r w:rsidRPr="00F2235B">
        <w:rPr>
          <w:rStyle w:val="apple-converted-space"/>
          <w:i/>
        </w:rPr>
        <w:t> </w:t>
      </w:r>
      <w:r w:rsidRPr="00F2235B">
        <w:rPr>
          <w:i/>
          <w:iCs/>
        </w:rPr>
        <w:t>v.</w:t>
      </w:r>
      <w:r w:rsidRPr="00F2235B">
        <w:rPr>
          <w:rStyle w:val="apple-converted-space"/>
          <w:i/>
        </w:rPr>
        <w:t> </w:t>
      </w:r>
      <w:r w:rsidRPr="00F2235B">
        <w:rPr>
          <w:i/>
        </w:rPr>
        <w:t>Belgium</w:t>
      </w:r>
      <w:r w:rsidRPr="00F2235B">
        <w:t>), 2002 I.C.J. 3 (11 Apr.).</w:t>
      </w:r>
    </w:p>
  </w:footnote>
  <w:footnote w:id="60">
    <w:p w14:paraId="5C36F5B3" w14:textId="69B44C70" w:rsidR="00F45693" w:rsidRDefault="00F45693">
      <w:pPr>
        <w:pStyle w:val="FootnoteText"/>
      </w:pPr>
      <w:r>
        <w:rPr>
          <w:rStyle w:val="FootnoteReference"/>
        </w:rPr>
        <w:footnoteRef/>
      </w:r>
      <w:r>
        <w:t xml:space="preserve"> </w:t>
      </w:r>
      <w:r w:rsidR="00644556" w:rsidRPr="008F77DD">
        <w:rPr>
          <w:i/>
        </w:rPr>
        <w:t>Ibid</w:t>
      </w:r>
      <w:r w:rsidR="00644556" w:rsidRPr="008F77DD">
        <w:t>, ¶56.</w:t>
      </w:r>
    </w:p>
  </w:footnote>
  <w:footnote w:id="61">
    <w:p w14:paraId="2223E3F1" w14:textId="00EE24D8" w:rsidR="00F45693" w:rsidRPr="0098341E" w:rsidRDefault="00F45693" w:rsidP="008F77DD">
      <w:pPr>
        <w:pStyle w:val="Heading4"/>
        <w:shd w:val="clear" w:color="auto" w:fill="FFFFFF"/>
        <w:spacing w:before="0" w:beforeAutospacing="0" w:after="0" w:afterAutospacing="0"/>
        <w:jc w:val="both"/>
      </w:pPr>
      <w:r w:rsidRPr="00F2235B">
        <w:rPr>
          <w:rStyle w:val="FootnoteReference"/>
          <w:b w:val="0"/>
          <w:sz w:val="20"/>
          <w:szCs w:val="20"/>
        </w:rPr>
        <w:footnoteRef/>
      </w:r>
      <w:r w:rsidRPr="00F2235B">
        <w:rPr>
          <w:b w:val="0"/>
          <w:sz w:val="20"/>
          <w:szCs w:val="20"/>
        </w:rPr>
        <w:t xml:space="preserve"> </w:t>
      </w:r>
      <w:r w:rsidRPr="00F2235B">
        <w:rPr>
          <w:b w:val="0"/>
          <w:i/>
          <w:sz w:val="20"/>
          <w:szCs w:val="20"/>
        </w:rPr>
        <w:t>Arrest Warrant Case</w:t>
      </w:r>
      <w:r>
        <w:rPr>
          <w:b w:val="0"/>
          <w:sz w:val="20"/>
          <w:szCs w:val="20"/>
        </w:rPr>
        <w:t xml:space="preserve">, </w:t>
      </w:r>
      <w:r w:rsidRPr="00F2235B">
        <w:rPr>
          <w:b w:val="0"/>
          <w:i/>
          <w:sz w:val="20"/>
          <w:szCs w:val="20"/>
        </w:rPr>
        <w:t>supra</w:t>
      </w:r>
      <w:r>
        <w:rPr>
          <w:b w:val="0"/>
          <w:sz w:val="20"/>
          <w:szCs w:val="20"/>
        </w:rPr>
        <w:t xml:space="preserve"> note </w:t>
      </w:r>
      <w:r w:rsidR="00644556">
        <w:rPr>
          <w:b w:val="0"/>
          <w:sz w:val="20"/>
          <w:szCs w:val="20"/>
        </w:rPr>
        <w:t>60</w:t>
      </w:r>
      <w:r w:rsidRPr="00F2235B">
        <w:rPr>
          <w:b w:val="0"/>
          <w:sz w:val="20"/>
          <w:szCs w:val="20"/>
        </w:rPr>
        <w:t xml:space="preserve">, </w:t>
      </w:r>
      <w:r>
        <w:rPr>
          <w:b w:val="0"/>
          <w:iCs/>
          <w:sz w:val="20"/>
          <w:szCs w:val="20"/>
        </w:rPr>
        <w:t>j</w:t>
      </w:r>
      <w:r w:rsidRPr="00F2235B">
        <w:rPr>
          <w:b w:val="0"/>
          <w:iCs/>
          <w:sz w:val="20"/>
          <w:szCs w:val="20"/>
        </w:rPr>
        <w:t>oint separate</w:t>
      </w:r>
      <w:r w:rsidRPr="0098341E">
        <w:rPr>
          <w:b w:val="0"/>
          <w:iCs/>
          <w:sz w:val="20"/>
          <w:szCs w:val="20"/>
        </w:rPr>
        <w:t xml:space="preserve"> opinion of Judges Higgins, Kooijmans and Buergenthal: </w:t>
      </w:r>
      <w:r w:rsidRPr="0098341E">
        <w:rPr>
          <w:b w:val="0"/>
          <w:sz w:val="20"/>
          <w:szCs w:val="20"/>
        </w:rPr>
        <w:t xml:space="preserve">“immunity prevails only as long as the Minister is in office and continues to shield him or her after that time only for ‘official’ acts.  It is now increasingly claimed in the literature…that serious international crimes cannot be regarded as official acts because they are neither normal State functions nor functions that a State alone (in contrast to an individual) can perform: (Robert Goff J...and Lord Wilberforce articulated this test in </w:t>
      </w:r>
      <w:r w:rsidRPr="0098341E">
        <w:rPr>
          <w:b w:val="0"/>
          <w:i/>
          <w:sz w:val="20"/>
          <w:szCs w:val="20"/>
        </w:rPr>
        <w:t>1</w:t>
      </w:r>
      <w:r w:rsidRPr="0098341E">
        <w:rPr>
          <w:b w:val="0"/>
          <w:sz w:val="20"/>
          <w:szCs w:val="20"/>
        </w:rPr>
        <w:t xml:space="preserve"> </w:t>
      </w:r>
      <w:r w:rsidRPr="0098341E">
        <w:rPr>
          <w:b w:val="0"/>
          <w:i/>
          <w:sz w:val="20"/>
          <w:szCs w:val="20"/>
        </w:rPr>
        <w:t>Congreso del Partido</w:t>
      </w:r>
      <w:r w:rsidRPr="0098341E">
        <w:rPr>
          <w:b w:val="0"/>
          <w:sz w:val="20"/>
          <w:szCs w:val="20"/>
        </w:rPr>
        <w:t xml:space="preserve"> [1978] QB 500, at 528 and [1983] 1 AC 244, 268 respectively).  This view is underscored by the increasing realisation that State-related motives are not the proper test for determining what constitutes public State acts.  The same view is gradually also finding expression in State practice, as evidenced in judicial decisions and opinions.  (For an early example, see the judgment of the Israel Supreme Court in the </w:t>
      </w:r>
      <w:r w:rsidRPr="0098341E">
        <w:rPr>
          <w:b w:val="0"/>
          <w:i/>
          <w:sz w:val="20"/>
          <w:szCs w:val="20"/>
        </w:rPr>
        <w:t>Eichmann</w:t>
      </w:r>
      <w:r w:rsidRPr="0098341E">
        <w:rPr>
          <w:b w:val="0"/>
          <w:sz w:val="20"/>
          <w:szCs w:val="20"/>
        </w:rPr>
        <w:t xml:space="preserve"> case: Supreme Court, 29 May 1962, 36 ILR 5, 312.)  </w:t>
      </w:r>
      <w:r w:rsidRPr="0098341E">
        <w:rPr>
          <w:rFonts w:eastAsia="Calibri"/>
          <w:b w:val="0"/>
          <w:sz w:val="20"/>
          <w:szCs w:val="20"/>
        </w:rPr>
        <w:t>See also the speeches o</w:t>
      </w:r>
      <w:r w:rsidRPr="0098341E">
        <w:rPr>
          <w:rFonts w:eastAsia="Calibri"/>
          <w:b w:val="0"/>
          <w:bCs w:val="0"/>
          <w:sz w:val="20"/>
          <w:szCs w:val="20"/>
        </w:rPr>
        <w:t xml:space="preserve">f Lords Hutton and Phillips of </w:t>
      </w:r>
      <w:r w:rsidRPr="0098341E">
        <w:rPr>
          <w:rFonts w:eastAsia="Calibri"/>
          <w:b w:val="0"/>
          <w:sz w:val="20"/>
          <w:szCs w:val="20"/>
        </w:rPr>
        <w:t xml:space="preserve">Worth Matravers in </w:t>
      </w:r>
      <w:r w:rsidRPr="0098341E">
        <w:rPr>
          <w:rFonts w:eastAsia="Calibri"/>
          <w:b w:val="0"/>
          <w:i/>
          <w:sz w:val="20"/>
          <w:szCs w:val="20"/>
        </w:rPr>
        <w:t xml:space="preserve">R v. Bartle and the </w:t>
      </w:r>
      <w:r w:rsidRPr="0098341E">
        <w:rPr>
          <w:rFonts w:eastAsia="Calibri"/>
          <w:b w:val="0"/>
          <w:bCs w:val="0"/>
          <w:i/>
          <w:sz w:val="20"/>
          <w:szCs w:val="20"/>
        </w:rPr>
        <w:t>Commissioner</w:t>
      </w:r>
      <w:r w:rsidRPr="0098341E">
        <w:rPr>
          <w:rFonts w:eastAsia="Calibri"/>
          <w:b w:val="0"/>
          <w:i/>
          <w:sz w:val="20"/>
          <w:szCs w:val="20"/>
        </w:rPr>
        <w:t xml:space="preserve"> of Police for the Metropolis </w:t>
      </w:r>
      <w:r w:rsidRPr="0098341E">
        <w:rPr>
          <w:rFonts w:eastAsia="Calibri"/>
          <w:b w:val="0"/>
          <w:bCs w:val="0"/>
          <w:i/>
          <w:sz w:val="20"/>
          <w:szCs w:val="20"/>
        </w:rPr>
        <w:t>a</w:t>
      </w:r>
      <w:r w:rsidRPr="0098341E">
        <w:rPr>
          <w:rFonts w:eastAsia="Calibri"/>
          <w:b w:val="0"/>
          <w:i/>
          <w:sz w:val="20"/>
          <w:szCs w:val="20"/>
        </w:rPr>
        <w:t xml:space="preserve">nd </w:t>
      </w:r>
      <w:r w:rsidRPr="0098341E">
        <w:rPr>
          <w:rFonts w:eastAsia="Calibri"/>
          <w:b w:val="0"/>
          <w:bCs w:val="0"/>
          <w:i/>
          <w:sz w:val="20"/>
          <w:szCs w:val="20"/>
        </w:rPr>
        <w:t>Others</w:t>
      </w:r>
      <w:r w:rsidRPr="0098341E">
        <w:rPr>
          <w:rFonts w:eastAsia="Calibri"/>
          <w:b w:val="0"/>
          <w:sz w:val="20"/>
          <w:szCs w:val="20"/>
        </w:rPr>
        <w:t>, ex parte</w:t>
      </w:r>
      <w:r w:rsidRPr="0098341E">
        <w:rPr>
          <w:rFonts w:eastAsia="Calibri"/>
          <w:b w:val="0"/>
          <w:i/>
          <w:sz w:val="20"/>
          <w:szCs w:val="20"/>
        </w:rPr>
        <w:t xml:space="preserve"> Pinochet </w:t>
      </w:r>
      <w:r w:rsidRPr="0098341E">
        <w:rPr>
          <w:rFonts w:eastAsia="Calibri"/>
          <w:b w:val="0"/>
          <w:sz w:val="20"/>
          <w:szCs w:val="20"/>
        </w:rPr>
        <w:t>(</w:t>
      </w:r>
      <w:r w:rsidRPr="0098341E">
        <w:rPr>
          <w:rFonts w:eastAsia="Calibri"/>
          <w:b w:val="0"/>
          <w:bCs w:val="0"/>
          <w:sz w:val="20"/>
          <w:szCs w:val="20"/>
        </w:rPr>
        <w:t>‘</w:t>
      </w:r>
      <w:r w:rsidRPr="0098341E">
        <w:rPr>
          <w:rFonts w:eastAsia="Calibri"/>
          <w:b w:val="0"/>
          <w:i/>
          <w:sz w:val="20"/>
          <w:szCs w:val="20"/>
        </w:rPr>
        <w:t>Pinochet III</w:t>
      </w:r>
      <w:r w:rsidRPr="0098341E">
        <w:rPr>
          <w:rFonts w:eastAsia="Calibri"/>
          <w:b w:val="0"/>
          <w:bCs w:val="0"/>
          <w:sz w:val="20"/>
          <w:szCs w:val="20"/>
        </w:rPr>
        <w:t xml:space="preserve">’); and of </w:t>
      </w:r>
      <w:r w:rsidRPr="0098341E">
        <w:rPr>
          <w:rFonts w:eastAsia="Calibri"/>
          <w:b w:val="0"/>
          <w:sz w:val="20"/>
          <w:szCs w:val="20"/>
        </w:rPr>
        <w:t>Lords Steyn and Nicholls of Birkenhead in</w:t>
      </w:r>
      <w:r w:rsidRPr="0098341E">
        <w:rPr>
          <w:rFonts w:eastAsia="Calibri"/>
          <w:b w:val="0"/>
          <w:i/>
          <w:sz w:val="20"/>
          <w:szCs w:val="20"/>
        </w:rPr>
        <w:t xml:space="preserve"> </w:t>
      </w:r>
      <w:r w:rsidRPr="0098341E">
        <w:rPr>
          <w:rFonts w:eastAsia="Calibri"/>
          <w:b w:val="0"/>
          <w:bCs w:val="0"/>
          <w:i/>
          <w:sz w:val="20"/>
          <w:szCs w:val="20"/>
        </w:rPr>
        <w:t>‘</w:t>
      </w:r>
      <w:r w:rsidRPr="0098341E">
        <w:rPr>
          <w:rFonts w:eastAsia="Calibri"/>
          <w:b w:val="0"/>
          <w:i/>
          <w:sz w:val="20"/>
          <w:szCs w:val="20"/>
        </w:rPr>
        <w:t>Pinochet I</w:t>
      </w:r>
      <w:r w:rsidRPr="0098341E">
        <w:rPr>
          <w:rFonts w:eastAsia="Calibri"/>
          <w:b w:val="0"/>
          <w:bCs w:val="0"/>
          <w:sz w:val="20"/>
          <w:szCs w:val="20"/>
        </w:rPr>
        <w:t>’</w:t>
      </w:r>
      <w:r w:rsidRPr="0098341E">
        <w:rPr>
          <w:rFonts w:eastAsia="Calibri"/>
          <w:b w:val="0"/>
          <w:sz w:val="20"/>
          <w:szCs w:val="20"/>
        </w:rPr>
        <w:t>, as well as the</w:t>
      </w:r>
      <w:r w:rsidRPr="0098341E">
        <w:rPr>
          <w:rFonts w:eastAsia="Calibri"/>
          <w:b w:val="0"/>
          <w:bCs w:val="0"/>
          <w:sz w:val="20"/>
          <w:szCs w:val="20"/>
        </w:rPr>
        <w:t xml:space="preserve"> </w:t>
      </w:r>
      <w:r w:rsidRPr="0098341E">
        <w:rPr>
          <w:rFonts w:eastAsia="Calibri"/>
          <w:b w:val="0"/>
          <w:sz w:val="20"/>
          <w:szCs w:val="20"/>
        </w:rPr>
        <w:t xml:space="preserve">judgment of the Court of Appeal of </w:t>
      </w:r>
      <w:r w:rsidRPr="0098341E">
        <w:rPr>
          <w:rFonts w:eastAsia="Calibri"/>
          <w:b w:val="0"/>
          <w:bCs w:val="0"/>
          <w:sz w:val="20"/>
          <w:szCs w:val="20"/>
        </w:rPr>
        <w:t xml:space="preserve">Amsterdam in the </w:t>
      </w:r>
      <w:r w:rsidRPr="0098341E">
        <w:rPr>
          <w:rFonts w:eastAsia="Calibri"/>
          <w:b w:val="0"/>
          <w:bCs w:val="0"/>
          <w:i/>
          <w:sz w:val="20"/>
          <w:szCs w:val="20"/>
        </w:rPr>
        <w:t>Bouterse</w:t>
      </w:r>
      <w:r w:rsidRPr="0098341E">
        <w:rPr>
          <w:rFonts w:eastAsia="Calibri"/>
          <w:b w:val="0"/>
          <w:bCs w:val="0"/>
          <w:sz w:val="20"/>
          <w:szCs w:val="20"/>
        </w:rPr>
        <w:t xml:space="preserve"> case </w:t>
      </w:r>
      <w:r w:rsidRPr="0098341E">
        <w:rPr>
          <w:rFonts w:eastAsia="Calibri"/>
          <w:b w:val="0"/>
          <w:sz w:val="20"/>
          <w:szCs w:val="20"/>
        </w:rPr>
        <w:t>(Gerechtshof Amsterdam, 20</w:t>
      </w:r>
      <w:r w:rsidRPr="0098341E">
        <w:rPr>
          <w:rFonts w:eastAsia="Calibri"/>
          <w:b w:val="0"/>
          <w:bCs w:val="0"/>
          <w:sz w:val="20"/>
          <w:szCs w:val="20"/>
        </w:rPr>
        <w:t xml:space="preserve"> November 2000, para. 4.2).”</w:t>
      </w:r>
    </w:p>
  </w:footnote>
  <w:footnote w:id="62">
    <w:p w14:paraId="76285AA7" w14:textId="61DD96C7" w:rsidR="00644556" w:rsidRDefault="00644556">
      <w:pPr>
        <w:pStyle w:val="FootnoteText"/>
      </w:pPr>
      <w:r>
        <w:rPr>
          <w:rStyle w:val="FootnoteReference"/>
        </w:rPr>
        <w:footnoteRef/>
      </w:r>
      <w:r>
        <w:t xml:space="preserve"> </w:t>
      </w:r>
      <w:r w:rsidR="00041D6D">
        <w:t>UN Doc.A/59/508.</w:t>
      </w:r>
    </w:p>
  </w:footnote>
  <w:footnote w:id="63">
    <w:p w14:paraId="55EC5C8E" w14:textId="4B081E74" w:rsidR="00F45693" w:rsidRPr="0098341E" w:rsidRDefault="00F45693" w:rsidP="0098341E">
      <w:pPr>
        <w:pStyle w:val="FootnoteText"/>
      </w:pPr>
      <w:r w:rsidRPr="0098341E">
        <w:rPr>
          <w:rStyle w:val="FootnoteReference"/>
        </w:rPr>
        <w:footnoteRef/>
      </w:r>
      <w:r w:rsidRPr="0098341E">
        <w:t xml:space="preserve"> </w:t>
      </w:r>
      <w:r w:rsidRPr="0098341E">
        <w:rPr>
          <w:i/>
        </w:rPr>
        <w:t>Jurisdictional Immunities of the State</w:t>
      </w:r>
      <w:r w:rsidRPr="0098341E">
        <w:t xml:space="preserve">, </w:t>
      </w:r>
      <w:r w:rsidRPr="0098341E">
        <w:rPr>
          <w:i/>
        </w:rPr>
        <w:t>supra</w:t>
      </w:r>
      <w:r w:rsidRPr="0098341E">
        <w:t xml:space="preserve"> note </w:t>
      </w:r>
      <w:r w:rsidR="00041D6D">
        <w:t>55</w:t>
      </w:r>
      <w:r w:rsidRPr="0098341E">
        <w:t>.</w:t>
      </w:r>
    </w:p>
  </w:footnote>
  <w:footnote w:id="64">
    <w:p w14:paraId="67A7A2C7" w14:textId="61C0CFA3" w:rsidR="00F45693" w:rsidRPr="0098341E" w:rsidRDefault="00F45693" w:rsidP="0098341E">
      <w:pPr>
        <w:pStyle w:val="FootnoteText"/>
      </w:pPr>
      <w:r w:rsidRPr="0098341E">
        <w:rPr>
          <w:rStyle w:val="FootnoteReference"/>
        </w:rPr>
        <w:footnoteRef/>
      </w:r>
      <w:r w:rsidRPr="0098341E">
        <w:t xml:space="preserve"> See </w:t>
      </w:r>
      <w:r w:rsidRPr="0098341E">
        <w:rPr>
          <w:i/>
        </w:rPr>
        <w:t>Ibid.</w:t>
      </w:r>
      <w:r w:rsidRPr="0098341E">
        <w:t xml:space="preserve">, ¶ 27. </w:t>
      </w:r>
    </w:p>
  </w:footnote>
  <w:footnote w:id="65">
    <w:p w14:paraId="251C9B6A" w14:textId="0F33105B" w:rsidR="00F45693" w:rsidRPr="0098341E" w:rsidRDefault="00F45693" w:rsidP="0098341E">
      <w:pPr>
        <w:pStyle w:val="FootnoteText"/>
        <w:rPr>
          <w:highlight w:val="yellow"/>
        </w:rPr>
      </w:pPr>
      <w:r w:rsidRPr="0098341E">
        <w:rPr>
          <w:rStyle w:val="FootnoteReference"/>
        </w:rPr>
        <w:footnoteRef/>
      </w:r>
      <w:r w:rsidRPr="0098341E">
        <w:t xml:space="preserve"> </w:t>
      </w:r>
      <w:r w:rsidRPr="0098341E">
        <w:rPr>
          <w:i/>
        </w:rPr>
        <w:t>Ibid.</w:t>
      </w:r>
      <w:r w:rsidRPr="0098341E">
        <w:t>,¶ 87.</w:t>
      </w:r>
    </w:p>
  </w:footnote>
  <w:footnote w:id="66">
    <w:p w14:paraId="5582F34B" w14:textId="350734D9" w:rsidR="00F45693" w:rsidRPr="0098341E" w:rsidRDefault="00F45693" w:rsidP="0098341E">
      <w:pPr>
        <w:pStyle w:val="FootnoteText"/>
        <w:rPr>
          <w:highlight w:val="yellow"/>
        </w:rPr>
      </w:pPr>
      <w:r w:rsidRPr="0098341E">
        <w:rPr>
          <w:rStyle w:val="FootnoteReference"/>
        </w:rPr>
        <w:footnoteRef/>
      </w:r>
      <w:r w:rsidRPr="0098341E">
        <w:t xml:space="preserve"> </w:t>
      </w:r>
      <w:r w:rsidRPr="0098341E">
        <w:rPr>
          <w:i/>
        </w:rPr>
        <w:t>Ferrini v. Federal Republic of Germany</w:t>
      </w:r>
      <w:r w:rsidRPr="0098341E">
        <w:t xml:space="preserve">, Decision No. 5044/2004 (Rivista di diritto internazionale, vol. 87, 2004, 539; </w:t>
      </w:r>
      <w:r w:rsidR="00041D6D">
        <w:t>128 ILR 658</w:t>
      </w:r>
      <w:r w:rsidR="00041D6D" w:rsidRPr="008F77DD">
        <w:t>.(2004).</w:t>
      </w:r>
    </w:p>
  </w:footnote>
  <w:footnote w:id="67">
    <w:p w14:paraId="1BBC7085" w14:textId="70832EBD" w:rsidR="00F45693" w:rsidRPr="0098341E" w:rsidRDefault="00F45693" w:rsidP="0098341E">
      <w:pPr>
        <w:pStyle w:val="FootnoteText"/>
        <w:rPr>
          <w:highlight w:val="yellow"/>
        </w:rPr>
      </w:pPr>
      <w:r w:rsidRPr="0098341E">
        <w:rPr>
          <w:rStyle w:val="FootnoteReference"/>
        </w:rPr>
        <w:footnoteRef/>
      </w:r>
      <w:r w:rsidRPr="0098341E">
        <w:t xml:space="preserve"> See </w:t>
      </w:r>
      <w:r w:rsidRPr="0098341E">
        <w:rPr>
          <w:i/>
        </w:rPr>
        <w:t>Jurisdictional Immunities of the State</w:t>
      </w:r>
      <w:r w:rsidRPr="0098341E">
        <w:t xml:space="preserve">, </w:t>
      </w:r>
      <w:r w:rsidRPr="0098341E">
        <w:rPr>
          <w:i/>
        </w:rPr>
        <w:t>supra</w:t>
      </w:r>
      <w:r w:rsidRPr="0098341E">
        <w:t xml:space="preserve"> note </w:t>
      </w:r>
      <w:r w:rsidR="00041D6D">
        <w:t>55</w:t>
      </w:r>
      <w:r w:rsidRPr="0098341E">
        <w:t>, ¶27.</w:t>
      </w:r>
    </w:p>
  </w:footnote>
  <w:footnote w:id="68">
    <w:p w14:paraId="273563DA" w14:textId="73A4F48E" w:rsidR="00F45693" w:rsidRPr="0098341E" w:rsidRDefault="00F45693" w:rsidP="0098341E">
      <w:pPr>
        <w:pStyle w:val="FootnoteText"/>
        <w:rPr>
          <w:highlight w:val="yellow"/>
        </w:rPr>
      </w:pPr>
      <w:r w:rsidRPr="0098341E">
        <w:rPr>
          <w:rStyle w:val="FootnoteReference"/>
        </w:rPr>
        <w:footnoteRef/>
      </w:r>
      <w:r w:rsidRPr="0098341E">
        <w:t xml:space="preserve"> </w:t>
      </w:r>
      <w:r w:rsidRPr="0098341E">
        <w:rPr>
          <w:i/>
        </w:rPr>
        <w:t>Giovanni Mantelli and others</w:t>
      </w:r>
      <w:r w:rsidRPr="0098341E">
        <w:t xml:space="preserve"> (Italian Court of Cassation, Order No. 14201 (Mantelli) </w:t>
      </w:r>
      <w:r w:rsidRPr="0098341E">
        <w:rPr>
          <w:i/>
        </w:rPr>
        <w:t>Foro italiano</w:t>
      </w:r>
      <w:r w:rsidRPr="0098341E">
        <w:t xml:space="preserve">, vol. 134, 2009, I, 1568); and </w:t>
      </w:r>
      <w:r w:rsidRPr="0098341E">
        <w:rPr>
          <w:i/>
        </w:rPr>
        <w:t xml:space="preserve">Liberato Maietta </w:t>
      </w:r>
      <w:r w:rsidRPr="0098341E">
        <w:t xml:space="preserve">(Order No. 14209 (Maietta) </w:t>
      </w:r>
      <w:r w:rsidRPr="0098341E">
        <w:rPr>
          <w:i/>
        </w:rPr>
        <w:t xml:space="preserve">revisita di dritto </w:t>
      </w:r>
      <w:r w:rsidRPr="0098341E">
        <w:t xml:space="preserve">internazionale, vol. 91, 2008, 86).  </w:t>
      </w:r>
      <w:r w:rsidRPr="0098341E">
        <w:rPr>
          <w:i/>
        </w:rPr>
        <w:t>Jurisdictional Immunities of the State</w:t>
      </w:r>
      <w:r w:rsidRPr="0098341E">
        <w:t xml:space="preserve">, </w:t>
      </w:r>
      <w:r w:rsidRPr="0098341E">
        <w:rPr>
          <w:i/>
        </w:rPr>
        <w:t>supra</w:t>
      </w:r>
      <w:r w:rsidRPr="0098341E">
        <w:t xml:space="preserve"> note </w:t>
      </w:r>
      <w:r w:rsidR="00041D6D">
        <w:t>55</w:t>
      </w:r>
      <w:r w:rsidRPr="0098341E">
        <w:t>, ¶28.</w:t>
      </w:r>
    </w:p>
  </w:footnote>
  <w:footnote w:id="69">
    <w:p w14:paraId="46446B40" w14:textId="2B4C931A" w:rsidR="00F45693" w:rsidRPr="0098341E" w:rsidRDefault="00F45693" w:rsidP="0098341E">
      <w:pPr>
        <w:pStyle w:val="FootnoteText"/>
      </w:pPr>
      <w:r w:rsidRPr="0098341E">
        <w:rPr>
          <w:rStyle w:val="FootnoteReference"/>
        </w:rPr>
        <w:footnoteRef/>
      </w:r>
      <w:r w:rsidRPr="0098341E">
        <w:t xml:space="preserve"> See further </w:t>
      </w:r>
      <w:r w:rsidRPr="0098341E">
        <w:rPr>
          <w:i/>
        </w:rPr>
        <w:t>Jurisdictional Immunities of the State</w:t>
      </w:r>
      <w:r w:rsidRPr="0098341E">
        <w:t xml:space="preserve">, </w:t>
      </w:r>
      <w:r w:rsidRPr="0098341E">
        <w:rPr>
          <w:i/>
        </w:rPr>
        <w:t>supra</w:t>
      </w:r>
      <w:r w:rsidRPr="0098341E">
        <w:t xml:space="preserve"> note</w:t>
      </w:r>
      <w:r w:rsidR="00041D6D">
        <w:t xml:space="preserve"> 55</w:t>
      </w:r>
      <w:r w:rsidRPr="0098341E">
        <w:t>, ¶¶ 15, 16, 17 and 37.</w:t>
      </w:r>
    </w:p>
  </w:footnote>
  <w:footnote w:id="70">
    <w:p w14:paraId="49D353E9" w14:textId="77777777" w:rsidR="00F45693" w:rsidRPr="0098341E" w:rsidRDefault="00F45693" w:rsidP="0098341E">
      <w:pPr>
        <w:pStyle w:val="FootnoteText"/>
        <w:rPr>
          <w:i/>
        </w:rPr>
      </w:pPr>
      <w:r w:rsidRPr="0098341E">
        <w:rPr>
          <w:rStyle w:val="FootnoteReference"/>
        </w:rPr>
        <w:footnoteRef/>
      </w:r>
      <w:r w:rsidRPr="0098341E">
        <w:t xml:space="preserve"> For my own analysis of the case see J. Craig Barker, “</w:t>
      </w:r>
      <w:r w:rsidRPr="0098341E">
        <w:rPr>
          <w:i/>
        </w:rPr>
        <w:t>Jurisdictional Immunities of the State (Germany v. Italy</w:t>
      </w:r>
      <w:r w:rsidRPr="0098341E">
        <w:t>)</w:t>
      </w:r>
      <w:r w:rsidRPr="0098341E">
        <w:rPr>
          <w:i/>
        </w:rPr>
        <w:t xml:space="preserve"> </w:t>
      </w:r>
      <w:r w:rsidRPr="0098341E">
        <w:t xml:space="preserve">Judgment of 3 February 2012”, </w:t>
      </w:r>
      <w:r w:rsidRPr="0098341E">
        <w:rPr>
          <w:i/>
        </w:rPr>
        <w:t xml:space="preserve">International and Comparative Law Quarterly </w:t>
      </w:r>
      <w:r w:rsidRPr="0098341E">
        <w:t xml:space="preserve">62, 3 (2013): 741; and J. Craig Barker, “Negotiating the Complex Interface between State Immunity and Human Rights: An Analysis of the International Court of Justice Decision in </w:t>
      </w:r>
      <w:r w:rsidRPr="0098341E">
        <w:rPr>
          <w:i/>
          <w:iCs/>
        </w:rPr>
        <w:t>Germany v. Italy</w:t>
      </w:r>
      <w:r w:rsidRPr="0098341E">
        <w:t xml:space="preserve">”, </w:t>
      </w:r>
      <w:r w:rsidRPr="0098341E">
        <w:rPr>
          <w:i/>
          <w:iCs/>
        </w:rPr>
        <w:t>International Community Law Review</w:t>
      </w:r>
      <w:r w:rsidRPr="0098341E">
        <w:t xml:space="preserve"> 15, 4 (2013): 415. </w:t>
      </w:r>
    </w:p>
  </w:footnote>
  <w:footnote w:id="71">
    <w:p w14:paraId="4B46ED6E" w14:textId="33B408D7" w:rsidR="00F45693" w:rsidRPr="0098341E" w:rsidRDefault="00F45693" w:rsidP="0098341E">
      <w:pPr>
        <w:pStyle w:val="FootnoteText"/>
      </w:pPr>
      <w:r w:rsidRPr="0098341E">
        <w:rPr>
          <w:rStyle w:val="FootnoteReference"/>
        </w:rPr>
        <w:footnoteRef/>
      </w:r>
      <w:r w:rsidRPr="0098341E">
        <w:t xml:space="preserve"> </w:t>
      </w:r>
      <w:r w:rsidRPr="0098341E">
        <w:rPr>
          <w:i/>
        </w:rPr>
        <w:t>Jurisdictional Immunities of the State</w:t>
      </w:r>
      <w:r w:rsidRPr="0098341E">
        <w:t xml:space="preserve">, </w:t>
      </w:r>
      <w:r w:rsidRPr="0098341E">
        <w:rPr>
          <w:i/>
        </w:rPr>
        <w:t>supra</w:t>
      </w:r>
      <w:r w:rsidRPr="0098341E">
        <w:t xml:space="preserve"> note </w:t>
      </w:r>
      <w:r w:rsidR="00041D6D">
        <w:t>55</w:t>
      </w:r>
      <w:r w:rsidRPr="0098341E">
        <w:t>, ¶87.</w:t>
      </w:r>
    </w:p>
  </w:footnote>
  <w:footnote w:id="72">
    <w:p w14:paraId="7B0F825A" w14:textId="77777777" w:rsidR="00F45693" w:rsidRPr="0098341E" w:rsidRDefault="00F45693" w:rsidP="0098341E">
      <w:pPr>
        <w:pStyle w:val="FootnoteText"/>
      </w:pPr>
      <w:r w:rsidRPr="0098341E">
        <w:rPr>
          <w:rStyle w:val="FootnoteReference"/>
        </w:rPr>
        <w:footnoteRef/>
      </w:r>
      <w:r w:rsidRPr="0098341E">
        <w:t xml:space="preserve"> </w:t>
      </w:r>
      <w:r w:rsidRPr="0098341E">
        <w:rPr>
          <w:i/>
        </w:rPr>
        <w:t>Ibid.</w:t>
      </w:r>
    </w:p>
  </w:footnote>
  <w:footnote w:id="73">
    <w:p w14:paraId="1D08BE65" w14:textId="21E8F229" w:rsidR="00F45693" w:rsidRPr="0098341E" w:rsidRDefault="00F45693" w:rsidP="0098341E">
      <w:pPr>
        <w:pStyle w:val="FootnoteText"/>
        <w:rPr>
          <w:highlight w:val="green"/>
        </w:rPr>
      </w:pPr>
      <w:r w:rsidRPr="0098341E">
        <w:rPr>
          <w:rStyle w:val="FootnoteReference"/>
        </w:rPr>
        <w:footnoteRef/>
      </w:r>
      <w:r w:rsidRPr="0098341E">
        <w:t xml:space="preserve"> </w:t>
      </w:r>
      <w:r w:rsidRPr="0098341E">
        <w:rPr>
          <w:i/>
        </w:rPr>
        <w:t>Jurisdictional Immunities of the State</w:t>
      </w:r>
      <w:r w:rsidRPr="0098341E">
        <w:t xml:space="preserve">, </w:t>
      </w:r>
      <w:r w:rsidRPr="0098341E">
        <w:rPr>
          <w:i/>
        </w:rPr>
        <w:t>supra</w:t>
      </w:r>
      <w:r w:rsidRPr="0098341E">
        <w:t xml:space="preserve"> note </w:t>
      </w:r>
      <w:r w:rsidR="00041D6D">
        <w:t>55</w:t>
      </w:r>
      <w:r w:rsidRPr="0098341E">
        <w:t xml:space="preserve"> ¶89.</w:t>
      </w:r>
    </w:p>
  </w:footnote>
  <w:footnote w:id="74">
    <w:p w14:paraId="737CDA5E" w14:textId="009EE358" w:rsidR="00F45693" w:rsidRPr="0098341E" w:rsidRDefault="00F45693" w:rsidP="0098341E">
      <w:pPr>
        <w:pStyle w:val="FootnoteText"/>
      </w:pPr>
      <w:r w:rsidRPr="008F77DD">
        <w:rPr>
          <w:rStyle w:val="FootnoteReference"/>
        </w:rPr>
        <w:footnoteRef/>
      </w:r>
      <w:r w:rsidRPr="008F77DD">
        <w:t xml:space="preserve"> The most damning criticism of the decision came from within the Court itself </w:t>
      </w:r>
      <w:r w:rsidR="00041D6D" w:rsidRPr="008F77DD">
        <w:t>in the form of th</w:t>
      </w:r>
      <w:r w:rsidR="00546479" w:rsidRPr="008F77DD">
        <w:t>e Dissenting Opinion of Judge Ca</w:t>
      </w:r>
      <w:r w:rsidR="00041D6D" w:rsidRPr="008F77DD">
        <w:t>nçado Trindade</w:t>
      </w:r>
      <w:r w:rsidR="00546479" w:rsidRPr="008F77DD">
        <w:t xml:space="preserve"> </w:t>
      </w:r>
      <w:r w:rsidR="00546479" w:rsidRPr="008F77DD">
        <w:rPr>
          <w:i/>
        </w:rPr>
        <w:t>Jurisdictional Immunities of the State</w:t>
      </w:r>
      <w:r w:rsidR="00546479" w:rsidRPr="008F77DD">
        <w:t xml:space="preserve"> (Germany v. Italy: Greece intervening), 2012 I.C.J 179 (3 Feb.).</w:t>
      </w:r>
    </w:p>
  </w:footnote>
  <w:footnote w:id="75">
    <w:p w14:paraId="36AE3E9A" w14:textId="74BD591A" w:rsidR="00546479" w:rsidRDefault="00546479">
      <w:pPr>
        <w:pStyle w:val="FootnoteText"/>
      </w:pPr>
      <w:r>
        <w:rPr>
          <w:rStyle w:val="FootnoteReference"/>
        </w:rPr>
        <w:footnoteRef/>
      </w:r>
      <w:r>
        <w:t xml:space="preserve"> See above, note 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6C03EB"/>
    <w:multiLevelType w:val="hybridMultilevel"/>
    <w:tmpl w:val="81AC32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raig Barker">
    <w15:presenceInfo w15:providerId="Windows Live" w15:userId="215fefa27ce3e9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FE6"/>
    <w:rsid w:val="000004F2"/>
    <w:rsid w:val="00007044"/>
    <w:rsid w:val="00013C96"/>
    <w:rsid w:val="000234B7"/>
    <w:rsid w:val="000330F1"/>
    <w:rsid w:val="00035E14"/>
    <w:rsid w:val="0003792D"/>
    <w:rsid w:val="00041D6D"/>
    <w:rsid w:val="0005467E"/>
    <w:rsid w:val="00060B74"/>
    <w:rsid w:val="00067A19"/>
    <w:rsid w:val="00070FD1"/>
    <w:rsid w:val="00071B8F"/>
    <w:rsid w:val="000738E1"/>
    <w:rsid w:val="00077CD7"/>
    <w:rsid w:val="000A394B"/>
    <w:rsid w:val="000B5DB4"/>
    <w:rsid w:val="000F6A9C"/>
    <w:rsid w:val="0010607B"/>
    <w:rsid w:val="0012062E"/>
    <w:rsid w:val="00121452"/>
    <w:rsid w:val="00127B10"/>
    <w:rsid w:val="0014748C"/>
    <w:rsid w:val="0015211C"/>
    <w:rsid w:val="00167990"/>
    <w:rsid w:val="001756FB"/>
    <w:rsid w:val="001A04DD"/>
    <w:rsid w:val="001C4C23"/>
    <w:rsid w:val="001D1112"/>
    <w:rsid w:val="001D47B1"/>
    <w:rsid w:val="001F3560"/>
    <w:rsid w:val="00212E31"/>
    <w:rsid w:val="0021319F"/>
    <w:rsid w:val="00213A1B"/>
    <w:rsid w:val="00237473"/>
    <w:rsid w:val="00237ACE"/>
    <w:rsid w:val="00260C6A"/>
    <w:rsid w:val="002817CF"/>
    <w:rsid w:val="0028354B"/>
    <w:rsid w:val="002A2E05"/>
    <w:rsid w:val="002A5210"/>
    <w:rsid w:val="002B0739"/>
    <w:rsid w:val="002D0E3D"/>
    <w:rsid w:val="002F542A"/>
    <w:rsid w:val="002F5520"/>
    <w:rsid w:val="00301435"/>
    <w:rsid w:val="00315888"/>
    <w:rsid w:val="003723BE"/>
    <w:rsid w:val="00372D7A"/>
    <w:rsid w:val="003852F7"/>
    <w:rsid w:val="003C0F0E"/>
    <w:rsid w:val="00425D9C"/>
    <w:rsid w:val="00437530"/>
    <w:rsid w:val="00441FDF"/>
    <w:rsid w:val="004473E1"/>
    <w:rsid w:val="004975D6"/>
    <w:rsid w:val="004D1EA2"/>
    <w:rsid w:val="00536A31"/>
    <w:rsid w:val="00536B77"/>
    <w:rsid w:val="00540A81"/>
    <w:rsid w:val="00542069"/>
    <w:rsid w:val="00546479"/>
    <w:rsid w:val="00550C50"/>
    <w:rsid w:val="00556296"/>
    <w:rsid w:val="00565F39"/>
    <w:rsid w:val="00582049"/>
    <w:rsid w:val="005922E6"/>
    <w:rsid w:val="005963C0"/>
    <w:rsid w:val="005A29FB"/>
    <w:rsid w:val="00641760"/>
    <w:rsid w:val="00644556"/>
    <w:rsid w:val="00646ADF"/>
    <w:rsid w:val="006521C4"/>
    <w:rsid w:val="00652C7F"/>
    <w:rsid w:val="00656634"/>
    <w:rsid w:val="00660BBF"/>
    <w:rsid w:val="00663B2C"/>
    <w:rsid w:val="006A355C"/>
    <w:rsid w:val="006C1588"/>
    <w:rsid w:val="006D1C26"/>
    <w:rsid w:val="007219E7"/>
    <w:rsid w:val="0075442A"/>
    <w:rsid w:val="00757044"/>
    <w:rsid w:val="00765E03"/>
    <w:rsid w:val="0077435D"/>
    <w:rsid w:val="00790D42"/>
    <w:rsid w:val="007A3E57"/>
    <w:rsid w:val="007A49A2"/>
    <w:rsid w:val="007A503A"/>
    <w:rsid w:val="007B5AC4"/>
    <w:rsid w:val="007B5FE1"/>
    <w:rsid w:val="007B6938"/>
    <w:rsid w:val="007F782A"/>
    <w:rsid w:val="0080432D"/>
    <w:rsid w:val="00826487"/>
    <w:rsid w:val="00843409"/>
    <w:rsid w:val="00861049"/>
    <w:rsid w:val="0086525E"/>
    <w:rsid w:val="00875E89"/>
    <w:rsid w:val="00875E9B"/>
    <w:rsid w:val="008B78FE"/>
    <w:rsid w:val="008E17AE"/>
    <w:rsid w:val="008F77DD"/>
    <w:rsid w:val="00955EDA"/>
    <w:rsid w:val="009661A3"/>
    <w:rsid w:val="0098341E"/>
    <w:rsid w:val="009853C7"/>
    <w:rsid w:val="00990B79"/>
    <w:rsid w:val="00996D78"/>
    <w:rsid w:val="00997B5D"/>
    <w:rsid w:val="009A6856"/>
    <w:rsid w:val="009A7F4F"/>
    <w:rsid w:val="009C5860"/>
    <w:rsid w:val="009C5FE6"/>
    <w:rsid w:val="009D2BA3"/>
    <w:rsid w:val="009D38AD"/>
    <w:rsid w:val="009E09AC"/>
    <w:rsid w:val="009E0DAC"/>
    <w:rsid w:val="009E1D45"/>
    <w:rsid w:val="009E2941"/>
    <w:rsid w:val="009E2D56"/>
    <w:rsid w:val="009F0CA8"/>
    <w:rsid w:val="00A0164E"/>
    <w:rsid w:val="00A1231E"/>
    <w:rsid w:val="00A16CA5"/>
    <w:rsid w:val="00A236BD"/>
    <w:rsid w:val="00A331A0"/>
    <w:rsid w:val="00A50F0B"/>
    <w:rsid w:val="00A7452A"/>
    <w:rsid w:val="00AD67F2"/>
    <w:rsid w:val="00AF4830"/>
    <w:rsid w:val="00B00462"/>
    <w:rsid w:val="00B00977"/>
    <w:rsid w:val="00B21B39"/>
    <w:rsid w:val="00B255D9"/>
    <w:rsid w:val="00B41198"/>
    <w:rsid w:val="00B543FE"/>
    <w:rsid w:val="00B56D40"/>
    <w:rsid w:val="00B619F7"/>
    <w:rsid w:val="00B74E23"/>
    <w:rsid w:val="00BC356F"/>
    <w:rsid w:val="00BE206F"/>
    <w:rsid w:val="00BE2765"/>
    <w:rsid w:val="00BF691B"/>
    <w:rsid w:val="00C03EB7"/>
    <w:rsid w:val="00C13637"/>
    <w:rsid w:val="00C14AD9"/>
    <w:rsid w:val="00C17312"/>
    <w:rsid w:val="00C2061A"/>
    <w:rsid w:val="00C60B75"/>
    <w:rsid w:val="00C67FB5"/>
    <w:rsid w:val="00C7585E"/>
    <w:rsid w:val="00C77E4C"/>
    <w:rsid w:val="00CA5212"/>
    <w:rsid w:val="00CB5E84"/>
    <w:rsid w:val="00CE1BAA"/>
    <w:rsid w:val="00CF50E4"/>
    <w:rsid w:val="00D22319"/>
    <w:rsid w:val="00D312E5"/>
    <w:rsid w:val="00D37306"/>
    <w:rsid w:val="00D736C5"/>
    <w:rsid w:val="00D9574B"/>
    <w:rsid w:val="00D97E3A"/>
    <w:rsid w:val="00DA35D7"/>
    <w:rsid w:val="00DB2857"/>
    <w:rsid w:val="00DB3B3F"/>
    <w:rsid w:val="00DD18D4"/>
    <w:rsid w:val="00DD2B31"/>
    <w:rsid w:val="00DD5AD1"/>
    <w:rsid w:val="00DE79E6"/>
    <w:rsid w:val="00E041AA"/>
    <w:rsid w:val="00E41380"/>
    <w:rsid w:val="00E42343"/>
    <w:rsid w:val="00E55A8A"/>
    <w:rsid w:val="00E62105"/>
    <w:rsid w:val="00E81F92"/>
    <w:rsid w:val="00EB04D1"/>
    <w:rsid w:val="00EC3281"/>
    <w:rsid w:val="00EC63EC"/>
    <w:rsid w:val="00EE6030"/>
    <w:rsid w:val="00F022D7"/>
    <w:rsid w:val="00F1006E"/>
    <w:rsid w:val="00F163C7"/>
    <w:rsid w:val="00F2235B"/>
    <w:rsid w:val="00F23572"/>
    <w:rsid w:val="00F35688"/>
    <w:rsid w:val="00F45693"/>
    <w:rsid w:val="00F5595C"/>
    <w:rsid w:val="00F6283B"/>
    <w:rsid w:val="00F67F05"/>
    <w:rsid w:val="00F81E63"/>
    <w:rsid w:val="00F856FF"/>
    <w:rsid w:val="00F93A43"/>
    <w:rsid w:val="00F957A4"/>
    <w:rsid w:val="00FA09DB"/>
    <w:rsid w:val="00FB0BEC"/>
    <w:rsid w:val="00FB28D0"/>
    <w:rsid w:val="00FB4F14"/>
    <w:rsid w:val="00FC5A62"/>
    <w:rsid w:val="00FC6BD3"/>
    <w:rsid w:val="00FC6D30"/>
    <w:rsid w:val="00FD4118"/>
    <w:rsid w:val="00FE0EBA"/>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EE5B50"/>
  <w15:docId w15:val="{C88D2826-3E49-4D26-B857-7122D2154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210"/>
    <w:rPr>
      <w:lang w:val="en-GB"/>
    </w:rPr>
  </w:style>
  <w:style w:type="paragraph" w:styleId="Heading4">
    <w:name w:val="heading 4"/>
    <w:basedOn w:val="Normal"/>
    <w:link w:val="Heading4Char"/>
    <w:uiPriority w:val="9"/>
    <w:qFormat/>
    <w:rsid w:val="009E2941"/>
    <w:pPr>
      <w:spacing w:before="100" w:beforeAutospacing="1" w:after="100" w:afterAutospacing="1"/>
      <w:jc w:val="left"/>
      <w:outlineLvl w:val="3"/>
    </w:pPr>
    <w:rPr>
      <w:rFonts w:eastAsia="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6283B"/>
    <w:rPr>
      <w:sz w:val="20"/>
      <w:szCs w:val="20"/>
    </w:rPr>
  </w:style>
  <w:style w:type="character" w:customStyle="1" w:styleId="FootnoteTextChar">
    <w:name w:val="Footnote Text Char"/>
    <w:basedOn w:val="DefaultParagraphFont"/>
    <w:link w:val="FootnoteText"/>
    <w:uiPriority w:val="99"/>
    <w:semiHidden/>
    <w:rsid w:val="00F6283B"/>
    <w:rPr>
      <w:sz w:val="20"/>
      <w:szCs w:val="20"/>
      <w:lang w:val="en-GB"/>
    </w:rPr>
  </w:style>
  <w:style w:type="character" w:styleId="FootnoteReference">
    <w:name w:val="footnote reference"/>
    <w:basedOn w:val="DefaultParagraphFont"/>
    <w:uiPriority w:val="99"/>
    <w:semiHidden/>
    <w:unhideWhenUsed/>
    <w:rsid w:val="00F6283B"/>
    <w:rPr>
      <w:vertAlign w:val="superscript"/>
    </w:rPr>
  </w:style>
  <w:style w:type="paragraph" w:styleId="BalloonText">
    <w:name w:val="Balloon Text"/>
    <w:basedOn w:val="Normal"/>
    <w:link w:val="BalloonTextChar"/>
    <w:uiPriority w:val="99"/>
    <w:semiHidden/>
    <w:unhideWhenUsed/>
    <w:rsid w:val="002835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354B"/>
    <w:rPr>
      <w:rFonts w:ascii="Segoe UI" w:hAnsi="Segoe UI" w:cs="Segoe UI"/>
      <w:sz w:val="18"/>
      <w:szCs w:val="18"/>
      <w:lang w:val="en-GB"/>
    </w:rPr>
  </w:style>
  <w:style w:type="character" w:customStyle="1" w:styleId="sb8d990e2">
    <w:name w:val="sb8d990e2"/>
    <w:basedOn w:val="DefaultParagraphFont"/>
    <w:rsid w:val="00996D78"/>
  </w:style>
  <w:style w:type="character" w:customStyle="1" w:styleId="apple-converted-space">
    <w:name w:val="apple-converted-space"/>
    <w:basedOn w:val="DefaultParagraphFont"/>
    <w:rsid w:val="00996D78"/>
  </w:style>
  <w:style w:type="character" w:customStyle="1" w:styleId="s6b621b36">
    <w:name w:val="s6b621b36"/>
    <w:basedOn w:val="DefaultParagraphFont"/>
    <w:rsid w:val="00996D78"/>
  </w:style>
  <w:style w:type="paragraph" w:styleId="ListParagraph">
    <w:name w:val="List Paragraph"/>
    <w:basedOn w:val="Normal"/>
    <w:uiPriority w:val="34"/>
    <w:qFormat/>
    <w:rsid w:val="005922E6"/>
    <w:pPr>
      <w:ind w:left="720"/>
      <w:contextualSpacing/>
    </w:pPr>
  </w:style>
  <w:style w:type="paragraph" w:styleId="Header">
    <w:name w:val="header"/>
    <w:basedOn w:val="Normal"/>
    <w:link w:val="HeaderChar"/>
    <w:uiPriority w:val="99"/>
    <w:unhideWhenUsed/>
    <w:rsid w:val="000234B7"/>
    <w:pPr>
      <w:tabs>
        <w:tab w:val="center" w:pos="4513"/>
        <w:tab w:val="right" w:pos="9026"/>
      </w:tabs>
    </w:pPr>
  </w:style>
  <w:style w:type="character" w:customStyle="1" w:styleId="HeaderChar">
    <w:name w:val="Header Char"/>
    <w:basedOn w:val="DefaultParagraphFont"/>
    <w:link w:val="Header"/>
    <w:uiPriority w:val="99"/>
    <w:rsid w:val="000234B7"/>
    <w:rPr>
      <w:lang w:val="en-GB"/>
    </w:rPr>
  </w:style>
  <w:style w:type="paragraph" w:styleId="Footer">
    <w:name w:val="footer"/>
    <w:basedOn w:val="Normal"/>
    <w:link w:val="FooterChar"/>
    <w:uiPriority w:val="99"/>
    <w:unhideWhenUsed/>
    <w:rsid w:val="000234B7"/>
    <w:pPr>
      <w:tabs>
        <w:tab w:val="center" w:pos="4513"/>
        <w:tab w:val="right" w:pos="9026"/>
      </w:tabs>
    </w:pPr>
  </w:style>
  <w:style w:type="character" w:customStyle="1" w:styleId="FooterChar">
    <w:name w:val="Footer Char"/>
    <w:basedOn w:val="DefaultParagraphFont"/>
    <w:link w:val="Footer"/>
    <w:uiPriority w:val="99"/>
    <w:rsid w:val="000234B7"/>
    <w:rPr>
      <w:lang w:val="en-GB"/>
    </w:rPr>
  </w:style>
  <w:style w:type="character" w:styleId="CommentReference">
    <w:name w:val="annotation reference"/>
    <w:basedOn w:val="DefaultParagraphFont"/>
    <w:uiPriority w:val="99"/>
    <w:semiHidden/>
    <w:unhideWhenUsed/>
    <w:rsid w:val="008B78FE"/>
    <w:rPr>
      <w:sz w:val="16"/>
      <w:szCs w:val="16"/>
    </w:rPr>
  </w:style>
  <w:style w:type="paragraph" w:styleId="CommentText">
    <w:name w:val="annotation text"/>
    <w:basedOn w:val="Normal"/>
    <w:link w:val="CommentTextChar"/>
    <w:uiPriority w:val="99"/>
    <w:semiHidden/>
    <w:unhideWhenUsed/>
    <w:rsid w:val="008B78FE"/>
    <w:rPr>
      <w:sz w:val="20"/>
      <w:szCs w:val="20"/>
    </w:rPr>
  </w:style>
  <w:style w:type="character" w:customStyle="1" w:styleId="CommentTextChar">
    <w:name w:val="Comment Text Char"/>
    <w:basedOn w:val="DefaultParagraphFont"/>
    <w:link w:val="CommentText"/>
    <w:uiPriority w:val="99"/>
    <w:semiHidden/>
    <w:rsid w:val="008B78FE"/>
    <w:rPr>
      <w:sz w:val="20"/>
      <w:szCs w:val="20"/>
      <w:lang w:val="en-GB"/>
    </w:rPr>
  </w:style>
  <w:style w:type="paragraph" w:styleId="CommentSubject">
    <w:name w:val="annotation subject"/>
    <w:basedOn w:val="CommentText"/>
    <w:next w:val="CommentText"/>
    <w:link w:val="CommentSubjectChar"/>
    <w:uiPriority w:val="99"/>
    <w:semiHidden/>
    <w:unhideWhenUsed/>
    <w:rsid w:val="008B78FE"/>
    <w:rPr>
      <w:b/>
      <w:bCs/>
    </w:rPr>
  </w:style>
  <w:style w:type="character" w:customStyle="1" w:styleId="CommentSubjectChar">
    <w:name w:val="Comment Subject Char"/>
    <w:basedOn w:val="CommentTextChar"/>
    <w:link w:val="CommentSubject"/>
    <w:uiPriority w:val="99"/>
    <w:semiHidden/>
    <w:rsid w:val="008B78FE"/>
    <w:rPr>
      <w:b/>
      <w:bCs/>
      <w:sz w:val="20"/>
      <w:szCs w:val="20"/>
      <w:lang w:val="en-GB"/>
    </w:rPr>
  </w:style>
  <w:style w:type="character" w:customStyle="1" w:styleId="Heading4Char">
    <w:name w:val="Heading 4 Char"/>
    <w:basedOn w:val="DefaultParagraphFont"/>
    <w:link w:val="Heading4"/>
    <w:uiPriority w:val="9"/>
    <w:rsid w:val="009E2941"/>
    <w:rPr>
      <w:rFonts w:eastAsia="Times New Roman"/>
      <w:b/>
      <w:bCs/>
      <w:lang w:val="en-GB" w:eastAsia="en-GB"/>
    </w:rPr>
  </w:style>
  <w:style w:type="paragraph" w:customStyle="1" w:styleId="Body">
    <w:name w:val="Body"/>
    <w:rsid w:val="0086525E"/>
    <w:pPr>
      <w:pBdr>
        <w:top w:val="nil"/>
        <w:left w:val="nil"/>
        <w:bottom w:val="nil"/>
        <w:right w:val="nil"/>
        <w:between w:val="nil"/>
        <w:bar w:val="nil"/>
      </w:pBdr>
      <w:jc w:val="left"/>
    </w:pPr>
    <w:rPr>
      <w:rFonts w:eastAsia="Arial Unicode MS" w:hAnsi="Arial Unicode MS" w:cs="Arial Unicode MS"/>
      <w:color w:val="000000"/>
      <w:u w:color="000000"/>
      <w:bdr w:val="nil"/>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58CBAE-5E55-4C6B-A40A-1DD2736CA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5652</Words>
  <Characters>32222</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37799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Craig Barker</dc:creator>
  <cp:lastModifiedBy>Barker, Craig 4</cp:lastModifiedBy>
  <cp:revision>2</cp:revision>
  <cp:lastPrinted>2014-05-14T15:55:00Z</cp:lastPrinted>
  <dcterms:created xsi:type="dcterms:W3CDTF">2018-02-20T08:58:00Z</dcterms:created>
  <dcterms:modified xsi:type="dcterms:W3CDTF">2018-02-20T08:58:00Z</dcterms:modified>
</cp:coreProperties>
</file>