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99" w:rsidRPr="00EF5619" w:rsidRDefault="006F2E99" w:rsidP="006F2E9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F5619">
        <w:rPr>
          <w:rFonts w:ascii="Times New Roman" w:hAnsi="Times New Roman" w:cs="Times New Roman"/>
          <w:i/>
          <w:sz w:val="24"/>
          <w:szCs w:val="24"/>
          <w:lang w:val="en-GB"/>
        </w:rPr>
        <w:t>Strategic interviewing to elicit admissions</w:t>
      </w:r>
      <w:r w:rsidR="0094601F" w:rsidRPr="00EF5619">
        <w:rPr>
          <w:rFonts w:ascii="Times New Roman" w:hAnsi="Times New Roman" w:cs="Times New Roman"/>
          <w:i/>
          <w:sz w:val="24"/>
          <w:szCs w:val="24"/>
          <w:lang w:val="en-GB"/>
        </w:rPr>
        <w:t>: Making guilty suspects</w:t>
      </w:r>
      <w:r w:rsidRPr="00EF56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more forthcoming </w:t>
      </w:r>
    </w:p>
    <w:p w:rsidR="0071600A" w:rsidRPr="00EF5619" w:rsidRDefault="0071600A" w:rsidP="0071600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EF5619">
        <w:rPr>
          <w:rFonts w:ascii="Times New Roman" w:hAnsi="Times New Roman" w:cs="Times New Roman"/>
          <w:i/>
          <w:sz w:val="24"/>
          <w:szCs w:val="24"/>
          <w:lang w:val="sv-SE"/>
        </w:rPr>
        <w:t>Serra Tekin, Pär Anders Granhag &amp; Erik Mac Giolla</w:t>
      </w:r>
    </w:p>
    <w:p w:rsidR="00FC1263" w:rsidRPr="00EF5619" w:rsidRDefault="0071600A" w:rsidP="00FC126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F5619">
        <w:rPr>
          <w:rFonts w:ascii="Times New Roman" w:hAnsi="Times New Roman" w:cs="Times New Roman"/>
          <w:i/>
          <w:sz w:val="24"/>
          <w:szCs w:val="24"/>
          <w:lang w:val="en-GB"/>
        </w:rPr>
        <w:t>University of Gothenburg</w:t>
      </w:r>
    </w:p>
    <w:p w:rsidR="00E9387B" w:rsidRPr="00BC552E" w:rsidRDefault="00304AD9" w:rsidP="00C807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619">
        <w:rPr>
          <w:rFonts w:ascii="Times New Roman" w:hAnsi="Times New Roman" w:cs="Times New Roman"/>
          <w:sz w:val="24"/>
          <w:szCs w:val="24"/>
        </w:rPr>
        <w:t xml:space="preserve">The current study </w:t>
      </w:r>
      <w:r w:rsidR="00151286">
        <w:rPr>
          <w:rFonts w:ascii="Times New Roman" w:hAnsi="Times New Roman" w:cs="Times New Roman"/>
          <w:sz w:val="24"/>
          <w:szCs w:val="24"/>
        </w:rPr>
        <w:t xml:space="preserve">aimed to </w:t>
      </w:r>
      <w:r w:rsidR="00FE0971">
        <w:rPr>
          <w:rFonts w:ascii="Times New Roman" w:hAnsi="Times New Roman" w:cs="Times New Roman"/>
          <w:sz w:val="24"/>
          <w:szCs w:val="24"/>
        </w:rPr>
        <w:t>a</w:t>
      </w:r>
      <w:r w:rsidR="00FE0971" w:rsidRPr="00EF5619">
        <w:rPr>
          <w:rFonts w:ascii="Times New Roman" w:hAnsi="Times New Roman" w:cs="Times New Roman"/>
          <w:sz w:val="24"/>
          <w:szCs w:val="24"/>
        </w:rPr>
        <w:t xml:space="preserve">lter </w:t>
      </w:r>
      <w:r w:rsidR="00BC552E">
        <w:rPr>
          <w:rFonts w:ascii="Times New Roman" w:hAnsi="Times New Roman" w:cs="Times New Roman"/>
          <w:sz w:val="24"/>
          <w:szCs w:val="24"/>
        </w:rPr>
        <w:t xml:space="preserve">the </w:t>
      </w:r>
      <w:r w:rsidR="00FE0971" w:rsidRPr="00EF5619">
        <w:rPr>
          <w:rFonts w:ascii="Times New Roman" w:hAnsi="Times New Roman" w:cs="Times New Roman"/>
          <w:sz w:val="24"/>
          <w:szCs w:val="24"/>
        </w:rPr>
        <w:t xml:space="preserve">counter-interrogation strategies </w:t>
      </w:r>
      <w:r w:rsidR="00FA361E">
        <w:rPr>
          <w:rFonts w:ascii="Times New Roman" w:hAnsi="Times New Roman" w:cs="Times New Roman"/>
          <w:sz w:val="24"/>
          <w:szCs w:val="24"/>
        </w:rPr>
        <w:t>of guilty suspects</w:t>
      </w:r>
      <w:r w:rsidR="00FA361E" w:rsidRPr="00EF5619">
        <w:rPr>
          <w:rFonts w:ascii="Times New Roman" w:hAnsi="Times New Roman" w:cs="Times New Roman"/>
          <w:sz w:val="24"/>
          <w:szCs w:val="24"/>
        </w:rPr>
        <w:t xml:space="preserve"> </w:t>
      </w:r>
      <w:r w:rsidR="00FE0971" w:rsidRPr="00EF5619">
        <w:rPr>
          <w:rFonts w:ascii="Times New Roman" w:hAnsi="Times New Roman" w:cs="Times New Roman"/>
          <w:sz w:val="24"/>
          <w:szCs w:val="24"/>
        </w:rPr>
        <w:t>by influencing their perception of the evidence</w:t>
      </w:r>
      <w:r w:rsidR="00FE0971">
        <w:rPr>
          <w:rFonts w:ascii="Times New Roman" w:hAnsi="Times New Roman" w:cs="Times New Roman"/>
          <w:sz w:val="24"/>
          <w:szCs w:val="24"/>
        </w:rPr>
        <w:t xml:space="preserve"> </w:t>
      </w:r>
      <w:r w:rsidR="0030358A">
        <w:rPr>
          <w:rFonts w:ascii="Times New Roman" w:hAnsi="Times New Roman" w:cs="Times New Roman"/>
          <w:sz w:val="24"/>
          <w:szCs w:val="24"/>
        </w:rPr>
        <w:t xml:space="preserve">with the goal of </w:t>
      </w:r>
      <w:r w:rsidR="00151286">
        <w:rPr>
          <w:rFonts w:ascii="Times New Roman" w:hAnsi="Times New Roman" w:cs="Times New Roman"/>
          <w:sz w:val="24"/>
          <w:szCs w:val="24"/>
        </w:rPr>
        <w:t>elicit</w:t>
      </w:r>
      <w:r w:rsidR="0030358A">
        <w:rPr>
          <w:rFonts w:ascii="Times New Roman" w:hAnsi="Times New Roman" w:cs="Times New Roman"/>
          <w:sz w:val="24"/>
          <w:szCs w:val="24"/>
        </w:rPr>
        <w:t>ing</w:t>
      </w:r>
      <w:r w:rsidR="00151286">
        <w:rPr>
          <w:rFonts w:ascii="Times New Roman" w:hAnsi="Times New Roman" w:cs="Times New Roman"/>
          <w:sz w:val="24"/>
          <w:szCs w:val="24"/>
        </w:rPr>
        <w:t xml:space="preserve"> </w:t>
      </w:r>
      <w:r w:rsidR="00FE0971">
        <w:rPr>
          <w:rFonts w:ascii="Times New Roman" w:hAnsi="Times New Roman" w:cs="Times New Roman"/>
          <w:sz w:val="24"/>
          <w:szCs w:val="24"/>
        </w:rPr>
        <w:t xml:space="preserve">admissions. </w:t>
      </w:r>
      <w:r w:rsidR="005B41C7" w:rsidRPr="00EF5619">
        <w:rPr>
          <w:rFonts w:ascii="Times New Roman" w:hAnsi="Times New Roman" w:cs="Times New Roman"/>
          <w:sz w:val="24"/>
          <w:szCs w:val="24"/>
        </w:rPr>
        <w:t>Participants (</w:t>
      </w:r>
      <w:r w:rsidR="005B41C7" w:rsidRPr="00EF5619">
        <w:rPr>
          <w:rFonts w:ascii="Times New Roman" w:hAnsi="Times New Roman" w:cs="Times New Roman"/>
          <w:i/>
          <w:sz w:val="24"/>
          <w:szCs w:val="24"/>
        </w:rPr>
        <w:t>N</w:t>
      </w:r>
      <w:r w:rsidR="005B41C7" w:rsidRPr="00EF5619">
        <w:rPr>
          <w:rFonts w:ascii="Times New Roman" w:hAnsi="Times New Roman" w:cs="Times New Roman"/>
          <w:sz w:val="24"/>
          <w:szCs w:val="24"/>
        </w:rPr>
        <w:t xml:space="preserve"> = 90) were asked to perform several mock criminal tasks before being interviewed using one of three int</w:t>
      </w:r>
      <w:r w:rsidR="00FC1263" w:rsidRPr="00EF5619">
        <w:rPr>
          <w:rFonts w:ascii="Times New Roman" w:hAnsi="Times New Roman" w:cs="Times New Roman"/>
          <w:sz w:val="24"/>
          <w:szCs w:val="24"/>
        </w:rPr>
        <w:t>erview techniques: (1) Strategic Use of Evidence</w:t>
      </w:r>
      <w:r w:rsidR="005B41C7" w:rsidRPr="00EF5619">
        <w:rPr>
          <w:rFonts w:ascii="Times New Roman" w:hAnsi="Times New Roman" w:cs="Times New Roman"/>
          <w:sz w:val="24"/>
          <w:szCs w:val="24"/>
        </w:rPr>
        <w:t xml:space="preserve"> </w:t>
      </w:r>
      <w:r w:rsidR="00FC1263" w:rsidRPr="00EF5619">
        <w:rPr>
          <w:rFonts w:ascii="Times New Roman" w:hAnsi="Times New Roman" w:cs="Times New Roman"/>
          <w:sz w:val="24"/>
          <w:szCs w:val="24"/>
        </w:rPr>
        <w:t xml:space="preserve">(SUE) </w:t>
      </w:r>
      <w:r w:rsidR="005B41C7" w:rsidRPr="00EF5619">
        <w:rPr>
          <w:rFonts w:ascii="Times New Roman" w:hAnsi="Times New Roman" w:cs="Times New Roman"/>
          <w:sz w:val="24"/>
          <w:szCs w:val="24"/>
        </w:rPr>
        <w:t>(2) Early Disclosure of Evide</w:t>
      </w:r>
      <w:r w:rsidR="00203F5A" w:rsidRPr="00EF5619">
        <w:rPr>
          <w:rFonts w:ascii="Times New Roman" w:hAnsi="Times New Roman" w:cs="Times New Roman"/>
          <w:sz w:val="24"/>
          <w:szCs w:val="24"/>
        </w:rPr>
        <w:t>nce; or (3) A Control interview.</w:t>
      </w:r>
      <w:r w:rsidR="005B41C7" w:rsidRPr="00EF5619">
        <w:rPr>
          <w:rFonts w:ascii="Times New Roman" w:hAnsi="Times New Roman" w:cs="Times New Roman"/>
          <w:sz w:val="24"/>
          <w:szCs w:val="24"/>
        </w:rPr>
        <w:t xml:space="preserve"> </w:t>
      </w:r>
      <w:r w:rsidR="00943C37" w:rsidRPr="00EF5619">
        <w:rPr>
          <w:rFonts w:ascii="Times New Roman" w:hAnsi="Times New Roman" w:cs="Times New Roman"/>
          <w:sz w:val="24"/>
          <w:szCs w:val="24"/>
        </w:rPr>
        <w:t>S</w:t>
      </w:r>
      <w:r w:rsidR="00FC1263" w:rsidRPr="00EF5619">
        <w:rPr>
          <w:rFonts w:ascii="Times New Roman" w:hAnsi="Times New Roman" w:cs="Times New Roman"/>
          <w:sz w:val="24"/>
          <w:szCs w:val="24"/>
        </w:rPr>
        <w:t>uspects in the SUE condition</w:t>
      </w:r>
      <w:r w:rsidR="00C807D3" w:rsidRPr="00EF5619">
        <w:rPr>
          <w:rFonts w:ascii="Times New Roman" w:hAnsi="Times New Roman" w:cs="Times New Roman"/>
          <w:sz w:val="24"/>
          <w:szCs w:val="24"/>
        </w:rPr>
        <w:t xml:space="preserve"> (vs. other conditions) </w:t>
      </w:r>
      <w:r w:rsidR="004637C8" w:rsidRPr="00EF5619">
        <w:rPr>
          <w:rFonts w:ascii="Times New Roman" w:hAnsi="Times New Roman" w:cs="Times New Roman"/>
          <w:sz w:val="24"/>
          <w:szCs w:val="24"/>
        </w:rPr>
        <w:t>(</w:t>
      </w:r>
      <w:r w:rsidR="00C807D3" w:rsidRPr="00EF5619">
        <w:rPr>
          <w:rFonts w:ascii="Times New Roman" w:hAnsi="Times New Roman" w:cs="Times New Roman"/>
          <w:sz w:val="24"/>
          <w:szCs w:val="24"/>
        </w:rPr>
        <w:t xml:space="preserve">1) </w:t>
      </w:r>
      <w:r w:rsidR="00311E1C" w:rsidRPr="00EF5619">
        <w:rPr>
          <w:rFonts w:ascii="Times New Roman" w:hAnsi="Times New Roman" w:cs="Times New Roman"/>
          <w:sz w:val="24"/>
          <w:szCs w:val="24"/>
        </w:rPr>
        <w:t>had more statement-evidence inconsistencies</w:t>
      </w:r>
      <w:r w:rsidR="00C807D3" w:rsidRPr="00EF5619">
        <w:rPr>
          <w:rFonts w:ascii="Times New Roman" w:hAnsi="Times New Roman" w:cs="Times New Roman"/>
          <w:sz w:val="24"/>
          <w:szCs w:val="24"/>
        </w:rPr>
        <w:t xml:space="preserve">, </w:t>
      </w:r>
      <w:r w:rsidR="004637C8" w:rsidRPr="00EF5619">
        <w:rPr>
          <w:rFonts w:ascii="Times New Roman" w:hAnsi="Times New Roman" w:cs="Times New Roman"/>
          <w:sz w:val="24"/>
          <w:szCs w:val="24"/>
        </w:rPr>
        <w:t>(</w:t>
      </w:r>
      <w:r w:rsidR="00C807D3" w:rsidRPr="00EF5619">
        <w:rPr>
          <w:rFonts w:ascii="Times New Roman" w:hAnsi="Times New Roman" w:cs="Times New Roman"/>
          <w:sz w:val="24"/>
          <w:szCs w:val="24"/>
        </w:rPr>
        <w:t xml:space="preserve">2) </w:t>
      </w:r>
      <w:r w:rsidR="00943C37" w:rsidRPr="00EF5619">
        <w:rPr>
          <w:rFonts w:ascii="Times New Roman" w:hAnsi="Times New Roman" w:cs="Times New Roman"/>
          <w:sz w:val="24"/>
          <w:szCs w:val="24"/>
        </w:rPr>
        <w:t>disclosed more admissions</w:t>
      </w:r>
      <w:r w:rsidR="00C807D3" w:rsidRPr="00EF5619">
        <w:rPr>
          <w:rFonts w:ascii="Times New Roman" w:hAnsi="Times New Roman" w:cs="Times New Roman"/>
          <w:sz w:val="24"/>
          <w:szCs w:val="24"/>
        </w:rPr>
        <w:t xml:space="preserve">, and </w:t>
      </w:r>
      <w:r w:rsidR="004637C8" w:rsidRPr="00EF5619">
        <w:rPr>
          <w:rFonts w:ascii="Times New Roman" w:hAnsi="Times New Roman" w:cs="Times New Roman"/>
          <w:sz w:val="24"/>
          <w:szCs w:val="24"/>
        </w:rPr>
        <w:t>(</w:t>
      </w:r>
      <w:r w:rsidR="00C807D3" w:rsidRPr="00EF5619">
        <w:rPr>
          <w:rFonts w:ascii="Times New Roman" w:hAnsi="Times New Roman" w:cs="Times New Roman"/>
          <w:sz w:val="24"/>
          <w:szCs w:val="24"/>
        </w:rPr>
        <w:t xml:space="preserve">3) </w:t>
      </w:r>
      <w:r w:rsidR="005B41C7" w:rsidRPr="00EF5619">
        <w:rPr>
          <w:rFonts w:ascii="Times New Roman" w:hAnsi="Times New Roman" w:cs="Times New Roman"/>
          <w:sz w:val="24"/>
          <w:szCs w:val="24"/>
        </w:rPr>
        <w:t>perceived the interviewer to have had more informa</w:t>
      </w:r>
      <w:r w:rsidR="007A02B7" w:rsidRPr="00EF5619">
        <w:rPr>
          <w:rFonts w:ascii="Times New Roman" w:hAnsi="Times New Roman" w:cs="Times New Roman"/>
          <w:sz w:val="24"/>
          <w:szCs w:val="24"/>
        </w:rPr>
        <w:t>tion than s/he actually did</w:t>
      </w:r>
      <w:r w:rsidR="005B41C7" w:rsidRPr="00EF5619">
        <w:rPr>
          <w:rFonts w:ascii="Times New Roman" w:hAnsi="Times New Roman" w:cs="Times New Roman"/>
          <w:sz w:val="24"/>
          <w:szCs w:val="24"/>
        </w:rPr>
        <w:t>.</w:t>
      </w:r>
      <w:r w:rsidR="00DB59CC" w:rsidRPr="00EF5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16" w:rsidRPr="00EF5619" w:rsidRDefault="009D7616" w:rsidP="009D761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5619">
        <w:rPr>
          <w:rFonts w:ascii="Times New Roman" w:hAnsi="Times New Roman" w:cs="Times New Roman"/>
          <w:i/>
          <w:sz w:val="24"/>
          <w:szCs w:val="24"/>
        </w:rPr>
        <w:t>Keywords</w:t>
      </w:r>
      <w:r w:rsidRPr="00EF5619">
        <w:rPr>
          <w:rFonts w:ascii="Times New Roman" w:hAnsi="Times New Roman" w:cs="Times New Roman"/>
          <w:sz w:val="24"/>
          <w:szCs w:val="24"/>
        </w:rPr>
        <w:t xml:space="preserve">: strategic interviewing, admissions, counter-interrogation strategies  </w:t>
      </w:r>
    </w:p>
    <w:p w:rsidR="00F67E45" w:rsidRPr="00EF5619" w:rsidRDefault="00F67E45" w:rsidP="005B41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3A4A" w:rsidRPr="00EF5619" w:rsidRDefault="00CF3A4A" w:rsidP="005B41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3A4A" w:rsidRPr="00EF5619" w:rsidRDefault="00CF3A4A" w:rsidP="005B41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3A4A" w:rsidRPr="00EF5619" w:rsidRDefault="00CF3A4A" w:rsidP="005B41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3A4A" w:rsidRPr="00EF5619" w:rsidRDefault="00CF3A4A" w:rsidP="005B41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3A4A" w:rsidRPr="00EF5619" w:rsidRDefault="00CF3A4A" w:rsidP="005B41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3A4A" w:rsidRPr="00EF5619" w:rsidRDefault="00CF3A4A" w:rsidP="005B41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73C1" w:rsidRDefault="00F773C1" w:rsidP="00131A48">
      <w:pPr>
        <w:spacing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01ADC" w:rsidRDefault="00F773C1" w:rsidP="00601AD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DC">
        <w:rPr>
          <w:rFonts w:ascii="Times New Roman" w:hAnsi="Times New Roman" w:cs="Times New Roman"/>
          <w:i/>
          <w:sz w:val="24"/>
          <w:szCs w:val="24"/>
        </w:rPr>
        <w:lastRenderedPageBreak/>
        <w:t>Learning objective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94A02">
        <w:rPr>
          <w:rFonts w:ascii="Times New Roman" w:hAnsi="Times New Roman" w:cs="Times New Roman"/>
          <w:sz w:val="24"/>
          <w:szCs w:val="24"/>
        </w:rPr>
        <w:t xml:space="preserve">attentive </w:t>
      </w:r>
      <w:r>
        <w:rPr>
          <w:rFonts w:ascii="Times New Roman" w:hAnsi="Times New Roman" w:cs="Times New Roman"/>
          <w:sz w:val="24"/>
          <w:szCs w:val="24"/>
        </w:rPr>
        <w:t>audience</w:t>
      </w:r>
      <w:r w:rsidR="00351AB5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C55992">
        <w:rPr>
          <w:rFonts w:ascii="Times New Roman" w:hAnsi="Times New Roman" w:cs="Times New Roman"/>
          <w:sz w:val="24"/>
          <w:szCs w:val="24"/>
        </w:rPr>
        <w:t xml:space="preserve"> be able to</w:t>
      </w:r>
      <w:r w:rsidR="00351AB5">
        <w:rPr>
          <w:rFonts w:ascii="Times New Roman" w:hAnsi="Times New Roman" w:cs="Times New Roman"/>
          <w:sz w:val="24"/>
          <w:szCs w:val="24"/>
        </w:rPr>
        <w:t xml:space="preserve"> account for the </w:t>
      </w:r>
      <w:r w:rsidR="00D3731D">
        <w:rPr>
          <w:rFonts w:ascii="Times New Roman" w:hAnsi="Times New Roman" w:cs="Times New Roman"/>
          <w:sz w:val="24"/>
          <w:szCs w:val="24"/>
        </w:rPr>
        <w:t xml:space="preserve">principles </w:t>
      </w:r>
      <w:r w:rsidR="00351AB5">
        <w:rPr>
          <w:rFonts w:ascii="Times New Roman" w:hAnsi="Times New Roman" w:cs="Times New Roman"/>
          <w:sz w:val="24"/>
          <w:szCs w:val="24"/>
        </w:rPr>
        <w:t>of the</w:t>
      </w:r>
      <w:r w:rsidR="00601ADC">
        <w:rPr>
          <w:rFonts w:ascii="Times New Roman" w:hAnsi="Times New Roman" w:cs="Times New Roman"/>
          <w:sz w:val="24"/>
          <w:szCs w:val="24"/>
        </w:rPr>
        <w:t xml:space="preserve"> </w:t>
      </w:r>
      <w:r w:rsidR="00601ADC">
        <w:rPr>
          <w:rFonts w:ascii="Times New Roman" w:hAnsi="Times New Roman" w:cs="Times New Roman"/>
          <w:sz w:val="24"/>
          <w:szCs w:val="24"/>
        </w:rPr>
        <w:t>Strategic Use of Evidence framework</w:t>
      </w:r>
      <w:r w:rsidR="00C51FAB">
        <w:rPr>
          <w:rFonts w:ascii="Times New Roman" w:hAnsi="Times New Roman" w:cs="Times New Roman"/>
          <w:sz w:val="24"/>
          <w:szCs w:val="24"/>
        </w:rPr>
        <w:t xml:space="preserve"> </w:t>
      </w:r>
      <w:r w:rsidR="00813C0B">
        <w:rPr>
          <w:rFonts w:ascii="Times New Roman" w:hAnsi="Times New Roman" w:cs="Times New Roman"/>
          <w:sz w:val="24"/>
          <w:szCs w:val="24"/>
        </w:rPr>
        <w:t xml:space="preserve">and their utilization in eliciting information </w:t>
      </w:r>
      <w:r w:rsidR="0095487F">
        <w:rPr>
          <w:rFonts w:ascii="Times New Roman" w:hAnsi="Times New Roman" w:cs="Times New Roman"/>
          <w:sz w:val="24"/>
          <w:szCs w:val="24"/>
        </w:rPr>
        <w:t xml:space="preserve">from guilty suspects </w:t>
      </w:r>
    </w:p>
    <w:bookmarkEnd w:id="0"/>
    <w:p w:rsidR="00601ADC" w:rsidRDefault="00601ADC" w:rsidP="00131A48">
      <w:pPr>
        <w:spacing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D5F2C" w:rsidRPr="00DA6AF7" w:rsidRDefault="00CC3D88" w:rsidP="00131A48">
      <w:pPr>
        <w:spacing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A6AF7">
        <w:rPr>
          <w:rFonts w:ascii="Times New Roman" w:hAnsi="Times New Roman" w:cs="Times New Roman"/>
          <w:sz w:val="24"/>
          <w:szCs w:val="24"/>
        </w:rPr>
        <w:t>Suspect interviews should focus on the search for relevant and critical information, such as suspect admissions. Admissions are crime-related facts which provide a basis for inference of guilt or innocence.</w:t>
      </w:r>
      <w:r w:rsidR="00E00CFA" w:rsidRPr="00DA6AF7">
        <w:rPr>
          <w:rFonts w:ascii="Times New Roman" w:hAnsi="Times New Roman" w:cs="Times New Roman"/>
          <w:sz w:val="24"/>
          <w:szCs w:val="24"/>
        </w:rPr>
        <w:t xml:space="preserve"> However r</w:t>
      </w:r>
      <w:r w:rsidR="00132747" w:rsidRPr="00DA6AF7">
        <w:rPr>
          <w:rFonts w:ascii="Times New Roman" w:hAnsi="Times New Roman" w:cs="Times New Roman"/>
          <w:sz w:val="24"/>
          <w:szCs w:val="24"/>
        </w:rPr>
        <w:t>esearch shows that innocent suspects are typically forthcoming with information whereas guilty suspects steer clear of providing self-in</w:t>
      </w:r>
      <w:r w:rsidR="00E35196">
        <w:rPr>
          <w:rFonts w:ascii="Times New Roman" w:hAnsi="Times New Roman" w:cs="Times New Roman"/>
          <w:sz w:val="24"/>
          <w:szCs w:val="24"/>
        </w:rPr>
        <w:t>criminating information</w:t>
      </w:r>
      <w:r w:rsidR="00132747" w:rsidRPr="00DA6AF7">
        <w:rPr>
          <w:rFonts w:ascii="Times New Roman" w:hAnsi="Times New Roman" w:cs="Times New Roman"/>
          <w:sz w:val="24"/>
          <w:szCs w:val="24"/>
        </w:rPr>
        <w:t xml:space="preserve">. This raises the question how to elicit </w:t>
      </w:r>
      <w:r w:rsidR="00817B27" w:rsidRPr="00DA6AF7">
        <w:rPr>
          <w:rFonts w:ascii="Times New Roman" w:hAnsi="Times New Roman" w:cs="Times New Roman"/>
          <w:sz w:val="24"/>
          <w:szCs w:val="24"/>
        </w:rPr>
        <w:t>admissions</w:t>
      </w:r>
      <w:r w:rsidR="00132747" w:rsidRPr="00DA6AF7">
        <w:rPr>
          <w:rFonts w:ascii="Times New Roman" w:hAnsi="Times New Roman" w:cs="Times New Roman"/>
          <w:sz w:val="24"/>
          <w:szCs w:val="24"/>
        </w:rPr>
        <w:t xml:space="preserve"> from guilty suspects who are otherwise inclined to be withholding? To date, very few studies have addressed specific tactics on </w:t>
      </w:r>
      <w:r w:rsidR="00D808D9" w:rsidRPr="00DA6AF7">
        <w:rPr>
          <w:rFonts w:ascii="Times New Roman" w:hAnsi="Times New Roman" w:cs="Times New Roman"/>
          <w:sz w:val="24"/>
          <w:szCs w:val="24"/>
        </w:rPr>
        <w:t>eliciting admissions</w:t>
      </w:r>
      <w:r w:rsidR="00132747" w:rsidRPr="00DA6A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5A2" w:rsidRPr="00DA6AF7" w:rsidRDefault="00BC552E" w:rsidP="00AD5F2C">
      <w:pPr>
        <w:spacing w:line="48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D808D9" w:rsidRPr="00DA6AF7">
        <w:rPr>
          <w:rFonts w:ascii="Times New Roman" w:hAnsi="Times New Roman" w:cs="Times New Roman"/>
          <w:sz w:val="24"/>
          <w:szCs w:val="24"/>
        </w:rPr>
        <w:t xml:space="preserve">urrent study </w:t>
      </w:r>
      <w:r w:rsidR="00CC3D88" w:rsidRPr="00DA6AF7">
        <w:rPr>
          <w:rFonts w:ascii="Times New Roman" w:hAnsi="Times New Roman" w:cs="Times New Roman"/>
          <w:sz w:val="24"/>
          <w:szCs w:val="24"/>
        </w:rPr>
        <w:t>test</w:t>
      </w:r>
      <w:r w:rsidR="00D808D9" w:rsidRPr="00DA6AF7">
        <w:rPr>
          <w:rFonts w:ascii="Times New Roman" w:hAnsi="Times New Roman" w:cs="Times New Roman"/>
          <w:sz w:val="24"/>
          <w:szCs w:val="24"/>
        </w:rPr>
        <w:t>ed</w:t>
      </w:r>
      <w:r w:rsidR="00CC3D88" w:rsidRPr="00DA6AF7">
        <w:rPr>
          <w:rFonts w:ascii="Times New Roman" w:hAnsi="Times New Roman" w:cs="Times New Roman"/>
          <w:sz w:val="24"/>
          <w:szCs w:val="24"/>
        </w:rPr>
        <w:t xml:space="preserve"> a novel approach to elicit admissions from guilty suspects during investigative interviews.</w:t>
      </w:r>
      <w:r w:rsidR="00AD5F2C" w:rsidRPr="00DA6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CD4" w:rsidRPr="00DA6AF7">
        <w:rPr>
          <w:rFonts w:ascii="Times New Roman" w:hAnsi="Times New Roman" w:cs="Times New Roman"/>
          <w:sz w:val="24"/>
          <w:szCs w:val="24"/>
        </w:rPr>
        <w:t xml:space="preserve">This new tactical approach is labelled the SUE-CoIn tactic; as the tactic (a) draws on the SUE framework and (b) aims to alter the suspects’ counter-interrogation strategies by Confronting (Co) them with Inconsistencies (In) obtained by strategic interviewing. </w:t>
      </w:r>
      <w:r w:rsidR="00132747" w:rsidRPr="00DA6AF7">
        <w:rPr>
          <w:rFonts w:ascii="Times New Roman" w:hAnsi="Times New Roman" w:cs="Times New Roman"/>
          <w:sz w:val="24"/>
          <w:szCs w:val="24"/>
        </w:rPr>
        <w:t>The SUE</w:t>
      </w:r>
      <w:r w:rsidR="00A725A2" w:rsidRPr="00DA6AF7">
        <w:rPr>
          <w:rFonts w:ascii="Times New Roman" w:hAnsi="Times New Roman" w:cs="Times New Roman"/>
          <w:sz w:val="24"/>
          <w:szCs w:val="24"/>
        </w:rPr>
        <w:t>-CoIn</w:t>
      </w:r>
      <w:r w:rsidR="00132747" w:rsidRPr="00DA6AF7">
        <w:rPr>
          <w:rFonts w:ascii="Times New Roman" w:hAnsi="Times New Roman" w:cs="Times New Roman"/>
          <w:sz w:val="24"/>
          <w:szCs w:val="24"/>
        </w:rPr>
        <w:t xml:space="preserve"> approach rests on </w:t>
      </w:r>
      <w:r w:rsidR="00A725A2" w:rsidRPr="00DA6AF7">
        <w:rPr>
          <w:rFonts w:ascii="Times New Roman" w:hAnsi="Times New Roman" w:cs="Times New Roman"/>
          <w:sz w:val="24"/>
          <w:szCs w:val="24"/>
        </w:rPr>
        <w:t>three</w:t>
      </w:r>
      <w:r w:rsidR="00132747" w:rsidRPr="00DA6AF7">
        <w:rPr>
          <w:rFonts w:ascii="Times New Roman" w:hAnsi="Times New Roman" w:cs="Times New Roman"/>
          <w:sz w:val="24"/>
          <w:szCs w:val="24"/>
        </w:rPr>
        <w:t xml:space="preserve"> basic assumptions: </w:t>
      </w:r>
      <w:r w:rsidR="00A725A2" w:rsidRPr="00DA6AF7">
        <w:rPr>
          <w:rFonts w:ascii="Times New Roman" w:hAnsi="Times New Roman" w:cs="Times New Roman"/>
          <w:sz w:val="24"/>
          <w:szCs w:val="24"/>
        </w:rPr>
        <w:t xml:space="preserve">(1) suspects’ perception of how much evidence the interviewer holds is malleable, (2) suspects’ perception of the evidence affects their counter-interrogation strategies and (3) the counter-interrogation strategies affect what the suspects reveal or conceal during the interview. </w:t>
      </w:r>
    </w:p>
    <w:p w:rsidR="00D96657" w:rsidRPr="00DA6AF7" w:rsidRDefault="00D96657" w:rsidP="00B5640F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A6AF7">
        <w:rPr>
          <w:rFonts w:ascii="Times New Roman" w:hAnsi="Times New Roman" w:cs="Times New Roman"/>
          <w:sz w:val="24"/>
          <w:szCs w:val="24"/>
        </w:rPr>
        <w:t xml:space="preserve">By interviewing in line with the SUE-technique (i.e., asking open-ended questions before disclosing the evidence) the interviewer aimed to obtain statement-evidence inconsistencies for the phases </w:t>
      </w:r>
      <w:r w:rsidR="008D6E2E" w:rsidRPr="00DA6AF7">
        <w:rPr>
          <w:rFonts w:ascii="Times New Roman" w:hAnsi="Times New Roman" w:cs="Times New Roman"/>
          <w:sz w:val="24"/>
          <w:szCs w:val="24"/>
        </w:rPr>
        <w:t>of the</w:t>
      </w:r>
      <w:r w:rsidR="00CF0FC3" w:rsidRPr="00DA6AF7">
        <w:rPr>
          <w:rFonts w:ascii="Times New Roman" w:hAnsi="Times New Roman" w:cs="Times New Roman"/>
          <w:sz w:val="24"/>
          <w:szCs w:val="24"/>
        </w:rPr>
        <w:t xml:space="preserve"> crime s</w:t>
      </w:r>
      <w:r w:rsidRPr="00DA6AF7">
        <w:rPr>
          <w:rFonts w:ascii="Times New Roman" w:hAnsi="Times New Roman" w:cs="Times New Roman"/>
          <w:sz w:val="24"/>
          <w:szCs w:val="24"/>
        </w:rPr>
        <w:t xml:space="preserve">/he has evidence on—since the guilty </w:t>
      </w:r>
      <w:r w:rsidR="002830EE">
        <w:rPr>
          <w:rFonts w:ascii="Times New Roman" w:hAnsi="Times New Roman" w:cs="Times New Roman"/>
          <w:sz w:val="24"/>
          <w:szCs w:val="24"/>
        </w:rPr>
        <w:t>suspect was</w:t>
      </w:r>
      <w:r w:rsidRPr="00DA6AF7">
        <w:rPr>
          <w:rFonts w:ascii="Times New Roman" w:hAnsi="Times New Roman" w:cs="Times New Roman"/>
          <w:sz w:val="24"/>
          <w:szCs w:val="24"/>
        </w:rPr>
        <w:t xml:space="preserve"> assumed to use withholding strategies. In the next instance, the interviewer confronted the suspect with these </w:t>
      </w:r>
      <w:r w:rsidRPr="00DA6AF7">
        <w:rPr>
          <w:rFonts w:ascii="Times New Roman" w:hAnsi="Times New Roman" w:cs="Times New Roman"/>
          <w:sz w:val="24"/>
          <w:szCs w:val="24"/>
        </w:rPr>
        <w:lastRenderedPageBreak/>
        <w:t>inconsistencies in order to affect his/her perception of the evidence. In turn, the change of perception was assumed to result in a shift in the suspect’s counter-interrogation strategy from a withholding to a more forthcoming strategy. Finally, the interviewer turned to the critical phase</w:t>
      </w:r>
      <w:r w:rsidR="00E4727E" w:rsidRPr="00DA6AF7">
        <w:rPr>
          <w:rFonts w:ascii="Times New Roman" w:hAnsi="Times New Roman" w:cs="Times New Roman"/>
          <w:sz w:val="24"/>
          <w:szCs w:val="24"/>
        </w:rPr>
        <w:t xml:space="preserve"> of the crime</w:t>
      </w:r>
      <w:r w:rsidRPr="00DA6AF7">
        <w:rPr>
          <w:rFonts w:ascii="Times New Roman" w:hAnsi="Times New Roman" w:cs="Times New Roman"/>
          <w:sz w:val="24"/>
          <w:szCs w:val="24"/>
        </w:rPr>
        <w:t xml:space="preserve"> (about which s/he has no evidence). The assumption was that the suspect’s more forthcoming strategy </w:t>
      </w:r>
      <w:r w:rsidR="00BC0A42" w:rsidRPr="00DA6AF7">
        <w:rPr>
          <w:rFonts w:ascii="Times New Roman" w:hAnsi="Times New Roman" w:cs="Times New Roman"/>
          <w:sz w:val="24"/>
          <w:szCs w:val="24"/>
        </w:rPr>
        <w:t>would</w:t>
      </w:r>
      <w:r w:rsidRPr="00DA6AF7">
        <w:rPr>
          <w:rFonts w:ascii="Times New Roman" w:hAnsi="Times New Roman" w:cs="Times New Roman"/>
          <w:sz w:val="24"/>
          <w:szCs w:val="24"/>
        </w:rPr>
        <w:t xml:space="preserve"> result in admissions. </w:t>
      </w:r>
    </w:p>
    <w:p w:rsidR="00F111D3" w:rsidRPr="00DA6AF7" w:rsidRDefault="00F111D3" w:rsidP="00B5640F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AF7">
        <w:rPr>
          <w:rFonts w:ascii="Times New Roman" w:hAnsi="Times New Roman" w:cs="Times New Roman"/>
          <w:sz w:val="24"/>
          <w:szCs w:val="24"/>
        </w:rPr>
        <w:t>A total of 9</w:t>
      </w:r>
      <w:r w:rsidR="00132747" w:rsidRPr="00DA6AF7">
        <w:rPr>
          <w:rFonts w:ascii="Times New Roman" w:hAnsi="Times New Roman" w:cs="Times New Roman"/>
          <w:sz w:val="24"/>
          <w:szCs w:val="24"/>
        </w:rPr>
        <w:t xml:space="preserve">0 adults participated in the study. </w:t>
      </w:r>
      <w:r w:rsidR="008A2478" w:rsidRPr="00DA6AF7">
        <w:rPr>
          <w:rFonts w:ascii="Times New Roman" w:hAnsi="Times New Roman" w:cs="Times New Roman"/>
          <w:sz w:val="24"/>
          <w:szCs w:val="24"/>
        </w:rPr>
        <w:t>A between-</w:t>
      </w:r>
      <w:r w:rsidRPr="00DA6AF7">
        <w:rPr>
          <w:rFonts w:ascii="Times New Roman" w:hAnsi="Times New Roman" w:cs="Times New Roman"/>
          <w:sz w:val="24"/>
          <w:szCs w:val="24"/>
        </w:rPr>
        <w:t>subjects design was employed</w:t>
      </w:r>
      <w:r w:rsidR="000631D1" w:rsidRPr="00DA6AF7">
        <w:rPr>
          <w:rFonts w:ascii="Times New Roman" w:hAnsi="Times New Roman" w:cs="Times New Roman"/>
          <w:sz w:val="24"/>
          <w:szCs w:val="24"/>
        </w:rPr>
        <w:t>. The independent variable was the interview style: SUE-CoIn interview, Early Disclosure interview and Control interview</w:t>
      </w:r>
      <w:r w:rsidR="008A2478" w:rsidRPr="00DA6AF7">
        <w:rPr>
          <w:rFonts w:ascii="Times New Roman" w:hAnsi="Times New Roman" w:cs="Times New Roman"/>
          <w:sz w:val="24"/>
          <w:szCs w:val="24"/>
        </w:rPr>
        <w:t xml:space="preserve"> (no disclosure of evidence)</w:t>
      </w:r>
      <w:r w:rsidR="000631D1" w:rsidRPr="00DA6AF7">
        <w:rPr>
          <w:rFonts w:ascii="Times New Roman" w:hAnsi="Times New Roman" w:cs="Times New Roman"/>
          <w:sz w:val="24"/>
          <w:szCs w:val="24"/>
        </w:rPr>
        <w:t xml:space="preserve">. The dependent variables were objective analyses of suspects’ verbal behavior (statement-evidence inconsistencies and admissions) and suspects’ subjective ratings of their perceptions of the evidence. </w:t>
      </w:r>
    </w:p>
    <w:p w:rsidR="008B15AE" w:rsidRPr="00DA6AF7" w:rsidRDefault="008B15AE" w:rsidP="00C85A1C">
      <w:pPr>
        <w:spacing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A6AF7">
        <w:rPr>
          <w:rFonts w:ascii="Times New Roman" w:hAnsi="Times New Roman" w:cs="Times New Roman"/>
          <w:sz w:val="24"/>
          <w:szCs w:val="24"/>
        </w:rPr>
        <w:t xml:space="preserve">Participants were instructed to imagine themselves as a dedicated member of an activist group. They were to undertake a secret mission as part of a larger operation which was to sabotage a company infamous for harmful animal testing. The mission comprised of three phases, each with a different theme. After performing the tasks participants </w:t>
      </w:r>
      <w:r w:rsidR="00C85A1C" w:rsidRPr="00DA6AF7">
        <w:rPr>
          <w:rFonts w:ascii="Times New Roman" w:hAnsi="Times New Roman" w:cs="Times New Roman"/>
          <w:sz w:val="24"/>
          <w:szCs w:val="24"/>
        </w:rPr>
        <w:t xml:space="preserve">were interviewed by one of the three interview techniques. </w:t>
      </w:r>
      <w:r w:rsidRPr="00DA6AF7">
        <w:rPr>
          <w:rFonts w:ascii="Times New Roman" w:hAnsi="Times New Roman" w:cs="Times New Roman"/>
          <w:sz w:val="24"/>
          <w:szCs w:val="24"/>
        </w:rPr>
        <w:t xml:space="preserve">Their mission was to convince the </w:t>
      </w:r>
      <w:r w:rsidR="00C85A1C" w:rsidRPr="00DA6AF7">
        <w:rPr>
          <w:rFonts w:ascii="Times New Roman" w:hAnsi="Times New Roman" w:cs="Times New Roman"/>
          <w:sz w:val="24"/>
          <w:szCs w:val="24"/>
        </w:rPr>
        <w:t xml:space="preserve">interviewer of their innocence. </w:t>
      </w:r>
      <w:r w:rsidR="00132747" w:rsidRPr="00DA6AF7">
        <w:rPr>
          <w:rFonts w:ascii="Times New Roman" w:hAnsi="Times New Roman" w:cs="Times New Roman"/>
          <w:sz w:val="24"/>
          <w:szCs w:val="24"/>
        </w:rPr>
        <w:t>The interviewer supposedly he</w:t>
      </w:r>
      <w:r w:rsidR="00E16466" w:rsidRPr="00DA6AF7">
        <w:rPr>
          <w:rFonts w:ascii="Times New Roman" w:hAnsi="Times New Roman" w:cs="Times New Roman"/>
          <w:sz w:val="24"/>
          <w:szCs w:val="24"/>
        </w:rPr>
        <w:t>ld evidence for two</w:t>
      </w:r>
      <w:r w:rsidR="00132747" w:rsidRPr="00DA6AF7">
        <w:rPr>
          <w:rFonts w:ascii="Times New Roman" w:hAnsi="Times New Roman" w:cs="Times New Roman"/>
          <w:sz w:val="24"/>
          <w:szCs w:val="24"/>
        </w:rPr>
        <w:t xml:space="preserve"> phases</w:t>
      </w:r>
      <w:r w:rsidR="00E16466" w:rsidRPr="00DA6AF7">
        <w:rPr>
          <w:rFonts w:ascii="Times New Roman" w:hAnsi="Times New Roman" w:cs="Times New Roman"/>
          <w:sz w:val="24"/>
          <w:szCs w:val="24"/>
        </w:rPr>
        <w:t xml:space="preserve"> (Phase 1 and 2)</w:t>
      </w:r>
      <w:r w:rsidR="00132747" w:rsidRPr="00DA6AF7">
        <w:rPr>
          <w:rFonts w:ascii="Times New Roman" w:hAnsi="Times New Roman" w:cs="Times New Roman"/>
          <w:sz w:val="24"/>
          <w:szCs w:val="24"/>
        </w:rPr>
        <w:t xml:space="preserve"> whereas he/she lacked information in one phase (i.e., the critical phase). </w:t>
      </w:r>
    </w:p>
    <w:p w:rsidR="006D15D8" w:rsidRPr="00DA6AF7" w:rsidRDefault="00951289" w:rsidP="00131A4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predicted, t</w:t>
      </w:r>
      <w:r w:rsidR="006D15D8" w:rsidRPr="00DA6AF7">
        <w:rPr>
          <w:rFonts w:ascii="Times New Roman" w:hAnsi="Times New Roman" w:cs="Times New Roman"/>
          <w:sz w:val="24"/>
          <w:szCs w:val="24"/>
        </w:rPr>
        <w:t>he suspects in the SUE-CoIn condition (</w:t>
      </w:r>
      <w:r w:rsidR="006D15D8" w:rsidRPr="00DA6AF7">
        <w:rPr>
          <w:rFonts w:ascii="Times New Roman" w:hAnsi="Times New Roman" w:cs="Times New Roman"/>
          <w:i/>
          <w:sz w:val="24"/>
          <w:szCs w:val="24"/>
        </w:rPr>
        <w:t>M</w:t>
      </w:r>
      <w:r w:rsidR="006D15D8" w:rsidRPr="00DA6AF7">
        <w:rPr>
          <w:rFonts w:ascii="Times New Roman" w:hAnsi="Times New Roman" w:cs="Times New Roman"/>
          <w:sz w:val="24"/>
          <w:szCs w:val="24"/>
        </w:rPr>
        <w:t xml:space="preserve"> = 3.63, </w:t>
      </w:r>
      <w:r w:rsidR="006D15D8" w:rsidRPr="00DA6AF7">
        <w:rPr>
          <w:rFonts w:ascii="Times New Roman" w:hAnsi="Times New Roman" w:cs="Times New Roman"/>
          <w:i/>
          <w:sz w:val="24"/>
          <w:szCs w:val="24"/>
        </w:rPr>
        <w:t>SD</w:t>
      </w:r>
      <w:r w:rsidR="006D15D8" w:rsidRPr="00DA6AF7">
        <w:rPr>
          <w:rFonts w:ascii="Times New Roman" w:hAnsi="Times New Roman" w:cs="Times New Roman"/>
          <w:sz w:val="24"/>
          <w:szCs w:val="24"/>
        </w:rPr>
        <w:t xml:space="preserve"> = 1.61) produced more statement-evidence inconsistencies than the suspects in the Early </w:t>
      </w:r>
      <w:r w:rsidR="006D15D8" w:rsidRPr="00DA6A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Disclosure condition </w:t>
      </w:r>
      <w:r w:rsidR="006D15D8" w:rsidRPr="00DA6AF7">
        <w:rPr>
          <w:rFonts w:ascii="Times New Roman" w:hAnsi="Times New Roman" w:cs="Times New Roman"/>
          <w:sz w:val="24"/>
          <w:szCs w:val="24"/>
        </w:rPr>
        <w:t>(</w:t>
      </w:r>
      <w:r w:rsidR="006D15D8" w:rsidRPr="00DA6AF7">
        <w:rPr>
          <w:rFonts w:ascii="Times New Roman" w:hAnsi="Times New Roman" w:cs="Times New Roman"/>
          <w:i/>
          <w:sz w:val="24"/>
          <w:szCs w:val="24"/>
        </w:rPr>
        <w:t>M</w:t>
      </w:r>
      <w:r w:rsidR="006D15D8" w:rsidRPr="00DA6AF7">
        <w:rPr>
          <w:rFonts w:ascii="Times New Roman" w:hAnsi="Times New Roman" w:cs="Times New Roman"/>
          <w:sz w:val="24"/>
          <w:szCs w:val="24"/>
        </w:rPr>
        <w:t xml:space="preserve"> = 0.77, </w:t>
      </w:r>
      <w:r w:rsidR="006D15D8" w:rsidRPr="00DA6AF7">
        <w:rPr>
          <w:rFonts w:ascii="Times New Roman" w:hAnsi="Times New Roman" w:cs="Times New Roman"/>
          <w:i/>
          <w:sz w:val="24"/>
          <w:szCs w:val="24"/>
        </w:rPr>
        <w:t>SD</w:t>
      </w:r>
      <w:r w:rsidR="006D15D8" w:rsidRPr="00DA6AF7">
        <w:rPr>
          <w:rFonts w:ascii="Times New Roman" w:hAnsi="Times New Roman" w:cs="Times New Roman"/>
          <w:sz w:val="24"/>
          <w:szCs w:val="24"/>
        </w:rPr>
        <w:t xml:space="preserve"> = 1.41), </w:t>
      </w:r>
      <w:proofErr w:type="gramStart"/>
      <w:r w:rsidR="006D15D8" w:rsidRPr="00DA6AF7">
        <w:rPr>
          <w:rFonts w:ascii="Times New Roman" w:hAnsi="Times New Roman" w:cs="Times New Roman"/>
          <w:i/>
          <w:sz w:val="24"/>
          <w:szCs w:val="24"/>
        </w:rPr>
        <w:t>t</w:t>
      </w:r>
      <w:r w:rsidR="006D15D8" w:rsidRPr="00DA6A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15D8" w:rsidRPr="00DA6AF7">
        <w:rPr>
          <w:rFonts w:ascii="Times New Roman" w:hAnsi="Times New Roman" w:cs="Times New Roman"/>
          <w:sz w:val="24"/>
          <w:szCs w:val="24"/>
        </w:rPr>
        <w:t xml:space="preserve">58) = 7.35, </w:t>
      </w:r>
      <w:r w:rsidR="006D15D8" w:rsidRPr="00DA6AF7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6D15D8" w:rsidRPr="00DA6AF7">
        <w:rPr>
          <w:rFonts w:ascii="Times New Roman" w:hAnsi="Times New Roman" w:cs="Times New Roman"/>
          <w:sz w:val="24"/>
          <w:szCs w:val="24"/>
        </w:rPr>
        <w:t xml:space="preserve">&lt; .001, </w:t>
      </w:r>
      <w:r w:rsidR="006D15D8" w:rsidRPr="00DA6AF7">
        <w:rPr>
          <w:rFonts w:ascii="Times New Roman" w:hAnsi="Times New Roman" w:cs="Times New Roman"/>
          <w:i/>
          <w:sz w:val="24"/>
          <w:szCs w:val="24"/>
        </w:rPr>
        <w:t>r</w:t>
      </w:r>
      <w:r w:rsidR="006D15D8" w:rsidRPr="00DA6AF7">
        <w:rPr>
          <w:rFonts w:ascii="Times New Roman" w:hAnsi="Times New Roman" w:cs="Times New Roman"/>
          <w:sz w:val="24"/>
          <w:szCs w:val="24"/>
        </w:rPr>
        <w:t xml:space="preserve"> = .68, 95% CI [.51, .79].  </w:t>
      </w:r>
    </w:p>
    <w:p w:rsidR="009E3563" w:rsidRDefault="00950050" w:rsidP="00FB2CDF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As expected, a</w:t>
      </w:r>
      <w:r w:rsidR="006D15D8" w:rsidRPr="00DA6AF7">
        <w:rPr>
          <w:rFonts w:ascii="Times New Roman" w:hAnsi="Times New Roman" w:cs="Times New Roman"/>
          <w:sz w:val="24"/>
          <w:szCs w:val="24"/>
        </w:rPr>
        <w:t xml:space="preserve"> one-way ANOVA revealed a significant main effect of interview condition on the level of admissions, </w:t>
      </w:r>
      <w:proofErr w:type="gramStart"/>
      <w:r w:rsidR="006D15D8" w:rsidRPr="00DA6AF7">
        <w:rPr>
          <w:rFonts w:ascii="Times New Roman" w:hAnsi="Times New Roman" w:cs="Times New Roman"/>
          <w:i/>
          <w:sz w:val="24"/>
          <w:szCs w:val="24"/>
        </w:rPr>
        <w:t>F</w:t>
      </w:r>
      <w:r w:rsidR="006D15D8" w:rsidRPr="00DA6A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15D8" w:rsidRPr="00DA6AF7">
        <w:rPr>
          <w:rFonts w:ascii="Times New Roman" w:hAnsi="Times New Roman" w:cs="Times New Roman"/>
          <w:sz w:val="24"/>
          <w:szCs w:val="24"/>
        </w:rPr>
        <w:t xml:space="preserve">2, 87) = 4.74, </w:t>
      </w:r>
      <w:r w:rsidR="006D15D8" w:rsidRPr="00DA6AF7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6D15D8" w:rsidRPr="00DA6AF7">
        <w:rPr>
          <w:rFonts w:ascii="Times New Roman" w:hAnsi="Times New Roman" w:cs="Times New Roman"/>
          <w:sz w:val="24"/>
          <w:szCs w:val="24"/>
        </w:rPr>
        <w:t xml:space="preserve">= .011, </w:t>
      </w:r>
      <w:r w:rsidR="006D15D8"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 = </w:t>
      </w:r>
      <w:r w:rsidR="006D15D8"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>.31, 95% CI [.11, .49]. Planned contrasts showed that the SUE-CoIn condition (</w:t>
      </w:r>
      <w:r w:rsidR="006D15D8"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</w:t>
      </w:r>
      <w:r w:rsidR="006D15D8"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3.72, </w:t>
      </w:r>
      <w:r w:rsidR="006D15D8"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SD</w:t>
      </w:r>
      <w:r w:rsidR="006D15D8"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2.79) resulted in more </w:t>
      </w:r>
      <w:r w:rsidR="006D15D8"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admissions compared to the Early Disclosure and Control conditions, </w:t>
      </w:r>
      <w:proofErr w:type="gramStart"/>
      <w:r w:rsidR="006D15D8"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="006D15D8"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6D15D8"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87) = 1.99, </w:t>
      </w:r>
      <w:r w:rsidR="006D15D8"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6D15D8"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.050, </w:t>
      </w:r>
      <w:r w:rsidR="006D15D8"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</w:t>
      </w:r>
      <w:r w:rsidR="006D15D8"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.21, 95% CI [.003, .40]. </w:t>
      </w:r>
    </w:p>
    <w:p w:rsidR="006D15D8" w:rsidRPr="00DA6AF7" w:rsidRDefault="00EF5619" w:rsidP="00FB2CDF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A6AF7">
        <w:rPr>
          <w:rFonts w:ascii="Times New Roman" w:hAnsi="Times New Roman" w:cs="Times New Roman"/>
          <w:sz w:val="24"/>
          <w:szCs w:val="24"/>
        </w:rPr>
        <w:t xml:space="preserve">As many as 90% (n = 27) of the suspects </w:t>
      </w:r>
      <w:r w:rsidR="008A19E2" w:rsidRPr="00DA6AF7">
        <w:rPr>
          <w:rFonts w:ascii="Times New Roman" w:hAnsi="Times New Roman" w:cs="Times New Roman"/>
          <w:sz w:val="24"/>
          <w:szCs w:val="24"/>
        </w:rPr>
        <w:t xml:space="preserve">in the SUE-CoIn condition </w:t>
      </w:r>
      <w:r w:rsidRPr="00DA6AF7">
        <w:rPr>
          <w:rFonts w:ascii="Times New Roman" w:hAnsi="Times New Roman" w:cs="Times New Roman"/>
          <w:sz w:val="24"/>
          <w:szCs w:val="24"/>
        </w:rPr>
        <w:t>used a withholding strateg</w:t>
      </w:r>
      <w:r w:rsidR="004B05AD" w:rsidRPr="00DA6AF7">
        <w:rPr>
          <w:rFonts w:ascii="Times New Roman" w:hAnsi="Times New Roman" w:cs="Times New Roman"/>
          <w:sz w:val="24"/>
          <w:szCs w:val="24"/>
        </w:rPr>
        <w:t>y at the onset of the interview.</w:t>
      </w:r>
      <w:r w:rsidRPr="00DA6AF7">
        <w:rPr>
          <w:rFonts w:ascii="Times New Roman" w:hAnsi="Times New Roman" w:cs="Times New Roman"/>
          <w:sz w:val="24"/>
          <w:szCs w:val="24"/>
        </w:rPr>
        <w:t xml:space="preserve"> About half of those suspects (n = 12, 44%) then switched to a more forthcoming strategy, either after being confronted with inconsistencies in Phase 1 (n = 7) or in Phase 2 (n = 5) of the interview. Noteworthy, 37% (n = 10) used a withholding strategy from the beginning to the end of the interview, and 18% (n= 5) started off using a withholding strategy, then turned more forthcoming in Phase 2 and, finally became more withholding in Phase 3. In sum, on a group level the suspects in the SUE-CoIn condition demonstrated a bimodal trend with respect to admissions for the critical phase. That is, half of the suspects in this condition became forthcoming, whereas the rest remained withholding.</w:t>
      </w:r>
    </w:p>
    <w:p w:rsidR="006D15D8" w:rsidRPr="00DA6AF7" w:rsidRDefault="00EF5619" w:rsidP="00CC2173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A6AF7">
        <w:rPr>
          <w:rFonts w:ascii="Times New Roman" w:hAnsi="Times New Roman" w:cs="Times New Roman"/>
          <w:sz w:val="24"/>
          <w:szCs w:val="24"/>
        </w:rPr>
        <w:t xml:space="preserve">In the post-interview questionnaire, the participants were required to think back to the interview and rate how much information they believed the interviewer had about the critical phase right before s/he posed questions about this particular phase. A one-way ANOVA showed that the suspects’ perception of the evidence differed across conditions, </w:t>
      </w:r>
      <w:proofErr w:type="gramStart"/>
      <w:r w:rsidRPr="00DA6AF7">
        <w:rPr>
          <w:rFonts w:ascii="Times New Roman" w:hAnsi="Times New Roman" w:cs="Times New Roman"/>
          <w:i/>
          <w:sz w:val="24"/>
          <w:szCs w:val="24"/>
        </w:rPr>
        <w:t>F</w:t>
      </w:r>
      <w:r w:rsidRPr="00DA6A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6AF7">
        <w:rPr>
          <w:rFonts w:ascii="Times New Roman" w:hAnsi="Times New Roman" w:cs="Times New Roman"/>
          <w:sz w:val="24"/>
          <w:szCs w:val="24"/>
        </w:rPr>
        <w:t xml:space="preserve">2, 87) = 3.66, </w:t>
      </w:r>
      <w:r w:rsidRPr="00DA6AF7">
        <w:rPr>
          <w:rFonts w:ascii="Times New Roman" w:hAnsi="Times New Roman" w:cs="Times New Roman"/>
          <w:i/>
          <w:sz w:val="24"/>
          <w:szCs w:val="24"/>
        </w:rPr>
        <w:t>p</w:t>
      </w:r>
      <w:r w:rsidRPr="00DA6AF7">
        <w:rPr>
          <w:rFonts w:ascii="Times New Roman" w:hAnsi="Times New Roman" w:cs="Times New Roman"/>
          <w:sz w:val="24"/>
          <w:szCs w:val="24"/>
        </w:rPr>
        <w:t xml:space="preserve"> = .03, </w:t>
      </w:r>
      <w:r w:rsidRPr="00DA6AF7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 .28, 95% CI [.07, .46]. Planned contrasts revealed that the </w:t>
      </w:r>
      <w:r w:rsidRPr="00DA6AF7">
        <w:rPr>
          <w:rFonts w:ascii="Times New Roman" w:hAnsi="Times New Roman" w:cs="Times New Roman"/>
          <w:sz w:val="24"/>
          <w:szCs w:val="24"/>
        </w:rPr>
        <w:t xml:space="preserve">suspects in the </w:t>
      </w:r>
      <w:r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>SUE-CoIn condition (</w:t>
      </w:r>
      <w:r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</w:t>
      </w:r>
      <w:r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4.50, </w:t>
      </w:r>
      <w:r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SD</w:t>
      </w:r>
      <w:r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 1.83) perceived the interviewer as having more information about the critical phase than the </w:t>
      </w:r>
      <w:r w:rsidRPr="00DA6AF7">
        <w:rPr>
          <w:rFonts w:ascii="Times New Roman" w:hAnsi="Times New Roman" w:cs="Times New Roman"/>
          <w:sz w:val="24"/>
          <w:szCs w:val="24"/>
        </w:rPr>
        <w:t xml:space="preserve">suspects interviewed with </w:t>
      </w:r>
      <w:r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Early Disclosure and the Control interviews, </w:t>
      </w:r>
      <w:r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(87) = 2.43, </w:t>
      </w:r>
      <w:r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.017, </w:t>
      </w:r>
      <w:r w:rsidRPr="00DA6A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 = </w:t>
      </w:r>
      <w:r w:rsidRPr="00DA6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.25, 95% CI [.04, .43]. </w:t>
      </w:r>
    </w:p>
    <w:p w:rsidR="00EF5619" w:rsidRPr="00DA6AF7" w:rsidRDefault="00EF5619" w:rsidP="00DE585E">
      <w:pPr>
        <w:widowControl w:val="0"/>
        <w:autoSpaceDE w:val="0"/>
        <w:autoSpaceDN w:val="0"/>
        <w:adjustRightInd w:val="0"/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A6AF7">
        <w:rPr>
          <w:rFonts w:ascii="Times New Roman" w:hAnsi="Times New Roman" w:cs="Times New Roman"/>
          <w:sz w:val="24"/>
          <w:szCs w:val="24"/>
        </w:rPr>
        <w:t>By using</w:t>
      </w:r>
      <w:r w:rsidR="000E195E">
        <w:rPr>
          <w:rFonts w:ascii="Times New Roman" w:hAnsi="Times New Roman" w:cs="Times New Roman"/>
          <w:sz w:val="24"/>
          <w:szCs w:val="24"/>
        </w:rPr>
        <w:t xml:space="preserve"> the SUE-CoIn tactic</w:t>
      </w:r>
      <w:r w:rsidRPr="00DA6AF7">
        <w:rPr>
          <w:rFonts w:ascii="Times New Roman" w:hAnsi="Times New Roman" w:cs="Times New Roman"/>
          <w:sz w:val="24"/>
          <w:szCs w:val="24"/>
        </w:rPr>
        <w:t xml:space="preserve"> three goals</w:t>
      </w:r>
      <w:r w:rsidR="000E195E">
        <w:rPr>
          <w:rFonts w:ascii="Times New Roman" w:hAnsi="Times New Roman" w:cs="Times New Roman"/>
          <w:sz w:val="24"/>
          <w:szCs w:val="24"/>
        </w:rPr>
        <w:t xml:space="preserve"> were achieved</w:t>
      </w:r>
      <w:r w:rsidRPr="00DA6AF7">
        <w:rPr>
          <w:rFonts w:ascii="Times New Roman" w:hAnsi="Times New Roman" w:cs="Times New Roman"/>
          <w:sz w:val="24"/>
          <w:szCs w:val="24"/>
        </w:rPr>
        <w:t xml:space="preserve">: the interviewer (1) elicited cues to deceit (statement-evidence inconsistencies); (2) used these cues to affect the suspects’ perception of the evidence; and (3) elicited admissions in the critical phase. </w:t>
      </w:r>
      <w:r w:rsidR="00DE585E">
        <w:rPr>
          <w:rFonts w:ascii="Times New Roman" w:hAnsi="Times New Roman" w:cs="Times New Roman"/>
          <w:sz w:val="24"/>
          <w:szCs w:val="24"/>
        </w:rPr>
        <w:t>W</w:t>
      </w:r>
      <w:r w:rsidR="00DE585E" w:rsidRPr="00660983">
        <w:rPr>
          <w:rFonts w:ascii="Times New Roman" w:hAnsi="Times New Roman" w:cs="Times New Roman"/>
          <w:sz w:val="24"/>
          <w:szCs w:val="24"/>
        </w:rPr>
        <w:t xml:space="preserve">e provided evidence showing that with the SUE framework, it is possible to accomplish multiple goals in an </w:t>
      </w:r>
      <w:r w:rsidR="00DE585E" w:rsidRPr="00660983">
        <w:rPr>
          <w:rFonts w:ascii="Times New Roman" w:hAnsi="Times New Roman" w:cs="Times New Roman"/>
          <w:sz w:val="24"/>
          <w:szCs w:val="24"/>
        </w:rPr>
        <w:lastRenderedPageBreak/>
        <w:t>interview. It led to cues to deceit and to admissions, both of which are interview outcomes of great value to prosecutors when building strong cases regarding a suspect’s possible involvement in a crime.</w:t>
      </w:r>
      <w:r w:rsidR="00DE585E">
        <w:rPr>
          <w:rFonts w:ascii="Times New Roman" w:hAnsi="Times New Roman" w:cs="Times New Roman"/>
          <w:sz w:val="24"/>
          <w:szCs w:val="24"/>
        </w:rPr>
        <w:t xml:space="preserve"> </w:t>
      </w:r>
      <w:r w:rsidR="0069561D" w:rsidRPr="00DA6AF7">
        <w:rPr>
          <w:rFonts w:ascii="Times New Roman" w:hAnsi="Times New Roman" w:cs="Times New Roman"/>
          <w:sz w:val="24"/>
          <w:szCs w:val="24"/>
        </w:rPr>
        <w:t>Furthermore, w</w:t>
      </w:r>
      <w:r w:rsidRPr="00DA6AF7">
        <w:rPr>
          <w:rFonts w:ascii="Times New Roman" w:hAnsi="Times New Roman" w:cs="Times New Roman"/>
          <w:sz w:val="24"/>
          <w:szCs w:val="24"/>
        </w:rPr>
        <w:t xml:space="preserve">e demonstrated that strategic interviewing has the potential to </w:t>
      </w:r>
      <w:r w:rsidR="001415F4">
        <w:rPr>
          <w:rFonts w:ascii="Times New Roman" w:hAnsi="Times New Roman" w:cs="Times New Roman"/>
          <w:sz w:val="24"/>
          <w:szCs w:val="24"/>
        </w:rPr>
        <w:t>encourage</w:t>
      </w:r>
      <w:r w:rsidRPr="00DA6AF7">
        <w:rPr>
          <w:rFonts w:ascii="Times New Roman" w:hAnsi="Times New Roman" w:cs="Times New Roman"/>
          <w:sz w:val="24"/>
          <w:szCs w:val="24"/>
        </w:rPr>
        <w:t xml:space="preserve"> suspects</w:t>
      </w:r>
      <w:r w:rsidR="001415F4">
        <w:rPr>
          <w:rFonts w:ascii="Times New Roman" w:hAnsi="Times New Roman" w:cs="Times New Roman"/>
          <w:sz w:val="24"/>
          <w:szCs w:val="24"/>
        </w:rPr>
        <w:t xml:space="preserve"> to</w:t>
      </w:r>
      <w:r w:rsidRPr="00DA6AF7">
        <w:rPr>
          <w:rFonts w:ascii="Times New Roman" w:hAnsi="Times New Roman" w:cs="Times New Roman"/>
          <w:sz w:val="24"/>
          <w:szCs w:val="24"/>
        </w:rPr>
        <w:t xml:space="preserve"> alter their strategy and become forthcoming. However, more research is needed to understand why some suspects change their initial strategies while others do not.</w:t>
      </w:r>
    </w:p>
    <w:p w:rsidR="00EF5619" w:rsidRPr="00660983" w:rsidRDefault="00EF5619" w:rsidP="00EF5619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0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747" w:rsidRPr="00EF5619" w:rsidRDefault="00132747" w:rsidP="0013274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5619">
        <w:rPr>
          <w:rFonts w:ascii="Times New Roman" w:hAnsi="Times New Roman" w:cs="Times New Roman"/>
          <w:sz w:val="24"/>
          <w:szCs w:val="24"/>
          <w:lang w:val="sv-SE"/>
        </w:rPr>
        <w:t xml:space="preserve">Granhag, P. A., &amp; Hartwig, M. (2014). </w:t>
      </w:r>
      <w:r w:rsidRPr="00EF5619">
        <w:rPr>
          <w:rFonts w:ascii="Times New Roman" w:hAnsi="Times New Roman" w:cs="Times New Roman"/>
          <w:sz w:val="24"/>
          <w:szCs w:val="24"/>
        </w:rPr>
        <w:t xml:space="preserve">The Strategic Use of Evidence (SUE) technique:  </w:t>
      </w:r>
    </w:p>
    <w:p w:rsidR="00132747" w:rsidRPr="00EF5619" w:rsidRDefault="00132747" w:rsidP="00132747">
      <w:pPr>
        <w:pStyle w:val="BodyText"/>
        <w:spacing w:after="0" w:line="480" w:lineRule="auto"/>
        <w:ind w:left="720"/>
        <w:contextualSpacing/>
        <w:rPr>
          <w:rFonts w:ascii="Times New Roman" w:hAnsi="Times New Roman"/>
          <w:bCs/>
          <w:sz w:val="24"/>
          <w:szCs w:val="24"/>
          <w:lang w:val="sv-SE"/>
        </w:rPr>
      </w:pPr>
      <w:r w:rsidRPr="00EF5619">
        <w:rPr>
          <w:rFonts w:ascii="Times New Roman" w:hAnsi="Times New Roman"/>
          <w:sz w:val="24"/>
          <w:szCs w:val="24"/>
          <w:lang w:val="en-GB"/>
        </w:rPr>
        <w:t xml:space="preserve">A conceptual overview. In </w:t>
      </w:r>
      <w:r w:rsidRPr="00EF5619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P. A. Granhag, A. Vrij, &amp; B. </w:t>
      </w:r>
      <w:proofErr w:type="spellStart"/>
      <w:r w:rsidRPr="00EF5619">
        <w:rPr>
          <w:rFonts w:ascii="Times New Roman" w:hAnsi="Times New Roman"/>
          <w:bCs/>
          <w:color w:val="000000"/>
          <w:sz w:val="24"/>
          <w:szCs w:val="24"/>
          <w:lang w:val="en-GB"/>
        </w:rPr>
        <w:t>Verschuere</w:t>
      </w:r>
      <w:proofErr w:type="spellEnd"/>
      <w:r w:rsidRPr="00EF5619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(Eds.), </w:t>
      </w:r>
      <w:r w:rsidRPr="00EF5619">
        <w:rPr>
          <w:rFonts w:ascii="Times New Roman" w:hAnsi="Times New Roman"/>
          <w:bCs/>
          <w:i/>
          <w:sz w:val="24"/>
          <w:szCs w:val="24"/>
          <w:lang w:val="en-GB"/>
        </w:rPr>
        <w:t>Deception Detection: Current Challenges and new approaches</w:t>
      </w:r>
      <w:r w:rsidRPr="00EF5619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Pr="00EF5619">
        <w:rPr>
          <w:rFonts w:ascii="Times New Roman" w:hAnsi="Times New Roman"/>
          <w:bCs/>
          <w:sz w:val="24"/>
          <w:szCs w:val="24"/>
          <w:lang w:val="sv-SE"/>
        </w:rPr>
        <w:t>Wiley.</w:t>
      </w:r>
    </w:p>
    <w:p w:rsidR="00132747" w:rsidRPr="00EF5619" w:rsidRDefault="00132747" w:rsidP="00132747">
      <w:pPr>
        <w:pStyle w:val="CommentText"/>
        <w:spacing w:line="480" w:lineRule="auto"/>
        <w:contextualSpacing/>
        <w:rPr>
          <w:sz w:val="24"/>
          <w:szCs w:val="24"/>
          <w:lang w:val="en-GB"/>
        </w:rPr>
      </w:pPr>
      <w:r w:rsidRPr="00EF5619">
        <w:rPr>
          <w:sz w:val="24"/>
          <w:szCs w:val="24"/>
        </w:rPr>
        <w:t xml:space="preserve">Hartwig, M., Granhag, P. A., &amp; Strömwall, L. A. (2007). </w:t>
      </w:r>
      <w:r w:rsidRPr="00EF5619">
        <w:rPr>
          <w:sz w:val="24"/>
          <w:szCs w:val="24"/>
          <w:lang w:val="en-GB"/>
        </w:rPr>
        <w:t xml:space="preserve">Guilty and innocent suspects’ </w:t>
      </w:r>
    </w:p>
    <w:p w:rsidR="00132747" w:rsidRPr="00EF5619" w:rsidRDefault="00132747" w:rsidP="00132747">
      <w:pPr>
        <w:widowControl w:val="0"/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F5619">
        <w:rPr>
          <w:rFonts w:ascii="Times New Roman" w:hAnsi="Times New Roman" w:cs="Times New Roman"/>
          <w:sz w:val="24"/>
          <w:szCs w:val="24"/>
        </w:rPr>
        <w:t>strategies</w:t>
      </w:r>
      <w:proofErr w:type="gramEnd"/>
      <w:r w:rsidRPr="00EF5619">
        <w:rPr>
          <w:rFonts w:ascii="Times New Roman" w:hAnsi="Times New Roman" w:cs="Times New Roman"/>
          <w:sz w:val="24"/>
          <w:szCs w:val="24"/>
        </w:rPr>
        <w:t xml:space="preserve"> during police interrogations. </w:t>
      </w:r>
      <w:r w:rsidRPr="00EF5619">
        <w:rPr>
          <w:rFonts w:ascii="Times New Roman" w:hAnsi="Times New Roman" w:cs="Times New Roman"/>
          <w:i/>
          <w:sz w:val="24"/>
          <w:szCs w:val="24"/>
        </w:rPr>
        <w:t>Psychology, Crime &amp; Law, 13</w:t>
      </w:r>
      <w:r w:rsidRPr="00EF5619">
        <w:rPr>
          <w:rFonts w:ascii="Times New Roman" w:hAnsi="Times New Roman" w:cs="Times New Roman"/>
          <w:sz w:val="24"/>
          <w:szCs w:val="24"/>
        </w:rPr>
        <w:t xml:space="preserve">, 213–227. </w:t>
      </w:r>
    </w:p>
    <w:p w:rsidR="00132747" w:rsidRPr="00EF5619" w:rsidRDefault="00132747" w:rsidP="00132747">
      <w:pPr>
        <w:widowControl w:val="0"/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EF5619">
        <w:rPr>
          <w:rFonts w:ascii="Times New Roman" w:hAnsi="Times New Roman" w:cs="Times New Roman"/>
          <w:sz w:val="24"/>
          <w:szCs w:val="24"/>
          <w:lang w:val="sv-SE"/>
        </w:rPr>
        <w:t xml:space="preserve">doi:10.1080/10683160600750264 </w:t>
      </w:r>
    </w:p>
    <w:p w:rsidR="00CF3A4A" w:rsidRPr="00EF5619" w:rsidRDefault="00CF3A4A" w:rsidP="005B41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F3A4A" w:rsidRPr="00EF56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C4" w:rsidRDefault="009354C4">
      <w:pPr>
        <w:spacing w:after="0" w:line="240" w:lineRule="auto"/>
      </w:pPr>
      <w:r>
        <w:separator/>
      </w:r>
    </w:p>
  </w:endnote>
  <w:endnote w:type="continuationSeparator" w:id="0">
    <w:p w:rsidR="009354C4" w:rsidRDefault="0093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C4" w:rsidRDefault="009354C4">
      <w:pPr>
        <w:spacing w:after="0" w:line="240" w:lineRule="auto"/>
      </w:pPr>
      <w:r>
        <w:separator/>
      </w:r>
    </w:p>
  </w:footnote>
  <w:footnote w:type="continuationSeparator" w:id="0">
    <w:p w:rsidR="009354C4" w:rsidRDefault="0093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497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2506" w:rsidRDefault="00131A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506" w:rsidRDefault="00935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FA"/>
    <w:rsid w:val="00002F54"/>
    <w:rsid w:val="000631D1"/>
    <w:rsid w:val="0009369D"/>
    <w:rsid w:val="00095A34"/>
    <w:rsid w:val="000E195E"/>
    <w:rsid w:val="001241E3"/>
    <w:rsid w:val="00131A48"/>
    <w:rsid w:val="00132747"/>
    <w:rsid w:val="001415F4"/>
    <w:rsid w:val="00151286"/>
    <w:rsid w:val="001615DC"/>
    <w:rsid w:val="001B2119"/>
    <w:rsid w:val="00203F5A"/>
    <w:rsid w:val="002378B2"/>
    <w:rsid w:val="0028033F"/>
    <w:rsid w:val="002830EE"/>
    <w:rsid w:val="002C6F52"/>
    <w:rsid w:val="002E0E84"/>
    <w:rsid w:val="0030358A"/>
    <w:rsid w:val="00304AD9"/>
    <w:rsid w:val="00311E1C"/>
    <w:rsid w:val="003140D0"/>
    <w:rsid w:val="0033339A"/>
    <w:rsid w:val="00351AB5"/>
    <w:rsid w:val="0036714B"/>
    <w:rsid w:val="003E4F0F"/>
    <w:rsid w:val="004075DA"/>
    <w:rsid w:val="00431DFE"/>
    <w:rsid w:val="00437E33"/>
    <w:rsid w:val="00453CD4"/>
    <w:rsid w:val="004637C8"/>
    <w:rsid w:val="00471402"/>
    <w:rsid w:val="004B05AD"/>
    <w:rsid w:val="0050250B"/>
    <w:rsid w:val="00590FF2"/>
    <w:rsid w:val="005B091E"/>
    <w:rsid w:val="005B41C7"/>
    <w:rsid w:val="005C19FA"/>
    <w:rsid w:val="005E28A1"/>
    <w:rsid w:val="00601ADC"/>
    <w:rsid w:val="0063275D"/>
    <w:rsid w:val="006379AC"/>
    <w:rsid w:val="00660983"/>
    <w:rsid w:val="006879B5"/>
    <w:rsid w:val="0069561D"/>
    <w:rsid w:val="006D15D8"/>
    <w:rsid w:val="006F2E99"/>
    <w:rsid w:val="0071600A"/>
    <w:rsid w:val="007A02B7"/>
    <w:rsid w:val="007D52AC"/>
    <w:rsid w:val="007D78A9"/>
    <w:rsid w:val="00813C0B"/>
    <w:rsid w:val="00817B27"/>
    <w:rsid w:val="008224AA"/>
    <w:rsid w:val="00837212"/>
    <w:rsid w:val="00843958"/>
    <w:rsid w:val="008A19E2"/>
    <w:rsid w:val="008A2478"/>
    <w:rsid w:val="008B15AE"/>
    <w:rsid w:val="008C0BF4"/>
    <w:rsid w:val="008D6E2E"/>
    <w:rsid w:val="00904C07"/>
    <w:rsid w:val="009354C4"/>
    <w:rsid w:val="00943C37"/>
    <w:rsid w:val="0094601F"/>
    <w:rsid w:val="00950050"/>
    <w:rsid w:val="00951289"/>
    <w:rsid w:val="0095487F"/>
    <w:rsid w:val="00975F22"/>
    <w:rsid w:val="009B12D1"/>
    <w:rsid w:val="009D05D3"/>
    <w:rsid w:val="009D7616"/>
    <w:rsid w:val="009E3563"/>
    <w:rsid w:val="00A725A2"/>
    <w:rsid w:val="00A75AF8"/>
    <w:rsid w:val="00AD5F2C"/>
    <w:rsid w:val="00B510FA"/>
    <w:rsid w:val="00B5640F"/>
    <w:rsid w:val="00BC0A42"/>
    <w:rsid w:val="00BC552E"/>
    <w:rsid w:val="00BC7A42"/>
    <w:rsid w:val="00BF78F0"/>
    <w:rsid w:val="00C046EC"/>
    <w:rsid w:val="00C51FAB"/>
    <w:rsid w:val="00C55992"/>
    <w:rsid w:val="00C63EAF"/>
    <w:rsid w:val="00C72D27"/>
    <w:rsid w:val="00C807D3"/>
    <w:rsid w:val="00C85A1C"/>
    <w:rsid w:val="00C94BE6"/>
    <w:rsid w:val="00CC2173"/>
    <w:rsid w:val="00CC3D88"/>
    <w:rsid w:val="00CF0FC3"/>
    <w:rsid w:val="00CF2E7A"/>
    <w:rsid w:val="00CF3A4A"/>
    <w:rsid w:val="00D3731D"/>
    <w:rsid w:val="00D41F29"/>
    <w:rsid w:val="00D61137"/>
    <w:rsid w:val="00D65459"/>
    <w:rsid w:val="00D6594D"/>
    <w:rsid w:val="00D808D9"/>
    <w:rsid w:val="00D94A02"/>
    <w:rsid w:val="00D96657"/>
    <w:rsid w:val="00DA6AF7"/>
    <w:rsid w:val="00DB59CC"/>
    <w:rsid w:val="00DE27F4"/>
    <w:rsid w:val="00DE585E"/>
    <w:rsid w:val="00E00CFA"/>
    <w:rsid w:val="00E16466"/>
    <w:rsid w:val="00E35196"/>
    <w:rsid w:val="00E356CC"/>
    <w:rsid w:val="00E3780A"/>
    <w:rsid w:val="00E40CC5"/>
    <w:rsid w:val="00E4727E"/>
    <w:rsid w:val="00E5254D"/>
    <w:rsid w:val="00E9387B"/>
    <w:rsid w:val="00EA4A32"/>
    <w:rsid w:val="00EA7BBF"/>
    <w:rsid w:val="00EC1C91"/>
    <w:rsid w:val="00EF5619"/>
    <w:rsid w:val="00F111D3"/>
    <w:rsid w:val="00F57F25"/>
    <w:rsid w:val="00F67E45"/>
    <w:rsid w:val="00F773C1"/>
    <w:rsid w:val="00F92E93"/>
    <w:rsid w:val="00FA361E"/>
    <w:rsid w:val="00FA6E35"/>
    <w:rsid w:val="00FB2CDF"/>
    <w:rsid w:val="00FC1263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D159-D5B5-449A-96B8-F1A00C46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13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CommentTextChar">
    <w:name w:val="Comment Text Char"/>
    <w:basedOn w:val="DefaultParagraphFont"/>
    <w:link w:val="CommentText"/>
    <w:rsid w:val="00132747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BodyText">
    <w:name w:val="Body Text"/>
    <w:basedOn w:val="Normal"/>
    <w:link w:val="BodyTextChar"/>
    <w:uiPriority w:val="99"/>
    <w:unhideWhenUsed/>
    <w:rsid w:val="00132747"/>
    <w:pPr>
      <w:spacing w:after="12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132747"/>
    <w:rPr>
      <w:rFonts w:ascii="Calibri" w:eastAsia="Calibri" w:hAnsi="Calibri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3274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32747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AB76-4CE3-4BDB-82FA-6A5C2725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Tekin</dc:creator>
  <cp:keywords/>
  <dc:description/>
  <cp:lastModifiedBy>Serra Tekin</cp:lastModifiedBy>
  <cp:revision>100</cp:revision>
  <dcterms:created xsi:type="dcterms:W3CDTF">2014-10-06T18:19:00Z</dcterms:created>
  <dcterms:modified xsi:type="dcterms:W3CDTF">2014-10-12T11:08:00Z</dcterms:modified>
</cp:coreProperties>
</file>