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AF4D" w14:textId="77777777" w:rsidR="005343BC" w:rsidRDefault="005343BC" w:rsidP="005343BC">
      <w:pPr>
        <w:rPr>
          <w:i/>
        </w:rPr>
      </w:pPr>
      <w:bookmarkStart w:id="0" w:name="_Hlk531349163"/>
      <w:r>
        <w:rPr>
          <w:b/>
        </w:rPr>
        <w:t>Running Head:</w:t>
      </w:r>
      <w:r w:rsidRPr="0003403E">
        <w:rPr>
          <w:b/>
        </w:rPr>
        <w:t xml:space="preserve"> </w:t>
      </w:r>
      <w:r>
        <w:rPr>
          <w:i/>
        </w:rPr>
        <w:t>Online and f</w:t>
      </w:r>
      <w:r w:rsidRPr="004D637E">
        <w:rPr>
          <w:i/>
        </w:rPr>
        <w:t xml:space="preserve">ace-to-face </w:t>
      </w:r>
      <w:r>
        <w:rPr>
          <w:i/>
        </w:rPr>
        <w:t>alcohol EBI efficacy</w:t>
      </w:r>
    </w:p>
    <w:p w14:paraId="562BF2C4" w14:textId="77777777" w:rsidR="005343BC" w:rsidRPr="007D579F" w:rsidRDefault="005343BC" w:rsidP="005343BC"/>
    <w:p w14:paraId="6F0D2237" w14:textId="77777777" w:rsidR="005343BC" w:rsidRDefault="005343BC" w:rsidP="005343BC">
      <w:pPr>
        <w:jc w:val="center"/>
        <w:rPr>
          <w:i/>
        </w:rPr>
      </w:pPr>
    </w:p>
    <w:p w14:paraId="65E69017" w14:textId="77777777" w:rsidR="005343BC" w:rsidRDefault="005343BC" w:rsidP="005343BC">
      <w:pPr>
        <w:rPr>
          <w:i/>
        </w:rPr>
      </w:pPr>
    </w:p>
    <w:p w14:paraId="5932A2C9" w14:textId="77777777" w:rsidR="005343BC" w:rsidRDefault="005343BC" w:rsidP="005343BC">
      <w:pPr>
        <w:jc w:val="center"/>
        <w:rPr>
          <w:i/>
        </w:rPr>
      </w:pPr>
    </w:p>
    <w:p w14:paraId="069BF076" w14:textId="77777777" w:rsidR="005343BC" w:rsidRDefault="005343BC" w:rsidP="005343BC">
      <w:pPr>
        <w:jc w:val="center"/>
        <w:rPr>
          <w:i/>
        </w:rPr>
      </w:pPr>
      <w:r w:rsidRPr="00EC6050">
        <w:rPr>
          <w:i/>
        </w:rPr>
        <w:t xml:space="preserve">Online and </w:t>
      </w:r>
      <w:r>
        <w:rPr>
          <w:i/>
        </w:rPr>
        <w:t>f</w:t>
      </w:r>
      <w:r w:rsidRPr="00EC6050">
        <w:rPr>
          <w:i/>
        </w:rPr>
        <w:t>ace-to-face</w:t>
      </w:r>
      <w:r>
        <w:rPr>
          <w:i/>
        </w:rPr>
        <w:t xml:space="preserve"> extended brief interventions for harmful alcohol use</w:t>
      </w:r>
      <w:r w:rsidRPr="00EC6050">
        <w:rPr>
          <w:i/>
        </w:rPr>
        <w:t xml:space="preserve">: Client characteristics, </w:t>
      </w:r>
      <w:r>
        <w:rPr>
          <w:i/>
        </w:rPr>
        <w:t>attendance</w:t>
      </w:r>
      <w:r w:rsidRPr="00EC6050">
        <w:rPr>
          <w:i/>
        </w:rPr>
        <w:t xml:space="preserve"> and </w:t>
      </w:r>
      <w:r>
        <w:rPr>
          <w:i/>
        </w:rPr>
        <w:t>t</w:t>
      </w:r>
      <w:r w:rsidRPr="00EC6050">
        <w:rPr>
          <w:i/>
        </w:rPr>
        <w:t xml:space="preserve">reatment </w:t>
      </w:r>
      <w:r>
        <w:rPr>
          <w:i/>
        </w:rPr>
        <w:t>o</w:t>
      </w:r>
      <w:r w:rsidRPr="00EC6050">
        <w:rPr>
          <w:i/>
        </w:rPr>
        <w:t>utcomes</w:t>
      </w:r>
      <w:r>
        <w:rPr>
          <w:i/>
        </w:rPr>
        <w:t>.</w:t>
      </w:r>
    </w:p>
    <w:p w14:paraId="27648083" w14:textId="77777777" w:rsidR="005343BC" w:rsidRPr="004B2E64" w:rsidRDefault="005343BC" w:rsidP="005343BC">
      <w:pPr>
        <w:jc w:val="center"/>
        <w:rPr>
          <w:i/>
        </w:rPr>
      </w:pPr>
    </w:p>
    <w:p w14:paraId="55A2EA6B" w14:textId="77777777" w:rsidR="005343BC" w:rsidRPr="004B6433" w:rsidRDefault="005343BC" w:rsidP="005343BC">
      <w:pPr>
        <w:rPr>
          <w:b/>
        </w:rPr>
      </w:pPr>
    </w:p>
    <w:p w14:paraId="6607F9FD" w14:textId="77777777" w:rsidR="005343BC" w:rsidRDefault="005343BC" w:rsidP="005343BC">
      <w:pPr>
        <w:rPr>
          <w:b/>
        </w:rPr>
      </w:pPr>
    </w:p>
    <w:p w14:paraId="5B0E470F" w14:textId="77777777" w:rsidR="005343BC" w:rsidRDefault="005343BC" w:rsidP="005343BC">
      <w:pPr>
        <w:rPr>
          <w:b/>
        </w:rPr>
      </w:pPr>
    </w:p>
    <w:p w14:paraId="4DC8F6B8" w14:textId="77777777" w:rsidR="005343BC" w:rsidRDefault="005343BC" w:rsidP="005343BC">
      <w:r w:rsidRPr="007D579F">
        <w:rPr>
          <w:b/>
        </w:rPr>
        <w:t>Authors</w:t>
      </w:r>
      <w:r w:rsidRPr="007D579F">
        <w:t>: Daniel Frings</w:t>
      </w:r>
      <w:r>
        <w:rPr>
          <w:vertAlign w:val="superscript"/>
        </w:rPr>
        <w:t>1</w:t>
      </w:r>
      <w:r w:rsidRPr="007D579F">
        <w:t xml:space="preserve">, </w:t>
      </w:r>
      <w:r>
        <w:t>Cassandra J. Hogan</w:t>
      </w:r>
      <w:r>
        <w:rPr>
          <w:vertAlign w:val="superscript"/>
        </w:rPr>
        <w:t>1</w:t>
      </w:r>
      <w:r>
        <w:t xml:space="preserve">, </w:t>
      </w:r>
      <w:proofErr w:type="spellStart"/>
      <w:r>
        <w:t>Kerlin</w:t>
      </w:r>
      <w:proofErr w:type="spellEnd"/>
      <w:r>
        <w:t xml:space="preserve"> H. Jn-Pierre</w:t>
      </w:r>
      <w:r>
        <w:rPr>
          <w:vertAlign w:val="superscript"/>
        </w:rPr>
        <w:t>1</w:t>
      </w:r>
      <w:r>
        <w:t xml:space="preserve">, </w:t>
      </w:r>
      <w:r w:rsidRPr="007D579F">
        <w:t xml:space="preserve">Kerry </w:t>
      </w:r>
      <w:r>
        <w:t xml:space="preserve">V. </w:t>
      </w:r>
      <w:r w:rsidRPr="007D579F">
        <w:t>Wood</w:t>
      </w:r>
      <w:r>
        <w:rPr>
          <w:vertAlign w:val="superscript"/>
        </w:rPr>
        <w:t>1</w:t>
      </w:r>
      <w:r>
        <w:t>, Mark Holmes</w:t>
      </w:r>
      <w:r w:rsidRPr="004D637E">
        <w:rPr>
          <w:vertAlign w:val="superscript"/>
        </w:rPr>
        <w:t>2</w:t>
      </w:r>
      <w:r>
        <w:rPr>
          <w:vertAlign w:val="superscript"/>
        </w:rPr>
        <w:t xml:space="preserve"> </w:t>
      </w:r>
      <w:r>
        <w:t>and</w:t>
      </w:r>
      <w:r w:rsidRPr="007D579F">
        <w:t xml:space="preserve"> Ian </w:t>
      </w:r>
      <w:r>
        <w:t xml:space="preserve">P. </w:t>
      </w:r>
      <w:r w:rsidRPr="007D579F">
        <w:t>Albery</w:t>
      </w:r>
      <w:r>
        <w:rPr>
          <w:vertAlign w:val="superscript"/>
        </w:rPr>
        <w:t>1</w:t>
      </w:r>
      <w:r>
        <w:rPr>
          <w:vertAlign w:val="superscript"/>
        </w:rPr>
        <w:br/>
      </w:r>
    </w:p>
    <w:p w14:paraId="31ADDCBE" w14:textId="77777777" w:rsidR="005343BC" w:rsidRPr="007D579F" w:rsidRDefault="005343BC" w:rsidP="005343BC">
      <w:pPr>
        <w:rPr>
          <w:i/>
        </w:rPr>
      </w:pPr>
      <w:r w:rsidRPr="007D579F">
        <w:t xml:space="preserve"> </w:t>
      </w:r>
      <w:r w:rsidRPr="004D637E">
        <w:rPr>
          <w:vertAlign w:val="superscript"/>
        </w:rPr>
        <w:t>1</w:t>
      </w:r>
      <w:r>
        <w:rPr>
          <w:i/>
        </w:rPr>
        <w:t xml:space="preserve"> Centre for Addictive Behaviours Research, Division of Psychology, School of Applied Sciences, </w:t>
      </w:r>
      <w:r w:rsidRPr="007D579F">
        <w:rPr>
          <w:i/>
        </w:rPr>
        <w:t>London South Bank University</w:t>
      </w:r>
      <w:r>
        <w:rPr>
          <w:i/>
        </w:rPr>
        <w:t>.</w:t>
      </w:r>
      <w:r w:rsidRPr="007D579F">
        <w:rPr>
          <w:i/>
        </w:rPr>
        <w:t xml:space="preserve"> </w:t>
      </w:r>
    </w:p>
    <w:p w14:paraId="75FA2E13" w14:textId="77777777" w:rsidR="005343BC" w:rsidRPr="004D637E" w:rsidRDefault="005343BC" w:rsidP="005343BC">
      <w:pPr>
        <w:rPr>
          <w:b/>
          <w:i/>
        </w:rPr>
      </w:pPr>
      <w:r w:rsidRPr="004D637E">
        <w:rPr>
          <w:b/>
          <w:vertAlign w:val="superscript"/>
        </w:rPr>
        <w:t>2</w:t>
      </w:r>
      <w:r>
        <w:rPr>
          <w:b/>
        </w:rPr>
        <w:t xml:space="preserve"> </w:t>
      </w:r>
      <w:r w:rsidRPr="004D637E">
        <w:rPr>
          <w:i/>
        </w:rPr>
        <w:t>Haringey Advisory Group on Alcohol</w:t>
      </w:r>
      <w:r>
        <w:rPr>
          <w:i/>
        </w:rPr>
        <w:t>.</w:t>
      </w:r>
    </w:p>
    <w:p w14:paraId="19C692EE" w14:textId="77777777" w:rsidR="005343BC" w:rsidRDefault="005343BC" w:rsidP="005343BC">
      <w:pPr>
        <w:rPr>
          <w:b/>
        </w:rPr>
      </w:pPr>
    </w:p>
    <w:p w14:paraId="71FF6A08" w14:textId="77777777" w:rsidR="005343BC" w:rsidRDefault="005343BC" w:rsidP="005343BC">
      <w:pPr>
        <w:rPr>
          <w:b/>
        </w:rPr>
      </w:pPr>
    </w:p>
    <w:p w14:paraId="6E93B03C" w14:textId="77777777" w:rsidR="005343BC" w:rsidRDefault="005343BC" w:rsidP="005343BC">
      <w:pPr>
        <w:rPr>
          <w:b/>
        </w:rPr>
      </w:pPr>
    </w:p>
    <w:p w14:paraId="32DCED67" w14:textId="77777777" w:rsidR="005343BC" w:rsidRDefault="005343BC" w:rsidP="005343BC">
      <w:pPr>
        <w:rPr>
          <w:b/>
        </w:rPr>
      </w:pPr>
    </w:p>
    <w:p w14:paraId="608C48C8" w14:textId="77777777" w:rsidR="005343BC" w:rsidRDefault="005343BC" w:rsidP="005343BC">
      <w:pPr>
        <w:ind w:hanging="1276"/>
        <w:jc w:val="center"/>
        <w:rPr>
          <w:b/>
        </w:rPr>
      </w:pPr>
      <w:r w:rsidRPr="00842966">
        <w:t>To appear in</w:t>
      </w:r>
      <w:r>
        <w:rPr>
          <w:b/>
        </w:rPr>
        <w:t xml:space="preserve"> Counselling Psychology Quarterly</w:t>
      </w:r>
    </w:p>
    <w:p w14:paraId="00D0FBA0" w14:textId="77777777" w:rsidR="005343BC" w:rsidRDefault="005343BC" w:rsidP="005343BC">
      <w:pPr>
        <w:rPr>
          <w:b/>
        </w:rPr>
      </w:pPr>
    </w:p>
    <w:p w14:paraId="6C51C9DE" w14:textId="77777777" w:rsidR="005343BC" w:rsidRDefault="005343BC" w:rsidP="005343BC">
      <w:pPr>
        <w:jc w:val="center"/>
        <w:rPr>
          <w:b/>
        </w:rPr>
      </w:pPr>
      <w:r>
        <w:rPr>
          <w:b/>
        </w:rPr>
        <w:t>Submitted: 28</w:t>
      </w:r>
      <w:r w:rsidRPr="00AA26E4">
        <w:rPr>
          <w:b/>
          <w:vertAlign w:val="superscript"/>
        </w:rPr>
        <w:t>th</w:t>
      </w:r>
      <w:r>
        <w:rPr>
          <w:b/>
        </w:rPr>
        <w:t xml:space="preserve"> February 2018</w:t>
      </w:r>
    </w:p>
    <w:p w14:paraId="18BA31F4" w14:textId="77777777" w:rsidR="005343BC" w:rsidRDefault="005343BC" w:rsidP="005343BC">
      <w:pPr>
        <w:jc w:val="center"/>
        <w:rPr>
          <w:b/>
        </w:rPr>
      </w:pPr>
      <w:r>
        <w:rPr>
          <w:b/>
        </w:rPr>
        <w:t>1</w:t>
      </w:r>
      <w:r w:rsidRPr="003A08FB">
        <w:rPr>
          <w:b/>
          <w:vertAlign w:val="superscript"/>
        </w:rPr>
        <w:t>st</w:t>
      </w:r>
      <w:r>
        <w:rPr>
          <w:b/>
        </w:rPr>
        <w:t xml:space="preserve"> revision submitted: 26</w:t>
      </w:r>
      <w:r w:rsidRPr="003A08FB">
        <w:rPr>
          <w:b/>
          <w:vertAlign w:val="superscript"/>
        </w:rPr>
        <w:t>th</w:t>
      </w:r>
      <w:r>
        <w:rPr>
          <w:b/>
        </w:rPr>
        <w:t xml:space="preserve"> July 2018</w:t>
      </w:r>
    </w:p>
    <w:p w14:paraId="3A1B16A9" w14:textId="77777777" w:rsidR="005343BC" w:rsidRDefault="005343BC" w:rsidP="005343BC">
      <w:pPr>
        <w:jc w:val="center"/>
        <w:rPr>
          <w:b/>
        </w:rPr>
      </w:pPr>
      <w:r>
        <w:rPr>
          <w:b/>
        </w:rPr>
        <w:t>2</w:t>
      </w:r>
      <w:r w:rsidRPr="00CC7A60">
        <w:rPr>
          <w:b/>
          <w:vertAlign w:val="superscript"/>
        </w:rPr>
        <w:t>nd</w:t>
      </w:r>
      <w:r>
        <w:rPr>
          <w:b/>
        </w:rPr>
        <w:t xml:space="preserve"> revision submitted: 15</w:t>
      </w:r>
      <w:r w:rsidRPr="00CC7A60">
        <w:rPr>
          <w:b/>
          <w:vertAlign w:val="superscript"/>
        </w:rPr>
        <w:t>th</w:t>
      </w:r>
      <w:r>
        <w:rPr>
          <w:b/>
        </w:rPr>
        <w:t xml:space="preserve"> October 2018</w:t>
      </w:r>
    </w:p>
    <w:p w14:paraId="3C413400" w14:textId="77777777" w:rsidR="005343BC" w:rsidRDefault="005343BC" w:rsidP="005343BC">
      <w:pPr>
        <w:jc w:val="center"/>
        <w:rPr>
          <w:b/>
        </w:rPr>
      </w:pPr>
      <w:r>
        <w:rPr>
          <w:b/>
        </w:rPr>
        <w:t>Accepted:  30</w:t>
      </w:r>
      <w:r w:rsidRPr="00842966">
        <w:rPr>
          <w:b/>
          <w:vertAlign w:val="superscript"/>
        </w:rPr>
        <w:t>th</w:t>
      </w:r>
      <w:r>
        <w:rPr>
          <w:b/>
        </w:rPr>
        <w:t xml:space="preserve"> November 2018.</w:t>
      </w:r>
    </w:p>
    <w:p w14:paraId="2C74BF57" w14:textId="77777777" w:rsidR="005343BC" w:rsidRDefault="005343BC" w:rsidP="005343BC">
      <w:pPr>
        <w:jc w:val="center"/>
        <w:rPr>
          <w:b/>
        </w:rPr>
      </w:pPr>
    </w:p>
    <w:p w14:paraId="15DD3032" w14:textId="77777777" w:rsidR="005343BC" w:rsidRDefault="005343BC" w:rsidP="005343BC">
      <w:pPr>
        <w:jc w:val="center"/>
        <w:rPr>
          <w:b/>
        </w:rPr>
      </w:pPr>
      <w:r>
        <w:rPr>
          <w:b/>
        </w:rPr>
        <w:t>Word count (main text): 3,837</w:t>
      </w:r>
    </w:p>
    <w:p w14:paraId="618E9B7E" w14:textId="77777777" w:rsidR="005343BC" w:rsidRDefault="005343BC" w:rsidP="005343BC">
      <w:pPr>
        <w:rPr>
          <w:b/>
          <w:color w:val="000000"/>
          <w:shd w:val="clear" w:color="auto" w:fill="FFFFFF"/>
        </w:rPr>
      </w:pPr>
    </w:p>
    <w:p w14:paraId="36F02CDB" w14:textId="77777777" w:rsidR="005343BC" w:rsidRDefault="005343BC" w:rsidP="005343BC">
      <w:pPr>
        <w:rPr>
          <w:b/>
          <w:color w:val="000000"/>
          <w:shd w:val="clear" w:color="auto" w:fill="FFFFFF"/>
        </w:rPr>
      </w:pPr>
    </w:p>
    <w:p w14:paraId="36F59F9B" w14:textId="77777777" w:rsidR="005343BC" w:rsidRDefault="005343BC" w:rsidP="005343BC">
      <w:pPr>
        <w:rPr>
          <w:b/>
          <w:color w:val="000000"/>
          <w:shd w:val="clear" w:color="auto" w:fill="FFFFFF"/>
        </w:rPr>
      </w:pPr>
    </w:p>
    <w:p w14:paraId="07F8D32E" w14:textId="77777777" w:rsidR="005343BC" w:rsidRPr="007D579F" w:rsidRDefault="005343BC" w:rsidP="005343BC">
      <w:r w:rsidRPr="007D579F">
        <w:rPr>
          <w:b/>
          <w:color w:val="000000"/>
          <w:shd w:val="clear" w:color="auto" w:fill="FFFFFF"/>
        </w:rPr>
        <w:t>Sponsor/Grant no</w:t>
      </w:r>
      <w:r>
        <w:rPr>
          <w:color w:val="000000"/>
          <w:shd w:val="clear" w:color="auto" w:fill="FFFFFF"/>
        </w:rPr>
        <w:t>: This research received no external funding.</w:t>
      </w:r>
    </w:p>
    <w:p w14:paraId="6FCA4554" w14:textId="77777777" w:rsidR="005343BC" w:rsidRDefault="005343BC" w:rsidP="005343BC">
      <w:pPr>
        <w:rPr>
          <w:b/>
        </w:rPr>
      </w:pPr>
    </w:p>
    <w:p w14:paraId="3DD29B81" w14:textId="77777777" w:rsidR="005343BC" w:rsidRDefault="005343BC" w:rsidP="005343BC">
      <w:pPr>
        <w:rPr>
          <w:b/>
        </w:rPr>
      </w:pPr>
    </w:p>
    <w:p w14:paraId="53A48498" w14:textId="77777777" w:rsidR="005343BC" w:rsidRDefault="005343BC" w:rsidP="005343BC">
      <w:pPr>
        <w:rPr>
          <w:b/>
        </w:rPr>
      </w:pPr>
    </w:p>
    <w:p w14:paraId="697FA82A" w14:textId="77777777" w:rsidR="005343BC" w:rsidRDefault="005343BC" w:rsidP="005343BC">
      <w:pPr>
        <w:rPr>
          <w:b/>
        </w:rPr>
      </w:pPr>
    </w:p>
    <w:p w14:paraId="61633124" w14:textId="77777777" w:rsidR="005343BC" w:rsidRDefault="005343BC" w:rsidP="005343BC">
      <w:pPr>
        <w:rPr>
          <w:b/>
        </w:rPr>
      </w:pPr>
    </w:p>
    <w:p w14:paraId="356122C5" w14:textId="77777777" w:rsidR="005343BC" w:rsidRDefault="005343BC" w:rsidP="005343BC">
      <w:pPr>
        <w:rPr>
          <w:b/>
        </w:rPr>
      </w:pPr>
    </w:p>
    <w:p w14:paraId="6A7FC099" w14:textId="77777777" w:rsidR="005343BC" w:rsidRPr="007D579F" w:rsidRDefault="005343BC" w:rsidP="005343BC">
      <w:pPr>
        <w:rPr>
          <w:color w:val="000000"/>
          <w:shd w:val="clear" w:color="auto" w:fill="FFFFFF"/>
        </w:rPr>
      </w:pPr>
      <w:r w:rsidRPr="00F02E6F">
        <w:rPr>
          <w:b/>
        </w:rPr>
        <w:t>Corresponding Author</w:t>
      </w:r>
      <w:r w:rsidRPr="00F02E6F">
        <w:t xml:space="preserve">: All correspondence to </w:t>
      </w:r>
      <w:r>
        <w:t>Daniel Frings</w:t>
      </w:r>
      <w:r w:rsidRPr="00F02E6F">
        <w:t xml:space="preserve">, </w:t>
      </w:r>
      <w:r>
        <w:t xml:space="preserve">email fringsd@lsbu.ac.uk </w:t>
      </w:r>
      <w:r w:rsidRPr="00F02E6F">
        <w:t>London South Bank University, 103 Borough Road, London, SE1 0AA</w:t>
      </w:r>
    </w:p>
    <w:bookmarkEnd w:id="0"/>
    <w:p w14:paraId="13844808" w14:textId="77777777" w:rsidR="005343BC" w:rsidRDefault="005343BC">
      <w:pPr>
        <w:spacing w:after="200" w:line="276" w:lineRule="auto"/>
        <w:rPr>
          <w:rFonts w:eastAsia="Times New Roman"/>
          <w:b/>
          <w:bCs/>
          <w:kern w:val="36"/>
        </w:rPr>
      </w:pPr>
      <w:r>
        <w:br w:type="page"/>
      </w:r>
    </w:p>
    <w:p w14:paraId="1CB0E4CF" w14:textId="20DB2E19" w:rsidR="00B96DC1" w:rsidRPr="00546020" w:rsidRDefault="005136E0" w:rsidP="00A33EFD">
      <w:pPr>
        <w:pStyle w:val="Heading1"/>
      </w:pPr>
      <w:r w:rsidRPr="00546020">
        <w:lastRenderedPageBreak/>
        <w:t>A</w:t>
      </w:r>
      <w:r w:rsidR="00B96DC1" w:rsidRPr="00546020">
        <w:t>bstract</w:t>
      </w:r>
    </w:p>
    <w:p w14:paraId="494691C5" w14:textId="77777777" w:rsidR="00150EAB" w:rsidRPr="00546020" w:rsidRDefault="00150EAB" w:rsidP="004D637E">
      <w:pPr>
        <w:jc w:val="center"/>
        <w:rPr>
          <w:i/>
        </w:rPr>
      </w:pPr>
    </w:p>
    <w:p w14:paraId="335311BA" w14:textId="77777777" w:rsidR="00CC5D60" w:rsidRPr="00546020" w:rsidRDefault="00E03CA9" w:rsidP="00154176">
      <w:pPr>
        <w:spacing w:line="480" w:lineRule="auto"/>
      </w:pPr>
      <w:r w:rsidRPr="00546020">
        <w:t>O</w:t>
      </w:r>
      <w:r w:rsidR="002D78F5" w:rsidRPr="00546020">
        <w:t xml:space="preserve">nline service delivery is </w:t>
      </w:r>
      <w:r w:rsidR="00A271B4" w:rsidRPr="00546020">
        <w:t>an alternat</w:t>
      </w:r>
      <w:r w:rsidR="002D78F5" w:rsidRPr="00546020">
        <w:t xml:space="preserve">ive to face-to-face interventions </w:t>
      </w:r>
      <w:r w:rsidR="00A271B4" w:rsidRPr="00546020">
        <w:t xml:space="preserve">for </w:t>
      </w:r>
      <w:r w:rsidR="002D78F5" w:rsidRPr="00546020">
        <w:t>harmful alcohol use</w:t>
      </w:r>
      <w:r w:rsidR="00A271B4" w:rsidRPr="00546020">
        <w:t xml:space="preserve">. </w:t>
      </w:r>
      <w:r w:rsidR="006C0FB1" w:rsidRPr="00546020">
        <w:t xml:space="preserve">However, </w:t>
      </w:r>
      <w:r w:rsidR="00E22E43" w:rsidRPr="00546020">
        <w:t xml:space="preserve">little </w:t>
      </w:r>
      <w:r w:rsidR="006C6AB5" w:rsidRPr="00546020">
        <w:t>evidence</w:t>
      </w:r>
      <w:r w:rsidR="00E22E43" w:rsidRPr="00546020">
        <w:t xml:space="preserve"> </w:t>
      </w:r>
      <w:r w:rsidR="007114D8" w:rsidRPr="00546020">
        <w:t>evaluates its</w:t>
      </w:r>
      <w:r w:rsidR="00E22E43" w:rsidRPr="00546020">
        <w:t xml:space="preserve"> </w:t>
      </w:r>
      <w:r w:rsidR="007114D8" w:rsidRPr="00546020">
        <w:t xml:space="preserve">relative </w:t>
      </w:r>
      <w:r w:rsidR="00E22E43" w:rsidRPr="00546020">
        <w:t>efficacy</w:t>
      </w:r>
      <w:r w:rsidR="007114D8" w:rsidRPr="00546020">
        <w:t>,</w:t>
      </w:r>
      <w:r w:rsidR="00E22E43" w:rsidRPr="00546020">
        <w:t xml:space="preserve"> or</w:t>
      </w:r>
      <w:r w:rsidR="007114D8" w:rsidRPr="00546020">
        <w:t xml:space="preserve"> the</w:t>
      </w:r>
      <w:r w:rsidR="00E22E43" w:rsidRPr="00546020">
        <w:t xml:space="preserve"> demographic</w:t>
      </w:r>
      <w:r w:rsidR="002D78F5" w:rsidRPr="00546020">
        <w:t xml:space="preserve"> characteristics</w:t>
      </w:r>
      <w:r w:rsidR="00E22E43" w:rsidRPr="00546020">
        <w:t xml:space="preserve"> of clients accessing these </w:t>
      </w:r>
      <w:r w:rsidR="006C6AB5" w:rsidRPr="00546020">
        <w:t>services</w:t>
      </w:r>
      <w:r w:rsidR="00E22E43" w:rsidRPr="00546020">
        <w:t xml:space="preserve">. </w:t>
      </w:r>
      <w:r w:rsidR="00EC6B44" w:rsidRPr="00546020">
        <w:t xml:space="preserve">Archival </w:t>
      </w:r>
      <w:r w:rsidR="004B59B2" w:rsidRPr="00546020">
        <w:t xml:space="preserve">demographic and </w:t>
      </w:r>
      <w:r w:rsidR="00E22E43" w:rsidRPr="00546020">
        <w:t xml:space="preserve">treatment </w:t>
      </w:r>
      <w:r w:rsidR="004B59B2" w:rsidRPr="00546020">
        <w:t xml:space="preserve">outcome </w:t>
      </w:r>
      <w:r w:rsidR="006C0FB1" w:rsidRPr="00546020">
        <w:t>data collected from</w:t>
      </w:r>
      <w:r w:rsidR="004B59B2" w:rsidRPr="00546020">
        <w:t xml:space="preserve"> 82</w:t>
      </w:r>
      <w:r w:rsidR="006C0FB1" w:rsidRPr="00546020">
        <w:t xml:space="preserve"> clients who </w:t>
      </w:r>
      <w:r w:rsidR="003A1B7B" w:rsidRPr="00546020">
        <w:t>undertook</w:t>
      </w:r>
      <w:r w:rsidR="006C0FB1" w:rsidRPr="00546020">
        <w:t xml:space="preserve"> online or face-to-face </w:t>
      </w:r>
      <w:r w:rsidR="002D78F5" w:rsidRPr="00546020">
        <w:t xml:space="preserve">Extended Brief Interventions (EBI) </w:t>
      </w:r>
      <w:r w:rsidR="00EC6B44" w:rsidRPr="00546020">
        <w:t>were analysed</w:t>
      </w:r>
      <w:r w:rsidRPr="00546020">
        <w:t>.</w:t>
      </w:r>
      <w:r w:rsidR="004B59B2" w:rsidRPr="00546020">
        <w:t xml:space="preserve">  </w:t>
      </w:r>
      <w:r w:rsidR="00301F0F" w:rsidRPr="00546020">
        <w:t>M</w:t>
      </w:r>
      <w:r w:rsidR="00EC6B44" w:rsidRPr="00546020">
        <w:t>easures</w:t>
      </w:r>
      <w:r w:rsidR="00E22E43" w:rsidRPr="00546020">
        <w:t xml:space="preserve"> </w:t>
      </w:r>
      <w:r w:rsidR="00EC6B44" w:rsidRPr="00546020">
        <w:t>included</w:t>
      </w:r>
      <w:r w:rsidR="00AC7154" w:rsidRPr="00546020">
        <w:t xml:space="preserve"> </w:t>
      </w:r>
      <w:r w:rsidR="00E22E43" w:rsidRPr="00546020">
        <w:t xml:space="preserve">a pre-treatment </w:t>
      </w:r>
      <w:r w:rsidR="001575CC" w:rsidRPr="00546020">
        <w:rPr>
          <w:rFonts w:eastAsia="Times New Roman"/>
        </w:rPr>
        <w:t>Alcohol Use Disorder Identification Tes</w:t>
      </w:r>
      <w:r w:rsidR="00F02E6F" w:rsidRPr="00546020">
        <w:rPr>
          <w:rFonts w:eastAsia="Times New Roman"/>
        </w:rPr>
        <w:t>t</w:t>
      </w:r>
      <w:r w:rsidR="003A1B7B" w:rsidRPr="00546020">
        <w:rPr>
          <w:rFonts w:eastAsia="Times New Roman"/>
        </w:rPr>
        <w:t xml:space="preserve"> </w:t>
      </w:r>
      <w:r w:rsidR="00F02E6F" w:rsidRPr="00546020">
        <w:rPr>
          <w:rFonts w:eastAsia="Times New Roman"/>
        </w:rPr>
        <w:t>(</w:t>
      </w:r>
      <w:r w:rsidR="001575CC" w:rsidRPr="00546020">
        <w:rPr>
          <w:rFonts w:eastAsia="Times New Roman"/>
        </w:rPr>
        <w:t xml:space="preserve">AUDIT) </w:t>
      </w:r>
      <w:r w:rsidR="00E22E43" w:rsidRPr="00546020">
        <w:t>and pre</w:t>
      </w:r>
      <w:r w:rsidR="003A1B7B" w:rsidRPr="00546020">
        <w:t>/</w:t>
      </w:r>
      <w:r w:rsidR="00E22E43" w:rsidRPr="00546020">
        <w:t xml:space="preserve">post </w:t>
      </w:r>
      <w:r w:rsidR="003A1B7B" w:rsidRPr="00546020">
        <w:t>well-being and drinking behaviour measures</w:t>
      </w:r>
      <w:r w:rsidR="00E22E43" w:rsidRPr="00546020">
        <w:t xml:space="preserve">. </w:t>
      </w:r>
      <w:r w:rsidRPr="00546020">
        <w:t xml:space="preserve">Clients </w:t>
      </w:r>
      <w:r w:rsidR="000B3F46" w:rsidRPr="00546020">
        <w:t xml:space="preserve">in the online sample </w:t>
      </w:r>
      <w:r w:rsidRPr="00546020">
        <w:t>were on average</w:t>
      </w:r>
      <w:r w:rsidR="000B3F46" w:rsidRPr="00546020">
        <w:t xml:space="preserve"> younger</w:t>
      </w:r>
      <w:r w:rsidR="002D78F5" w:rsidRPr="00546020">
        <w:t xml:space="preserve">, </w:t>
      </w:r>
      <w:r w:rsidRPr="00546020">
        <w:t xml:space="preserve">scored </w:t>
      </w:r>
      <w:r w:rsidR="000B3F46" w:rsidRPr="00546020">
        <w:t>higher</w:t>
      </w:r>
      <w:r w:rsidR="00AC7154" w:rsidRPr="00546020">
        <w:t xml:space="preserve"> on the AUDIT</w:t>
      </w:r>
      <w:r w:rsidR="0098103A" w:rsidRPr="00546020">
        <w:t>, were in work/training more days a month</w:t>
      </w:r>
      <w:r w:rsidR="000B3F46" w:rsidRPr="00546020">
        <w:t xml:space="preserve"> </w:t>
      </w:r>
      <w:r w:rsidR="002D78F5" w:rsidRPr="00546020">
        <w:t>and attended a greater number of sessions</w:t>
      </w:r>
      <w:r w:rsidR="000B3F46" w:rsidRPr="00546020">
        <w:t>.</w:t>
      </w:r>
      <w:r w:rsidR="0098103A" w:rsidRPr="00546020">
        <w:t xml:space="preserve"> </w:t>
      </w:r>
      <w:r w:rsidR="000B3F46" w:rsidRPr="00546020">
        <w:t xml:space="preserve"> </w:t>
      </w:r>
      <w:r w:rsidR="00FD028E" w:rsidRPr="00546020">
        <w:t xml:space="preserve">After controlling for </w:t>
      </w:r>
      <w:r w:rsidR="00AC7154" w:rsidRPr="00546020">
        <w:t xml:space="preserve">differences in </w:t>
      </w:r>
      <w:r w:rsidR="003A1B7B" w:rsidRPr="00546020">
        <w:t xml:space="preserve">treatment mode </w:t>
      </w:r>
      <w:r w:rsidR="00AF6633" w:rsidRPr="00546020">
        <w:t xml:space="preserve">and </w:t>
      </w:r>
      <w:r w:rsidR="00AC7154" w:rsidRPr="00546020">
        <w:t>age</w:t>
      </w:r>
      <w:r w:rsidR="00FE52E5" w:rsidRPr="00546020">
        <w:t>,</w:t>
      </w:r>
      <w:r w:rsidR="000D6854" w:rsidRPr="00546020">
        <w:t xml:space="preserve"> </w:t>
      </w:r>
      <w:r w:rsidR="00A17019" w:rsidRPr="00546020">
        <w:t>online EBI</w:t>
      </w:r>
      <w:r w:rsidR="007B31CF" w:rsidRPr="00546020">
        <w:t xml:space="preserve"> </w:t>
      </w:r>
      <w:r w:rsidR="00FE52E5" w:rsidRPr="00546020">
        <w:t>led to</w:t>
      </w:r>
      <w:r w:rsidR="003A1B7B" w:rsidRPr="00546020">
        <w:t xml:space="preserve"> greater</w:t>
      </w:r>
      <w:r w:rsidR="00A17019" w:rsidRPr="00546020">
        <w:t xml:space="preserve"> </w:t>
      </w:r>
      <w:r w:rsidR="00AC7154" w:rsidRPr="00546020">
        <w:t>increases in quality of li</w:t>
      </w:r>
      <w:r w:rsidR="00FE52E5" w:rsidRPr="00546020">
        <w:t>fe and fewer</w:t>
      </w:r>
      <w:r w:rsidR="00AC7154" w:rsidRPr="00546020">
        <w:t xml:space="preserve"> drinking days.</w:t>
      </w:r>
      <w:r w:rsidR="00DB4C89" w:rsidRPr="00546020">
        <w:t xml:space="preserve"> </w:t>
      </w:r>
      <w:r w:rsidR="000B3F46" w:rsidRPr="00546020">
        <w:rPr>
          <w:color w:val="333333"/>
        </w:rPr>
        <w:t> </w:t>
      </w:r>
      <w:r w:rsidR="004F4BC3" w:rsidRPr="00546020">
        <w:rPr>
          <w:rStyle w:val="Strong"/>
          <w:b w:val="0"/>
          <w:color w:val="333333"/>
          <w:bdr w:val="none" w:sz="0" w:space="0" w:color="auto" w:frame="1"/>
        </w:rPr>
        <w:t>O</w:t>
      </w:r>
      <w:r w:rsidR="000B3F46" w:rsidRPr="00546020">
        <w:rPr>
          <w:rStyle w:val="Strong"/>
          <w:b w:val="0"/>
          <w:color w:val="333333"/>
          <w:bdr w:val="none" w:sz="0" w:space="0" w:color="auto" w:frame="1"/>
        </w:rPr>
        <w:t>nline</w:t>
      </w:r>
      <w:r w:rsidR="00A17019" w:rsidRPr="00546020">
        <w:rPr>
          <w:color w:val="333333"/>
        </w:rPr>
        <w:t xml:space="preserve"> EBI</w:t>
      </w:r>
      <w:r w:rsidR="00A17019" w:rsidRPr="00546020">
        <w:rPr>
          <w:b/>
          <w:color w:val="333333"/>
        </w:rPr>
        <w:t xml:space="preserve"> </w:t>
      </w:r>
      <w:r w:rsidR="004F4BC3" w:rsidRPr="00546020">
        <w:rPr>
          <w:color w:val="333333"/>
        </w:rPr>
        <w:t>may</w:t>
      </w:r>
      <w:r w:rsidR="004F4BC3" w:rsidRPr="00546020">
        <w:rPr>
          <w:b/>
          <w:color w:val="333333"/>
        </w:rPr>
        <w:t xml:space="preserve"> </w:t>
      </w:r>
      <w:r w:rsidR="004F4BC3" w:rsidRPr="00546020">
        <w:rPr>
          <w:color w:val="333333"/>
        </w:rPr>
        <w:t>provide</w:t>
      </w:r>
      <w:r w:rsidR="000B3F46" w:rsidRPr="00546020">
        <w:rPr>
          <w:color w:val="333333"/>
        </w:rPr>
        <w:t xml:space="preserve"> an important alternate </w:t>
      </w:r>
      <w:r w:rsidR="004F4BC3" w:rsidRPr="00546020">
        <w:rPr>
          <w:color w:val="333333"/>
        </w:rPr>
        <w:t xml:space="preserve">service delivery </w:t>
      </w:r>
      <w:r w:rsidR="000B3F46" w:rsidRPr="00546020">
        <w:rPr>
          <w:color w:val="333333"/>
        </w:rPr>
        <w:t xml:space="preserve">mode </w:t>
      </w:r>
      <w:r w:rsidR="00A17019" w:rsidRPr="00546020">
        <w:rPr>
          <w:color w:val="333333"/>
        </w:rPr>
        <w:t>for harmful alcohol use</w:t>
      </w:r>
      <w:r w:rsidR="000B3F46" w:rsidRPr="00546020">
        <w:rPr>
          <w:color w:val="333333"/>
        </w:rPr>
        <w:t>, which may</w:t>
      </w:r>
      <w:r w:rsidR="004F4BC3" w:rsidRPr="00546020">
        <w:rPr>
          <w:color w:val="333333"/>
        </w:rPr>
        <w:t xml:space="preserve"> </w:t>
      </w:r>
      <w:r w:rsidR="000B3F46" w:rsidRPr="00546020">
        <w:rPr>
          <w:color w:val="333333"/>
        </w:rPr>
        <w:t xml:space="preserve">be </w:t>
      </w:r>
      <w:r w:rsidR="009C7063" w:rsidRPr="00546020">
        <w:rPr>
          <w:color w:val="333333"/>
        </w:rPr>
        <w:t>accessed more frequently by</w:t>
      </w:r>
      <w:r w:rsidR="000B3F46" w:rsidRPr="00546020">
        <w:rPr>
          <w:color w:val="333333"/>
        </w:rPr>
        <w:t xml:space="preserve"> younger </w:t>
      </w:r>
      <w:r w:rsidRPr="00546020">
        <w:rPr>
          <w:color w:val="333333"/>
        </w:rPr>
        <w:t xml:space="preserve">and </w:t>
      </w:r>
      <w:r w:rsidR="00A17019" w:rsidRPr="00546020">
        <w:rPr>
          <w:color w:val="333333"/>
        </w:rPr>
        <w:t xml:space="preserve">higher risk </w:t>
      </w:r>
      <w:r w:rsidR="000B3F46" w:rsidRPr="00546020">
        <w:rPr>
          <w:color w:val="333333"/>
        </w:rPr>
        <w:t xml:space="preserve">clients. </w:t>
      </w:r>
    </w:p>
    <w:p w14:paraId="14DBDA46" w14:textId="77777777" w:rsidR="000114B7" w:rsidRPr="00546020" w:rsidRDefault="000114B7" w:rsidP="00CC5D60">
      <w:pPr>
        <w:rPr>
          <w:i/>
        </w:rPr>
      </w:pPr>
    </w:p>
    <w:p w14:paraId="515170C4" w14:textId="77777777" w:rsidR="00CC5D60" w:rsidRPr="00546020" w:rsidRDefault="00CC5D60" w:rsidP="00CC5D60">
      <w:r w:rsidRPr="00546020">
        <w:rPr>
          <w:i/>
        </w:rPr>
        <w:t>Keywords</w:t>
      </w:r>
      <w:r w:rsidR="005745D3" w:rsidRPr="00546020">
        <w:rPr>
          <w:i/>
        </w:rPr>
        <w:t xml:space="preserve">: </w:t>
      </w:r>
      <w:r w:rsidRPr="00546020">
        <w:t xml:space="preserve">online counselling, </w:t>
      </w:r>
      <w:r w:rsidR="00F65683" w:rsidRPr="00546020">
        <w:t xml:space="preserve">extended brief intervention, </w:t>
      </w:r>
      <w:r w:rsidR="005F4782" w:rsidRPr="00546020">
        <w:t>problem drinking</w:t>
      </w:r>
      <w:r w:rsidRPr="00546020">
        <w:t xml:space="preserve">, </w:t>
      </w:r>
      <w:r w:rsidR="005F4782" w:rsidRPr="00546020">
        <w:t>alcohol problems</w:t>
      </w:r>
      <w:r w:rsidRPr="00546020">
        <w:t xml:space="preserve">, </w:t>
      </w:r>
      <w:r w:rsidR="005745D3" w:rsidRPr="00546020">
        <w:t xml:space="preserve">video </w:t>
      </w:r>
      <w:r w:rsidR="00734516" w:rsidRPr="00546020">
        <w:t>interventions</w:t>
      </w:r>
      <w:r w:rsidR="00F65683" w:rsidRPr="00546020">
        <w:t xml:space="preserve">. </w:t>
      </w:r>
    </w:p>
    <w:p w14:paraId="3C5FF807" w14:textId="77777777" w:rsidR="00CC5D60" w:rsidRPr="00546020" w:rsidRDefault="00CC5D60" w:rsidP="004C548B"/>
    <w:p w14:paraId="48BB02CD" w14:textId="77777777" w:rsidR="00AC7154" w:rsidRPr="00546020" w:rsidRDefault="00AC7154" w:rsidP="004C548B"/>
    <w:p w14:paraId="49675FA5" w14:textId="77777777" w:rsidR="00CC5D60" w:rsidRPr="00546020" w:rsidRDefault="00CC5D60">
      <w:pPr>
        <w:rPr>
          <w:i/>
        </w:rPr>
      </w:pPr>
      <w:r w:rsidRPr="00546020">
        <w:rPr>
          <w:i/>
        </w:rPr>
        <w:br w:type="page"/>
      </w:r>
    </w:p>
    <w:p w14:paraId="1DCD095F" w14:textId="77777777" w:rsidR="00CC5D60" w:rsidRPr="00546020" w:rsidRDefault="00CC5D60" w:rsidP="00A33EFD">
      <w:pPr>
        <w:pStyle w:val="Heading1"/>
      </w:pPr>
      <w:r w:rsidRPr="00546020">
        <w:lastRenderedPageBreak/>
        <w:t xml:space="preserve">Online and </w:t>
      </w:r>
      <w:r w:rsidR="0063101E" w:rsidRPr="00546020">
        <w:t>f</w:t>
      </w:r>
      <w:r w:rsidRPr="00546020">
        <w:t xml:space="preserve">ace-to-face </w:t>
      </w:r>
      <w:r w:rsidR="007A2EFE" w:rsidRPr="00546020">
        <w:t>extended brief interventions</w:t>
      </w:r>
      <w:r w:rsidRPr="00546020">
        <w:t xml:space="preserve"> for </w:t>
      </w:r>
      <w:r w:rsidR="007A2EFE" w:rsidRPr="00546020">
        <w:t>harmful alcohol use</w:t>
      </w:r>
      <w:r w:rsidRPr="00546020">
        <w:t xml:space="preserve">: Client characteristics, </w:t>
      </w:r>
      <w:r w:rsidR="0063101E" w:rsidRPr="00546020">
        <w:t>a</w:t>
      </w:r>
      <w:r w:rsidRPr="00546020">
        <w:t xml:space="preserve">ttendance and </w:t>
      </w:r>
      <w:r w:rsidR="0063101E" w:rsidRPr="00546020">
        <w:t>t</w:t>
      </w:r>
      <w:r w:rsidRPr="00546020">
        <w:t xml:space="preserve">reatment </w:t>
      </w:r>
      <w:r w:rsidR="0063101E" w:rsidRPr="00546020">
        <w:t>o</w:t>
      </w:r>
      <w:r w:rsidRPr="00546020">
        <w:t>utcomes</w:t>
      </w:r>
      <w:r w:rsidR="006A3D86" w:rsidRPr="00546020">
        <w:t>.</w:t>
      </w:r>
    </w:p>
    <w:p w14:paraId="5DED3F7A" w14:textId="77777777" w:rsidR="000114B7" w:rsidRPr="00546020" w:rsidRDefault="000114B7" w:rsidP="00E961CC">
      <w:pPr>
        <w:spacing w:line="480" w:lineRule="auto"/>
        <w:jc w:val="center"/>
        <w:rPr>
          <w:i/>
        </w:rPr>
      </w:pPr>
    </w:p>
    <w:p w14:paraId="2AF786C3" w14:textId="27A28E2F" w:rsidR="00430090" w:rsidRPr="00546020" w:rsidRDefault="00CC5D60" w:rsidP="00E961CC">
      <w:pPr>
        <w:spacing w:line="480" w:lineRule="auto"/>
      </w:pPr>
      <w:r w:rsidRPr="00546020">
        <w:t xml:space="preserve">Online </w:t>
      </w:r>
      <w:r w:rsidR="005865D5" w:rsidRPr="00546020">
        <w:t>interventions are</w:t>
      </w:r>
      <w:r w:rsidR="0041329C" w:rsidRPr="00546020">
        <w:t xml:space="preserve"> </w:t>
      </w:r>
      <w:r w:rsidRPr="00546020">
        <w:t xml:space="preserve">increasingly </w:t>
      </w:r>
      <w:r w:rsidR="0041329C" w:rsidRPr="00546020">
        <w:t>used as an alternative to face-to-face</w:t>
      </w:r>
      <w:r w:rsidR="004F4BC3" w:rsidRPr="00546020">
        <w:t xml:space="preserve"> (F2F)</w:t>
      </w:r>
      <w:r w:rsidR="0041329C" w:rsidRPr="00546020">
        <w:t xml:space="preserve"> co</w:t>
      </w:r>
      <w:r w:rsidR="007A2EFE" w:rsidRPr="00546020">
        <w:t>unselling for alcohol problems</w:t>
      </w:r>
      <w:r w:rsidR="0041329C" w:rsidRPr="00546020">
        <w:t xml:space="preserve"> (</w:t>
      </w:r>
      <w:r w:rsidR="0028392C" w:rsidRPr="00546020">
        <w:t>Garde, Manning</w:t>
      </w:r>
      <w:r w:rsidR="00E42060" w:rsidRPr="00546020">
        <w:t xml:space="preserve"> &amp; </w:t>
      </w:r>
      <w:proofErr w:type="spellStart"/>
      <w:r w:rsidR="00E42060" w:rsidRPr="00546020">
        <w:t>Lubman</w:t>
      </w:r>
      <w:proofErr w:type="spellEnd"/>
      <w:r w:rsidR="00E42060" w:rsidRPr="00546020">
        <w:t>, 2017)</w:t>
      </w:r>
      <w:r w:rsidR="0041329C" w:rsidRPr="00546020">
        <w:t xml:space="preserve">. </w:t>
      </w:r>
      <w:r w:rsidR="00E42060" w:rsidRPr="00546020">
        <w:t xml:space="preserve">Recent systematic reviews suggest that online interventions may be effective for treating addiction in general </w:t>
      </w:r>
      <w:r w:rsidR="00461319" w:rsidRPr="00546020">
        <w:t xml:space="preserve">and specifically </w:t>
      </w:r>
      <w:r w:rsidR="00E42060" w:rsidRPr="00546020">
        <w:t>harmful alcohol use (</w:t>
      </w:r>
      <w:proofErr w:type="spellStart"/>
      <w:r w:rsidR="0098103A" w:rsidRPr="00546020">
        <w:t>Gainsbury</w:t>
      </w:r>
      <w:proofErr w:type="spellEnd"/>
      <w:r w:rsidR="0098103A" w:rsidRPr="00546020">
        <w:t xml:space="preserve"> &amp; </w:t>
      </w:r>
      <w:proofErr w:type="spellStart"/>
      <w:r w:rsidR="0098103A" w:rsidRPr="00546020">
        <w:t>Blaszczynski</w:t>
      </w:r>
      <w:proofErr w:type="spellEnd"/>
      <w:r w:rsidR="0098103A" w:rsidRPr="00546020">
        <w:t>, 2011</w:t>
      </w:r>
      <w:r w:rsidR="00572F78" w:rsidRPr="00546020">
        <w:t xml:space="preserve">; </w:t>
      </w:r>
      <w:proofErr w:type="spellStart"/>
      <w:r w:rsidR="00E42060" w:rsidRPr="00546020">
        <w:t>Khadjesari</w:t>
      </w:r>
      <w:proofErr w:type="spellEnd"/>
      <w:r w:rsidR="00E42060" w:rsidRPr="00546020">
        <w:t xml:space="preserve">, Murray, Hewitt, Hartley &amp; Godfrey, 2011). </w:t>
      </w:r>
      <w:r w:rsidR="0098103A" w:rsidRPr="00546020">
        <w:t>O</w:t>
      </w:r>
      <w:r w:rsidR="00394E77" w:rsidRPr="00546020">
        <w:t xml:space="preserve">nline interventions </w:t>
      </w:r>
      <w:r w:rsidR="0098103A" w:rsidRPr="00546020">
        <w:t xml:space="preserve">can </w:t>
      </w:r>
      <w:r w:rsidR="00394E77" w:rsidRPr="00546020">
        <w:t xml:space="preserve">offer </w:t>
      </w:r>
      <w:proofErr w:type="gramStart"/>
      <w:r w:rsidR="00394E77" w:rsidRPr="00546020">
        <w:t>particular advantages</w:t>
      </w:r>
      <w:proofErr w:type="gramEnd"/>
      <w:r w:rsidR="00394E77" w:rsidRPr="00546020">
        <w:t xml:space="preserve"> for a substance dependant population </w:t>
      </w:r>
      <w:r w:rsidR="005865D5" w:rsidRPr="00546020">
        <w:t xml:space="preserve">including </w:t>
      </w:r>
      <w:r w:rsidR="00394E77" w:rsidRPr="00546020">
        <w:t>convenience, cost-effectiveness and privacy</w:t>
      </w:r>
      <w:r w:rsidR="005210E9" w:rsidRPr="00546020">
        <w:t>/anonymity</w:t>
      </w:r>
      <w:r w:rsidR="00394E77" w:rsidRPr="00546020">
        <w:t xml:space="preserve"> (</w:t>
      </w:r>
      <w:proofErr w:type="spellStart"/>
      <w:r w:rsidR="00C2545A" w:rsidRPr="00546020">
        <w:t>Gainsbury</w:t>
      </w:r>
      <w:proofErr w:type="spellEnd"/>
      <w:r w:rsidR="003839D1" w:rsidRPr="00546020">
        <w:t xml:space="preserve"> &amp; </w:t>
      </w:r>
      <w:proofErr w:type="spellStart"/>
      <w:r w:rsidR="003839D1" w:rsidRPr="00546020">
        <w:t>Blaszczynski</w:t>
      </w:r>
      <w:proofErr w:type="spellEnd"/>
      <w:r w:rsidR="00C2545A" w:rsidRPr="00546020">
        <w:t>, 2011</w:t>
      </w:r>
      <w:r w:rsidR="003157E1" w:rsidRPr="00546020">
        <w:t>).</w:t>
      </w:r>
      <w:r w:rsidR="0040004B" w:rsidRPr="00546020">
        <w:t xml:space="preserve"> </w:t>
      </w:r>
      <w:r w:rsidR="0040004B" w:rsidRPr="00151EFC">
        <w:t xml:space="preserve">Online interventions can be autonomously delivered by software (i.e. mobile / cell phone apps which deliver an intervention) or can involve real human interactions either in real-time of asynchronously. The current study focuses upon real-time, face to face interaction delivered by a trained practitioner, delivered through an online video platform (Skype). We refer to this as an </w:t>
      </w:r>
      <w:r w:rsidR="0040004B" w:rsidRPr="00151EFC">
        <w:rPr>
          <w:i/>
        </w:rPr>
        <w:t>online video conferencing intervention</w:t>
      </w:r>
      <w:r w:rsidR="0040004B" w:rsidRPr="00546020">
        <w:rPr>
          <w:i/>
        </w:rPr>
        <w:t>.</w:t>
      </w:r>
    </w:p>
    <w:p w14:paraId="71A90D79" w14:textId="4BEBBE0B" w:rsidR="00F86D2C" w:rsidRPr="00546020" w:rsidRDefault="0040004B" w:rsidP="00693C12">
      <w:pPr>
        <w:spacing w:line="480" w:lineRule="auto"/>
        <w:ind w:firstLine="567"/>
        <w:rPr>
          <w:rFonts w:eastAsia="Times New Roman"/>
          <w:color w:val="000000"/>
          <w:shd w:val="clear" w:color="auto" w:fill="FFFFFF"/>
        </w:rPr>
      </w:pPr>
      <w:r w:rsidRPr="00546020">
        <w:t xml:space="preserve">Although online interventions in general have received good empirical support, </w:t>
      </w:r>
      <w:r w:rsidR="00811087" w:rsidRPr="00546020">
        <w:t xml:space="preserve"> </w:t>
      </w:r>
      <w:r w:rsidR="00BE2921" w:rsidRPr="00546020">
        <w:t xml:space="preserve">there is </w:t>
      </w:r>
      <w:r w:rsidR="00BD15AB" w:rsidRPr="00546020">
        <w:t xml:space="preserve">little published data </w:t>
      </w:r>
      <w:r w:rsidR="00C2545A" w:rsidRPr="00546020">
        <w:t xml:space="preserve">on the efficacy of </w:t>
      </w:r>
      <w:r w:rsidR="00740164" w:rsidRPr="00546020">
        <w:t xml:space="preserve">online </w:t>
      </w:r>
      <w:r w:rsidR="00C2545A" w:rsidRPr="00546020">
        <w:t>video conferencing</w:t>
      </w:r>
      <w:r w:rsidR="00CE4DB2" w:rsidRPr="00546020">
        <w:t xml:space="preserve"> interventions </w:t>
      </w:r>
      <w:r w:rsidR="003157E1" w:rsidRPr="00546020">
        <w:t xml:space="preserve">specifically </w:t>
      </w:r>
      <w:r w:rsidR="000114B7" w:rsidRPr="00546020">
        <w:t>for harmful alcohol use</w:t>
      </w:r>
      <w:r w:rsidR="00D01EE4" w:rsidRPr="00546020">
        <w:t xml:space="preserve"> and</w:t>
      </w:r>
      <w:r w:rsidR="0055513C" w:rsidRPr="00546020">
        <w:t>,</w:t>
      </w:r>
      <w:r w:rsidR="00D01EE4" w:rsidRPr="00546020">
        <w:t xml:space="preserve"> to our knowledge</w:t>
      </w:r>
      <w:r w:rsidR="00574879" w:rsidRPr="00546020">
        <w:t>,</w:t>
      </w:r>
      <w:r w:rsidR="00D01EE4" w:rsidRPr="00546020">
        <w:t xml:space="preserve"> no published works specifically exploring</w:t>
      </w:r>
      <w:r w:rsidR="0098103A" w:rsidRPr="00546020">
        <w:t xml:space="preserve"> </w:t>
      </w:r>
      <w:r w:rsidR="0098297E" w:rsidRPr="00546020">
        <w:t>this mode for</w:t>
      </w:r>
      <w:r w:rsidR="009D51E1" w:rsidRPr="00546020">
        <w:t xml:space="preserve"> </w:t>
      </w:r>
      <w:r w:rsidR="00D01EE4" w:rsidRPr="00546020">
        <w:t xml:space="preserve">extended </w:t>
      </w:r>
      <w:r w:rsidR="00D01EE4" w:rsidRPr="00151EFC">
        <w:t>brief interventions (EBI</w:t>
      </w:r>
      <w:r w:rsidR="0098103A" w:rsidRPr="00151EFC">
        <w:t>s</w:t>
      </w:r>
      <w:r w:rsidR="001F0ED7" w:rsidRPr="00151EFC">
        <w:t xml:space="preserve">: structured courses of 4-6 sessions of 1-1, non-didactic,  client-centred sessions, delivered by a specialist practitioner -see  below and also </w:t>
      </w:r>
      <w:proofErr w:type="spellStart"/>
      <w:r w:rsidR="001F0ED7" w:rsidRPr="00151EFC">
        <w:t>Poikolainen</w:t>
      </w:r>
      <w:proofErr w:type="spellEnd"/>
      <w:r w:rsidR="001F0ED7" w:rsidRPr="00151EFC">
        <w:t>, (1999)</w:t>
      </w:r>
      <w:r w:rsidR="00D01EE4" w:rsidRPr="00151EFC">
        <w:t>).</w:t>
      </w:r>
      <w:r w:rsidR="00D01EE4" w:rsidRPr="00546020">
        <w:t xml:space="preserve"> </w:t>
      </w:r>
      <w:r w:rsidR="000114B7" w:rsidRPr="00546020">
        <w:t xml:space="preserve"> </w:t>
      </w:r>
      <w:r w:rsidR="00F02E6F" w:rsidRPr="00546020">
        <w:t xml:space="preserve">The current paper addresses this </w:t>
      </w:r>
      <w:r w:rsidR="00574879" w:rsidRPr="00546020">
        <w:t xml:space="preserve">issue </w:t>
      </w:r>
      <w:r w:rsidR="00F02E6F" w:rsidRPr="00546020">
        <w:t>by comparing attendance and treatment outcomes from EBIs delivered either face-to-face or online</w:t>
      </w:r>
      <w:r w:rsidR="001F0ED7" w:rsidRPr="00546020">
        <w:t>.</w:t>
      </w:r>
    </w:p>
    <w:p w14:paraId="7D76D935" w14:textId="0BDBB133" w:rsidR="00A17658" w:rsidRPr="00546020" w:rsidRDefault="00A17658" w:rsidP="00693C12">
      <w:pPr>
        <w:spacing w:line="480" w:lineRule="auto"/>
        <w:ind w:firstLine="567"/>
      </w:pPr>
      <w:r w:rsidRPr="00546020">
        <w:t>The EBI approach</w:t>
      </w:r>
      <w:r w:rsidR="0041496F" w:rsidRPr="00546020">
        <w:t xml:space="preserve"> evaluated </w:t>
      </w:r>
      <w:r w:rsidRPr="00546020">
        <w:t xml:space="preserve">(sometimes referred to as ‘brief lifestyle counselling’ or ‘brief motivational interviewing’) was based on the UK implementation of the Drink-Less Brief Intervention programme (see Heather, Girvan, </w:t>
      </w:r>
      <w:proofErr w:type="spellStart"/>
      <w:r w:rsidRPr="00546020">
        <w:t>Kaner</w:t>
      </w:r>
      <w:proofErr w:type="spellEnd"/>
      <w:r w:rsidRPr="00546020">
        <w:t xml:space="preserve"> &amp; Cassidy, 2008). EBIs are recommended in national guidance as a means of filling the gap between services provided for </w:t>
      </w:r>
      <w:r w:rsidR="006E1AD7" w:rsidRPr="00546020">
        <w:t xml:space="preserve">people whose drinking behaviours present as </w:t>
      </w:r>
      <w:r w:rsidRPr="00546020">
        <w:t xml:space="preserve">high risk or dependant (who can access </w:t>
      </w:r>
      <w:r w:rsidRPr="00546020">
        <w:lastRenderedPageBreak/>
        <w:t>specialist alcohol treatment) and</w:t>
      </w:r>
      <w:r w:rsidR="006E1AD7" w:rsidRPr="00546020">
        <w:t xml:space="preserve"> those at</w:t>
      </w:r>
      <w:r w:rsidRPr="00546020">
        <w:t xml:space="preserve"> increasing risk</w:t>
      </w:r>
      <w:r w:rsidR="006E1AD7" w:rsidRPr="00546020">
        <w:t xml:space="preserve"> </w:t>
      </w:r>
      <w:r w:rsidRPr="00546020">
        <w:t>(who can access brief advice)</w:t>
      </w:r>
      <w:r w:rsidR="0041496F" w:rsidRPr="00546020">
        <w:t>. A</w:t>
      </w:r>
      <w:r w:rsidRPr="00546020">
        <w:t xml:space="preserve">s such </w:t>
      </w:r>
      <w:r w:rsidR="0041496F" w:rsidRPr="00546020">
        <w:t>EBIs are</w:t>
      </w:r>
      <w:r w:rsidRPr="00546020">
        <w:t xml:space="preserve"> recommended for </w:t>
      </w:r>
      <w:r w:rsidR="006E1AD7" w:rsidRPr="00546020">
        <w:t xml:space="preserve">those </w:t>
      </w:r>
      <w:r w:rsidRPr="00546020">
        <w:t>referred to as ‘higher risk’</w:t>
      </w:r>
      <w:r w:rsidR="0041496F" w:rsidRPr="00546020">
        <w:t xml:space="preserve"> and</w:t>
      </w:r>
      <w:r w:rsidRPr="00546020">
        <w:t xml:space="preserve"> in the literature </w:t>
      </w:r>
      <w:r w:rsidR="0041496F" w:rsidRPr="00546020">
        <w:t xml:space="preserve">are </w:t>
      </w:r>
      <w:r w:rsidRPr="00546020">
        <w:t xml:space="preserve">typically understood as </w:t>
      </w:r>
      <w:r w:rsidR="006E1AD7" w:rsidRPr="00546020">
        <w:t>people</w:t>
      </w:r>
      <w:r w:rsidRPr="00546020">
        <w:t xml:space="preserve"> who score 16-19 on the</w:t>
      </w:r>
      <w:r w:rsidR="003839D1" w:rsidRPr="00546020">
        <w:t xml:space="preserve"> Alcohol Use Disorders Identification Test</w:t>
      </w:r>
      <w:r w:rsidRPr="00546020">
        <w:t xml:space="preserve"> </w:t>
      </w:r>
      <w:r w:rsidR="003839D1" w:rsidRPr="00546020">
        <w:t>(</w:t>
      </w:r>
      <w:r w:rsidRPr="00546020">
        <w:t>AUDIT</w:t>
      </w:r>
      <w:r w:rsidR="003839D1" w:rsidRPr="00546020">
        <w:t xml:space="preserve">, </w:t>
      </w:r>
      <w:r w:rsidR="003839D1" w:rsidRPr="00546020">
        <w:rPr>
          <w:rFonts w:eastAsiaTheme="minorEastAsia"/>
          <w:lang w:val="en-US"/>
        </w:rPr>
        <w:t xml:space="preserve">Saunders, </w:t>
      </w:r>
      <w:proofErr w:type="spellStart"/>
      <w:r w:rsidR="003839D1" w:rsidRPr="00546020">
        <w:rPr>
          <w:rFonts w:eastAsiaTheme="minorEastAsia"/>
          <w:lang w:val="en-US"/>
        </w:rPr>
        <w:t>Aasland</w:t>
      </w:r>
      <w:proofErr w:type="spellEnd"/>
      <w:r w:rsidR="003839D1" w:rsidRPr="00546020">
        <w:rPr>
          <w:rFonts w:eastAsiaTheme="minorEastAsia"/>
          <w:lang w:val="en-US"/>
        </w:rPr>
        <w:t xml:space="preserve">, </w:t>
      </w:r>
      <w:proofErr w:type="spellStart"/>
      <w:r w:rsidR="003839D1" w:rsidRPr="00546020">
        <w:rPr>
          <w:rFonts w:eastAsiaTheme="minorEastAsia"/>
          <w:lang w:val="en-US"/>
        </w:rPr>
        <w:t>Babor</w:t>
      </w:r>
      <w:proofErr w:type="spellEnd"/>
      <w:r w:rsidR="003839D1" w:rsidRPr="00546020">
        <w:rPr>
          <w:rFonts w:eastAsiaTheme="minorEastAsia"/>
          <w:lang w:val="en-US"/>
        </w:rPr>
        <w:t xml:space="preserve">, </w:t>
      </w:r>
      <w:proofErr w:type="spellStart"/>
      <w:r w:rsidR="003839D1" w:rsidRPr="00546020">
        <w:rPr>
          <w:rFonts w:eastAsiaTheme="minorEastAsia"/>
          <w:lang w:val="en-US"/>
        </w:rPr>
        <w:t>DeLaFuente</w:t>
      </w:r>
      <w:proofErr w:type="spellEnd"/>
      <w:r w:rsidR="003839D1" w:rsidRPr="00546020">
        <w:rPr>
          <w:rFonts w:eastAsiaTheme="minorEastAsia"/>
          <w:lang w:val="en-US"/>
        </w:rPr>
        <w:t xml:space="preserve"> &amp; Grant</w:t>
      </w:r>
      <w:r w:rsidR="00812B27" w:rsidRPr="00546020">
        <w:rPr>
          <w:rFonts w:eastAsiaTheme="minorEastAsia"/>
          <w:lang w:val="en-US"/>
        </w:rPr>
        <w:t xml:space="preserve">, </w:t>
      </w:r>
      <w:r w:rsidR="003839D1" w:rsidRPr="00546020">
        <w:rPr>
          <w:rFonts w:eastAsiaTheme="minorEastAsia"/>
          <w:lang w:val="en-US"/>
        </w:rPr>
        <w:t>1993)</w:t>
      </w:r>
      <w:r w:rsidRPr="00546020">
        <w:t>. The therapeutic foundations of EBI are drawn from motivational interviewing (MI) and health behaviour counselling (Miller &amp; Rollnick, 1991)</w:t>
      </w:r>
      <w:r w:rsidR="00B1240F" w:rsidRPr="00546020">
        <w:t>,</w:t>
      </w:r>
      <w:r w:rsidRPr="00546020">
        <w:t xml:space="preserve"> </w:t>
      </w:r>
      <w:r w:rsidR="0041496F" w:rsidRPr="00546020">
        <w:t>the core aim being</w:t>
      </w:r>
      <w:r w:rsidRPr="00546020">
        <w:t xml:space="preserve"> to motivate the client to</w:t>
      </w:r>
      <w:r w:rsidR="00945660" w:rsidRPr="00546020">
        <w:t xml:space="preserve"> achieve</w:t>
      </w:r>
      <w:r w:rsidRPr="00546020">
        <w:t xml:space="preserve"> their self-identified goal of reduction or cessation of alcohol use. Whilst this </w:t>
      </w:r>
      <w:r w:rsidR="00543ACD" w:rsidRPr="00546020">
        <w:t>definition describes</w:t>
      </w:r>
      <w:r w:rsidRPr="00546020">
        <w:t xml:space="preserve"> </w:t>
      </w:r>
      <w:proofErr w:type="gramStart"/>
      <w:r w:rsidRPr="00546020">
        <w:t>the vast majority of</w:t>
      </w:r>
      <w:proofErr w:type="gramEnd"/>
      <w:r w:rsidRPr="00546020">
        <w:t xml:space="preserve"> work on EBI, in that the intervention under analysis is derived from MI, it is noteworthy that there is an earlier form of the EBI work which drew from cognitive behavioural therapy (CBT) which as Heather (2011) states could be coined </w:t>
      </w:r>
      <w:r w:rsidRPr="00546020">
        <w:rPr>
          <w:rFonts w:eastAsia="Times New Roman"/>
          <w:color w:val="231F20"/>
        </w:rPr>
        <w:t>“condensed</w:t>
      </w:r>
      <w:r w:rsidR="00945660" w:rsidRPr="00546020">
        <w:rPr>
          <w:rFonts w:eastAsia="Times New Roman"/>
          <w:color w:val="231F20"/>
        </w:rPr>
        <w:t xml:space="preserve"> cognitive behaviour therapy</w:t>
      </w:r>
      <w:r w:rsidRPr="00546020">
        <w:rPr>
          <w:rFonts w:eastAsia="Times New Roman"/>
          <w:color w:val="231F20"/>
          <w:spacing w:val="22"/>
        </w:rPr>
        <w:t>”</w:t>
      </w:r>
      <w:r w:rsidR="00945660" w:rsidRPr="00546020">
        <w:rPr>
          <w:rFonts w:eastAsia="Times New Roman"/>
          <w:color w:val="231F20"/>
          <w:spacing w:val="22"/>
        </w:rPr>
        <w:t xml:space="preserve"> </w:t>
      </w:r>
      <w:r w:rsidRPr="00546020">
        <w:rPr>
          <w:rFonts w:eastAsia="Times New Roman"/>
          <w:color w:val="231F20"/>
          <w:spacing w:val="22"/>
        </w:rPr>
        <w:t>(</w:t>
      </w:r>
      <w:r w:rsidRPr="00546020">
        <w:rPr>
          <w:rFonts w:eastAsia="Times New Roman"/>
          <w:color w:val="231F20"/>
        </w:rPr>
        <w:t>Heather, 2011, p2</w:t>
      </w:r>
      <w:r w:rsidRPr="00546020">
        <w:rPr>
          <w:rFonts w:eastAsia="Times New Roman"/>
          <w:color w:val="231F20"/>
          <w:spacing w:val="22"/>
        </w:rPr>
        <w:t xml:space="preserve">). The EBI </w:t>
      </w:r>
      <w:r w:rsidRPr="00546020">
        <w:t xml:space="preserve">approach is distinct from identification and brief advice (BA) as it is delivered by specialist practitioners and is typically delivered across </w:t>
      </w:r>
      <w:r w:rsidR="00EF06EB" w:rsidRPr="00546020">
        <w:t>several</w:t>
      </w:r>
      <w:r w:rsidRPr="00546020">
        <w:t xml:space="preserve"> appointment-based sessions. Furthermore, </w:t>
      </w:r>
      <w:r w:rsidR="00BE47E9" w:rsidRPr="00546020">
        <w:t xml:space="preserve">following the MI tradition, </w:t>
      </w:r>
      <w:r w:rsidRPr="00546020">
        <w:t xml:space="preserve">it is regarded as </w:t>
      </w:r>
      <w:r w:rsidR="00D26259" w:rsidRPr="00546020">
        <w:t xml:space="preserve">being </w:t>
      </w:r>
      <w:r w:rsidRPr="00546020">
        <w:t xml:space="preserve">more refined than BA, non-didactic and client-centred </w:t>
      </w:r>
      <w:r w:rsidR="00BE47E9" w:rsidRPr="00546020">
        <w:t>and</w:t>
      </w:r>
      <w:r w:rsidRPr="00546020">
        <w:t xml:space="preserve"> specifically avoids giving advice unless </w:t>
      </w:r>
      <w:r w:rsidR="00BE47E9" w:rsidRPr="00546020">
        <w:t>clients</w:t>
      </w:r>
      <w:r w:rsidRPr="00546020">
        <w:t xml:space="preserve"> directly ask the practitioner to do so. As such, EBIs delivered at an alcohol service (i.e. face to face) are often included in the literature under the term ‘brief treatment’ (Heather</w:t>
      </w:r>
      <w:r w:rsidR="00B04D9C" w:rsidRPr="00546020">
        <w:t>,</w:t>
      </w:r>
      <w:r w:rsidRPr="00546020">
        <w:t xml:space="preserve"> 2011). </w:t>
      </w:r>
    </w:p>
    <w:p w14:paraId="5377C901" w14:textId="1023DA01" w:rsidR="00A17658" w:rsidRPr="00546020" w:rsidRDefault="00A17658" w:rsidP="00677788">
      <w:pPr>
        <w:spacing w:line="480" w:lineRule="auto"/>
        <w:ind w:firstLine="706"/>
        <w:rPr>
          <w:rFonts w:eastAsia="Times New Roman"/>
        </w:rPr>
      </w:pPr>
      <w:r w:rsidRPr="00546020">
        <w:t>A typical EBI</w:t>
      </w:r>
      <w:r w:rsidR="0065318E" w:rsidRPr="00546020">
        <w:t xml:space="preserve"> </w:t>
      </w:r>
      <w:r w:rsidRPr="00546020">
        <w:t>would be delivered when a client has requested further help with their alcohol use</w:t>
      </w:r>
      <w:r w:rsidR="00274609" w:rsidRPr="00546020">
        <w:t>,</w:t>
      </w:r>
      <w:r w:rsidRPr="00546020">
        <w:t xml:space="preserve"> and/or are ambivalent about behaviour change</w:t>
      </w:r>
      <w:r w:rsidR="00274609" w:rsidRPr="00546020">
        <w:t>,</w:t>
      </w:r>
      <w:r w:rsidRPr="00546020">
        <w:t xml:space="preserve"> and/or are at a higher risk </w:t>
      </w:r>
      <w:r w:rsidR="00BE65BF" w:rsidRPr="00546020">
        <w:t>-</w:t>
      </w:r>
      <w:r w:rsidR="003839D1" w:rsidRPr="00546020">
        <w:t>(</w:t>
      </w:r>
      <w:r w:rsidRPr="00546020">
        <w:t xml:space="preserve">defined by </w:t>
      </w:r>
      <w:r w:rsidR="00252ED9" w:rsidRPr="00546020">
        <w:t xml:space="preserve">having </w:t>
      </w:r>
      <w:r w:rsidRPr="00546020">
        <w:t>AUDIT</w:t>
      </w:r>
      <w:r w:rsidR="003839D1" w:rsidRPr="00546020">
        <w:t xml:space="preserve"> score</w:t>
      </w:r>
      <w:r w:rsidR="00252ED9" w:rsidRPr="00546020">
        <w:t xml:space="preserve"> reflecting </w:t>
      </w:r>
      <w:r w:rsidR="00252ED9" w:rsidRPr="00151EFC">
        <w:rPr>
          <w:i/>
        </w:rPr>
        <w:t>harmful use</w:t>
      </w:r>
      <w:r w:rsidR="0065318E" w:rsidRPr="00546020">
        <w:t xml:space="preserve"> </w:t>
      </w:r>
      <w:r w:rsidR="00BE65BF" w:rsidRPr="00546020">
        <w:t>(</w:t>
      </w:r>
      <w:r w:rsidR="0065318E" w:rsidRPr="00546020">
        <w:t xml:space="preserve">see </w:t>
      </w:r>
      <w:proofErr w:type="spellStart"/>
      <w:r w:rsidR="008E664A" w:rsidRPr="00546020">
        <w:t>Babor</w:t>
      </w:r>
      <w:proofErr w:type="spellEnd"/>
      <w:r w:rsidR="008E664A" w:rsidRPr="00546020">
        <w:t xml:space="preserve"> et al., 2001; </w:t>
      </w:r>
      <w:proofErr w:type="spellStart"/>
      <w:r w:rsidR="0065318E" w:rsidRPr="00546020">
        <w:t>Pechey</w:t>
      </w:r>
      <w:proofErr w:type="spellEnd"/>
      <w:r w:rsidR="0065318E" w:rsidRPr="00546020">
        <w:t>, 2011;</w:t>
      </w:r>
      <w:r w:rsidR="003839D1" w:rsidRPr="00546020">
        <w:t>).</w:t>
      </w:r>
      <w:r w:rsidRPr="00546020">
        <w:t xml:space="preserve"> Such an intervention would involve four to six sessions to assess the client’s motivation</w:t>
      </w:r>
      <w:r w:rsidR="006C4B99" w:rsidRPr="00546020">
        <w:t xml:space="preserve"> and</w:t>
      </w:r>
      <w:r w:rsidRPr="00546020">
        <w:t xml:space="preserve"> confidence</w:t>
      </w:r>
      <w:r w:rsidR="006C4B99" w:rsidRPr="00546020">
        <w:t xml:space="preserve"> </w:t>
      </w:r>
      <w:r w:rsidRPr="00546020">
        <w:rPr>
          <w:rFonts w:eastAsia="Times New Roman"/>
        </w:rPr>
        <w:t>and to co-create a six-step plan</w:t>
      </w:r>
      <w:r w:rsidR="00B1240F" w:rsidRPr="00546020">
        <w:rPr>
          <w:rFonts w:eastAsia="Times New Roman"/>
        </w:rPr>
        <w:t>. The plan aims to</w:t>
      </w:r>
      <w:r w:rsidRPr="00546020">
        <w:rPr>
          <w:rFonts w:eastAsia="Times New Roman"/>
        </w:rPr>
        <w:t xml:space="preserve"> address their alcohol use </w:t>
      </w:r>
      <w:r w:rsidR="00B1240F" w:rsidRPr="00546020">
        <w:rPr>
          <w:rFonts w:eastAsia="Times New Roman"/>
        </w:rPr>
        <w:t>by</w:t>
      </w:r>
      <w:r w:rsidRPr="00546020">
        <w:rPr>
          <w:rFonts w:eastAsia="Times New Roman"/>
        </w:rPr>
        <w:t xml:space="preserve"> </w:t>
      </w:r>
      <w:r w:rsidR="006C4B99" w:rsidRPr="00546020">
        <w:rPr>
          <w:rFonts w:eastAsia="Times New Roman"/>
        </w:rPr>
        <w:t xml:space="preserve">focusing on </w:t>
      </w:r>
      <w:r w:rsidR="006C4B99" w:rsidRPr="00546020">
        <w:t>the</w:t>
      </w:r>
      <w:r w:rsidR="006C4B99" w:rsidRPr="00546020">
        <w:rPr>
          <w:rFonts w:eastAsia="Times New Roman"/>
        </w:rPr>
        <w:t xml:space="preserve"> costs and benefits of a client’s alcohol </w:t>
      </w:r>
      <w:r w:rsidR="00B4668E" w:rsidRPr="00546020">
        <w:rPr>
          <w:rFonts w:eastAsia="Times New Roman"/>
        </w:rPr>
        <w:t>use and</w:t>
      </w:r>
      <w:r w:rsidR="006C4B99" w:rsidRPr="00546020">
        <w:rPr>
          <w:rFonts w:eastAsia="Times New Roman"/>
        </w:rPr>
        <w:t xml:space="preserve"> developing </w:t>
      </w:r>
      <w:r w:rsidRPr="00546020">
        <w:rPr>
          <w:rFonts w:eastAsia="Times New Roman"/>
        </w:rPr>
        <w:t xml:space="preserve">strategies for managing difficult/triggering situations. This </w:t>
      </w:r>
      <w:r w:rsidR="00B4668E" w:rsidRPr="00546020">
        <w:rPr>
          <w:rFonts w:eastAsia="Times New Roman"/>
        </w:rPr>
        <w:t>six-step</w:t>
      </w:r>
      <w:r w:rsidRPr="00546020">
        <w:rPr>
          <w:rFonts w:eastAsia="Times New Roman"/>
        </w:rPr>
        <w:t xml:space="preserve"> plan is reviewed in each session. EBI practitioners use the client’s current level of motivation and confidence to </w:t>
      </w:r>
      <w:r w:rsidRPr="00546020">
        <w:rPr>
          <w:rFonts w:eastAsia="Times New Roman"/>
        </w:rPr>
        <w:lastRenderedPageBreak/>
        <w:t>promote “change talk” and use the client’s own language to identify their own goals around reduction or cessation. Clients are supported to take responsibility for their own process by completing agreed “homework” tasks between sessions</w:t>
      </w:r>
      <w:r w:rsidR="00945660" w:rsidRPr="00546020">
        <w:rPr>
          <w:rFonts w:eastAsia="Times New Roman"/>
        </w:rPr>
        <w:t>,</w:t>
      </w:r>
      <w:r w:rsidRPr="00546020">
        <w:rPr>
          <w:rFonts w:eastAsia="Times New Roman"/>
        </w:rPr>
        <w:t xml:space="preserve"> such as noting their consumption and cravings by using paper and pen worksheets and/or smart phone apps. </w:t>
      </w:r>
    </w:p>
    <w:p w14:paraId="4C0BAFE4" w14:textId="39287B94" w:rsidR="00E961CC" w:rsidRPr="00546020" w:rsidRDefault="00C13953" w:rsidP="00154877">
      <w:pPr>
        <w:spacing w:line="480" w:lineRule="auto"/>
        <w:ind w:firstLine="709"/>
      </w:pPr>
      <w:r w:rsidRPr="00546020">
        <w:t xml:space="preserve">In terms of face to face treatment, EBIs are delivered by a single </w:t>
      </w:r>
      <w:r w:rsidR="0088221B" w:rsidRPr="00546020">
        <w:t xml:space="preserve">practitioner </w:t>
      </w:r>
      <w:r w:rsidRPr="00546020">
        <w:t>in private consultation with the client, in the same geographical location (i.e. in a consultation room of a service centre). Existing evidence broadly suggests that such forms of EBI are effective, although no clear evidence suggests they are superior to other interventions such as IBA or brief advice (</w:t>
      </w:r>
      <w:r w:rsidR="006C4B99" w:rsidRPr="00546020">
        <w:t>e.g.</w:t>
      </w:r>
      <w:r w:rsidRPr="00546020">
        <w:t xml:space="preserve"> </w:t>
      </w:r>
      <w:proofErr w:type="spellStart"/>
      <w:r w:rsidRPr="00546020">
        <w:t>Kaner</w:t>
      </w:r>
      <w:proofErr w:type="spellEnd"/>
      <w:r w:rsidRPr="00546020">
        <w:t xml:space="preserve"> et al., 2007; </w:t>
      </w:r>
      <w:proofErr w:type="spellStart"/>
      <w:r w:rsidRPr="00546020">
        <w:t>Poikolainen</w:t>
      </w:r>
      <w:proofErr w:type="spellEnd"/>
      <w:r w:rsidRPr="00546020">
        <w:t>, 1999).</w:t>
      </w:r>
      <w:r w:rsidR="00572F78" w:rsidRPr="00546020">
        <w:t xml:space="preserve"> </w:t>
      </w:r>
      <w:r w:rsidRPr="00546020">
        <w:t xml:space="preserve">In contrast, online EBIs involve the </w:t>
      </w:r>
      <w:r w:rsidR="00734516" w:rsidRPr="00546020">
        <w:t>person delivering the treatment</w:t>
      </w:r>
      <w:r w:rsidRPr="00546020">
        <w:t xml:space="preserve"> at one location (often a dedicated space) and the client at a location of their choice where they have access to a </w:t>
      </w:r>
      <w:r w:rsidR="00EF06EB" w:rsidRPr="00546020">
        <w:t>telemetry</w:t>
      </w:r>
      <w:r w:rsidRPr="00546020">
        <w:t xml:space="preserve"> device (typically, a laptop/phone with video call capacity).  </w:t>
      </w:r>
      <w:r w:rsidR="00107D46" w:rsidRPr="00546020">
        <w:t xml:space="preserve"> </w:t>
      </w:r>
      <w:r w:rsidRPr="00546020">
        <w:t>In terms of online treatment (in general), there is</w:t>
      </w:r>
      <w:r w:rsidR="006C4B99" w:rsidRPr="00546020">
        <w:t xml:space="preserve"> </w:t>
      </w:r>
      <w:r w:rsidRPr="00546020">
        <w:t>an emerging body of work supporting the efficacy of web-based treatment and brief interventions for harmful alcohol use (</w:t>
      </w:r>
      <w:r w:rsidR="006C4B99" w:rsidRPr="00546020">
        <w:t>e.g.</w:t>
      </w:r>
      <w:r w:rsidRPr="00546020">
        <w:t xml:space="preserve"> </w:t>
      </w:r>
      <w:proofErr w:type="spellStart"/>
      <w:r w:rsidRPr="00546020">
        <w:t>Sinadinovic</w:t>
      </w:r>
      <w:proofErr w:type="spellEnd"/>
      <w:r w:rsidRPr="00546020">
        <w:t xml:space="preserve">, </w:t>
      </w:r>
      <w:proofErr w:type="spellStart"/>
      <w:r w:rsidRPr="00546020">
        <w:t>Wennberg</w:t>
      </w:r>
      <w:proofErr w:type="spellEnd"/>
      <w:r w:rsidRPr="00546020">
        <w:t>, Johansson, &amp; Berman, 2014)</w:t>
      </w:r>
      <w:r w:rsidR="00C67005" w:rsidRPr="00546020">
        <w:t>,</w:t>
      </w:r>
      <w:r w:rsidRPr="00546020">
        <w:t xml:space="preserve"> to our knowledge no published work directly compares outcomes for online EBI as compared to F2F EBI for harmful drinking. </w:t>
      </w:r>
      <w:r w:rsidR="006C4B99" w:rsidRPr="00546020">
        <w:t>Given the</w:t>
      </w:r>
      <w:r w:rsidR="00635F96" w:rsidRPr="00546020">
        <w:t xml:space="preserve"> lack of research comparing </w:t>
      </w:r>
      <w:r w:rsidR="006C4B99" w:rsidRPr="00546020">
        <w:t>F2F</w:t>
      </w:r>
      <w:r w:rsidR="00635F96" w:rsidRPr="00546020">
        <w:t xml:space="preserve"> and online implementations of E</w:t>
      </w:r>
      <w:r w:rsidR="006C4B99" w:rsidRPr="00546020">
        <w:t xml:space="preserve">BI </w:t>
      </w:r>
      <w:r w:rsidR="00635F96" w:rsidRPr="00546020">
        <w:t>the current study aimed to utilise existing service evaluation data to directly compare these two modalities. Given the paucity of evidence and exploratory nature of this research, no directional hypotheses were made.</w:t>
      </w:r>
    </w:p>
    <w:p w14:paraId="776794AB" w14:textId="77777777" w:rsidR="00A81F36" w:rsidRPr="00546020" w:rsidRDefault="00A81F36" w:rsidP="00A33EFD">
      <w:pPr>
        <w:pStyle w:val="Heading1"/>
      </w:pPr>
      <w:r w:rsidRPr="00546020">
        <w:t>Method</w:t>
      </w:r>
    </w:p>
    <w:p w14:paraId="5BBF51F7" w14:textId="77777777" w:rsidR="00A45899" w:rsidRPr="00546020" w:rsidRDefault="00A45899" w:rsidP="00A33EFD">
      <w:pPr>
        <w:pStyle w:val="Heading2"/>
      </w:pPr>
      <w:r w:rsidRPr="00546020">
        <w:t>Participants</w:t>
      </w:r>
    </w:p>
    <w:p w14:paraId="55B855A8" w14:textId="3EC66C63" w:rsidR="00993E99" w:rsidRPr="00546020" w:rsidRDefault="00BF2C02" w:rsidP="00E961CC">
      <w:pPr>
        <w:spacing w:line="480" w:lineRule="auto"/>
      </w:pPr>
      <w:r w:rsidRPr="00546020">
        <w:t>Data from 82 clients who</w:t>
      </w:r>
      <w:r w:rsidR="00A45899" w:rsidRPr="00546020">
        <w:t xml:space="preserve"> </w:t>
      </w:r>
      <w:r w:rsidR="00C25331" w:rsidRPr="00546020">
        <w:t xml:space="preserve">began </w:t>
      </w:r>
      <w:r w:rsidR="00A45899" w:rsidRPr="00546020">
        <w:t xml:space="preserve">EBI treatment </w:t>
      </w:r>
      <w:r w:rsidR="00D85EB3" w:rsidRPr="00546020">
        <w:t>between</w:t>
      </w:r>
      <w:r w:rsidR="00A45899" w:rsidRPr="00546020">
        <w:t xml:space="preserve"> 1</w:t>
      </w:r>
      <w:r w:rsidR="00A45899" w:rsidRPr="00546020">
        <w:rPr>
          <w:vertAlign w:val="superscript"/>
        </w:rPr>
        <w:t>st</w:t>
      </w:r>
      <w:r w:rsidR="00E672F9" w:rsidRPr="00546020">
        <w:t xml:space="preserve"> </w:t>
      </w:r>
      <w:r w:rsidR="00A45899" w:rsidRPr="00546020">
        <w:t>April 2015 and 30</w:t>
      </w:r>
      <w:r w:rsidR="00A45899" w:rsidRPr="00546020">
        <w:rPr>
          <w:vertAlign w:val="superscript"/>
        </w:rPr>
        <w:t>th</w:t>
      </w:r>
      <w:r w:rsidR="00A45899" w:rsidRPr="00546020">
        <w:t xml:space="preserve"> April 2016</w:t>
      </w:r>
      <w:r w:rsidR="00993E99" w:rsidRPr="00546020">
        <w:t xml:space="preserve"> </w:t>
      </w:r>
      <w:r w:rsidR="00C25331" w:rsidRPr="00546020">
        <w:t>were</w:t>
      </w:r>
      <w:r w:rsidR="00993E99" w:rsidRPr="00546020">
        <w:t xml:space="preserve"> included in the study</w:t>
      </w:r>
      <w:r w:rsidR="00A45899" w:rsidRPr="00546020">
        <w:t xml:space="preserve">. </w:t>
      </w:r>
      <w:r w:rsidR="00525ABA" w:rsidRPr="00546020">
        <w:t xml:space="preserve">Data </w:t>
      </w:r>
      <w:r w:rsidR="002E040F" w:rsidRPr="00546020">
        <w:t>were</w:t>
      </w:r>
      <w:r w:rsidR="00525ABA" w:rsidRPr="00546020">
        <w:t xml:space="preserve"> not available pertaining to c</w:t>
      </w:r>
      <w:r w:rsidRPr="00546020">
        <w:t>lients</w:t>
      </w:r>
      <w:r w:rsidR="00A45899" w:rsidRPr="00546020">
        <w:t xml:space="preserve"> </w:t>
      </w:r>
      <w:r w:rsidR="00525ABA" w:rsidRPr="00546020">
        <w:t xml:space="preserve">who, post referral and initial assessment (but prior to receiving the EBI), were </w:t>
      </w:r>
      <w:r w:rsidR="00A45899" w:rsidRPr="00546020">
        <w:t>transferred to more intensive treatment due to alcohol dependency</w:t>
      </w:r>
      <w:r w:rsidR="00525ABA" w:rsidRPr="00546020">
        <w:t xml:space="preserve">.  Such early </w:t>
      </w:r>
      <w:r w:rsidR="002E040F" w:rsidRPr="00546020">
        <w:t>referrals</w:t>
      </w:r>
      <w:r w:rsidR="00384952" w:rsidRPr="00546020">
        <w:t xml:space="preserve"> </w:t>
      </w:r>
      <w:r w:rsidR="00D052BA" w:rsidRPr="00546020">
        <w:t xml:space="preserve">took place </w:t>
      </w:r>
      <w:proofErr w:type="gramStart"/>
      <w:r w:rsidR="00D052BA" w:rsidRPr="00546020">
        <w:t>on the basis of</w:t>
      </w:r>
      <w:proofErr w:type="gramEnd"/>
      <w:r w:rsidR="00D052BA" w:rsidRPr="00546020">
        <w:t xml:space="preserve"> clinical </w:t>
      </w:r>
      <w:r w:rsidR="00D052BA" w:rsidRPr="00546020">
        <w:lastRenderedPageBreak/>
        <w:t>judgement</w:t>
      </w:r>
      <w:r w:rsidR="002E040F" w:rsidRPr="00546020">
        <w:t xml:space="preserve"> of suitability to EBIs</w:t>
      </w:r>
      <w:r w:rsidR="00A45899" w:rsidRPr="00546020">
        <w:t>.</w:t>
      </w:r>
      <w:r w:rsidRPr="00546020">
        <w:t xml:space="preserve"> </w:t>
      </w:r>
      <w:r w:rsidR="009970C7" w:rsidRPr="00546020">
        <w:t>Clients</w:t>
      </w:r>
      <w:r w:rsidR="004F4BC3" w:rsidRPr="00546020">
        <w:t xml:space="preserve"> with missing</w:t>
      </w:r>
      <w:r w:rsidRPr="00546020">
        <w:t xml:space="preserve"> data </w:t>
      </w:r>
      <w:r w:rsidR="00C42B08" w:rsidRPr="00546020">
        <w:t xml:space="preserve">(i.e. a scale score) </w:t>
      </w:r>
      <w:r w:rsidRPr="00546020">
        <w:t xml:space="preserve">were </w:t>
      </w:r>
      <w:r w:rsidR="0063101E" w:rsidRPr="00546020">
        <w:t xml:space="preserve">excluded from the analysis in which that data </w:t>
      </w:r>
      <w:r w:rsidR="00B4522F" w:rsidRPr="00546020">
        <w:t xml:space="preserve">were </w:t>
      </w:r>
      <w:r w:rsidRPr="00546020">
        <w:t>being used</w:t>
      </w:r>
      <w:r w:rsidR="00141728" w:rsidRPr="00546020">
        <w:rPr>
          <w:rStyle w:val="FootnoteReference"/>
        </w:rPr>
        <w:footnoteReference w:id="1"/>
      </w:r>
      <w:r w:rsidR="0063101E" w:rsidRPr="00546020">
        <w:t>.</w:t>
      </w:r>
      <w:r w:rsidR="00F66AE6" w:rsidRPr="00546020">
        <w:t xml:space="preserve"> All </w:t>
      </w:r>
      <w:r w:rsidR="009970C7" w:rsidRPr="00546020">
        <w:t xml:space="preserve">clients </w:t>
      </w:r>
      <w:r w:rsidR="00F66AE6" w:rsidRPr="00546020">
        <w:t>provided consent for their data to be used anonymously for service evaluation purposes</w:t>
      </w:r>
      <w:r w:rsidR="0088016E" w:rsidRPr="00546020">
        <w:t>.</w:t>
      </w:r>
    </w:p>
    <w:p w14:paraId="70381B52" w14:textId="52A1F401" w:rsidR="0030544A" w:rsidRPr="00546020" w:rsidRDefault="00582B2F" w:rsidP="00677788">
      <w:pPr>
        <w:pStyle w:val="Heading2"/>
      </w:pPr>
      <w:r w:rsidRPr="00546020">
        <w:t>Descriptions of interventions</w:t>
      </w:r>
    </w:p>
    <w:p w14:paraId="337D1E76" w14:textId="47D14310" w:rsidR="00582B2F" w:rsidRPr="00546020" w:rsidRDefault="00582B2F" w:rsidP="00582B2F">
      <w:pPr>
        <w:spacing w:line="480" w:lineRule="auto"/>
        <w:ind w:firstLine="709"/>
      </w:pPr>
      <w:r w:rsidRPr="00546020">
        <w:t>The current study utilised data collected by a community alcohol treatment agency (the Haringey Advisory Group on Alcohol [HAGA]) as part of their normal service monitoring procedures to draw preliminary comparisons between online and F2F delivery of EBI. Specifically, the interventions</w:t>
      </w:r>
      <w:r w:rsidRPr="00546020">
        <w:rPr>
          <w:rFonts w:eastAsia="Times New Roman"/>
          <w:color w:val="000000"/>
        </w:rPr>
        <w:t xml:space="preserve"> at HAGA involved one to six </w:t>
      </w:r>
      <w:proofErr w:type="gramStart"/>
      <w:r w:rsidRPr="00546020">
        <w:rPr>
          <w:rFonts w:eastAsia="Times New Roman"/>
          <w:color w:val="000000"/>
        </w:rPr>
        <w:t>20-40 minute</w:t>
      </w:r>
      <w:proofErr w:type="gramEnd"/>
      <w:r w:rsidRPr="00546020">
        <w:rPr>
          <w:rFonts w:eastAsia="Times New Roman"/>
          <w:color w:val="000000"/>
        </w:rPr>
        <w:t xml:space="preserve"> motivational interviewing sessions, </w:t>
      </w:r>
      <w:r w:rsidR="003F41EE" w:rsidRPr="00546020">
        <w:rPr>
          <w:rFonts w:eastAsia="Times New Roman"/>
          <w:color w:val="000000"/>
        </w:rPr>
        <w:t xml:space="preserve">that </w:t>
      </w:r>
      <w:r w:rsidRPr="00546020">
        <w:rPr>
          <w:rFonts w:eastAsia="Times New Roman"/>
          <w:color w:val="000000"/>
        </w:rPr>
        <w:t xml:space="preserve">focused on increasing individuals’ motivation and confidence, weighing the pros and cons of change, planning change strategies, and reviewing progress. The </w:t>
      </w:r>
      <w:r w:rsidRPr="00546020">
        <w:t>EBI worksheet used at this service was based on the content and format in a large scale randomised control</w:t>
      </w:r>
      <w:r w:rsidR="009431A4" w:rsidRPr="00546020">
        <w:t>led</w:t>
      </w:r>
      <w:r w:rsidRPr="00546020">
        <w:t xml:space="preserve"> trial (</w:t>
      </w:r>
      <w:proofErr w:type="spellStart"/>
      <w:r w:rsidRPr="00546020">
        <w:t>Coulton</w:t>
      </w:r>
      <w:proofErr w:type="spellEnd"/>
      <w:r w:rsidRPr="00546020">
        <w:t xml:space="preserve"> et al., 2009). The F2F EBI sessions were delivered at the HAGA centre and local general practices. Online EBI sessions were delivered over Skype (an online video call platform) with clients who self-referred from a website (</w:t>
      </w:r>
      <w:hyperlink r:id="rId8" w:history="1">
        <w:r w:rsidRPr="00546020">
          <w:t>www.dontbottleitup.org.uk</w:t>
        </w:r>
      </w:hyperlink>
      <w:r w:rsidRPr="00546020">
        <w:t xml:space="preserve">) or internal HAGA referrals. All alcohol services at HAGA were provided free at point of entry </w:t>
      </w:r>
      <w:r w:rsidR="00FF5DAE" w:rsidRPr="00546020">
        <w:t xml:space="preserve">and throughout </w:t>
      </w:r>
      <w:r w:rsidRPr="00546020">
        <w:t>to self-referred adult clients who live or work in the London Borough of Haringey</w:t>
      </w:r>
      <w:r w:rsidR="00FF5DAE" w:rsidRPr="00546020">
        <w:t xml:space="preserve"> </w:t>
      </w:r>
      <w:r w:rsidR="00942808" w:rsidRPr="00546020">
        <w:t>(</w:t>
      </w:r>
      <w:r w:rsidR="00FF5DAE" w:rsidRPr="00546020">
        <w:t xml:space="preserve">these services are </w:t>
      </w:r>
      <w:r w:rsidR="00942808" w:rsidRPr="00546020">
        <w:t xml:space="preserve">funded by the </w:t>
      </w:r>
      <w:r w:rsidR="00FF5DAE" w:rsidRPr="00546020">
        <w:t>local authority</w:t>
      </w:r>
      <w:r w:rsidR="00942808" w:rsidRPr="00546020">
        <w:t>)</w:t>
      </w:r>
      <w:r w:rsidRPr="00546020">
        <w:t>.</w:t>
      </w:r>
      <w:r w:rsidR="00FF5DAE" w:rsidRPr="00546020">
        <w:t xml:space="preserve">  </w:t>
      </w:r>
      <w:r w:rsidRPr="00546020">
        <w:t xml:space="preserve"> </w:t>
      </w:r>
    </w:p>
    <w:p w14:paraId="62067081" w14:textId="77777777" w:rsidR="00855B40" w:rsidRPr="00546020" w:rsidRDefault="00855B40" w:rsidP="00677788">
      <w:pPr>
        <w:spacing w:before="100" w:beforeAutospacing="1" w:after="100" w:afterAutospacing="1" w:line="480" w:lineRule="auto"/>
        <w:ind w:firstLine="706"/>
        <w:rPr>
          <w:sz w:val="22"/>
          <w:szCs w:val="22"/>
        </w:rPr>
      </w:pPr>
      <w:r w:rsidRPr="00546020">
        <w:t xml:space="preserve">The F2F and Skype EBIs were identical except for the mode of delivery </w:t>
      </w:r>
      <w:r w:rsidR="00796050" w:rsidRPr="00546020">
        <w:t>(</w:t>
      </w:r>
      <w:r w:rsidRPr="00546020">
        <w:t>as specified above</w:t>
      </w:r>
      <w:r w:rsidR="00796050" w:rsidRPr="00546020">
        <w:t>)</w:t>
      </w:r>
      <w:r w:rsidRPr="00546020">
        <w:t xml:space="preserve"> and the practitioner</w:t>
      </w:r>
      <w:r w:rsidR="0088016E" w:rsidRPr="00546020">
        <w:t xml:space="preserve"> (one per condition)</w:t>
      </w:r>
      <w:r w:rsidRPr="00546020">
        <w:t xml:space="preserve">. Both interventions were identical in terms of content and process in that both practitioners had received the same face to face training and </w:t>
      </w:r>
      <w:r w:rsidRPr="00546020">
        <w:lastRenderedPageBreak/>
        <w:t>used the same manual, flow charts (or care pathways), screening tools and both attended the same supervision provided by in house staff.</w:t>
      </w:r>
      <w:r w:rsidRPr="00546020">
        <w:rPr>
          <w:sz w:val="22"/>
          <w:szCs w:val="22"/>
        </w:rPr>
        <w:t xml:space="preserve"> </w:t>
      </w:r>
    </w:p>
    <w:p w14:paraId="2C16E453" w14:textId="77777777" w:rsidR="00A271B4" w:rsidRPr="00546020" w:rsidRDefault="00BF7250" w:rsidP="00A33EFD">
      <w:pPr>
        <w:pStyle w:val="Heading2"/>
      </w:pPr>
      <w:r w:rsidRPr="00546020">
        <w:t>Measures</w:t>
      </w:r>
    </w:p>
    <w:p w14:paraId="0542075E" w14:textId="77E549EC" w:rsidR="00FE0740" w:rsidRPr="00546020" w:rsidRDefault="00E672F9" w:rsidP="00DA7780">
      <w:pPr>
        <w:pStyle w:val="p1"/>
        <w:spacing w:line="480" w:lineRule="auto"/>
        <w:ind w:firstLine="567"/>
        <w:rPr>
          <w:rFonts w:ascii="Times New Roman" w:hAnsi="Times New Roman"/>
          <w:sz w:val="24"/>
          <w:szCs w:val="24"/>
        </w:rPr>
      </w:pPr>
      <w:r w:rsidRPr="00546020">
        <w:rPr>
          <w:rFonts w:ascii="Times New Roman" w:hAnsi="Times New Roman"/>
          <w:i/>
          <w:sz w:val="24"/>
          <w:szCs w:val="24"/>
        </w:rPr>
        <w:t>AUDI</w:t>
      </w:r>
      <w:r w:rsidR="00FE0740" w:rsidRPr="00546020">
        <w:rPr>
          <w:rFonts w:ascii="Times New Roman" w:hAnsi="Times New Roman"/>
          <w:i/>
          <w:sz w:val="24"/>
          <w:szCs w:val="24"/>
        </w:rPr>
        <w:t>T:</w:t>
      </w:r>
      <w:r w:rsidR="0063101E" w:rsidRPr="00546020">
        <w:rPr>
          <w:rFonts w:ascii="Times New Roman" w:hAnsi="Times New Roman"/>
          <w:i/>
          <w:sz w:val="24"/>
          <w:szCs w:val="24"/>
        </w:rPr>
        <w:t xml:space="preserve"> </w:t>
      </w:r>
      <w:r w:rsidR="00FE0740" w:rsidRPr="00546020">
        <w:rPr>
          <w:rFonts w:ascii="Times New Roman" w:eastAsia="Times New Roman" w:hAnsi="Times New Roman"/>
          <w:sz w:val="24"/>
          <w:szCs w:val="24"/>
        </w:rPr>
        <w:t>The Alcohol Use Disorder Identification Tes</w:t>
      </w:r>
      <w:r w:rsidR="00F02E6F" w:rsidRPr="00546020">
        <w:rPr>
          <w:rFonts w:ascii="Times New Roman" w:eastAsia="Times New Roman" w:hAnsi="Times New Roman"/>
          <w:sz w:val="24"/>
          <w:szCs w:val="24"/>
        </w:rPr>
        <w:t>t</w:t>
      </w:r>
      <w:r w:rsidR="00641F96" w:rsidRPr="00546020">
        <w:rPr>
          <w:rFonts w:ascii="Times New Roman" w:eastAsia="Times New Roman" w:hAnsi="Times New Roman"/>
          <w:sz w:val="24"/>
          <w:szCs w:val="24"/>
        </w:rPr>
        <w:t xml:space="preserve"> </w:t>
      </w:r>
      <w:r w:rsidR="00F02E6F" w:rsidRPr="00546020">
        <w:rPr>
          <w:rFonts w:ascii="Times New Roman" w:eastAsia="Times New Roman" w:hAnsi="Times New Roman"/>
          <w:sz w:val="24"/>
          <w:szCs w:val="24"/>
        </w:rPr>
        <w:t>(</w:t>
      </w:r>
      <w:r w:rsidR="00FE0740" w:rsidRPr="00546020">
        <w:rPr>
          <w:rFonts w:ascii="Times New Roman" w:eastAsia="Times New Roman" w:hAnsi="Times New Roman"/>
          <w:sz w:val="24"/>
          <w:szCs w:val="24"/>
        </w:rPr>
        <w:t>AUDIT;</w:t>
      </w:r>
      <w:r w:rsidR="00EE7C17" w:rsidRPr="00546020">
        <w:rPr>
          <w:rFonts w:ascii="Times New Roman" w:eastAsia="Times New Roman" w:hAnsi="Times New Roman"/>
          <w:sz w:val="24"/>
          <w:szCs w:val="24"/>
        </w:rPr>
        <w:t xml:space="preserve"> </w:t>
      </w:r>
      <w:r w:rsidR="00EE7C17" w:rsidRPr="00546020">
        <w:rPr>
          <w:rFonts w:ascii="Times New Roman" w:hAnsi="Times New Roman"/>
          <w:sz w:val="24"/>
          <w:szCs w:val="24"/>
          <w:lang w:val="en-US"/>
        </w:rPr>
        <w:t>Saunders</w:t>
      </w:r>
      <w:r w:rsidR="00B4668E" w:rsidRPr="00546020">
        <w:rPr>
          <w:rFonts w:ascii="Times New Roman" w:hAnsi="Times New Roman"/>
          <w:sz w:val="24"/>
          <w:szCs w:val="24"/>
          <w:lang w:val="en-US"/>
        </w:rPr>
        <w:t xml:space="preserve"> et al.</w:t>
      </w:r>
      <w:r w:rsidR="00EE7C17" w:rsidRPr="00546020">
        <w:rPr>
          <w:rFonts w:ascii="Times New Roman" w:hAnsi="Times New Roman"/>
          <w:sz w:val="24"/>
          <w:szCs w:val="24"/>
          <w:lang w:val="en-US"/>
        </w:rPr>
        <w:t>, 1993</w:t>
      </w:r>
      <w:r w:rsidR="00FE0740" w:rsidRPr="00546020">
        <w:rPr>
          <w:rFonts w:ascii="Times New Roman" w:eastAsia="Times New Roman" w:hAnsi="Times New Roman"/>
          <w:sz w:val="24"/>
          <w:szCs w:val="24"/>
        </w:rPr>
        <w:t>)</w:t>
      </w:r>
      <w:r w:rsidR="00F12EBF" w:rsidRPr="00546020">
        <w:rPr>
          <w:rFonts w:ascii="Times New Roman" w:eastAsia="Times New Roman" w:hAnsi="Times New Roman"/>
          <w:sz w:val="24"/>
          <w:szCs w:val="24"/>
        </w:rPr>
        <w:t xml:space="preserve"> </w:t>
      </w:r>
      <w:r w:rsidR="007A0E95" w:rsidRPr="00546020">
        <w:rPr>
          <w:rFonts w:ascii="Times New Roman" w:hAnsi="Times New Roman"/>
          <w:sz w:val="24"/>
          <w:szCs w:val="24"/>
        </w:rPr>
        <w:t>w</w:t>
      </w:r>
      <w:r w:rsidR="0003403E" w:rsidRPr="00546020">
        <w:rPr>
          <w:rFonts w:ascii="Times New Roman" w:hAnsi="Times New Roman"/>
          <w:sz w:val="24"/>
          <w:szCs w:val="24"/>
        </w:rPr>
        <w:t>as used to measure</w:t>
      </w:r>
      <w:r w:rsidR="0003403E" w:rsidRPr="00546020">
        <w:rPr>
          <w:rFonts w:ascii="Times New Roman" w:hAnsi="Times New Roman"/>
          <w:sz w:val="24"/>
          <w:szCs w:val="24"/>
          <w:lang w:val="en-US"/>
        </w:rPr>
        <w:t xml:space="preserve"> problem drinking</w:t>
      </w:r>
      <w:r w:rsidR="00FE0740" w:rsidRPr="00546020">
        <w:rPr>
          <w:rFonts w:ascii="Times New Roman" w:hAnsi="Times New Roman"/>
          <w:sz w:val="24"/>
          <w:szCs w:val="24"/>
          <w:lang w:val="en-US"/>
        </w:rPr>
        <w:t xml:space="preserve"> on entry to the service. </w:t>
      </w:r>
      <w:r w:rsidR="00AB6584" w:rsidRPr="00546020">
        <w:rPr>
          <w:rFonts w:ascii="Times New Roman" w:eastAsia="Times New Roman" w:hAnsi="Times New Roman"/>
          <w:sz w:val="24"/>
          <w:szCs w:val="24"/>
        </w:rPr>
        <w:t>This</w:t>
      </w:r>
      <w:r w:rsidR="00D97775" w:rsidRPr="00546020">
        <w:rPr>
          <w:rFonts w:ascii="Times New Roman" w:eastAsia="Times New Roman" w:hAnsi="Times New Roman"/>
          <w:sz w:val="24"/>
          <w:szCs w:val="24"/>
        </w:rPr>
        <w:t xml:space="preserve"> 10-item measure</w:t>
      </w:r>
      <w:r w:rsidR="00F12EBF" w:rsidRPr="00546020">
        <w:rPr>
          <w:rFonts w:ascii="Times New Roman" w:eastAsia="Times New Roman" w:hAnsi="Times New Roman"/>
          <w:sz w:val="24"/>
          <w:szCs w:val="24"/>
        </w:rPr>
        <w:t xml:space="preserve"> </w:t>
      </w:r>
      <w:r w:rsidR="00AB6584" w:rsidRPr="00546020">
        <w:rPr>
          <w:rFonts w:ascii="Times New Roman" w:eastAsia="Times New Roman" w:hAnsi="Times New Roman"/>
          <w:sz w:val="24"/>
          <w:szCs w:val="24"/>
        </w:rPr>
        <w:t>identifies four levels of risk (low, increasing, higher and dependent) with scores ranging from 0</w:t>
      </w:r>
      <w:r w:rsidR="00B302E7" w:rsidRPr="00546020">
        <w:rPr>
          <w:rFonts w:ascii="Times New Roman" w:eastAsia="Times New Roman" w:hAnsi="Times New Roman"/>
          <w:sz w:val="24"/>
          <w:szCs w:val="24"/>
        </w:rPr>
        <w:t>-4</w:t>
      </w:r>
      <w:r w:rsidR="005B45EE" w:rsidRPr="00546020">
        <w:rPr>
          <w:rFonts w:ascii="Times New Roman" w:eastAsia="Times New Roman" w:hAnsi="Times New Roman"/>
          <w:sz w:val="24"/>
          <w:szCs w:val="24"/>
        </w:rPr>
        <w:t>0</w:t>
      </w:r>
      <w:r w:rsidR="007A0E95" w:rsidRPr="00546020">
        <w:rPr>
          <w:rFonts w:ascii="Times New Roman" w:eastAsia="Times New Roman" w:hAnsi="Times New Roman"/>
          <w:sz w:val="24"/>
          <w:szCs w:val="24"/>
        </w:rPr>
        <w:t xml:space="preserve"> (</w:t>
      </w:r>
      <w:r w:rsidR="00F60ECB" w:rsidRPr="00546020">
        <w:rPr>
          <w:rFonts w:ascii="Times New Roman" w:hAnsi="Times New Roman"/>
          <w:sz w:val="24"/>
          <w:szCs w:val="24"/>
        </w:rPr>
        <w:t>scores ≥ 6 for women and ≥ 8 for men indicating problematic use</w:t>
      </w:r>
      <w:r w:rsidR="00B302E7" w:rsidRPr="00546020">
        <w:rPr>
          <w:rFonts w:ascii="Times New Roman" w:hAnsi="Times New Roman"/>
          <w:sz w:val="24"/>
          <w:szCs w:val="24"/>
        </w:rPr>
        <w:t xml:space="preserve"> and scores of 20-40 indicating probable dependence on alcohol for both genders</w:t>
      </w:r>
      <w:r w:rsidR="00F60ECB" w:rsidRPr="00546020">
        <w:rPr>
          <w:rFonts w:ascii="Times New Roman" w:hAnsi="Times New Roman"/>
          <w:sz w:val="24"/>
          <w:szCs w:val="24"/>
        </w:rPr>
        <w:t>).</w:t>
      </w:r>
      <w:r w:rsidR="00B302E7" w:rsidRPr="00546020">
        <w:rPr>
          <w:rFonts w:ascii="Times New Roman" w:hAnsi="Times New Roman"/>
          <w:sz w:val="24"/>
          <w:szCs w:val="24"/>
        </w:rPr>
        <w:t xml:space="preserve">  </w:t>
      </w:r>
      <w:r w:rsidR="00F60ECB" w:rsidRPr="00546020">
        <w:rPr>
          <w:rFonts w:ascii="Times New Roman" w:hAnsi="Times New Roman"/>
          <w:sz w:val="24"/>
          <w:szCs w:val="24"/>
        </w:rPr>
        <w:t xml:space="preserve"> </w:t>
      </w:r>
    </w:p>
    <w:p w14:paraId="51215200" w14:textId="0B4DB96C" w:rsidR="00DE6F3A" w:rsidRPr="00546020" w:rsidRDefault="00501AFD" w:rsidP="00DA7780">
      <w:pPr>
        <w:spacing w:line="480" w:lineRule="auto"/>
        <w:ind w:firstLine="709"/>
      </w:pPr>
      <w:r w:rsidRPr="00546020">
        <w:rPr>
          <w:i/>
        </w:rPr>
        <w:t>Outcome measures</w:t>
      </w:r>
      <w:r w:rsidR="00C25331" w:rsidRPr="00546020">
        <w:rPr>
          <w:i/>
        </w:rPr>
        <w:t>:</w:t>
      </w:r>
      <w:r w:rsidR="0003403E" w:rsidRPr="00546020">
        <w:rPr>
          <w:i/>
        </w:rPr>
        <w:t xml:space="preserve"> </w:t>
      </w:r>
      <w:r w:rsidR="005F2047" w:rsidRPr="00546020">
        <w:t>Several</w:t>
      </w:r>
      <w:r w:rsidR="0003403E" w:rsidRPr="00546020">
        <w:t xml:space="preserve"> </w:t>
      </w:r>
      <w:r w:rsidR="00AE49A4" w:rsidRPr="00546020">
        <w:t xml:space="preserve">outcome </w:t>
      </w:r>
      <w:r w:rsidR="0003403E" w:rsidRPr="00546020">
        <w:t>measures were drawn from the Treatment Outcome Profile questionnaire (</w:t>
      </w:r>
      <w:r w:rsidR="00DE6F3A" w:rsidRPr="00546020">
        <w:t>TOPS</w:t>
      </w:r>
      <w:r w:rsidR="0003403E" w:rsidRPr="00546020">
        <w:t xml:space="preserve">, </w:t>
      </w:r>
      <w:r w:rsidR="00DE6F3A" w:rsidRPr="00546020">
        <w:t xml:space="preserve">Marsden </w:t>
      </w:r>
      <w:r w:rsidR="00432901" w:rsidRPr="00546020">
        <w:t>et al.,</w:t>
      </w:r>
      <w:r w:rsidR="00DE6F3A" w:rsidRPr="00546020">
        <w:t xml:space="preserve"> 2008)</w:t>
      </w:r>
      <w:r w:rsidR="0003403E" w:rsidRPr="00546020">
        <w:t xml:space="preserve">, a standard outcome instrument used by all </w:t>
      </w:r>
      <w:r w:rsidR="00744E32" w:rsidRPr="00546020">
        <w:t>publicly</w:t>
      </w:r>
      <w:r w:rsidR="0003403E" w:rsidRPr="00546020">
        <w:t xml:space="preserve"> funded </w:t>
      </w:r>
      <w:r w:rsidR="00B4522F" w:rsidRPr="00546020">
        <w:t xml:space="preserve">UK </w:t>
      </w:r>
      <w:r w:rsidR="0003403E" w:rsidRPr="00546020">
        <w:t>addiction treatment organisations</w:t>
      </w:r>
      <w:r w:rsidRPr="00546020">
        <w:t xml:space="preserve">, completed by the </w:t>
      </w:r>
      <w:r w:rsidR="008A67B6" w:rsidRPr="00546020">
        <w:t>clinician,</w:t>
      </w:r>
      <w:r w:rsidRPr="00546020">
        <w:t xml:space="preserve"> using clients self-reported data</w:t>
      </w:r>
      <w:r w:rsidR="0003403E" w:rsidRPr="00546020">
        <w:t>.</w:t>
      </w:r>
      <w:r w:rsidRPr="00546020">
        <w:t xml:space="preserve"> </w:t>
      </w:r>
      <w:r w:rsidR="008903B6" w:rsidRPr="00546020">
        <w:t>This included</w:t>
      </w:r>
      <w:r w:rsidR="00B4522F" w:rsidRPr="00546020">
        <w:t xml:space="preserve"> m</w:t>
      </w:r>
      <w:r w:rsidRPr="00546020">
        <w:t xml:space="preserve">easures of </w:t>
      </w:r>
      <w:r w:rsidRPr="00546020">
        <w:rPr>
          <w:i/>
        </w:rPr>
        <w:t>psychological wellbeing</w:t>
      </w:r>
      <w:r w:rsidRPr="00546020">
        <w:t xml:space="preserve">, </w:t>
      </w:r>
      <w:r w:rsidRPr="00546020">
        <w:rPr>
          <w:i/>
        </w:rPr>
        <w:t>physical health</w:t>
      </w:r>
      <w:r w:rsidRPr="00546020">
        <w:t xml:space="preserve">, and </w:t>
      </w:r>
      <w:r w:rsidRPr="00546020">
        <w:rPr>
          <w:i/>
        </w:rPr>
        <w:t>overall quality of life</w:t>
      </w:r>
      <w:r w:rsidRPr="00546020">
        <w:t xml:space="preserve"> using single items, on </w:t>
      </w:r>
      <w:proofErr w:type="spellStart"/>
      <w:r w:rsidRPr="00546020">
        <w:t>scales</w:t>
      </w:r>
      <w:proofErr w:type="spellEnd"/>
      <w:r w:rsidRPr="00546020">
        <w:t xml:space="preserve"> of 0-20 </w:t>
      </w:r>
      <w:r w:rsidR="008903B6" w:rsidRPr="00546020">
        <w:t>(</w:t>
      </w:r>
      <w:r w:rsidR="00B4668E" w:rsidRPr="00546020">
        <w:t>0 “</w:t>
      </w:r>
      <w:r w:rsidRPr="00546020">
        <w:t xml:space="preserve">poor” and 20 “good”). The </w:t>
      </w:r>
      <w:r w:rsidRPr="00546020">
        <w:rPr>
          <w:i/>
        </w:rPr>
        <w:t xml:space="preserve">number of days in work </w:t>
      </w:r>
      <w:r w:rsidRPr="00546020">
        <w:t xml:space="preserve">(in the past 28 days including; paid work, volunteering/ structured work placement and/or school or college attendance) and the </w:t>
      </w:r>
      <w:r w:rsidRPr="00546020">
        <w:rPr>
          <w:i/>
        </w:rPr>
        <w:t>number of drinking days</w:t>
      </w:r>
      <w:r w:rsidRPr="00546020">
        <w:t xml:space="preserve"> (defined as the number of the number of days which the participant has used alcohol or substances in the past four weeks in the past 28 days) were also recorded, alongside demographic information (</w:t>
      </w:r>
      <w:r w:rsidRPr="00546020">
        <w:rPr>
          <w:i/>
        </w:rPr>
        <w:t>age</w:t>
      </w:r>
      <w:r w:rsidRPr="00546020">
        <w:t>/</w:t>
      </w:r>
      <w:r w:rsidRPr="00546020">
        <w:rPr>
          <w:i/>
        </w:rPr>
        <w:t>gender</w:t>
      </w:r>
      <w:r w:rsidRPr="00546020">
        <w:t>).</w:t>
      </w:r>
      <w:r w:rsidR="00B4522F" w:rsidRPr="00546020">
        <w:rPr>
          <w:i/>
        </w:rPr>
        <w:t xml:space="preserve"> </w:t>
      </w:r>
      <w:r w:rsidR="0003403E" w:rsidRPr="00546020">
        <w:rPr>
          <w:i/>
        </w:rPr>
        <w:t>Treatment attendance</w:t>
      </w:r>
      <w:r w:rsidR="003717EE" w:rsidRPr="00546020">
        <w:rPr>
          <w:i/>
        </w:rPr>
        <w:t xml:space="preserve"> </w:t>
      </w:r>
      <w:r w:rsidR="0003403E" w:rsidRPr="00546020">
        <w:t>was recorded by the clinician.</w:t>
      </w:r>
      <w:r w:rsidR="00DE6F3A" w:rsidRPr="00546020">
        <w:t xml:space="preserve"> </w:t>
      </w:r>
      <w:r w:rsidR="00B232A0" w:rsidRPr="00546020">
        <w:t xml:space="preserve">All measures were verbally delivered by the clinician during the EBI sessions and participants’ responses recorded on paper forms before being transferred to electronic format. </w:t>
      </w:r>
    </w:p>
    <w:p w14:paraId="0653B454" w14:textId="77777777" w:rsidR="00481537" w:rsidRPr="00546020" w:rsidRDefault="007770EC" w:rsidP="00677788">
      <w:pPr>
        <w:pStyle w:val="Heading2"/>
      </w:pPr>
      <w:r w:rsidRPr="00546020">
        <w:t>Procedure</w:t>
      </w:r>
    </w:p>
    <w:p w14:paraId="5439A453" w14:textId="07A50918" w:rsidR="007770EC" w:rsidRPr="00546020" w:rsidRDefault="007770EC" w:rsidP="00677788">
      <w:pPr>
        <w:spacing w:line="480" w:lineRule="auto"/>
      </w:pPr>
      <w:r w:rsidRPr="00546020">
        <w:t>The data were collated by HAGA from their archives and passed to the data analysis team (</w:t>
      </w:r>
      <w:r w:rsidR="003839D1" w:rsidRPr="00546020">
        <w:t>BLINDED FOR REVIEW</w:t>
      </w:r>
      <w:r w:rsidRPr="00546020">
        <w:t xml:space="preserve">). The analysis </w:t>
      </w:r>
      <w:r w:rsidR="002219C5" w:rsidRPr="00546020">
        <w:t>(</w:t>
      </w:r>
      <w:r w:rsidRPr="00546020">
        <w:t>reported below</w:t>
      </w:r>
      <w:r w:rsidR="002219C5" w:rsidRPr="00546020">
        <w:t>)</w:t>
      </w:r>
      <w:r w:rsidRPr="00546020">
        <w:t xml:space="preserve"> was undertaken independently of HAGA. The results were prepared for publication by the research team, including individuals employed by HAGA (see Conflicts of Interest, below)</w:t>
      </w:r>
      <w:r w:rsidR="00D61519" w:rsidRPr="00546020">
        <w:t>.</w:t>
      </w:r>
      <w:r w:rsidR="00B75286" w:rsidRPr="00546020">
        <w:t xml:space="preserve"> The research was considered a service </w:t>
      </w:r>
      <w:r w:rsidR="00B75286" w:rsidRPr="00546020">
        <w:lastRenderedPageBreak/>
        <w:t>evaluation by LSBU and</w:t>
      </w:r>
      <w:r w:rsidR="00B4668E" w:rsidRPr="00546020">
        <w:t xml:space="preserve"> thus</w:t>
      </w:r>
      <w:r w:rsidR="00B75286" w:rsidRPr="00546020">
        <w:t xml:space="preserve"> did not undergo ethical review.</w:t>
      </w:r>
      <w:r w:rsidR="00177D71" w:rsidRPr="00546020">
        <w:t xml:space="preserve"> The use of the data</w:t>
      </w:r>
      <w:r w:rsidR="00B75286" w:rsidRPr="00546020">
        <w:t xml:space="preserve"> </w:t>
      </w:r>
      <w:r w:rsidR="00177D71" w:rsidRPr="00546020">
        <w:t>for this publication wa</w:t>
      </w:r>
      <w:r w:rsidR="00B75286" w:rsidRPr="00546020">
        <w:t>s also approved by HAGA</w:t>
      </w:r>
      <w:r w:rsidR="00177D71" w:rsidRPr="00546020">
        <w:t>.</w:t>
      </w:r>
    </w:p>
    <w:p w14:paraId="77A4DA38" w14:textId="77777777" w:rsidR="00BF7250" w:rsidRPr="00546020" w:rsidRDefault="00BF7250" w:rsidP="00A33EFD">
      <w:pPr>
        <w:pStyle w:val="Heading1"/>
      </w:pPr>
      <w:r w:rsidRPr="00546020">
        <w:t>Results</w:t>
      </w:r>
    </w:p>
    <w:p w14:paraId="0A549221" w14:textId="77777777" w:rsidR="00F66144" w:rsidRPr="00546020" w:rsidRDefault="00F66144" w:rsidP="00A33EFD">
      <w:pPr>
        <w:pStyle w:val="Heading2"/>
      </w:pPr>
      <w:r w:rsidRPr="00546020">
        <w:t xml:space="preserve">Demographics </w:t>
      </w:r>
    </w:p>
    <w:p w14:paraId="6976B229" w14:textId="2A1ABB82" w:rsidR="00F12EBF" w:rsidRPr="00546020" w:rsidRDefault="00565AB3" w:rsidP="00E961CC">
      <w:pPr>
        <w:spacing w:line="480" w:lineRule="auto"/>
      </w:pPr>
      <w:r w:rsidRPr="00546020">
        <w:t>Clients</w:t>
      </w:r>
      <w:r w:rsidR="00AD60B0" w:rsidRPr="00546020">
        <w:t xml:space="preserve"> </w:t>
      </w:r>
      <w:r w:rsidR="00AC7C64" w:rsidRPr="00546020">
        <w:t xml:space="preserve">referred to </w:t>
      </w:r>
      <w:r w:rsidR="00AD60B0" w:rsidRPr="00546020">
        <w:t>online sessions were significantly younger,</w:t>
      </w:r>
      <w:r w:rsidR="00AD60B0" w:rsidRPr="00546020" w:rsidDel="005F2047">
        <w:t xml:space="preserve"> </w:t>
      </w:r>
      <w:r w:rsidR="00561D72" w:rsidRPr="00546020">
        <w:t>reported significantly higher AUDIT</w:t>
      </w:r>
      <w:r w:rsidR="00F12EBF" w:rsidRPr="00546020">
        <w:t xml:space="preserve"> </w:t>
      </w:r>
      <w:r w:rsidR="00561D72" w:rsidRPr="00546020">
        <w:t>scores and attended more sessions.</w:t>
      </w:r>
      <w:r w:rsidR="00F12EBF" w:rsidRPr="00546020">
        <w:t xml:space="preserve"> </w:t>
      </w:r>
      <w:r w:rsidR="00955E11" w:rsidRPr="00546020">
        <w:t xml:space="preserve">There was no </w:t>
      </w:r>
      <w:r w:rsidR="00561D72" w:rsidRPr="00546020">
        <w:t>association between gender and intervention type</w:t>
      </w:r>
      <w:r w:rsidR="00955E11" w:rsidRPr="00546020">
        <w:t xml:space="preserve">, </w:t>
      </w:r>
      <w:r w:rsidR="00955E11" w:rsidRPr="00546020">
        <w:rPr>
          <w:i/>
        </w:rPr>
        <w:t>x</w:t>
      </w:r>
      <w:r w:rsidR="00955E11" w:rsidRPr="00546020">
        <w:rPr>
          <w:vertAlign w:val="superscript"/>
        </w:rPr>
        <w:t>2</w:t>
      </w:r>
      <w:r w:rsidR="00561D72" w:rsidRPr="00546020">
        <w:rPr>
          <w:vertAlign w:val="superscript"/>
        </w:rPr>
        <w:t xml:space="preserve"> </w:t>
      </w:r>
      <w:r w:rsidR="00955E11" w:rsidRPr="00546020">
        <w:t xml:space="preserve">(1) = .89, </w:t>
      </w:r>
      <w:r w:rsidR="00955E11" w:rsidRPr="00546020">
        <w:rPr>
          <w:i/>
        </w:rPr>
        <w:t>p</w:t>
      </w:r>
      <w:r w:rsidR="00955E11" w:rsidRPr="00546020">
        <w:t xml:space="preserve"> = .89. </w:t>
      </w:r>
      <w:r w:rsidR="00561D72" w:rsidRPr="00546020">
        <w:t xml:space="preserve">See Table 1 for relevant </w:t>
      </w:r>
      <w:r w:rsidR="00932A66" w:rsidRPr="00546020">
        <w:t>descriptive statistics</w:t>
      </w:r>
      <w:r w:rsidR="00110DD3" w:rsidRPr="00546020">
        <w:t xml:space="preserve"> and associated </w:t>
      </w:r>
      <w:r w:rsidR="00110DD3" w:rsidRPr="00151EFC">
        <w:rPr>
          <w:i/>
        </w:rPr>
        <w:t>t</w:t>
      </w:r>
      <w:r w:rsidR="00110DD3" w:rsidRPr="00546020">
        <w:t>-test results</w:t>
      </w:r>
      <w:r w:rsidR="00561D72" w:rsidRPr="00546020">
        <w:t>.</w:t>
      </w:r>
    </w:p>
    <w:p w14:paraId="099DB540" w14:textId="77777777" w:rsidR="0063101E" w:rsidRPr="00546020" w:rsidRDefault="008D0B98" w:rsidP="00E961CC">
      <w:pPr>
        <w:spacing w:line="480" w:lineRule="auto"/>
        <w:jc w:val="center"/>
      </w:pPr>
      <w:r w:rsidRPr="00546020">
        <w:rPr>
          <w:i/>
        </w:rPr>
        <w:t>*******</w:t>
      </w:r>
      <w:r w:rsidR="0063101E" w:rsidRPr="00546020">
        <w:rPr>
          <w:i/>
        </w:rPr>
        <w:t>Table 1</w:t>
      </w:r>
      <w:r w:rsidR="0063101E" w:rsidRPr="00546020">
        <w:t xml:space="preserve"> </w:t>
      </w:r>
      <w:r w:rsidR="00561D72" w:rsidRPr="00546020">
        <w:t xml:space="preserve">about here </w:t>
      </w:r>
      <w:r w:rsidRPr="00546020">
        <w:rPr>
          <w:i/>
        </w:rPr>
        <w:t>*******</w:t>
      </w:r>
    </w:p>
    <w:p w14:paraId="023F1060" w14:textId="77777777" w:rsidR="00283F14" w:rsidRPr="00546020" w:rsidRDefault="003F69AD" w:rsidP="00A33EFD">
      <w:pPr>
        <w:pStyle w:val="Heading2"/>
      </w:pPr>
      <w:r w:rsidRPr="00546020">
        <w:br/>
      </w:r>
      <w:r w:rsidR="00F66144" w:rsidRPr="00546020">
        <w:t>Treatment Outcomes</w:t>
      </w:r>
    </w:p>
    <w:p w14:paraId="3BD0B923" w14:textId="5E982857" w:rsidR="0047689C" w:rsidRPr="00546020" w:rsidRDefault="00643208" w:rsidP="00E961CC">
      <w:pPr>
        <w:spacing w:line="480" w:lineRule="auto"/>
      </w:pPr>
      <w:r w:rsidRPr="00546020">
        <w:t xml:space="preserve">ANOVAs with </w:t>
      </w:r>
      <w:r w:rsidR="0003403E" w:rsidRPr="00546020">
        <w:t xml:space="preserve">Time </w:t>
      </w:r>
      <w:r w:rsidRPr="00546020">
        <w:t>(</w:t>
      </w:r>
      <w:r w:rsidR="004A42ED" w:rsidRPr="00546020">
        <w:t>p</w:t>
      </w:r>
      <w:r w:rsidRPr="00546020">
        <w:t>re</w:t>
      </w:r>
      <w:r w:rsidR="002219C5" w:rsidRPr="00546020">
        <w:t xml:space="preserve"> and</w:t>
      </w:r>
      <w:r w:rsidRPr="00546020">
        <w:t xml:space="preserve"> post-intervention) </w:t>
      </w:r>
      <w:r w:rsidR="00561D72" w:rsidRPr="00546020">
        <w:t xml:space="preserve">as a within-participant factor </w:t>
      </w:r>
      <w:r w:rsidRPr="00546020">
        <w:t>and Intervention (Online vs</w:t>
      </w:r>
      <w:r w:rsidR="00740164" w:rsidRPr="00546020">
        <w:t>.</w:t>
      </w:r>
      <w:r w:rsidRPr="00546020">
        <w:t xml:space="preserve"> F2F) </w:t>
      </w:r>
      <w:r w:rsidR="00561D72" w:rsidRPr="00546020">
        <w:t xml:space="preserve">as a between-participant factor </w:t>
      </w:r>
      <w:r w:rsidRPr="00546020">
        <w:t>were conducted</w:t>
      </w:r>
      <w:r w:rsidR="002219C5" w:rsidRPr="00546020">
        <w:t>,</w:t>
      </w:r>
      <w:r w:rsidR="00AD60B0" w:rsidRPr="00546020">
        <w:t xml:space="preserve"> </w:t>
      </w:r>
      <w:r w:rsidR="003C42C9" w:rsidRPr="00546020">
        <w:t>along</w:t>
      </w:r>
      <w:r w:rsidR="00561D72" w:rsidRPr="00546020">
        <w:t xml:space="preserve"> with relevant simple effects analys</w:t>
      </w:r>
      <w:r w:rsidR="00E4075A" w:rsidRPr="00546020">
        <w:t>i</w:t>
      </w:r>
      <w:r w:rsidR="00561D72" w:rsidRPr="00546020">
        <w:t xml:space="preserve">s </w:t>
      </w:r>
      <w:r w:rsidR="003C42C9" w:rsidRPr="00546020">
        <w:t xml:space="preserve">comparing pre/post scores in each treatment modality </w:t>
      </w:r>
      <w:r w:rsidR="00561D72" w:rsidRPr="00546020">
        <w:t>if appropriate</w:t>
      </w:r>
      <w:r w:rsidR="00F02E6F" w:rsidRPr="00546020">
        <w:t xml:space="preserve">. </w:t>
      </w:r>
      <w:r w:rsidR="00B36168" w:rsidRPr="00546020">
        <w:t xml:space="preserve">A </w:t>
      </w:r>
      <w:r w:rsidR="00677788" w:rsidRPr="00546020">
        <w:t>summary</w:t>
      </w:r>
      <w:r w:rsidR="00B36168" w:rsidRPr="00546020">
        <w:t xml:space="preserve"> of these results is presented below and d</w:t>
      </w:r>
      <w:r w:rsidR="00F02E6F" w:rsidRPr="00546020">
        <w:t xml:space="preserve">escriptive </w:t>
      </w:r>
      <w:r w:rsidR="0047689C" w:rsidRPr="00546020">
        <w:t>statistics</w:t>
      </w:r>
      <w:r w:rsidR="00F02E6F" w:rsidRPr="00546020">
        <w:t xml:space="preserve"> and</w:t>
      </w:r>
      <w:r w:rsidR="009970C7" w:rsidRPr="00546020">
        <w:t xml:space="preserve"> full ANOVA results</w:t>
      </w:r>
      <w:r w:rsidR="00F02E6F" w:rsidRPr="00546020">
        <w:t xml:space="preserve"> </w:t>
      </w:r>
      <w:r w:rsidR="00B36168" w:rsidRPr="00546020">
        <w:t xml:space="preserve">for all analyses </w:t>
      </w:r>
      <w:r w:rsidR="00F02E6F" w:rsidRPr="00546020">
        <w:t xml:space="preserve">are reported in Table </w:t>
      </w:r>
      <w:r w:rsidR="00FD4300" w:rsidRPr="00546020">
        <w:t>2</w:t>
      </w:r>
      <w:r w:rsidR="00F02E6F" w:rsidRPr="00546020">
        <w:t xml:space="preserve">. </w:t>
      </w:r>
      <w:r w:rsidR="00D052BA" w:rsidRPr="00546020">
        <w:t>Participants who received no sessions were not included in the following analyses (as no change scores could be calculated).</w:t>
      </w:r>
    </w:p>
    <w:p w14:paraId="515B49CF" w14:textId="77777777" w:rsidR="00AD60B0" w:rsidRPr="00546020" w:rsidRDefault="00AD60B0" w:rsidP="00E961CC">
      <w:pPr>
        <w:spacing w:line="480" w:lineRule="auto"/>
        <w:jc w:val="center"/>
        <w:rPr>
          <w:i/>
        </w:rPr>
      </w:pPr>
      <w:r w:rsidRPr="00546020">
        <w:rPr>
          <w:i/>
        </w:rPr>
        <w:t>*******Table 2</w:t>
      </w:r>
      <w:r w:rsidR="003C42C9" w:rsidRPr="00546020">
        <w:rPr>
          <w:i/>
        </w:rPr>
        <w:t xml:space="preserve"> about here </w:t>
      </w:r>
      <w:r w:rsidRPr="00546020">
        <w:rPr>
          <w:i/>
        </w:rPr>
        <w:t>******</w:t>
      </w:r>
    </w:p>
    <w:p w14:paraId="362B58BA" w14:textId="77777777" w:rsidR="00F02E6F" w:rsidRPr="00546020" w:rsidRDefault="00F02E6F" w:rsidP="00E961CC">
      <w:pPr>
        <w:spacing w:line="480" w:lineRule="auto"/>
        <w:jc w:val="center"/>
        <w:rPr>
          <w:i/>
        </w:rPr>
      </w:pPr>
    </w:p>
    <w:p w14:paraId="37F798D5" w14:textId="77777777" w:rsidR="00BF7250" w:rsidRPr="00546020" w:rsidRDefault="00F66144" w:rsidP="00E961CC">
      <w:pPr>
        <w:spacing w:line="480" w:lineRule="auto"/>
        <w:ind w:firstLine="720"/>
      </w:pPr>
      <w:r w:rsidRPr="00546020">
        <w:rPr>
          <w:i/>
        </w:rPr>
        <w:t>Psychological wellbeing</w:t>
      </w:r>
      <w:r w:rsidR="004A42ED" w:rsidRPr="00546020">
        <w:rPr>
          <w:i/>
        </w:rPr>
        <w:t>.</w:t>
      </w:r>
      <w:r w:rsidRPr="00546020">
        <w:rPr>
          <w:i/>
        </w:rPr>
        <w:t xml:space="preserve"> </w:t>
      </w:r>
      <w:r w:rsidR="00740164" w:rsidRPr="00546020">
        <w:t>P</w:t>
      </w:r>
      <w:r w:rsidR="002E215F" w:rsidRPr="00546020">
        <w:t xml:space="preserve">sychological </w:t>
      </w:r>
      <w:r w:rsidR="00BF7250" w:rsidRPr="00546020">
        <w:t xml:space="preserve">wellbeing increased </w:t>
      </w:r>
      <w:r w:rsidR="008827EB" w:rsidRPr="00546020">
        <w:t xml:space="preserve">significantly </w:t>
      </w:r>
      <w:r w:rsidR="008103F7" w:rsidRPr="00546020">
        <w:t xml:space="preserve">from </w:t>
      </w:r>
      <w:r w:rsidR="00BF7250" w:rsidRPr="00546020">
        <w:t>pre- (</w:t>
      </w:r>
      <w:r w:rsidR="00BF7250" w:rsidRPr="00546020">
        <w:rPr>
          <w:i/>
        </w:rPr>
        <w:t>M</w:t>
      </w:r>
      <w:r w:rsidR="00BF7250" w:rsidRPr="00546020">
        <w:t xml:space="preserve"> = </w:t>
      </w:r>
      <w:r w:rsidR="0047689C" w:rsidRPr="00546020">
        <w:t>11.33</w:t>
      </w:r>
      <w:r w:rsidR="00BF7250" w:rsidRPr="00546020">
        <w:t xml:space="preserve">, </w:t>
      </w:r>
      <w:r w:rsidR="00932EE6" w:rsidRPr="00546020">
        <w:rPr>
          <w:i/>
        </w:rPr>
        <w:t>S</w:t>
      </w:r>
      <w:r w:rsidR="0047689C" w:rsidRPr="00546020">
        <w:rPr>
          <w:i/>
        </w:rPr>
        <w:t>D</w:t>
      </w:r>
      <w:r w:rsidR="00BF7250" w:rsidRPr="00546020">
        <w:t xml:space="preserve"> = </w:t>
      </w:r>
      <w:r w:rsidR="0047689C" w:rsidRPr="00546020">
        <w:t>4.43</w:t>
      </w:r>
      <w:r w:rsidR="00BF7250" w:rsidRPr="00546020">
        <w:t xml:space="preserve">) </w:t>
      </w:r>
      <w:r w:rsidR="008103F7" w:rsidRPr="00546020">
        <w:t>to</w:t>
      </w:r>
      <w:r w:rsidR="00BF7250" w:rsidRPr="00546020">
        <w:t xml:space="preserve"> post-intervention (</w:t>
      </w:r>
      <w:r w:rsidR="00BF7250" w:rsidRPr="00546020">
        <w:rPr>
          <w:i/>
        </w:rPr>
        <w:t>M</w:t>
      </w:r>
      <w:r w:rsidR="00BF7250" w:rsidRPr="00546020">
        <w:t xml:space="preserve"> = </w:t>
      </w:r>
      <w:r w:rsidR="0047689C" w:rsidRPr="00546020">
        <w:t>14.29</w:t>
      </w:r>
      <w:r w:rsidR="005F7102" w:rsidRPr="00546020">
        <w:t xml:space="preserve">, </w:t>
      </w:r>
      <w:r w:rsidR="00932EE6" w:rsidRPr="00546020">
        <w:rPr>
          <w:i/>
        </w:rPr>
        <w:t>S</w:t>
      </w:r>
      <w:r w:rsidR="0047689C" w:rsidRPr="00546020">
        <w:rPr>
          <w:i/>
        </w:rPr>
        <w:t>D</w:t>
      </w:r>
      <w:r w:rsidR="005F7102" w:rsidRPr="00546020">
        <w:t xml:space="preserve"> = </w:t>
      </w:r>
      <w:r w:rsidR="0047689C" w:rsidRPr="00546020">
        <w:t>3.97</w:t>
      </w:r>
      <w:r w:rsidR="005F7102" w:rsidRPr="00546020">
        <w:t xml:space="preserve">). </w:t>
      </w:r>
      <w:r w:rsidR="008C7171" w:rsidRPr="00546020">
        <w:t xml:space="preserve"> </w:t>
      </w:r>
      <w:r w:rsidR="00B36168" w:rsidRPr="00546020">
        <w:t>Neither the main effect of Intervention, nor the resulting interaction term were significant.</w:t>
      </w:r>
    </w:p>
    <w:p w14:paraId="30AF053D" w14:textId="77777777" w:rsidR="00B36168" w:rsidRPr="00546020" w:rsidRDefault="00740164" w:rsidP="00B36168">
      <w:pPr>
        <w:spacing w:line="480" w:lineRule="auto"/>
        <w:ind w:firstLine="720"/>
      </w:pPr>
      <w:r w:rsidRPr="00546020">
        <w:rPr>
          <w:i/>
        </w:rPr>
        <w:lastRenderedPageBreak/>
        <w:t>P</w:t>
      </w:r>
      <w:r w:rsidR="005F7102" w:rsidRPr="00546020">
        <w:rPr>
          <w:i/>
        </w:rPr>
        <w:t>hysical</w:t>
      </w:r>
      <w:r w:rsidR="005D0C69" w:rsidRPr="00546020">
        <w:rPr>
          <w:i/>
        </w:rPr>
        <w:t xml:space="preserve"> </w:t>
      </w:r>
      <w:r w:rsidRPr="00546020">
        <w:rPr>
          <w:i/>
        </w:rPr>
        <w:t>wellbeing</w:t>
      </w:r>
      <w:r w:rsidR="008103F7" w:rsidRPr="00546020">
        <w:rPr>
          <w:i/>
        </w:rPr>
        <w:t>.</w:t>
      </w:r>
      <w:r w:rsidR="002E215F" w:rsidRPr="00546020">
        <w:rPr>
          <w:i/>
        </w:rPr>
        <w:t xml:space="preserve"> </w:t>
      </w:r>
      <w:r w:rsidRPr="00546020">
        <w:t>P</w:t>
      </w:r>
      <w:r w:rsidR="002E215F" w:rsidRPr="00546020">
        <w:t xml:space="preserve">hysical wellbeing increased </w:t>
      </w:r>
      <w:r w:rsidR="008827EB" w:rsidRPr="00546020">
        <w:t xml:space="preserve">significantly </w:t>
      </w:r>
      <w:r w:rsidR="008103F7" w:rsidRPr="00546020">
        <w:t xml:space="preserve">from </w:t>
      </w:r>
      <w:r w:rsidR="002E215F" w:rsidRPr="00546020">
        <w:t>pre- (</w:t>
      </w:r>
      <w:r w:rsidR="0047689C" w:rsidRPr="00546020">
        <w:rPr>
          <w:i/>
        </w:rPr>
        <w:t>M</w:t>
      </w:r>
      <w:r w:rsidR="0047689C" w:rsidRPr="00546020">
        <w:t xml:space="preserve"> = 13.02, </w:t>
      </w:r>
      <w:r w:rsidR="0047689C" w:rsidRPr="00546020">
        <w:rPr>
          <w:i/>
        </w:rPr>
        <w:t>SD</w:t>
      </w:r>
      <w:r w:rsidR="0047689C" w:rsidRPr="00546020">
        <w:t xml:space="preserve"> = 4.30) to post-intervention (</w:t>
      </w:r>
      <w:r w:rsidR="0047689C" w:rsidRPr="00546020">
        <w:rPr>
          <w:i/>
        </w:rPr>
        <w:t>M</w:t>
      </w:r>
      <w:r w:rsidR="0047689C" w:rsidRPr="00546020">
        <w:t xml:space="preserve"> = 14.87, </w:t>
      </w:r>
      <w:r w:rsidR="0047689C" w:rsidRPr="00546020">
        <w:rPr>
          <w:i/>
        </w:rPr>
        <w:t>SD</w:t>
      </w:r>
      <w:r w:rsidR="0047689C" w:rsidRPr="00546020">
        <w:t xml:space="preserve"> = 3.94).</w:t>
      </w:r>
      <w:r w:rsidR="00B36168" w:rsidRPr="00546020">
        <w:t xml:space="preserve"> Neither the main effect of Intervention, nor the resulting interaction term were significant.</w:t>
      </w:r>
    </w:p>
    <w:p w14:paraId="4568B12D" w14:textId="77777777" w:rsidR="00B36168" w:rsidRPr="00546020" w:rsidRDefault="00932EE6" w:rsidP="00B36168">
      <w:pPr>
        <w:spacing w:line="480" w:lineRule="auto"/>
        <w:ind w:firstLine="720"/>
      </w:pPr>
      <w:r w:rsidRPr="00546020">
        <w:rPr>
          <w:i/>
        </w:rPr>
        <w:t>Quality of life</w:t>
      </w:r>
      <w:r w:rsidR="008103F7" w:rsidRPr="00546020">
        <w:rPr>
          <w:i/>
        </w:rPr>
        <w:t>.</w:t>
      </w:r>
      <w:r w:rsidRPr="00546020">
        <w:t xml:space="preserve"> </w:t>
      </w:r>
      <w:r w:rsidR="00740164" w:rsidRPr="00546020">
        <w:t>Quality of life</w:t>
      </w:r>
      <w:r w:rsidRPr="00546020">
        <w:t xml:space="preserve"> increased </w:t>
      </w:r>
      <w:r w:rsidR="008827EB" w:rsidRPr="00546020">
        <w:t xml:space="preserve">significantly </w:t>
      </w:r>
      <w:r w:rsidR="008103F7" w:rsidRPr="00546020">
        <w:t xml:space="preserve">from </w:t>
      </w:r>
      <w:r w:rsidRPr="00546020">
        <w:t>pre- (</w:t>
      </w:r>
      <w:r w:rsidRPr="00546020">
        <w:rPr>
          <w:i/>
        </w:rPr>
        <w:t>M</w:t>
      </w:r>
      <w:r w:rsidRPr="00546020">
        <w:t xml:space="preserve"> = </w:t>
      </w:r>
      <w:r w:rsidR="0047689C" w:rsidRPr="00546020">
        <w:t>12.73</w:t>
      </w:r>
      <w:r w:rsidRPr="00546020">
        <w:t xml:space="preserve">, </w:t>
      </w:r>
      <w:r w:rsidRPr="00546020">
        <w:rPr>
          <w:i/>
        </w:rPr>
        <w:t>S</w:t>
      </w:r>
      <w:r w:rsidR="0047689C" w:rsidRPr="00546020">
        <w:rPr>
          <w:i/>
        </w:rPr>
        <w:t>D</w:t>
      </w:r>
      <w:r w:rsidRPr="00546020">
        <w:t xml:space="preserve"> = </w:t>
      </w:r>
      <w:r w:rsidR="0047689C" w:rsidRPr="00546020">
        <w:t>4.02</w:t>
      </w:r>
      <w:r w:rsidRPr="00546020">
        <w:t xml:space="preserve">) </w:t>
      </w:r>
      <w:r w:rsidR="008103F7" w:rsidRPr="00546020">
        <w:t>to</w:t>
      </w:r>
      <w:r w:rsidRPr="00546020">
        <w:t xml:space="preserve"> post-intervention (</w:t>
      </w:r>
      <w:r w:rsidRPr="00546020">
        <w:rPr>
          <w:i/>
        </w:rPr>
        <w:t>M</w:t>
      </w:r>
      <w:r w:rsidRPr="00546020">
        <w:t xml:space="preserve"> = </w:t>
      </w:r>
      <w:r w:rsidR="0047689C" w:rsidRPr="00546020">
        <w:t>14.96</w:t>
      </w:r>
      <w:r w:rsidRPr="00546020">
        <w:t xml:space="preserve">, </w:t>
      </w:r>
      <w:r w:rsidRPr="00546020">
        <w:rPr>
          <w:i/>
        </w:rPr>
        <w:t>S</w:t>
      </w:r>
      <w:r w:rsidR="0047689C" w:rsidRPr="00546020">
        <w:rPr>
          <w:i/>
        </w:rPr>
        <w:t>D</w:t>
      </w:r>
      <w:r w:rsidRPr="00546020">
        <w:t xml:space="preserve"> = </w:t>
      </w:r>
      <w:r w:rsidR="0047689C" w:rsidRPr="00546020">
        <w:t>4.30</w:t>
      </w:r>
      <w:r w:rsidR="00481537" w:rsidRPr="00546020">
        <w:t>).</w:t>
      </w:r>
      <w:r w:rsidR="00B36168" w:rsidRPr="00546020">
        <w:t xml:space="preserve"> Neither the main effect of Intervention, nor the resulting interaction term were significant.</w:t>
      </w:r>
    </w:p>
    <w:p w14:paraId="5C61F824" w14:textId="77777777" w:rsidR="003717EE" w:rsidRPr="00546020" w:rsidRDefault="00F66144" w:rsidP="00E961CC">
      <w:pPr>
        <w:spacing w:line="480" w:lineRule="auto"/>
        <w:ind w:firstLine="720"/>
      </w:pPr>
      <w:r w:rsidRPr="00546020">
        <w:rPr>
          <w:i/>
        </w:rPr>
        <w:t>Days in work</w:t>
      </w:r>
      <w:r w:rsidR="008103F7" w:rsidRPr="00546020">
        <w:rPr>
          <w:i/>
        </w:rPr>
        <w:t>.</w:t>
      </w:r>
      <w:r w:rsidRPr="00546020">
        <w:rPr>
          <w:i/>
        </w:rPr>
        <w:t xml:space="preserve"> </w:t>
      </w:r>
      <w:r w:rsidR="0047689C" w:rsidRPr="00546020">
        <w:t xml:space="preserve">No pre-post differences were observed. However, </w:t>
      </w:r>
      <w:r w:rsidR="00B36168" w:rsidRPr="00546020">
        <w:t xml:space="preserve">there was a significant effect of Time: </w:t>
      </w:r>
      <w:r w:rsidR="0047689C" w:rsidRPr="00546020">
        <w:t xml:space="preserve">clients in the </w:t>
      </w:r>
      <w:r w:rsidR="00C80488" w:rsidRPr="00546020">
        <w:t xml:space="preserve">online </w:t>
      </w:r>
      <w:r w:rsidR="0047689C" w:rsidRPr="00546020">
        <w:t xml:space="preserve">condition had a </w:t>
      </w:r>
      <w:r w:rsidR="00641F96" w:rsidRPr="00546020">
        <w:t xml:space="preserve">significantly </w:t>
      </w:r>
      <w:r w:rsidR="0047689C" w:rsidRPr="00546020">
        <w:t>greater overall number of days in work (M=15.65, SD = 8.20) than did F2F clients (</w:t>
      </w:r>
      <w:r w:rsidR="0047689C" w:rsidRPr="00546020">
        <w:rPr>
          <w:i/>
        </w:rPr>
        <w:t>M</w:t>
      </w:r>
      <w:r w:rsidR="0047689C" w:rsidRPr="00546020">
        <w:t xml:space="preserve"> = 10.15, </w:t>
      </w:r>
      <w:r w:rsidR="0047689C" w:rsidRPr="00546020">
        <w:rPr>
          <w:i/>
        </w:rPr>
        <w:t>SD</w:t>
      </w:r>
      <w:r w:rsidR="0047689C" w:rsidRPr="00546020">
        <w:t xml:space="preserve"> = 9.87).</w:t>
      </w:r>
      <w:r w:rsidR="00B36168" w:rsidRPr="00546020">
        <w:t xml:space="preserve"> No significant interaction effect was observed.</w:t>
      </w:r>
    </w:p>
    <w:p w14:paraId="35797364" w14:textId="77777777" w:rsidR="00D51FF9" w:rsidRPr="00546020" w:rsidRDefault="00D51FF9" w:rsidP="00E961CC">
      <w:pPr>
        <w:spacing w:line="480" w:lineRule="auto"/>
        <w:ind w:firstLine="720"/>
      </w:pPr>
      <w:r w:rsidRPr="00546020">
        <w:rPr>
          <w:i/>
        </w:rPr>
        <w:t>Number of drinking days</w:t>
      </w:r>
      <w:r w:rsidR="00F66144" w:rsidRPr="00546020">
        <w:rPr>
          <w:i/>
        </w:rPr>
        <w:t>:</w:t>
      </w:r>
      <w:r w:rsidRPr="00546020">
        <w:t xml:space="preserve"> </w:t>
      </w:r>
      <w:r w:rsidR="00740164" w:rsidRPr="00546020">
        <w:t>Number of drinking days</w:t>
      </w:r>
      <w:r w:rsidRPr="00546020">
        <w:t xml:space="preserve"> </w:t>
      </w:r>
      <w:r w:rsidR="00740164" w:rsidRPr="00546020">
        <w:t>de</w:t>
      </w:r>
      <w:r w:rsidRPr="00546020">
        <w:t xml:space="preserve">creased </w:t>
      </w:r>
      <w:r w:rsidR="008827EB" w:rsidRPr="00546020">
        <w:t xml:space="preserve">significantly </w:t>
      </w:r>
      <w:r w:rsidR="008103F7" w:rsidRPr="00546020">
        <w:t xml:space="preserve">from </w:t>
      </w:r>
      <w:r w:rsidRPr="00546020">
        <w:t>pre- (</w:t>
      </w:r>
      <w:r w:rsidRPr="00546020">
        <w:rPr>
          <w:i/>
        </w:rPr>
        <w:t>M</w:t>
      </w:r>
      <w:r w:rsidRPr="00546020">
        <w:t xml:space="preserve"> = </w:t>
      </w:r>
      <w:r w:rsidR="0047689C" w:rsidRPr="00546020">
        <w:t>20.05</w:t>
      </w:r>
      <w:r w:rsidRPr="00546020">
        <w:t xml:space="preserve">, </w:t>
      </w:r>
      <w:r w:rsidRPr="00546020">
        <w:rPr>
          <w:i/>
        </w:rPr>
        <w:t>S</w:t>
      </w:r>
      <w:r w:rsidR="0047689C" w:rsidRPr="00546020">
        <w:rPr>
          <w:i/>
        </w:rPr>
        <w:t>D</w:t>
      </w:r>
      <w:r w:rsidRPr="00546020">
        <w:t xml:space="preserve"> = </w:t>
      </w:r>
      <w:r w:rsidR="0047689C" w:rsidRPr="00546020">
        <w:t>8.16</w:t>
      </w:r>
      <w:r w:rsidRPr="00546020">
        <w:t xml:space="preserve">) </w:t>
      </w:r>
      <w:r w:rsidR="008103F7" w:rsidRPr="00546020">
        <w:t>to</w:t>
      </w:r>
      <w:r w:rsidRPr="00546020">
        <w:t xml:space="preserve"> post-intervention (</w:t>
      </w:r>
      <w:r w:rsidRPr="00546020">
        <w:rPr>
          <w:i/>
        </w:rPr>
        <w:t>M</w:t>
      </w:r>
      <w:r w:rsidRPr="00546020">
        <w:t xml:space="preserve"> = </w:t>
      </w:r>
      <w:r w:rsidR="00B21FDA" w:rsidRPr="00546020">
        <w:t>12.</w:t>
      </w:r>
      <w:r w:rsidR="0047689C" w:rsidRPr="00546020">
        <w:t>77</w:t>
      </w:r>
      <w:r w:rsidRPr="00546020">
        <w:t xml:space="preserve">, </w:t>
      </w:r>
      <w:r w:rsidRPr="00546020">
        <w:rPr>
          <w:i/>
        </w:rPr>
        <w:t>S</w:t>
      </w:r>
      <w:r w:rsidR="0047689C" w:rsidRPr="00546020">
        <w:rPr>
          <w:i/>
        </w:rPr>
        <w:t>D</w:t>
      </w:r>
      <w:r w:rsidR="00B21FDA" w:rsidRPr="00546020">
        <w:rPr>
          <w:i/>
        </w:rPr>
        <w:t xml:space="preserve"> </w:t>
      </w:r>
      <w:r w:rsidR="00B21FDA" w:rsidRPr="00546020">
        <w:t xml:space="preserve">= </w:t>
      </w:r>
      <w:r w:rsidR="0047689C" w:rsidRPr="00546020">
        <w:t>8.56</w:t>
      </w:r>
      <w:r w:rsidR="00B21FDA" w:rsidRPr="00546020">
        <w:t>).</w:t>
      </w:r>
      <w:r w:rsidR="004F7A04" w:rsidRPr="00546020">
        <w:t xml:space="preserve"> </w:t>
      </w:r>
      <w:r w:rsidR="00B36168" w:rsidRPr="00546020">
        <w:t>Neither the main effect of Intervention, nor the resulting interaction term were significant.</w:t>
      </w:r>
    </w:p>
    <w:p w14:paraId="0F4C95E7" w14:textId="77777777" w:rsidR="007D5B78" w:rsidRPr="00546020" w:rsidRDefault="007D5B78" w:rsidP="00A33EFD">
      <w:pPr>
        <w:pStyle w:val="Heading2"/>
      </w:pPr>
      <w:r w:rsidRPr="00546020">
        <w:t xml:space="preserve">Secondary Analysis </w:t>
      </w:r>
    </w:p>
    <w:p w14:paraId="081F78D7" w14:textId="6A1C615C" w:rsidR="00F66144" w:rsidRPr="00546020" w:rsidRDefault="009E3601" w:rsidP="00677788">
      <w:pPr>
        <w:spacing w:line="480" w:lineRule="auto"/>
      </w:pPr>
      <w:r w:rsidRPr="00546020">
        <w:t>Because a</w:t>
      </w:r>
      <w:r w:rsidR="00196521" w:rsidRPr="00546020">
        <w:t>ge</w:t>
      </w:r>
      <w:r w:rsidR="00F66144" w:rsidRPr="00546020">
        <w:t xml:space="preserve"> and </w:t>
      </w:r>
      <w:r w:rsidR="008827EB" w:rsidRPr="00546020">
        <w:t>AUDIT</w:t>
      </w:r>
      <w:r w:rsidR="00A9308C" w:rsidRPr="00546020">
        <w:t xml:space="preserve"> </w:t>
      </w:r>
      <w:r w:rsidR="00F66144" w:rsidRPr="00546020">
        <w:t>scores</w:t>
      </w:r>
      <w:r w:rsidR="007D5B78" w:rsidRPr="00546020">
        <w:t xml:space="preserve"> differed </w:t>
      </w:r>
      <w:r w:rsidR="00196521" w:rsidRPr="00546020">
        <w:t xml:space="preserve">significantly </w:t>
      </w:r>
      <w:r w:rsidR="007D5B78" w:rsidRPr="00546020">
        <w:t xml:space="preserve">between </w:t>
      </w:r>
      <w:r w:rsidR="00C25331" w:rsidRPr="00546020">
        <w:t>I</w:t>
      </w:r>
      <w:r w:rsidRPr="00546020">
        <w:t xml:space="preserve">ntervention </w:t>
      </w:r>
      <w:r w:rsidR="007D5B78" w:rsidRPr="00546020">
        <w:t>conditions</w:t>
      </w:r>
      <w:r w:rsidR="008827EB" w:rsidRPr="00546020">
        <w:t xml:space="preserve"> </w:t>
      </w:r>
      <w:r w:rsidR="001024FF" w:rsidRPr="00546020">
        <w:t>we</w:t>
      </w:r>
      <w:r w:rsidR="007D5B78" w:rsidRPr="00546020">
        <w:t xml:space="preserve"> conducted the same analys</w:t>
      </w:r>
      <w:r w:rsidR="00196521" w:rsidRPr="00546020">
        <w:t>e</w:t>
      </w:r>
      <w:r w:rsidR="007D5B78" w:rsidRPr="00546020">
        <w:t xml:space="preserve">s controlling for these factors. </w:t>
      </w:r>
      <w:r w:rsidR="001A54F5" w:rsidRPr="00546020">
        <w:t xml:space="preserve">As can be seen in Table 3, patterns </w:t>
      </w:r>
      <w:r w:rsidR="007D5B78" w:rsidRPr="00546020">
        <w:t xml:space="preserve">of results </w:t>
      </w:r>
      <w:r w:rsidR="00196521" w:rsidRPr="00546020">
        <w:t>remained the same</w:t>
      </w:r>
      <w:r w:rsidR="007D5B78" w:rsidRPr="00546020">
        <w:t xml:space="preserve">, </w:t>
      </w:r>
      <w:proofErr w:type="gramStart"/>
      <w:r w:rsidR="007D5B78" w:rsidRPr="00546020">
        <w:t>with the exception of</w:t>
      </w:r>
      <w:proofErr w:type="gramEnd"/>
      <w:r w:rsidR="00196521" w:rsidRPr="00546020">
        <w:t xml:space="preserve"> quality of life where</w:t>
      </w:r>
      <w:r w:rsidR="007D5B78" w:rsidRPr="00546020">
        <w:t xml:space="preserve"> </w:t>
      </w:r>
      <w:r w:rsidR="008D0B98" w:rsidRPr="00546020">
        <w:t xml:space="preserve">a </w:t>
      </w:r>
      <w:r w:rsidR="007D5B78" w:rsidRPr="00546020">
        <w:t>significant interaction</w:t>
      </w:r>
      <w:r w:rsidR="001024FF" w:rsidRPr="00546020">
        <w:t xml:space="preserve"> </w:t>
      </w:r>
      <w:r w:rsidR="007D5B78" w:rsidRPr="00546020">
        <w:t xml:space="preserve">between time and intervention </w:t>
      </w:r>
      <w:r w:rsidR="009970C7" w:rsidRPr="00546020">
        <w:t>was observed</w:t>
      </w:r>
      <w:r w:rsidR="007D5B78" w:rsidRPr="00546020">
        <w:t>.</w:t>
      </w:r>
      <w:r w:rsidR="00F66144" w:rsidRPr="00546020">
        <w:t xml:space="preserve"> </w:t>
      </w:r>
      <w:r w:rsidR="001A54F5" w:rsidRPr="00546020">
        <w:t>Simple effects tests of t</w:t>
      </w:r>
      <w:r w:rsidR="00F66144" w:rsidRPr="00546020">
        <w:t>his interaction showed a</w:t>
      </w:r>
      <w:r w:rsidR="009970C7" w:rsidRPr="00546020">
        <w:t>n increase</w:t>
      </w:r>
      <w:r w:rsidR="00F66144" w:rsidRPr="00546020">
        <w:t xml:space="preserve"> </w:t>
      </w:r>
      <w:r w:rsidR="007D5B78" w:rsidRPr="00546020">
        <w:t xml:space="preserve">across time in the </w:t>
      </w:r>
      <w:r w:rsidR="00847D77" w:rsidRPr="00546020">
        <w:t xml:space="preserve">online </w:t>
      </w:r>
      <w:r w:rsidR="007D5B78" w:rsidRPr="00546020">
        <w:t>condition (</w:t>
      </w:r>
      <w:r w:rsidR="007D5B78" w:rsidRPr="00546020">
        <w:rPr>
          <w:i/>
        </w:rPr>
        <w:t>p</w:t>
      </w:r>
      <w:r w:rsidR="007D5B78" w:rsidRPr="00546020">
        <w:t xml:space="preserve"> &lt; .001)</w:t>
      </w:r>
      <w:r w:rsidR="008D0B98" w:rsidRPr="00546020">
        <w:t>,</w:t>
      </w:r>
      <w:r w:rsidR="007D5B78" w:rsidRPr="00546020">
        <w:t xml:space="preserve"> but the change in </w:t>
      </w:r>
      <w:r w:rsidR="004F4BC3" w:rsidRPr="00546020">
        <w:t>F2F</w:t>
      </w:r>
      <w:r w:rsidR="00641F96" w:rsidRPr="00546020">
        <w:t xml:space="preserve"> only</w:t>
      </w:r>
      <w:r w:rsidR="007D5B78" w:rsidRPr="00546020">
        <w:t xml:space="preserve"> </w:t>
      </w:r>
      <w:r w:rsidR="00C80488" w:rsidRPr="00546020">
        <w:t xml:space="preserve">bordered </w:t>
      </w:r>
      <w:r w:rsidR="00DE38E7" w:rsidRPr="00546020">
        <w:t>significance</w:t>
      </w:r>
      <w:r w:rsidR="007D5B78" w:rsidRPr="00546020">
        <w:t xml:space="preserve"> (</w:t>
      </w:r>
      <w:r w:rsidR="007D5B78" w:rsidRPr="00546020">
        <w:rPr>
          <w:i/>
        </w:rPr>
        <w:t>p</w:t>
      </w:r>
      <w:r w:rsidR="007D5B78" w:rsidRPr="00546020">
        <w:t xml:space="preserve"> = .060). </w:t>
      </w:r>
      <w:r w:rsidR="001A54F5" w:rsidRPr="00546020">
        <w:t xml:space="preserve"> No difference between Interventions w</w:t>
      </w:r>
      <w:r w:rsidR="00D14BB8" w:rsidRPr="00546020">
        <w:t>as</w:t>
      </w:r>
      <w:r w:rsidR="001A54F5" w:rsidRPr="00546020">
        <w:t xml:space="preserve"> observed </w:t>
      </w:r>
      <w:r w:rsidR="00B4668E" w:rsidRPr="00546020">
        <w:t>pre-intervention</w:t>
      </w:r>
      <w:r w:rsidR="001A54F5" w:rsidRPr="00546020">
        <w:t xml:space="preserve"> (</w:t>
      </w:r>
      <w:r w:rsidR="001A54F5" w:rsidRPr="00546020">
        <w:rPr>
          <w:i/>
        </w:rPr>
        <w:t>p</w:t>
      </w:r>
      <w:r w:rsidR="00D14BB8" w:rsidRPr="00546020">
        <w:rPr>
          <w:i/>
        </w:rPr>
        <w:t xml:space="preserve"> </w:t>
      </w:r>
      <w:r w:rsidR="001A54F5" w:rsidRPr="00546020">
        <w:t>= .184) or post intervention (</w:t>
      </w:r>
      <w:r w:rsidR="001A54F5" w:rsidRPr="00546020">
        <w:rPr>
          <w:i/>
        </w:rPr>
        <w:t>p</w:t>
      </w:r>
      <w:r w:rsidR="001A54F5" w:rsidRPr="00546020">
        <w:t xml:space="preserve"> = .459)</w:t>
      </w:r>
      <w:r w:rsidR="00677788" w:rsidRPr="00546020">
        <w:t xml:space="preserve">. </w:t>
      </w:r>
      <w:r w:rsidR="007D5B78" w:rsidRPr="00546020">
        <w:t xml:space="preserve">A </w:t>
      </w:r>
      <w:r w:rsidR="0047689C" w:rsidRPr="00546020">
        <w:t>trend towards an</w:t>
      </w:r>
      <w:r w:rsidR="007D5B78" w:rsidRPr="00546020">
        <w:t xml:space="preserve"> interaction</w:t>
      </w:r>
      <w:r w:rsidR="000D6228" w:rsidRPr="00546020">
        <w:t>,</w:t>
      </w:r>
      <w:r w:rsidR="007D5B78" w:rsidRPr="00546020">
        <w:t xml:space="preserve"> </w:t>
      </w:r>
      <w:proofErr w:type="gramStart"/>
      <w:r w:rsidR="007D5B78" w:rsidRPr="00546020">
        <w:rPr>
          <w:i/>
        </w:rPr>
        <w:t>F</w:t>
      </w:r>
      <w:r w:rsidR="007D5B78" w:rsidRPr="00546020">
        <w:t>(</w:t>
      </w:r>
      <w:proofErr w:type="gramEnd"/>
      <w:r w:rsidR="007D5B78" w:rsidRPr="00546020">
        <w:t xml:space="preserve">1,52) = 2.97, </w:t>
      </w:r>
      <w:r w:rsidR="007D5B78" w:rsidRPr="00546020">
        <w:rPr>
          <w:i/>
        </w:rPr>
        <w:t>p</w:t>
      </w:r>
      <w:r w:rsidR="00BA4410" w:rsidRPr="00546020">
        <w:t xml:space="preserve"> = .091, </w:t>
      </w:r>
      <w:r w:rsidR="007D5B78" w:rsidRPr="00546020">
        <w:t>η</w:t>
      </w:r>
      <w:r w:rsidR="00513D41" w:rsidRPr="00546020">
        <w:rPr>
          <w:vertAlign w:val="subscript"/>
        </w:rPr>
        <w:t>p</w:t>
      </w:r>
      <w:r w:rsidR="007D5B78" w:rsidRPr="00546020">
        <w:rPr>
          <w:vertAlign w:val="superscript"/>
        </w:rPr>
        <w:t>2</w:t>
      </w:r>
      <w:r w:rsidR="007D5B78" w:rsidRPr="00546020">
        <w:t xml:space="preserve"> = .05 was also observed in the number </w:t>
      </w:r>
      <w:r w:rsidR="00E53587" w:rsidRPr="00546020">
        <w:t xml:space="preserve">of </w:t>
      </w:r>
      <w:r w:rsidR="007D5B78" w:rsidRPr="00546020">
        <w:t>drinking days.  Whilst reduction</w:t>
      </w:r>
      <w:r w:rsidR="00C80488" w:rsidRPr="00546020">
        <w:t>s</w:t>
      </w:r>
      <w:r w:rsidR="007D5B78" w:rsidRPr="00546020">
        <w:t xml:space="preserve"> in drinking days </w:t>
      </w:r>
      <w:r w:rsidR="00C80488" w:rsidRPr="00546020">
        <w:t xml:space="preserve">were </w:t>
      </w:r>
      <w:r w:rsidR="007D5B78" w:rsidRPr="00546020">
        <w:t>observed in</w:t>
      </w:r>
      <w:r w:rsidR="00F66144" w:rsidRPr="00546020">
        <w:t xml:space="preserve"> both conditions</w:t>
      </w:r>
      <w:r w:rsidR="002339AB" w:rsidRPr="00546020">
        <w:t xml:space="preserve"> (</w:t>
      </w:r>
      <w:proofErr w:type="spellStart"/>
      <w:r w:rsidR="002339AB" w:rsidRPr="00546020">
        <w:rPr>
          <w:i/>
        </w:rPr>
        <w:t>p</w:t>
      </w:r>
      <w:r w:rsidR="002339AB" w:rsidRPr="00546020">
        <w:t>s</w:t>
      </w:r>
      <w:proofErr w:type="spellEnd"/>
      <w:r w:rsidR="002339AB" w:rsidRPr="00546020">
        <w:t xml:space="preserve"> &lt;.001)</w:t>
      </w:r>
      <w:r w:rsidR="00F66144" w:rsidRPr="00546020">
        <w:t>, this</w:t>
      </w:r>
      <w:r w:rsidR="009970C7" w:rsidRPr="00546020">
        <w:t xml:space="preserve"> interaction suggests th</w:t>
      </w:r>
      <w:r w:rsidR="00E53587" w:rsidRPr="00546020">
        <w:t>e</w:t>
      </w:r>
      <w:r w:rsidR="00F66144" w:rsidRPr="00546020">
        <w:t xml:space="preserve"> decrease</w:t>
      </w:r>
      <w:r w:rsidR="007D5B78" w:rsidRPr="00546020">
        <w:t xml:space="preserve"> </w:t>
      </w:r>
      <w:r w:rsidR="009970C7" w:rsidRPr="00546020">
        <w:t xml:space="preserve">was </w:t>
      </w:r>
      <w:r w:rsidR="007D5B78" w:rsidRPr="00546020">
        <w:t>greater in the online condition</w:t>
      </w:r>
      <w:r w:rsidR="002339AB" w:rsidRPr="00546020">
        <w:t xml:space="preserve"> (</w:t>
      </w:r>
      <w:r w:rsidR="00DE38E7" w:rsidRPr="00546020">
        <w:t>m</w:t>
      </w:r>
      <w:r w:rsidR="002339AB" w:rsidRPr="00546020">
        <w:t>ean difference = 10.21 days) than the F2F condition (</w:t>
      </w:r>
      <w:r w:rsidR="00417BB6" w:rsidRPr="00546020">
        <w:t xml:space="preserve">mean </w:t>
      </w:r>
      <w:r w:rsidR="002339AB" w:rsidRPr="00546020">
        <w:t>difference = 5.66 days)</w:t>
      </w:r>
      <w:r w:rsidR="007D5B78" w:rsidRPr="00546020">
        <w:t>.</w:t>
      </w:r>
      <w:r w:rsidR="001A54F5" w:rsidRPr="00546020">
        <w:t xml:space="preserve"> Pre-intervention, there was no </w:t>
      </w:r>
      <w:r w:rsidR="001A54F5" w:rsidRPr="00546020">
        <w:lastRenderedPageBreak/>
        <w:t>significant difference between Intervention conditions (</w:t>
      </w:r>
      <w:r w:rsidR="001A54F5" w:rsidRPr="00546020">
        <w:rPr>
          <w:i/>
        </w:rPr>
        <w:t>p</w:t>
      </w:r>
      <w:r w:rsidR="001A54F5" w:rsidRPr="00546020">
        <w:t xml:space="preserve"> = .12). Post intervention, the difference between conditions was significant (</w:t>
      </w:r>
      <w:r w:rsidR="001A54F5" w:rsidRPr="00546020">
        <w:rPr>
          <w:i/>
        </w:rPr>
        <w:t xml:space="preserve">p </w:t>
      </w:r>
      <w:r w:rsidR="001A54F5" w:rsidRPr="00546020">
        <w:t>= .047).</w:t>
      </w:r>
    </w:p>
    <w:p w14:paraId="3A6B933E" w14:textId="77777777" w:rsidR="00F12EBF" w:rsidRPr="00546020" w:rsidRDefault="00F12EBF" w:rsidP="00E961CC">
      <w:pPr>
        <w:spacing w:line="480" w:lineRule="auto"/>
        <w:rPr>
          <w:i/>
        </w:rPr>
      </w:pPr>
    </w:p>
    <w:p w14:paraId="4BFC81C5" w14:textId="77777777" w:rsidR="00641F96" w:rsidRPr="00546020" w:rsidRDefault="00641F96" w:rsidP="00A33EFD">
      <w:pPr>
        <w:pStyle w:val="Heading2"/>
      </w:pPr>
      <w:r w:rsidRPr="00546020">
        <w:t xml:space="preserve">Relationship </w:t>
      </w:r>
      <w:r w:rsidR="00A33EFD" w:rsidRPr="00546020">
        <w:t>between number of Sessions Attended and Outcomes</w:t>
      </w:r>
    </w:p>
    <w:p w14:paraId="310B5103" w14:textId="6C40F32F" w:rsidR="00574879" w:rsidRPr="00546020" w:rsidRDefault="00574879" w:rsidP="00E961CC">
      <w:pPr>
        <w:spacing w:line="480" w:lineRule="auto"/>
      </w:pPr>
      <w:r w:rsidRPr="00546020">
        <w:t xml:space="preserve">To test the relationship between number of sessions and change in outcome variables, Pearson’s correlations were undertaken between number of sessions, and change in </w:t>
      </w:r>
      <w:r w:rsidR="00B4522F" w:rsidRPr="00546020">
        <w:t xml:space="preserve">each </w:t>
      </w:r>
      <w:r w:rsidR="00B4668E" w:rsidRPr="00546020">
        <w:t>outcome</w:t>
      </w:r>
      <w:r w:rsidRPr="00546020">
        <w:t xml:space="preserve"> (calculated by subtracting pre-scores from post</w:t>
      </w:r>
      <w:r w:rsidR="00CE17D1" w:rsidRPr="00546020">
        <w:t>-</w:t>
      </w:r>
      <w:r w:rsidRPr="00546020">
        <w:t xml:space="preserve">scores). </w:t>
      </w:r>
      <w:r w:rsidR="009D5FFB" w:rsidRPr="00546020">
        <w:t xml:space="preserve">Changes scores were normally distributed, </w:t>
      </w:r>
      <w:proofErr w:type="gramStart"/>
      <w:r w:rsidR="009D5FFB" w:rsidRPr="00546020">
        <w:t xml:space="preserve">with the exception </w:t>
      </w:r>
      <w:r w:rsidR="008E664A" w:rsidRPr="00546020">
        <w:t>of</w:t>
      </w:r>
      <w:proofErr w:type="gramEnd"/>
      <w:r w:rsidR="008E664A" w:rsidRPr="00546020">
        <w:t xml:space="preserve"> a </w:t>
      </w:r>
      <w:r w:rsidR="009D5FFB" w:rsidRPr="00546020">
        <w:t xml:space="preserve">skew </w:t>
      </w:r>
      <w:r w:rsidR="008E664A" w:rsidRPr="00546020">
        <w:t>in the distribution of</w:t>
      </w:r>
      <w:r w:rsidR="009D5FFB" w:rsidRPr="00546020">
        <w:t xml:space="preserve"> number of sessions attended (statistic = 2.95, std error = .281). </w:t>
      </w:r>
      <w:r w:rsidRPr="00546020">
        <w:t xml:space="preserve">There was a significant correlation between number of sessions and psychological well-being, with more sessions being linked to greater </w:t>
      </w:r>
      <w:r w:rsidR="00B4522F" w:rsidRPr="00546020">
        <w:t>increases in wellbeing</w:t>
      </w:r>
      <w:r w:rsidRPr="00546020">
        <w:t xml:space="preserve"> </w:t>
      </w:r>
      <w:proofErr w:type="gramStart"/>
      <w:r w:rsidRPr="00546020">
        <w:rPr>
          <w:i/>
        </w:rPr>
        <w:t>r</w:t>
      </w:r>
      <w:r w:rsidRPr="00546020">
        <w:t>(</w:t>
      </w:r>
      <w:proofErr w:type="gramEnd"/>
      <w:r w:rsidRPr="00546020">
        <w:rPr>
          <w:i/>
        </w:rPr>
        <w:t>n</w:t>
      </w:r>
      <w:r w:rsidRPr="00546020">
        <w:t xml:space="preserve">= 55) = .31, </w:t>
      </w:r>
      <w:r w:rsidRPr="00546020">
        <w:rPr>
          <w:i/>
        </w:rPr>
        <w:t>p</w:t>
      </w:r>
      <w:r w:rsidRPr="00546020">
        <w:t xml:space="preserve"> = .022. There was a trend towards more sessions</w:t>
      </w:r>
      <w:r w:rsidR="00B4522F" w:rsidRPr="00546020">
        <w:t xml:space="preserve"> also</w:t>
      </w:r>
      <w:r w:rsidRPr="00546020">
        <w:t xml:space="preserve"> being linked with fewer drinking days </w:t>
      </w:r>
      <w:proofErr w:type="gramStart"/>
      <w:r w:rsidRPr="00546020">
        <w:rPr>
          <w:i/>
        </w:rPr>
        <w:t>r</w:t>
      </w:r>
      <w:r w:rsidRPr="00546020">
        <w:t>(</w:t>
      </w:r>
      <w:proofErr w:type="gramEnd"/>
      <w:r w:rsidRPr="00546020">
        <w:rPr>
          <w:i/>
        </w:rPr>
        <w:t>n</w:t>
      </w:r>
      <w:r w:rsidRPr="00546020">
        <w:t xml:space="preserve"> = 56) = -.23, </w:t>
      </w:r>
      <w:r w:rsidRPr="00546020">
        <w:rPr>
          <w:i/>
        </w:rPr>
        <w:t>p</w:t>
      </w:r>
      <w:r w:rsidRPr="00546020">
        <w:t xml:space="preserve"> = .088.</w:t>
      </w:r>
      <w:r w:rsidR="009A359A" w:rsidRPr="00546020">
        <w:t xml:space="preserve"> Given the skew of sessions attended Spearman</w:t>
      </w:r>
      <w:r w:rsidR="009431A4" w:rsidRPr="00546020">
        <w:t>’</w:t>
      </w:r>
      <w:r w:rsidR="009A359A" w:rsidRPr="00546020">
        <w:t>s tests of associations were also undertaken</w:t>
      </w:r>
      <w:r w:rsidR="00D300E9" w:rsidRPr="00546020">
        <w:rPr>
          <w:rStyle w:val="FootnoteReference"/>
        </w:rPr>
        <w:footnoteReference w:id="2"/>
      </w:r>
      <w:r w:rsidR="009A359A" w:rsidRPr="00546020">
        <w:t xml:space="preserve">. The association between sessions and </w:t>
      </w:r>
      <w:r w:rsidR="00960BD6" w:rsidRPr="00546020">
        <w:t>psychological</w:t>
      </w:r>
      <w:r w:rsidR="009A359A" w:rsidRPr="00546020">
        <w:t xml:space="preserve"> </w:t>
      </w:r>
      <w:r w:rsidR="00960BD6" w:rsidRPr="00546020">
        <w:t>wellbeing</w:t>
      </w:r>
      <w:r w:rsidR="009A359A" w:rsidRPr="00546020">
        <w:t xml:space="preserve"> change became a trend (rho = .216, </w:t>
      </w:r>
      <w:r w:rsidR="009A359A" w:rsidRPr="00546020">
        <w:rPr>
          <w:i/>
        </w:rPr>
        <w:t>p</w:t>
      </w:r>
      <w:r w:rsidR="009A359A" w:rsidRPr="00546020">
        <w:t xml:space="preserve"> = .113) and the relationship with drinking days became significant (rho = - .27, </w:t>
      </w:r>
      <w:r w:rsidR="009A359A" w:rsidRPr="00151EFC">
        <w:rPr>
          <w:i/>
        </w:rPr>
        <w:t>p</w:t>
      </w:r>
      <w:r w:rsidR="009A359A" w:rsidRPr="00546020">
        <w:t xml:space="preserve"> =.048).</w:t>
      </w:r>
      <w:r w:rsidR="00A651EA" w:rsidRPr="00546020">
        <w:t xml:space="preserve"> Relationships between other variables included in this analysis can be seen in Table 4.</w:t>
      </w:r>
    </w:p>
    <w:p w14:paraId="1A2FAFE4" w14:textId="77777777" w:rsidR="00643208" w:rsidRPr="00546020" w:rsidRDefault="00F66144" w:rsidP="00A33EFD">
      <w:pPr>
        <w:pStyle w:val="Heading1"/>
      </w:pPr>
      <w:r w:rsidRPr="00546020">
        <w:t>Discussion</w:t>
      </w:r>
    </w:p>
    <w:p w14:paraId="327B8277" w14:textId="418C7FAD" w:rsidR="00417BB6" w:rsidRPr="00546020" w:rsidRDefault="00417BB6" w:rsidP="00417BB6">
      <w:pPr>
        <w:spacing w:line="480" w:lineRule="auto"/>
      </w:pPr>
      <w:r w:rsidRPr="00546020">
        <w:t>Online interventions</w:t>
      </w:r>
      <w:r w:rsidR="00E53587" w:rsidRPr="00546020">
        <w:t xml:space="preserve">, </w:t>
      </w:r>
      <w:r w:rsidRPr="00546020">
        <w:t xml:space="preserve">including </w:t>
      </w:r>
      <w:r w:rsidR="0040004B" w:rsidRPr="00546020">
        <w:t>online video conferencing interventions</w:t>
      </w:r>
      <w:r w:rsidR="00677788" w:rsidRPr="00546020">
        <w:t>, are</w:t>
      </w:r>
      <w:r w:rsidRPr="00546020">
        <w:t xml:space="preserve"> becoming </w:t>
      </w:r>
      <w:r w:rsidR="00E53587" w:rsidRPr="00546020">
        <w:t>increasingly</w:t>
      </w:r>
      <w:r w:rsidRPr="00546020">
        <w:t xml:space="preserve"> common as an option for alcohol treatment (Garde, </w:t>
      </w:r>
      <w:r w:rsidR="003839D1" w:rsidRPr="00546020">
        <w:t>et al.</w:t>
      </w:r>
      <w:r w:rsidRPr="00546020">
        <w:t xml:space="preserve">, 2017). </w:t>
      </w:r>
      <w:r w:rsidR="00CC4735" w:rsidRPr="00546020">
        <w:t xml:space="preserve">Extended brief interventions (EBIs) have been shown to be an effective treatment for those wishing to reduce their alcohol use. In line with many other interventions, EBI’s are increasingly being delivered via </w:t>
      </w:r>
      <w:r w:rsidR="00AB46A3" w:rsidRPr="00546020">
        <w:t xml:space="preserve">online </w:t>
      </w:r>
      <w:r w:rsidR="00677788" w:rsidRPr="00546020">
        <w:t>telemetry</w:t>
      </w:r>
      <w:r w:rsidR="00CC4735" w:rsidRPr="00546020">
        <w:t xml:space="preserve"> modes</w:t>
      </w:r>
      <w:r w:rsidR="00615B5F" w:rsidRPr="00546020">
        <w:t>, in contrast to more traditional face to face session</w:t>
      </w:r>
      <w:r w:rsidR="00060352" w:rsidRPr="00546020">
        <w:t>s</w:t>
      </w:r>
      <w:r w:rsidR="00615B5F" w:rsidRPr="00546020">
        <w:t>.</w:t>
      </w:r>
      <w:r w:rsidR="00CC4735" w:rsidRPr="00546020">
        <w:t xml:space="preserve"> </w:t>
      </w:r>
      <w:r w:rsidR="00CC4735" w:rsidRPr="00546020">
        <w:lastRenderedPageBreak/>
        <w:t xml:space="preserve">However, little evidence exists </w:t>
      </w:r>
      <w:r w:rsidR="00060352" w:rsidRPr="00546020">
        <w:t>comparing</w:t>
      </w:r>
      <w:r w:rsidR="00CC4735" w:rsidRPr="00546020">
        <w:t xml:space="preserve"> the effectiveness of EBI</w:t>
      </w:r>
      <w:r w:rsidR="00060352" w:rsidRPr="00546020">
        <w:t>s</w:t>
      </w:r>
      <w:r w:rsidR="00CC4735" w:rsidRPr="00546020">
        <w:t xml:space="preserve"> </w:t>
      </w:r>
      <w:r w:rsidR="00AA350B" w:rsidRPr="00546020">
        <w:t>delivered using</w:t>
      </w:r>
      <w:r w:rsidR="00CC4735" w:rsidRPr="00546020">
        <w:t xml:space="preserve"> these two modalities. The aim of the current research was to </w:t>
      </w:r>
      <w:r w:rsidR="00A23F13" w:rsidRPr="00546020">
        <w:t xml:space="preserve">begin to </w:t>
      </w:r>
      <w:r w:rsidR="00CC4735" w:rsidRPr="00546020">
        <w:t xml:space="preserve">explore the efficacies of these two </w:t>
      </w:r>
      <w:r w:rsidR="009A74C4" w:rsidRPr="00546020">
        <w:t xml:space="preserve">modes of </w:t>
      </w:r>
      <w:r w:rsidR="00CC4735" w:rsidRPr="00546020">
        <w:t>delivery using existing service evaluation data.</w:t>
      </w:r>
      <w:r w:rsidR="00C13953" w:rsidRPr="00546020">
        <w:t xml:space="preserve"> </w:t>
      </w:r>
      <w:r w:rsidRPr="00546020">
        <w:t xml:space="preserve"> Our findings </w:t>
      </w:r>
      <w:r w:rsidR="00D300E9" w:rsidRPr="00546020">
        <w:t xml:space="preserve">present initial evidence to </w:t>
      </w:r>
      <w:r w:rsidRPr="00546020">
        <w:t xml:space="preserve">suggest that, for EBIs, </w:t>
      </w:r>
      <w:r w:rsidR="00AA350B" w:rsidRPr="00546020">
        <w:t>online delivery</w:t>
      </w:r>
      <w:r w:rsidRPr="00546020">
        <w:t xml:space="preserve"> is not inferior to face to face</w:t>
      </w:r>
      <w:r w:rsidR="00AA350B" w:rsidRPr="00546020">
        <w:t xml:space="preserve"> delivery</w:t>
      </w:r>
      <w:r w:rsidRPr="00546020">
        <w:t xml:space="preserve"> and may </w:t>
      </w:r>
      <w:r w:rsidR="00AA350B" w:rsidRPr="00546020">
        <w:t xml:space="preserve">in fact </w:t>
      </w:r>
      <w:r w:rsidRPr="00546020">
        <w:t xml:space="preserve">be more </w:t>
      </w:r>
      <w:r w:rsidR="00141728" w:rsidRPr="00546020">
        <w:t>beneficial</w:t>
      </w:r>
      <w:r w:rsidRPr="00546020">
        <w:t xml:space="preserve"> (see below). As such</w:t>
      </w:r>
      <w:r w:rsidR="00AA350B" w:rsidRPr="00546020">
        <w:t>,</w:t>
      </w:r>
      <w:r w:rsidRPr="00546020">
        <w:t xml:space="preserve"> the current research builds upon the growing evidence base supporting the efficacy of online interventions</w:t>
      </w:r>
      <w:r w:rsidR="00543ACD" w:rsidRPr="00546020">
        <w:t xml:space="preserve"> both in general, and for alcohol use specifically</w:t>
      </w:r>
      <w:r w:rsidRPr="00546020">
        <w:t xml:space="preserve"> (e.g. </w:t>
      </w:r>
      <w:proofErr w:type="spellStart"/>
      <w:r w:rsidRPr="00546020">
        <w:t>Gainsbury</w:t>
      </w:r>
      <w:proofErr w:type="spellEnd"/>
      <w:r w:rsidRPr="00546020">
        <w:t xml:space="preserve"> &amp; </w:t>
      </w:r>
      <w:proofErr w:type="spellStart"/>
      <w:r w:rsidRPr="00546020">
        <w:t>Blaszczynski</w:t>
      </w:r>
      <w:proofErr w:type="spellEnd"/>
      <w:r w:rsidRPr="00546020">
        <w:t xml:space="preserve">, 2011; </w:t>
      </w:r>
      <w:proofErr w:type="spellStart"/>
      <w:r w:rsidRPr="00546020">
        <w:t>Khadjesari</w:t>
      </w:r>
      <w:proofErr w:type="spellEnd"/>
      <w:r w:rsidRPr="00546020">
        <w:t xml:space="preserve"> et al., 2011; </w:t>
      </w:r>
      <w:proofErr w:type="spellStart"/>
      <w:r w:rsidRPr="00546020">
        <w:t>Sinadinovic</w:t>
      </w:r>
      <w:proofErr w:type="spellEnd"/>
      <w:r w:rsidRPr="00546020">
        <w:t xml:space="preserve"> et al., 2014).</w:t>
      </w:r>
    </w:p>
    <w:p w14:paraId="4748D164" w14:textId="77777777" w:rsidR="004C631E" w:rsidRPr="00546020" w:rsidRDefault="008834E2" w:rsidP="00677788">
      <w:pPr>
        <w:spacing w:line="480" w:lineRule="auto"/>
        <w:ind w:firstLine="709"/>
      </w:pPr>
      <w:r w:rsidRPr="00546020">
        <w:t xml:space="preserve">Overall </w:t>
      </w:r>
      <w:r w:rsidR="004C631E" w:rsidRPr="00546020">
        <w:t xml:space="preserve">the </w:t>
      </w:r>
      <w:r w:rsidR="00A03BF7" w:rsidRPr="00546020">
        <w:t xml:space="preserve">findings of this study </w:t>
      </w:r>
      <w:r w:rsidR="004C631E" w:rsidRPr="00546020">
        <w:t xml:space="preserve">were in line with </w:t>
      </w:r>
      <w:r w:rsidRPr="00546020">
        <w:t>previous</w:t>
      </w:r>
      <w:r w:rsidR="00A03BF7" w:rsidRPr="00546020">
        <w:t xml:space="preserve"> observations </w:t>
      </w:r>
      <w:r w:rsidRPr="00546020">
        <w:t xml:space="preserve">suggesting that </w:t>
      </w:r>
      <w:r w:rsidR="004C631E" w:rsidRPr="00546020">
        <w:t xml:space="preserve">EBIs are effective in reducing alcohol use and improving quality of life. </w:t>
      </w:r>
      <w:r w:rsidR="00574879" w:rsidRPr="00546020">
        <w:t>However, some interesting difference</w:t>
      </w:r>
      <w:r w:rsidR="00AA350B" w:rsidRPr="00546020">
        <w:t>s</w:t>
      </w:r>
      <w:r w:rsidR="00574879" w:rsidRPr="00546020">
        <w:t xml:space="preserve"> in </w:t>
      </w:r>
      <w:r w:rsidR="00543ACD" w:rsidRPr="00546020">
        <w:t>client demographics</w:t>
      </w:r>
      <w:r w:rsidR="00574879" w:rsidRPr="00546020">
        <w:t>, treatment attendance and outcomes were observed</w:t>
      </w:r>
      <w:r w:rsidR="00C13953" w:rsidRPr="00546020">
        <w:t xml:space="preserve"> – we discuss each of these differences in the section that follows, along with their theoretical and practical implications for alcohol treatment.</w:t>
      </w:r>
    </w:p>
    <w:p w14:paraId="4F95D214" w14:textId="5E471440" w:rsidR="00D13BA7" w:rsidRPr="00546020" w:rsidRDefault="004C631E">
      <w:pPr>
        <w:spacing w:line="480" w:lineRule="auto"/>
        <w:ind w:firstLine="709"/>
      </w:pPr>
      <w:r w:rsidRPr="00546020">
        <w:t xml:space="preserve">When comparing the demographics of the </w:t>
      </w:r>
      <w:r w:rsidR="00C4099D" w:rsidRPr="00546020">
        <w:t xml:space="preserve">participants using </w:t>
      </w:r>
      <w:r w:rsidRPr="00546020">
        <w:t xml:space="preserve">online </w:t>
      </w:r>
      <w:r w:rsidR="00F256C1" w:rsidRPr="00546020">
        <w:t xml:space="preserve">videoconference </w:t>
      </w:r>
      <w:r w:rsidRPr="00546020">
        <w:t>and F2F delivery of the same</w:t>
      </w:r>
      <w:r w:rsidR="00C80488" w:rsidRPr="00546020">
        <w:t xml:space="preserve"> EBI</w:t>
      </w:r>
      <w:r w:rsidRPr="00546020">
        <w:t xml:space="preserve"> intervention, the </w:t>
      </w:r>
      <w:r w:rsidR="00574879" w:rsidRPr="00546020">
        <w:t xml:space="preserve">findings </w:t>
      </w:r>
      <w:r w:rsidRPr="00546020">
        <w:t>demonstrated that t</w:t>
      </w:r>
      <w:r w:rsidR="00EE7997" w:rsidRPr="00546020">
        <w:t xml:space="preserve">he samples </w:t>
      </w:r>
      <w:r w:rsidR="00B817CF" w:rsidRPr="00546020">
        <w:t>differ</w:t>
      </w:r>
      <w:r w:rsidR="00847D77" w:rsidRPr="00546020">
        <w:t>ed</w:t>
      </w:r>
      <w:r w:rsidR="00B817CF" w:rsidRPr="00546020">
        <w:t xml:space="preserve"> in age (</w:t>
      </w:r>
      <w:r w:rsidR="00964B55" w:rsidRPr="00546020">
        <w:t>a younger</w:t>
      </w:r>
      <w:r w:rsidR="007951A8" w:rsidRPr="00546020">
        <w:t xml:space="preserve"> </w:t>
      </w:r>
      <w:r w:rsidR="00964B55" w:rsidRPr="00546020">
        <w:t xml:space="preserve">sample attending the </w:t>
      </w:r>
      <w:r w:rsidR="00B817CF" w:rsidRPr="00546020">
        <w:t xml:space="preserve">online sessions) and </w:t>
      </w:r>
      <w:r w:rsidRPr="00546020">
        <w:t xml:space="preserve">score on the </w:t>
      </w:r>
      <w:r w:rsidR="00B817CF" w:rsidRPr="00546020">
        <w:t>pre-treatment</w:t>
      </w:r>
      <w:r w:rsidR="00B47374" w:rsidRPr="00546020">
        <w:t xml:space="preserve"> AUDI</w:t>
      </w:r>
      <w:r w:rsidR="00F02E6F" w:rsidRPr="00546020">
        <w:t>T</w:t>
      </w:r>
      <w:r w:rsidR="0047689C" w:rsidRPr="00546020">
        <w:t xml:space="preserve"> </w:t>
      </w:r>
      <w:r w:rsidR="00F02E6F" w:rsidRPr="00546020">
        <w:t>(</w:t>
      </w:r>
      <w:r w:rsidR="00B817CF" w:rsidRPr="00546020">
        <w:t>the online s</w:t>
      </w:r>
      <w:r w:rsidR="00892FF9" w:rsidRPr="00546020">
        <w:t>ample typically scoring higher</w:t>
      </w:r>
      <w:r w:rsidR="00964B55" w:rsidRPr="00546020">
        <w:t xml:space="preserve"> </w:t>
      </w:r>
      <w:r w:rsidR="00B817CF" w:rsidRPr="00546020">
        <w:t>i.e.</w:t>
      </w:r>
      <w:r w:rsidR="00964B55" w:rsidRPr="00546020">
        <w:t>,</w:t>
      </w:r>
      <w:r w:rsidR="00B817CF" w:rsidRPr="00546020">
        <w:t xml:space="preserve"> experiencing more alcohol related harms)</w:t>
      </w:r>
      <w:r w:rsidR="00584579" w:rsidRPr="00546020">
        <w:t>.</w:t>
      </w:r>
      <w:r w:rsidR="00574879" w:rsidRPr="00546020">
        <w:t xml:space="preserve"> </w:t>
      </w:r>
      <w:r w:rsidR="00A03077" w:rsidRPr="00546020">
        <w:t xml:space="preserve">Overall </w:t>
      </w:r>
      <w:r w:rsidR="00574879" w:rsidRPr="00546020">
        <w:t>o</w:t>
      </w:r>
      <w:r w:rsidR="0047689C" w:rsidRPr="00546020">
        <w:t xml:space="preserve">nline clients </w:t>
      </w:r>
      <w:r w:rsidR="00677788" w:rsidRPr="00546020">
        <w:t>had</w:t>
      </w:r>
      <w:r w:rsidR="00FF5541" w:rsidRPr="00546020">
        <w:t>,</w:t>
      </w:r>
      <w:r w:rsidR="00C4099D" w:rsidRPr="00546020">
        <w:t xml:space="preserve"> on average,</w:t>
      </w:r>
      <w:r w:rsidR="0047689C" w:rsidRPr="00546020">
        <w:t xml:space="preserve"> more days in work than F2F clients</w:t>
      </w:r>
      <w:r w:rsidR="00A03077" w:rsidRPr="00546020">
        <w:t xml:space="preserve"> (when considering mean days in work across both pre and post measures combined)</w:t>
      </w:r>
      <w:r w:rsidR="00574879" w:rsidRPr="00546020">
        <w:t>.</w:t>
      </w:r>
      <w:r w:rsidRPr="00546020">
        <w:t xml:space="preserve"> These findings suggest that online </w:t>
      </w:r>
      <w:r w:rsidR="00572F78" w:rsidRPr="00546020">
        <w:t>de</w:t>
      </w:r>
      <w:r w:rsidRPr="00546020">
        <w:t xml:space="preserve">livery of the intervention may be </w:t>
      </w:r>
      <w:r w:rsidR="009C7063" w:rsidRPr="00546020">
        <w:t xml:space="preserve">accessed more frequently by </w:t>
      </w:r>
      <w:r w:rsidRPr="00546020">
        <w:t xml:space="preserve">younger, higher risk </w:t>
      </w:r>
      <w:r w:rsidR="006E1AD7" w:rsidRPr="00546020">
        <w:t>clients</w:t>
      </w:r>
      <w:r w:rsidR="0047689C" w:rsidRPr="00546020">
        <w:t xml:space="preserve">, </w:t>
      </w:r>
      <w:r w:rsidR="00572F78" w:rsidRPr="00546020">
        <w:t xml:space="preserve">and </w:t>
      </w:r>
      <w:r w:rsidR="0047689C" w:rsidRPr="00546020">
        <w:t>those spending a greater proportion of their time in employment</w:t>
      </w:r>
      <w:r w:rsidR="00B4522F" w:rsidRPr="00546020">
        <w:t xml:space="preserve"> and/or training</w:t>
      </w:r>
      <w:r w:rsidRPr="00546020">
        <w:t xml:space="preserve">. </w:t>
      </w:r>
      <w:r w:rsidR="00821DB8" w:rsidRPr="00546020">
        <w:t xml:space="preserve">Furthermore, </w:t>
      </w:r>
      <w:r w:rsidR="003157E1" w:rsidRPr="00546020">
        <w:t xml:space="preserve">broadly in line with other research into video conferencing for mental health, </w:t>
      </w:r>
      <w:r w:rsidR="00821DB8" w:rsidRPr="00546020">
        <w:t>results demonstrate that more appointments per client were attended in the online intervention</w:t>
      </w:r>
      <w:r w:rsidR="009944BC" w:rsidRPr="00546020">
        <w:t>.</w:t>
      </w:r>
      <w:r w:rsidR="003157E1" w:rsidRPr="00546020">
        <w:t xml:space="preserve"> </w:t>
      </w:r>
      <w:r w:rsidR="00574879" w:rsidRPr="00546020">
        <w:t>Finally</w:t>
      </w:r>
      <w:r w:rsidR="005E55DF" w:rsidRPr="00546020">
        <w:t xml:space="preserve">, when </w:t>
      </w:r>
      <w:r w:rsidR="00AD60B0" w:rsidRPr="00546020">
        <w:t xml:space="preserve">baseline drinking </w:t>
      </w:r>
      <w:r w:rsidR="005E55DF" w:rsidRPr="00546020">
        <w:t xml:space="preserve">severity </w:t>
      </w:r>
      <w:r w:rsidR="00F66144" w:rsidRPr="00546020">
        <w:t xml:space="preserve">and </w:t>
      </w:r>
      <w:r w:rsidR="005D0802" w:rsidRPr="00546020">
        <w:t>age were accounted for</w:t>
      </w:r>
      <w:r w:rsidR="00892FF9" w:rsidRPr="00546020">
        <w:t xml:space="preserve">, the </w:t>
      </w:r>
      <w:r w:rsidR="00574879" w:rsidRPr="00546020">
        <w:t xml:space="preserve">findings </w:t>
      </w:r>
      <w:r w:rsidR="00D315FA" w:rsidRPr="00151EFC">
        <w:t>provide</w:t>
      </w:r>
      <w:r w:rsidR="00D300E9" w:rsidRPr="00546020">
        <w:t xml:space="preserve"> initial evidence </w:t>
      </w:r>
      <w:r w:rsidR="00964B55" w:rsidRPr="00546020">
        <w:t>that online EBI</w:t>
      </w:r>
      <w:r w:rsidR="007D5B78" w:rsidRPr="00546020">
        <w:t xml:space="preserve"> led </w:t>
      </w:r>
      <w:r w:rsidR="00CD64F4" w:rsidRPr="00546020">
        <w:t xml:space="preserve">to equal or </w:t>
      </w:r>
      <w:r w:rsidR="007D5B78" w:rsidRPr="00546020">
        <w:t>great</w:t>
      </w:r>
      <w:r w:rsidR="003F69AD" w:rsidRPr="00546020">
        <w:t>er</w:t>
      </w:r>
      <w:r w:rsidR="007D5B78" w:rsidRPr="00546020">
        <w:t xml:space="preserve"> </w:t>
      </w:r>
      <w:r w:rsidR="007D5B78" w:rsidRPr="00546020">
        <w:lastRenderedPageBreak/>
        <w:t>in</w:t>
      </w:r>
      <w:r w:rsidR="00892FF9" w:rsidRPr="00546020">
        <w:t xml:space="preserve">creases in quality of life and </w:t>
      </w:r>
      <w:r w:rsidR="003F69AD" w:rsidRPr="00546020">
        <w:t>reduction</w:t>
      </w:r>
      <w:r w:rsidR="00CD64F4" w:rsidRPr="00546020">
        <w:t>s</w:t>
      </w:r>
      <w:r w:rsidR="007D5B78" w:rsidRPr="00546020">
        <w:t xml:space="preserve"> </w:t>
      </w:r>
      <w:r w:rsidR="00892FF9" w:rsidRPr="00546020">
        <w:t xml:space="preserve">in </w:t>
      </w:r>
      <w:r w:rsidR="007D5B78" w:rsidRPr="00546020">
        <w:t>self-reported drinking days</w:t>
      </w:r>
      <w:r w:rsidR="00D300E9" w:rsidRPr="00546020">
        <w:t xml:space="preserve"> (but these should be interpreted with caution given the observed differences between parametric and non-parametric findings)</w:t>
      </w:r>
      <w:r w:rsidR="007D5B78" w:rsidRPr="00546020">
        <w:t xml:space="preserve">. </w:t>
      </w:r>
      <w:r w:rsidR="002D50C5" w:rsidRPr="00546020">
        <w:t xml:space="preserve"> </w:t>
      </w:r>
      <w:r w:rsidR="00856D3B" w:rsidRPr="00546020">
        <w:t xml:space="preserve">On </w:t>
      </w:r>
      <w:r w:rsidR="00543ACD" w:rsidRPr="00546020">
        <w:t>the remaining</w:t>
      </w:r>
      <w:r w:rsidR="00856D3B" w:rsidRPr="00546020">
        <w:t xml:space="preserve"> demographics and outcome measures, online and face to measure modes of delivery did not differ</w:t>
      </w:r>
    </w:p>
    <w:p w14:paraId="41A9208F" w14:textId="77777777" w:rsidR="005E55DF" w:rsidRPr="00546020" w:rsidRDefault="00756918" w:rsidP="00E961CC">
      <w:pPr>
        <w:spacing w:line="480" w:lineRule="auto"/>
        <w:ind w:firstLine="709"/>
      </w:pPr>
      <w:r w:rsidRPr="00546020">
        <w:t>These findings are noteworthy</w:t>
      </w:r>
      <w:r w:rsidR="005E55DF" w:rsidRPr="00546020">
        <w:t xml:space="preserve"> given the current lack of published work on the use of </w:t>
      </w:r>
      <w:r w:rsidR="00574879" w:rsidRPr="00546020">
        <w:t xml:space="preserve">online </w:t>
      </w:r>
      <w:r w:rsidR="005E55DF" w:rsidRPr="00546020">
        <w:t>videoconferencing</w:t>
      </w:r>
      <w:r w:rsidR="00F256C1" w:rsidRPr="00546020">
        <w:t xml:space="preserve"> interventions</w:t>
      </w:r>
      <w:r w:rsidR="005E55DF" w:rsidRPr="00546020">
        <w:t xml:space="preserve"> specifically for problematic </w:t>
      </w:r>
      <w:r w:rsidR="00B221EB" w:rsidRPr="00546020">
        <w:t>alcohol use</w:t>
      </w:r>
      <w:r w:rsidR="00417BB6" w:rsidRPr="00546020">
        <w:t xml:space="preserve"> (cf. Garde et al., 2017)</w:t>
      </w:r>
      <w:r w:rsidR="005E55DF" w:rsidRPr="00546020">
        <w:t xml:space="preserve"> and</w:t>
      </w:r>
      <w:proofErr w:type="gramStart"/>
      <w:r w:rsidR="0047689C" w:rsidRPr="00546020">
        <w:t>, in particular,</w:t>
      </w:r>
      <w:r w:rsidR="005E55DF" w:rsidRPr="00546020">
        <w:t xml:space="preserve"> the</w:t>
      </w:r>
      <w:proofErr w:type="gramEnd"/>
      <w:r w:rsidR="005E55DF" w:rsidRPr="00546020">
        <w:t xml:space="preserve"> delivery of </w:t>
      </w:r>
      <w:r w:rsidR="00B221EB" w:rsidRPr="00546020">
        <w:t xml:space="preserve">alcohol </w:t>
      </w:r>
      <w:r w:rsidR="005E55DF" w:rsidRPr="00546020">
        <w:t xml:space="preserve">EBIs </w:t>
      </w:r>
      <w:r w:rsidR="00574879" w:rsidRPr="00546020">
        <w:t>in this way</w:t>
      </w:r>
      <w:r w:rsidR="005E55DF" w:rsidRPr="00546020">
        <w:t xml:space="preserve">. In </w:t>
      </w:r>
      <w:r w:rsidR="00641F96" w:rsidRPr="00546020">
        <w:t>general,</w:t>
      </w:r>
      <w:r w:rsidR="00B221EB" w:rsidRPr="00546020">
        <w:t xml:space="preserve"> these findings </w:t>
      </w:r>
      <w:r w:rsidR="00641F96" w:rsidRPr="00546020">
        <w:t xml:space="preserve">are supportive of online EBIs, suggesting they engage clients well, and lead to outcomes </w:t>
      </w:r>
      <w:proofErr w:type="gramStart"/>
      <w:r w:rsidR="00641F96" w:rsidRPr="00546020">
        <w:t>similar to</w:t>
      </w:r>
      <w:proofErr w:type="gramEnd"/>
      <w:r w:rsidR="00641F96" w:rsidRPr="00546020">
        <w:t xml:space="preserve"> those experienced by face-to-face counterparts. The increased number of treatment sessions is notable because, in the alcohol field, increased attendance is generally related to better longer-term outcomes (</w:t>
      </w:r>
      <w:r w:rsidR="00C4099D" w:rsidRPr="00546020">
        <w:t>e.g.</w:t>
      </w:r>
      <w:r w:rsidR="00641F96" w:rsidRPr="00546020">
        <w:t xml:space="preserve"> Dale et al., 2011). </w:t>
      </w:r>
      <w:r w:rsidR="00574879" w:rsidRPr="00546020">
        <w:t xml:space="preserve">In the current study, more </w:t>
      </w:r>
      <w:r w:rsidR="00150797" w:rsidRPr="00546020">
        <w:t>sessions</w:t>
      </w:r>
      <w:r w:rsidR="00574879" w:rsidRPr="00546020">
        <w:t xml:space="preserve"> were linked with improved psychological wellbeing and a trend towards fewer drinking days.  When considering these relationships, it is important to note that</w:t>
      </w:r>
      <w:r w:rsidR="004C400F" w:rsidRPr="00546020">
        <w:t xml:space="preserve"> </w:t>
      </w:r>
      <w:r w:rsidR="00987BB9" w:rsidRPr="00546020">
        <w:t xml:space="preserve">the </w:t>
      </w:r>
      <w:r w:rsidR="004C400F" w:rsidRPr="00546020">
        <w:t xml:space="preserve">motivation and commitment </w:t>
      </w:r>
      <w:r w:rsidR="00574879" w:rsidRPr="00546020">
        <w:t xml:space="preserve">required </w:t>
      </w:r>
      <w:r w:rsidR="004C400F" w:rsidRPr="00546020">
        <w:t xml:space="preserve">to attend online </w:t>
      </w:r>
      <w:r w:rsidR="006E1423" w:rsidRPr="00546020">
        <w:t xml:space="preserve">EBI </w:t>
      </w:r>
      <w:r w:rsidR="004C400F" w:rsidRPr="00546020">
        <w:t xml:space="preserve">sessions may not be the same level as that required to attend F2F treatment </w:t>
      </w:r>
      <w:r w:rsidR="00A03077" w:rsidRPr="00546020">
        <w:t>– with the former possibly presenting a lower effort requirement. To the extent that effort requirement may correlate with commitment to change, it is possible that</w:t>
      </w:r>
      <w:r w:rsidR="004C400F" w:rsidRPr="00546020">
        <w:t xml:space="preserve"> the </w:t>
      </w:r>
      <w:r w:rsidR="00A03077" w:rsidRPr="00546020">
        <w:t>longer</w:t>
      </w:r>
      <w:r w:rsidR="004C400F" w:rsidRPr="00546020">
        <w:t>-term outcomes</w:t>
      </w:r>
      <w:r w:rsidR="00A03077" w:rsidRPr="00546020">
        <w:t xml:space="preserve"> and number of sessions attended</w:t>
      </w:r>
      <w:r w:rsidR="004C400F" w:rsidRPr="00546020">
        <w:t xml:space="preserve"> may not correlate in the same manner</w:t>
      </w:r>
      <w:r w:rsidR="00A03077" w:rsidRPr="00546020">
        <w:t xml:space="preserve"> across modes of delivery</w:t>
      </w:r>
      <w:r w:rsidR="002732D9" w:rsidRPr="00546020">
        <w:t>. S</w:t>
      </w:r>
      <w:r w:rsidR="00A03077" w:rsidRPr="00546020">
        <w:t xml:space="preserve">pecifically, attendance at online sessions may have a lower association with positive outcomes (our sample size </w:t>
      </w:r>
      <w:proofErr w:type="gramStart"/>
      <w:r w:rsidR="00A03077" w:rsidRPr="00546020">
        <w:t>preclude</w:t>
      </w:r>
      <w:proofErr w:type="gramEnd"/>
      <w:r w:rsidR="00A03077" w:rsidRPr="00546020">
        <w:t xml:space="preserve"> a meaningful test of this effect)</w:t>
      </w:r>
      <w:r w:rsidR="004C400F" w:rsidRPr="00546020">
        <w:t xml:space="preserve">. </w:t>
      </w:r>
      <w:r w:rsidR="007770EC" w:rsidRPr="00546020">
        <w:t>Similarly, the mode of recruitment to each servi</w:t>
      </w:r>
      <w:r w:rsidR="002732D9" w:rsidRPr="00546020">
        <w:t>c</w:t>
      </w:r>
      <w:r w:rsidR="007770EC" w:rsidRPr="00546020">
        <w:t xml:space="preserve">e (online screening tool vs. doctor / </w:t>
      </w:r>
      <w:r w:rsidR="00677788" w:rsidRPr="00546020">
        <w:t>self-referral</w:t>
      </w:r>
      <w:r w:rsidR="007770EC" w:rsidRPr="00546020">
        <w:t xml:space="preserve">) may itself affect session engagement and outcomes. </w:t>
      </w:r>
      <w:r w:rsidR="00574879" w:rsidRPr="00546020">
        <w:t>Qualit</w:t>
      </w:r>
      <w:r w:rsidR="00987BB9" w:rsidRPr="00546020">
        <w:t>at</w:t>
      </w:r>
      <w:r w:rsidR="00574879" w:rsidRPr="00546020">
        <w:t>ive research</w:t>
      </w:r>
      <w:r w:rsidR="006E1423" w:rsidRPr="00546020">
        <w:t xml:space="preserve"> </w:t>
      </w:r>
      <w:r w:rsidR="00574879" w:rsidRPr="00546020">
        <w:t xml:space="preserve">exploring </w:t>
      </w:r>
      <w:r w:rsidR="006E1423" w:rsidRPr="00546020">
        <w:t>the reasons for increase</w:t>
      </w:r>
      <w:r w:rsidR="002732D9" w:rsidRPr="00546020">
        <w:t>d</w:t>
      </w:r>
      <w:r w:rsidR="006E1423" w:rsidRPr="00546020">
        <w:t xml:space="preserve"> </w:t>
      </w:r>
      <w:r w:rsidR="00DD58C4" w:rsidRPr="00546020">
        <w:t>attendance to the online</w:t>
      </w:r>
      <w:r w:rsidR="00921932" w:rsidRPr="00546020">
        <w:t xml:space="preserve"> video-conferencing intervention</w:t>
      </w:r>
      <w:r w:rsidR="00DD58C4" w:rsidRPr="00546020">
        <w:t xml:space="preserve"> </w:t>
      </w:r>
      <w:r w:rsidR="00574879" w:rsidRPr="00546020">
        <w:t xml:space="preserve">would be useful </w:t>
      </w:r>
      <w:r w:rsidR="002732D9" w:rsidRPr="00546020">
        <w:t>to understand</w:t>
      </w:r>
      <w:r w:rsidR="00574879" w:rsidRPr="00546020">
        <w:t xml:space="preserve"> </w:t>
      </w:r>
      <w:r w:rsidR="002732D9" w:rsidRPr="00546020">
        <w:t xml:space="preserve">the </w:t>
      </w:r>
      <w:r w:rsidR="00574879" w:rsidRPr="00546020">
        <w:t xml:space="preserve">underlying reasons </w:t>
      </w:r>
      <w:r w:rsidR="002732D9" w:rsidRPr="00546020">
        <w:t>behind this</w:t>
      </w:r>
      <w:r w:rsidR="00574879" w:rsidRPr="00546020">
        <w:t>.</w:t>
      </w:r>
    </w:p>
    <w:p w14:paraId="633FC027" w14:textId="26DB6084" w:rsidR="00293AAF" w:rsidRPr="00546020" w:rsidRDefault="001D4538" w:rsidP="00E961CC">
      <w:pPr>
        <w:spacing w:line="480" w:lineRule="auto"/>
        <w:ind w:firstLine="709"/>
      </w:pPr>
      <w:r w:rsidRPr="00546020">
        <w:t xml:space="preserve">There are </w:t>
      </w:r>
      <w:proofErr w:type="gramStart"/>
      <w:r w:rsidRPr="00546020">
        <w:t>a number of</w:t>
      </w:r>
      <w:proofErr w:type="gramEnd"/>
      <w:r w:rsidRPr="00546020">
        <w:t xml:space="preserve"> limitations </w:t>
      </w:r>
      <w:r w:rsidR="003D5DCB" w:rsidRPr="00546020">
        <w:t xml:space="preserve">and constraints </w:t>
      </w:r>
      <w:r w:rsidRPr="00546020">
        <w:t xml:space="preserve">to the findings reported here. This sample is relatively small so caution should be taken when interpreting effects, particularly </w:t>
      </w:r>
      <w:r w:rsidRPr="00546020">
        <w:lastRenderedPageBreak/>
        <w:t xml:space="preserve">the absence of differences. Also, this sample was comprised of self-referred clients and no control group was present. As such, it is impossible to disentangle treatment effects from spontaneous remission. </w:t>
      </w:r>
    </w:p>
    <w:p w14:paraId="75819481" w14:textId="1A94B48A" w:rsidR="00A1440A" w:rsidRPr="00546020" w:rsidRDefault="001D4538">
      <w:pPr>
        <w:spacing w:line="480" w:lineRule="auto"/>
        <w:ind w:firstLine="709"/>
      </w:pPr>
      <w:r w:rsidRPr="00546020">
        <w:t xml:space="preserve">The archival nature of this research also presents special limitations. </w:t>
      </w:r>
      <w:r w:rsidR="001627CA" w:rsidRPr="00546020">
        <w:t>Only a subset of data (treatment attendance and outcomes as listed above) was available to the research team, and questions around who applied to start the program,</w:t>
      </w:r>
      <w:r w:rsidR="0088016E" w:rsidRPr="00546020">
        <w:t xml:space="preserve"> and the outcomes of people who dropped out of treatment c</w:t>
      </w:r>
      <w:r w:rsidR="002732D9" w:rsidRPr="00546020">
        <w:t>ould not</w:t>
      </w:r>
      <w:r w:rsidR="0088016E" w:rsidRPr="00546020">
        <w:t xml:space="preserve"> be examined</w:t>
      </w:r>
      <w:r w:rsidR="001627CA" w:rsidRPr="00546020">
        <w:t xml:space="preserve">. </w:t>
      </w:r>
      <w:r w:rsidR="00A1440A" w:rsidRPr="00546020">
        <w:t>The follow-up period in the available data is also short.  As we were using archival</w:t>
      </w:r>
      <w:r w:rsidR="003F1CA3">
        <w:t xml:space="preserve"> data</w:t>
      </w:r>
      <w:r w:rsidR="00A1440A" w:rsidRPr="00546020">
        <w:t>, some measures (i.e. days drinking) have a low level of granularity – for instance, clients may have experienced fewer drinking days, but increased their consumption on those days</w:t>
      </w:r>
      <w:r w:rsidR="007C762F" w:rsidRPr="00546020">
        <w:t xml:space="preserve">. </w:t>
      </w:r>
      <w:r w:rsidR="00FA3BBC" w:rsidRPr="00546020">
        <w:t>N</w:t>
      </w:r>
      <w:r w:rsidR="007C762F" w:rsidRPr="00546020">
        <w:t xml:space="preserve">umber of drinking days is </w:t>
      </w:r>
      <w:r w:rsidR="00FA3BBC" w:rsidRPr="00546020">
        <w:t>by necessity related to</w:t>
      </w:r>
      <w:r w:rsidR="007C762F" w:rsidRPr="00546020">
        <w:t xml:space="preserve"> </w:t>
      </w:r>
      <w:r w:rsidR="008E664A" w:rsidRPr="00546020">
        <w:t xml:space="preserve">the </w:t>
      </w:r>
      <w:r w:rsidR="00FA3BBC" w:rsidRPr="00546020">
        <w:t xml:space="preserve">quantity x frequency </w:t>
      </w:r>
      <w:r w:rsidR="008E664A" w:rsidRPr="00546020">
        <w:t xml:space="preserve">formula </w:t>
      </w:r>
      <w:r w:rsidR="00FA3BBC" w:rsidRPr="00546020">
        <w:t xml:space="preserve">often used to estimate consumption (cf., </w:t>
      </w:r>
      <w:proofErr w:type="spellStart"/>
      <w:r w:rsidR="00FA3BBC" w:rsidRPr="00546020">
        <w:t>Poikolainen</w:t>
      </w:r>
      <w:proofErr w:type="spellEnd"/>
      <w:r w:rsidR="00FA3BBC" w:rsidRPr="00546020">
        <w:t xml:space="preserve">, </w:t>
      </w:r>
      <w:proofErr w:type="spellStart"/>
      <w:r w:rsidR="00FA3BBC" w:rsidRPr="00546020">
        <w:t>Podkletnova</w:t>
      </w:r>
      <w:proofErr w:type="spellEnd"/>
      <w:r w:rsidR="00FA3BBC" w:rsidRPr="00546020">
        <w:t xml:space="preserve"> and </w:t>
      </w:r>
      <w:proofErr w:type="spellStart"/>
      <w:r w:rsidR="00FA3BBC" w:rsidRPr="00546020">
        <w:t>Alho</w:t>
      </w:r>
      <w:proofErr w:type="spellEnd"/>
      <w:r w:rsidR="00FA3BBC" w:rsidRPr="00546020">
        <w:t>, 2002 for a discussion) and</w:t>
      </w:r>
      <w:r w:rsidR="00B21772" w:rsidRPr="00546020">
        <w:t xml:space="preserve"> mortality from alcohol related illness is linked to increases linearly with consumption frequency</w:t>
      </w:r>
      <w:r w:rsidR="00A2253C" w:rsidRPr="00546020">
        <w:t xml:space="preserve"> (Rehm, Room &amp; Taylor, 2008)</w:t>
      </w:r>
      <w:r w:rsidR="00B21772" w:rsidRPr="00546020">
        <w:t xml:space="preserve">. </w:t>
      </w:r>
      <w:r w:rsidR="00FA3BBC" w:rsidRPr="00546020">
        <w:t xml:space="preserve">However, frequency </w:t>
      </w:r>
      <w:r w:rsidR="007C762F" w:rsidRPr="00546020">
        <w:t xml:space="preserve">has been shown to be an independent predictor of </w:t>
      </w:r>
      <w:r w:rsidR="00B21772" w:rsidRPr="00546020">
        <w:t xml:space="preserve">other </w:t>
      </w:r>
      <w:r w:rsidR="007C762F" w:rsidRPr="00546020">
        <w:t>negative outcomes for</w:t>
      </w:r>
      <w:r w:rsidR="00B21772" w:rsidRPr="00546020">
        <w:t xml:space="preserve"> only</w:t>
      </w:r>
      <w:r w:rsidR="007C762F" w:rsidRPr="00546020">
        <w:t xml:space="preserve"> </w:t>
      </w:r>
      <w:r w:rsidR="00B21772" w:rsidRPr="00546020">
        <w:t>some populations</w:t>
      </w:r>
      <w:r w:rsidR="007C762F" w:rsidRPr="00546020">
        <w:t xml:space="preserve">, </w:t>
      </w:r>
      <w:r w:rsidR="00B21772" w:rsidRPr="00546020">
        <w:t>(</w:t>
      </w:r>
      <w:r w:rsidR="007C762F" w:rsidRPr="00546020">
        <w:t>see Graham et al., 2011</w:t>
      </w:r>
      <w:r w:rsidR="00B21772" w:rsidRPr="00546020">
        <w:t xml:space="preserve"> for a detailed overview</w:t>
      </w:r>
      <w:r w:rsidR="007C762F" w:rsidRPr="00546020">
        <w:t>)</w:t>
      </w:r>
      <w:r w:rsidR="00B21772" w:rsidRPr="00546020">
        <w:t xml:space="preserve">, and drinking intensity </w:t>
      </w:r>
      <w:r w:rsidR="00A2253C" w:rsidRPr="00546020">
        <w:t xml:space="preserve">predicts alcohol related mortality </w:t>
      </w:r>
      <w:r w:rsidR="00FA3BBC" w:rsidRPr="00546020">
        <w:t xml:space="preserve">exponentially </w:t>
      </w:r>
      <w:r w:rsidR="00A2253C" w:rsidRPr="00546020">
        <w:t xml:space="preserve">(Rehm et al., 2008). Thus, whilst number of days drinking </w:t>
      </w:r>
      <w:r w:rsidR="00FA3BBC" w:rsidRPr="00546020">
        <w:t>may be a viable</w:t>
      </w:r>
      <w:r w:rsidR="00A2253C" w:rsidRPr="00546020">
        <w:t xml:space="preserve"> proxy for actual consumption and subsequent risk, </w:t>
      </w:r>
      <w:r w:rsidR="007C762F" w:rsidRPr="00546020">
        <w:t>caution should be taken in evaluating the clinical significance of this finding until additional research has been undertaken.</w:t>
      </w:r>
      <w:r w:rsidR="00A1440A" w:rsidRPr="00546020">
        <w:t xml:space="preserve"> </w:t>
      </w:r>
    </w:p>
    <w:p w14:paraId="34C44C17" w14:textId="67E0C9EB" w:rsidR="00190854" w:rsidRPr="00546020" w:rsidRDefault="001D4538" w:rsidP="00E961CC">
      <w:pPr>
        <w:spacing w:line="480" w:lineRule="auto"/>
        <w:ind w:firstLine="709"/>
      </w:pPr>
      <w:r w:rsidRPr="00546020">
        <w:t xml:space="preserve">The treatment condition was confounded by key-worker (different </w:t>
      </w:r>
      <w:r w:rsidR="00734516" w:rsidRPr="00546020">
        <w:t xml:space="preserve">individuals </w:t>
      </w:r>
      <w:r w:rsidRPr="00546020">
        <w:t>delivered the online and F2F treatments), meaning practitioner effects cannot be disentangled from treatment type effects</w:t>
      </w:r>
      <w:r w:rsidR="001627CA" w:rsidRPr="00546020">
        <w:t xml:space="preserve"> </w:t>
      </w:r>
      <w:r w:rsidR="00EF4D92" w:rsidRPr="00546020">
        <w:t>(</w:t>
      </w:r>
      <w:r w:rsidR="001627CA" w:rsidRPr="00546020">
        <w:t xml:space="preserve">the online practitioner had more </w:t>
      </w:r>
      <w:proofErr w:type="gramStart"/>
      <w:r w:rsidR="001627CA" w:rsidRPr="00546020">
        <w:t>years</w:t>
      </w:r>
      <w:proofErr w:type="gramEnd"/>
      <w:r w:rsidR="001627CA" w:rsidRPr="00546020">
        <w:t xml:space="preserve"> clinical experience</w:t>
      </w:r>
      <w:r w:rsidR="00EF4D92" w:rsidRPr="00546020">
        <w:t>) therefore</w:t>
      </w:r>
      <w:r w:rsidR="001627CA" w:rsidRPr="00546020">
        <w:t xml:space="preserve"> future research </w:t>
      </w:r>
      <w:r w:rsidR="00EF4D92" w:rsidRPr="00546020">
        <w:t xml:space="preserve">must </w:t>
      </w:r>
      <w:r w:rsidR="001627CA" w:rsidRPr="00546020">
        <w:t>control for this</w:t>
      </w:r>
      <w:r w:rsidRPr="00546020">
        <w:t xml:space="preserve">. </w:t>
      </w:r>
      <w:r w:rsidR="00A23F13" w:rsidRPr="00151EFC">
        <w:t>It is worth noting that such potential practitioner effects are often unavoidable</w:t>
      </w:r>
      <w:r w:rsidR="00190854" w:rsidRPr="00151EFC">
        <w:t xml:space="preserve"> even</w:t>
      </w:r>
      <w:r w:rsidR="00A23F13" w:rsidRPr="00546020">
        <w:t xml:space="preserve"> in </w:t>
      </w:r>
      <w:r w:rsidR="00A23F13" w:rsidRPr="00151EFC">
        <w:t>purpose designed</w:t>
      </w:r>
      <w:r w:rsidR="00A23F13" w:rsidRPr="00546020">
        <w:t xml:space="preserve"> RCT evaluations of </w:t>
      </w:r>
      <w:r w:rsidR="00190854" w:rsidRPr="00151EFC">
        <w:t>psychosocial</w:t>
      </w:r>
      <w:r w:rsidR="00A23F13" w:rsidRPr="00546020">
        <w:t xml:space="preserve"> (as opposed to medicinal) interventions, when different treatment arms include </w:t>
      </w:r>
      <w:r w:rsidR="00A23F13" w:rsidRPr="00546020">
        <w:lastRenderedPageBreak/>
        <w:t xml:space="preserve">practitioners who are trained in different methods (and, of course, may have different aptitudes). In the current study, practitioner effects may have been reduced </w:t>
      </w:r>
      <w:proofErr w:type="gramStart"/>
      <w:r w:rsidR="00A23F13" w:rsidRPr="00546020">
        <w:t>by virtue of the fact that</w:t>
      </w:r>
      <w:proofErr w:type="gramEnd"/>
      <w:r w:rsidR="00A23F13" w:rsidRPr="00546020">
        <w:t xml:space="preserve"> both practitioners received training from the same treatment centre in the methods </w:t>
      </w:r>
      <w:r w:rsidR="00190854" w:rsidRPr="00151EFC">
        <w:t>used and</w:t>
      </w:r>
      <w:r w:rsidR="00A23F13" w:rsidRPr="00546020">
        <w:t xml:space="preserve"> delivered a standardised treatment package</w:t>
      </w:r>
      <w:r w:rsidR="00A23F13" w:rsidRPr="00151EFC">
        <w:t>.</w:t>
      </w:r>
      <w:r w:rsidR="00A23F13" w:rsidRPr="00546020">
        <w:t xml:space="preserve">  </w:t>
      </w:r>
    </w:p>
    <w:p w14:paraId="1052D8E1" w14:textId="4395B675" w:rsidR="00FA1DD4" w:rsidRPr="00546020" w:rsidRDefault="00A23F13" w:rsidP="00E961CC">
      <w:pPr>
        <w:spacing w:line="480" w:lineRule="auto"/>
        <w:ind w:firstLine="709"/>
      </w:pPr>
      <w:r w:rsidRPr="00546020">
        <w:t>Other challenges presented by the archival nature of the work include</w:t>
      </w:r>
      <w:r w:rsidR="00C04D35" w:rsidRPr="00546020">
        <w:t xml:space="preserve"> the recording of outcome </w:t>
      </w:r>
      <w:proofErr w:type="gramStart"/>
      <w:r w:rsidR="00C04D35" w:rsidRPr="00546020">
        <w:t xml:space="preserve">measures </w:t>
      </w:r>
      <w:r w:rsidR="001D4538" w:rsidRPr="00546020">
        <w:t xml:space="preserve"> by</w:t>
      </w:r>
      <w:proofErr w:type="gramEnd"/>
      <w:r w:rsidR="001D4538" w:rsidRPr="00546020">
        <w:t xml:space="preserve"> the </w:t>
      </w:r>
      <w:r w:rsidR="00734516" w:rsidRPr="00546020">
        <w:t>individuals</w:t>
      </w:r>
      <w:r w:rsidR="001D4538" w:rsidRPr="00546020">
        <w:t xml:space="preserve"> delivering the </w:t>
      </w:r>
      <w:r w:rsidRPr="00546020">
        <w:t>treatments. Although the fidelity of the analysed data is likely to be high (this approach is standard UK practice in many healthcare settings for both service audit, performance monitoring and future commissioning decisions) it falls short of gold-standard randomised controlled trial methodologies</w:t>
      </w:r>
      <w:r w:rsidR="00190854" w:rsidRPr="00546020">
        <w:t xml:space="preserve"> (</w:t>
      </w:r>
      <w:r w:rsidR="00E72091" w:rsidRPr="00546020">
        <w:t>where participants would be randomised to condition and an intention to treat approach adopted</w:t>
      </w:r>
      <w:r w:rsidR="008E664A" w:rsidRPr="00546020">
        <w:t>).</w:t>
      </w:r>
      <w:r w:rsidR="00E72091" w:rsidRPr="00546020">
        <w:t xml:space="preserve"> </w:t>
      </w:r>
    </w:p>
    <w:p w14:paraId="765939A7" w14:textId="72207E12" w:rsidR="00293AAF" w:rsidRPr="00546020" w:rsidRDefault="00293AAF" w:rsidP="00293AAF">
      <w:pPr>
        <w:spacing w:line="480" w:lineRule="auto"/>
        <w:ind w:firstLine="709"/>
      </w:pPr>
      <w:r w:rsidRPr="00546020">
        <w:t xml:space="preserve">Finally, the current study did not explore </w:t>
      </w:r>
      <w:r w:rsidRPr="00151EFC">
        <w:rPr>
          <w:i/>
        </w:rPr>
        <w:t>why</w:t>
      </w:r>
      <w:r w:rsidRPr="00546020">
        <w:t xml:space="preserve"> some forms of treatment (i.e. video conference </w:t>
      </w:r>
      <w:r w:rsidR="0040004B" w:rsidRPr="00546020">
        <w:t>interventions</w:t>
      </w:r>
      <w:r w:rsidRPr="00546020">
        <w:t xml:space="preserve">) may appeal to different groups. Younger clients, for example, may me more familiar with video / webcam interactions, </w:t>
      </w:r>
      <w:proofErr w:type="gramStart"/>
      <w:r w:rsidRPr="00546020">
        <w:t>and also</w:t>
      </w:r>
      <w:proofErr w:type="gramEnd"/>
      <w:r w:rsidRPr="00546020">
        <w:t xml:space="preserve"> may have different attitudes towards online privacy than older clients. This point also highlights the importance of using appropriate platforms for online </w:t>
      </w:r>
      <w:r w:rsidR="0040004B" w:rsidRPr="00546020">
        <w:t>interventions</w:t>
      </w:r>
      <w:r w:rsidRPr="00546020">
        <w:t xml:space="preserve"> (Skype, used in the study, is accepted in the UK for the current use, but is not currently Health Insurance Portability and Accountability compliant in terms of data security, so would not be suitable for US applications</w:t>
      </w:r>
      <w:r w:rsidR="00143B38">
        <w:t>)</w:t>
      </w:r>
      <w:r w:rsidRPr="00546020">
        <w:t>.</w:t>
      </w:r>
      <w:r w:rsidR="0040004B" w:rsidRPr="00546020">
        <w:t xml:space="preserve"> Why online video conference interventions are not attractive to some people (for instance, those preferring autonomous or asynchronous options, which may perhaps offer more flexibility and anonymity) is also of interest</w:t>
      </w:r>
      <w:r w:rsidR="00DC1C46" w:rsidRPr="00546020">
        <w:t xml:space="preserve">, as are the clinical implications of cost-per successful treatment (both in and of themselves, </w:t>
      </w:r>
      <w:proofErr w:type="gramStart"/>
      <w:r w:rsidR="00DC1C46" w:rsidRPr="00546020">
        <w:t xml:space="preserve">and in comparison </w:t>
      </w:r>
      <w:proofErr w:type="gramEnd"/>
      <w:r w:rsidR="00DC1C46" w:rsidRPr="00546020">
        <w:t>to face-to-face and autonomous interventions such as phone apps)</w:t>
      </w:r>
      <w:r w:rsidR="0040004B" w:rsidRPr="00546020">
        <w:t>.</w:t>
      </w:r>
    </w:p>
    <w:p w14:paraId="5556FBCA" w14:textId="70094C68" w:rsidR="00574879" w:rsidRPr="00546020" w:rsidRDefault="00FA1DD4" w:rsidP="00E961CC">
      <w:pPr>
        <w:spacing w:line="480" w:lineRule="auto"/>
        <w:ind w:firstLine="709"/>
      </w:pPr>
      <w:r w:rsidRPr="00546020">
        <w:t>F</w:t>
      </w:r>
      <w:r w:rsidR="001D4538" w:rsidRPr="00546020">
        <w:t xml:space="preserve">uture research could expand upon </w:t>
      </w:r>
      <w:r w:rsidR="0040004B" w:rsidRPr="00546020">
        <w:t>the current research</w:t>
      </w:r>
      <w:r w:rsidR="001D4538" w:rsidRPr="00546020">
        <w:t xml:space="preserve"> directly by adopting a randomised controlled trial methodology, recruiting a larger sample size and utilising a control group. Such work would be justified by this initial exploratory research, which also </w:t>
      </w:r>
      <w:r w:rsidR="001D4538" w:rsidRPr="00546020">
        <w:lastRenderedPageBreak/>
        <w:t xml:space="preserve">serves as </w:t>
      </w:r>
      <w:r w:rsidR="00FE2E0F" w:rsidRPr="00546020">
        <w:t xml:space="preserve">a </w:t>
      </w:r>
      <w:r w:rsidR="001D4538" w:rsidRPr="00546020">
        <w:t>basis for suitable power analysis to be undertaken</w:t>
      </w:r>
      <w:r w:rsidR="00DC270A">
        <w:t>.</w:t>
      </w:r>
      <w:r w:rsidR="008E664A" w:rsidRPr="00546020">
        <w:t xml:space="preserve"> </w:t>
      </w:r>
      <w:r w:rsidR="001D4538" w:rsidRPr="00546020">
        <w:t>In</w:t>
      </w:r>
      <w:r w:rsidR="00574879" w:rsidRPr="00546020">
        <w:t xml:space="preserve"> summary, the current research tentatively suggests that EBIs delivered </w:t>
      </w:r>
      <w:r w:rsidR="00E2570A" w:rsidRPr="00546020">
        <w:t xml:space="preserve">via video-conferencing online </w:t>
      </w:r>
      <w:r w:rsidR="00574879" w:rsidRPr="00546020">
        <w:t>perform as well as those delivered face-to-face and may be linked to better treatment retention.  Online EBI may also be more accessible to a distinct population of clients. However, larger scale, mixed method trials are needed to confirm these effects.</w:t>
      </w:r>
    </w:p>
    <w:p w14:paraId="05065C3D" w14:textId="77777777" w:rsidR="006E1423" w:rsidRPr="00546020" w:rsidRDefault="006E1423" w:rsidP="00E961CC">
      <w:pPr>
        <w:spacing w:line="480" w:lineRule="auto"/>
      </w:pPr>
    </w:p>
    <w:p w14:paraId="600D3A31" w14:textId="77777777" w:rsidR="00695B2B" w:rsidRPr="00546020" w:rsidRDefault="00695B2B" w:rsidP="00E961CC">
      <w:pPr>
        <w:spacing w:line="480" w:lineRule="auto"/>
        <w:rPr>
          <w:rFonts w:ascii="Helvetica" w:eastAsia="Times New Roman" w:hAnsi="Helvetica"/>
          <w:color w:val="000000"/>
          <w:sz w:val="18"/>
          <w:szCs w:val="18"/>
        </w:rPr>
      </w:pPr>
    </w:p>
    <w:p w14:paraId="767E662E" w14:textId="77777777" w:rsidR="0047689C" w:rsidRPr="00546020" w:rsidRDefault="0047689C" w:rsidP="00E961CC">
      <w:pPr>
        <w:spacing w:after="200" w:line="480" w:lineRule="auto"/>
        <w:rPr>
          <w:i/>
          <w:color w:val="222222"/>
          <w:shd w:val="clear" w:color="auto" w:fill="FFFFFF"/>
        </w:rPr>
      </w:pPr>
      <w:r w:rsidRPr="00546020">
        <w:rPr>
          <w:i/>
          <w:color w:val="222222"/>
          <w:shd w:val="clear" w:color="auto" w:fill="FFFFFF"/>
        </w:rPr>
        <w:br w:type="page"/>
      </w:r>
    </w:p>
    <w:p w14:paraId="6A22E0A1" w14:textId="77777777" w:rsidR="00644962" w:rsidRPr="00546020" w:rsidRDefault="00644962" w:rsidP="00A33EFD">
      <w:pPr>
        <w:pStyle w:val="Heading1"/>
        <w:rPr>
          <w:shd w:val="clear" w:color="auto" w:fill="FFFFFF"/>
        </w:rPr>
      </w:pPr>
      <w:r w:rsidRPr="00546020">
        <w:rPr>
          <w:shd w:val="clear" w:color="auto" w:fill="FFFFFF"/>
        </w:rPr>
        <w:lastRenderedPageBreak/>
        <w:t>References</w:t>
      </w:r>
    </w:p>
    <w:p w14:paraId="07ECE6AF" w14:textId="02395E29" w:rsidR="007518AB" w:rsidRPr="00546020" w:rsidRDefault="007518AB" w:rsidP="00E961CC">
      <w:pPr>
        <w:pStyle w:val="NormalWeb"/>
        <w:spacing w:line="480" w:lineRule="auto"/>
        <w:ind w:left="720" w:hanging="720"/>
      </w:pPr>
      <w:proofErr w:type="spellStart"/>
      <w:r w:rsidRPr="00546020">
        <w:t>Babor</w:t>
      </w:r>
      <w:proofErr w:type="spellEnd"/>
      <w:r w:rsidRPr="00546020">
        <w:t xml:space="preserve">, T. F., Higgins-Biddle, J. C., Saunders, J. B., Monteiro, M. G., &amp; World Health Organization. (2001). </w:t>
      </w:r>
      <w:r w:rsidRPr="00151EFC">
        <w:rPr>
          <w:i/>
        </w:rPr>
        <w:t>AUDIT: the alcohol use disorders identification test: guidelines for use in primary health care</w:t>
      </w:r>
      <w:r w:rsidRPr="00546020">
        <w:t>. Geneva, World Health Organisation.</w:t>
      </w:r>
    </w:p>
    <w:p w14:paraId="57106C4F" w14:textId="00884C89" w:rsidR="004C3132" w:rsidRPr="00546020" w:rsidRDefault="00702C11" w:rsidP="00E961CC">
      <w:pPr>
        <w:pStyle w:val="NormalWeb"/>
        <w:spacing w:line="480" w:lineRule="auto"/>
        <w:ind w:left="720" w:hanging="720"/>
      </w:pPr>
      <w:proofErr w:type="spellStart"/>
      <w:r w:rsidRPr="00546020">
        <w:t>Coulton</w:t>
      </w:r>
      <w:proofErr w:type="spellEnd"/>
      <w:r w:rsidRPr="00546020">
        <w:t>, S., Perryman, K., Bland, M., Cassidy, P., Crawford, M</w:t>
      </w:r>
      <w:r w:rsidR="00141259" w:rsidRPr="00546020">
        <w:t>.</w:t>
      </w:r>
      <w:r w:rsidRPr="00546020">
        <w:t xml:space="preserve">, Deluca, P., </w:t>
      </w:r>
      <w:r w:rsidR="003E59DB" w:rsidRPr="00546020">
        <w:t>…</w:t>
      </w:r>
      <w:r w:rsidRPr="00546020">
        <w:t xml:space="preserve"> Shepherd, J. (2009). Screening and brief interventions for hazardous alcohol use in accident and emergency departments: a randomised controlled trial protocol. </w:t>
      </w:r>
      <w:r w:rsidRPr="00546020">
        <w:rPr>
          <w:i/>
          <w:iCs/>
        </w:rPr>
        <w:t xml:space="preserve">BMC Health Services Research, </w:t>
      </w:r>
      <w:r w:rsidRPr="00546020">
        <w:rPr>
          <w:i/>
        </w:rPr>
        <w:t>9</w:t>
      </w:r>
      <w:r w:rsidRPr="00546020">
        <w:t xml:space="preserve">, 114. </w:t>
      </w:r>
      <w:r w:rsidR="00141259" w:rsidRPr="00546020">
        <w:t>https://doi.org/10.1186/1472-6963-9-114</w:t>
      </w:r>
    </w:p>
    <w:p w14:paraId="2C17FB27" w14:textId="77777777" w:rsidR="00DE6F3A" w:rsidRPr="00546020" w:rsidRDefault="004C3132" w:rsidP="00E961CC">
      <w:pPr>
        <w:spacing w:line="480" w:lineRule="auto"/>
        <w:ind w:left="709" w:hanging="709"/>
        <w:rPr>
          <w:rFonts w:eastAsia="Times New Roman"/>
          <w:color w:val="2A2A2A"/>
          <w:shd w:val="clear" w:color="auto" w:fill="FFFFFF"/>
        </w:rPr>
      </w:pPr>
      <w:r w:rsidRPr="00546020">
        <w:t>Dale V</w:t>
      </w:r>
      <w:r w:rsidR="00A015EC" w:rsidRPr="00546020">
        <w:t>.,</w:t>
      </w:r>
      <w:r w:rsidRPr="00546020">
        <w:t xml:space="preserve"> </w:t>
      </w:r>
      <w:proofErr w:type="spellStart"/>
      <w:r w:rsidRPr="00546020">
        <w:t>Coulton</w:t>
      </w:r>
      <w:proofErr w:type="spellEnd"/>
      <w:r w:rsidRPr="00546020">
        <w:t xml:space="preserve">, S., </w:t>
      </w:r>
      <w:proofErr w:type="spellStart"/>
      <w:r w:rsidRPr="00546020">
        <w:t>Godfery</w:t>
      </w:r>
      <w:proofErr w:type="spellEnd"/>
      <w:r w:rsidRPr="00546020">
        <w:t xml:space="preserve">, A., </w:t>
      </w:r>
      <w:proofErr w:type="spellStart"/>
      <w:r w:rsidRPr="00546020">
        <w:t>Copello</w:t>
      </w:r>
      <w:proofErr w:type="spellEnd"/>
      <w:r w:rsidRPr="00546020">
        <w:t xml:space="preserve">, A., Hodgson, Heather, N., </w:t>
      </w:r>
      <w:r w:rsidR="003E59DB" w:rsidRPr="00546020">
        <w:t>…</w:t>
      </w:r>
      <w:r w:rsidRPr="00546020">
        <w:t xml:space="preserve"> </w:t>
      </w:r>
      <w:proofErr w:type="spellStart"/>
      <w:r w:rsidRPr="00546020">
        <w:t>Tober</w:t>
      </w:r>
      <w:proofErr w:type="spellEnd"/>
      <w:r w:rsidRPr="00546020">
        <w:t>, G.</w:t>
      </w:r>
      <w:r w:rsidR="00A015EC" w:rsidRPr="00546020">
        <w:t xml:space="preserve"> </w:t>
      </w:r>
      <w:r w:rsidRPr="00546020">
        <w:t>(</w:t>
      </w:r>
      <w:r w:rsidR="00A015EC" w:rsidRPr="00546020">
        <w:t>2011</w:t>
      </w:r>
      <w:r w:rsidRPr="00546020">
        <w:t xml:space="preserve">). </w:t>
      </w:r>
      <w:r w:rsidR="00A11991" w:rsidRPr="00546020">
        <w:rPr>
          <w:rFonts w:eastAsia="Times New Roman"/>
          <w:bCs/>
          <w:color w:val="2A2A2A"/>
          <w:kern w:val="36"/>
        </w:rPr>
        <w:t xml:space="preserve">Exploring treatment attendance and its relationship to outcome in a randomized controlled trial of treatment for alcohol problems: secondary analysis of the UK Alcohol Treatment Trial </w:t>
      </w:r>
      <w:r w:rsidRPr="00546020">
        <w:rPr>
          <w:rFonts w:eastAsia="Times New Roman"/>
          <w:bCs/>
          <w:color w:val="2A2A2A"/>
          <w:kern w:val="36"/>
        </w:rPr>
        <w:t xml:space="preserve">(UKATT). </w:t>
      </w:r>
      <w:r w:rsidRPr="00546020">
        <w:rPr>
          <w:rFonts w:eastAsia="Times New Roman"/>
          <w:i/>
          <w:iCs/>
          <w:color w:val="2A2A2A"/>
          <w:bdr w:val="none" w:sz="0" w:space="0" w:color="auto" w:frame="1"/>
        </w:rPr>
        <w:t>Alcohol and Alcoholism</w:t>
      </w:r>
      <w:r w:rsidRPr="00546020">
        <w:rPr>
          <w:rFonts w:eastAsia="Times New Roman"/>
          <w:color w:val="2A2A2A"/>
          <w:shd w:val="clear" w:color="auto" w:fill="FFFFFF"/>
        </w:rPr>
        <w:t xml:space="preserve">, </w:t>
      </w:r>
      <w:r w:rsidRPr="00546020">
        <w:rPr>
          <w:rFonts w:eastAsia="Times New Roman"/>
          <w:i/>
          <w:color w:val="2A2A2A"/>
          <w:shd w:val="clear" w:color="auto" w:fill="FFFFFF"/>
        </w:rPr>
        <w:t>46</w:t>
      </w:r>
      <w:r w:rsidRPr="00546020">
        <w:rPr>
          <w:rFonts w:eastAsia="Times New Roman"/>
          <w:color w:val="2A2A2A"/>
          <w:shd w:val="clear" w:color="auto" w:fill="FFFFFF"/>
        </w:rPr>
        <w:t>, 592–599.</w:t>
      </w:r>
      <w:r w:rsidR="00141259" w:rsidRPr="00546020">
        <w:rPr>
          <w:rFonts w:eastAsia="Times New Roman"/>
          <w:color w:val="2A2A2A"/>
          <w:shd w:val="clear" w:color="auto" w:fill="FFFFFF"/>
        </w:rPr>
        <w:t xml:space="preserve"> https://doi.org/10.1093/alcalc/agr079</w:t>
      </w:r>
    </w:p>
    <w:p w14:paraId="2F0AC296" w14:textId="77777777" w:rsidR="00E42060" w:rsidRPr="00546020" w:rsidRDefault="00E42060" w:rsidP="00A33EFD">
      <w:pPr>
        <w:spacing w:line="480" w:lineRule="auto"/>
        <w:ind w:left="709" w:hanging="709"/>
        <w:rPr>
          <w:rFonts w:eastAsia="Times New Roman"/>
          <w:kern w:val="36"/>
        </w:rPr>
      </w:pPr>
      <w:proofErr w:type="spellStart"/>
      <w:r w:rsidRPr="00546020">
        <w:t>Gainsbury</w:t>
      </w:r>
      <w:proofErr w:type="spellEnd"/>
      <w:r w:rsidRPr="00546020">
        <w:t xml:space="preserve">, S., &amp; </w:t>
      </w:r>
      <w:proofErr w:type="spellStart"/>
      <w:r w:rsidRPr="00546020">
        <w:t>Blaszczynski</w:t>
      </w:r>
      <w:proofErr w:type="spellEnd"/>
      <w:r w:rsidRPr="00546020">
        <w:t xml:space="preserve">, A. (2011). A systematic review of Internet-based therapy for the treatment of addictions. </w:t>
      </w:r>
      <w:r w:rsidRPr="00546020">
        <w:rPr>
          <w:i/>
        </w:rPr>
        <w:t>Clinical Psychology Review, 31</w:t>
      </w:r>
      <w:r w:rsidRPr="00546020">
        <w:t>, 490– 498.</w:t>
      </w:r>
      <w:r w:rsidR="00141259" w:rsidRPr="00546020">
        <w:t xml:space="preserve"> https://doi.org/10.1016/j.cpr.2010.11.007</w:t>
      </w:r>
    </w:p>
    <w:p w14:paraId="4AD7CFE8" w14:textId="77777777" w:rsidR="00E42060" w:rsidRPr="00546020" w:rsidRDefault="00E42060" w:rsidP="00E961CC">
      <w:pPr>
        <w:spacing w:line="480" w:lineRule="auto"/>
        <w:ind w:left="709" w:hanging="709"/>
      </w:pPr>
      <w:r w:rsidRPr="00546020">
        <w:t xml:space="preserve">Garde, E. L., Manning, V., &amp; </w:t>
      </w:r>
      <w:proofErr w:type="spellStart"/>
      <w:r w:rsidRPr="00546020">
        <w:t>Lubman</w:t>
      </w:r>
      <w:proofErr w:type="spellEnd"/>
      <w:r w:rsidRPr="00546020">
        <w:t xml:space="preserve">, D. I. (2017). Characteristics of clients currently accessing a national online alcohol and drug counselling service. </w:t>
      </w:r>
      <w:r w:rsidRPr="00546020">
        <w:rPr>
          <w:i/>
        </w:rPr>
        <w:t>Australasian Psychiatry, 215</w:t>
      </w:r>
      <w:r w:rsidRPr="00546020">
        <w:t>, 250–253.</w:t>
      </w:r>
      <w:r w:rsidR="00141259" w:rsidRPr="00546020">
        <w:t xml:space="preserve"> https://doi.org/10.1177/1039856216689623</w:t>
      </w:r>
    </w:p>
    <w:p w14:paraId="0870E658" w14:textId="4ABC90C8" w:rsidR="00B7667E" w:rsidRPr="00546020" w:rsidRDefault="00B7667E" w:rsidP="00E961CC">
      <w:pPr>
        <w:spacing w:line="480" w:lineRule="auto"/>
        <w:ind w:left="709" w:hanging="709"/>
      </w:pPr>
      <w:r w:rsidRPr="00546020">
        <w:t xml:space="preserve">Graham, K., </w:t>
      </w:r>
      <w:proofErr w:type="spellStart"/>
      <w:r w:rsidRPr="00546020">
        <w:t>Bernards</w:t>
      </w:r>
      <w:proofErr w:type="spellEnd"/>
      <w:r w:rsidRPr="00546020">
        <w:t xml:space="preserve">, S., </w:t>
      </w:r>
      <w:proofErr w:type="spellStart"/>
      <w:r w:rsidRPr="00546020">
        <w:t>Knibbe</w:t>
      </w:r>
      <w:proofErr w:type="spellEnd"/>
      <w:r w:rsidRPr="00546020">
        <w:t xml:space="preserve">, R., </w:t>
      </w:r>
      <w:proofErr w:type="spellStart"/>
      <w:r w:rsidRPr="00546020">
        <w:t>Kairouz</w:t>
      </w:r>
      <w:proofErr w:type="spellEnd"/>
      <w:r w:rsidRPr="00546020">
        <w:t xml:space="preserve">, S., </w:t>
      </w:r>
      <w:proofErr w:type="spellStart"/>
      <w:r w:rsidRPr="00546020">
        <w:t>Kuntsche</w:t>
      </w:r>
      <w:proofErr w:type="spellEnd"/>
      <w:r w:rsidRPr="00546020">
        <w:t xml:space="preserve">, S., </w:t>
      </w:r>
      <w:proofErr w:type="spellStart"/>
      <w:r w:rsidRPr="00546020">
        <w:t>Wilsnack</w:t>
      </w:r>
      <w:proofErr w:type="spellEnd"/>
      <w:r w:rsidRPr="00546020">
        <w:t xml:space="preserve">, S. C., ... &amp; </w:t>
      </w:r>
      <w:proofErr w:type="spellStart"/>
      <w:r w:rsidRPr="00546020">
        <w:t>Gmel</w:t>
      </w:r>
      <w:proofErr w:type="spellEnd"/>
      <w:r w:rsidRPr="00546020">
        <w:t xml:space="preserve">, G. (2011). Alcohol‐related negative consequences among drinkers around the world. </w:t>
      </w:r>
      <w:r w:rsidRPr="00151EFC">
        <w:rPr>
          <w:i/>
        </w:rPr>
        <w:t>Addiction, 106</w:t>
      </w:r>
      <w:r w:rsidRPr="00546020">
        <w:t>, 1391-1405.</w:t>
      </w:r>
    </w:p>
    <w:p w14:paraId="544FC1D6" w14:textId="6032659B" w:rsidR="00141259" w:rsidRPr="00546020" w:rsidRDefault="00141259" w:rsidP="00E961CC">
      <w:pPr>
        <w:spacing w:line="480" w:lineRule="auto"/>
        <w:ind w:left="709" w:hanging="709"/>
        <w:rPr>
          <w:shd w:val="clear" w:color="auto" w:fill="FFFFFF"/>
        </w:rPr>
      </w:pPr>
      <w:r w:rsidRPr="00546020">
        <w:t>Heather</w:t>
      </w:r>
      <w:r w:rsidR="00A11991" w:rsidRPr="00546020">
        <w:t>,</w:t>
      </w:r>
      <w:r w:rsidRPr="00546020">
        <w:t xml:space="preserve"> N, Girvan</w:t>
      </w:r>
      <w:r w:rsidR="00A11991" w:rsidRPr="00546020">
        <w:t>,</w:t>
      </w:r>
      <w:r w:rsidRPr="00546020">
        <w:t xml:space="preserve"> M, </w:t>
      </w:r>
      <w:proofErr w:type="spellStart"/>
      <w:r w:rsidRPr="00546020">
        <w:t>Kaner</w:t>
      </w:r>
      <w:proofErr w:type="spellEnd"/>
      <w:r w:rsidR="00A11991" w:rsidRPr="00546020">
        <w:t>,</w:t>
      </w:r>
      <w:r w:rsidRPr="00546020">
        <w:t xml:space="preserve"> E, Cassidy</w:t>
      </w:r>
      <w:r w:rsidR="00A11991" w:rsidRPr="00546020">
        <w:t>,</w:t>
      </w:r>
      <w:r w:rsidRPr="00546020">
        <w:t xml:space="preserve"> P</w:t>
      </w:r>
      <w:r w:rsidR="00A11991" w:rsidRPr="00546020">
        <w:t>. (2008).</w:t>
      </w:r>
      <w:r w:rsidRPr="00546020">
        <w:t xml:space="preserve"> </w:t>
      </w:r>
      <w:r w:rsidRPr="00546020">
        <w:rPr>
          <w:i/>
        </w:rPr>
        <w:t xml:space="preserve">Implementing screening and brief alcohol intervention in pilot general practices in the Tyne and Wear Health Action </w:t>
      </w:r>
      <w:r w:rsidRPr="00546020">
        <w:rPr>
          <w:i/>
        </w:rPr>
        <w:lastRenderedPageBreak/>
        <w:t>Zone (Final report).</w:t>
      </w:r>
      <w:r w:rsidRPr="00546020">
        <w:t xml:space="preserve"> A final report on research funded by the Tyne and Wear Health Action Zone. Newcastle upon Tyne: Northumbria University.</w:t>
      </w:r>
    </w:p>
    <w:p w14:paraId="76328E2D" w14:textId="03A3BAD5" w:rsidR="007518AB" w:rsidRPr="00546020" w:rsidRDefault="007518AB" w:rsidP="007518AB">
      <w:pPr>
        <w:pStyle w:val="NormalWeb"/>
        <w:spacing w:line="480" w:lineRule="auto"/>
        <w:ind w:left="720" w:hanging="720"/>
      </w:pPr>
      <w:proofErr w:type="spellStart"/>
      <w:r w:rsidRPr="00546020">
        <w:t>Pechey</w:t>
      </w:r>
      <w:proofErr w:type="spellEnd"/>
      <w:r w:rsidRPr="00546020">
        <w:t>, L. (2011). Evaluating the Delivery of Extended Brief Interventions in specialist alcohol settings: how to improve outcomes for Higher Risk drinkers? Report retrieved 24</w:t>
      </w:r>
      <w:r w:rsidRPr="00151EFC">
        <w:rPr>
          <w:vertAlign w:val="superscript"/>
        </w:rPr>
        <w:t>th</w:t>
      </w:r>
      <w:r w:rsidRPr="00546020">
        <w:t xml:space="preserve"> September 2018 from https://alcoholibablog.files.wordpress.com/2012/05/evaluating-ebi-in-alcohol-settings-may-2011.pdf</w:t>
      </w:r>
    </w:p>
    <w:p w14:paraId="12CBFE52" w14:textId="6DDDEF4F" w:rsidR="00073253" w:rsidRPr="00546020" w:rsidRDefault="00073253" w:rsidP="00E961CC">
      <w:pPr>
        <w:pStyle w:val="NormalWeb"/>
        <w:spacing w:line="480" w:lineRule="auto"/>
        <w:ind w:left="720" w:hanging="720"/>
      </w:pPr>
      <w:proofErr w:type="spellStart"/>
      <w:r w:rsidRPr="00546020">
        <w:t>Kaner</w:t>
      </w:r>
      <w:proofErr w:type="spellEnd"/>
      <w:r w:rsidRPr="00546020">
        <w:t xml:space="preserve">, E., Beyer, F., Dickinson, H., Pienaar, E., Campbell, F., Schlesinger, C., </w:t>
      </w:r>
      <w:r w:rsidR="003E59DB" w:rsidRPr="00546020">
        <w:t>…</w:t>
      </w:r>
      <w:r w:rsidRPr="00546020">
        <w:t xml:space="preserve"> </w:t>
      </w:r>
      <w:proofErr w:type="spellStart"/>
      <w:r w:rsidRPr="00546020">
        <w:t>Bernand</w:t>
      </w:r>
      <w:proofErr w:type="spellEnd"/>
      <w:r w:rsidRPr="00546020">
        <w:t xml:space="preserve">, B. (2007). </w:t>
      </w:r>
      <w:r w:rsidRPr="00546020">
        <w:rPr>
          <w:iCs/>
        </w:rPr>
        <w:t>Brief interventions for excessive drinkers in primary health care settings</w:t>
      </w:r>
      <w:r w:rsidR="001D4B0A" w:rsidRPr="00546020">
        <w:t xml:space="preserve">. </w:t>
      </w:r>
      <w:r w:rsidRPr="00546020">
        <w:rPr>
          <w:i/>
        </w:rPr>
        <w:t>Cochrane Database of Systematic Reviews</w:t>
      </w:r>
      <w:r w:rsidRPr="00546020">
        <w:t xml:space="preserve">, </w:t>
      </w:r>
      <w:r w:rsidRPr="00546020">
        <w:rPr>
          <w:i/>
        </w:rPr>
        <w:t>2007</w:t>
      </w:r>
      <w:r w:rsidRPr="00546020">
        <w:t xml:space="preserve">, 1-90.  </w:t>
      </w:r>
      <w:r w:rsidR="00141259" w:rsidRPr="00546020">
        <w:t>1 https://doi.org/0.1002/14651858.CD004148</w:t>
      </w:r>
    </w:p>
    <w:p w14:paraId="36E83F85" w14:textId="77777777" w:rsidR="00BD15AB" w:rsidRPr="00546020" w:rsidRDefault="00BD15AB" w:rsidP="00E961CC">
      <w:pPr>
        <w:spacing w:line="480" w:lineRule="auto"/>
        <w:ind w:left="709" w:hanging="709"/>
      </w:pPr>
      <w:proofErr w:type="spellStart"/>
      <w:r w:rsidRPr="00546020">
        <w:t>Khadjesari</w:t>
      </w:r>
      <w:proofErr w:type="spellEnd"/>
      <w:r w:rsidR="00141259" w:rsidRPr="00546020">
        <w:t>,</w:t>
      </w:r>
      <w:r w:rsidRPr="00546020">
        <w:t xml:space="preserve"> Z</w:t>
      </w:r>
      <w:r w:rsidR="00141259" w:rsidRPr="00546020">
        <w:t>.</w:t>
      </w:r>
      <w:r w:rsidRPr="00546020">
        <w:t>, Murray</w:t>
      </w:r>
      <w:r w:rsidR="00141259" w:rsidRPr="00546020">
        <w:t>,</w:t>
      </w:r>
      <w:r w:rsidRPr="00546020">
        <w:t xml:space="preserve"> E</w:t>
      </w:r>
      <w:r w:rsidR="00141259" w:rsidRPr="00546020">
        <w:t>.</w:t>
      </w:r>
      <w:r w:rsidRPr="00546020">
        <w:t>, Hewitt</w:t>
      </w:r>
      <w:r w:rsidR="00141259" w:rsidRPr="00546020">
        <w:t>,</w:t>
      </w:r>
      <w:r w:rsidRPr="00546020">
        <w:t xml:space="preserve"> C</w:t>
      </w:r>
      <w:r w:rsidR="00141259" w:rsidRPr="00546020">
        <w:t>.</w:t>
      </w:r>
      <w:r w:rsidRPr="00546020">
        <w:t>, Hartley</w:t>
      </w:r>
      <w:r w:rsidR="00141259" w:rsidRPr="00546020">
        <w:t>,</w:t>
      </w:r>
      <w:r w:rsidRPr="00546020">
        <w:t xml:space="preserve"> S</w:t>
      </w:r>
      <w:r w:rsidR="00141259" w:rsidRPr="00546020">
        <w:t>.</w:t>
      </w:r>
      <w:r w:rsidRPr="00546020">
        <w:t>, Godfrey</w:t>
      </w:r>
      <w:r w:rsidR="00141259" w:rsidRPr="00546020">
        <w:t>,</w:t>
      </w:r>
      <w:r w:rsidRPr="00546020">
        <w:t xml:space="preserve"> C. </w:t>
      </w:r>
      <w:r w:rsidR="00A76B35" w:rsidRPr="00546020">
        <w:t xml:space="preserve">(2011). </w:t>
      </w:r>
      <w:r w:rsidRPr="00546020">
        <w:t xml:space="preserve">Can stand-alone computer-based interventions reduce alcohol consumption? A systematic review. </w:t>
      </w:r>
      <w:r w:rsidRPr="00546020">
        <w:rPr>
          <w:i/>
        </w:rPr>
        <w:t>Addiction</w:t>
      </w:r>
      <w:r w:rsidR="00A76B35" w:rsidRPr="00546020">
        <w:t xml:space="preserve">, </w:t>
      </w:r>
      <w:r w:rsidRPr="00546020">
        <w:rPr>
          <w:i/>
        </w:rPr>
        <w:t>106</w:t>
      </w:r>
      <w:r w:rsidR="001D4B0A" w:rsidRPr="00546020">
        <w:t xml:space="preserve">, </w:t>
      </w:r>
      <w:r w:rsidRPr="00546020">
        <w:t>267–82</w:t>
      </w:r>
      <w:r w:rsidR="001D4B0A" w:rsidRPr="00546020">
        <w:t>.</w:t>
      </w:r>
      <w:r w:rsidR="00141259" w:rsidRPr="00546020">
        <w:t xml:space="preserve"> https://doi.org/10.1111/j.1360-0443.2010.03214.x.</w:t>
      </w:r>
    </w:p>
    <w:p w14:paraId="06D99FD8" w14:textId="77777777" w:rsidR="00644962" w:rsidRPr="00546020" w:rsidRDefault="00644962" w:rsidP="00E961CC">
      <w:pPr>
        <w:spacing w:line="480" w:lineRule="auto"/>
        <w:ind w:left="709" w:hanging="709"/>
        <w:rPr>
          <w:shd w:val="clear" w:color="auto" w:fill="FFFFFF"/>
        </w:rPr>
      </w:pPr>
      <w:r w:rsidRPr="00546020">
        <w:rPr>
          <w:shd w:val="clear" w:color="auto" w:fill="FFFFFF"/>
        </w:rPr>
        <w:t>Marsden, J., Farrell, M., Bradbury, C., Dale‐</w:t>
      </w:r>
      <w:proofErr w:type="spellStart"/>
      <w:r w:rsidRPr="00546020">
        <w:rPr>
          <w:shd w:val="clear" w:color="auto" w:fill="FFFFFF"/>
        </w:rPr>
        <w:t>Perera</w:t>
      </w:r>
      <w:proofErr w:type="spellEnd"/>
      <w:r w:rsidRPr="00546020">
        <w:rPr>
          <w:shd w:val="clear" w:color="auto" w:fill="FFFFFF"/>
        </w:rPr>
        <w:t>, A., Eastwood, B., Roxburgh, M., &amp; Taylor, S. (2008). Development of the treatment outcomes profile.</w:t>
      </w:r>
      <w:r w:rsidRPr="00546020">
        <w:rPr>
          <w:rStyle w:val="apple-converted-space"/>
          <w:shd w:val="clear" w:color="auto" w:fill="FFFFFF"/>
        </w:rPr>
        <w:t> </w:t>
      </w:r>
      <w:r w:rsidRPr="00546020">
        <w:rPr>
          <w:i/>
          <w:iCs/>
          <w:shd w:val="clear" w:color="auto" w:fill="FFFFFF"/>
        </w:rPr>
        <w:t>Addiction</w:t>
      </w:r>
      <w:r w:rsidRPr="00546020">
        <w:rPr>
          <w:shd w:val="clear" w:color="auto" w:fill="FFFFFF"/>
        </w:rPr>
        <w:t>,</w:t>
      </w:r>
      <w:r w:rsidRPr="00546020">
        <w:rPr>
          <w:rStyle w:val="apple-converted-space"/>
          <w:shd w:val="clear" w:color="auto" w:fill="FFFFFF"/>
        </w:rPr>
        <w:t> </w:t>
      </w:r>
      <w:r w:rsidRPr="00546020">
        <w:rPr>
          <w:i/>
          <w:iCs/>
          <w:shd w:val="clear" w:color="auto" w:fill="FFFFFF"/>
        </w:rPr>
        <w:t>103</w:t>
      </w:r>
      <w:r w:rsidRPr="00546020">
        <w:rPr>
          <w:shd w:val="clear" w:color="auto" w:fill="FFFFFF"/>
        </w:rPr>
        <w:t>, 1450-1460.</w:t>
      </w:r>
      <w:r w:rsidR="00141259" w:rsidRPr="00546020">
        <w:rPr>
          <w:shd w:val="clear" w:color="auto" w:fill="FFFFFF"/>
        </w:rPr>
        <w:t xml:space="preserve"> https://doi.org/10.1111/j.1360-0443.2008.02284.x</w:t>
      </w:r>
    </w:p>
    <w:p w14:paraId="65D5E2BB" w14:textId="77777777" w:rsidR="0050694A" w:rsidRPr="00546020" w:rsidRDefault="0018301A" w:rsidP="00E961CC">
      <w:pPr>
        <w:pStyle w:val="NormalWeb"/>
        <w:spacing w:line="480" w:lineRule="auto"/>
      </w:pPr>
      <w:r w:rsidRPr="00546020">
        <w:t xml:space="preserve">Miller, W. R., &amp; </w:t>
      </w:r>
      <w:r w:rsidR="00963748" w:rsidRPr="00546020">
        <w:t xml:space="preserve">Rollnick, </w:t>
      </w:r>
      <w:r w:rsidRPr="00546020">
        <w:t xml:space="preserve">S. </w:t>
      </w:r>
      <w:r w:rsidR="00963748" w:rsidRPr="00546020">
        <w:t xml:space="preserve">(1991). </w:t>
      </w:r>
      <w:r w:rsidR="00963748" w:rsidRPr="00546020">
        <w:rPr>
          <w:i/>
          <w:iCs/>
        </w:rPr>
        <w:t>Motivational Interviewing</w:t>
      </w:r>
      <w:r w:rsidR="00963748" w:rsidRPr="00546020">
        <w:t xml:space="preserve">. New York: Guilford Press. </w:t>
      </w:r>
    </w:p>
    <w:p w14:paraId="596801CA" w14:textId="77777777" w:rsidR="00657F44" w:rsidRPr="00546020" w:rsidRDefault="00657F44" w:rsidP="00E961CC">
      <w:pPr>
        <w:spacing w:line="480" w:lineRule="auto"/>
        <w:ind w:left="720" w:hanging="720"/>
        <w:rPr>
          <w:rFonts w:eastAsia="Times New Roman"/>
        </w:rPr>
      </w:pPr>
      <w:r w:rsidRPr="00546020">
        <w:rPr>
          <w:rFonts w:eastAsia="Times New Roman"/>
          <w:color w:val="000000"/>
          <w:shd w:val="clear" w:color="auto" w:fill="FFFFFF"/>
        </w:rPr>
        <w:t xml:space="preserve">Nelson, E. L., &amp; Patton, S. (2016). </w:t>
      </w:r>
      <w:r w:rsidRPr="00546020">
        <w:rPr>
          <w:color w:val="000000"/>
        </w:rPr>
        <w:t xml:space="preserve">Using </w:t>
      </w:r>
      <w:r w:rsidR="001D4B0A" w:rsidRPr="00546020">
        <w:rPr>
          <w:color w:val="000000"/>
        </w:rPr>
        <w:t xml:space="preserve">videoconferencing </w:t>
      </w:r>
      <w:r w:rsidRPr="00546020">
        <w:rPr>
          <w:color w:val="000000"/>
        </w:rPr>
        <w:t xml:space="preserve">to </w:t>
      </w:r>
      <w:r w:rsidR="001D4B0A" w:rsidRPr="00546020">
        <w:rPr>
          <w:color w:val="000000"/>
        </w:rPr>
        <w:t xml:space="preserve">deliver individual therapy </w:t>
      </w:r>
      <w:r w:rsidRPr="00546020">
        <w:rPr>
          <w:color w:val="000000"/>
        </w:rPr>
        <w:t xml:space="preserve">and </w:t>
      </w:r>
      <w:proofErr w:type="spellStart"/>
      <w:r w:rsidR="001D4B0A" w:rsidRPr="00546020">
        <w:rPr>
          <w:color w:val="000000"/>
        </w:rPr>
        <w:t>pediatric</w:t>
      </w:r>
      <w:proofErr w:type="spellEnd"/>
      <w:r w:rsidR="001D4B0A" w:rsidRPr="00546020">
        <w:rPr>
          <w:color w:val="000000"/>
        </w:rPr>
        <w:t xml:space="preserve"> psychology interventions </w:t>
      </w:r>
      <w:r w:rsidRPr="00546020">
        <w:rPr>
          <w:color w:val="000000"/>
        </w:rPr>
        <w:t xml:space="preserve">with </w:t>
      </w:r>
      <w:r w:rsidR="001D4B0A" w:rsidRPr="00546020">
        <w:rPr>
          <w:color w:val="000000"/>
        </w:rPr>
        <w:t xml:space="preserve">children </w:t>
      </w:r>
      <w:r w:rsidRPr="00546020">
        <w:rPr>
          <w:color w:val="000000"/>
        </w:rPr>
        <w:t xml:space="preserve">and </w:t>
      </w:r>
      <w:r w:rsidR="001D4B0A" w:rsidRPr="00546020">
        <w:rPr>
          <w:color w:val="000000"/>
        </w:rPr>
        <w:t>adolescents</w:t>
      </w:r>
      <w:r w:rsidRPr="00546020">
        <w:rPr>
          <w:color w:val="000000"/>
        </w:rPr>
        <w:t xml:space="preserve">. </w:t>
      </w:r>
      <w:r w:rsidRPr="00546020">
        <w:rPr>
          <w:i/>
          <w:color w:val="000000"/>
        </w:rPr>
        <w:t>Journal of Child &amp; Adolescent Psychopharmacology</w:t>
      </w:r>
      <w:r w:rsidRPr="00546020">
        <w:rPr>
          <w:color w:val="000000"/>
        </w:rPr>
        <w:t xml:space="preserve">, </w:t>
      </w:r>
      <w:r w:rsidRPr="00546020">
        <w:rPr>
          <w:rFonts w:eastAsia="Times New Roman"/>
          <w:color w:val="000000"/>
          <w:shd w:val="clear" w:color="auto" w:fill="FFFFFF"/>
        </w:rPr>
        <w:t>26</w:t>
      </w:r>
      <w:r w:rsidR="001D4B0A" w:rsidRPr="00546020">
        <w:rPr>
          <w:rFonts w:eastAsia="Times New Roman"/>
          <w:color w:val="000000"/>
          <w:shd w:val="clear" w:color="auto" w:fill="FFFFFF"/>
        </w:rPr>
        <w:t>,</w:t>
      </w:r>
      <w:r w:rsidRPr="00546020">
        <w:rPr>
          <w:rFonts w:eastAsia="Times New Roman"/>
          <w:color w:val="000000"/>
          <w:shd w:val="clear" w:color="auto" w:fill="FFFFFF"/>
        </w:rPr>
        <w:t xml:space="preserve"> 212–220.</w:t>
      </w:r>
      <w:r w:rsidR="00A11991" w:rsidRPr="00546020">
        <w:t xml:space="preserve"> h</w:t>
      </w:r>
      <w:r w:rsidR="00A11991" w:rsidRPr="00546020">
        <w:rPr>
          <w:rFonts w:eastAsia="Times New Roman"/>
          <w:color w:val="000000"/>
          <w:shd w:val="clear" w:color="auto" w:fill="FFFFFF"/>
        </w:rPr>
        <w:t>ttps://doi.org/10.1089/cap.2015.0021</w:t>
      </w:r>
    </w:p>
    <w:p w14:paraId="061984C4" w14:textId="4100F534" w:rsidR="00B83CCE" w:rsidRPr="00546020" w:rsidRDefault="00B83CCE" w:rsidP="00E961CC">
      <w:pPr>
        <w:pStyle w:val="NormalWeb"/>
        <w:spacing w:line="480" w:lineRule="auto"/>
        <w:ind w:left="720" w:hanging="720"/>
      </w:pPr>
      <w:proofErr w:type="spellStart"/>
      <w:r w:rsidRPr="00546020">
        <w:lastRenderedPageBreak/>
        <w:t>Poikolainen</w:t>
      </w:r>
      <w:proofErr w:type="spellEnd"/>
      <w:r w:rsidRPr="00546020">
        <w:t>, K. (1999). Effectiveness of brief interventions to reduce alcohol intake in primary health car</w:t>
      </w:r>
      <w:r w:rsidR="0030544A" w:rsidRPr="00546020">
        <w:t xml:space="preserve">e populations: A meta-analysis. </w:t>
      </w:r>
      <w:r w:rsidRPr="00546020">
        <w:rPr>
          <w:i/>
          <w:iCs/>
        </w:rPr>
        <w:t xml:space="preserve">Preventive Medicine: An International Journal Devoted to Practice &amp; </w:t>
      </w:r>
      <w:r w:rsidRPr="00546020">
        <w:rPr>
          <w:iCs/>
        </w:rPr>
        <w:t xml:space="preserve">Theory, </w:t>
      </w:r>
      <w:r w:rsidRPr="00546020">
        <w:t xml:space="preserve">28, 503–550. </w:t>
      </w:r>
      <w:r w:rsidR="001C04D9" w:rsidRPr="00151EFC">
        <w:t>https://doi.org/10.1006/pmed.1999.0467</w:t>
      </w:r>
      <w:r w:rsidR="001C04D9" w:rsidRPr="00546020">
        <w:t xml:space="preserve"> </w:t>
      </w:r>
    </w:p>
    <w:p w14:paraId="5A22B0AE" w14:textId="5E9E584F" w:rsidR="001C04D9" w:rsidRPr="00546020" w:rsidRDefault="001C04D9" w:rsidP="00E961CC">
      <w:pPr>
        <w:pStyle w:val="NormalWeb"/>
        <w:spacing w:line="480" w:lineRule="auto"/>
        <w:ind w:left="720" w:hanging="720"/>
      </w:pPr>
      <w:proofErr w:type="spellStart"/>
      <w:r w:rsidRPr="00546020">
        <w:t>Poikolainen</w:t>
      </w:r>
      <w:proofErr w:type="spellEnd"/>
      <w:r w:rsidRPr="00546020">
        <w:t xml:space="preserve">, K., </w:t>
      </w:r>
      <w:proofErr w:type="spellStart"/>
      <w:r w:rsidRPr="00546020">
        <w:t>Podkletnova</w:t>
      </w:r>
      <w:proofErr w:type="spellEnd"/>
      <w:r w:rsidRPr="00546020">
        <w:t xml:space="preserve">, I., &amp; </w:t>
      </w:r>
      <w:proofErr w:type="spellStart"/>
      <w:r w:rsidRPr="00546020">
        <w:t>Alho</w:t>
      </w:r>
      <w:proofErr w:type="spellEnd"/>
      <w:r w:rsidRPr="00546020">
        <w:t xml:space="preserve">, H. (2002). Accuracy of quantity–frequency and graduated frequency questionnaires in measuring alcohol intake: comparison with daily diary and commonly used laboratory markers. </w:t>
      </w:r>
      <w:r w:rsidRPr="00151EFC">
        <w:rPr>
          <w:i/>
        </w:rPr>
        <w:t>Alcohol and Alcoholism, 37</w:t>
      </w:r>
      <w:r w:rsidRPr="00546020">
        <w:t xml:space="preserve">, 573-576. </w:t>
      </w:r>
      <w:r w:rsidRPr="00151EFC">
        <w:t>https://doi.org/10.1093/alcalc/37.6.573</w:t>
      </w:r>
      <w:r w:rsidRPr="00546020">
        <w:t xml:space="preserve"> </w:t>
      </w:r>
    </w:p>
    <w:p w14:paraId="7BAEA6BD" w14:textId="6638F0AE" w:rsidR="001C04D9" w:rsidRPr="00546020" w:rsidRDefault="001C04D9" w:rsidP="00E961CC">
      <w:pPr>
        <w:pStyle w:val="NormalWeb"/>
        <w:spacing w:line="480" w:lineRule="auto"/>
        <w:ind w:left="720" w:hanging="720"/>
      </w:pPr>
      <w:r w:rsidRPr="00546020">
        <w:t xml:space="preserve">Rehm, J., Room, R., &amp; Taylor, B. (2008). Method for moderation: measuring lifetime risk of alcohol‐attributable mortality as a basis for drinking guidelines. </w:t>
      </w:r>
      <w:r w:rsidRPr="00151EFC">
        <w:rPr>
          <w:i/>
        </w:rPr>
        <w:t xml:space="preserve">International </w:t>
      </w:r>
      <w:r w:rsidRPr="00546020">
        <w:rPr>
          <w:i/>
        </w:rPr>
        <w:t>J</w:t>
      </w:r>
      <w:r w:rsidRPr="00151EFC">
        <w:rPr>
          <w:i/>
        </w:rPr>
        <w:t xml:space="preserve">ournal of </w:t>
      </w:r>
      <w:r w:rsidRPr="00546020">
        <w:rPr>
          <w:i/>
        </w:rPr>
        <w:t>M</w:t>
      </w:r>
      <w:r w:rsidRPr="00151EFC">
        <w:rPr>
          <w:i/>
        </w:rPr>
        <w:t xml:space="preserve">ethods in </w:t>
      </w:r>
      <w:r w:rsidRPr="00546020">
        <w:rPr>
          <w:i/>
        </w:rPr>
        <w:t>P</w:t>
      </w:r>
      <w:r w:rsidRPr="00151EFC">
        <w:rPr>
          <w:i/>
        </w:rPr>
        <w:t xml:space="preserve">sychiatric </w:t>
      </w:r>
      <w:r w:rsidRPr="00546020">
        <w:rPr>
          <w:i/>
        </w:rPr>
        <w:t>R</w:t>
      </w:r>
      <w:r w:rsidRPr="00151EFC">
        <w:rPr>
          <w:i/>
        </w:rPr>
        <w:t>esearch</w:t>
      </w:r>
      <w:r w:rsidRPr="00546020">
        <w:t xml:space="preserve">, </w:t>
      </w:r>
      <w:r w:rsidRPr="00151EFC">
        <w:rPr>
          <w:i/>
        </w:rPr>
        <w:t>17</w:t>
      </w:r>
      <w:r w:rsidRPr="00546020">
        <w:t xml:space="preserve">, 141-151. </w:t>
      </w:r>
      <w:r w:rsidR="00EC14FA" w:rsidRPr="00151EFC">
        <w:t>https://doi.org/10.1002/mpr.259</w:t>
      </w:r>
      <w:r w:rsidR="00EC14FA" w:rsidRPr="00546020">
        <w:t xml:space="preserve"> </w:t>
      </w:r>
    </w:p>
    <w:p w14:paraId="30310FE5" w14:textId="0E58EA5A" w:rsidR="00EC14FA" w:rsidRPr="00546020" w:rsidRDefault="00EC14FA" w:rsidP="00E961CC">
      <w:pPr>
        <w:pStyle w:val="NormalWeb"/>
        <w:spacing w:line="480" w:lineRule="auto"/>
        <w:ind w:left="720" w:hanging="720"/>
      </w:pPr>
      <w:proofErr w:type="spellStart"/>
      <w:r w:rsidRPr="00151EFC">
        <w:rPr>
          <w:color w:val="222222"/>
          <w:shd w:val="clear" w:color="auto" w:fill="FFFFFF"/>
        </w:rPr>
        <w:t>Sainani</w:t>
      </w:r>
      <w:proofErr w:type="spellEnd"/>
      <w:r w:rsidRPr="00151EFC">
        <w:rPr>
          <w:color w:val="222222"/>
          <w:shd w:val="clear" w:color="auto" w:fill="FFFFFF"/>
        </w:rPr>
        <w:t>, K. L. (2012). Dealing with non-normal data. </w:t>
      </w:r>
      <w:r w:rsidRPr="00151EFC">
        <w:rPr>
          <w:i/>
          <w:iCs/>
          <w:color w:val="222222"/>
          <w:shd w:val="clear" w:color="auto" w:fill="FFFFFF"/>
        </w:rPr>
        <w:t>PM&amp;R</w:t>
      </w:r>
      <w:r w:rsidRPr="00151EFC">
        <w:rPr>
          <w:color w:val="222222"/>
          <w:shd w:val="clear" w:color="auto" w:fill="FFFFFF"/>
        </w:rPr>
        <w:t>, </w:t>
      </w:r>
      <w:r w:rsidRPr="00151EFC">
        <w:rPr>
          <w:i/>
          <w:iCs/>
          <w:color w:val="222222"/>
          <w:shd w:val="clear" w:color="auto" w:fill="FFFFFF"/>
        </w:rPr>
        <w:t>4</w:t>
      </w:r>
      <w:r w:rsidRPr="00151EFC">
        <w:rPr>
          <w:color w:val="222222"/>
          <w:shd w:val="clear" w:color="auto" w:fill="FFFFFF"/>
        </w:rPr>
        <w:t>, 1001-1005. https://doi.org/10.1016/j.pmrj.2012.10.013</w:t>
      </w:r>
    </w:p>
    <w:p w14:paraId="1C0719A3" w14:textId="4523854B" w:rsidR="00DE6F3A" w:rsidRPr="00546020" w:rsidRDefault="00DE6F3A" w:rsidP="00E961CC">
      <w:pPr>
        <w:spacing w:line="480" w:lineRule="auto"/>
        <w:ind w:left="709" w:hanging="709"/>
        <w:jc w:val="both"/>
        <w:rPr>
          <w:rFonts w:eastAsiaTheme="minorEastAsia"/>
          <w:lang w:val="en-US"/>
        </w:rPr>
      </w:pPr>
      <w:r w:rsidRPr="00546020">
        <w:rPr>
          <w:rFonts w:eastAsiaTheme="minorEastAsia"/>
          <w:lang w:val="en-US"/>
        </w:rPr>
        <w:t xml:space="preserve">Saunders, J. B., </w:t>
      </w:r>
      <w:proofErr w:type="spellStart"/>
      <w:r w:rsidRPr="00546020">
        <w:rPr>
          <w:rFonts w:eastAsiaTheme="minorEastAsia"/>
          <w:lang w:val="en-US"/>
        </w:rPr>
        <w:t>Aasland</w:t>
      </w:r>
      <w:proofErr w:type="spellEnd"/>
      <w:r w:rsidRPr="00546020">
        <w:rPr>
          <w:rFonts w:eastAsiaTheme="minorEastAsia"/>
          <w:lang w:val="en-US"/>
        </w:rPr>
        <w:t xml:space="preserve">, O. G., </w:t>
      </w:r>
      <w:proofErr w:type="spellStart"/>
      <w:r w:rsidRPr="00546020">
        <w:rPr>
          <w:rFonts w:eastAsiaTheme="minorEastAsia"/>
          <w:lang w:val="en-US"/>
        </w:rPr>
        <w:t>Babor</w:t>
      </w:r>
      <w:proofErr w:type="spellEnd"/>
      <w:r w:rsidRPr="00546020">
        <w:rPr>
          <w:rFonts w:eastAsiaTheme="minorEastAsia"/>
          <w:lang w:val="en-US"/>
        </w:rPr>
        <w:t xml:space="preserve">, T. F., </w:t>
      </w:r>
      <w:proofErr w:type="spellStart"/>
      <w:r w:rsidRPr="00546020">
        <w:rPr>
          <w:rFonts w:eastAsiaTheme="minorEastAsia"/>
          <w:lang w:val="en-US"/>
        </w:rPr>
        <w:t>DeLaFuente</w:t>
      </w:r>
      <w:proofErr w:type="spellEnd"/>
      <w:r w:rsidRPr="00546020">
        <w:rPr>
          <w:rFonts w:eastAsiaTheme="minorEastAsia"/>
          <w:lang w:val="en-US"/>
        </w:rPr>
        <w:t xml:space="preserve">, J. R. &amp; Grant, M. (1993). Development of the Alcohol Use Disorders Identification </w:t>
      </w:r>
      <w:proofErr w:type="gramStart"/>
      <w:r w:rsidRPr="00546020">
        <w:rPr>
          <w:rFonts w:eastAsiaTheme="minorEastAsia"/>
          <w:lang w:val="en-US"/>
        </w:rPr>
        <w:t>Tes</w:t>
      </w:r>
      <w:r w:rsidR="00F02E6F" w:rsidRPr="00546020">
        <w:rPr>
          <w:rFonts w:eastAsiaTheme="minorEastAsia"/>
          <w:lang w:val="en-US"/>
        </w:rPr>
        <w:t>t(</w:t>
      </w:r>
      <w:proofErr w:type="gramEnd"/>
      <w:r w:rsidRPr="00546020">
        <w:rPr>
          <w:rFonts w:eastAsiaTheme="minorEastAsia"/>
          <w:lang w:val="en-US"/>
        </w:rPr>
        <w:t xml:space="preserve">AUDIT): WHO collaborative project on early detection of persons with harmful alcohol consumption. </w:t>
      </w:r>
      <w:r w:rsidRPr="00546020">
        <w:rPr>
          <w:rFonts w:eastAsiaTheme="minorEastAsia"/>
          <w:lang w:val="en-US"/>
        </w:rPr>
        <w:tab/>
      </w:r>
      <w:r w:rsidRPr="00546020">
        <w:rPr>
          <w:rFonts w:eastAsiaTheme="minorEastAsia"/>
          <w:i/>
          <w:lang w:val="en-US"/>
        </w:rPr>
        <w:t>Addiction, 88,</w:t>
      </w:r>
      <w:r w:rsidRPr="00546020">
        <w:rPr>
          <w:rFonts w:eastAsiaTheme="minorEastAsia"/>
          <w:lang w:val="en-US"/>
        </w:rPr>
        <w:t xml:space="preserve"> 617–629.</w:t>
      </w:r>
      <w:r w:rsidR="00A11991" w:rsidRPr="00546020">
        <w:t xml:space="preserve"> </w:t>
      </w:r>
      <w:r w:rsidR="00A11991" w:rsidRPr="00546020">
        <w:rPr>
          <w:rFonts w:eastAsiaTheme="minorEastAsia"/>
          <w:lang w:val="en-US"/>
        </w:rPr>
        <w:t>https://doi.org/10.1111/j.1360-0443.1993.tb02093.x</w:t>
      </w:r>
    </w:p>
    <w:p w14:paraId="576F522A" w14:textId="77777777" w:rsidR="004979E9" w:rsidRPr="00546020" w:rsidRDefault="004979E9" w:rsidP="00E961CC">
      <w:pPr>
        <w:spacing w:line="480" w:lineRule="auto"/>
        <w:ind w:left="720" w:hanging="720"/>
      </w:pPr>
      <w:proofErr w:type="spellStart"/>
      <w:r w:rsidRPr="00546020">
        <w:t>Sinadinovic</w:t>
      </w:r>
      <w:proofErr w:type="spellEnd"/>
      <w:r w:rsidRPr="00546020">
        <w:t xml:space="preserve">, K., </w:t>
      </w:r>
      <w:proofErr w:type="spellStart"/>
      <w:r w:rsidRPr="00546020">
        <w:t>Wennberg</w:t>
      </w:r>
      <w:proofErr w:type="spellEnd"/>
      <w:r w:rsidRPr="00546020">
        <w:t xml:space="preserve">, P., Johansson, M., Berman, A. (2014). </w:t>
      </w:r>
      <w:r w:rsidR="00A11991" w:rsidRPr="00546020">
        <w:t>Targeting individuals with problematic alcohol use via web-based cognitive-</w:t>
      </w:r>
      <w:proofErr w:type="spellStart"/>
      <w:r w:rsidR="00A11991" w:rsidRPr="00546020">
        <w:t>behavioral</w:t>
      </w:r>
      <w:proofErr w:type="spellEnd"/>
      <w:r w:rsidR="00A11991" w:rsidRPr="00546020">
        <w:t xml:space="preserve"> self-help modules, personalized screening feedback or assessment only: </w:t>
      </w:r>
      <w:proofErr w:type="gramStart"/>
      <w:r w:rsidR="00A11991" w:rsidRPr="00546020">
        <w:t>a</w:t>
      </w:r>
      <w:proofErr w:type="gramEnd"/>
      <w:r w:rsidR="00A11991" w:rsidRPr="00546020">
        <w:t xml:space="preserve"> Randomized </w:t>
      </w:r>
      <w:r w:rsidRPr="00546020">
        <w:t xml:space="preserve">Controlled Trial, </w:t>
      </w:r>
      <w:r w:rsidRPr="00546020">
        <w:rPr>
          <w:i/>
        </w:rPr>
        <w:t>European Addiction Research</w:t>
      </w:r>
      <w:r w:rsidRPr="00546020">
        <w:t xml:space="preserve">, </w:t>
      </w:r>
      <w:r w:rsidRPr="00546020">
        <w:rPr>
          <w:i/>
        </w:rPr>
        <w:t>20</w:t>
      </w:r>
      <w:r w:rsidRPr="00546020">
        <w:t xml:space="preserve">, 305–318. </w:t>
      </w:r>
      <w:r w:rsidR="00A11991" w:rsidRPr="00546020">
        <w:t>https://doi.org/10.1159/000362406</w:t>
      </w:r>
    </w:p>
    <w:p w14:paraId="64AFE7D4" w14:textId="387D4BCC" w:rsidR="0061749A" w:rsidRPr="00546020" w:rsidRDefault="0052432D" w:rsidP="00677788">
      <w:pPr>
        <w:spacing w:after="200" w:line="480" w:lineRule="auto"/>
      </w:pPr>
      <w:r w:rsidRPr="00546020">
        <w:rPr>
          <w:i/>
        </w:rPr>
        <w:br w:type="page"/>
      </w:r>
      <w:r w:rsidR="0049580A" w:rsidRPr="00546020">
        <w:rPr>
          <w:rStyle w:val="Heading2Char"/>
        </w:rPr>
        <w:lastRenderedPageBreak/>
        <w:t xml:space="preserve">Data provenance </w:t>
      </w:r>
      <w:r w:rsidR="00584579" w:rsidRPr="00546020">
        <w:rPr>
          <w:rStyle w:val="Heading2Char"/>
        </w:rPr>
        <w:t>and contributions:</w:t>
      </w:r>
      <w:r w:rsidR="00584579" w:rsidRPr="00546020">
        <w:rPr>
          <w:i/>
        </w:rPr>
        <w:t xml:space="preserve"> </w:t>
      </w:r>
      <w:r w:rsidR="00584579" w:rsidRPr="00546020">
        <w:t>These analys</w:t>
      </w:r>
      <w:r w:rsidR="00B47374" w:rsidRPr="00546020">
        <w:t>e</w:t>
      </w:r>
      <w:r w:rsidR="00584579" w:rsidRPr="00546020">
        <w:t xml:space="preserve">s were conducted </w:t>
      </w:r>
      <w:proofErr w:type="gramStart"/>
      <w:r w:rsidR="00584579" w:rsidRPr="00546020">
        <w:t>on the basis of</w:t>
      </w:r>
      <w:proofErr w:type="gramEnd"/>
      <w:r w:rsidR="00584579" w:rsidRPr="00546020">
        <w:t xml:space="preserve"> data collected and provided by HAGA, and not independently verified by other agencies. The analysis and results were produced by </w:t>
      </w:r>
      <w:r w:rsidR="00973E4A">
        <w:t>Wood</w:t>
      </w:r>
      <w:r w:rsidR="00584579" w:rsidRPr="00546020">
        <w:t>,</w:t>
      </w:r>
      <w:r w:rsidR="00973E4A">
        <w:t xml:space="preserve"> Frings </w:t>
      </w:r>
      <w:r w:rsidR="00584579" w:rsidRPr="00546020">
        <w:t xml:space="preserve">and </w:t>
      </w:r>
      <w:proofErr w:type="spellStart"/>
      <w:r w:rsidR="00973E4A">
        <w:t>Albery</w:t>
      </w:r>
      <w:proofErr w:type="spellEnd"/>
      <w:r w:rsidR="00584579" w:rsidRPr="00546020">
        <w:t>, all affiliated with</w:t>
      </w:r>
      <w:r w:rsidR="00973E4A">
        <w:t xml:space="preserve"> LSBU</w:t>
      </w:r>
      <w:r w:rsidR="00584579" w:rsidRPr="00546020">
        <w:t xml:space="preserve">. Methodological information was provided by HAGA – with contributions from </w:t>
      </w:r>
      <w:r w:rsidR="00973E4A" w:rsidRPr="00973E4A">
        <w:t xml:space="preserve">Mark Holmes, Angela </w:t>
      </w:r>
      <w:proofErr w:type="spellStart"/>
      <w:r w:rsidR="00973E4A" w:rsidRPr="00973E4A">
        <w:t>Calcan</w:t>
      </w:r>
      <w:proofErr w:type="spellEnd"/>
      <w:r w:rsidR="00973E4A" w:rsidRPr="00973E4A">
        <w:t xml:space="preserve">, Ola </w:t>
      </w:r>
      <w:proofErr w:type="spellStart"/>
      <w:r w:rsidR="00973E4A" w:rsidRPr="00973E4A">
        <w:t>Kolade</w:t>
      </w:r>
      <w:proofErr w:type="spellEnd"/>
      <w:r w:rsidR="00973E4A" w:rsidRPr="00973E4A">
        <w:t xml:space="preserve"> and Dylan Kerr.</w:t>
      </w:r>
      <w:bookmarkStart w:id="1" w:name="_GoBack"/>
      <w:bookmarkEnd w:id="1"/>
      <w:r w:rsidR="00514453" w:rsidRPr="00546020">
        <w:t>.</w:t>
      </w:r>
    </w:p>
    <w:p w14:paraId="0F5D93C4" w14:textId="77777777" w:rsidR="00674724" w:rsidRPr="00546020" w:rsidRDefault="00674724">
      <w:pPr>
        <w:spacing w:after="200" w:line="276" w:lineRule="auto"/>
        <w:sectPr w:rsidR="00674724" w:rsidRPr="00546020" w:rsidSect="00677788">
          <w:headerReference w:type="default" r:id="rId9"/>
          <w:pgSz w:w="11906" w:h="16838"/>
          <w:pgMar w:top="1440" w:right="1440" w:bottom="1440" w:left="1440" w:header="708" w:footer="708" w:gutter="0"/>
          <w:cols w:space="708"/>
          <w:docGrid w:linePitch="360"/>
        </w:sectPr>
      </w:pPr>
    </w:p>
    <w:p w14:paraId="5F759D1B" w14:textId="46D09460" w:rsidR="0063101E" w:rsidRPr="00546020" w:rsidRDefault="0063101E" w:rsidP="00151EFC">
      <w:pPr>
        <w:spacing w:after="200" w:line="276" w:lineRule="auto"/>
      </w:pPr>
      <w:r w:rsidRPr="00546020">
        <w:lastRenderedPageBreak/>
        <w:t>Table 1</w:t>
      </w:r>
      <w:r w:rsidR="003717EE" w:rsidRPr="00546020">
        <w:t>:</w:t>
      </w:r>
    </w:p>
    <w:p w14:paraId="3E190B6C" w14:textId="77777777" w:rsidR="0063101E" w:rsidRPr="00546020" w:rsidRDefault="0063101E" w:rsidP="00E961CC">
      <w:pPr>
        <w:spacing w:after="120" w:line="480" w:lineRule="auto"/>
        <w:rPr>
          <w:i/>
        </w:rPr>
      </w:pPr>
      <w:r w:rsidRPr="00546020">
        <w:rPr>
          <w:i/>
        </w:rPr>
        <w:t xml:space="preserve">Demographic data from Online and </w:t>
      </w:r>
      <w:r w:rsidR="004F4BC3" w:rsidRPr="00546020">
        <w:rPr>
          <w:i/>
        </w:rPr>
        <w:t>F2F</w:t>
      </w:r>
      <w:r w:rsidRPr="00546020">
        <w:rPr>
          <w:i/>
        </w:rPr>
        <w:t xml:space="preserve"> intervention clients. </w:t>
      </w:r>
    </w:p>
    <w:tbl>
      <w:tblPr>
        <w:tblStyle w:val="TableGrid"/>
        <w:tblW w:w="10695" w:type="dxa"/>
        <w:tblLook w:val="04A0" w:firstRow="1" w:lastRow="0" w:firstColumn="1" w:lastColumn="0" w:noHBand="0" w:noVBand="1"/>
      </w:tblPr>
      <w:tblGrid>
        <w:gridCol w:w="2552"/>
        <w:gridCol w:w="1559"/>
        <w:gridCol w:w="495"/>
        <w:gridCol w:w="20"/>
        <w:gridCol w:w="1753"/>
        <w:gridCol w:w="532"/>
        <w:gridCol w:w="7"/>
        <w:gridCol w:w="1324"/>
        <w:gridCol w:w="772"/>
        <w:gridCol w:w="1674"/>
        <w:gridCol w:w="7"/>
      </w:tblGrid>
      <w:tr w:rsidR="00AB78CF" w:rsidRPr="00546020" w14:paraId="1DEB28D6" w14:textId="77777777" w:rsidTr="00151EFC">
        <w:trPr>
          <w:gridAfter w:val="1"/>
          <w:wAfter w:w="7" w:type="dxa"/>
        </w:trPr>
        <w:tc>
          <w:tcPr>
            <w:tcW w:w="2552" w:type="dxa"/>
            <w:tcBorders>
              <w:left w:val="nil"/>
              <w:bottom w:val="nil"/>
              <w:right w:val="nil"/>
            </w:tcBorders>
          </w:tcPr>
          <w:p w14:paraId="61D7F650" w14:textId="77777777" w:rsidR="00AB78CF" w:rsidRPr="00546020" w:rsidRDefault="00AB78CF" w:rsidP="00E961CC">
            <w:pPr>
              <w:spacing w:line="480" w:lineRule="auto"/>
            </w:pPr>
          </w:p>
        </w:tc>
        <w:tc>
          <w:tcPr>
            <w:tcW w:w="2074" w:type="dxa"/>
            <w:gridSpan w:val="3"/>
            <w:tcBorders>
              <w:left w:val="nil"/>
              <w:right w:val="nil"/>
            </w:tcBorders>
          </w:tcPr>
          <w:p w14:paraId="3511513A" w14:textId="77777777" w:rsidR="00AB78CF" w:rsidRPr="00546020" w:rsidRDefault="00AB78CF" w:rsidP="00E961CC">
            <w:pPr>
              <w:spacing w:line="480" w:lineRule="auto"/>
              <w:jc w:val="center"/>
              <w:rPr>
                <w:i/>
              </w:rPr>
            </w:pPr>
            <w:r w:rsidRPr="00546020">
              <w:t>Online</w:t>
            </w:r>
          </w:p>
        </w:tc>
        <w:tc>
          <w:tcPr>
            <w:tcW w:w="2285" w:type="dxa"/>
            <w:gridSpan w:val="2"/>
            <w:tcBorders>
              <w:left w:val="nil"/>
              <w:right w:val="nil"/>
            </w:tcBorders>
          </w:tcPr>
          <w:p w14:paraId="7465E2B4" w14:textId="77777777" w:rsidR="00AB78CF" w:rsidRPr="00546020" w:rsidRDefault="00AB78CF" w:rsidP="00E961CC">
            <w:pPr>
              <w:spacing w:line="480" w:lineRule="auto"/>
              <w:jc w:val="center"/>
            </w:pPr>
            <w:r w:rsidRPr="00546020">
              <w:t xml:space="preserve">F2F  </w:t>
            </w:r>
          </w:p>
        </w:tc>
        <w:tc>
          <w:tcPr>
            <w:tcW w:w="3777" w:type="dxa"/>
            <w:gridSpan w:val="4"/>
            <w:tcBorders>
              <w:left w:val="nil"/>
              <w:right w:val="nil"/>
            </w:tcBorders>
          </w:tcPr>
          <w:p w14:paraId="03B6FBEB" w14:textId="77777777" w:rsidR="00AB78CF" w:rsidRPr="00546020" w:rsidRDefault="00AB78CF" w:rsidP="00E961CC">
            <w:pPr>
              <w:spacing w:line="480" w:lineRule="auto"/>
              <w:jc w:val="center"/>
            </w:pPr>
            <w:r w:rsidRPr="00546020">
              <w:t>t-test statistics</w:t>
            </w:r>
          </w:p>
        </w:tc>
      </w:tr>
      <w:tr w:rsidR="00AB78CF" w:rsidRPr="00546020" w14:paraId="2353F49C" w14:textId="77777777" w:rsidTr="00151EFC">
        <w:tc>
          <w:tcPr>
            <w:tcW w:w="2552" w:type="dxa"/>
            <w:tcBorders>
              <w:top w:val="nil"/>
              <w:left w:val="nil"/>
              <w:right w:val="nil"/>
            </w:tcBorders>
          </w:tcPr>
          <w:p w14:paraId="618A51A3" w14:textId="77777777" w:rsidR="00AB78CF" w:rsidRPr="00546020" w:rsidRDefault="00AB78CF" w:rsidP="00AB78CF">
            <w:pPr>
              <w:spacing w:line="480" w:lineRule="auto"/>
              <w:rPr>
                <w:i/>
              </w:rPr>
            </w:pPr>
            <w:r w:rsidRPr="00546020">
              <w:rPr>
                <w:i/>
              </w:rPr>
              <w:t>Demographic</w:t>
            </w:r>
          </w:p>
        </w:tc>
        <w:tc>
          <w:tcPr>
            <w:tcW w:w="1559" w:type="dxa"/>
            <w:tcBorders>
              <w:left w:val="nil"/>
              <w:right w:val="nil"/>
            </w:tcBorders>
          </w:tcPr>
          <w:p w14:paraId="126AC763" w14:textId="77777777" w:rsidR="00AB78CF" w:rsidRPr="00546020" w:rsidRDefault="00AB78CF" w:rsidP="00AB78CF">
            <w:pPr>
              <w:spacing w:line="480" w:lineRule="auto"/>
              <w:jc w:val="center"/>
              <w:rPr>
                <w:i/>
              </w:rPr>
            </w:pPr>
            <w:proofErr w:type="gramStart"/>
            <w:r w:rsidRPr="00546020">
              <w:rPr>
                <w:i/>
              </w:rPr>
              <w:t>Mean(</w:t>
            </w:r>
            <w:proofErr w:type="gramEnd"/>
            <w:r w:rsidRPr="00546020">
              <w:rPr>
                <w:i/>
              </w:rPr>
              <w:t>SD)</w:t>
            </w:r>
          </w:p>
        </w:tc>
        <w:tc>
          <w:tcPr>
            <w:tcW w:w="495" w:type="dxa"/>
            <w:tcBorders>
              <w:left w:val="nil"/>
              <w:right w:val="nil"/>
            </w:tcBorders>
          </w:tcPr>
          <w:p w14:paraId="256FED65" w14:textId="77777777" w:rsidR="00AB78CF" w:rsidRPr="00546020" w:rsidRDefault="00AB78CF" w:rsidP="00AB78CF">
            <w:pPr>
              <w:spacing w:line="480" w:lineRule="auto"/>
              <w:jc w:val="center"/>
              <w:rPr>
                <w:i/>
              </w:rPr>
            </w:pPr>
            <w:r w:rsidRPr="00546020">
              <w:rPr>
                <w:i/>
              </w:rPr>
              <w:t>n</w:t>
            </w:r>
          </w:p>
        </w:tc>
        <w:tc>
          <w:tcPr>
            <w:tcW w:w="1773" w:type="dxa"/>
            <w:gridSpan w:val="2"/>
            <w:tcBorders>
              <w:left w:val="nil"/>
              <w:right w:val="nil"/>
            </w:tcBorders>
          </w:tcPr>
          <w:p w14:paraId="51F2F9A8" w14:textId="77777777" w:rsidR="00AB78CF" w:rsidRPr="00546020" w:rsidRDefault="00AB78CF" w:rsidP="00AB78CF">
            <w:pPr>
              <w:spacing w:line="480" w:lineRule="auto"/>
              <w:jc w:val="center"/>
              <w:rPr>
                <w:i/>
              </w:rPr>
            </w:pPr>
            <w:proofErr w:type="gramStart"/>
            <w:r w:rsidRPr="00546020">
              <w:rPr>
                <w:i/>
              </w:rPr>
              <w:t>Mean(</w:t>
            </w:r>
            <w:proofErr w:type="gramEnd"/>
            <w:r w:rsidRPr="00546020">
              <w:rPr>
                <w:i/>
              </w:rPr>
              <w:t>SD)</w:t>
            </w:r>
          </w:p>
        </w:tc>
        <w:tc>
          <w:tcPr>
            <w:tcW w:w="539" w:type="dxa"/>
            <w:gridSpan w:val="2"/>
            <w:tcBorders>
              <w:left w:val="nil"/>
              <w:right w:val="nil"/>
            </w:tcBorders>
          </w:tcPr>
          <w:p w14:paraId="7160842F" w14:textId="77777777" w:rsidR="00AB78CF" w:rsidRPr="00546020" w:rsidRDefault="00AB78CF" w:rsidP="00AB78CF">
            <w:pPr>
              <w:spacing w:line="480" w:lineRule="auto"/>
              <w:jc w:val="center"/>
              <w:rPr>
                <w:i/>
              </w:rPr>
            </w:pPr>
            <w:r w:rsidRPr="00546020">
              <w:rPr>
                <w:i/>
              </w:rPr>
              <w:t>n</w:t>
            </w:r>
          </w:p>
        </w:tc>
        <w:tc>
          <w:tcPr>
            <w:tcW w:w="1324" w:type="dxa"/>
            <w:tcBorders>
              <w:left w:val="nil"/>
              <w:right w:val="nil"/>
            </w:tcBorders>
          </w:tcPr>
          <w:p w14:paraId="1EBBFD55" w14:textId="77777777" w:rsidR="00AB78CF" w:rsidRPr="00546020" w:rsidRDefault="006E143E" w:rsidP="00AB78CF">
            <w:pPr>
              <w:spacing w:line="480" w:lineRule="auto"/>
              <w:jc w:val="center"/>
              <w:rPr>
                <w:i/>
              </w:rPr>
            </w:pPr>
            <w:r w:rsidRPr="00546020">
              <w:rPr>
                <w:i/>
              </w:rPr>
              <w:t>t</w:t>
            </w:r>
            <w:r w:rsidR="00AB78CF" w:rsidRPr="00546020">
              <w:t>(df)</w:t>
            </w:r>
          </w:p>
        </w:tc>
        <w:tc>
          <w:tcPr>
            <w:tcW w:w="772" w:type="dxa"/>
            <w:tcBorders>
              <w:left w:val="nil"/>
              <w:right w:val="nil"/>
            </w:tcBorders>
          </w:tcPr>
          <w:p w14:paraId="2CF25BE7" w14:textId="77777777" w:rsidR="00AB78CF" w:rsidRPr="00546020" w:rsidRDefault="00AB78CF" w:rsidP="00AB78CF">
            <w:pPr>
              <w:spacing w:line="480" w:lineRule="auto"/>
              <w:jc w:val="center"/>
              <w:rPr>
                <w:i/>
              </w:rPr>
            </w:pPr>
            <w:r w:rsidRPr="00546020">
              <w:rPr>
                <w:i/>
              </w:rPr>
              <w:t>p</w:t>
            </w:r>
          </w:p>
        </w:tc>
        <w:tc>
          <w:tcPr>
            <w:tcW w:w="1681" w:type="dxa"/>
            <w:gridSpan w:val="2"/>
            <w:tcBorders>
              <w:left w:val="nil"/>
              <w:right w:val="nil"/>
            </w:tcBorders>
          </w:tcPr>
          <w:p w14:paraId="68BC8555" w14:textId="77777777" w:rsidR="00AB78CF" w:rsidRPr="00546020" w:rsidRDefault="00AB78CF" w:rsidP="00AB78CF">
            <w:pPr>
              <w:spacing w:line="480" w:lineRule="auto"/>
              <w:jc w:val="center"/>
              <w:rPr>
                <w:i/>
              </w:rPr>
            </w:pPr>
            <w:proofErr w:type="gramStart"/>
            <w:r w:rsidRPr="00546020">
              <w:t>CI</w:t>
            </w:r>
            <w:r w:rsidR="006E143E" w:rsidRPr="00546020">
              <w:t>s</w:t>
            </w:r>
            <w:r w:rsidRPr="00546020">
              <w:t>(</w:t>
            </w:r>
            <w:proofErr w:type="gramEnd"/>
            <w:r w:rsidRPr="00546020">
              <w:t>95%)</w:t>
            </w:r>
          </w:p>
        </w:tc>
      </w:tr>
      <w:tr w:rsidR="00AB78CF" w:rsidRPr="00546020" w14:paraId="0E411B4B" w14:textId="77777777" w:rsidTr="00151EFC">
        <w:tc>
          <w:tcPr>
            <w:tcW w:w="2552" w:type="dxa"/>
            <w:tcBorders>
              <w:left w:val="nil"/>
              <w:right w:val="nil"/>
            </w:tcBorders>
          </w:tcPr>
          <w:p w14:paraId="66DBB945" w14:textId="77777777" w:rsidR="00AB78CF" w:rsidRPr="00546020" w:rsidRDefault="00AB78CF" w:rsidP="00AB78CF">
            <w:pPr>
              <w:spacing w:line="480" w:lineRule="auto"/>
            </w:pPr>
            <w:r w:rsidRPr="00546020">
              <w:t>Age (years)</w:t>
            </w:r>
          </w:p>
        </w:tc>
        <w:tc>
          <w:tcPr>
            <w:tcW w:w="1559" w:type="dxa"/>
            <w:tcBorders>
              <w:left w:val="nil"/>
              <w:right w:val="nil"/>
            </w:tcBorders>
          </w:tcPr>
          <w:p w14:paraId="165F798A" w14:textId="77777777" w:rsidR="00AB78CF" w:rsidRPr="00546020" w:rsidRDefault="00AB78CF" w:rsidP="00AB78CF">
            <w:pPr>
              <w:spacing w:line="480" w:lineRule="auto"/>
              <w:jc w:val="center"/>
            </w:pPr>
            <w:r w:rsidRPr="00546020">
              <w:t>36.13 (8.01)</w:t>
            </w:r>
          </w:p>
        </w:tc>
        <w:tc>
          <w:tcPr>
            <w:tcW w:w="495" w:type="dxa"/>
            <w:tcBorders>
              <w:left w:val="nil"/>
              <w:right w:val="nil"/>
            </w:tcBorders>
          </w:tcPr>
          <w:p w14:paraId="67C66511" w14:textId="77777777" w:rsidR="00AB78CF" w:rsidRPr="00546020" w:rsidRDefault="00AB78CF" w:rsidP="00AB78CF">
            <w:pPr>
              <w:spacing w:line="480" w:lineRule="auto"/>
              <w:jc w:val="center"/>
            </w:pPr>
            <w:r w:rsidRPr="00546020">
              <w:t>32</w:t>
            </w:r>
          </w:p>
        </w:tc>
        <w:tc>
          <w:tcPr>
            <w:tcW w:w="1773" w:type="dxa"/>
            <w:gridSpan w:val="2"/>
            <w:tcBorders>
              <w:left w:val="nil"/>
              <w:right w:val="nil"/>
            </w:tcBorders>
          </w:tcPr>
          <w:p w14:paraId="41203762" w14:textId="77777777" w:rsidR="00AB78CF" w:rsidRPr="00546020" w:rsidRDefault="00AB78CF" w:rsidP="00AB78CF">
            <w:pPr>
              <w:spacing w:line="480" w:lineRule="auto"/>
              <w:jc w:val="center"/>
            </w:pPr>
            <w:r w:rsidRPr="00546020">
              <w:t>46.24 (11.48)</w:t>
            </w:r>
          </w:p>
        </w:tc>
        <w:tc>
          <w:tcPr>
            <w:tcW w:w="539" w:type="dxa"/>
            <w:gridSpan w:val="2"/>
            <w:tcBorders>
              <w:left w:val="nil"/>
              <w:right w:val="nil"/>
            </w:tcBorders>
          </w:tcPr>
          <w:p w14:paraId="0BF98E42" w14:textId="77777777" w:rsidR="00AB78CF" w:rsidRPr="00546020" w:rsidRDefault="00AB78CF" w:rsidP="00AB78CF">
            <w:pPr>
              <w:spacing w:line="480" w:lineRule="auto"/>
              <w:jc w:val="center"/>
            </w:pPr>
            <w:r w:rsidRPr="00546020">
              <w:t>45</w:t>
            </w:r>
          </w:p>
        </w:tc>
        <w:tc>
          <w:tcPr>
            <w:tcW w:w="1324" w:type="dxa"/>
            <w:tcBorders>
              <w:left w:val="nil"/>
              <w:right w:val="nil"/>
            </w:tcBorders>
          </w:tcPr>
          <w:p w14:paraId="7FD343C7" w14:textId="77777777" w:rsidR="00AB78CF" w:rsidRPr="00546020" w:rsidRDefault="00AB78CF" w:rsidP="00AB78CF">
            <w:pPr>
              <w:spacing w:line="480" w:lineRule="auto"/>
              <w:jc w:val="center"/>
            </w:pPr>
            <w:r w:rsidRPr="00546020">
              <w:t>4.20</w:t>
            </w:r>
            <w:r w:rsidR="006E143E" w:rsidRPr="00546020">
              <w:t xml:space="preserve"> (75)</w:t>
            </w:r>
          </w:p>
        </w:tc>
        <w:tc>
          <w:tcPr>
            <w:tcW w:w="772" w:type="dxa"/>
            <w:tcBorders>
              <w:left w:val="nil"/>
              <w:right w:val="nil"/>
            </w:tcBorders>
          </w:tcPr>
          <w:p w14:paraId="66DC2645" w14:textId="77777777" w:rsidR="00AB78CF" w:rsidRPr="00546020" w:rsidRDefault="006E143E" w:rsidP="00AB78CF">
            <w:pPr>
              <w:spacing w:line="480" w:lineRule="auto"/>
              <w:jc w:val="center"/>
            </w:pPr>
            <w:r w:rsidRPr="00546020">
              <w:t>&lt;.001</w:t>
            </w:r>
          </w:p>
        </w:tc>
        <w:tc>
          <w:tcPr>
            <w:tcW w:w="1681" w:type="dxa"/>
            <w:gridSpan w:val="2"/>
            <w:tcBorders>
              <w:left w:val="nil"/>
              <w:right w:val="nil"/>
            </w:tcBorders>
          </w:tcPr>
          <w:p w14:paraId="26B5245F" w14:textId="77777777" w:rsidR="00AB78CF" w:rsidRPr="00546020" w:rsidRDefault="006E143E" w:rsidP="00AB78CF">
            <w:pPr>
              <w:spacing w:line="480" w:lineRule="auto"/>
              <w:jc w:val="center"/>
            </w:pPr>
            <w:r w:rsidRPr="00546020">
              <w:t>5.32, 14.93</w:t>
            </w:r>
          </w:p>
        </w:tc>
      </w:tr>
      <w:tr w:rsidR="00AB78CF" w:rsidRPr="00546020" w14:paraId="4CDFE710" w14:textId="77777777" w:rsidTr="00151EFC">
        <w:tc>
          <w:tcPr>
            <w:tcW w:w="2552" w:type="dxa"/>
            <w:tcBorders>
              <w:left w:val="nil"/>
              <w:bottom w:val="single" w:sz="4" w:space="0" w:color="auto"/>
              <w:right w:val="nil"/>
            </w:tcBorders>
          </w:tcPr>
          <w:p w14:paraId="72C0CA5C" w14:textId="77777777" w:rsidR="00AB78CF" w:rsidRPr="00546020" w:rsidRDefault="00AB78CF" w:rsidP="00AB78CF">
            <w:pPr>
              <w:spacing w:line="480" w:lineRule="auto"/>
            </w:pPr>
            <w:r w:rsidRPr="00546020">
              <w:t>No. of sessions attended</w:t>
            </w:r>
          </w:p>
        </w:tc>
        <w:tc>
          <w:tcPr>
            <w:tcW w:w="1559" w:type="dxa"/>
            <w:tcBorders>
              <w:left w:val="nil"/>
              <w:bottom w:val="single" w:sz="4" w:space="0" w:color="auto"/>
              <w:right w:val="nil"/>
            </w:tcBorders>
          </w:tcPr>
          <w:p w14:paraId="69201B83" w14:textId="77777777" w:rsidR="00AB78CF" w:rsidRPr="00546020" w:rsidRDefault="00AB78CF" w:rsidP="00AB78CF">
            <w:pPr>
              <w:spacing w:line="480" w:lineRule="auto"/>
              <w:jc w:val="center"/>
            </w:pPr>
            <w:r w:rsidRPr="00546020">
              <w:t>4.75 (5.04)</w:t>
            </w:r>
          </w:p>
        </w:tc>
        <w:tc>
          <w:tcPr>
            <w:tcW w:w="495" w:type="dxa"/>
            <w:tcBorders>
              <w:left w:val="nil"/>
              <w:bottom w:val="single" w:sz="4" w:space="0" w:color="auto"/>
              <w:right w:val="nil"/>
            </w:tcBorders>
          </w:tcPr>
          <w:p w14:paraId="0FCC669B" w14:textId="77777777" w:rsidR="00AB78CF" w:rsidRPr="00546020" w:rsidRDefault="00AB78CF" w:rsidP="00AB78CF">
            <w:pPr>
              <w:spacing w:line="480" w:lineRule="auto"/>
              <w:jc w:val="center"/>
            </w:pPr>
            <w:r w:rsidRPr="00546020">
              <w:t>36</w:t>
            </w:r>
          </w:p>
        </w:tc>
        <w:tc>
          <w:tcPr>
            <w:tcW w:w="1773" w:type="dxa"/>
            <w:gridSpan w:val="2"/>
            <w:tcBorders>
              <w:left w:val="nil"/>
              <w:bottom w:val="single" w:sz="4" w:space="0" w:color="auto"/>
              <w:right w:val="nil"/>
            </w:tcBorders>
          </w:tcPr>
          <w:p w14:paraId="2F88FF02" w14:textId="77777777" w:rsidR="00AB78CF" w:rsidRPr="00546020" w:rsidRDefault="00AB78CF" w:rsidP="00AB78CF">
            <w:pPr>
              <w:spacing w:line="480" w:lineRule="auto"/>
              <w:jc w:val="center"/>
            </w:pPr>
            <w:r w:rsidRPr="00546020">
              <w:t>2.89 (1.92)</w:t>
            </w:r>
          </w:p>
        </w:tc>
        <w:tc>
          <w:tcPr>
            <w:tcW w:w="539" w:type="dxa"/>
            <w:gridSpan w:val="2"/>
            <w:tcBorders>
              <w:left w:val="nil"/>
              <w:bottom w:val="single" w:sz="4" w:space="0" w:color="auto"/>
              <w:right w:val="nil"/>
            </w:tcBorders>
          </w:tcPr>
          <w:p w14:paraId="35ABBA22" w14:textId="77777777" w:rsidR="00AB78CF" w:rsidRPr="00546020" w:rsidRDefault="00AB78CF" w:rsidP="00AB78CF">
            <w:pPr>
              <w:spacing w:line="480" w:lineRule="auto"/>
              <w:jc w:val="center"/>
            </w:pPr>
            <w:r w:rsidRPr="00546020">
              <w:t>45</w:t>
            </w:r>
          </w:p>
        </w:tc>
        <w:tc>
          <w:tcPr>
            <w:tcW w:w="1324" w:type="dxa"/>
            <w:tcBorders>
              <w:left w:val="nil"/>
              <w:bottom w:val="single" w:sz="4" w:space="0" w:color="auto"/>
              <w:right w:val="nil"/>
            </w:tcBorders>
          </w:tcPr>
          <w:p w14:paraId="18106BFE" w14:textId="77777777" w:rsidR="00AB78CF" w:rsidRPr="00546020" w:rsidRDefault="006E143E" w:rsidP="00AB78CF">
            <w:pPr>
              <w:spacing w:line="480" w:lineRule="auto"/>
              <w:jc w:val="center"/>
            </w:pPr>
            <w:r w:rsidRPr="00546020">
              <w:t>2.28 (79)</w:t>
            </w:r>
          </w:p>
        </w:tc>
        <w:tc>
          <w:tcPr>
            <w:tcW w:w="772" w:type="dxa"/>
            <w:tcBorders>
              <w:left w:val="nil"/>
              <w:bottom w:val="single" w:sz="4" w:space="0" w:color="auto"/>
              <w:right w:val="nil"/>
            </w:tcBorders>
          </w:tcPr>
          <w:p w14:paraId="490BA73F" w14:textId="77777777" w:rsidR="00AB78CF" w:rsidRPr="00546020" w:rsidRDefault="006E143E" w:rsidP="00AB78CF">
            <w:pPr>
              <w:spacing w:line="480" w:lineRule="auto"/>
              <w:jc w:val="center"/>
            </w:pPr>
            <w:r w:rsidRPr="00546020">
              <w:t>.025</w:t>
            </w:r>
          </w:p>
        </w:tc>
        <w:tc>
          <w:tcPr>
            <w:tcW w:w="1681" w:type="dxa"/>
            <w:gridSpan w:val="2"/>
            <w:tcBorders>
              <w:left w:val="nil"/>
              <w:bottom w:val="single" w:sz="4" w:space="0" w:color="auto"/>
              <w:right w:val="nil"/>
            </w:tcBorders>
          </w:tcPr>
          <w:p w14:paraId="5F1BE9A9" w14:textId="77777777" w:rsidR="00AB78CF" w:rsidRPr="00546020" w:rsidRDefault="006E143E" w:rsidP="00AB78CF">
            <w:pPr>
              <w:spacing w:line="480" w:lineRule="auto"/>
              <w:jc w:val="center"/>
            </w:pPr>
            <w:r w:rsidRPr="00546020">
              <w:t>0.24, 3.49</w:t>
            </w:r>
          </w:p>
        </w:tc>
      </w:tr>
      <w:tr w:rsidR="00AB78CF" w:rsidRPr="00546020" w14:paraId="1E7FA837" w14:textId="77777777" w:rsidTr="00151EFC">
        <w:tc>
          <w:tcPr>
            <w:tcW w:w="2552" w:type="dxa"/>
            <w:tcBorders>
              <w:left w:val="nil"/>
              <w:bottom w:val="single" w:sz="4" w:space="0" w:color="auto"/>
              <w:right w:val="nil"/>
            </w:tcBorders>
          </w:tcPr>
          <w:p w14:paraId="44B03584" w14:textId="3C13082F" w:rsidR="00AB78CF" w:rsidRPr="00546020" w:rsidRDefault="00AB78CF" w:rsidP="00AB78CF">
            <w:pPr>
              <w:spacing w:line="480" w:lineRule="auto"/>
            </w:pPr>
            <w:r w:rsidRPr="00546020">
              <w:t xml:space="preserve"> </w:t>
            </w:r>
            <w:r w:rsidR="00293AAF" w:rsidRPr="00546020">
              <w:t>AUDIT</w:t>
            </w:r>
          </w:p>
        </w:tc>
        <w:tc>
          <w:tcPr>
            <w:tcW w:w="1559" w:type="dxa"/>
            <w:tcBorders>
              <w:left w:val="nil"/>
              <w:bottom w:val="single" w:sz="4" w:space="0" w:color="auto"/>
              <w:right w:val="nil"/>
            </w:tcBorders>
          </w:tcPr>
          <w:p w14:paraId="3701E797" w14:textId="77777777" w:rsidR="00AB78CF" w:rsidRPr="00546020" w:rsidRDefault="00AB78CF" w:rsidP="00AB78CF">
            <w:pPr>
              <w:spacing w:line="480" w:lineRule="auto"/>
              <w:jc w:val="center"/>
            </w:pPr>
            <w:r w:rsidRPr="00546020">
              <w:t>26.62 (6.53)</w:t>
            </w:r>
          </w:p>
        </w:tc>
        <w:tc>
          <w:tcPr>
            <w:tcW w:w="495" w:type="dxa"/>
            <w:tcBorders>
              <w:left w:val="nil"/>
              <w:bottom w:val="single" w:sz="4" w:space="0" w:color="auto"/>
              <w:right w:val="nil"/>
            </w:tcBorders>
          </w:tcPr>
          <w:p w14:paraId="5F1E4F24" w14:textId="77777777" w:rsidR="00AB78CF" w:rsidRPr="00546020" w:rsidRDefault="00AB78CF" w:rsidP="00AB78CF">
            <w:pPr>
              <w:spacing w:line="480" w:lineRule="auto"/>
              <w:jc w:val="center"/>
            </w:pPr>
            <w:r w:rsidRPr="00546020">
              <w:t>37</w:t>
            </w:r>
          </w:p>
        </w:tc>
        <w:tc>
          <w:tcPr>
            <w:tcW w:w="1773" w:type="dxa"/>
            <w:gridSpan w:val="2"/>
            <w:tcBorders>
              <w:left w:val="nil"/>
              <w:bottom w:val="single" w:sz="4" w:space="0" w:color="auto"/>
              <w:right w:val="nil"/>
            </w:tcBorders>
          </w:tcPr>
          <w:p w14:paraId="28CEF644" w14:textId="77777777" w:rsidR="00AB78CF" w:rsidRPr="00546020" w:rsidRDefault="00AB78CF" w:rsidP="00AB78CF">
            <w:pPr>
              <w:spacing w:line="480" w:lineRule="auto"/>
              <w:jc w:val="center"/>
            </w:pPr>
            <w:r w:rsidRPr="00546020">
              <w:t>23.18 (5.58)</w:t>
            </w:r>
          </w:p>
        </w:tc>
        <w:tc>
          <w:tcPr>
            <w:tcW w:w="539" w:type="dxa"/>
            <w:gridSpan w:val="2"/>
            <w:tcBorders>
              <w:left w:val="nil"/>
              <w:bottom w:val="single" w:sz="4" w:space="0" w:color="auto"/>
              <w:right w:val="nil"/>
            </w:tcBorders>
          </w:tcPr>
          <w:p w14:paraId="26CA4E8B" w14:textId="77777777" w:rsidR="00AB78CF" w:rsidRPr="00546020" w:rsidRDefault="00AB78CF" w:rsidP="00AB78CF">
            <w:pPr>
              <w:spacing w:line="480" w:lineRule="auto"/>
              <w:jc w:val="center"/>
            </w:pPr>
            <w:r w:rsidRPr="00546020">
              <w:t>45</w:t>
            </w:r>
          </w:p>
        </w:tc>
        <w:tc>
          <w:tcPr>
            <w:tcW w:w="1324" w:type="dxa"/>
            <w:tcBorders>
              <w:left w:val="nil"/>
              <w:bottom w:val="single" w:sz="4" w:space="0" w:color="auto"/>
              <w:right w:val="nil"/>
            </w:tcBorders>
          </w:tcPr>
          <w:p w14:paraId="3A33FB0B" w14:textId="77777777" w:rsidR="00AB78CF" w:rsidRPr="00546020" w:rsidRDefault="006E143E" w:rsidP="00AB78CF">
            <w:pPr>
              <w:spacing w:line="480" w:lineRule="auto"/>
              <w:jc w:val="center"/>
            </w:pPr>
            <w:r w:rsidRPr="00546020">
              <w:t>2.58 (80)</w:t>
            </w:r>
          </w:p>
        </w:tc>
        <w:tc>
          <w:tcPr>
            <w:tcW w:w="772" w:type="dxa"/>
            <w:tcBorders>
              <w:left w:val="nil"/>
              <w:bottom w:val="single" w:sz="4" w:space="0" w:color="auto"/>
              <w:right w:val="nil"/>
            </w:tcBorders>
          </w:tcPr>
          <w:p w14:paraId="7732B8F3" w14:textId="77777777" w:rsidR="00AB78CF" w:rsidRPr="00546020" w:rsidRDefault="006E143E" w:rsidP="00AB78CF">
            <w:pPr>
              <w:spacing w:line="480" w:lineRule="auto"/>
              <w:jc w:val="center"/>
            </w:pPr>
            <w:r w:rsidRPr="00546020">
              <w:t>.012</w:t>
            </w:r>
          </w:p>
        </w:tc>
        <w:tc>
          <w:tcPr>
            <w:tcW w:w="1681" w:type="dxa"/>
            <w:gridSpan w:val="2"/>
            <w:tcBorders>
              <w:left w:val="nil"/>
              <w:bottom w:val="single" w:sz="4" w:space="0" w:color="auto"/>
              <w:right w:val="nil"/>
            </w:tcBorders>
          </w:tcPr>
          <w:p w14:paraId="6FEE27F4" w14:textId="77777777" w:rsidR="00AB78CF" w:rsidRPr="00546020" w:rsidRDefault="006E143E" w:rsidP="00AB78CF">
            <w:pPr>
              <w:spacing w:line="480" w:lineRule="auto"/>
              <w:jc w:val="center"/>
            </w:pPr>
            <w:r w:rsidRPr="00546020">
              <w:t>0.78, 6.11</w:t>
            </w:r>
          </w:p>
        </w:tc>
      </w:tr>
      <w:tr w:rsidR="00AB78CF" w:rsidRPr="00546020" w14:paraId="5BB9CE54" w14:textId="77777777" w:rsidTr="00151EFC">
        <w:tc>
          <w:tcPr>
            <w:tcW w:w="2552" w:type="dxa"/>
            <w:tcBorders>
              <w:top w:val="single" w:sz="4" w:space="0" w:color="auto"/>
              <w:left w:val="nil"/>
              <w:right w:val="nil"/>
            </w:tcBorders>
          </w:tcPr>
          <w:p w14:paraId="2265011A" w14:textId="77777777" w:rsidR="00AB78CF" w:rsidRPr="00546020" w:rsidRDefault="00AB78CF" w:rsidP="00AB78CF">
            <w:pPr>
              <w:spacing w:line="480" w:lineRule="auto"/>
            </w:pPr>
            <w:r w:rsidRPr="00546020">
              <w:t>Gender (M / F)</w:t>
            </w:r>
          </w:p>
        </w:tc>
        <w:tc>
          <w:tcPr>
            <w:tcW w:w="1559" w:type="dxa"/>
            <w:tcBorders>
              <w:top w:val="single" w:sz="4" w:space="0" w:color="auto"/>
              <w:left w:val="nil"/>
              <w:right w:val="nil"/>
            </w:tcBorders>
          </w:tcPr>
          <w:p w14:paraId="17E801FD" w14:textId="77777777" w:rsidR="00AB78CF" w:rsidRPr="00546020" w:rsidRDefault="00AB78CF" w:rsidP="00AB78CF">
            <w:pPr>
              <w:spacing w:line="480" w:lineRule="auto"/>
              <w:jc w:val="center"/>
            </w:pPr>
            <w:r w:rsidRPr="00546020">
              <w:t>20 / 17</w:t>
            </w:r>
          </w:p>
        </w:tc>
        <w:tc>
          <w:tcPr>
            <w:tcW w:w="495" w:type="dxa"/>
            <w:tcBorders>
              <w:top w:val="single" w:sz="4" w:space="0" w:color="auto"/>
              <w:left w:val="nil"/>
              <w:right w:val="nil"/>
            </w:tcBorders>
          </w:tcPr>
          <w:p w14:paraId="3AA0FB96" w14:textId="77777777" w:rsidR="00AB78CF" w:rsidRPr="00546020" w:rsidRDefault="00AB78CF" w:rsidP="00AB78CF">
            <w:pPr>
              <w:spacing w:line="480" w:lineRule="auto"/>
              <w:jc w:val="center"/>
            </w:pPr>
            <w:r w:rsidRPr="00546020">
              <w:t>37</w:t>
            </w:r>
          </w:p>
        </w:tc>
        <w:tc>
          <w:tcPr>
            <w:tcW w:w="1773" w:type="dxa"/>
            <w:gridSpan w:val="2"/>
            <w:tcBorders>
              <w:top w:val="single" w:sz="4" w:space="0" w:color="auto"/>
              <w:left w:val="nil"/>
              <w:right w:val="nil"/>
            </w:tcBorders>
          </w:tcPr>
          <w:p w14:paraId="4CE07791" w14:textId="77777777" w:rsidR="00AB78CF" w:rsidRPr="00546020" w:rsidRDefault="00AB78CF" w:rsidP="00AB78CF">
            <w:pPr>
              <w:spacing w:line="480" w:lineRule="auto"/>
              <w:jc w:val="center"/>
            </w:pPr>
            <w:r w:rsidRPr="00546020">
              <w:t>25 / 20</w:t>
            </w:r>
          </w:p>
        </w:tc>
        <w:tc>
          <w:tcPr>
            <w:tcW w:w="539" w:type="dxa"/>
            <w:gridSpan w:val="2"/>
            <w:tcBorders>
              <w:top w:val="single" w:sz="4" w:space="0" w:color="auto"/>
              <w:left w:val="nil"/>
              <w:right w:val="nil"/>
            </w:tcBorders>
          </w:tcPr>
          <w:p w14:paraId="5A57D9DB" w14:textId="77777777" w:rsidR="00AB78CF" w:rsidRPr="00546020" w:rsidRDefault="00AB78CF" w:rsidP="00AB78CF">
            <w:pPr>
              <w:spacing w:line="480" w:lineRule="auto"/>
              <w:jc w:val="center"/>
            </w:pPr>
            <w:r w:rsidRPr="00546020">
              <w:t>45</w:t>
            </w:r>
          </w:p>
        </w:tc>
        <w:tc>
          <w:tcPr>
            <w:tcW w:w="1324" w:type="dxa"/>
            <w:tcBorders>
              <w:top w:val="single" w:sz="4" w:space="0" w:color="auto"/>
              <w:left w:val="nil"/>
              <w:right w:val="nil"/>
            </w:tcBorders>
          </w:tcPr>
          <w:p w14:paraId="774D7AC6" w14:textId="77777777" w:rsidR="00AB78CF" w:rsidRPr="00546020" w:rsidRDefault="00110DD3" w:rsidP="00AB78CF">
            <w:pPr>
              <w:spacing w:line="480" w:lineRule="auto"/>
              <w:jc w:val="center"/>
            </w:pPr>
            <w:r w:rsidRPr="00546020">
              <w:t>--</w:t>
            </w:r>
          </w:p>
        </w:tc>
        <w:tc>
          <w:tcPr>
            <w:tcW w:w="772" w:type="dxa"/>
            <w:tcBorders>
              <w:top w:val="single" w:sz="4" w:space="0" w:color="auto"/>
              <w:left w:val="nil"/>
              <w:right w:val="nil"/>
            </w:tcBorders>
          </w:tcPr>
          <w:p w14:paraId="726C046C" w14:textId="77777777" w:rsidR="00AB78CF" w:rsidRPr="00546020" w:rsidRDefault="00110DD3" w:rsidP="00AB78CF">
            <w:pPr>
              <w:spacing w:line="480" w:lineRule="auto"/>
              <w:jc w:val="center"/>
            </w:pPr>
            <w:r w:rsidRPr="00546020">
              <w:t>--</w:t>
            </w:r>
          </w:p>
        </w:tc>
        <w:tc>
          <w:tcPr>
            <w:tcW w:w="1681" w:type="dxa"/>
            <w:gridSpan w:val="2"/>
            <w:tcBorders>
              <w:top w:val="single" w:sz="4" w:space="0" w:color="auto"/>
              <w:left w:val="nil"/>
              <w:right w:val="nil"/>
            </w:tcBorders>
          </w:tcPr>
          <w:p w14:paraId="34F2A53C" w14:textId="77777777" w:rsidR="00AB78CF" w:rsidRPr="00546020" w:rsidRDefault="00110DD3" w:rsidP="00110DD3">
            <w:pPr>
              <w:spacing w:line="480" w:lineRule="auto"/>
              <w:jc w:val="center"/>
            </w:pPr>
            <w:r w:rsidRPr="00546020">
              <w:t>--</w:t>
            </w:r>
          </w:p>
        </w:tc>
      </w:tr>
    </w:tbl>
    <w:p w14:paraId="022D5D10" w14:textId="5D408C30" w:rsidR="0063101E" w:rsidRPr="00546020" w:rsidRDefault="007C762F" w:rsidP="00E961CC">
      <w:pPr>
        <w:tabs>
          <w:tab w:val="left" w:pos="6330"/>
        </w:tabs>
        <w:spacing w:line="480" w:lineRule="auto"/>
      </w:pPr>
      <w:r w:rsidRPr="00546020">
        <w:t>Note: Within test sample sizes (reflected in degrees of freedom) vary as a function of completeness of data (see Participants and Footnote 1 for more information).</w:t>
      </w:r>
    </w:p>
    <w:p w14:paraId="2157DB8C" w14:textId="77777777" w:rsidR="0063101E" w:rsidRPr="00546020" w:rsidRDefault="0063101E" w:rsidP="00E961CC">
      <w:pPr>
        <w:tabs>
          <w:tab w:val="left" w:pos="6330"/>
        </w:tabs>
        <w:spacing w:line="480" w:lineRule="auto"/>
      </w:pPr>
    </w:p>
    <w:p w14:paraId="428E4E32" w14:textId="77777777" w:rsidR="001E1987" w:rsidRPr="00546020" w:rsidRDefault="001E1987" w:rsidP="001E1987">
      <w:pPr>
        <w:spacing w:line="480" w:lineRule="auto"/>
        <w:sectPr w:rsidR="001E1987" w:rsidRPr="00546020" w:rsidSect="00151EFC">
          <w:pgSz w:w="16838" w:h="11906" w:orient="landscape"/>
          <w:pgMar w:top="1440" w:right="1440" w:bottom="1440" w:left="1440" w:header="708" w:footer="708" w:gutter="0"/>
          <w:cols w:space="708"/>
          <w:docGrid w:linePitch="360"/>
        </w:sectPr>
      </w:pPr>
    </w:p>
    <w:p w14:paraId="685AB7D1" w14:textId="77777777" w:rsidR="001E1987" w:rsidRPr="00546020" w:rsidRDefault="001E1987" w:rsidP="001E1987">
      <w:pPr>
        <w:spacing w:line="480" w:lineRule="auto"/>
      </w:pPr>
      <w:r w:rsidRPr="00546020">
        <w:lastRenderedPageBreak/>
        <w:t xml:space="preserve">Table 2: </w:t>
      </w:r>
    </w:p>
    <w:p w14:paraId="7B4ABD17" w14:textId="77777777" w:rsidR="00644962" w:rsidRPr="00546020" w:rsidRDefault="001E1987" w:rsidP="001E1987">
      <w:pPr>
        <w:spacing w:line="480" w:lineRule="auto"/>
      </w:pPr>
      <w:r w:rsidRPr="00546020">
        <w:t>Mean outcomes by intervention condition and time point (Standard deviations in parentheses) and associated ANOVA statistics</w:t>
      </w:r>
    </w:p>
    <w:tbl>
      <w:tblPr>
        <w:tblStyle w:val="TableGrid"/>
        <w:tblW w:w="15497" w:type="dxa"/>
        <w:tblInd w:w="-12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8"/>
        <w:gridCol w:w="1559"/>
        <w:gridCol w:w="1421"/>
        <w:gridCol w:w="8"/>
        <w:gridCol w:w="230"/>
        <w:gridCol w:w="12"/>
        <w:gridCol w:w="1319"/>
        <w:gridCol w:w="1275"/>
        <w:gridCol w:w="277"/>
        <w:gridCol w:w="705"/>
        <w:gridCol w:w="755"/>
        <w:gridCol w:w="771"/>
        <w:gridCol w:w="651"/>
        <w:gridCol w:w="681"/>
        <w:gridCol w:w="681"/>
        <w:gridCol w:w="689"/>
        <w:gridCol w:w="681"/>
        <w:gridCol w:w="681"/>
        <w:gridCol w:w="693"/>
      </w:tblGrid>
      <w:tr w:rsidR="00D052BA" w:rsidRPr="00473AA9" w14:paraId="26789478" w14:textId="77777777" w:rsidTr="00D93E66">
        <w:tc>
          <w:tcPr>
            <w:tcW w:w="2408" w:type="dxa"/>
          </w:tcPr>
          <w:p w14:paraId="7D451855" w14:textId="77777777" w:rsidR="001E1987" w:rsidRPr="00473AA9" w:rsidRDefault="001E1987" w:rsidP="00FD4300">
            <w:pPr>
              <w:spacing w:line="480" w:lineRule="auto"/>
              <w:rPr>
                <w:sz w:val="20"/>
              </w:rPr>
            </w:pPr>
          </w:p>
        </w:tc>
        <w:tc>
          <w:tcPr>
            <w:tcW w:w="5824" w:type="dxa"/>
            <w:gridSpan w:val="7"/>
            <w:tcBorders>
              <w:top w:val="single" w:sz="4" w:space="0" w:color="auto"/>
              <w:bottom w:val="nil"/>
            </w:tcBorders>
          </w:tcPr>
          <w:p w14:paraId="5EC3742E" w14:textId="77777777" w:rsidR="001E1987" w:rsidRPr="00473AA9" w:rsidRDefault="001E1987" w:rsidP="00FD4300">
            <w:pPr>
              <w:spacing w:line="480" w:lineRule="auto"/>
              <w:jc w:val="center"/>
              <w:rPr>
                <w:i/>
                <w:sz w:val="20"/>
              </w:rPr>
            </w:pPr>
            <w:r w:rsidRPr="00473AA9">
              <w:rPr>
                <w:i/>
                <w:sz w:val="20"/>
              </w:rPr>
              <w:t>Means (SD)</w:t>
            </w:r>
          </w:p>
        </w:tc>
        <w:tc>
          <w:tcPr>
            <w:tcW w:w="277" w:type="dxa"/>
            <w:tcBorders>
              <w:top w:val="single" w:sz="4" w:space="0" w:color="auto"/>
              <w:bottom w:val="nil"/>
            </w:tcBorders>
          </w:tcPr>
          <w:p w14:paraId="0B4CF9EE" w14:textId="77777777" w:rsidR="001E1987" w:rsidRPr="00473AA9" w:rsidRDefault="001E1987" w:rsidP="00FD4300">
            <w:pPr>
              <w:spacing w:line="480" w:lineRule="auto"/>
              <w:jc w:val="center"/>
              <w:rPr>
                <w:sz w:val="20"/>
              </w:rPr>
            </w:pPr>
          </w:p>
        </w:tc>
        <w:tc>
          <w:tcPr>
            <w:tcW w:w="6988" w:type="dxa"/>
            <w:gridSpan w:val="10"/>
            <w:tcBorders>
              <w:top w:val="single" w:sz="4" w:space="0" w:color="auto"/>
              <w:bottom w:val="single" w:sz="4" w:space="0" w:color="auto"/>
            </w:tcBorders>
          </w:tcPr>
          <w:p w14:paraId="231CE48C" w14:textId="77777777" w:rsidR="001E1987" w:rsidRPr="00473AA9" w:rsidRDefault="00B62D8B" w:rsidP="00FD4300">
            <w:pPr>
              <w:spacing w:line="480" w:lineRule="auto"/>
              <w:jc w:val="center"/>
              <w:rPr>
                <w:i/>
                <w:sz w:val="20"/>
              </w:rPr>
            </w:pPr>
            <w:r w:rsidRPr="00473AA9">
              <w:rPr>
                <w:i/>
                <w:sz w:val="20"/>
              </w:rPr>
              <w:t>ANOVA test statistics</w:t>
            </w:r>
          </w:p>
        </w:tc>
      </w:tr>
      <w:tr w:rsidR="00D052BA" w:rsidRPr="00546020" w14:paraId="2CB89C69" w14:textId="77777777" w:rsidTr="00D93E66">
        <w:tc>
          <w:tcPr>
            <w:tcW w:w="2408" w:type="dxa"/>
          </w:tcPr>
          <w:p w14:paraId="7AE48F9D" w14:textId="77777777" w:rsidR="001E1987" w:rsidRPr="00473AA9" w:rsidRDefault="001E1987" w:rsidP="00FD4300">
            <w:pPr>
              <w:spacing w:line="480" w:lineRule="auto"/>
              <w:rPr>
                <w:sz w:val="20"/>
              </w:rPr>
            </w:pPr>
          </w:p>
        </w:tc>
        <w:tc>
          <w:tcPr>
            <w:tcW w:w="2988" w:type="dxa"/>
            <w:gridSpan w:val="3"/>
            <w:tcBorders>
              <w:top w:val="single" w:sz="4" w:space="0" w:color="auto"/>
              <w:bottom w:val="nil"/>
            </w:tcBorders>
          </w:tcPr>
          <w:p w14:paraId="2D6679F0" w14:textId="77777777" w:rsidR="001E1987" w:rsidRPr="00473AA9" w:rsidRDefault="001E1987" w:rsidP="00FD4300">
            <w:pPr>
              <w:spacing w:line="480" w:lineRule="auto"/>
              <w:jc w:val="center"/>
              <w:rPr>
                <w:i/>
                <w:sz w:val="20"/>
              </w:rPr>
            </w:pPr>
            <w:r w:rsidRPr="00473AA9">
              <w:rPr>
                <w:i/>
                <w:sz w:val="20"/>
              </w:rPr>
              <w:t>Online</w:t>
            </w:r>
          </w:p>
        </w:tc>
        <w:tc>
          <w:tcPr>
            <w:tcW w:w="242" w:type="dxa"/>
            <w:gridSpan w:val="2"/>
            <w:tcBorders>
              <w:top w:val="single" w:sz="4" w:space="0" w:color="auto"/>
              <w:bottom w:val="single" w:sz="4" w:space="0" w:color="auto"/>
            </w:tcBorders>
          </w:tcPr>
          <w:p w14:paraId="4F60C86C" w14:textId="77777777" w:rsidR="001E1987" w:rsidRPr="00473AA9" w:rsidRDefault="001E1987" w:rsidP="00FD4300">
            <w:pPr>
              <w:spacing w:line="480" w:lineRule="auto"/>
              <w:jc w:val="center"/>
              <w:rPr>
                <w:i/>
                <w:sz w:val="20"/>
              </w:rPr>
            </w:pPr>
          </w:p>
        </w:tc>
        <w:tc>
          <w:tcPr>
            <w:tcW w:w="2594" w:type="dxa"/>
            <w:gridSpan w:val="2"/>
            <w:tcBorders>
              <w:top w:val="single" w:sz="4" w:space="0" w:color="auto"/>
              <w:bottom w:val="single" w:sz="4" w:space="0" w:color="auto"/>
            </w:tcBorders>
          </w:tcPr>
          <w:p w14:paraId="4EF5C813" w14:textId="77777777" w:rsidR="001E1987" w:rsidRPr="00473AA9" w:rsidRDefault="001E1987" w:rsidP="00FD4300">
            <w:pPr>
              <w:spacing w:line="480" w:lineRule="auto"/>
              <w:jc w:val="center"/>
              <w:rPr>
                <w:i/>
                <w:sz w:val="20"/>
              </w:rPr>
            </w:pPr>
            <w:r w:rsidRPr="00473AA9">
              <w:rPr>
                <w:i/>
                <w:sz w:val="20"/>
              </w:rPr>
              <w:t>F2F</w:t>
            </w:r>
          </w:p>
        </w:tc>
        <w:tc>
          <w:tcPr>
            <w:tcW w:w="277" w:type="dxa"/>
            <w:tcBorders>
              <w:top w:val="nil"/>
              <w:bottom w:val="nil"/>
            </w:tcBorders>
          </w:tcPr>
          <w:p w14:paraId="46096FDF" w14:textId="77777777" w:rsidR="001E1987" w:rsidRPr="00473AA9" w:rsidRDefault="001E1987" w:rsidP="00FD4300">
            <w:pPr>
              <w:spacing w:line="480" w:lineRule="auto"/>
              <w:jc w:val="center"/>
              <w:rPr>
                <w:sz w:val="20"/>
              </w:rPr>
            </w:pPr>
          </w:p>
        </w:tc>
        <w:tc>
          <w:tcPr>
            <w:tcW w:w="705" w:type="dxa"/>
            <w:tcBorders>
              <w:top w:val="single" w:sz="4" w:space="0" w:color="auto"/>
              <w:bottom w:val="single" w:sz="4" w:space="0" w:color="auto"/>
            </w:tcBorders>
          </w:tcPr>
          <w:p w14:paraId="73159839" w14:textId="77777777" w:rsidR="001E1987" w:rsidRPr="00473AA9" w:rsidRDefault="001E1987" w:rsidP="00FD4300">
            <w:pPr>
              <w:spacing w:line="480" w:lineRule="auto"/>
              <w:jc w:val="center"/>
              <w:rPr>
                <w:sz w:val="20"/>
              </w:rPr>
            </w:pPr>
          </w:p>
        </w:tc>
        <w:tc>
          <w:tcPr>
            <w:tcW w:w="2177" w:type="dxa"/>
            <w:gridSpan w:val="3"/>
            <w:tcBorders>
              <w:top w:val="single" w:sz="4" w:space="0" w:color="auto"/>
              <w:bottom w:val="single" w:sz="4" w:space="0" w:color="auto"/>
            </w:tcBorders>
          </w:tcPr>
          <w:p w14:paraId="1E7DB739" w14:textId="77777777" w:rsidR="001E1987" w:rsidRPr="00473AA9" w:rsidRDefault="001E1987" w:rsidP="00FD4300">
            <w:pPr>
              <w:spacing w:line="480" w:lineRule="auto"/>
              <w:jc w:val="center"/>
              <w:rPr>
                <w:i/>
                <w:sz w:val="20"/>
              </w:rPr>
            </w:pPr>
            <w:r w:rsidRPr="00473AA9">
              <w:rPr>
                <w:i/>
                <w:sz w:val="20"/>
              </w:rPr>
              <w:t>Time</w:t>
            </w:r>
          </w:p>
        </w:tc>
        <w:tc>
          <w:tcPr>
            <w:tcW w:w="2051" w:type="dxa"/>
            <w:gridSpan w:val="3"/>
            <w:tcBorders>
              <w:top w:val="single" w:sz="4" w:space="0" w:color="auto"/>
              <w:bottom w:val="single" w:sz="4" w:space="0" w:color="auto"/>
            </w:tcBorders>
          </w:tcPr>
          <w:p w14:paraId="57EACA91" w14:textId="77777777" w:rsidR="001E1987" w:rsidRPr="00473AA9" w:rsidRDefault="001E1987" w:rsidP="00FD4300">
            <w:pPr>
              <w:spacing w:line="480" w:lineRule="auto"/>
              <w:jc w:val="center"/>
              <w:rPr>
                <w:i/>
                <w:sz w:val="20"/>
              </w:rPr>
            </w:pPr>
            <w:r w:rsidRPr="00473AA9">
              <w:rPr>
                <w:i/>
                <w:sz w:val="20"/>
              </w:rPr>
              <w:t>Intervention</w:t>
            </w:r>
          </w:p>
        </w:tc>
        <w:tc>
          <w:tcPr>
            <w:tcW w:w="2051" w:type="dxa"/>
            <w:gridSpan w:val="3"/>
            <w:tcBorders>
              <w:top w:val="single" w:sz="4" w:space="0" w:color="auto"/>
              <w:bottom w:val="single" w:sz="4" w:space="0" w:color="auto"/>
            </w:tcBorders>
          </w:tcPr>
          <w:p w14:paraId="6569F3BE" w14:textId="77777777" w:rsidR="001E1987" w:rsidRPr="00473AA9" w:rsidRDefault="001E1987" w:rsidP="00FD4300">
            <w:pPr>
              <w:spacing w:line="480" w:lineRule="auto"/>
              <w:jc w:val="center"/>
              <w:rPr>
                <w:i/>
                <w:sz w:val="20"/>
              </w:rPr>
            </w:pPr>
            <w:r w:rsidRPr="00473AA9">
              <w:rPr>
                <w:i/>
                <w:sz w:val="20"/>
              </w:rPr>
              <w:t>Time X Intervention</w:t>
            </w:r>
          </w:p>
        </w:tc>
      </w:tr>
      <w:tr w:rsidR="00D052BA" w:rsidRPr="00546020" w14:paraId="51257E6B" w14:textId="77777777" w:rsidTr="00D93E66">
        <w:tc>
          <w:tcPr>
            <w:tcW w:w="2408" w:type="dxa"/>
          </w:tcPr>
          <w:p w14:paraId="4155408F" w14:textId="77777777" w:rsidR="001E1987" w:rsidRPr="00473AA9" w:rsidRDefault="001E1987" w:rsidP="00FD4300">
            <w:pPr>
              <w:spacing w:line="480" w:lineRule="auto"/>
              <w:rPr>
                <w:i/>
                <w:sz w:val="20"/>
              </w:rPr>
            </w:pPr>
            <w:r w:rsidRPr="00473AA9">
              <w:rPr>
                <w:i/>
                <w:sz w:val="20"/>
              </w:rPr>
              <w:t>Outcome variable</w:t>
            </w:r>
          </w:p>
        </w:tc>
        <w:tc>
          <w:tcPr>
            <w:tcW w:w="1559" w:type="dxa"/>
            <w:tcBorders>
              <w:top w:val="single" w:sz="4" w:space="0" w:color="auto"/>
              <w:bottom w:val="single" w:sz="4" w:space="0" w:color="auto"/>
            </w:tcBorders>
          </w:tcPr>
          <w:p w14:paraId="7E9A94AC" w14:textId="77777777" w:rsidR="001E1987" w:rsidRPr="00473AA9" w:rsidRDefault="001E1987" w:rsidP="00FD4300">
            <w:pPr>
              <w:spacing w:line="480" w:lineRule="auto"/>
              <w:jc w:val="center"/>
              <w:rPr>
                <w:i/>
                <w:sz w:val="20"/>
              </w:rPr>
            </w:pPr>
            <w:r w:rsidRPr="00473AA9">
              <w:rPr>
                <w:i/>
                <w:sz w:val="20"/>
              </w:rPr>
              <w:t>Pre</w:t>
            </w:r>
          </w:p>
        </w:tc>
        <w:tc>
          <w:tcPr>
            <w:tcW w:w="1421" w:type="dxa"/>
            <w:tcBorders>
              <w:top w:val="single" w:sz="4" w:space="0" w:color="auto"/>
              <w:bottom w:val="single" w:sz="4" w:space="0" w:color="auto"/>
            </w:tcBorders>
          </w:tcPr>
          <w:p w14:paraId="0B468BD0" w14:textId="77777777" w:rsidR="001E1987" w:rsidRPr="00473AA9" w:rsidRDefault="001E1987" w:rsidP="00FD4300">
            <w:pPr>
              <w:spacing w:line="480" w:lineRule="auto"/>
              <w:jc w:val="center"/>
              <w:rPr>
                <w:i/>
                <w:sz w:val="20"/>
              </w:rPr>
            </w:pPr>
            <w:r w:rsidRPr="00473AA9">
              <w:rPr>
                <w:i/>
                <w:sz w:val="20"/>
              </w:rPr>
              <w:t>Post</w:t>
            </w:r>
          </w:p>
        </w:tc>
        <w:tc>
          <w:tcPr>
            <w:tcW w:w="238" w:type="dxa"/>
            <w:gridSpan w:val="2"/>
            <w:tcBorders>
              <w:top w:val="single" w:sz="4" w:space="0" w:color="auto"/>
              <w:bottom w:val="single" w:sz="4" w:space="0" w:color="auto"/>
            </w:tcBorders>
          </w:tcPr>
          <w:p w14:paraId="2C6E71D2"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2411552A" w14:textId="77777777" w:rsidR="001E1987" w:rsidRPr="00473AA9" w:rsidRDefault="001E1987" w:rsidP="00FD4300">
            <w:pPr>
              <w:spacing w:line="480" w:lineRule="auto"/>
              <w:jc w:val="center"/>
              <w:rPr>
                <w:i/>
                <w:sz w:val="20"/>
              </w:rPr>
            </w:pPr>
            <w:r w:rsidRPr="00473AA9">
              <w:rPr>
                <w:i/>
                <w:sz w:val="20"/>
              </w:rPr>
              <w:t>Pre</w:t>
            </w:r>
          </w:p>
        </w:tc>
        <w:tc>
          <w:tcPr>
            <w:tcW w:w="1275" w:type="dxa"/>
            <w:tcBorders>
              <w:top w:val="single" w:sz="4" w:space="0" w:color="auto"/>
              <w:bottom w:val="single" w:sz="4" w:space="0" w:color="auto"/>
            </w:tcBorders>
          </w:tcPr>
          <w:p w14:paraId="47FCF7DC" w14:textId="77777777" w:rsidR="001E1987" w:rsidRPr="00473AA9" w:rsidRDefault="001E1987" w:rsidP="00FD4300">
            <w:pPr>
              <w:spacing w:line="480" w:lineRule="auto"/>
              <w:jc w:val="center"/>
              <w:rPr>
                <w:i/>
                <w:sz w:val="20"/>
              </w:rPr>
            </w:pPr>
            <w:r w:rsidRPr="00473AA9">
              <w:rPr>
                <w:i/>
                <w:sz w:val="20"/>
              </w:rPr>
              <w:t>Post</w:t>
            </w:r>
          </w:p>
        </w:tc>
        <w:tc>
          <w:tcPr>
            <w:tcW w:w="277" w:type="dxa"/>
            <w:tcBorders>
              <w:top w:val="nil"/>
              <w:bottom w:val="nil"/>
            </w:tcBorders>
          </w:tcPr>
          <w:p w14:paraId="4EBD9753" w14:textId="77777777" w:rsidR="001E1987" w:rsidRPr="00473AA9" w:rsidRDefault="001E1987" w:rsidP="00FD4300">
            <w:pPr>
              <w:spacing w:line="480" w:lineRule="auto"/>
              <w:jc w:val="center"/>
              <w:rPr>
                <w:i/>
                <w:sz w:val="20"/>
              </w:rPr>
            </w:pPr>
          </w:p>
        </w:tc>
        <w:tc>
          <w:tcPr>
            <w:tcW w:w="705" w:type="dxa"/>
            <w:tcBorders>
              <w:top w:val="single" w:sz="4" w:space="0" w:color="auto"/>
              <w:bottom w:val="single" w:sz="4" w:space="0" w:color="auto"/>
            </w:tcBorders>
          </w:tcPr>
          <w:p w14:paraId="5A633447" w14:textId="77777777" w:rsidR="001E1987" w:rsidRPr="00473AA9" w:rsidRDefault="001E1987" w:rsidP="00FD4300">
            <w:pPr>
              <w:spacing w:line="480" w:lineRule="auto"/>
              <w:jc w:val="center"/>
              <w:rPr>
                <w:i/>
                <w:sz w:val="20"/>
              </w:rPr>
            </w:pPr>
            <w:proofErr w:type="spellStart"/>
            <w:r w:rsidRPr="00473AA9">
              <w:rPr>
                <w:i/>
                <w:sz w:val="20"/>
              </w:rPr>
              <w:t>dfs</w:t>
            </w:r>
            <w:proofErr w:type="spellEnd"/>
          </w:p>
        </w:tc>
        <w:tc>
          <w:tcPr>
            <w:tcW w:w="755" w:type="dxa"/>
            <w:tcBorders>
              <w:top w:val="single" w:sz="4" w:space="0" w:color="auto"/>
              <w:bottom w:val="single" w:sz="4" w:space="0" w:color="auto"/>
            </w:tcBorders>
          </w:tcPr>
          <w:p w14:paraId="2AD95B90" w14:textId="77777777" w:rsidR="001E1987" w:rsidRPr="00473AA9" w:rsidRDefault="001E1987" w:rsidP="00FD4300">
            <w:pPr>
              <w:spacing w:line="480" w:lineRule="auto"/>
              <w:jc w:val="center"/>
              <w:rPr>
                <w:i/>
                <w:sz w:val="20"/>
              </w:rPr>
            </w:pPr>
            <w:r w:rsidRPr="00473AA9">
              <w:rPr>
                <w:i/>
                <w:sz w:val="20"/>
              </w:rPr>
              <w:t xml:space="preserve">F </w:t>
            </w:r>
          </w:p>
        </w:tc>
        <w:tc>
          <w:tcPr>
            <w:tcW w:w="771" w:type="dxa"/>
            <w:tcBorders>
              <w:top w:val="single" w:sz="4" w:space="0" w:color="auto"/>
              <w:bottom w:val="single" w:sz="4" w:space="0" w:color="auto"/>
            </w:tcBorders>
          </w:tcPr>
          <w:p w14:paraId="6F9A7FFF" w14:textId="77777777" w:rsidR="001E1987" w:rsidRPr="00473AA9" w:rsidRDefault="001E1987" w:rsidP="00FD4300">
            <w:pPr>
              <w:spacing w:line="480" w:lineRule="auto"/>
              <w:jc w:val="center"/>
              <w:rPr>
                <w:i/>
                <w:sz w:val="20"/>
              </w:rPr>
            </w:pPr>
            <w:r w:rsidRPr="00473AA9">
              <w:rPr>
                <w:i/>
                <w:sz w:val="20"/>
              </w:rPr>
              <w:t>p</w:t>
            </w:r>
          </w:p>
        </w:tc>
        <w:tc>
          <w:tcPr>
            <w:tcW w:w="651" w:type="dxa"/>
            <w:tcBorders>
              <w:top w:val="single" w:sz="4" w:space="0" w:color="auto"/>
              <w:bottom w:val="single" w:sz="4" w:space="0" w:color="auto"/>
            </w:tcBorders>
          </w:tcPr>
          <w:p w14:paraId="152D4DEE" w14:textId="77777777" w:rsidR="001E1987" w:rsidRPr="00473AA9" w:rsidRDefault="001E1987" w:rsidP="00FD4300">
            <w:pPr>
              <w:spacing w:line="480" w:lineRule="auto"/>
              <w:jc w:val="center"/>
              <w:rPr>
                <w:i/>
                <w:sz w:val="20"/>
              </w:rPr>
            </w:pPr>
            <w:r w:rsidRPr="00473AA9">
              <w:rPr>
                <w:sz w:val="20"/>
              </w:rPr>
              <w:t>η</w:t>
            </w:r>
            <w:r w:rsidRPr="00473AA9">
              <w:rPr>
                <w:sz w:val="20"/>
                <w:vertAlign w:val="subscript"/>
              </w:rPr>
              <w:t>p</w:t>
            </w:r>
            <w:r w:rsidRPr="00473AA9">
              <w:rPr>
                <w:sz w:val="20"/>
                <w:vertAlign w:val="superscript"/>
              </w:rPr>
              <w:t>2</w:t>
            </w:r>
          </w:p>
        </w:tc>
        <w:tc>
          <w:tcPr>
            <w:tcW w:w="681" w:type="dxa"/>
            <w:tcBorders>
              <w:top w:val="single" w:sz="4" w:space="0" w:color="auto"/>
              <w:bottom w:val="single" w:sz="4" w:space="0" w:color="auto"/>
            </w:tcBorders>
          </w:tcPr>
          <w:p w14:paraId="06135358" w14:textId="77777777" w:rsidR="001E1987" w:rsidRPr="00473AA9" w:rsidRDefault="001E1987" w:rsidP="00FD4300">
            <w:pPr>
              <w:spacing w:line="480" w:lineRule="auto"/>
              <w:jc w:val="center"/>
              <w:rPr>
                <w:i/>
                <w:sz w:val="20"/>
              </w:rPr>
            </w:pPr>
            <w:r w:rsidRPr="00473AA9">
              <w:rPr>
                <w:i/>
                <w:sz w:val="20"/>
              </w:rPr>
              <w:t xml:space="preserve">F </w:t>
            </w:r>
          </w:p>
        </w:tc>
        <w:tc>
          <w:tcPr>
            <w:tcW w:w="681" w:type="dxa"/>
            <w:tcBorders>
              <w:top w:val="single" w:sz="4" w:space="0" w:color="auto"/>
              <w:bottom w:val="single" w:sz="4" w:space="0" w:color="auto"/>
            </w:tcBorders>
          </w:tcPr>
          <w:p w14:paraId="2E710D12" w14:textId="77777777" w:rsidR="001E1987" w:rsidRPr="00473AA9" w:rsidRDefault="001E1987" w:rsidP="00FD4300">
            <w:pPr>
              <w:spacing w:line="480" w:lineRule="auto"/>
              <w:jc w:val="center"/>
              <w:rPr>
                <w:i/>
                <w:sz w:val="20"/>
              </w:rPr>
            </w:pPr>
            <w:r w:rsidRPr="00473AA9">
              <w:rPr>
                <w:i/>
                <w:sz w:val="20"/>
              </w:rPr>
              <w:t>p</w:t>
            </w:r>
          </w:p>
        </w:tc>
        <w:tc>
          <w:tcPr>
            <w:tcW w:w="689" w:type="dxa"/>
            <w:tcBorders>
              <w:top w:val="single" w:sz="4" w:space="0" w:color="auto"/>
              <w:bottom w:val="single" w:sz="4" w:space="0" w:color="auto"/>
            </w:tcBorders>
          </w:tcPr>
          <w:p w14:paraId="420F248F" w14:textId="77777777" w:rsidR="001E1987" w:rsidRPr="00473AA9" w:rsidRDefault="001E1987" w:rsidP="00FD4300">
            <w:pPr>
              <w:spacing w:line="480" w:lineRule="auto"/>
              <w:jc w:val="center"/>
              <w:rPr>
                <w:i/>
                <w:sz w:val="20"/>
              </w:rPr>
            </w:pPr>
            <w:r w:rsidRPr="00473AA9">
              <w:rPr>
                <w:sz w:val="20"/>
              </w:rPr>
              <w:t>η</w:t>
            </w:r>
            <w:r w:rsidRPr="00473AA9">
              <w:rPr>
                <w:sz w:val="20"/>
                <w:vertAlign w:val="subscript"/>
              </w:rPr>
              <w:t>p</w:t>
            </w:r>
            <w:r w:rsidRPr="00473AA9">
              <w:rPr>
                <w:sz w:val="20"/>
                <w:vertAlign w:val="superscript"/>
              </w:rPr>
              <w:t>2</w:t>
            </w:r>
          </w:p>
        </w:tc>
        <w:tc>
          <w:tcPr>
            <w:tcW w:w="681" w:type="dxa"/>
            <w:tcBorders>
              <w:top w:val="single" w:sz="4" w:space="0" w:color="auto"/>
              <w:bottom w:val="single" w:sz="4" w:space="0" w:color="auto"/>
            </w:tcBorders>
          </w:tcPr>
          <w:p w14:paraId="59FA648E" w14:textId="77777777" w:rsidR="001E1987" w:rsidRPr="00473AA9" w:rsidRDefault="001E1987" w:rsidP="00FD4300">
            <w:pPr>
              <w:spacing w:line="480" w:lineRule="auto"/>
              <w:jc w:val="center"/>
              <w:rPr>
                <w:i/>
                <w:sz w:val="20"/>
              </w:rPr>
            </w:pPr>
            <w:r w:rsidRPr="00473AA9">
              <w:rPr>
                <w:i/>
                <w:sz w:val="20"/>
              </w:rPr>
              <w:t xml:space="preserve">F </w:t>
            </w:r>
          </w:p>
        </w:tc>
        <w:tc>
          <w:tcPr>
            <w:tcW w:w="681" w:type="dxa"/>
            <w:tcBorders>
              <w:top w:val="single" w:sz="4" w:space="0" w:color="auto"/>
              <w:bottom w:val="single" w:sz="4" w:space="0" w:color="auto"/>
            </w:tcBorders>
          </w:tcPr>
          <w:p w14:paraId="75F076EC" w14:textId="77777777" w:rsidR="001E1987" w:rsidRPr="00473AA9" w:rsidRDefault="001E1987" w:rsidP="00FD4300">
            <w:pPr>
              <w:spacing w:line="480" w:lineRule="auto"/>
              <w:jc w:val="center"/>
              <w:rPr>
                <w:i/>
                <w:sz w:val="20"/>
              </w:rPr>
            </w:pPr>
            <w:r w:rsidRPr="00473AA9">
              <w:rPr>
                <w:i/>
                <w:sz w:val="20"/>
              </w:rPr>
              <w:t>p</w:t>
            </w:r>
          </w:p>
        </w:tc>
        <w:tc>
          <w:tcPr>
            <w:tcW w:w="689" w:type="dxa"/>
            <w:tcBorders>
              <w:top w:val="single" w:sz="4" w:space="0" w:color="auto"/>
              <w:bottom w:val="single" w:sz="4" w:space="0" w:color="auto"/>
            </w:tcBorders>
          </w:tcPr>
          <w:p w14:paraId="250F25AF" w14:textId="77777777" w:rsidR="001E1987" w:rsidRPr="00473AA9" w:rsidRDefault="001E1987" w:rsidP="00FD4300">
            <w:pPr>
              <w:spacing w:line="480" w:lineRule="auto"/>
              <w:jc w:val="center"/>
              <w:rPr>
                <w:i/>
                <w:sz w:val="20"/>
              </w:rPr>
            </w:pPr>
            <w:r w:rsidRPr="00473AA9">
              <w:rPr>
                <w:sz w:val="20"/>
              </w:rPr>
              <w:t>η</w:t>
            </w:r>
            <w:r w:rsidRPr="00473AA9">
              <w:rPr>
                <w:sz w:val="20"/>
                <w:vertAlign w:val="subscript"/>
              </w:rPr>
              <w:t>p</w:t>
            </w:r>
            <w:r w:rsidRPr="00473AA9">
              <w:rPr>
                <w:sz w:val="20"/>
                <w:vertAlign w:val="superscript"/>
              </w:rPr>
              <w:t>2</w:t>
            </w:r>
          </w:p>
        </w:tc>
      </w:tr>
      <w:tr w:rsidR="00D052BA" w:rsidRPr="00546020" w14:paraId="4D49D7E8" w14:textId="77777777" w:rsidTr="00D93E66">
        <w:tc>
          <w:tcPr>
            <w:tcW w:w="2408" w:type="dxa"/>
          </w:tcPr>
          <w:p w14:paraId="266FB287" w14:textId="77777777" w:rsidR="001E1987" w:rsidRPr="00473AA9" w:rsidRDefault="001E1987" w:rsidP="00FD4300">
            <w:pPr>
              <w:spacing w:line="480" w:lineRule="auto"/>
              <w:rPr>
                <w:sz w:val="20"/>
              </w:rPr>
            </w:pPr>
            <w:r w:rsidRPr="00473AA9">
              <w:rPr>
                <w:sz w:val="20"/>
              </w:rPr>
              <w:t>Psychological wellbeing</w:t>
            </w:r>
          </w:p>
        </w:tc>
        <w:tc>
          <w:tcPr>
            <w:tcW w:w="1559" w:type="dxa"/>
            <w:tcBorders>
              <w:top w:val="single" w:sz="4" w:space="0" w:color="auto"/>
              <w:bottom w:val="single" w:sz="4" w:space="0" w:color="auto"/>
            </w:tcBorders>
          </w:tcPr>
          <w:p w14:paraId="2620AED9" w14:textId="77777777" w:rsidR="001E1987" w:rsidRPr="00473AA9" w:rsidRDefault="001E1987" w:rsidP="00FD4300">
            <w:pPr>
              <w:spacing w:line="480" w:lineRule="auto"/>
              <w:jc w:val="center"/>
              <w:rPr>
                <w:sz w:val="20"/>
              </w:rPr>
            </w:pPr>
            <w:r w:rsidRPr="00473AA9">
              <w:rPr>
                <w:sz w:val="20"/>
              </w:rPr>
              <w:t>9.95 (4.70)</w:t>
            </w:r>
          </w:p>
        </w:tc>
        <w:tc>
          <w:tcPr>
            <w:tcW w:w="1421" w:type="dxa"/>
            <w:tcBorders>
              <w:top w:val="single" w:sz="4" w:space="0" w:color="auto"/>
              <w:bottom w:val="single" w:sz="4" w:space="0" w:color="auto"/>
            </w:tcBorders>
          </w:tcPr>
          <w:p w14:paraId="4EE09173" w14:textId="77777777" w:rsidR="001E1987" w:rsidRPr="00473AA9" w:rsidRDefault="001E1987" w:rsidP="00FD4300">
            <w:pPr>
              <w:spacing w:line="480" w:lineRule="auto"/>
              <w:jc w:val="center"/>
              <w:rPr>
                <w:sz w:val="20"/>
              </w:rPr>
            </w:pPr>
            <w:r w:rsidRPr="00473AA9">
              <w:rPr>
                <w:sz w:val="20"/>
              </w:rPr>
              <w:t>14.26(3.12)</w:t>
            </w:r>
          </w:p>
        </w:tc>
        <w:tc>
          <w:tcPr>
            <w:tcW w:w="238" w:type="dxa"/>
            <w:gridSpan w:val="2"/>
            <w:tcBorders>
              <w:top w:val="single" w:sz="4" w:space="0" w:color="auto"/>
              <w:bottom w:val="single" w:sz="4" w:space="0" w:color="auto"/>
            </w:tcBorders>
          </w:tcPr>
          <w:p w14:paraId="1838C1B8"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546C7A9F" w14:textId="77777777" w:rsidR="001E1987" w:rsidRPr="00473AA9" w:rsidRDefault="001E1987" w:rsidP="00FD4300">
            <w:pPr>
              <w:spacing w:line="480" w:lineRule="auto"/>
              <w:jc w:val="center"/>
              <w:rPr>
                <w:sz w:val="20"/>
              </w:rPr>
            </w:pPr>
            <w:r w:rsidRPr="00473AA9">
              <w:rPr>
                <w:sz w:val="20"/>
              </w:rPr>
              <w:t>12.06 (4.16)</w:t>
            </w:r>
          </w:p>
        </w:tc>
        <w:tc>
          <w:tcPr>
            <w:tcW w:w="1275" w:type="dxa"/>
            <w:tcBorders>
              <w:top w:val="single" w:sz="4" w:space="0" w:color="auto"/>
              <w:bottom w:val="single" w:sz="4" w:space="0" w:color="auto"/>
            </w:tcBorders>
          </w:tcPr>
          <w:p w14:paraId="60A90A3D" w14:textId="77777777" w:rsidR="001E1987" w:rsidRPr="00473AA9" w:rsidRDefault="001E1987" w:rsidP="00FD4300">
            <w:pPr>
              <w:spacing w:line="480" w:lineRule="auto"/>
              <w:jc w:val="center"/>
              <w:rPr>
                <w:sz w:val="20"/>
              </w:rPr>
            </w:pPr>
            <w:r w:rsidRPr="00473AA9">
              <w:rPr>
                <w:sz w:val="20"/>
              </w:rPr>
              <w:t>14.31 (4.39)</w:t>
            </w:r>
          </w:p>
        </w:tc>
        <w:tc>
          <w:tcPr>
            <w:tcW w:w="277" w:type="dxa"/>
            <w:tcBorders>
              <w:top w:val="nil"/>
              <w:bottom w:val="nil"/>
            </w:tcBorders>
          </w:tcPr>
          <w:p w14:paraId="4FFAB641" w14:textId="77777777" w:rsidR="001E1987" w:rsidRPr="00473AA9" w:rsidRDefault="001E1987" w:rsidP="00FD4300">
            <w:pPr>
              <w:spacing w:line="480" w:lineRule="auto"/>
              <w:jc w:val="center"/>
              <w:rPr>
                <w:sz w:val="20"/>
              </w:rPr>
            </w:pPr>
          </w:p>
        </w:tc>
        <w:tc>
          <w:tcPr>
            <w:tcW w:w="705" w:type="dxa"/>
            <w:tcBorders>
              <w:top w:val="single" w:sz="4" w:space="0" w:color="auto"/>
            </w:tcBorders>
          </w:tcPr>
          <w:p w14:paraId="602EAB43" w14:textId="406B81B7" w:rsidR="001E1987" w:rsidRPr="00473AA9" w:rsidRDefault="001E1987" w:rsidP="00FD4300">
            <w:pPr>
              <w:spacing w:line="480" w:lineRule="auto"/>
              <w:jc w:val="center"/>
              <w:rPr>
                <w:sz w:val="20"/>
              </w:rPr>
            </w:pPr>
            <w:r w:rsidRPr="00473AA9">
              <w:rPr>
                <w:sz w:val="20"/>
              </w:rPr>
              <w:t>1,53</w:t>
            </w:r>
          </w:p>
        </w:tc>
        <w:tc>
          <w:tcPr>
            <w:tcW w:w="755" w:type="dxa"/>
            <w:tcBorders>
              <w:top w:val="single" w:sz="4" w:space="0" w:color="auto"/>
            </w:tcBorders>
          </w:tcPr>
          <w:p w14:paraId="796D0666" w14:textId="77777777" w:rsidR="001E1987" w:rsidRPr="00473AA9" w:rsidRDefault="001E1987" w:rsidP="00FD4300">
            <w:pPr>
              <w:spacing w:line="480" w:lineRule="auto"/>
              <w:jc w:val="center"/>
              <w:rPr>
                <w:sz w:val="20"/>
              </w:rPr>
            </w:pPr>
            <w:r w:rsidRPr="00473AA9">
              <w:rPr>
                <w:sz w:val="20"/>
              </w:rPr>
              <w:t>27.04</w:t>
            </w:r>
          </w:p>
        </w:tc>
        <w:tc>
          <w:tcPr>
            <w:tcW w:w="771" w:type="dxa"/>
            <w:tcBorders>
              <w:top w:val="single" w:sz="4" w:space="0" w:color="auto"/>
            </w:tcBorders>
          </w:tcPr>
          <w:p w14:paraId="669B67D2" w14:textId="77777777" w:rsidR="001E1987" w:rsidRPr="00473AA9" w:rsidRDefault="001E1987" w:rsidP="00FD4300">
            <w:pPr>
              <w:spacing w:line="480" w:lineRule="auto"/>
              <w:jc w:val="center"/>
              <w:rPr>
                <w:sz w:val="20"/>
              </w:rPr>
            </w:pPr>
            <w:r w:rsidRPr="00473AA9">
              <w:rPr>
                <w:sz w:val="20"/>
              </w:rPr>
              <w:t>&lt;.001</w:t>
            </w:r>
          </w:p>
        </w:tc>
        <w:tc>
          <w:tcPr>
            <w:tcW w:w="651" w:type="dxa"/>
            <w:tcBorders>
              <w:top w:val="single" w:sz="4" w:space="0" w:color="auto"/>
            </w:tcBorders>
          </w:tcPr>
          <w:p w14:paraId="72EACB5D" w14:textId="77777777" w:rsidR="001E1987" w:rsidRPr="00473AA9" w:rsidRDefault="001E1987" w:rsidP="00FD4300">
            <w:pPr>
              <w:spacing w:line="480" w:lineRule="auto"/>
              <w:jc w:val="center"/>
              <w:rPr>
                <w:sz w:val="20"/>
              </w:rPr>
            </w:pPr>
            <w:r w:rsidRPr="00473AA9">
              <w:rPr>
                <w:sz w:val="20"/>
              </w:rPr>
              <w:t>.67</w:t>
            </w:r>
          </w:p>
        </w:tc>
        <w:tc>
          <w:tcPr>
            <w:tcW w:w="681" w:type="dxa"/>
            <w:tcBorders>
              <w:top w:val="single" w:sz="4" w:space="0" w:color="auto"/>
            </w:tcBorders>
          </w:tcPr>
          <w:p w14:paraId="34889417" w14:textId="77777777" w:rsidR="001E1987" w:rsidRPr="00473AA9" w:rsidRDefault="001E1987" w:rsidP="00FD4300">
            <w:pPr>
              <w:spacing w:line="480" w:lineRule="auto"/>
              <w:jc w:val="center"/>
              <w:rPr>
                <w:sz w:val="20"/>
              </w:rPr>
            </w:pPr>
            <w:r w:rsidRPr="00473AA9">
              <w:rPr>
                <w:sz w:val="20"/>
              </w:rPr>
              <w:t>1.15</w:t>
            </w:r>
          </w:p>
        </w:tc>
        <w:tc>
          <w:tcPr>
            <w:tcW w:w="681" w:type="dxa"/>
            <w:tcBorders>
              <w:top w:val="single" w:sz="4" w:space="0" w:color="auto"/>
            </w:tcBorders>
          </w:tcPr>
          <w:p w14:paraId="76A60002" w14:textId="77777777" w:rsidR="001E1987" w:rsidRPr="00473AA9" w:rsidRDefault="001E1987" w:rsidP="00FD4300">
            <w:pPr>
              <w:spacing w:line="480" w:lineRule="auto"/>
              <w:jc w:val="center"/>
              <w:rPr>
                <w:sz w:val="20"/>
              </w:rPr>
            </w:pPr>
            <w:r w:rsidRPr="00473AA9">
              <w:rPr>
                <w:sz w:val="20"/>
              </w:rPr>
              <w:t>.289</w:t>
            </w:r>
          </w:p>
        </w:tc>
        <w:tc>
          <w:tcPr>
            <w:tcW w:w="689" w:type="dxa"/>
            <w:tcBorders>
              <w:top w:val="single" w:sz="4" w:space="0" w:color="auto"/>
            </w:tcBorders>
          </w:tcPr>
          <w:p w14:paraId="595B3BC5" w14:textId="77777777" w:rsidR="001E1987" w:rsidRPr="00473AA9" w:rsidRDefault="001E1987" w:rsidP="00FD4300">
            <w:pPr>
              <w:spacing w:line="480" w:lineRule="auto"/>
              <w:jc w:val="center"/>
              <w:rPr>
                <w:sz w:val="20"/>
              </w:rPr>
            </w:pPr>
            <w:r w:rsidRPr="00473AA9">
              <w:rPr>
                <w:sz w:val="20"/>
              </w:rPr>
              <w:t>.02</w:t>
            </w:r>
          </w:p>
        </w:tc>
        <w:tc>
          <w:tcPr>
            <w:tcW w:w="681" w:type="dxa"/>
            <w:tcBorders>
              <w:top w:val="single" w:sz="4" w:space="0" w:color="auto"/>
            </w:tcBorders>
          </w:tcPr>
          <w:p w14:paraId="1C10D5E7" w14:textId="77777777" w:rsidR="001E1987" w:rsidRPr="00473AA9" w:rsidRDefault="001E1987" w:rsidP="00FD4300">
            <w:pPr>
              <w:spacing w:line="480" w:lineRule="auto"/>
              <w:jc w:val="center"/>
              <w:rPr>
                <w:sz w:val="20"/>
              </w:rPr>
            </w:pPr>
            <w:r w:rsidRPr="00473AA9">
              <w:rPr>
                <w:sz w:val="20"/>
              </w:rPr>
              <w:t>2.67</w:t>
            </w:r>
          </w:p>
        </w:tc>
        <w:tc>
          <w:tcPr>
            <w:tcW w:w="681" w:type="dxa"/>
            <w:tcBorders>
              <w:top w:val="single" w:sz="4" w:space="0" w:color="auto"/>
            </w:tcBorders>
          </w:tcPr>
          <w:p w14:paraId="4CEAB085" w14:textId="77777777" w:rsidR="001E1987" w:rsidRPr="00473AA9" w:rsidRDefault="001E1987" w:rsidP="00FD4300">
            <w:pPr>
              <w:spacing w:line="480" w:lineRule="auto"/>
              <w:jc w:val="center"/>
              <w:rPr>
                <w:sz w:val="20"/>
              </w:rPr>
            </w:pPr>
            <w:r w:rsidRPr="00473AA9">
              <w:rPr>
                <w:sz w:val="20"/>
              </w:rPr>
              <w:t>.108</w:t>
            </w:r>
          </w:p>
        </w:tc>
        <w:tc>
          <w:tcPr>
            <w:tcW w:w="689" w:type="dxa"/>
            <w:tcBorders>
              <w:top w:val="single" w:sz="4" w:space="0" w:color="auto"/>
            </w:tcBorders>
          </w:tcPr>
          <w:p w14:paraId="6282C198" w14:textId="77777777" w:rsidR="001E1987" w:rsidRPr="00473AA9" w:rsidRDefault="001E1987" w:rsidP="00FD4300">
            <w:pPr>
              <w:spacing w:line="480" w:lineRule="auto"/>
              <w:jc w:val="center"/>
              <w:rPr>
                <w:sz w:val="20"/>
              </w:rPr>
            </w:pPr>
            <w:r w:rsidRPr="00473AA9">
              <w:rPr>
                <w:sz w:val="20"/>
              </w:rPr>
              <w:t>.05</w:t>
            </w:r>
          </w:p>
        </w:tc>
      </w:tr>
      <w:tr w:rsidR="00D052BA" w:rsidRPr="00546020" w14:paraId="2269BE5E" w14:textId="77777777" w:rsidTr="00D93E66">
        <w:tc>
          <w:tcPr>
            <w:tcW w:w="2408" w:type="dxa"/>
          </w:tcPr>
          <w:p w14:paraId="24ECCA81" w14:textId="77777777" w:rsidR="001E1987" w:rsidRPr="00473AA9" w:rsidRDefault="001E1987" w:rsidP="00FD4300">
            <w:pPr>
              <w:spacing w:line="480" w:lineRule="auto"/>
              <w:rPr>
                <w:sz w:val="20"/>
              </w:rPr>
            </w:pPr>
            <w:r w:rsidRPr="00473AA9">
              <w:rPr>
                <w:sz w:val="20"/>
              </w:rPr>
              <w:t>Physical wellbeing</w:t>
            </w:r>
          </w:p>
        </w:tc>
        <w:tc>
          <w:tcPr>
            <w:tcW w:w="1559" w:type="dxa"/>
            <w:tcBorders>
              <w:top w:val="single" w:sz="4" w:space="0" w:color="auto"/>
              <w:bottom w:val="single" w:sz="4" w:space="0" w:color="auto"/>
            </w:tcBorders>
          </w:tcPr>
          <w:p w14:paraId="2B218DEE" w14:textId="77777777" w:rsidR="001E1987" w:rsidRPr="00473AA9" w:rsidRDefault="001E1987" w:rsidP="00FD4300">
            <w:pPr>
              <w:spacing w:line="480" w:lineRule="auto"/>
              <w:jc w:val="center"/>
              <w:rPr>
                <w:sz w:val="20"/>
              </w:rPr>
            </w:pPr>
            <w:r w:rsidRPr="00473AA9">
              <w:rPr>
                <w:sz w:val="20"/>
              </w:rPr>
              <w:t>12.05 (3.75)</w:t>
            </w:r>
          </w:p>
        </w:tc>
        <w:tc>
          <w:tcPr>
            <w:tcW w:w="1421" w:type="dxa"/>
            <w:tcBorders>
              <w:top w:val="single" w:sz="4" w:space="0" w:color="auto"/>
              <w:bottom w:val="single" w:sz="4" w:space="0" w:color="auto"/>
            </w:tcBorders>
          </w:tcPr>
          <w:p w14:paraId="414EBFD9" w14:textId="77777777" w:rsidR="001E1987" w:rsidRPr="00473AA9" w:rsidRDefault="001E1987" w:rsidP="00FD4300">
            <w:pPr>
              <w:spacing w:line="480" w:lineRule="auto"/>
              <w:jc w:val="center"/>
              <w:rPr>
                <w:sz w:val="20"/>
              </w:rPr>
            </w:pPr>
            <w:r w:rsidRPr="00473AA9">
              <w:rPr>
                <w:sz w:val="20"/>
              </w:rPr>
              <w:t>14.68 (3.40)</w:t>
            </w:r>
          </w:p>
        </w:tc>
        <w:tc>
          <w:tcPr>
            <w:tcW w:w="238" w:type="dxa"/>
            <w:gridSpan w:val="2"/>
            <w:tcBorders>
              <w:top w:val="single" w:sz="4" w:space="0" w:color="auto"/>
              <w:bottom w:val="single" w:sz="4" w:space="0" w:color="auto"/>
            </w:tcBorders>
          </w:tcPr>
          <w:p w14:paraId="0522C040"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2136179E" w14:textId="77777777" w:rsidR="001E1987" w:rsidRPr="00473AA9" w:rsidRDefault="001E1987" w:rsidP="00FD4300">
            <w:pPr>
              <w:spacing w:line="480" w:lineRule="auto"/>
              <w:jc w:val="center"/>
              <w:rPr>
                <w:sz w:val="20"/>
              </w:rPr>
            </w:pPr>
            <w:r w:rsidRPr="00473AA9">
              <w:rPr>
                <w:sz w:val="20"/>
              </w:rPr>
              <w:t>13.53 (4.53)</w:t>
            </w:r>
          </w:p>
        </w:tc>
        <w:tc>
          <w:tcPr>
            <w:tcW w:w="1275" w:type="dxa"/>
            <w:tcBorders>
              <w:top w:val="single" w:sz="4" w:space="0" w:color="auto"/>
              <w:bottom w:val="single" w:sz="4" w:space="0" w:color="auto"/>
            </w:tcBorders>
          </w:tcPr>
          <w:p w14:paraId="3334BD00" w14:textId="77777777" w:rsidR="001E1987" w:rsidRPr="00473AA9" w:rsidRDefault="001E1987" w:rsidP="00FD4300">
            <w:pPr>
              <w:spacing w:line="480" w:lineRule="auto"/>
              <w:jc w:val="center"/>
              <w:rPr>
                <w:sz w:val="20"/>
              </w:rPr>
            </w:pPr>
            <w:r w:rsidRPr="00473AA9">
              <w:rPr>
                <w:sz w:val="20"/>
              </w:rPr>
              <w:t>14.97 (4.24)</w:t>
            </w:r>
          </w:p>
        </w:tc>
        <w:tc>
          <w:tcPr>
            <w:tcW w:w="277" w:type="dxa"/>
            <w:tcBorders>
              <w:top w:val="nil"/>
              <w:bottom w:val="nil"/>
            </w:tcBorders>
          </w:tcPr>
          <w:p w14:paraId="0943701C" w14:textId="77777777" w:rsidR="001E1987" w:rsidRPr="00473AA9" w:rsidRDefault="001E1987" w:rsidP="00FD4300">
            <w:pPr>
              <w:spacing w:line="480" w:lineRule="auto"/>
              <w:jc w:val="center"/>
              <w:rPr>
                <w:sz w:val="20"/>
              </w:rPr>
            </w:pPr>
          </w:p>
        </w:tc>
        <w:tc>
          <w:tcPr>
            <w:tcW w:w="705" w:type="dxa"/>
          </w:tcPr>
          <w:p w14:paraId="7B30A41B" w14:textId="775C20EB" w:rsidR="001E1987" w:rsidRPr="00473AA9" w:rsidRDefault="001E1987" w:rsidP="00FD4300">
            <w:pPr>
              <w:spacing w:line="480" w:lineRule="auto"/>
              <w:jc w:val="center"/>
              <w:rPr>
                <w:sz w:val="20"/>
              </w:rPr>
            </w:pPr>
            <w:r w:rsidRPr="00473AA9">
              <w:rPr>
                <w:sz w:val="20"/>
              </w:rPr>
              <w:t>1,53</w:t>
            </w:r>
          </w:p>
        </w:tc>
        <w:tc>
          <w:tcPr>
            <w:tcW w:w="755" w:type="dxa"/>
          </w:tcPr>
          <w:p w14:paraId="14149A05" w14:textId="77777777" w:rsidR="001E1987" w:rsidRPr="00473AA9" w:rsidRDefault="001E1987" w:rsidP="00FD4300">
            <w:pPr>
              <w:spacing w:line="480" w:lineRule="auto"/>
              <w:jc w:val="center"/>
              <w:rPr>
                <w:sz w:val="20"/>
              </w:rPr>
            </w:pPr>
            <w:r w:rsidRPr="00473AA9">
              <w:rPr>
                <w:sz w:val="20"/>
              </w:rPr>
              <w:t>11.61</w:t>
            </w:r>
          </w:p>
        </w:tc>
        <w:tc>
          <w:tcPr>
            <w:tcW w:w="771" w:type="dxa"/>
          </w:tcPr>
          <w:p w14:paraId="75656F2E" w14:textId="77777777" w:rsidR="001E1987" w:rsidRPr="00473AA9" w:rsidRDefault="001E1987" w:rsidP="00FD4300">
            <w:pPr>
              <w:spacing w:line="480" w:lineRule="auto"/>
              <w:jc w:val="center"/>
              <w:rPr>
                <w:sz w:val="20"/>
              </w:rPr>
            </w:pPr>
            <w:r w:rsidRPr="00473AA9">
              <w:rPr>
                <w:sz w:val="20"/>
              </w:rPr>
              <w:t>&lt;.001</w:t>
            </w:r>
          </w:p>
        </w:tc>
        <w:tc>
          <w:tcPr>
            <w:tcW w:w="651" w:type="dxa"/>
          </w:tcPr>
          <w:p w14:paraId="4F672ED9" w14:textId="77777777" w:rsidR="001E1987" w:rsidRPr="00473AA9" w:rsidRDefault="001E1987" w:rsidP="00FD4300">
            <w:pPr>
              <w:spacing w:line="480" w:lineRule="auto"/>
              <w:jc w:val="center"/>
              <w:rPr>
                <w:sz w:val="20"/>
              </w:rPr>
            </w:pPr>
            <w:r w:rsidRPr="00473AA9">
              <w:rPr>
                <w:sz w:val="20"/>
              </w:rPr>
              <w:t>.18</w:t>
            </w:r>
          </w:p>
        </w:tc>
        <w:tc>
          <w:tcPr>
            <w:tcW w:w="681" w:type="dxa"/>
          </w:tcPr>
          <w:p w14:paraId="447D0D7A" w14:textId="77777777" w:rsidR="001E1987" w:rsidRPr="00473AA9" w:rsidRDefault="001E1987" w:rsidP="00FD4300">
            <w:pPr>
              <w:spacing w:line="480" w:lineRule="auto"/>
              <w:jc w:val="center"/>
              <w:rPr>
                <w:sz w:val="20"/>
              </w:rPr>
            </w:pPr>
            <w:r w:rsidRPr="00473AA9">
              <w:rPr>
                <w:sz w:val="20"/>
              </w:rPr>
              <w:t>0.77</w:t>
            </w:r>
          </w:p>
        </w:tc>
        <w:tc>
          <w:tcPr>
            <w:tcW w:w="681" w:type="dxa"/>
          </w:tcPr>
          <w:p w14:paraId="0C7AE893" w14:textId="77777777" w:rsidR="001E1987" w:rsidRPr="00473AA9" w:rsidRDefault="001E1987" w:rsidP="00FD4300">
            <w:pPr>
              <w:spacing w:line="480" w:lineRule="auto"/>
              <w:jc w:val="center"/>
              <w:rPr>
                <w:sz w:val="20"/>
              </w:rPr>
            </w:pPr>
            <w:r w:rsidRPr="00473AA9">
              <w:rPr>
                <w:sz w:val="20"/>
              </w:rPr>
              <w:t>.385</w:t>
            </w:r>
          </w:p>
        </w:tc>
        <w:tc>
          <w:tcPr>
            <w:tcW w:w="689" w:type="dxa"/>
          </w:tcPr>
          <w:p w14:paraId="62390E6A" w14:textId="77777777" w:rsidR="001E1987" w:rsidRPr="00473AA9" w:rsidRDefault="001E1987" w:rsidP="00FD4300">
            <w:pPr>
              <w:spacing w:line="480" w:lineRule="auto"/>
              <w:jc w:val="center"/>
              <w:rPr>
                <w:sz w:val="20"/>
              </w:rPr>
            </w:pPr>
            <w:r w:rsidRPr="00473AA9">
              <w:rPr>
                <w:sz w:val="20"/>
              </w:rPr>
              <w:t>.01</w:t>
            </w:r>
          </w:p>
        </w:tc>
        <w:tc>
          <w:tcPr>
            <w:tcW w:w="681" w:type="dxa"/>
          </w:tcPr>
          <w:p w14:paraId="41EAEF7F" w14:textId="77777777" w:rsidR="001E1987" w:rsidRPr="00473AA9" w:rsidRDefault="001E1987" w:rsidP="00FD4300">
            <w:pPr>
              <w:spacing w:line="480" w:lineRule="auto"/>
              <w:jc w:val="center"/>
              <w:rPr>
                <w:sz w:val="20"/>
              </w:rPr>
            </w:pPr>
            <w:r w:rsidRPr="00473AA9">
              <w:rPr>
                <w:sz w:val="20"/>
              </w:rPr>
              <w:t>.985</w:t>
            </w:r>
          </w:p>
        </w:tc>
        <w:tc>
          <w:tcPr>
            <w:tcW w:w="681" w:type="dxa"/>
          </w:tcPr>
          <w:p w14:paraId="6CF29FB2" w14:textId="77777777" w:rsidR="001E1987" w:rsidRPr="00473AA9" w:rsidRDefault="001E1987" w:rsidP="00FD4300">
            <w:pPr>
              <w:spacing w:line="480" w:lineRule="auto"/>
              <w:jc w:val="center"/>
              <w:rPr>
                <w:sz w:val="20"/>
              </w:rPr>
            </w:pPr>
            <w:r w:rsidRPr="00473AA9">
              <w:rPr>
                <w:sz w:val="20"/>
              </w:rPr>
              <w:t>.326</w:t>
            </w:r>
          </w:p>
        </w:tc>
        <w:tc>
          <w:tcPr>
            <w:tcW w:w="689" w:type="dxa"/>
          </w:tcPr>
          <w:p w14:paraId="32E55139" w14:textId="77777777" w:rsidR="001E1987" w:rsidRPr="00473AA9" w:rsidRDefault="001E1987" w:rsidP="00FD4300">
            <w:pPr>
              <w:spacing w:line="480" w:lineRule="auto"/>
              <w:jc w:val="center"/>
              <w:rPr>
                <w:sz w:val="20"/>
              </w:rPr>
            </w:pPr>
            <w:r w:rsidRPr="00473AA9">
              <w:rPr>
                <w:sz w:val="20"/>
              </w:rPr>
              <w:t>.02</w:t>
            </w:r>
          </w:p>
        </w:tc>
      </w:tr>
      <w:tr w:rsidR="00D052BA" w:rsidRPr="00546020" w14:paraId="3F7AFF7C" w14:textId="77777777" w:rsidTr="00D93E66">
        <w:tc>
          <w:tcPr>
            <w:tcW w:w="2408" w:type="dxa"/>
          </w:tcPr>
          <w:p w14:paraId="4DB8DAA3" w14:textId="77777777" w:rsidR="001E1987" w:rsidRPr="00473AA9" w:rsidRDefault="001E1987" w:rsidP="00FD4300">
            <w:pPr>
              <w:spacing w:line="480" w:lineRule="auto"/>
              <w:rPr>
                <w:sz w:val="20"/>
              </w:rPr>
            </w:pPr>
            <w:r w:rsidRPr="00473AA9">
              <w:rPr>
                <w:sz w:val="20"/>
              </w:rPr>
              <w:t>Quality of life</w:t>
            </w:r>
          </w:p>
        </w:tc>
        <w:tc>
          <w:tcPr>
            <w:tcW w:w="1559" w:type="dxa"/>
            <w:tcBorders>
              <w:top w:val="single" w:sz="4" w:space="0" w:color="auto"/>
              <w:bottom w:val="single" w:sz="4" w:space="0" w:color="auto"/>
            </w:tcBorders>
          </w:tcPr>
          <w:p w14:paraId="47A88BC9" w14:textId="77777777" w:rsidR="001E1987" w:rsidRPr="00473AA9" w:rsidRDefault="001E1987" w:rsidP="00FD4300">
            <w:pPr>
              <w:spacing w:line="480" w:lineRule="auto"/>
              <w:jc w:val="center"/>
              <w:rPr>
                <w:sz w:val="20"/>
              </w:rPr>
            </w:pPr>
            <w:r w:rsidRPr="00473AA9">
              <w:rPr>
                <w:sz w:val="20"/>
              </w:rPr>
              <w:t>11.68 (3.58)</w:t>
            </w:r>
          </w:p>
        </w:tc>
        <w:tc>
          <w:tcPr>
            <w:tcW w:w="1421" w:type="dxa"/>
            <w:tcBorders>
              <w:top w:val="single" w:sz="4" w:space="0" w:color="auto"/>
              <w:bottom w:val="single" w:sz="4" w:space="0" w:color="auto"/>
            </w:tcBorders>
          </w:tcPr>
          <w:p w14:paraId="28077F6E" w14:textId="77777777" w:rsidR="001E1987" w:rsidRPr="00473AA9" w:rsidRDefault="001E1987" w:rsidP="00FD4300">
            <w:pPr>
              <w:spacing w:line="480" w:lineRule="auto"/>
              <w:ind w:hanging="111"/>
              <w:jc w:val="center"/>
              <w:rPr>
                <w:sz w:val="20"/>
              </w:rPr>
            </w:pPr>
            <w:r w:rsidRPr="00473AA9">
              <w:rPr>
                <w:sz w:val="20"/>
              </w:rPr>
              <w:t>15.11 (3.30)</w:t>
            </w:r>
          </w:p>
        </w:tc>
        <w:tc>
          <w:tcPr>
            <w:tcW w:w="238" w:type="dxa"/>
            <w:gridSpan w:val="2"/>
            <w:tcBorders>
              <w:top w:val="single" w:sz="4" w:space="0" w:color="auto"/>
              <w:bottom w:val="single" w:sz="4" w:space="0" w:color="auto"/>
            </w:tcBorders>
          </w:tcPr>
          <w:p w14:paraId="42B05788"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021ADB92" w14:textId="77777777" w:rsidR="001E1987" w:rsidRPr="00473AA9" w:rsidRDefault="001E1987" w:rsidP="00FD4300">
            <w:pPr>
              <w:spacing w:line="480" w:lineRule="auto"/>
              <w:jc w:val="center"/>
              <w:rPr>
                <w:sz w:val="20"/>
              </w:rPr>
            </w:pPr>
            <w:r w:rsidRPr="00473AA9">
              <w:rPr>
                <w:sz w:val="20"/>
              </w:rPr>
              <w:t>13.28 (4.17)</w:t>
            </w:r>
          </w:p>
        </w:tc>
        <w:tc>
          <w:tcPr>
            <w:tcW w:w="1275" w:type="dxa"/>
            <w:tcBorders>
              <w:top w:val="single" w:sz="4" w:space="0" w:color="auto"/>
              <w:bottom w:val="single" w:sz="4" w:space="0" w:color="auto"/>
            </w:tcBorders>
          </w:tcPr>
          <w:p w14:paraId="5B661760" w14:textId="77777777" w:rsidR="001E1987" w:rsidRPr="00473AA9" w:rsidRDefault="001E1987" w:rsidP="00FD4300">
            <w:pPr>
              <w:spacing w:line="480" w:lineRule="auto"/>
              <w:jc w:val="center"/>
              <w:rPr>
                <w:sz w:val="20"/>
              </w:rPr>
            </w:pPr>
            <w:r w:rsidRPr="00473AA9">
              <w:rPr>
                <w:sz w:val="20"/>
              </w:rPr>
              <w:t>14.89 (4.78)</w:t>
            </w:r>
          </w:p>
        </w:tc>
        <w:tc>
          <w:tcPr>
            <w:tcW w:w="277" w:type="dxa"/>
            <w:tcBorders>
              <w:top w:val="nil"/>
              <w:bottom w:val="nil"/>
            </w:tcBorders>
          </w:tcPr>
          <w:p w14:paraId="769BA593" w14:textId="77777777" w:rsidR="001E1987" w:rsidRPr="00473AA9" w:rsidRDefault="001E1987" w:rsidP="00FD4300">
            <w:pPr>
              <w:spacing w:line="480" w:lineRule="auto"/>
              <w:jc w:val="center"/>
              <w:rPr>
                <w:sz w:val="20"/>
              </w:rPr>
            </w:pPr>
          </w:p>
        </w:tc>
        <w:tc>
          <w:tcPr>
            <w:tcW w:w="705" w:type="dxa"/>
          </w:tcPr>
          <w:p w14:paraId="4C2BF83B" w14:textId="77777777" w:rsidR="001E1987" w:rsidRPr="00473AA9" w:rsidRDefault="001E1987" w:rsidP="00FD4300">
            <w:pPr>
              <w:spacing w:line="480" w:lineRule="auto"/>
              <w:jc w:val="center"/>
              <w:rPr>
                <w:sz w:val="20"/>
              </w:rPr>
            </w:pPr>
            <w:r w:rsidRPr="00473AA9">
              <w:rPr>
                <w:sz w:val="20"/>
              </w:rPr>
              <w:t>1,53</w:t>
            </w:r>
          </w:p>
        </w:tc>
        <w:tc>
          <w:tcPr>
            <w:tcW w:w="755" w:type="dxa"/>
          </w:tcPr>
          <w:p w14:paraId="4DDEC4C7" w14:textId="77777777" w:rsidR="001E1987" w:rsidRPr="00473AA9" w:rsidRDefault="001E1987" w:rsidP="00FD4300">
            <w:pPr>
              <w:spacing w:line="480" w:lineRule="auto"/>
              <w:jc w:val="center"/>
              <w:rPr>
                <w:sz w:val="20"/>
              </w:rPr>
            </w:pPr>
            <w:r w:rsidRPr="00473AA9">
              <w:rPr>
                <w:sz w:val="20"/>
              </w:rPr>
              <w:t>19.20</w:t>
            </w:r>
          </w:p>
        </w:tc>
        <w:tc>
          <w:tcPr>
            <w:tcW w:w="771" w:type="dxa"/>
          </w:tcPr>
          <w:p w14:paraId="762FDBDC" w14:textId="77777777" w:rsidR="001E1987" w:rsidRPr="00473AA9" w:rsidRDefault="001E1987" w:rsidP="00FD4300">
            <w:pPr>
              <w:spacing w:line="480" w:lineRule="auto"/>
              <w:jc w:val="center"/>
              <w:rPr>
                <w:sz w:val="20"/>
              </w:rPr>
            </w:pPr>
            <w:r w:rsidRPr="00473AA9">
              <w:rPr>
                <w:sz w:val="20"/>
              </w:rPr>
              <w:t>&lt;.001</w:t>
            </w:r>
          </w:p>
        </w:tc>
        <w:tc>
          <w:tcPr>
            <w:tcW w:w="651" w:type="dxa"/>
          </w:tcPr>
          <w:p w14:paraId="25127166" w14:textId="77777777" w:rsidR="001E1987" w:rsidRPr="00473AA9" w:rsidRDefault="001E1987" w:rsidP="00FD4300">
            <w:pPr>
              <w:spacing w:line="480" w:lineRule="auto"/>
              <w:jc w:val="center"/>
              <w:rPr>
                <w:sz w:val="20"/>
              </w:rPr>
            </w:pPr>
            <w:r w:rsidRPr="00473AA9">
              <w:rPr>
                <w:sz w:val="20"/>
              </w:rPr>
              <w:t>.27</w:t>
            </w:r>
          </w:p>
        </w:tc>
        <w:tc>
          <w:tcPr>
            <w:tcW w:w="681" w:type="dxa"/>
          </w:tcPr>
          <w:p w14:paraId="4F950DE0" w14:textId="77777777" w:rsidR="001E1987" w:rsidRPr="00473AA9" w:rsidRDefault="001E1987" w:rsidP="00FD4300">
            <w:pPr>
              <w:spacing w:line="480" w:lineRule="auto"/>
              <w:jc w:val="center"/>
              <w:rPr>
                <w:sz w:val="20"/>
              </w:rPr>
            </w:pPr>
            <w:r w:rsidRPr="00473AA9">
              <w:rPr>
                <w:sz w:val="20"/>
              </w:rPr>
              <w:t>0.45</w:t>
            </w:r>
          </w:p>
        </w:tc>
        <w:tc>
          <w:tcPr>
            <w:tcW w:w="681" w:type="dxa"/>
          </w:tcPr>
          <w:p w14:paraId="24423094" w14:textId="77777777" w:rsidR="001E1987" w:rsidRPr="00473AA9" w:rsidRDefault="001E1987" w:rsidP="00FD4300">
            <w:pPr>
              <w:spacing w:line="480" w:lineRule="auto"/>
              <w:jc w:val="center"/>
              <w:rPr>
                <w:sz w:val="20"/>
              </w:rPr>
            </w:pPr>
            <w:r w:rsidRPr="00473AA9">
              <w:rPr>
                <w:sz w:val="20"/>
              </w:rPr>
              <w:t>.507</w:t>
            </w:r>
          </w:p>
        </w:tc>
        <w:tc>
          <w:tcPr>
            <w:tcW w:w="689" w:type="dxa"/>
          </w:tcPr>
          <w:p w14:paraId="1A4E6E51" w14:textId="77777777" w:rsidR="001E1987" w:rsidRPr="00473AA9" w:rsidRDefault="001E1987" w:rsidP="00FD4300">
            <w:pPr>
              <w:spacing w:line="480" w:lineRule="auto"/>
              <w:jc w:val="center"/>
              <w:rPr>
                <w:sz w:val="20"/>
              </w:rPr>
            </w:pPr>
            <w:r w:rsidRPr="00473AA9">
              <w:rPr>
                <w:sz w:val="20"/>
              </w:rPr>
              <w:t>&lt;.01</w:t>
            </w:r>
          </w:p>
        </w:tc>
        <w:tc>
          <w:tcPr>
            <w:tcW w:w="681" w:type="dxa"/>
          </w:tcPr>
          <w:p w14:paraId="4DEAD704" w14:textId="77777777" w:rsidR="001E1987" w:rsidRPr="00473AA9" w:rsidRDefault="001E1987" w:rsidP="00FD4300">
            <w:pPr>
              <w:spacing w:line="480" w:lineRule="auto"/>
              <w:jc w:val="center"/>
              <w:rPr>
                <w:sz w:val="20"/>
              </w:rPr>
            </w:pPr>
            <w:r w:rsidRPr="00473AA9">
              <w:rPr>
                <w:sz w:val="20"/>
              </w:rPr>
              <w:t>2.48</w:t>
            </w:r>
          </w:p>
        </w:tc>
        <w:tc>
          <w:tcPr>
            <w:tcW w:w="681" w:type="dxa"/>
          </w:tcPr>
          <w:p w14:paraId="45479A21" w14:textId="77777777" w:rsidR="001E1987" w:rsidRPr="00473AA9" w:rsidRDefault="001E1987" w:rsidP="00FD4300">
            <w:pPr>
              <w:spacing w:line="480" w:lineRule="auto"/>
              <w:jc w:val="center"/>
              <w:rPr>
                <w:sz w:val="20"/>
              </w:rPr>
            </w:pPr>
            <w:r w:rsidRPr="00473AA9">
              <w:rPr>
                <w:sz w:val="20"/>
              </w:rPr>
              <w:t>.121</w:t>
            </w:r>
          </w:p>
        </w:tc>
        <w:tc>
          <w:tcPr>
            <w:tcW w:w="689" w:type="dxa"/>
          </w:tcPr>
          <w:p w14:paraId="66F0D07B" w14:textId="77777777" w:rsidR="001E1987" w:rsidRPr="00473AA9" w:rsidRDefault="001E1987" w:rsidP="00FD4300">
            <w:pPr>
              <w:spacing w:line="480" w:lineRule="auto"/>
              <w:jc w:val="center"/>
              <w:rPr>
                <w:sz w:val="20"/>
              </w:rPr>
            </w:pPr>
            <w:r w:rsidRPr="00473AA9">
              <w:rPr>
                <w:sz w:val="20"/>
              </w:rPr>
              <w:t>.05</w:t>
            </w:r>
          </w:p>
        </w:tc>
      </w:tr>
      <w:tr w:rsidR="00D052BA" w:rsidRPr="00546020" w14:paraId="4B8EED72" w14:textId="77777777" w:rsidTr="00D93E66">
        <w:tc>
          <w:tcPr>
            <w:tcW w:w="2408" w:type="dxa"/>
          </w:tcPr>
          <w:p w14:paraId="6CA81B1A" w14:textId="5D1B1716" w:rsidR="001E1987" w:rsidRPr="00473AA9" w:rsidRDefault="00F56CFB" w:rsidP="00FD4300">
            <w:pPr>
              <w:spacing w:line="480" w:lineRule="auto"/>
              <w:rPr>
                <w:sz w:val="20"/>
              </w:rPr>
            </w:pPr>
            <w:r w:rsidRPr="00473AA9">
              <w:rPr>
                <w:sz w:val="20"/>
              </w:rPr>
              <w:t>D</w:t>
            </w:r>
            <w:r w:rsidR="001E1987" w:rsidRPr="00473AA9">
              <w:rPr>
                <w:sz w:val="20"/>
              </w:rPr>
              <w:t>ays in work</w:t>
            </w:r>
          </w:p>
        </w:tc>
        <w:tc>
          <w:tcPr>
            <w:tcW w:w="1559" w:type="dxa"/>
            <w:tcBorders>
              <w:top w:val="single" w:sz="4" w:space="0" w:color="auto"/>
              <w:bottom w:val="single" w:sz="4" w:space="0" w:color="auto"/>
            </w:tcBorders>
          </w:tcPr>
          <w:p w14:paraId="0824933C" w14:textId="6CA2785C" w:rsidR="001E1987" w:rsidRPr="00473AA9" w:rsidRDefault="001E1987" w:rsidP="00FD4300">
            <w:pPr>
              <w:spacing w:line="480" w:lineRule="auto"/>
              <w:jc w:val="center"/>
              <w:rPr>
                <w:sz w:val="20"/>
              </w:rPr>
            </w:pPr>
            <w:r w:rsidRPr="00473AA9">
              <w:rPr>
                <w:sz w:val="20"/>
              </w:rPr>
              <w:t>15.</w:t>
            </w:r>
            <w:r w:rsidR="00D052BA" w:rsidRPr="00473AA9">
              <w:rPr>
                <w:sz w:val="20"/>
              </w:rPr>
              <w:t>96</w:t>
            </w:r>
            <w:r w:rsidRPr="00473AA9">
              <w:rPr>
                <w:sz w:val="20"/>
              </w:rPr>
              <w:t xml:space="preserve"> (8.</w:t>
            </w:r>
            <w:r w:rsidR="00D052BA" w:rsidRPr="00473AA9">
              <w:rPr>
                <w:sz w:val="20"/>
              </w:rPr>
              <w:t>00</w:t>
            </w:r>
            <w:r w:rsidRPr="00473AA9">
              <w:rPr>
                <w:sz w:val="20"/>
              </w:rPr>
              <w:t>)</w:t>
            </w:r>
          </w:p>
        </w:tc>
        <w:tc>
          <w:tcPr>
            <w:tcW w:w="1421" w:type="dxa"/>
            <w:tcBorders>
              <w:top w:val="single" w:sz="4" w:space="0" w:color="auto"/>
              <w:bottom w:val="single" w:sz="4" w:space="0" w:color="auto"/>
            </w:tcBorders>
          </w:tcPr>
          <w:p w14:paraId="7E310FBA" w14:textId="315D05A3" w:rsidR="001E1987" w:rsidRPr="00473AA9" w:rsidRDefault="001E1987" w:rsidP="00FD4300">
            <w:pPr>
              <w:spacing w:line="480" w:lineRule="auto"/>
              <w:jc w:val="center"/>
              <w:rPr>
                <w:sz w:val="20"/>
              </w:rPr>
            </w:pPr>
            <w:r w:rsidRPr="00473AA9">
              <w:rPr>
                <w:sz w:val="20"/>
              </w:rPr>
              <w:t>15.</w:t>
            </w:r>
            <w:r w:rsidR="00D052BA" w:rsidRPr="00473AA9">
              <w:rPr>
                <w:sz w:val="20"/>
              </w:rPr>
              <w:t xml:space="preserve">77 </w:t>
            </w:r>
            <w:r w:rsidRPr="00473AA9">
              <w:rPr>
                <w:sz w:val="20"/>
              </w:rPr>
              <w:t>(</w:t>
            </w:r>
            <w:r w:rsidR="00D052BA" w:rsidRPr="00473AA9">
              <w:rPr>
                <w:sz w:val="20"/>
              </w:rPr>
              <w:t>8.08</w:t>
            </w:r>
            <w:r w:rsidRPr="00473AA9">
              <w:rPr>
                <w:sz w:val="20"/>
              </w:rPr>
              <w:t>)</w:t>
            </w:r>
          </w:p>
        </w:tc>
        <w:tc>
          <w:tcPr>
            <w:tcW w:w="238" w:type="dxa"/>
            <w:gridSpan w:val="2"/>
            <w:tcBorders>
              <w:top w:val="single" w:sz="4" w:space="0" w:color="auto"/>
              <w:bottom w:val="single" w:sz="4" w:space="0" w:color="auto"/>
            </w:tcBorders>
          </w:tcPr>
          <w:p w14:paraId="3B3555D8"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082B224E" w14:textId="77777777" w:rsidR="001E1987" w:rsidRPr="00473AA9" w:rsidRDefault="001E1987" w:rsidP="00FD4300">
            <w:pPr>
              <w:spacing w:line="480" w:lineRule="auto"/>
              <w:jc w:val="center"/>
              <w:rPr>
                <w:sz w:val="20"/>
              </w:rPr>
            </w:pPr>
            <w:r w:rsidRPr="00473AA9">
              <w:rPr>
                <w:sz w:val="20"/>
              </w:rPr>
              <w:t>9.64 (10.04)</w:t>
            </w:r>
          </w:p>
        </w:tc>
        <w:tc>
          <w:tcPr>
            <w:tcW w:w="1275" w:type="dxa"/>
            <w:tcBorders>
              <w:top w:val="single" w:sz="4" w:space="0" w:color="auto"/>
              <w:bottom w:val="single" w:sz="4" w:space="0" w:color="auto"/>
            </w:tcBorders>
          </w:tcPr>
          <w:p w14:paraId="79CFADD9" w14:textId="77777777" w:rsidR="001E1987" w:rsidRPr="00473AA9" w:rsidRDefault="001E1987" w:rsidP="00FD4300">
            <w:pPr>
              <w:spacing w:line="480" w:lineRule="auto"/>
              <w:jc w:val="center"/>
              <w:rPr>
                <w:sz w:val="20"/>
              </w:rPr>
            </w:pPr>
            <w:r w:rsidRPr="00473AA9">
              <w:rPr>
                <w:sz w:val="20"/>
              </w:rPr>
              <w:t>10.67 (9.69)</w:t>
            </w:r>
          </w:p>
        </w:tc>
        <w:tc>
          <w:tcPr>
            <w:tcW w:w="277" w:type="dxa"/>
            <w:tcBorders>
              <w:top w:val="nil"/>
              <w:bottom w:val="nil"/>
            </w:tcBorders>
          </w:tcPr>
          <w:p w14:paraId="2F4D61C8" w14:textId="77777777" w:rsidR="001E1987" w:rsidRPr="00473AA9" w:rsidRDefault="001E1987" w:rsidP="00FD4300">
            <w:pPr>
              <w:spacing w:line="480" w:lineRule="auto"/>
              <w:jc w:val="center"/>
              <w:rPr>
                <w:sz w:val="20"/>
              </w:rPr>
            </w:pPr>
          </w:p>
        </w:tc>
        <w:tc>
          <w:tcPr>
            <w:tcW w:w="705" w:type="dxa"/>
          </w:tcPr>
          <w:p w14:paraId="46AD0A8D" w14:textId="2467D69A" w:rsidR="001E1987" w:rsidRPr="00473AA9" w:rsidRDefault="001E1987" w:rsidP="00FD4300">
            <w:pPr>
              <w:spacing w:line="480" w:lineRule="auto"/>
              <w:jc w:val="center"/>
              <w:rPr>
                <w:sz w:val="20"/>
              </w:rPr>
            </w:pPr>
            <w:r w:rsidRPr="00473AA9">
              <w:rPr>
                <w:sz w:val="20"/>
              </w:rPr>
              <w:t>1,6</w:t>
            </w:r>
            <w:r w:rsidR="00D052BA" w:rsidRPr="00473AA9">
              <w:rPr>
                <w:sz w:val="20"/>
              </w:rPr>
              <w:t>0</w:t>
            </w:r>
          </w:p>
        </w:tc>
        <w:tc>
          <w:tcPr>
            <w:tcW w:w="755" w:type="dxa"/>
          </w:tcPr>
          <w:p w14:paraId="777A9557" w14:textId="298A4683" w:rsidR="001E1987" w:rsidRPr="00473AA9" w:rsidRDefault="00D052BA" w:rsidP="00FD4300">
            <w:pPr>
              <w:spacing w:line="480" w:lineRule="auto"/>
              <w:jc w:val="center"/>
              <w:rPr>
                <w:sz w:val="20"/>
              </w:rPr>
            </w:pPr>
            <w:r w:rsidRPr="00473AA9">
              <w:rPr>
                <w:sz w:val="20"/>
              </w:rPr>
              <w:t>0.34</w:t>
            </w:r>
          </w:p>
        </w:tc>
        <w:tc>
          <w:tcPr>
            <w:tcW w:w="771" w:type="dxa"/>
          </w:tcPr>
          <w:p w14:paraId="34C02DCE" w14:textId="38BFC70A" w:rsidR="001E1987" w:rsidRPr="00473AA9" w:rsidRDefault="001E1987" w:rsidP="00FD4300">
            <w:pPr>
              <w:spacing w:line="480" w:lineRule="auto"/>
              <w:jc w:val="center"/>
              <w:rPr>
                <w:sz w:val="20"/>
              </w:rPr>
            </w:pPr>
            <w:r w:rsidRPr="00473AA9">
              <w:rPr>
                <w:sz w:val="20"/>
              </w:rPr>
              <w:t>.</w:t>
            </w:r>
            <w:r w:rsidR="00D052BA" w:rsidRPr="00473AA9">
              <w:rPr>
                <w:sz w:val="20"/>
              </w:rPr>
              <w:t>563</w:t>
            </w:r>
          </w:p>
        </w:tc>
        <w:tc>
          <w:tcPr>
            <w:tcW w:w="651" w:type="dxa"/>
          </w:tcPr>
          <w:p w14:paraId="4BAA13C6" w14:textId="30438DFF" w:rsidR="001E1987" w:rsidRPr="00473AA9" w:rsidRDefault="00D052BA" w:rsidP="00FD4300">
            <w:pPr>
              <w:spacing w:line="480" w:lineRule="auto"/>
              <w:jc w:val="center"/>
              <w:rPr>
                <w:sz w:val="20"/>
              </w:rPr>
            </w:pPr>
            <w:r w:rsidRPr="00473AA9">
              <w:rPr>
                <w:sz w:val="20"/>
              </w:rPr>
              <w:t>&lt;.01</w:t>
            </w:r>
          </w:p>
        </w:tc>
        <w:tc>
          <w:tcPr>
            <w:tcW w:w="681" w:type="dxa"/>
          </w:tcPr>
          <w:p w14:paraId="56C567E6" w14:textId="2AAB2E6E" w:rsidR="001E1987" w:rsidRPr="00473AA9" w:rsidRDefault="001E1987" w:rsidP="00FD4300">
            <w:pPr>
              <w:spacing w:line="480" w:lineRule="auto"/>
              <w:jc w:val="center"/>
              <w:rPr>
                <w:sz w:val="20"/>
              </w:rPr>
            </w:pPr>
            <w:r w:rsidRPr="00473AA9">
              <w:rPr>
                <w:sz w:val="20"/>
              </w:rPr>
              <w:t>6.</w:t>
            </w:r>
            <w:r w:rsidR="00D052BA" w:rsidRPr="00473AA9">
              <w:rPr>
                <w:sz w:val="20"/>
              </w:rPr>
              <w:t>48</w:t>
            </w:r>
          </w:p>
        </w:tc>
        <w:tc>
          <w:tcPr>
            <w:tcW w:w="681" w:type="dxa"/>
          </w:tcPr>
          <w:p w14:paraId="6E2FBBA4" w14:textId="7E4AFD21" w:rsidR="001E1987" w:rsidRPr="00473AA9" w:rsidRDefault="001E1987" w:rsidP="00FD4300">
            <w:pPr>
              <w:spacing w:line="480" w:lineRule="auto"/>
              <w:jc w:val="center"/>
              <w:rPr>
                <w:sz w:val="20"/>
              </w:rPr>
            </w:pPr>
            <w:r w:rsidRPr="00473AA9">
              <w:rPr>
                <w:sz w:val="20"/>
              </w:rPr>
              <w:t>.</w:t>
            </w:r>
            <w:r w:rsidR="00D052BA" w:rsidRPr="00473AA9">
              <w:rPr>
                <w:sz w:val="20"/>
              </w:rPr>
              <w:t>013</w:t>
            </w:r>
          </w:p>
        </w:tc>
        <w:tc>
          <w:tcPr>
            <w:tcW w:w="689" w:type="dxa"/>
          </w:tcPr>
          <w:p w14:paraId="383E81A8" w14:textId="1DDDE1C9" w:rsidR="001E1987" w:rsidRPr="00473AA9" w:rsidRDefault="001E1987" w:rsidP="00FD4300">
            <w:pPr>
              <w:spacing w:line="480" w:lineRule="auto"/>
              <w:jc w:val="center"/>
              <w:rPr>
                <w:sz w:val="20"/>
              </w:rPr>
            </w:pPr>
            <w:r w:rsidRPr="00473AA9">
              <w:rPr>
                <w:sz w:val="20"/>
              </w:rPr>
              <w:t>.</w:t>
            </w:r>
            <w:r w:rsidR="00D052BA" w:rsidRPr="00473AA9">
              <w:rPr>
                <w:sz w:val="20"/>
              </w:rPr>
              <w:t>10</w:t>
            </w:r>
          </w:p>
        </w:tc>
        <w:tc>
          <w:tcPr>
            <w:tcW w:w="681" w:type="dxa"/>
          </w:tcPr>
          <w:p w14:paraId="5100E644" w14:textId="642BAD2A" w:rsidR="001E1987" w:rsidRPr="00473AA9" w:rsidRDefault="001E1987" w:rsidP="00FD4300">
            <w:pPr>
              <w:spacing w:line="480" w:lineRule="auto"/>
              <w:jc w:val="center"/>
              <w:rPr>
                <w:sz w:val="20"/>
              </w:rPr>
            </w:pPr>
            <w:r w:rsidRPr="00473AA9">
              <w:rPr>
                <w:sz w:val="20"/>
              </w:rPr>
              <w:t>0.</w:t>
            </w:r>
            <w:r w:rsidR="00D052BA" w:rsidRPr="00473AA9">
              <w:rPr>
                <w:sz w:val="20"/>
              </w:rPr>
              <w:t>72</w:t>
            </w:r>
          </w:p>
        </w:tc>
        <w:tc>
          <w:tcPr>
            <w:tcW w:w="681" w:type="dxa"/>
          </w:tcPr>
          <w:p w14:paraId="2A8EAF8C" w14:textId="7A9F1998" w:rsidR="001E1987" w:rsidRPr="00473AA9" w:rsidRDefault="001E1987" w:rsidP="00FD4300">
            <w:pPr>
              <w:spacing w:line="480" w:lineRule="auto"/>
              <w:jc w:val="center"/>
              <w:rPr>
                <w:sz w:val="20"/>
              </w:rPr>
            </w:pPr>
            <w:r w:rsidRPr="00473AA9">
              <w:rPr>
                <w:sz w:val="20"/>
              </w:rPr>
              <w:t>.</w:t>
            </w:r>
            <w:r w:rsidR="00D052BA" w:rsidRPr="00473AA9">
              <w:rPr>
                <w:sz w:val="20"/>
              </w:rPr>
              <w:t>399</w:t>
            </w:r>
          </w:p>
        </w:tc>
        <w:tc>
          <w:tcPr>
            <w:tcW w:w="689" w:type="dxa"/>
          </w:tcPr>
          <w:p w14:paraId="3EF15677" w14:textId="77777777" w:rsidR="001E1987" w:rsidRPr="00473AA9" w:rsidRDefault="001E1987" w:rsidP="00FD4300">
            <w:pPr>
              <w:spacing w:line="480" w:lineRule="auto"/>
              <w:jc w:val="center"/>
              <w:rPr>
                <w:sz w:val="20"/>
              </w:rPr>
            </w:pPr>
            <w:r w:rsidRPr="00473AA9">
              <w:rPr>
                <w:sz w:val="20"/>
              </w:rPr>
              <w:t>&lt;.01</w:t>
            </w:r>
          </w:p>
        </w:tc>
      </w:tr>
      <w:tr w:rsidR="00D052BA" w:rsidRPr="00546020" w14:paraId="018F34D6" w14:textId="77777777" w:rsidTr="00D93E66">
        <w:tc>
          <w:tcPr>
            <w:tcW w:w="2408" w:type="dxa"/>
          </w:tcPr>
          <w:p w14:paraId="4537FC90" w14:textId="1B69051B" w:rsidR="001E1987" w:rsidRPr="00473AA9" w:rsidRDefault="00F56CFB" w:rsidP="00FD4300">
            <w:pPr>
              <w:spacing w:line="480" w:lineRule="auto"/>
              <w:rPr>
                <w:sz w:val="20"/>
              </w:rPr>
            </w:pPr>
            <w:r w:rsidRPr="00473AA9">
              <w:rPr>
                <w:sz w:val="20"/>
              </w:rPr>
              <w:t>D</w:t>
            </w:r>
            <w:r w:rsidR="001E1987" w:rsidRPr="00473AA9">
              <w:rPr>
                <w:sz w:val="20"/>
              </w:rPr>
              <w:t>ays</w:t>
            </w:r>
            <w:r w:rsidRPr="00473AA9">
              <w:rPr>
                <w:sz w:val="20"/>
              </w:rPr>
              <w:t xml:space="preserve"> drinking</w:t>
            </w:r>
          </w:p>
        </w:tc>
        <w:tc>
          <w:tcPr>
            <w:tcW w:w="1559" w:type="dxa"/>
            <w:tcBorders>
              <w:top w:val="single" w:sz="4" w:space="0" w:color="auto"/>
              <w:bottom w:val="single" w:sz="4" w:space="0" w:color="auto"/>
            </w:tcBorders>
          </w:tcPr>
          <w:p w14:paraId="0FE10B77" w14:textId="77777777" w:rsidR="001E1987" w:rsidRPr="00473AA9" w:rsidRDefault="001E1987" w:rsidP="00FD4300">
            <w:pPr>
              <w:spacing w:line="480" w:lineRule="auto"/>
              <w:jc w:val="center"/>
              <w:rPr>
                <w:sz w:val="20"/>
              </w:rPr>
            </w:pPr>
            <w:r w:rsidRPr="00473AA9">
              <w:rPr>
                <w:sz w:val="20"/>
              </w:rPr>
              <w:t>19.10(7.73)</w:t>
            </w:r>
          </w:p>
        </w:tc>
        <w:tc>
          <w:tcPr>
            <w:tcW w:w="1421" w:type="dxa"/>
            <w:tcBorders>
              <w:top w:val="single" w:sz="4" w:space="0" w:color="auto"/>
              <w:bottom w:val="single" w:sz="4" w:space="0" w:color="auto"/>
            </w:tcBorders>
          </w:tcPr>
          <w:p w14:paraId="47817DF7" w14:textId="77777777" w:rsidR="001E1987" w:rsidRPr="00473AA9" w:rsidRDefault="001E1987" w:rsidP="00FD4300">
            <w:pPr>
              <w:spacing w:line="480" w:lineRule="auto"/>
              <w:jc w:val="center"/>
              <w:rPr>
                <w:sz w:val="20"/>
              </w:rPr>
            </w:pPr>
            <w:r w:rsidRPr="00473AA9">
              <w:rPr>
                <w:sz w:val="20"/>
              </w:rPr>
              <w:t>9.95 (7.42)</w:t>
            </w:r>
          </w:p>
        </w:tc>
        <w:tc>
          <w:tcPr>
            <w:tcW w:w="238" w:type="dxa"/>
            <w:gridSpan w:val="2"/>
            <w:tcBorders>
              <w:top w:val="single" w:sz="4" w:space="0" w:color="auto"/>
              <w:bottom w:val="single" w:sz="4" w:space="0" w:color="auto"/>
            </w:tcBorders>
          </w:tcPr>
          <w:p w14:paraId="4DCA4D3D" w14:textId="77777777" w:rsidR="001E1987" w:rsidRPr="00473AA9" w:rsidRDefault="001E1987" w:rsidP="00FD4300">
            <w:pPr>
              <w:spacing w:line="480" w:lineRule="auto"/>
              <w:jc w:val="center"/>
              <w:rPr>
                <w:sz w:val="20"/>
              </w:rPr>
            </w:pPr>
          </w:p>
        </w:tc>
        <w:tc>
          <w:tcPr>
            <w:tcW w:w="1331" w:type="dxa"/>
            <w:gridSpan w:val="2"/>
            <w:tcBorders>
              <w:top w:val="single" w:sz="4" w:space="0" w:color="auto"/>
              <w:bottom w:val="single" w:sz="4" w:space="0" w:color="auto"/>
            </w:tcBorders>
          </w:tcPr>
          <w:p w14:paraId="6501F533" w14:textId="77777777" w:rsidR="001E1987" w:rsidRPr="00473AA9" w:rsidRDefault="001E1987" w:rsidP="00FD4300">
            <w:pPr>
              <w:spacing w:line="480" w:lineRule="auto"/>
              <w:jc w:val="center"/>
              <w:rPr>
                <w:sz w:val="20"/>
              </w:rPr>
            </w:pPr>
            <w:r w:rsidRPr="00473AA9">
              <w:rPr>
                <w:sz w:val="20"/>
              </w:rPr>
              <w:t>20.58 (8.45)</w:t>
            </w:r>
          </w:p>
        </w:tc>
        <w:tc>
          <w:tcPr>
            <w:tcW w:w="1275" w:type="dxa"/>
            <w:tcBorders>
              <w:top w:val="single" w:sz="4" w:space="0" w:color="auto"/>
              <w:bottom w:val="single" w:sz="4" w:space="0" w:color="auto"/>
            </w:tcBorders>
          </w:tcPr>
          <w:p w14:paraId="17288FC7" w14:textId="77777777" w:rsidR="001E1987" w:rsidRPr="00473AA9" w:rsidRDefault="001E1987" w:rsidP="00FD4300">
            <w:pPr>
              <w:spacing w:line="480" w:lineRule="auto"/>
              <w:jc w:val="center"/>
              <w:rPr>
                <w:sz w:val="20"/>
              </w:rPr>
            </w:pPr>
            <w:r w:rsidRPr="00473AA9">
              <w:rPr>
                <w:sz w:val="20"/>
              </w:rPr>
              <w:t>14.33 (8.85)</w:t>
            </w:r>
          </w:p>
        </w:tc>
        <w:tc>
          <w:tcPr>
            <w:tcW w:w="277" w:type="dxa"/>
            <w:tcBorders>
              <w:top w:val="nil"/>
            </w:tcBorders>
          </w:tcPr>
          <w:p w14:paraId="0A208E80" w14:textId="77777777" w:rsidR="001E1987" w:rsidRPr="00473AA9" w:rsidRDefault="001E1987" w:rsidP="00FD4300">
            <w:pPr>
              <w:spacing w:line="480" w:lineRule="auto"/>
              <w:jc w:val="center"/>
              <w:rPr>
                <w:sz w:val="20"/>
              </w:rPr>
            </w:pPr>
          </w:p>
        </w:tc>
        <w:tc>
          <w:tcPr>
            <w:tcW w:w="705" w:type="dxa"/>
          </w:tcPr>
          <w:p w14:paraId="1E0789BC" w14:textId="3EA095E8" w:rsidR="001E1987" w:rsidRPr="00473AA9" w:rsidRDefault="001E1987" w:rsidP="00FD4300">
            <w:pPr>
              <w:spacing w:line="480" w:lineRule="auto"/>
              <w:jc w:val="center"/>
              <w:rPr>
                <w:sz w:val="20"/>
              </w:rPr>
            </w:pPr>
            <w:r w:rsidRPr="00473AA9">
              <w:rPr>
                <w:sz w:val="20"/>
              </w:rPr>
              <w:t>1,54</w:t>
            </w:r>
          </w:p>
        </w:tc>
        <w:tc>
          <w:tcPr>
            <w:tcW w:w="755" w:type="dxa"/>
          </w:tcPr>
          <w:p w14:paraId="223BC4D8" w14:textId="77777777" w:rsidR="001E1987" w:rsidRPr="00473AA9" w:rsidRDefault="001E1987" w:rsidP="00FD4300">
            <w:pPr>
              <w:spacing w:line="480" w:lineRule="auto"/>
              <w:jc w:val="center"/>
              <w:rPr>
                <w:sz w:val="20"/>
              </w:rPr>
            </w:pPr>
            <w:r w:rsidRPr="00473AA9">
              <w:rPr>
                <w:sz w:val="20"/>
              </w:rPr>
              <w:t>39.82</w:t>
            </w:r>
          </w:p>
        </w:tc>
        <w:tc>
          <w:tcPr>
            <w:tcW w:w="771" w:type="dxa"/>
          </w:tcPr>
          <w:p w14:paraId="69FB5A3F" w14:textId="77777777" w:rsidR="001E1987" w:rsidRPr="00473AA9" w:rsidRDefault="001E1987" w:rsidP="00FD4300">
            <w:pPr>
              <w:spacing w:line="480" w:lineRule="auto"/>
              <w:jc w:val="center"/>
              <w:rPr>
                <w:sz w:val="20"/>
              </w:rPr>
            </w:pPr>
            <w:r w:rsidRPr="00473AA9">
              <w:rPr>
                <w:sz w:val="20"/>
              </w:rPr>
              <w:t>&lt;.001</w:t>
            </w:r>
          </w:p>
        </w:tc>
        <w:tc>
          <w:tcPr>
            <w:tcW w:w="651" w:type="dxa"/>
          </w:tcPr>
          <w:p w14:paraId="6AC22389" w14:textId="77777777" w:rsidR="001E1987" w:rsidRPr="00473AA9" w:rsidRDefault="001E1987" w:rsidP="00FD4300">
            <w:pPr>
              <w:spacing w:line="480" w:lineRule="auto"/>
              <w:jc w:val="center"/>
              <w:rPr>
                <w:sz w:val="20"/>
              </w:rPr>
            </w:pPr>
            <w:r w:rsidRPr="00473AA9">
              <w:rPr>
                <w:sz w:val="20"/>
              </w:rPr>
              <w:t>.42</w:t>
            </w:r>
          </w:p>
        </w:tc>
        <w:tc>
          <w:tcPr>
            <w:tcW w:w="681" w:type="dxa"/>
          </w:tcPr>
          <w:p w14:paraId="34DA3A41" w14:textId="77777777" w:rsidR="001E1987" w:rsidRPr="00473AA9" w:rsidRDefault="001E1987" w:rsidP="00FD4300">
            <w:pPr>
              <w:spacing w:line="480" w:lineRule="auto"/>
              <w:jc w:val="center"/>
              <w:rPr>
                <w:sz w:val="20"/>
              </w:rPr>
            </w:pPr>
            <w:r w:rsidRPr="00473AA9">
              <w:rPr>
                <w:sz w:val="20"/>
              </w:rPr>
              <w:t>2.23</w:t>
            </w:r>
          </w:p>
        </w:tc>
        <w:tc>
          <w:tcPr>
            <w:tcW w:w="681" w:type="dxa"/>
          </w:tcPr>
          <w:p w14:paraId="32F99047" w14:textId="77777777" w:rsidR="001E1987" w:rsidRPr="00473AA9" w:rsidRDefault="001E1987" w:rsidP="00FD4300">
            <w:pPr>
              <w:spacing w:line="480" w:lineRule="auto"/>
              <w:jc w:val="center"/>
              <w:rPr>
                <w:sz w:val="20"/>
              </w:rPr>
            </w:pPr>
            <w:r w:rsidRPr="00473AA9">
              <w:rPr>
                <w:sz w:val="20"/>
              </w:rPr>
              <w:t>.141</w:t>
            </w:r>
          </w:p>
        </w:tc>
        <w:tc>
          <w:tcPr>
            <w:tcW w:w="689" w:type="dxa"/>
          </w:tcPr>
          <w:p w14:paraId="2B20C444" w14:textId="77777777" w:rsidR="001E1987" w:rsidRPr="00473AA9" w:rsidRDefault="001E1987" w:rsidP="00FD4300">
            <w:pPr>
              <w:spacing w:line="480" w:lineRule="auto"/>
              <w:jc w:val="center"/>
              <w:rPr>
                <w:sz w:val="20"/>
              </w:rPr>
            </w:pPr>
            <w:r w:rsidRPr="00473AA9">
              <w:rPr>
                <w:sz w:val="20"/>
              </w:rPr>
              <w:t>.04</w:t>
            </w:r>
          </w:p>
        </w:tc>
        <w:tc>
          <w:tcPr>
            <w:tcW w:w="681" w:type="dxa"/>
          </w:tcPr>
          <w:p w14:paraId="231641B1" w14:textId="77777777" w:rsidR="001E1987" w:rsidRPr="00473AA9" w:rsidRDefault="001E1987" w:rsidP="00FD4300">
            <w:pPr>
              <w:spacing w:line="480" w:lineRule="auto"/>
              <w:jc w:val="center"/>
              <w:rPr>
                <w:sz w:val="20"/>
              </w:rPr>
            </w:pPr>
            <w:r w:rsidRPr="00473AA9">
              <w:rPr>
                <w:sz w:val="20"/>
              </w:rPr>
              <w:t>1.41</w:t>
            </w:r>
          </w:p>
        </w:tc>
        <w:tc>
          <w:tcPr>
            <w:tcW w:w="681" w:type="dxa"/>
          </w:tcPr>
          <w:p w14:paraId="27E2E6BD" w14:textId="77777777" w:rsidR="001E1987" w:rsidRPr="00473AA9" w:rsidRDefault="001E1987" w:rsidP="00FD4300">
            <w:pPr>
              <w:spacing w:line="480" w:lineRule="auto"/>
              <w:jc w:val="center"/>
              <w:rPr>
                <w:sz w:val="20"/>
              </w:rPr>
            </w:pPr>
            <w:r w:rsidRPr="00473AA9">
              <w:rPr>
                <w:sz w:val="20"/>
              </w:rPr>
              <w:t>.240</w:t>
            </w:r>
          </w:p>
        </w:tc>
        <w:tc>
          <w:tcPr>
            <w:tcW w:w="689" w:type="dxa"/>
          </w:tcPr>
          <w:p w14:paraId="46BAA66B" w14:textId="77777777" w:rsidR="001E1987" w:rsidRPr="00473AA9" w:rsidRDefault="001E1987" w:rsidP="00FD4300">
            <w:pPr>
              <w:spacing w:line="480" w:lineRule="auto"/>
              <w:jc w:val="center"/>
              <w:rPr>
                <w:sz w:val="20"/>
              </w:rPr>
            </w:pPr>
            <w:r w:rsidRPr="00473AA9">
              <w:rPr>
                <w:sz w:val="20"/>
              </w:rPr>
              <w:t>.03</w:t>
            </w:r>
          </w:p>
        </w:tc>
      </w:tr>
    </w:tbl>
    <w:p w14:paraId="6DEAA0AC" w14:textId="51BE96CA" w:rsidR="00AC363A" w:rsidRPr="00546020" w:rsidRDefault="006E38E2" w:rsidP="00E961CC">
      <w:pPr>
        <w:spacing w:line="480" w:lineRule="auto"/>
      </w:pPr>
      <w:r w:rsidRPr="00546020">
        <w:t xml:space="preserve">Note: </w:t>
      </w:r>
      <w:r w:rsidR="00CF4B16" w:rsidRPr="00546020">
        <w:t>Within test s</w:t>
      </w:r>
      <w:r w:rsidRPr="00546020">
        <w:t>ample sizes (reflected in degrees of freedom) vary as a function of completeness of data (see Participants and Footnote 1 for more information).</w:t>
      </w:r>
      <w:r w:rsidR="00AC363A" w:rsidRPr="00546020">
        <w:br w:type="page"/>
      </w:r>
    </w:p>
    <w:p w14:paraId="5D22E9C2" w14:textId="77777777" w:rsidR="001E1987" w:rsidRPr="00546020" w:rsidRDefault="001E1987" w:rsidP="00E961CC">
      <w:pPr>
        <w:spacing w:line="480" w:lineRule="auto"/>
      </w:pPr>
    </w:p>
    <w:p w14:paraId="1F6EA5D9" w14:textId="77777777" w:rsidR="00AC363A" w:rsidRPr="00546020" w:rsidRDefault="00AC363A" w:rsidP="00E961CC">
      <w:pPr>
        <w:spacing w:line="480" w:lineRule="auto"/>
      </w:pPr>
      <w:r w:rsidRPr="00546020">
        <w:t xml:space="preserve">Table 3: ANCOVA tests </w:t>
      </w:r>
      <w:r w:rsidR="00B62D8B" w:rsidRPr="00546020">
        <w:t>of effects of Intervention, across Time, controlling for age and AUDIT at baseline.</w:t>
      </w:r>
    </w:p>
    <w:tbl>
      <w:tblPr>
        <w:tblStyle w:val="TableGrid"/>
        <w:tblW w:w="139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731"/>
        <w:gridCol w:w="30"/>
        <w:gridCol w:w="756"/>
        <w:gridCol w:w="744"/>
        <w:gridCol w:w="744"/>
        <w:gridCol w:w="744"/>
        <w:gridCol w:w="700"/>
        <w:gridCol w:w="636"/>
        <w:gridCol w:w="277"/>
        <w:gridCol w:w="744"/>
        <w:gridCol w:w="758"/>
        <w:gridCol w:w="652"/>
        <w:gridCol w:w="678"/>
        <w:gridCol w:w="678"/>
        <w:gridCol w:w="686"/>
        <w:gridCol w:w="678"/>
        <w:gridCol w:w="678"/>
        <w:gridCol w:w="686"/>
      </w:tblGrid>
      <w:tr w:rsidR="00AC363A" w:rsidRPr="00546020" w14:paraId="48D9EBCD" w14:textId="77777777" w:rsidTr="00B62D8B">
        <w:tc>
          <w:tcPr>
            <w:tcW w:w="2354" w:type="dxa"/>
          </w:tcPr>
          <w:p w14:paraId="72DD3EA9" w14:textId="77777777" w:rsidR="00AC363A" w:rsidRPr="00546020" w:rsidRDefault="00AC363A" w:rsidP="00B62D8B">
            <w:pPr>
              <w:spacing w:line="480" w:lineRule="auto"/>
            </w:pPr>
          </w:p>
        </w:tc>
        <w:tc>
          <w:tcPr>
            <w:tcW w:w="742" w:type="dxa"/>
          </w:tcPr>
          <w:p w14:paraId="2CB9C884" w14:textId="77777777" w:rsidR="00AC363A" w:rsidRPr="00546020" w:rsidRDefault="00AC363A" w:rsidP="00B62D8B">
            <w:pPr>
              <w:spacing w:line="480" w:lineRule="auto"/>
              <w:jc w:val="center"/>
              <w:rPr>
                <w:i/>
              </w:rPr>
            </w:pPr>
          </w:p>
        </w:tc>
        <w:tc>
          <w:tcPr>
            <w:tcW w:w="10826" w:type="dxa"/>
            <w:gridSpan w:val="17"/>
          </w:tcPr>
          <w:p w14:paraId="6E4E31D0" w14:textId="77777777" w:rsidR="00AC363A" w:rsidRPr="00546020" w:rsidRDefault="00AC363A" w:rsidP="00B62D8B">
            <w:pPr>
              <w:spacing w:line="480" w:lineRule="auto"/>
              <w:jc w:val="center"/>
              <w:rPr>
                <w:i/>
              </w:rPr>
            </w:pPr>
            <w:r w:rsidRPr="00546020">
              <w:rPr>
                <w:i/>
              </w:rPr>
              <w:t>ANC</w:t>
            </w:r>
            <w:r w:rsidR="00B62D8B" w:rsidRPr="00546020">
              <w:rPr>
                <w:i/>
              </w:rPr>
              <w:t>OVA test statistics</w:t>
            </w:r>
          </w:p>
        </w:tc>
      </w:tr>
      <w:tr w:rsidR="00AC363A" w:rsidRPr="00546020" w14:paraId="7F074A09" w14:textId="77777777" w:rsidTr="00B62D8B">
        <w:tc>
          <w:tcPr>
            <w:tcW w:w="2401" w:type="dxa"/>
          </w:tcPr>
          <w:p w14:paraId="6B37FF65" w14:textId="77777777" w:rsidR="00AC363A" w:rsidRPr="00546020" w:rsidRDefault="00AC363A" w:rsidP="00B62D8B">
            <w:pPr>
              <w:spacing w:line="480" w:lineRule="auto"/>
            </w:pPr>
          </w:p>
        </w:tc>
        <w:tc>
          <w:tcPr>
            <w:tcW w:w="774" w:type="dxa"/>
            <w:gridSpan w:val="2"/>
            <w:tcBorders>
              <w:top w:val="single" w:sz="4" w:space="0" w:color="auto"/>
              <w:bottom w:val="single" w:sz="4" w:space="0" w:color="auto"/>
            </w:tcBorders>
          </w:tcPr>
          <w:p w14:paraId="5E4DC36B" w14:textId="77777777" w:rsidR="00AC363A" w:rsidRPr="00546020" w:rsidRDefault="00AC363A" w:rsidP="00B62D8B">
            <w:pPr>
              <w:spacing w:line="480" w:lineRule="auto"/>
              <w:jc w:val="center"/>
              <w:rPr>
                <w:sz w:val="22"/>
              </w:rPr>
            </w:pPr>
          </w:p>
        </w:tc>
        <w:tc>
          <w:tcPr>
            <w:tcW w:w="2150" w:type="dxa"/>
            <w:gridSpan w:val="3"/>
            <w:tcBorders>
              <w:top w:val="single" w:sz="4" w:space="0" w:color="auto"/>
              <w:bottom w:val="single" w:sz="4" w:space="0" w:color="auto"/>
            </w:tcBorders>
          </w:tcPr>
          <w:p w14:paraId="684ED847" w14:textId="77777777" w:rsidR="00AC363A" w:rsidRPr="00546020" w:rsidRDefault="00AC363A" w:rsidP="00B62D8B">
            <w:pPr>
              <w:spacing w:line="480" w:lineRule="auto"/>
              <w:jc w:val="center"/>
              <w:rPr>
                <w:i/>
                <w:sz w:val="22"/>
              </w:rPr>
            </w:pPr>
            <w:r w:rsidRPr="00546020">
              <w:rPr>
                <w:i/>
                <w:sz w:val="22"/>
              </w:rPr>
              <w:t>Age</w:t>
            </w:r>
          </w:p>
        </w:tc>
        <w:tc>
          <w:tcPr>
            <w:tcW w:w="2028" w:type="dxa"/>
            <w:gridSpan w:val="3"/>
            <w:tcBorders>
              <w:top w:val="single" w:sz="4" w:space="0" w:color="auto"/>
              <w:bottom w:val="single" w:sz="4" w:space="0" w:color="auto"/>
            </w:tcBorders>
          </w:tcPr>
          <w:p w14:paraId="33CC1806" w14:textId="77777777" w:rsidR="00AC363A" w:rsidRPr="00546020" w:rsidRDefault="00AC363A" w:rsidP="00B62D8B">
            <w:pPr>
              <w:spacing w:line="480" w:lineRule="auto"/>
              <w:jc w:val="center"/>
              <w:rPr>
                <w:i/>
                <w:sz w:val="22"/>
              </w:rPr>
            </w:pPr>
            <w:r w:rsidRPr="00546020">
              <w:rPr>
                <w:i/>
                <w:sz w:val="22"/>
              </w:rPr>
              <w:t>AUDIT</w:t>
            </w:r>
          </w:p>
        </w:tc>
        <w:tc>
          <w:tcPr>
            <w:tcW w:w="283" w:type="dxa"/>
            <w:tcBorders>
              <w:top w:val="single" w:sz="4" w:space="0" w:color="auto"/>
              <w:bottom w:val="single" w:sz="4" w:space="0" w:color="auto"/>
            </w:tcBorders>
          </w:tcPr>
          <w:p w14:paraId="37C27E2A" w14:textId="77777777" w:rsidR="00AC363A" w:rsidRPr="00546020" w:rsidRDefault="00AC363A" w:rsidP="00B62D8B">
            <w:pPr>
              <w:spacing w:line="480" w:lineRule="auto"/>
              <w:jc w:val="center"/>
              <w:rPr>
                <w:i/>
                <w:sz w:val="22"/>
              </w:rPr>
            </w:pPr>
          </w:p>
        </w:tc>
        <w:tc>
          <w:tcPr>
            <w:tcW w:w="2178" w:type="dxa"/>
            <w:gridSpan w:val="3"/>
            <w:tcBorders>
              <w:top w:val="single" w:sz="4" w:space="0" w:color="auto"/>
              <w:bottom w:val="single" w:sz="4" w:space="0" w:color="auto"/>
            </w:tcBorders>
          </w:tcPr>
          <w:p w14:paraId="3B6EDEE2" w14:textId="77777777" w:rsidR="00AC363A" w:rsidRPr="00546020" w:rsidRDefault="00AC363A" w:rsidP="00B62D8B">
            <w:pPr>
              <w:spacing w:line="480" w:lineRule="auto"/>
              <w:jc w:val="center"/>
              <w:rPr>
                <w:i/>
                <w:sz w:val="22"/>
              </w:rPr>
            </w:pPr>
            <w:r w:rsidRPr="00546020">
              <w:rPr>
                <w:i/>
                <w:sz w:val="22"/>
              </w:rPr>
              <w:t>Time</w:t>
            </w:r>
          </w:p>
        </w:tc>
        <w:tc>
          <w:tcPr>
            <w:tcW w:w="2054" w:type="dxa"/>
            <w:gridSpan w:val="3"/>
            <w:tcBorders>
              <w:top w:val="single" w:sz="4" w:space="0" w:color="auto"/>
              <w:bottom w:val="single" w:sz="4" w:space="0" w:color="auto"/>
            </w:tcBorders>
          </w:tcPr>
          <w:p w14:paraId="276964D6" w14:textId="77777777" w:rsidR="00AC363A" w:rsidRPr="00546020" w:rsidRDefault="00AC363A" w:rsidP="00B62D8B">
            <w:pPr>
              <w:spacing w:line="480" w:lineRule="auto"/>
              <w:jc w:val="center"/>
              <w:rPr>
                <w:i/>
                <w:sz w:val="22"/>
              </w:rPr>
            </w:pPr>
            <w:r w:rsidRPr="00546020">
              <w:rPr>
                <w:i/>
                <w:sz w:val="22"/>
              </w:rPr>
              <w:t>Intervention</w:t>
            </w:r>
          </w:p>
        </w:tc>
        <w:tc>
          <w:tcPr>
            <w:tcW w:w="2054" w:type="dxa"/>
            <w:gridSpan w:val="3"/>
            <w:tcBorders>
              <w:top w:val="single" w:sz="4" w:space="0" w:color="auto"/>
              <w:bottom w:val="single" w:sz="4" w:space="0" w:color="auto"/>
            </w:tcBorders>
          </w:tcPr>
          <w:p w14:paraId="114E2C54" w14:textId="77777777" w:rsidR="00AC363A" w:rsidRPr="00546020" w:rsidRDefault="00AC363A" w:rsidP="00B62D8B">
            <w:pPr>
              <w:spacing w:line="480" w:lineRule="auto"/>
              <w:jc w:val="center"/>
              <w:rPr>
                <w:i/>
                <w:sz w:val="22"/>
              </w:rPr>
            </w:pPr>
            <w:r w:rsidRPr="00546020">
              <w:rPr>
                <w:i/>
                <w:sz w:val="22"/>
              </w:rPr>
              <w:t>Time X Intervention</w:t>
            </w:r>
          </w:p>
        </w:tc>
      </w:tr>
      <w:tr w:rsidR="00AC363A" w:rsidRPr="00546020" w14:paraId="3314CCA3" w14:textId="77777777" w:rsidTr="00B62D8B">
        <w:tc>
          <w:tcPr>
            <w:tcW w:w="2401" w:type="dxa"/>
          </w:tcPr>
          <w:p w14:paraId="55B02BF6" w14:textId="77777777" w:rsidR="00AC363A" w:rsidRPr="00546020" w:rsidRDefault="00AC363A" w:rsidP="00B62D8B">
            <w:pPr>
              <w:spacing w:line="480" w:lineRule="auto"/>
              <w:rPr>
                <w:i/>
              </w:rPr>
            </w:pPr>
            <w:r w:rsidRPr="00546020">
              <w:rPr>
                <w:i/>
              </w:rPr>
              <w:t>Outcome variable</w:t>
            </w:r>
          </w:p>
        </w:tc>
        <w:tc>
          <w:tcPr>
            <w:tcW w:w="774" w:type="dxa"/>
            <w:gridSpan w:val="2"/>
            <w:tcBorders>
              <w:top w:val="single" w:sz="4" w:space="0" w:color="auto"/>
              <w:bottom w:val="single" w:sz="4" w:space="0" w:color="auto"/>
            </w:tcBorders>
          </w:tcPr>
          <w:p w14:paraId="62935D66" w14:textId="77777777" w:rsidR="00AC363A" w:rsidRPr="00546020" w:rsidRDefault="00AC363A" w:rsidP="00B62D8B">
            <w:pPr>
              <w:spacing w:line="480" w:lineRule="auto"/>
              <w:jc w:val="center"/>
              <w:rPr>
                <w:i/>
              </w:rPr>
            </w:pPr>
            <w:proofErr w:type="spellStart"/>
            <w:r w:rsidRPr="00546020">
              <w:rPr>
                <w:i/>
              </w:rPr>
              <w:t>dfs</w:t>
            </w:r>
            <w:proofErr w:type="spellEnd"/>
          </w:p>
        </w:tc>
        <w:tc>
          <w:tcPr>
            <w:tcW w:w="641" w:type="dxa"/>
            <w:tcBorders>
              <w:top w:val="single" w:sz="4" w:space="0" w:color="auto"/>
              <w:bottom w:val="single" w:sz="4" w:space="0" w:color="auto"/>
            </w:tcBorders>
          </w:tcPr>
          <w:p w14:paraId="4A72F483" w14:textId="77777777" w:rsidR="00AC363A" w:rsidRPr="00546020" w:rsidRDefault="00AC363A" w:rsidP="00B62D8B">
            <w:pPr>
              <w:spacing w:line="480" w:lineRule="auto"/>
              <w:jc w:val="center"/>
              <w:rPr>
                <w:i/>
              </w:rPr>
            </w:pPr>
            <w:r w:rsidRPr="00546020">
              <w:rPr>
                <w:i/>
              </w:rPr>
              <w:t xml:space="preserve">F </w:t>
            </w:r>
          </w:p>
        </w:tc>
        <w:tc>
          <w:tcPr>
            <w:tcW w:w="755" w:type="dxa"/>
            <w:tcBorders>
              <w:top w:val="single" w:sz="4" w:space="0" w:color="auto"/>
              <w:bottom w:val="single" w:sz="4" w:space="0" w:color="auto"/>
            </w:tcBorders>
          </w:tcPr>
          <w:p w14:paraId="371B12FE" w14:textId="77777777" w:rsidR="00AC363A" w:rsidRPr="00546020" w:rsidRDefault="00AC363A" w:rsidP="00B62D8B">
            <w:pPr>
              <w:spacing w:line="480" w:lineRule="auto"/>
              <w:jc w:val="center"/>
              <w:rPr>
                <w:i/>
              </w:rPr>
            </w:pPr>
            <w:r w:rsidRPr="00546020">
              <w:rPr>
                <w:i/>
              </w:rPr>
              <w:t>p</w:t>
            </w:r>
          </w:p>
        </w:tc>
        <w:tc>
          <w:tcPr>
            <w:tcW w:w="754" w:type="dxa"/>
            <w:tcBorders>
              <w:top w:val="single" w:sz="4" w:space="0" w:color="auto"/>
              <w:bottom w:val="single" w:sz="4" w:space="0" w:color="auto"/>
            </w:tcBorders>
          </w:tcPr>
          <w:p w14:paraId="24B4661A" w14:textId="77777777" w:rsidR="00AC363A" w:rsidRPr="00546020" w:rsidRDefault="00AC363A" w:rsidP="00B62D8B">
            <w:pPr>
              <w:spacing w:line="480" w:lineRule="auto"/>
              <w:jc w:val="center"/>
              <w:rPr>
                <w:i/>
              </w:rPr>
            </w:pPr>
            <w:r w:rsidRPr="00546020">
              <w:t>η</w:t>
            </w:r>
            <w:r w:rsidRPr="00546020">
              <w:rPr>
                <w:vertAlign w:val="subscript"/>
              </w:rPr>
              <w:t>p</w:t>
            </w:r>
            <w:r w:rsidRPr="00546020">
              <w:rPr>
                <w:vertAlign w:val="superscript"/>
              </w:rPr>
              <w:t>2</w:t>
            </w:r>
          </w:p>
        </w:tc>
        <w:tc>
          <w:tcPr>
            <w:tcW w:w="755" w:type="dxa"/>
            <w:tcBorders>
              <w:top w:val="single" w:sz="4" w:space="0" w:color="auto"/>
              <w:bottom w:val="single" w:sz="4" w:space="0" w:color="auto"/>
            </w:tcBorders>
          </w:tcPr>
          <w:p w14:paraId="37BDC664" w14:textId="77777777" w:rsidR="00AC363A" w:rsidRPr="00546020" w:rsidRDefault="00AC363A" w:rsidP="00B62D8B">
            <w:pPr>
              <w:spacing w:line="480" w:lineRule="auto"/>
              <w:jc w:val="center"/>
              <w:rPr>
                <w:i/>
              </w:rPr>
            </w:pPr>
            <w:r w:rsidRPr="00546020">
              <w:rPr>
                <w:i/>
              </w:rPr>
              <w:t xml:space="preserve">F </w:t>
            </w:r>
          </w:p>
        </w:tc>
        <w:tc>
          <w:tcPr>
            <w:tcW w:w="707" w:type="dxa"/>
            <w:tcBorders>
              <w:top w:val="single" w:sz="4" w:space="0" w:color="auto"/>
              <w:bottom w:val="single" w:sz="4" w:space="0" w:color="auto"/>
            </w:tcBorders>
          </w:tcPr>
          <w:p w14:paraId="0670C718" w14:textId="77777777" w:rsidR="00AC363A" w:rsidRPr="00546020" w:rsidRDefault="00AC363A" w:rsidP="00B62D8B">
            <w:pPr>
              <w:spacing w:line="480" w:lineRule="auto"/>
              <w:jc w:val="center"/>
              <w:rPr>
                <w:i/>
              </w:rPr>
            </w:pPr>
            <w:r w:rsidRPr="00546020">
              <w:rPr>
                <w:i/>
              </w:rPr>
              <w:t>p</w:t>
            </w:r>
          </w:p>
        </w:tc>
        <w:tc>
          <w:tcPr>
            <w:tcW w:w="566" w:type="dxa"/>
            <w:tcBorders>
              <w:top w:val="single" w:sz="4" w:space="0" w:color="auto"/>
              <w:bottom w:val="single" w:sz="4" w:space="0" w:color="auto"/>
            </w:tcBorders>
          </w:tcPr>
          <w:p w14:paraId="2F929240" w14:textId="77777777" w:rsidR="00AC363A" w:rsidRPr="00546020" w:rsidRDefault="00AC363A" w:rsidP="00B62D8B">
            <w:pPr>
              <w:spacing w:line="480" w:lineRule="auto"/>
              <w:jc w:val="center"/>
              <w:rPr>
                <w:i/>
              </w:rPr>
            </w:pPr>
            <w:r w:rsidRPr="00546020">
              <w:t>η</w:t>
            </w:r>
            <w:r w:rsidRPr="00546020">
              <w:rPr>
                <w:vertAlign w:val="subscript"/>
              </w:rPr>
              <w:t>p</w:t>
            </w:r>
            <w:r w:rsidRPr="00546020">
              <w:rPr>
                <w:vertAlign w:val="superscript"/>
              </w:rPr>
              <w:t>2</w:t>
            </w:r>
          </w:p>
        </w:tc>
        <w:tc>
          <w:tcPr>
            <w:tcW w:w="283" w:type="dxa"/>
            <w:tcBorders>
              <w:top w:val="single" w:sz="4" w:space="0" w:color="auto"/>
              <w:bottom w:val="single" w:sz="4" w:space="0" w:color="auto"/>
            </w:tcBorders>
          </w:tcPr>
          <w:p w14:paraId="25017360" w14:textId="77777777" w:rsidR="00AC363A" w:rsidRPr="00546020" w:rsidRDefault="00AC363A" w:rsidP="00B62D8B">
            <w:pPr>
              <w:spacing w:line="480" w:lineRule="auto"/>
              <w:jc w:val="center"/>
              <w:rPr>
                <w:i/>
              </w:rPr>
            </w:pPr>
          </w:p>
        </w:tc>
        <w:tc>
          <w:tcPr>
            <w:tcW w:w="755" w:type="dxa"/>
            <w:tcBorders>
              <w:top w:val="single" w:sz="4" w:space="0" w:color="auto"/>
              <w:bottom w:val="single" w:sz="4" w:space="0" w:color="auto"/>
            </w:tcBorders>
          </w:tcPr>
          <w:p w14:paraId="43B3E059" w14:textId="77777777" w:rsidR="00AC363A" w:rsidRPr="00546020" w:rsidRDefault="00AC363A" w:rsidP="00B62D8B">
            <w:pPr>
              <w:spacing w:line="480" w:lineRule="auto"/>
              <w:jc w:val="center"/>
              <w:rPr>
                <w:i/>
              </w:rPr>
            </w:pPr>
            <w:r w:rsidRPr="00546020">
              <w:rPr>
                <w:i/>
              </w:rPr>
              <w:t xml:space="preserve">F </w:t>
            </w:r>
          </w:p>
        </w:tc>
        <w:tc>
          <w:tcPr>
            <w:tcW w:w="771" w:type="dxa"/>
            <w:tcBorders>
              <w:top w:val="single" w:sz="4" w:space="0" w:color="auto"/>
              <w:bottom w:val="single" w:sz="4" w:space="0" w:color="auto"/>
            </w:tcBorders>
          </w:tcPr>
          <w:p w14:paraId="66B29231" w14:textId="77777777" w:rsidR="00AC363A" w:rsidRPr="00546020" w:rsidRDefault="00AC363A" w:rsidP="00B62D8B">
            <w:pPr>
              <w:spacing w:line="480" w:lineRule="auto"/>
              <w:jc w:val="center"/>
              <w:rPr>
                <w:i/>
              </w:rPr>
            </w:pPr>
            <w:r w:rsidRPr="00546020">
              <w:rPr>
                <w:i/>
              </w:rPr>
              <w:t>p</w:t>
            </w:r>
          </w:p>
        </w:tc>
        <w:tc>
          <w:tcPr>
            <w:tcW w:w="652" w:type="dxa"/>
            <w:tcBorders>
              <w:top w:val="single" w:sz="4" w:space="0" w:color="auto"/>
              <w:bottom w:val="single" w:sz="4" w:space="0" w:color="auto"/>
            </w:tcBorders>
          </w:tcPr>
          <w:p w14:paraId="6B9F5629" w14:textId="77777777" w:rsidR="00AC363A" w:rsidRPr="00546020" w:rsidRDefault="00AC363A" w:rsidP="00B62D8B">
            <w:pPr>
              <w:spacing w:line="480" w:lineRule="auto"/>
              <w:jc w:val="center"/>
              <w:rPr>
                <w:i/>
              </w:rPr>
            </w:pPr>
            <w:r w:rsidRPr="00546020">
              <w:t>η</w:t>
            </w:r>
            <w:r w:rsidRPr="00546020">
              <w:rPr>
                <w:vertAlign w:val="subscript"/>
              </w:rPr>
              <w:t>p</w:t>
            </w:r>
            <w:r w:rsidRPr="00546020">
              <w:rPr>
                <w:vertAlign w:val="superscript"/>
              </w:rPr>
              <w:t>2</w:t>
            </w:r>
          </w:p>
        </w:tc>
        <w:tc>
          <w:tcPr>
            <w:tcW w:w="682" w:type="dxa"/>
            <w:tcBorders>
              <w:top w:val="single" w:sz="4" w:space="0" w:color="auto"/>
              <w:bottom w:val="single" w:sz="4" w:space="0" w:color="auto"/>
            </w:tcBorders>
          </w:tcPr>
          <w:p w14:paraId="5AB96678" w14:textId="77777777" w:rsidR="00AC363A" w:rsidRPr="00546020" w:rsidRDefault="00AC363A" w:rsidP="00B62D8B">
            <w:pPr>
              <w:spacing w:line="480" w:lineRule="auto"/>
              <w:jc w:val="center"/>
              <w:rPr>
                <w:i/>
              </w:rPr>
            </w:pPr>
            <w:r w:rsidRPr="00546020">
              <w:rPr>
                <w:i/>
              </w:rPr>
              <w:t xml:space="preserve">F </w:t>
            </w:r>
          </w:p>
        </w:tc>
        <w:tc>
          <w:tcPr>
            <w:tcW w:w="682" w:type="dxa"/>
            <w:tcBorders>
              <w:top w:val="single" w:sz="4" w:space="0" w:color="auto"/>
              <w:bottom w:val="single" w:sz="4" w:space="0" w:color="auto"/>
            </w:tcBorders>
          </w:tcPr>
          <w:p w14:paraId="159CE1F0" w14:textId="77777777" w:rsidR="00AC363A" w:rsidRPr="00546020" w:rsidRDefault="00AC363A" w:rsidP="00B62D8B">
            <w:pPr>
              <w:spacing w:line="480" w:lineRule="auto"/>
              <w:jc w:val="center"/>
              <w:rPr>
                <w:i/>
              </w:rPr>
            </w:pPr>
            <w:r w:rsidRPr="00546020">
              <w:rPr>
                <w:i/>
              </w:rPr>
              <w:t>p</w:t>
            </w:r>
          </w:p>
        </w:tc>
        <w:tc>
          <w:tcPr>
            <w:tcW w:w="690" w:type="dxa"/>
            <w:tcBorders>
              <w:top w:val="single" w:sz="4" w:space="0" w:color="auto"/>
              <w:bottom w:val="single" w:sz="4" w:space="0" w:color="auto"/>
            </w:tcBorders>
          </w:tcPr>
          <w:p w14:paraId="3E946D95" w14:textId="77777777" w:rsidR="00AC363A" w:rsidRPr="00546020" w:rsidRDefault="00AC363A" w:rsidP="00B62D8B">
            <w:pPr>
              <w:spacing w:line="480" w:lineRule="auto"/>
              <w:jc w:val="center"/>
              <w:rPr>
                <w:i/>
              </w:rPr>
            </w:pPr>
            <w:r w:rsidRPr="00546020">
              <w:t>η</w:t>
            </w:r>
            <w:r w:rsidRPr="00546020">
              <w:rPr>
                <w:vertAlign w:val="subscript"/>
              </w:rPr>
              <w:t>p</w:t>
            </w:r>
            <w:r w:rsidRPr="00546020">
              <w:rPr>
                <w:vertAlign w:val="superscript"/>
              </w:rPr>
              <w:t>2</w:t>
            </w:r>
          </w:p>
        </w:tc>
        <w:tc>
          <w:tcPr>
            <w:tcW w:w="682" w:type="dxa"/>
            <w:tcBorders>
              <w:top w:val="single" w:sz="4" w:space="0" w:color="auto"/>
              <w:bottom w:val="single" w:sz="4" w:space="0" w:color="auto"/>
            </w:tcBorders>
          </w:tcPr>
          <w:p w14:paraId="5F3CCC36" w14:textId="77777777" w:rsidR="00AC363A" w:rsidRPr="00546020" w:rsidRDefault="00AC363A" w:rsidP="00B62D8B">
            <w:pPr>
              <w:spacing w:line="480" w:lineRule="auto"/>
              <w:jc w:val="center"/>
              <w:rPr>
                <w:i/>
              </w:rPr>
            </w:pPr>
            <w:r w:rsidRPr="00546020">
              <w:rPr>
                <w:i/>
              </w:rPr>
              <w:t xml:space="preserve">F </w:t>
            </w:r>
          </w:p>
        </w:tc>
        <w:tc>
          <w:tcPr>
            <w:tcW w:w="682" w:type="dxa"/>
            <w:tcBorders>
              <w:top w:val="single" w:sz="4" w:space="0" w:color="auto"/>
              <w:bottom w:val="single" w:sz="4" w:space="0" w:color="auto"/>
            </w:tcBorders>
          </w:tcPr>
          <w:p w14:paraId="3A7320B7" w14:textId="77777777" w:rsidR="00AC363A" w:rsidRPr="00546020" w:rsidRDefault="00AC363A" w:rsidP="00B62D8B">
            <w:pPr>
              <w:spacing w:line="480" w:lineRule="auto"/>
              <w:jc w:val="center"/>
              <w:rPr>
                <w:i/>
              </w:rPr>
            </w:pPr>
            <w:r w:rsidRPr="00546020">
              <w:rPr>
                <w:i/>
              </w:rPr>
              <w:t>p</w:t>
            </w:r>
          </w:p>
        </w:tc>
        <w:tc>
          <w:tcPr>
            <w:tcW w:w="690" w:type="dxa"/>
            <w:tcBorders>
              <w:top w:val="single" w:sz="4" w:space="0" w:color="auto"/>
              <w:bottom w:val="single" w:sz="4" w:space="0" w:color="auto"/>
            </w:tcBorders>
          </w:tcPr>
          <w:p w14:paraId="6DBAD1F0" w14:textId="77777777" w:rsidR="00AC363A" w:rsidRPr="00546020" w:rsidRDefault="00AC363A" w:rsidP="00B62D8B">
            <w:pPr>
              <w:spacing w:line="480" w:lineRule="auto"/>
              <w:jc w:val="center"/>
              <w:rPr>
                <w:i/>
              </w:rPr>
            </w:pPr>
            <w:r w:rsidRPr="00546020">
              <w:t>η</w:t>
            </w:r>
            <w:r w:rsidRPr="00546020">
              <w:rPr>
                <w:vertAlign w:val="subscript"/>
              </w:rPr>
              <w:t>p</w:t>
            </w:r>
            <w:r w:rsidRPr="00546020">
              <w:rPr>
                <w:vertAlign w:val="superscript"/>
              </w:rPr>
              <w:t>2</w:t>
            </w:r>
          </w:p>
        </w:tc>
      </w:tr>
      <w:tr w:rsidR="00AC363A" w:rsidRPr="00546020" w14:paraId="090F6B9F" w14:textId="77777777" w:rsidTr="00B62D8B">
        <w:tc>
          <w:tcPr>
            <w:tcW w:w="2401" w:type="dxa"/>
          </w:tcPr>
          <w:p w14:paraId="3FFB6B25" w14:textId="77777777" w:rsidR="00AC363A" w:rsidRPr="00546020" w:rsidRDefault="00AC363A" w:rsidP="00B62D8B">
            <w:pPr>
              <w:spacing w:line="480" w:lineRule="auto"/>
            </w:pPr>
            <w:r w:rsidRPr="00546020">
              <w:t>Psychological wellbeing</w:t>
            </w:r>
          </w:p>
        </w:tc>
        <w:tc>
          <w:tcPr>
            <w:tcW w:w="774" w:type="dxa"/>
            <w:gridSpan w:val="2"/>
            <w:tcBorders>
              <w:top w:val="single" w:sz="4" w:space="0" w:color="auto"/>
            </w:tcBorders>
          </w:tcPr>
          <w:p w14:paraId="2B4A53CB" w14:textId="77777777" w:rsidR="00AC363A" w:rsidRPr="00546020" w:rsidRDefault="00AC363A" w:rsidP="00B62D8B">
            <w:pPr>
              <w:spacing w:line="480" w:lineRule="auto"/>
              <w:jc w:val="center"/>
            </w:pPr>
            <w:r w:rsidRPr="00546020">
              <w:t>1,51</w:t>
            </w:r>
          </w:p>
        </w:tc>
        <w:tc>
          <w:tcPr>
            <w:tcW w:w="641" w:type="dxa"/>
            <w:tcBorders>
              <w:top w:val="single" w:sz="4" w:space="0" w:color="auto"/>
            </w:tcBorders>
          </w:tcPr>
          <w:p w14:paraId="5D7D550E" w14:textId="77777777" w:rsidR="00AC363A" w:rsidRPr="00546020" w:rsidRDefault="00AC363A" w:rsidP="00B62D8B">
            <w:pPr>
              <w:spacing w:line="480" w:lineRule="auto"/>
              <w:jc w:val="center"/>
            </w:pPr>
            <w:r w:rsidRPr="00546020">
              <w:t>0.72</w:t>
            </w:r>
          </w:p>
        </w:tc>
        <w:tc>
          <w:tcPr>
            <w:tcW w:w="755" w:type="dxa"/>
            <w:tcBorders>
              <w:top w:val="single" w:sz="4" w:space="0" w:color="auto"/>
            </w:tcBorders>
          </w:tcPr>
          <w:p w14:paraId="2C34F0C6" w14:textId="77777777" w:rsidR="00AC363A" w:rsidRPr="00546020" w:rsidRDefault="00AC363A" w:rsidP="00B62D8B">
            <w:pPr>
              <w:spacing w:line="480" w:lineRule="auto"/>
              <w:jc w:val="center"/>
            </w:pPr>
            <w:r w:rsidRPr="00546020">
              <w:t>.400</w:t>
            </w:r>
          </w:p>
        </w:tc>
        <w:tc>
          <w:tcPr>
            <w:tcW w:w="754" w:type="dxa"/>
            <w:tcBorders>
              <w:top w:val="single" w:sz="4" w:space="0" w:color="auto"/>
            </w:tcBorders>
          </w:tcPr>
          <w:p w14:paraId="0605AAFC" w14:textId="77777777" w:rsidR="00AC363A" w:rsidRPr="00546020" w:rsidRDefault="00AC363A" w:rsidP="00B62D8B">
            <w:pPr>
              <w:spacing w:line="480" w:lineRule="auto"/>
              <w:jc w:val="center"/>
            </w:pPr>
            <w:r w:rsidRPr="00546020">
              <w:t>.01</w:t>
            </w:r>
          </w:p>
        </w:tc>
        <w:tc>
          <w:tcPr>
            <w:tcW w:w="755" w:type="dxa"/>
            <w:tcBorders>
              <w:top w:val="single" w:sz="4" w:space="0" w:color="auto"/>
            </w:tcBorders>
          </w:tcPr>
          <w:p w14:paraId="227D2ADD" w14:textId="77777777" w:rsidR="00AC363A" w:rsidRPr="00546020" w:rsidRDefault="00AC363A" w:rsidP="00B62D8B">
            <w:pPr>
              <w:spacing w:line="480" w:lineRule="auto"/>
              <w:jc w:val="center"/>
            </w:pPr>
            <w:r w:rsidRPr="00546020">
              <w:t>6.61</w:t>
            </w:r>
          </w:p>
        </w:tc>
        <w:tc>
          <w:tcPr>
            <w:tcW w:w="707" w:type="dxa"/>
            <w:tcBorders>
              <w:top w:val="single" w:sz="4" w:space="0" w:color="auto"/>
            </w:tcBorders>
          </w:tcPr>
          <w:p w14:paraId="36E2254C" w14:textId="77777777" w:rsidR="00AC363A" w:rsidRPr="00546020" w:rsidRDefault="00AC363A" w:rsidP="00B62D8B">
            <w:pPr>
              <w:spacing w:line="480" w:lineRule="auto"/>
              <w:jc w:val="center"/>
            </w:pPr>
            <w:r w:rsidRPr="00546020">
              <w:t>.013</w:t>
            </w:r>
          </w:p>
        </w:tc>
        <w:tc>
          <w:tcPr>
            <w:tcW w:w="566" w:type="dxa"/>
            <w:tcBorders>
              <w:top w:val="single" w:sz="4" w:space="0" w:color="auto"/>
            </w:tcBorders>
          </w:tcPr>
          <w:p w14:paraId="1CBD9340" w14:textId="77777777" w:rsidR="00AC363A" w:rsidRPr="00546020" w:rsidRDefault="00AC363A" w:rsidP="00B62D8B">
            <w:pPr>
              <w:spacing w:line="480" w:lineRule="auto"/>
              <w:jc w:val="center"/>
            </w:pPr>
            <w:r w:rsidRPr="00546020">
              <w:t>.12</w:t>
            </w:r>
          </w:p>
        </w:tc>
        <w:tc>
          <w:tcPr>
            <w:tcW w:w="283" w:type="dxa"/>
            <w:tcBorders>
              <w:top w:val="single" w:sz="4" w:space="0" w:color="auto"/>
            </w:tcBorders>
          </w:tcPr>
          <w:p w14:paraId="2FC6D265" w14:textId="77777777" w:rsidR="00AC363A" w:rsidRPr="00546020" w:rsidRDefault="00AC363A" w:rsidP="00B62D8B">
            <w:pPr>
              <w:spacing w:line="480" w:lineRule="auto"/>
              <w:jc w:val="center"/>
            </w:pPr>
          </w:p>
        </w:tc>
        <w:tc>
          <w:tcPr>
            <w:tcW w:w="755" w:type="dxa"/>
            <w:tcBorders>
              <w:top w:val="single" w:sz="4" w:space="0" w:color="auto"/>
            </w:tcBorders>
          </w:tcPr>
          <w:p w14:paraId="798245DA" w14:textId="77777777" w:rsidR="00AC363A" w:rsidRPr="00546020" w:rsidRDefault="00AC363A" w:rsidP="00B62D8B">
            <w:pPr>
              <w:spacing w:line="480" w:lineRule="auto"/>
              <w:jc w:val="center"/>
            </w:pPr>
            <w:r w:rsidRPr="00546020">
              <w:t>0.12</w:t>
            </w:r>
          </w:p>
        </w:tc>
        <w:tc>
          <w:tcPr>
            <w:tcW w:w="771" w:type="dxa"/>
            <w:tcBorders>
              <w:top w:val="single" w:sz="4" w:space="0" w:color="auto"/>
            </w:tcBorders>
          </w:tcPr>
          <w:p w14:paraId="15BEC23F" w14:textId="77777777" w:rsidR="00AC363A" w:rsidRPr="00546020" w:rsidRDefault="00AC363A" w:rsidP="00B62D8B">
            <w:pPr>
              <w:spacing w:line="480" w:lineRule="auto"/>
              <w:jc w:val="center"/>
            </w:pPr>
            <w:r w:rsidRPr="00546020">
              <w:t>.729</w:t>
            </w:r>
          </w:p>
        </w:tc>
        <w:tc>
          <w:tcPr>
            <w:tcW w:w="652" w:type="dxa"/>
            <w:tcBorders>
              <w:top w:val="single" w:sz="4" w:space="0" w:color="auto"/>
            </w:tcBorders>
          </w:tcPr>
          <w:p w14:paraId="522E9CB7" w14:textId="77777777" w:rsidR="00AC363A" w:rsidRPr="00546020" w:rsidRDefault="00AC363A" w:rsidP="00B62D8B">
            <w:pPr>
              <w:spacing w:line="480" w:lineRule="auto"/>
              <w:jc w:val="center"/>
            </w:pPr>
            <w:r w:rsidRPr="00546020">
              <w:t>&lt;.01</w:t>
            </w:r>
          </w:p>
        </w:tc>
        <w:tc>
          <w:tcPr>
            <w:tcW w:w="682" w:type="dxa"/>
            <w:tcBorders>
              <w:top w:val="single" w:sz="4" w:space="0" w:color="auto"/>
            </w:tcBorders>
          </w:tcPr>
          <w:p w14:paraId="613EEA4D" w14:textId="77777777" w:rsidR="00AC363A" w:rsidRPr="00546020" w:rsidRDefault="00AC363A" w:rsidP="00B62D8B">
            <w:pPr>
              <w:spacing w:line="480" w:lineRule="auto"/>
              <w:jc w:val="center"/>
            </w:pPr>
            <w:r w:rsidRPr="00546020">
              <w:t>0.12</w:t>
            </w:r>
          </w:p>
        </w:tc>
        <w:tc>
          <w:tcPr>
            <w:tcW w:w="682" w:type="dxa"/>
            <w:tcBorders>
              <w:top w:val="single" w:sz="4" w:space="0" w:color="auto"/>
            </w:tcBorders>
          </w:tcPr>
          <w:p w14:paraId="45AF734C" w14:textId="77777777" w:rsidR="00AC363A" w:rsidRPr="00546020" w:rsidRDefault="00AC363A" w:rsidP="00B62D8B">
            <w:pPr>
              <w:spacing w:line="480" w:lineRule="auto"/>
              <w:jc w:val="center"/>
            </w:pPr>
            <w:r w:rsidRPr="00546020">
              <w:t>.728</w:t>
            </w:r>
          </w:p>
        </w:tc>
        <w:tc>
          <w:tcPr>
            <w:tcW w:w="690" w:type="dxa"/>
            <w:tcBorders>
              <w:top w:val="single" w:sz="4" w:space="0" w:color="auto"/>
            </w:tcBorders>
          </w:tcPr>
          <w:p w14:paraId="76E716F4" w14:textId="77777777" w:rsidR="00AC363A" w:rsidRPr="00546020" w:rsidRDefault="00AC363A" w:rsidP="00B62D8B">
            <w:pPr>
              <w:spacing w:line="480" w:lineRule="auto"/>
              <w:jc w:val="center"/>
            </w:pPr>
            <w:r w:rsidRPr="00546020">
              <w:t>&lt;.01</w:t>
            </w:r>
          </w:p>
        </w:tc>
        <w:tc>
          <w:tcPr>
            <w:tcW w:w="682" w:type="dxa"/>
            <w:tcBorders>
              <w:top w:val="single" w:sz="4" w:space="0" w:color="auto"/>
            </w:tcBorders>
          </w:tcPr>
          <w:p w14:paraId="1A688182" w14:textId="77777777" w:rsidR="00AC363A" w:rsidRPr="00546020" w:rsidRDefault="00AC363A" w:rsidP="00B62D8B">
            <w:pPr>
              <w:spacing w:line="480" w:lineRule="auto"/>
              <w:jc w:val="center"/>
            </w:pPr>
            <w:r w:rsidRPr="00546020">
              <w:t>1.91</w:t>
            </w:r>
          </w:p>
        </w:tc>
        <w:tc>
          <w:tcPr>
            <w:tcW w:w="682" w:type="dxa"/>
            <w:tcBorders>
              <w:top w:val="single" w:sz="4" w:space="0" w:color="auto"/>
            </w:tcBorders>
          </w:tcPr>
          <w:p w14:paraId="363D1D3D" w14:textId="77777777" w:rsidR="00AC363A" w:rsidRPr="00546020" w:rsidRDefault="00AC363A" w:rsidP="00B62D8B">
            <w:pPr>
              <w:spacing w:line="480" w:lineRule="auto"/>
              <w:jc w:val="center"/>
            </w:pPr>
            <w:r w:rsidRPr="00546020">
              <w:t>.173</w:t>
            </w:r>
          </w:p>
        </w:tc>
        <w:tc>
          <w:tcPr>
            <w:tcW w:w="690" w:type="dxa"/>
            <w:tcBorders>
              <w:top w:val="single" w:sz="4" w:space="0" w:color="auto"/>
            </w:tcBorders>
          </w:tcPr>
          <w:p w14:paraId="61976BCC" w14:textId="77777777" w:rsidR="00AC363A" w:rsidRPr="00546020" w:rsidRDefault="00AC363A" w:rsidP="00B62D8B">
            <w:pPr>
              <w:spacing w:line="480" w:lineRule="auto"/>
              <w:jc w:val="center"/>
            </w:pPr>
            <w:r w:rsidRPr="00546020">
              <w:t>.036</w:t>
            </w:r>
          </w:p>
        </w:tc>
      </w:tr>
      <w:tr w:rsidR="00AC363A" w:rsidRPr="00546020" w14:paraId="7F296D00" w14:textId="77777777" w:rsidTr="00B62D8B">
        <w:tc>
          <w:tcPr>
            <w:tcW w:w="2401" w:type="dxa"/>
          </w:tcPr>
          <w:p w14:paraId="2FA06590" w14:textId="77777777" w:rsidR="00AC363A" w:rsidRPr="00546020" w:rsidRDefault="00AC363A" w:rsidP="00B62D8B">
            <w:pPr>
              <w:spacing w:line="480" w:lineRule="auto"/>
            </w:pPr>
            <w:r w:rsidRPr="00546020">
              <w:t>Physical wellbeing</w:t>
            </w:r>
          </w:p>
        </w:tc>
        <w:tc>
          <w:tcPr>
            <w:tcW w:w="774" w:type="dxa"/>
            <w:gridSpan w:val="2"/>
          </w:tcPr>
          <w:p w14:paraId="376524FF" w14:textId="77777777" w:rsidR="00AC363A" w:rsidRPr="00546020" w:rsidRDefault="00AC363A" w:rsidP="00B62D8B">
            <w:pPr>
              <w:spacing w:line="480" w:lineRule="auto"/>
              <w:jc w:val="center"/>
            </w:pPr>
            <w:r w:rsidRPr="00546020">
              <w:t>1,51</w:t>
            </w:r>
          </w:p>
        </w:tc>
        <w:tc>
          <w:tcPr>
            <w:tcW w:w="641" w:type="dxa"/>
          </w:tcPr>
          <w:p w14:paraId="3E4922C1" w14:textId="77777777" w:rsidR="00AC363A" w:rsidRPr="00546020" w:rsidRDefault="00AC363A" w:rsidP="00B62D8B">
            <w:pPr>
              <w:spacing w:line="480" w:lineRule="auto"/>
              <w:jc w:val="center"/>
            </w:pPr>
            <w:r w:rsidRPr="00546020">
              <w:t>0.299</w:t>
            </w:r>
          </w:p>
        </w:tc>
        <w:tc>
          <w:tcPr>
            <w:tcW w:w="755" w:type="dxa"/>
          </w:tcPr>
          <w:p w14:paraId="16C710F8" w14:textId="77777777" w:rsidR="00AC363A" w:rsidRPr="00546020" w:rsidRDefault="00AC363A" w:rsidP="00B62D8B">
            <w:pPr>
              <w:spacing w:line="480" w:lineRule="auto"/>
              <w:jc w:val="center"/>
            </w:pPr>
            <w:r w:rsidRPr="00546020">
              <w:t>.587</w:t>
            </w:r>
          </w:p>
        </w:tc>
        <w:tc>
          <w:tcPr>
            <w:tcW w:w="754" w:type="dxa"/>
          </w:tcPr>
          <w:p w14:paraId="6DE2BF2D" w14:textId="77777777" w:rsidR="00AC363A" w:rsidRPr="00546020" w:rsidRDefault="00AC363A" w:rsidP="00B62D8B">
            <w:pPr>
              <w:spacing w:line="480" w:lineRule="auto"/>
              <w:jc w:val="center"/>
            </w:pPr>
            <w:r w:rsidRPr="00546020">
              <w:t>.006</w:t>
            </w:r>
          </w:p>
        </w:tc>
        <w:tc>
          <w:tcPr>
            <w:tcW w:w="755" w:type="dxa"/>
          </w:tcPr>
          <w:p w14:paraId="2ECD0D52" w14:textId="77777777" w:rsidR="00AC363A" w:rsidRPr="00546020" w:rsidRDefault="00AC363A" w:rsidP="00B62D8B">
            <w:pPr>
              <w:spacing w:line="480" w:lineRule="auto"/>
              <w:jc w:val="center"/>
            </w:pPr>
            <w:r w:rsidRPr="00546020">
              <w:t>9.72</w:t>
            </w:r>
          </w:p>
        </w:tc>
        <w:tc>
          <w:tcPr>
            <w:tcW w:w="707" w:type="dxa"/>
          </w:tcPr>
          <w:p w14:paraId="0B84D2E4" w14:textId="77777777" w:rsidR="00AC363A" w:rsidRPr="00546020" w:rsidRDefault="00AC363A" w:rsidP="00B62D8B">
            <w:pPr>
              <w:spacing w:line="480" w:lineRule="auto"/>
              <w:jc w:val="center"/>
            </w:pPr>
            <w:r w:rsidRPr="00546020">
              <w:t>.003</w:t>
            </w:r>
          </w:p>
        </w:tc>
        <w:tc>
          <w:tcPr>
            <w:tcW w:w="566" w:type="dxa"/>
          </w:tcPr>
          <w:p w14:paraId="019B2EFA" w14:textId="77777777" w:rsidR="00AC363A" w:rsidRPr="00546020" w:rsidRDefault="00AC363A" w:rsidP="00B62D8B">
            <w:pPr>
              <w:spacing w:line="480" w:lineRule="auto"/>
              <w:jc w:val="center"/>
            </w:pPr>
            <w:r w:rsidRPr="00546020">
              <w:t>.16</w:t>
            </w:r>
          </w:p>
        </w:tc>
        <w:tc>
          <w:tcPr>
            <w:tcW w:w="283" w:type="dxa"/>
          </w:tcPr>
          <w:p w14:paraId="3965DE80" w14:textId="77777777" w:rsidR="00AC363A" w:rsidRPr="00546020" w:rsidRDefault="00AC363A" w:rsidP="00B62D8B">
            <w:pPr>
              <w:spacing w:line="480" w:lineRule="auto"/>
              <w:jc w:val="center"/>
            </w:pPr>
          </w:p>
        </w:tc>
        <w:tc>
          <w:tcPr>
            <w:tcW w:w="755" w:type="dxa"/>
          </w:tcPr>
          <w:p w14:paraId="14159864" w14:textId="77777777" w:rsidR="00AC363A" w:rsidRPr="00546020" w:rsidRDefault="00AC363A" w:rsidP="00B62D8B">
            <w:pPr>
              <w:spacing w:line="480" w:lineRule="auto"/>
              <w:jc w:val="center"/>
            </w:pPr>
            <w:r w:rsidRPr="00546020">
              <w:t>7.84</w:t>
            </w:r>
          </w:p>
        </w:tc>
        <w:tc>
          <w:tcPr>
            <w:tcW w:w="771" w:type="dxa"/>
          </w:tcPr>
          <w:p w14:paraId="1B83E2A3" w14:textId="77777777" w:rsidR="00AC363A" w:rsidRPr="00546020" w:rsidRDefault="00AC363A" w:rsidP="00B62D8B">
            <w:pPr>
              <w:spacing w:line="480" w:lineRule="auto"/>
              <w:jc w:val="center"/>
            </w:pPr>
            <w:r w:rsidRPr="00546020">
              <w:t>.007</w:t>
            </w:r>
          </w:p>
        </w:tc>
        <w:tc>
          <w:tcPr>
            <w:tcW w:w="652" w:type="dxa"/>
          </w:tcPr>
          <w:p w14:paraId="2D9A446F" w14:textId="77777777" w:rsidR="00AC363A" w:rsidRPr="00546020" w:rsidRDefault="00AC363A" w:rsidP="00B62D8B">
            <w:pPr>
              <w:spacing w:line="480" w:lineRule="auto"/>
              <w:jc w:val="center"/>
            </w:pPr>
            <w:r w:rsidRPr="00546020">
              <w:t>.13</w:t>
            </w:r>
          </w:p>
        </w:tc>
        <w:tc>
          <w:tcPr>
            <w:tcW w:w="682" w:type="dxa"/>
          </w:tcPr>
          <w:p w14:paraId="1240192A" w14:textId="77777777" w:rsidR="00AC363A" w:rsidRPr="00546020" w:rsidRDefault="00AC363A" w:rsidP="00B62D8B">
            <w:pPr>
              <w:spacing w:line="480" w:lineRule="auto"/>
              <w:jc w:val="center"/>
            </w:pPr>
            <w:r w:rsidRPr="00546020">
              <w:t>0.50</w:t>
            </w:r>
          </w:p>
        </w:tc>
        <w:tc>
          <w:tcPr>
            <w:tcW w:w="682" w:type="dxa"/>
          </w:tcPr>
          <w:p w14:paraId="401214A2" w14:textId="77777777" w:rsidR="00AC363A" w:rsidRPr="00546020" w:rsidRDefault="00AC363A" w:rsidP="00B62D8B">
            <w:pPr>
              <w:spacing w:line="480" w:lineRule="auto"/>
              <w:jc w:val="center"/>
            </w:pPr>
            <w:r w:rsidRPr="00546020">
              <w:t>.481</w:t>
            </w:r>
          </w:p>
        </w:tc>
        <w:tc>
          <w:tcPr>
            <w:tcW w:w="690" w:type="dxa"/>
          </w:tcPr>
          <w:p w14:paraId="10AE636C" w14:textId="77777777" w:rsidR="00AC363A" w:rsidRPr="00546020" w:rsidRDefault="00AC363A" w:rsidP="00B62D8B">
            <w:pPr>
              <w:spacing w:line="480" w:lineRule="auto"/>
              <w:jc w:val="center"/>
            </w:pPr>
            <w:r w:rsidRPr="00546020">
              <w:t>.01</w:t>
            </w:r>
          </w:p>
        </w:tc>
        <w:tc>
          <w:tcPr>
            <w:tcW w:w="682" w:type="dxa"/>
          </w:tcPr>
          <w:p w14:paraId="0D28CE2D" w14:textId="77777777" w:rsidR="00AC363A" w:rsidRPr="00546020" w:rsidRDefault="00AC363A" w:rsidP="00B62D8B">
            <w:pPr>
              <w:spacing w:line="480" w:lineRule="auto"/>
              <w:jc w:val="center"/>
            </w:pPr>
            <w:r w:rsidRPr="00546020">
              <w:t>1.14</w:t>
            </w:r>
          </w:p>
        </w:tc>
        <w:tc>
          <w:tcPr>
            <w:tcW w:w="682" w:type="dxa"/>
          </w:tcPr>
          <w:p w14:paraId="717A40B4" w14:textId="77777777" w:rsidR="00AC363A" w:rsidRPr="00546020" w:rsidRDefault="00AC363A" w:rsidP="00B62D8B">
            <w:pPr>
              <w:spacing w:line="480" w:lineRule="auto"/>
              <w:jc w:val="center"/>
            </w:pPr>
            <w:r w:rsidRPr="00546020">
              <w:t>.29</w:t>
            </w:r>
          </w:p>
        </w:tc>
        <w:tc>
          <w:tcPr>
            <w:tcW w:w="690" w:type="dxa"/>
          </w:tcPr>
          <w:p w14:paraId="7A11279B" w14:textId="77777777" w:rsidR="00AC363A" w:rsidRPr="00546020" w:rsidRDefault="00AC363A" w:rsidP="00B62D8B">
            <w:pPr>
              <w:spacing w:line="480" w:lineRule="auto"/>
              <w:jc w:val="center"/>
            </w:pPr>
            <w:r w:rsidRPr="00546020">
              <w:t>.02</w:t>
            </w:r>
          </w:p>
        </w:tc>
      </w:tr>
      <w:tr w:rsidR="00AC363A" w:rsidRPr="00546020" w14:paraId="53E78B33" w14:textId="77777777" w:rsidTr="00B62D8B">
        <w:tc>
          <w:tcPr>
            <w:tcW w:w="2401" w:type="dxa"/>
          </w:tcPr>
          <w:p w14:paraId="73479767" w14:textId="77777777" w:rsidR="00AC363A" w:rsidRPr="00546020" w:rsidRDefault="00AC363A" w:rsidP="00B62D8B">
            <w:pPr>
              <w:spacing w:line="480" w:lineRule="auto"/>
            </w:pPr>
            <w:r w:rsidRPr="00546020">
              <w:t>Quality of life</w:t>
            </w:r>
          </w:p>
        </w:tc>
        <w:tc>
          <w:tcPr>
            <w:tcW w:w="774" w:type="dxa"/>
            <w:gridSpan w:val="2"/>
          </w:tcPr>
          <w:p w14:paraId="1C8834BE" w14:textId="77777777" w:rsidR="00AC363A" w:rsidRPr="00546020" w:rsidRDefault="00AC363A" w:rsidP="00B62D8B">
            <w:pPr>
              <w:spacing w:line="480" w:lineRule="auto"/>
              <w:jc w:val="center"/>
            </w:pPr>
            <w:r w:rsidRPr="00546020">
              <w:t>1,51</w:t>
            </w:r>
          </w:p>
        </w:tc>
        <w:tc>
          <w:tcPr>
            <w:tcW w:w="641" w:type="dxa"/>
          </w:tcPr>
          <w:p w14:paraId="305C2D46" w14:textId="77777777" w:rsidR="00AC363A" w:rsidRPr="00546020" w:rsidRDefault="00AC363A" w:rsidP="00B62D8B">
            <w:pPr>
              <w:spacing w:line="480" w:lineRule="auto"/>
              <w:jc w:val="center"/>
            </w:pPr>
            <w:r w:rsidRPr="00546020">
              <w:t>0.05</w:t>
            </w:r>
          </w:p>
        </w:tc>
        <w:tc>
          <w:tcPr>
            <w:tcW w:w="755" w:type="dxa"/>
          </w:tcPr>
          <w:p w14:paraId="5B419E82" w14:textId="77777777" w:rsidR="00AC363A" w:rsidRPr="00546020" w:rsidRDefault="00AC363A" w:rsidP="00B62D8B">
            <w:pPr>
              <w:spacing w:line="480" w:lineRule="auto"/>
              <w:jc w:val="center"/>
            </w:pPr>
            <w:r w:rsidRPr="00546020">
              <w:t>.817</w:t>
            </w:r>
          </w:p>
        </w:tc>
        <w:tc>
          <w:tcPr>
            <w:tcW w:w="754" w:type="dxa"/>
          </w:tcPr>
          <w:p w14:paraId="7F6AD763" w14:textId="77777777" w:rsidR="00AC363A" w:rsidRPr="00546020" w:rsidRDefault="00AC363A" w:rsidP="00B62D8B">
            <w:pPr>
              <w:spacing w:line="480" w:lineRule="auto"/>
              <w:jc w:val="center"/>
            </w:pPr>
            <w:r w:rsidRPr="00546020">
              <w:t>&lt;.01</w:t>
            </w:r>
          </w:p>
        </w:tc>
        <w:tc>
          <w:tcPr>
            <w:tcW w:w="755" w:type="dxa"/>
          </w:tcPr>
          <w:p w14:paraId="40D5DBF6" w14:textId="77777777" w:rsidR="00AC363A" w:rsidRPr="00546020" w:rsidRDefault="00AC363A" w:rsidP="00B62D8B">
            <w:pPr>
              <w:spacing w:line="480" w:lineRule="auto"/>
              <w:jc w:val="center"/>
            </w:pPr>
            <w:r w:rsidRPr="00546020">
              <w:t>4.27</w:t>
            </w:r>
          </w:p>
        </w:tc>
        <w:tc>
          <w:tcPr>
            <w:tcW w:w="707" w:type="dxa"/>
          </w:tcPr>
          <w:p w14:paraId="676454E4" w14:textId="77777777" w:rsidR="00AC363A" w:rsidRPr="00546020" w:rsidRDefault="00AC363A" w:rsidP="00B62D8B">
            <w:pPr>
              <w:spacing w:line="480" w:lineRule="auto"/>
              <w:jc w:val="center"/>
            </w:pPr>
            <w:r w:rsidRPr="00546020">
              <w:t>.044</w:t>
            </w:r>
          </w:p>
        </w:tc>
        <w:tc>
          <w:tcPr>
            <w:tcW w:w="566" w:type="dxa"/>
          </w:tcPr>
          <w:p w14:paraId="0F199795" w14:textId="77777777" w:rsidR="00AC363A" w:rsidRPr="00546020" w:rsidRDefault="00AC363A" w:rsidP="00B62D8B">
            <w:pPr>
              <w:spacing w:line="480" w:lineRule="auto"/>
              <w:jc w:val="center"/>
            </w:pPr>
            <w:r w:rsidRPr="00546020">
              <w:t>.08</w:t>
            </w:r>
          </w:p>
        </w:tc>
        <w:tc>
          <w:tcPr>
            <w:tcW w:w="283" w:type="dxa"/>
          </w:tcPr>
          <w:p w14:paraId="63D8E00E" w14:textId="77777777" w:rsidR="00AC363A" w:rsidRPr="00546020" w:rsidRDefault="00AC363A" w:rsidP="00B62D8B">
            <w:pPr>
              <w:spacing w:line="480" w:lineRule="auto"/>
              <w:jc w:val="center"/>
            </w:pPr>
          </w:p>
        </w:tc>
        <w:tc>
          <w:tcPr>
            <w:tcW w:w="755" w:type="dxa"/>
          </w:tcPr>
          <w:p w14:paraId="12186A61" w14:textId="77777777" w:rsidR="00AC363A" w:rsidRPr="00546020" w:rsidRDefault="00AC363A" w:rsidP="00B62D8B">
            <w:pPr>
              <w:spacing w:line="480" w:lineRule="auto"/>
              <w:jc w:val="center"/>
            </w:pPr>
            <w:r w:rsidRPr="00546020">
              <w:t>1.19</w:t>
            </w:r>
          </w:p>
        </w:tc>
        <w:tc>
          <w:tcPr>
            <w:tcW w:w="771" w:type="dxa"/>
          </w:tcPr>
          <w:p w14:paraId="4DB5D74A" w14:textId="77777777" w:rsidR="00AC363A" w:rsidRPr="00546020" w:rsidRDefault="00AC363A" w:rsidP="00B62D8B">
            <w:pPr>
              <w:spacing w:line="480" w:lineRule="auto"/>
              <w:jc w:val="center"/>
            </w:pPr>
            <w:r w:rsidRPr="00546020">
              <w:t>.280</w:t>
            </w:r>
          </w:p>
        </w:tc>
        <w:tc>
          <w:tcPr>
            <w:tcW w:w="652" w:type="dxa"/>
          </w:tcPr>
          <w:p w14:paraId="541119BC" w14:textId="77777777" w:rsidR="00AC363A" w:rsidRPr="00546020" w:rsidRDefault="00AC363A" w:rsidP="00B62D8B">
            <w:pPr>
              <w:spacing w:line="480" w:lineRule="auto"/>
              <w:jc w:val="center"/>
            </w:pPr>
            <w:r w:rsidRPr="00546020">
              <w:t>.023</w:t>
            </w:r>
          </w:p>
        </w:tc>
        <w:tc>
          <w:tcPr>
            <w:tcW w:w="682" w:type="dxa"/>
          </w:tcPr>
          <w:p w14:paraId="2F1511B2" w14:textId="77777777" w:rsidR="00AC363A" w:rsidRPr="00546020" w:rsidRDefault="00AC363A" w:rsidP="00B62D8B">
            <w:pPr>
              <w:spacing w:line="480" w:lineRule="auto"/>
              <w:jc w:val="center"/>
            </w:pPr>
            <w:r w:rsidRPr="00546020">
              <w:t>0.07</w:t>
            </w:r>
          </w:p>
        </w:tc>
        <w:tc>
          <w:tcPr>
            <w:tcW w:w="682" w:type="dxa"/>
          </w:tcPr>
          <w:p w14:paraId="5654AFAE" w14:textId="77777777" w:rsidR="00AC363A" w:rsidRPr="00546020" w:rsidRDefault="00AC363A" w:rsidP="00B62D8B">
            <w:pPr>
              <w:spacing w:line="480" w:lineRule="auto"/>
              <w:jc w:val="center"/>
            </w:pPr>
            <w:r w:rsidRPr="00546020">
              <w:t>.786</w:t>
            </w:r>
          </w:p>
        </w:tc>
        <w:tc>
          <w:tcPr>
            <w:tcW w:w="690" w:type="dxa"/>
          </w:tcPr>
          <w:p w14:paraId="09E49422" w14:textId="77777777" w:rsidR="00AC363A" w:rsidRPr="00546020" w:rsidRDefault="00AC363A" w:rsidP="00B62D8B">
            <w:pPr>
              <w:spacing w:line="480" w:lineRule="auto"/>
              <w:jc w:val="center"/>
            </w:pPr>
            <w:r w:rsidRPr="00546020">
              <w:t>&lt;.01</w:t>
            </w:r>
          </w:p>
        </w:tc>
        <w:tc>
          <w:tcPr>
            <w:tcW w:w="682" w:type="dxa"/>
          </w:tcPr>
          <w:p w14:paraId="2113A1BD" w14:textId="77777777" w:rsidR="00AC363A" w:rsidRPr="00546020" w:rsidRDefault="00AC363A" w:rsidP="00B62D8B">
            <w:pPr>
              <w:spacing w:line="480" w:lineRule="auto"/>
              <w:jc w:val="center"/>
            </w:pPr>
            <w:r w:rsidRPr="00546020">
              <w:t>4.46</w:t>
            </w:r>
          </w:p>
        </w:tc>
        <w:tc>
          <w:tcPr>
            <w:tcW w:w="682" w:type="dxa"/>
          </w:tcPr>
          <w:p w14:paraId="09308AC8" w14:textId="77777777" w:rsidR="00AC363A" w:rsidRPr="00546020" w:rsidRDefault="00AC363A" w:rsidP="00B62D8B">
            <w:pPr>
              <w:spacing w:line="480" w:lineRule="auto"/>
              <w:jc w:val="center"/>
            </w:pPr>
            <w:r w:rsidRPr="00546020">
              <w:t>.04</w:t>
            </w:r>
          </w:p>
        </w:tc>
        <w:tc>
          <w:tcPr>
            <w:tcW w:w="690" w:type="dxa"/>
          </w:tcPr>
          <w:p w14:paraId="2648DA33" w14:textId="77777777" w:rsidR="00AC363A" w:rsidRPr="00546020" w:rsidRDefault="00AC363A" w:rsidP="00B62D8B">
            <w:pPr>
              <w:spacing w:line="480" w:lineRule="auto"/>
              <w:jc w:val="center"/>
            </w:pPr>
            <w:r w:rsidRPr="00546020">
              <w:t>.08</w:t>
            </w:r>
          </w:p>
        </w:tc>
      </w:tr>
      <w:tr w:rsidR="00AC363A" w:rsidRPr="00546020" w14:paraId="300D3530" w14:textId="77777777" w:rsidTr="00B62D8B">
        <w:tc>
          <w:tcPr>
            <w:tcW w:w="2354" w:type="dxa"/>
          </w:tcPr>
          <w:p w14:paraId="74D417F7" w14:textId="1E95178C" w:rsidR="00AC363A" w:rsidRPr="00546020" w:rsidRDefault="00F56CFB" w:rsidP="00B62D8B">
            <w:pPr>
              <w:spacing w:line="480" w:lineRule="auto"/>
            </w:pPr>
            <w:r>
              <w:t>D</w:t>
            </w:r>
            <w:r w:rsidR="00AC363A" w:rsidRPr="00546020">
              <w:t>ays in work</w:t>
            </w:r>
          </w:p>
        </w:tc>
        <w:tc>
          <w:tcPr>
            <w:tcW w:w="768" w:type="dxa"/>
            <w:gridSpan w:val="2"/>
          </w:tcPr>
          <w:p w14:paraId="07A842EA" w14:textId="77777777" w:rsidR="00AC363A" w:rsidRPr="00546020" w:rsidRDefault="00AC363A" w:rsidP="00B62D8B">
            <w:pPr>
              <w:spacing w:line="480" w:lineRule="auto"/>
              <w:jc w:val="center"/>
            </w:pPr>
            <w:r w:rsidRPr="00546020">
              <w:t>1,59</w:t>
            </w:r>
          </w:p>
        </w:tc>
        <w:tc>
          <w:tcPr>
            <w:tcW w:w="756" w:type="dxa"/>
          </w:tcPr>
          <w:p w14:paraId="5D1BB8F0" w14:textId="77777777" w:rsidR="00AC363A" w:rsidRPr="00546020" w:rsidRDefault="00AC363A" w:rsidP="00B62D8B">
            <w:pPr>
              <w:spacing w:line="480" w:lineRule="auto"/>
              <w:jc w:val="center"/>
            </w:pPr>
            <w:r w:rsidRPr="00546020">
              <w:t>0.98</w:t>
            </w:r>
          </w:p>
        </w:tc>
        <w:tc>
          <w:tcPr>
            <w:tcW w:w="748" w:type="dxa"/>
          </w:tcPr>
          <w:p w14:paraId="0B92B64B" w14:textId="77777777" w:rsidR="00AC363A" w:rsidRPr="00546020" w:rsidRDefault="00AC363A" w:rsidP="00B62D8B">
            <w:pPr>
              <w:spacing w:line="480" w:lineRule="auto"/>
              <w:jc w:val="center"/>
            </w:pPr>
            <w:r w:rsidRPr="00546020">
              <w:t>.33</w:t>
            </w:r>
          </w:p>
        </w:tc>
        <w:tc>
          <w:tcPr>
            <w:tcW w:w="748" w:type="dxa"/>
          </w:tcPr>
          <w:p w14:paraId="16680C54" w14:textId="77777777" w:rsidR="00AC363A" w:rsidRPr="00546020" w:rsidRDefault="00AC363A" w:rsidP="00B62D8B">
            <w:pPr>
              <w:spacing w:line="480" w:lineRule="auto"/>
              <w:jc w:val="center"/>
            </w:pPr>
            <w:r w:rsidRPr="00546020">
              <w:t>.02</w:t>
            </w:r>
          </w:p>
        </w:tc>
        <w:tc>
          <w:tcPr>
            <w:tcW w:w="748" w:type="dxa"/>
          </w:tcPr>
          <w:p w14:paraId="30ADA505" w14:textId="77777777" w:rsidR="00AC363A" w:rsidRPr="00546020" w:rsidRDefault="00AC363A" w:rsidP="00B62D8B">
            <w:pPr>
              <w:spacing w:line="480" w:lineRule="auto"/>
              <w:jc w:val="center"/>
            </w:pPr>
            <w:r w:rsidRPr="00546020">
              <w:t>0.41</w:t>
            </w:r>
          </w:p>
        </w:tc>
        <w:tc>
          <w:tcPr>
            <w:tcW w:w="703" w:type="dxa"/>
          </w:tcPr>
          <w:p w14:paraId="10A074A1" w14:textId="77777777" w:rsidR="00AC363A" w:rsidRPr="00546020" w:rsidRDefault="00AC363A" w:rsidP="00B62D8B">
            <w:pPr>
              <w:spacing w:line="480" w:lineRule="auto"/>
              <w:jc w:val="center"/>
            </w:pPr>
            <w:r w:rsidRPr="00546020">
              <w:t>.524</w:t>
            </w:r>
          </w:p>
        </w:tc>
        <w:tc>
          <w:tcPr>
            <w:tcW w:w="563" w:type="dxa"/>
          </w:tcPr>
          <w:p w14:paraId="76A706B9" w14:textId="77777777" w:rsidR="00AC363A" w:rsidRPr="00546020" w:rsidRDefault="00AC363A" w:rsidP="00B62D8B">
            <w:pPr>
              <w:spacing w:line="480" w:lineRule="auto"/>
              <w:jc w:val="center"/>
            </w:pPr>
            <w:r w:rsidRPr="00546020">
              <w:t>.007</w:t>
            </w:r>
          </w:p>
        </w:tc>
        <w:tc>
          <w:tcPr>
            <w:tcW w:w="280" w:type="dxa"/>
          </w:tcPr>
          <w:p w14:paraId="00B9D6EE" w14:textId="77777777" w:rsidR="00AC363A" w:rsidRPr="00546020" w:rsidRDefault="00AC363A" w:rsidP="00B62D8B">
            <w:pPr>
              <w:spacing w:line="480" w:lineRule="auto"/>
              <w:jc w:val="center"/>
            </w:pPr>
          </w:p>
        </w:tc>
        <w:tc>
          <w:tcPr>
            <w:tcW w:w="748" w:type="dxa"/>
          </w:tcPr>
          <w:p w14:paraId="74771557" w14:textId="77777777" w:rsidR="00AC363A" w:rsidRPr="00546020" w:rsidRDefault="00AC363A" w:rsidP="00B62D8B">
            <w:pPr>
              <w:spacing w:line="480" w:lineRule="auto"/>
              <w:jc w:val="center"/>
            </w:pPr>
            <w:r w:rsidRPr="00546020">
              <w:t>0.68</w:t>
            </w:r>
          </w:p>
        </w:tc>
        <w:tc>
          <w:tcPr>
            <w:tcW w:w="763" w:type="dxa"/>
          </w:tcPr>
          <w:p w14:paraId="177AA33E" w14:textId="77777777" w:rsidR="00AC363A" w:rsidRPr="00546020" w:rsidRDefault="00AC363A" w:rsidP="00B62D8B">
            <w:pPr>
              <w:spacing w:line="480" w:lineRule="auto"/>
              <w:jc w:val="center"/>
            </w:pPr>
            <w:r w:rsidRPr="00546020">
              <w:t>.414</w:t>
            </w:r>
          </w:p>
        </w:tc>
        <w:tc>
          <w:tcPr>
            <w:tcW w:w="652" w:type="dxa"/>
          </w:tcPr>
          <w:p w14:paraId="56D55179" w14:textId="77777777" w:rsidR="00AC363A" w:rsidRPr="00546020" w:rsidRDefault="00AC363A" w:rsidP="00B62D8B">
            <w:pPr>
              <w:spacing w:line="480" w:lineRule="auto"/>
              <w:jc w:val="center"/>
            </w:pPr>
            <w:r w:rsidRPr="00546020">
              <w:t>.01</w:t>
            </w:r>
          </w:p>
        </w:tc>
        <w:tc>
          <w:tcPr>
            <w:tcW w:w="679" w:type="dxa"/>
          </w:tcPr>
          <w:p w14:paraId="50A36187" w14:textId="77777777" w:rsidR="00AC363A" w:rsidRPr="00546020" w:rsidRDefault="00AC363A" w:rsidP="00B62D8B">
            <w:pPr>
              <w:spacing w:line="480" w:lineRule="auto"/>
              <w:jc w:val="center"/>
            </w:pPr>
            <w:r w:rsidRPr="00546020">
              <w:t>3.65</w:t>
            </w:r>
          </w:p>
        </w:tc>
        <w:tc>
          <w:tcPr>
            <w:tcW w:w="679" w:type="dxa"/>
          </w:tcPr>
          <w:p w14:paraId="26E15854" w14:textId="77777777" w:rsidR="00AC363A" w:rsidRPr="00546020" w:rsidRDefault="00AC363A" w:rsidP="00B62D8B">
            <w:pPr>
              <w:spacing w:line="480" w:lineRule="auto"/>
              <w:jc w:val="center"/>
            </w:pPr>
            <w:r w:rsidRPr="00546020">
              <w:t>.061</w:t>
            </w:r>
          </w:p>
        </w:tc>
        <w:tc>
          <w:tcPr>
            <w:tcW w:w="688" w:type="dxa"/>
          </w:tcPr>
          <w:p w14:paraId="2E0651A7" w14:textId="77777777" w:rsidR="00AC363A" w:rsidRPr="00546020" w:rsidRDefault="00AC363A" w:rsidP="00B62D8B">
            <w:pPr>
              <w:spacing w:line="480" w:lineRule="auto"/>
              <w:jc w:val="center"/>
            </w:pPr>
            <w:r w:rsidRPr="00546020">
              <w:t>.06</w:t>
            </w:r>
          </w:p>
        </w:tc>
        <w:tc>
          <w:tcPr>
            <w:tcW w:w="679" w:type="dxa"/>
          </w:tcPr>
          <w:p w14:paraId="437743EB" w14:textId="77777777" w:rsidR="00AC363A" w:rsidRPr="00546020" w:rsidRDefault="00AC363A" w:rsidP="00B62D8B">
            <w:pPr>
              <w:spacing w:line="480" w:lineRule="auto"/>
              <w:jc w:val="center"/>
            </w:pPr>
            <w:r w:rsidRPr="00546020">
              <w:t>0.35</w:t>
            </w:r>
          </w:p>
        </w:tc>
        <w:tc>
          <w:tcPr>
            <w:tcW w:w="679" w:type="dxa"/>
          </w:tcPr>
          <w:p w14:paraId="51755674" w14:textId="77777777" w:rsidR="00AC363A" w:rsidRPr="00546020" w:rsidRDefault="00AC363A" w:rsidP="00B62D8B">
            <w:pPr>
              <w:spacing w:line="480" w:lineRule="auto"/>
              <w:jc w:val="center"/>
            </w:pPr>
            <w:r w:rsidRPr="00546020">
              <w:t>.56</w:t>
            </w:r>
          </w:p>
        </w:tc>
        <w:tc>
          <w:tcPr>
            <w:tcW w:w="687" w:type="dxa"/>
          </w:tcPr>
          <w:p w14:paraId="1D826FF1" w14:textId="77777777" w:rsidR="00AC363A" w:rsidRPr="00546020" w:rsidRDefault="00AC363A" w:rsidP="00B62D8B">
            <w:pPr>
              <w:spacing w:line="480" w:lineRule="auto"/>
              <w:jc w:val="center"/>
            </w:pPr>
            <w:r w:rsidRPr="00546020">
              <w:t>&lt;.01</w:t>
            </w:r>
          </w:p>
        </w:tc>
      </w:tr>
      <w:tr w:rsidR="00AC363A" w:rsidRPr="00546020" w14:paraId="4588C271" w14:textId="77777777" w:rsidTr="00B62D8B">
        <w:tc>
          <w:tcPr>
            <w:tcW w:w="2354" w:type="dxa"/>
          </w:tcPr>
          <w:p w14:paraId="05BE349A" w14:textId="5C93A0CC" w:rsidR="00AC363A" w:rsidRPr="00546020" w:rsidRDefault="00F56CFB" w:rsidP="00B62D8B">
            <w:pPr>
              <w:spacing w:line="480" w:lineRule="auto"/>
            </w:pPr>
            <w:r>
              <w:t>Days drinking</w:t>
            </w:r>
          </w:p>
        </w:tc>
        <w:tc>
          <w:tcPr>
            <w:tcW w:w="768" w:type="dxa"/>
            <w:gridSpan w:val="2"/>
          </w:tcPr>
          <w:p w14:paraId="6CF4BA54" w14:textId="77777777" w:rsidR="00AC363A" w:rsidRPr="00546020" w:rsidRDefault="00AC363A" w:rsidP="00B62D8B">
            <w:pPr>
              <w:spacing w:line="480" w:lineRule="auto"/>
              <w:jc w:val="center"/>
            </w:pPr>
            <w:r w:rsidRPr="00546020">
              <w:t>1,52</w:t>
            </w:r>
          </w:p>
        </w:tc>
        <w:tc>
          <w:tcPr>
            <w:tcW w:w="756" w:type="dxa"/>
          </w:tcPr>
          <w:p w14:paraId="039D262D" w14:textId="77777777" w:rsidR="00AC363A" w:rsidRPr="00546020" w:rsidRDefault="00AC363A" w:rsidP="00B62D8B">
            <w:pPr>
              <w:spacing w:line="480" w:lineRule="auto"/>
              <w:jc w:val="center"/>
            </w:pPr>
            <w:r w:rsidRPr="00546020">
              <w:t>6.69</w:t>
            </w:r>
          </w:p>
        </w:tc>
        <w:tc>
          <w:tcPr>
            <w:tcW w:w="748" w:type="dxa"/>
          </w:tcPr>
          <w:p w14:paraId="3ECE30FD" w14:textId="77777777" w:rsidR="00AC363A" w:rsidRPr="00546020" w:rsidRDefault="00AC363A" w:rsidP="00B62D8B">
            <w:pPr>
              <w:spacing w:line="480" w:lineRule="auto"/>
              <w:jc w:val="center"/>
            </w:pPr>
            <w:r w:rsidRPr="00546020">
              <w:t>.013</w:t>
            </w:r>
          </w:p>
        </w:tc>
        <w:tc>
          <w:tcPr>
            <w:tcW w:w="748" w:type="dxa"/>
          </w:tcPr>
          <w:p w14:paraId="073A2CEF" w14:textId="77777777" w:rsidR="00AC363A" w:rsidRPr="00546020" w:rsidRDefault="00AC363A" w:rsidP="00B62D8B">
            <w:pPr>
              <w:spacing w:line="480" w:lineRule="auto"/>
              <w:jc w:val="center"/>
            </w:pPr>
            <w:r w:rsidRPr="00546020">
              <w:t>.11</w:t>
            </w:r>
          </w:p>
        </w:tc>
        <w:tc>
          <w:tcPr>
            <w:tcW w:w="748" w:type="dxa"/>
          </w:tcPr>
          <w:p w14:paraId="5DDA8A30" w14:textId="77777777" w:rsidR="00AC363A" w:rsidRPr="00546020" w:rsidRDefault="00AC363A" w:rsidP="00B62D8B">
            <w:pPr>
              <w:spacing w:line="480" w:lineRule="auto"/>
              <w:jc w:val="center"/>
            </w:pPr>
            <w:r w:rsidRPr="00546020">
              <w:t>2.56</w:t>
            </w:r>
          </w:p>
        </w:tc>
        <w:tc>
          <w:tcPr>
            <w:tcW w:w="703" w:type="dxa"/>
          </w:tcPr>
          <w:p w14:paraId="23F44A93" w14:textId="77777777" w:rsidR="00AC363A" w:rsidRPr="00546020" w:rsidRDefault="00AC363A" w:rsidP="00B62D8B">
            <w:pPr>
              <w:spacing w:line="480" w:lineRule="auto"/>
              <w:jc w:val="center"/>
            </w:pPr>
            <w:r w:rsidRPr="00546020">
              <w:t>.115</w:t>
            </w:r>
          </w:p>
        </w:tc>
        <w:tc>
          <w:tcPr>
            <w:tcW w:w="563" w:type="dxa"/>
          </w:tcPr>
          <w:p w14:paraId="6DDDBBE5" w14:textId="77777777" w:rsidR="00AC363A" w:rsidRPr="00546020" w:rsidRDefault="00AC363A" w:rsidP="00B62D8B">
            <w:pPr>
              <w:spacing w:line="480" w:lineRule="auto"/>
              <w:jc w:val="center"/>
            </w:pPr>
            <w:r w:rsidRPr="00546020">
              <w:t>.05</w:t>
            </w:r>
          </w:p>
        </w:tc>
        <w:tc>
          <w:tcPr>
            <w:tcW w:w="280" w:type="dxa"/>
          </w:tcPr>
          <w:p w14:paraId="6E7E3FDE" w14:textId="77777777" w:rsidR="00AC363A" w:rsidRPr="00546020" w:rsidRDefault="00AC363A" w:rsidP="00B62D8B">
            <w:pPr>
              <w:spacing w:line="480" w:lineRule="auto"/>
              <w:jc w:val="center"/>
            </w:pPr>
          </w:p>
        </w:tc>
        <w:tc>
          <w:tcPr>
            <w:tcW w:w="748" w:type="dxa"/>
          </w:tcPr>
          <w:p w14:paraId="7C651544" w14:textId="77777777" w:rsidR="00AC363A" w:rsidRPr="00546020" w:rsidRDefault="00AC363A" w:rsidP="00B62D8B">
            <w:pPr>
              <w:spacing w:line="480" w:lineRule="auto"/>
              <w:jc w:val="center"/>
            </w:pPr>
            <w:r w:rsidRPr="00546020">
              <w:t>0.98</w:t>
            </w:r>
          </w:p>
        </w:tc>
        <w:tc>
          <w:tcPr>
            <w:tcW w:w="763" w:type="dxa"/>
          </w:tcPr>
          <w:p w14:paraId="4CEDC804" w14:textId="77777777" w:rsidR="00AC363A" w:rsidRPr="00546020" w:rsidRDefault="00AC363A" w:rsidP="00B62D8B">
            <w:pPr>
              <w:spacing w:line="480" w:lineRule="auto"/>
            </w:pPr>
            <w:r w:rsidRPr="00546020">
              <w:t>.327</w:t>
            </w:r>
          </w:p>
        </w:tc>
        <w:tc>
          <w:tcPr>
            <w:tcW w:w="652" w:type="dxa"/>
          </w:tcPr>
          <w:p w14:paraId="591F1419" w14:textId="77777777" w:rsidR="00AC363A" w:rsidRPr="00546020" w:rsidRDefault="00AC363A" w:rsidP="00B62D8B">
            <w:pPr>
              <w:spacing w:line="480" w:lineRule="auto"/>
              <w:jc w:val="center"/>
            </w:pPr>
            <w:r w:rsidRPr="00546020">
              <w:t>0.02</w:t>
            </w:r>
          </w:p>
        </w:tc>
        <w:tc>
          <w:tcPr>
            <w:tcW w:w="679" w:type="dxa"/>
          </w:tcPr>
          <w:p w14:paraId="1852EA56" w14:textId="77777777" w:rsidR="00AC363A" w:rsidRPr="00546020" w:rsidRDefault="00AC363A" w:rsidP="00B62D8B">
            <w:pPr>
              <w:spacing w:line="480" w:lineRule="auto"/>
              <w:jc w:val="center"/>
            </w:pPr>
            <w:r w:rsidRPr="00546020">
              <w:t>.288</w:t>
            </w:r>
          </w:p>
        </w:tc>
        <w:tc>
          <w:tcPr>
            <w:tcW w:w="679" w:type="dxa"/>
          </w:tcPr>
          <w:p w14:paraId="3FF4A442" w14:textId="77777777" w:rsidR="00AC363A" w:rsidRPr="00546020" w:rsidRDefault="00AC363A" w:rsidP="00B62D8B">
            <w:pPr>
              <w:spacing w:line="480" w:lineRule="auto"/>
              <w:jc w:val="center"/>
            </w:pPr>
            <w:r w:rsidRPr="00546020">
              <w:t>.594</w:t>
            </w:r>
          </w:p>
        </w:tc>
        <w:tc>
          <w:tcPr>
            <w:tcW w:w="688" w:type="dxa"/>
          </w:tcPr>
          <w:p w14:paraId="274E489A" w14:textId="77777777" w:rsidR="00AC363A" w:rsidRPr="00546020" w:rsidRDefault="00AC363A" w:rsidP="00B62D8B">
            <w:pPr>
              <w:spacing w:line="480" w:lineRule="auto"/>
              <w:jc w:val="center"/>
            </w:pPr>
            <w:r w:rsidRPr="00546020">
              <w:t>.01</w:t>
            </w:r>
          </w:p>
        </w:tc>
        <w:tc>
          <w:tcPr>
            <w:tcW w:w="679" w:type="dxa"/>
          </w:tcPr>
          <w:p w14:paraId="01440082" w14:textId="77777777" w:rsidR="00AC363A" w:rsidRPr="00546020" w:rsidRDefault="00AC363A" w:rsidP="00B62D8B">
            <w:pPr>
              <w:spacing w:line="480" w:lineRule="auto"/>
              <w:jc w:val="center"/>
            </w:pPr>
            <w:r w:rsidRPr="00546020">
              <w:t>2.97</w:t>
            </w:r>
          </w:p>
        </w:tc>
        <w:tc>
          <w:tcPr>
            <w:tcW w:w="679" w:type="dxa"/>
          </w:tcPr>
          <w:p w14:paraId="28D4366C" w14:textId="77777777" w:rsidR="00AC363A" w:rsidRPr="00546020" w:rsidRDefault="00AC363A" w:rsidP="00B62D8B">
            <w:pPr>
              <w:spacing w:line="480" w:lineRule="auto"/>
              <w:jc w:val="center"/>
            </w:pPr>
            <w:r w:rsidRPr="00546020">
              <w:t>.091</w:t>
            </w:r>
          </w:p>
        </w:tc>
        <w:tc>
          <w:tcPr>
            <w:tcW w:w="687" w:type="dxa"/>
          </w:tcPr>
          <w:p w14:paraId="703893BE" w14:textId="77777777" w:rsidR="00AC363A" w:rsidRPr="00546020" w:rsidRDefault="00AC363A" w:rsidP="00B62D8B">
            <w:pPr>
              <w:spacing w:line="480" w:lineRule="auto"/>
              <w:jc w:val="center"/>
            </w:pPr>
            <w:r w:rsidRPr="00546020">
              <w:t>.053</w:t>
            </w:r>
          </w:p>
        </w:tc>
      </w:tr>
    </w:tbl>
    <w:p w14:paraId="2A984630" w14:textId="468E199B" w:rsidR="00AC363A" w:rsidRPr="00546020" w:rsidRDefault="006E38E2" w:rsidP="00E961CC">
      <w:pPr>
        <w:spacing w:line="480" w:lineRule="auto"/>
      </w:pPr>
      <w:bookmarkStart w:id="2" w:name="_Hlk524954375"/>
      <w:r w:rsidRPr="00546020">
        <w:t>Note:</w:t>
      </w:r>
      <w:r w:rsidR="00CF4B16" w:rsidRPr="00546020">
        <w:t xml:space="preserve"> Within test s</w:t>
      </w:r>
      <w:r w:rsidRPr="00546020">
        <w:t xml:space="preserve">ample sizes (reflected in degrees of freedom) vary as a function of completeness of data (see </w:t>
      </w:r>
      <w:r w:rsidRPr="00546020">
        <w:rPr>
          <w:i/>
        </w:rPr>
        <w:t>Participants</w:t>
      </w:r>
      <w:r w:rsidRPr="00151EFC">
        <w:t xml:space="preserve"> </w:t>
      </w:r>
      <w:r w:rsidRPr="00546020">
        <w:t xml:space="preserve">and </w:t>
      </w:r>
      <w:r w:rsidRPr="00151EFC">
        <w:rPr>
          <w:i/>
        </w:rPr>
        <w:t>Footnote 1</w:t>
      </w:r>
      <w:r w:rsidRPr="00546020">
        <w:t xml:space="preserve"> for more information).</w:t>
      </w:r>
    </w:p>
    <w:bookmarkEnd w:id="2"/>
    <w:p w14:paraId="2EC970D0" w14:textId="77777777" w:rsidR="00DF6D46" w:rsidRPr="00546020" w:rsidRDefault="00DF6D46">
      <w:pPr>
        <w:spacing w:after="200" w:line="276" w:lineRule="auto"/>
      </w:pPr>
      <w:r w:rsidRPr="00546020">
        <w:br w:type="page"/>
      </w:r>
    </w:p>
    <w:p w14:paraId="00F99915" w14:textId="45E8197C" w:rsidR="005F6602" w:rsidRPr="00546020" w:rsidRDefault="00DF6D46" w:rsidP="00582884">
      <w:pPr>
        <w:tabs>
          <w:tab w:val="left" w:pos="3969"/>
        </w:tabs>
        <w:spacing w:line="480" w:lineRule="auto"/>
      </w:pPr>
      <w:r w:rsidRPr="00546020">
        <w:lastRenderedPageBreak/>
        <w:t>Table 4: Correlation</w:t>
      </w:r>
      <w:r w:rsidR="005F6602" w:rsidRPr="00546020">
        <w:t>s between number of sessions and change in outcome measures</w:t>
      </w:r>
      <w:r w:rsidR="00384952" w:rsidRPr="00546020">
        <w:t>.</w:t>
      </w:r>
    </w:p>
    <w:tbl>
      <w:tblPr>
        <w:tblStyle w:val="TableGrid"/>
        <w:tblW w:w="141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743"/>
        <w:gridCol w:w="1943"/>
        <w:gridCol w:w="1743"/>
        <w:gridCol w:w="1942"/>
        <w:gridCol w:w="1985"/>
        <w:gridCol w:w="1856"/>
      </w:tblGrid>
      <w:tr w:rsidR="005F6602" w:rsidRPr="00546020" w14:paraId="4D288D88" w14:textId="77777777" w:rsidTr="005343BC">
        <w:tc>
          <w:tcPr>
            <w:tcW w:w="2972" w:type="dxa"/>
            <w:tcBorders>
              <w:top w:val="single" w:sz="4" w:space="0" w:color="auto"/>
              <w:bottom w:val="single" w:sz="4" w:space="0" w:color="auto"/>
            </w:tcBorders>
          </w:tcPr>
          <w:p w14:paraId="027272FB" w14:textId="77777777" w:rsidR="005F6602" w:rsidRPr="00546020" w:rsidRDefault="005F6602" w:rsidP="00E961CC">
            <w:pPr>
              <w:spacing w:line="480" w:lineRule="auto"/>
            </w:pPr>
          </w:p>
        </w:tc>
        <w:tc>
          <w:tcPr>
            <w:tcW w:w="1743" w:type="dxa"/>
            <w:tcBorders>
              <w:top w:val="single" w:sz="4" w:space="0" w:color="auto"/>
              <w:bottom w:val="single" w:sz="4" w:space="0" w:color="auto"/>
            </w:tcBorders>
          </w:tcPr>
          <w:p w14:paraId="7BB1AB12" w14:textId="77777777" w:rsidR="005F6602" w:rsidRPr="00546020" w:rsidRDefault="005F6602" w:rsidP="00677788">
            <w:pPr>
              <w:spacing w:line="480" w:lineRule="auto"/>
              <w:jc w:val="center"/>
            </w:pPr>
            <w:r w:rsidRPr="00546020">
              <w:t>(1)</w:t>
            </w:r>
          </w:p>
        </w:tc>
        <w:tc>
          <w:tcPr>
            <w:tcW w:w="1943" w:type="dxa"/>
            <w:tcBorders>
              <w:top w:val="single" w:sz="4" w:space="0" w:color="auto"/>
              <w:bottom w:val="single" w:sz="4" w:space="0" w:color="auto"/>
            </w:tcBorders>
          </w:tcPr>
          <w:p w14:paraId="69FCDD77" w14:textId="77777777" w:rsidR="005F6602" w:rsidRPr="00546020" w:rsidRDefault="005F6602" w:rsidP="00677788">
            <w:pPr>
              <w:spacing w:line="480" w:lineRule="auto"/>
              <w:jc w:val="center"/>
            </w:pPr>
            <w:r w:rsidRPr="00546020">
              <w:t>(2)</w:t>
            </w:r>
          </w:p>
        </w:tc>
        <w:tc>
          <w:tcPr>
            <w:tcW w:w="1743" w:type="dxa"/>
            <w:tcBorders>
              <w:top w:val="single" w:sz="4" w:space="0" w:color="auto"/>
              <w:bottom w:val="single" w:sz="4" w:space="0" w:color="auto"/>
            </w:tcBorders>
          </w:tcPr>
          <w:p w14:paraId="24C8FC91" w14:textId="77777777" w:rsidR="005F6602" w:rsidRPr="00546020" w:rsidRDefault="005F6602" w:rsidP="00677788">
            <w:pPr>
              <w:spacing w:line="480" w:lineRule="auto"/>
              <w:jc w:val="center"/>
            </w:pPr>
            <w:r w:rsidRPr="00546020">
              <w:t>(3)</w:t>
            </w:r>
          </w:p>
        </w:tc>
        <w:tc>
          <w:tcPr>
            <w:tcW w:w="1942" w:type="dxa"/>
            <w:tcBorders>
              <w:top w:val="single" w:sz="4" w:space="0" w:color="auto"/>
              <w:bottom w:val="single" w:sz="4" w:space="0" w:color="auto"/>
            </w:tcBorders>
          </w:tcPr>
          <w:p w14:paraId="4D8E1473" w14:textId="77777777" w:rsidR="005F6602" w:rsidRPr="00546020" w:rsidRDefault="005F6602" w:rsidP="00677788">
            <w:pPr>
              <w:spacing w:line="480" w:lineRule="auto"/>
              <w:jc w:val="center"/>
            </w:pPr>
            <w:r w:rsidRPr="00546020">
              <w:t>(4)</w:t>
            </w:r>
          </w:p>
        </w:tc>
        <w:tc>
          <w:tcPr>
            <w:tcW w:w="1985" w:type="dxa"/>
            <w:tcBorders>
              <w:top w:val="single" w:sz="4" w:space="0" w:color="auto"/>
              <w:bottom w:val="single" w:sz="4" w:space="0" w:color="auto"/>
            </w:tcBorders>
          </w:tcPr>
          <w:p w14:paraId="5EB36E72" w14:textId="77777777" w:rsidR="005F6602" w:rsidRPr="00546020" w:rsidRDefault="005F6602" w:rsidP="00677788">
            <w:pPr>
              <w:spacing w:line="480" w:lineRule="auto"/>
              <w:jc w:val="center"/>
            </w:pPr>
            <w:r w:rsidRPr="00546020">
              <w:t>(5)</w:t>
            </w:r>
          </w:p>
        </w:tc>
        <w:tc>
          <w:tcPr>
            <w:tcW w:w="1856" w:type="dxa"/>
            <w:tcBorders>
              <w:top w:val="single" w:sz="4" w:space="0" w:color="auto"/>
              <w:bottom w:val="single" w:sz="4" w:space="0" w:color="auto"/>
            </w:tcBorders>
          </w:tcPr>
          <w:p w14:paraId="24A0F01F" w14:textId="77777777" w:rsidR="005F6602" w:rsidRPr="00546020" w:rsidRDefault="005F6602" w:rsidP="00677788">
            <w:pPr>
              <w:spacing w:line="480" w:lineRule="auto"/>
              <w:jc w:val="center"/>
            </w:pPr>
            <w:r w:rsidRPr="00546020">
              <w:t>(6)</w:t>
            </w:r>
          </w:p>
        </w:tc>
      </w:tr>
      <w:tr w:rsidR="005F6602" w:rsidRPr="00546020" w14:paraId="2BD6AE5A" w14:textId="77777777" w:rsidTr="005343BC">
        <w:tc>
          <w:tcPr>
            <w:tcW w:w="2972" w:type="dxa"/>
            <w:tcBorders>
              <w:top w:val="single" w:sz="4" w:space="0" w:color="auto"/>
            </w:tcBorders>
          </w:tcPr>
          <w:p w14:paraId="27CA840F" w14:textId="77777777" w:rsidR="005F6602" w:rsidRPr="00546020" w:rsidRDefault="005F6602">
            <w:pPr>
              <w:spacing w:line="480" w:lineRule="auto"/>
            </w:pPr>
            <w:r w:rsidRPr="00546020">
              <w:t>(1) Number of sessions</w:t>
            </w:r>
          </w:p>
        </w:tc>
        <w:tc>
          <w:tcPr>
            <w:tcW w:w="1743" w:type="dxa"/>
            <w:tcBorders>
              <w:top w:val="single" w:sz="4" w:space="0" w:color="auto"/>
            </w:tcBorders>
          </w:tcPr>
          <w:p w14:paraId="1F38EB46" w14:textId="77777777" w:rsidR="005F6602" w:rsidRPr="00546020" w:rsidRDefault="005F6602" w:rsidP="00E961CC">
            <w:pPr>
              <w:spacing w:line="480" w:lineRule="auto"/>
            </w:pPr>
            <w:r w:rsidRPr="00546020">
              <w:t>--</w:t>
            </w:r>
          </w:p>
        </w:tc>
        <w:tc>
          <w:tcPr>
            <w:tcW w:w="1943" w:type="dxa"/>
            <w:tcBorders>
              <w:top w:val="single" w:sz="4" w:space="0" w:color="auto"/>
            </w:tcBorders>
          </w:tcPr>
          <w:p w14:paraId="65A69C44" w14:textId="77777777" w:rsidR="005F6602" w:rsidRPr="00546020" w:rsidRDefault="005F6602" w:rsidP="00E961CC">
            <w:pPr>
              <w:spacing w:line="480" w:lineRule="auto"/>
            </w:pPr>
            <w:r w:rsidRPr="00546020">
              <w:t>.31* [-.034, .55]</w:t>
            </w:r>
          </w:p>
        </w:tc>
        <w:tc>
          <w:tcPr>
            <w:tcW w:w="1743" w:type="dxa"/>
            <w:tcBorders>
              <w:top w:val="single" w:sz="4" w:space="0" w:color="auto"/>
            </w:tcBorders>
          </w:tcPr>
          <w:p w14:paraId="43C5D39D" w14:textId="77777777" w:rsidR="005F6602" w:rsidRPr="00546020" w:rsidRDefault="005F6602" w:rsidP="00E961CC">
            <w:pPr>
              <w:spacing w:line="480" w:lineRule="auto"/>
            </w:pPr>
            <w:r w:rsidRPr="00546020">
              <w:t>.21 [-.11, .42]</w:t>
            </w:r>
          </w:p>
        </w:tc>
        <w:tc>
          <w:tcPr>
            <w:tcW w:w="1942" w:type="dxa"/>
            <w:tcBorders>
              <w:top w:val="single" w:sz="4" w:space="0" w:color="auto"/>
            </w:tcBorders>
          </w:tcPr>
          <w:p w14:paraId="175411FE" w14:textId="77777777" w:rsidR="005F6602" w:rsidRPr="00546020" w:rsidRDefault="005F6602" w:rsidP="00E961CC">
            <w:pPr>
              <w:spacing w:line="480" w:lineRule="auto"/>
            </w:pPr>
            <w:r w:rsidRPr="00546020">
              <w:t>.22 [-.12, .45]</w:t>
            </w:r>
          </w:p>
        </w:tc>
        <w:tc>
          <w:tcPr>
            <w:tcW w:w="1985" w:type="dxa"/>
            <w:tcBorders>
              <w:top w:val="single" w:sz="4" w:space="0" w:color="auto"/>
            </w:tcBorders>
          </w:tcPr>
          <w:p w14:paraId="0F42FC97" w14:textId="77777777" w:rsidR="005F6602" w:rsidRPr="00546020" w:rsidRDefault="005F6602" w:rsidP="00E961CC">
            <w:pPr>
              <w:spacing w:line="480" w:lineRule="auto"/>
            </w:pPr>
            <w:r w:rsidRPr="00546020">
              <w:t>-.03 [-.29, 20]</w:t>
            </w:r>
          </w:p>
        </w:tc>
        <w:tc>
          <w:tcPr>
            <w:tcW w:w="1856" w:type="dxa"/>
            <w:tcBorders>
              <w:top w:val="single" w:sz="4" w:space="0" w:color="auto"/>
            </w:tcBorders>
          </w:tcPr>
          <w:p w14:paraId="17E0F2FE" w14:textId="77777777" w:rsidR="005F6602" w:rsidRPr="00546020" w:rsidRDefault="005F6602" w:rsidP="00E961CC">
            <w:pPr>
              <w:spacing w:line="480" w:lineRule="auto"/>
            </w:pPr>
            <w:r w:rsidRPr="00546020">
              <w:t>-.22</w:t>
            </w:r>
            <w:r w:rsidR="00582B4C" w:rsidRPr="00546020">
              <w:t xml:space="preserve"> [-.45, .01]</w:t>
            </w:r>
          </w:p>
        </w:tc>
      </w:tr>
      <w:tr w:rsidR="005F6602" w:rsidRPr="00546020" w14:paraId="0D4F388F" w14:textId="77777777" w:rsidTr="005343BC">
        <w:tc>
          <w:tcPr>
            <w:tcW w:w="2972" w:type="dxa"/>
          </w:tcPr>
          <w:p w14:paraId="65EB6F63" w14:textId="77777777" w:rsidR="005F6602" w:rsidRPr="00546020" w:rsidRDefault="005F6602" w:rsidP="00E961CC">
            <w:pPr>
              <w:spacing w:line="480" w:lineRule="auto"/>
            </w:pPr>
            <w:r w:rsidRPr="00546020">
              <w:t>(2) Psychological wellbeing</w:t>
            </w:r>
          </w:p>
        </w:tc>
        <w:tc>
          <w:tcPr>
            <w:tcW w:w="1743" w:type="dxa"/>
          </w:tcPr>
          <w:p w14:paraId="141D07C1" w14:textId="77777777" w:rsidR="005F6602" w:rsidRPr="00546020" w:rsidRDefault="005F6602" w:rsidP="00E961CC">
            <w:pPr>
              <w:spacing w:line="480" w:lineRule="auto"/>
            </w:pPr>
          </w:p>
        </w:tc>
        <w:tc>
          <w:tcPr>
            <w:tcW w:w="1943" w:type="dxa"/>
          </w:tcPr>
          <w:p w14:paraId="38BF21F9" w14:textId="77777777" w:rsidR="005F6602" w:rsidRPr="00546020" w:rsidRDefault="005F6602" w:rsidP="00E961CC">
            <w:pPr>
              <w:spacing w:line="480" w:lineRule="auto"/>
            </w:pPr>
            <w:r w:rsidRPr="00546020">
              <w:t>--</w:t>
            </w:r>
          </w:p>
        </w:tc>
        <w:tc>
          <w:tcPr>
            <w:tcW w:w="1743" w:type="dxa"/>
          </w:tcPr>
          <w:p w14:paraId="17872367" w14:textId="77777777" w:rsidR="005F6602" w:rsidRPr="00546020" w:rsidRDefault="00582B4C" w:rsidP="00E961CC">
            <w:pPr>
              <w:spacing w:line="480" w:lineRule="auto"/>
            </w:pPr>
            <w:r w:rsidRPr="00546020">
              <w:t>.49**</w:t>
            </w:r>
            <w:r w:rsidR="00CB5208" w:rsidRPr="00546020">
              <w:t xml:space="preserve"> [.29, .68]</w:t>
            </w:r>
          </w:p>
        </w:tc>
        <w:tc>
          <w:tcPr>
            <w:tcW w:w="1942" w:type="dxa"/>
          </w:tcPr>
          <w:p w14:paraId="3665E702" w14:textId="77777777" w:rsidR="005F6602" w:rsidRPr="00546020" w:rsidRDefault="00CB5208" w:rsidP="00E961CC">
            <w:pPr>
              <w:spacing w:line="480" w:lineRule="auto"/>
            </w:pPr>
            <w:r w:rsidRPr="00546020">
              <w:t>.57** [.39, .73]</w:t>
            </w:r>
          </w:p>
        </w:tc>
        <w:tc>
          <w:tcPr>
            <w:tcW w:w="1985" w:type="dxa"/>
          </w:tcPr>
          <w:p w14:paraId="7E5C013A" w14:textId="77777777" w:rsidR="005F6602" w:rsidRPr="00546020" w:rsidRDefault="00CB5208" w:rsidP="00E961CC">
            <w:pPr>
              <w:spacing w:line="480" w:lineRule="auto"/>
            </w:pPr>
            <w:r w:rsidRPr="00546020">
              <w:t>&lt;.01 [-.21, .22]</w:t>
            </w:r>
          </w:p>
        </w:tc>
        <w:tc>
          <w:tcPr>
            <w:tcW w:w="1856" w:type="dxa"/>
          </w:tcPr>
          <w:p w14:paraId="2AA8158B" w14:textId="77777777" w:rsidR="005F6602" w:rsidRPr="00546020" w:rsidRDefault="00CB5208" w:rsidP="00E961CC">
            <w:pPr>
              <w:spacing w:line="480" w:lineRule="auto"/>
            </w:pPr>
            <w:r w:rsidRPr="00546020">
              <w:t>-.28*[-.50, -.02]</w:t>
            </w:r>
          </w:p>
        </w:tc>
      </w:tr>
      <w:tr w:rsidR="005F6602" w:rsidRPr="00546020" w14:paraId="487156F9" w14:textId="77777777" w:rsidTr="005343BC">
        <w:tc>
          <w:tcPr>
            <w:tcW w:w="2972" w:type="dxa"/>
          </w:tcPr>
          <w:p w14:paraId="33398F3B" w14:textId="77777777" w:rsidR="005F6602" w:rsidRPr="00546020" w:rsidRDefault="005F6602" w:rsidP="00E961CC">
            <w:pPr>
              <w:spacing w:line="480" w:lineRule="auto"/>
            </w:pPr>
            <w:r w:rsidRPr="00546020">
              <w:t>(3) Physical wellbeing</w:t>
            </w:r>
          </w:p>
        </w:tc>
        <w:tc>
          <w:tcPr>
            <w:tcW w:w="1743" w:type="dxa"/>
          </w:tcPr>
          <w:p w14:paraId="423896A3" w14:textId="77777777" w:rsidR="005F6602" w:rsidRPr="00546020" w:rsidRDefault="005F6602" w:rsidP="00E961CC">
            <w:pPr>
              <w:spacing w:line="480" w:lineRule="auto"/>
            </w:pPr>
          </w:p>
        </w:tc>
        <w:tc>
          <w:tcPr>
            <w:tcW w:w="1943" w:type="dxa"/>
          </w:tcPr>
          <w:p w14:paraId="0FF7BAA4" w14:textId="77777777" w:rsidR="005F6602" w:rsidRPr="00546020" w:rsidRDefault="005F6602" w:rsidP="00E961CC">
            <w:pPr>
              <w:spacing w:line="480" w:lineRule="auto"/>
            </w:pPr>
          </w:p>
        </w:tc>
        <w:tc>
          <w:tcPr>
            <w:tcW w:w="1743" w:type="dxa"/>
          </w:tcPr>
          <w:p w14:paraId="2DBFEDBC" w14:textId="77777777" w:rsidR="005F6602" w:rsidRPr="00546020" w:rsidRDefault="005F6602" w:rsidP="00E961CC">
            <w:pPr>
              <w:spacing w:line="480" w:lineRule="auto"/>
            </w:pPr>
            <w:r w:rsidRPr="00546020">
              <w:t>--</w:t>
            </w:r>
          </w:p>
        </w:tc>
        <w:tc>
          <w:tcPr>
            <w:tcW w:w="1942" w:type="dxa"/>
          </w:tcPr>
          <w:p w14:paraId="37101C11" w14:textId="77777777" w:rsidR="005F6602" w:rsidRPr="00546020" w:rsidRDefault="00BA4EBA" w:rsidP="00E961CC">
            <w:pPr>
              <w:spacing w:line="480" w:lineRule="auto"/>
            </w:pPr>
            <w:r w:rsidRPr="00546020">
              <w:t>.52*** [.34, .67]</w:t>
            </w:r>
          </w:p>
        </w:tc>
        <w:tc>
          <w:tcPr>
            <w:tcW w:w="1985" w:type="dxa"/>
          </w:tcPr>
          <w:p w14:paraId="001178B1" w14:textId="77777777" w:rsidR="005F6602" w:rsidRPr="00546020" w:rsidRDefault="00BA4EBA" w:rsidP="00E961CC">
            <w:pPr>
              <w:spacing w:line="480" w:lineRule="auto"/>
            </w:pPr>
            <w:r w:rsidRPr="00546020">
              <w:t>-.30*</w:t>
            </w:r>
            <w:r w:rsidR="00ED4FD4" w:rsidRPr="00546020">
              <w:t xml:space="preserve"> [-.56, 0.16]</w:t>
            </w:r>
          </w:p>
        </w:tc>
        <w:tc>
          <w:tcPr>
            <w:tcW w:w="1856" w:type="dxa"/>
          </w:tcPr>
          <w:p w14:paraId="394FE0D6" w14:textId="77777777" w:rsidR="005F6602" w:rsidRPr="00546020" w:rsidRDefault="00ED4FD4" w:rsidP="00E961CC">
            <w:pPr>
              <w:spacing w:line="480" w:lineRule="auto"/>
            </w:pPr>
            <w:r w:rsidRPr="00546020">
              <w:t>-.19 [-.43, .06]</w:t>
            </w:r>
          </w:p>
        </w:tc>
      </w:tr>
      <w:tr w:rsidR="005F6602" w:rsidRPr="00546020" w14:paraId="3B2B6668" w14:textId="77777777" w:rsidTr="005343BC">
        <w:tc>
          <w:tcPr>
            <w:tcW w:w="2972" w:type="dxa"/>
          </w:tcPr>
          <w:p w14:paraId="3F225EC8" w14:textId="77777777" w:rsidR="005F6602" w:rsidRPr="00546020" w:rsidRDefault="005F6602" w:rsidP="00E961CC">
            <w:pPr>
              <w:spacing w:line="480" w:lineRule="auto"/>
            </w:pPr>
            <w:r w:rsidRPr="00546020">
              <w:t>(4) Quality of life</w:t>
            </w:r>
          </w:p>
        </w:tc>
        <w:tc>
          <w:tcPr>
            <w:tcW w:w="1743" w:type="dxa"/>
          </w:tcPr>
          <w:p w14:paraId="249AEDB5" w14:textId="77777777" w:rsidR="005F6602" w:rsidRPr="00546020" w:rsidRDefault="005F6602" w:rsidP="00E961CC">
            <w:pPr>
              <w:spacing w:line="480" w:lineRule="auto"/>
            </w:pPr>
          </w:p>
        </w:tc>
        <w:tc>
          <w:tcPr>
            <w:tcW w:w="1943" w:type="dxa"/>
          </w:tcPr>
          <w:p w14:paraId="669E046E" w14:textId="77777777" w:rsidR="005F6602" w:rsidRPr="00546020" w:rsidRDefault="005F6602" w:rsidP="00E961CC">
            <w:pPr>
              <w:spacing w:line="480" w:lineRule="auto"/>
            </w:pPr>
          </w:p>
        </w:tc>
        <w:tc>
          <w:tcPr>
            <w:tcW w:w="1743" w:type="dxa"/>
          </w:tcPr>
          <w:p w14:paraId="571CDB55" w14:textId="77777777" w:rsidR="005F6602" w:rsidRPr="00546020" w:rsidRDefault="005F6602" w:rsidP="00E961CC">
            <w:pPr>
              <w:spacing w:line="480" w:lineRule="auto"/>
            </w:pPr>
          </w:p>
        </w:tc>
        <w:tc>
          <w:tcPr>
            <w:tcW w:w="1942" w:type="dxa"/>
          </w:tcPr>
          <w:p w14:paraId="091730E3" w14:textId="77777777" w:rsidR="005F6602" w:rsidRPr="00546020" w:rsidRDefault="005F6602" w:rsidP="00E961CC">
            <w:pPr>
              <w:spacing w:line="480" w:lineRule="auto"/>
            </w:pPr>
            <w:r w:rsidRPr="00546020">
              <w:t>--</w:t>
            </w:r>
          </w:p>
        </w:tc>
        <w:tc>
          <w:tcPr>
            <w:tcW w:w="1985" w:type="dxa"/>
          </w:tcPr>
          <w:p w14:paraId="59BB223F" w14:textId="77777777" w:rsidR="005F6602" w:rsidRPr="00546020" w:rsidRDefault="00ED4FD4" w:rsidP="00E961CC">
            <w:pPr>
              <w:spacing w:line="480" w:lineRule="auto"/>
            </w:pPr>
            <w:r w:rsidRPr="00546020">
              <w:t>-.04 [-.35, .25]</w:t>
            </w:r>
          </w:p>
        </w:tc>
        <w:tc>
          <w:tcPr>
            <w:tcW w:w="1856" w:type="dxa"/>
          </w:tcPr>
          <w:p w14:paraId="7B1DA40C" w14:textId="77777777" w:rsidR="005F6602" w:rsidRPr="00546020" w:rsidRDefault="00ED4FD4" w:rsidP="00E961CC">
            <w:pPr>
              <w:spacing w:line="480" w:lineRule="auto"/>
            </w:pPr>
            <w:r w:rsidRPr="00546020">
              <w:t>-.32* [-.49, -.15]</w:t>
            </w:r>
          </w:p>
        </w:tc>
      </w:tr>
      <w:tr w:rsidR="005F6602" w:rsidRPr="00546020" w14:paraId="7739B023" w14:textId="77777777" w:rsidTr="005343BC">
        <w:tc>
          <w:tcPr>
            <w:tcW w:w="2972" w:type="dxa"/>
          </w:tcPr>
          <w:p w14:paraId="0B047BFA" w14:textId="2061D9C2" w:rsidR="005F6602" w:rsidRPr="00546020" w:rsidRDefault="005F6602" w:rsidP="00E961CC">
            <w:pPr>
              <w:spacing w:line="480" w:lineRule="auto"/>
            </w:pPr>
            <w:r w:rsidRPr="00546020">
              <w:t xml:space="preserve">(5) </w:t>
            </w:r>
            <w:r w:rsidR="00582884">
              <w:t>D</w:t>
            </w:r>
            <w:r w:rsidRPr="00546020">
              <w:t>ays in work</w:t>
            </w:r>
          </w:p>
        </w:tc>
        <w:tc>
          <w:tcPr>
            <w:tcW w:w="1743" w:type="dxa"/>
          </w:tcPr>
          <w:p w14:paraId="4614D147" w14:textId="77777777" w:rsidR="005F6602" w:rsidRPr="00546020" w:rsidRDefault="005F6602" w:rsidP="00E961CC">
            <w:pPr>
              <w:spacing w:line="480" w:lineRule="auto"/>
            </w:pPr>
          </w:p>
        </w:tc>
        <w:tc>
          <w:tcPr>
            <w:tcW w:w="1943" w:type="dxa"/>
          </w:tcPr>
          <w:p w14:paraId="27AD781F" w14:textId="77777777" w:rsidR="005F6602" w:rsidRPr="00546020" w:rsidRDefault="005F6602" w:rsidP="00E961CC">
            <w:pPr>
              <w:spacing w:line="480" w:lineRule="auto"/>
            </w:pPr>
          </w:p>
        </w:tc>
        <w:tc>
          <w:tcPr>
            <w:tcW w:w="1743" w:type="dxa"/>
          </w:tcPr>
          <w:p w14:paraId="44E6033F" w14:textId="77777777" w:rsidR="005F6602" w:rsidRPr="00546020" w:rsidRDefault="005F6602" w:rsidP="00E961CC">
            <w:pPr>
              <w:spacing w:line="480" w:lineRule="auto"/>
            </w:pPr>
          </w:p>
        </w:tc>
        <w:tc>
          <w:tcPr>
            <w:tcW w:w="1942" w:type="dxa"/>
          </w:tcPr>
          <w:p w14:paraId="47175463" w14:textId="77777777" w:rsidR="005F6602" w:rsidRPr="00546020" w:rsidRDefault="005F6602" w:rsidP="00E961CC">
            <w:pPr>
              <w:spacing w:line="480" w:lineRule="auto"/>
            </w:pPr>
          </w:p>
        </w:tc>
        <w:tc>
          <w:tcPr>
            <w:tcW w:w="1985" w:type="dxa"/>
          </w:tcPr>
          <w:p w14:paraId="650D4543" w14:textId="77777777" w:rsidR="005F6602" w:rsidRPr="00546020" w:rsidRDefault="005F6602" w:rsidP="00E961CC">
            <w:pPr>
              <w:spacing w:line="480" w:lineRule="auto"/>
            </w:pPr>
            <w:r w:rsidRPr="00546020">
              <w:t>--</w:t>
            </w:r>
          </w:p>
        </w:tc>
        <w:tc>
          <w:tcPr>
            <w:tcW w:w="1856" w:type="dxa"/>
          </w:tcPr>
          <w:p w14:paraId="4926F960" w14:textId="77777777" w:rsidR="005F6602" w:rsidRPr="00546020" w:rsidRDefault="00ED4FD4" w:rsidP="00E961CC">
            <w:pPr>
              <w:spacing w:line="480" w:lineRule="auto"/>
            </w:pPr>
            <w:r w:rsidRPr="00546020">
              <w:t>-.09 [-.18, 32]</w:t>
            </w:r>
          </w:p>
        </w:tc>
      </w:tr>
      <w:tr w:rsidR="005F6602" w:rsidRPr="00546020" w14:paraId="4CC119D2" w14:textId="77777777" w:rsidTr="005343BC">
        <w:tc>
          <w:tcPr>
            <w:tcW w:w="2972" w:type="dxa"/>
          </w:tcPr>
          <w:p w14:paraId="7B272DDD" w14:textId="423EDF4A" w:rsidR="005F6602" w:rsidRPr="00546020" w:rsidRDefault="005F6602" w:rsidP="00E961CC">
            <w:pPr>
              <w:spacing w:line="480" w:lineRule="auto"/>
            </w:pPr>
            <w:r w:rsidRPr="00546020">
              <w:t xml:space="preserve">(6) </w:t>
            </w:r>
            <w:r w:rsidR="00582884">
              <w:t>D</w:t>
            </w:r>
            <w:r w:rsidRPr="00546020">
              <w:t>ays drinking</w:t>
            </w:r>
          </w:p>
        </w:tc>
        <w:tc>
          <w:tcPr>
            <w:tcW w:w="1743" w:type="dxa"/>
          </w:tcPr>
          <w:p w14:paraId="291780EE" w14:textId="77777777" w:rsidR="005F6602" w:rsidRPr="00546020" w:rsidRDefault="005F6602" w:rsidP="00E961CC">
            <w:pPr>
              <w:spacing w:line="480" w:lineRule="auto"/>
            </w:pPr>
          </w:p>
        </w:tc>
        <w:tc>
          <w:tcPr>
            <w:tcW w:w="1943" w:type="dxa"/>
          </w:tcPr>
          <w:p w14:paraId="05B9F7DE" w14:textId="77777777" w:rsidR="005F6602" w:rsidRPr="00546020" w:rsidRDefault="005F6602" w:rsidP="00E961CC">
            <w:pPr>
              <w:spacing w:line="480" w:lineRule="auto"/>
            </w:pPr>
          </w:p>
        </w:tc>
        <w:tc>
          <w:tcPr>
            <w:tcW w:w="1743" w:type="dxa"/>
          </w:tcPr>
          <w:p w14:paraId="4A66A51D" w14:textId="77777777" w:rsidR="005F6602" w:rsidRPr="00546020" w:rsidRDefault="005F6602" w:rsidP="00E961CC">
            <w:pPr>
              <w:spacing w:line="480" w:lineRule="auto"/>
            </w:pPr>
          </w:p>
        </w:tc>
        <w:tc>
          <w:tcPr>
            <w:tcW w:w="1942" w:type="dxa"/>
          </w:tcPr>
          <w:p w14:paraId="5ED91C7B" w14:textId="77777777" w:rsidR="005F6602" w:rsidRPr="00546020" w:rsidRDefault="005F6602" w:rsidP="00E961CC">
            <w:pPr>
              <w:spacing w:line="480" w:lineRule="auto"/>
            </w:pPr>
          </w:p>
        </w:tc>
        <w:tc>
          <w:tcPr>
            <w:tcW w:w="1985" w:type="dxa"/>
          </w:tcPr>
          <w:p w14:paraId="4A267772" w14:textId="77777777" w:rsidR="005F6602" w:rsidRPr="00546020" w:rsidRDefault="005F6602" w:rsidP="00E961CC">
            <w:pPr>
              <w:spacing w:line="480" w:lineRule="auto"/>
            </w:pPr>
          </w:p>
        </w:tc>
        <w:tc>
          <w:tcPr>
            <w:tcW w:w="1856" w:type="dxa"/>
          </w:tcPr>
          <w:p w14:paraId="40C1254F" w14:textId="77777777" w:rsidR="005F6602" w:rsidRPr="00546020" w:rsidRDefault="005F6602" w:rsidP="00E961CC">
            <w:pPr>
              <w:spacing w:line="480" w:lineRule="auto"/>
            </w:pPr>
            <w:r w:rsidRPr="00546020">
              <w:t>--</w:t>
            </w:r>
          </w:p>
        </w:tc>
      </w:tr>
    </w:tbl>
    <w:p w14:paraId="27086A21" w14:textId="00C21FE3" w:rsidR="00AC363A" w:rsidRPr="007D579F" w:rsidRDefault="005F6602">
      <w:pPr>
        <w:spacing w:line="480" w:lineRule="auto"/>
      </w:pPr>
      <w:r w:rsidRPr="00546020">
        <w:t xml:space="preserve">Note: </w:t>
      </w:r>
      <w:r w:rsidRPr="00546020">
        <w:rPr>
          <w:i/>
        </w:rPr>
        <w:t>n</w:t>
      </w:r>
      <w:r w:rsidRPr="00546020">
        <w:t xml:space="preserve"> = 55 in all correlations. </w:t>
      </w:r>
      <w:r w:rsidR="00384952" w:rsidRPr="00546020">
        <w:t xml:space="preserve">Bootstrapped r’s with n= 1000 samples reported. </w:t>
      </w:r>
      <w:r w:rsidRPr="00546020">
        <w:t xml:space="preserve">* = </w:t>
      </w:r>
      <w:r w:rsidRPr="00546020">
        <w:rPr>
          <w:i/>
        </w:rPr>
        <w:t>p</w:t>
      </w:r>
      <w:r w:rsidRPr="00546020">
        <w:t xml:space="preserve"> &lt;.05, ** = </w:t>
      </w:r>
      <w:r w:rsidRPr="00546020">
        <w:rPr>
          <w:i/>
        </w:rPr>
        <w:t>p</w:t>
      </w:r>
      <w:r w:rsidRPr="00546020">
        <w:t xml:space="preserve"> &lt;.01, ***, </w:t>
      </w:r>
      <w:r w:rsidRPr="00546020">
        <w:rPr>
          <w:i/>
        </w:rPr>
        <w:t>p</w:t>
      </w:r>
      <w:r w:rsidRPr="00546020">
        <w:t xml:space="preserve"> &lt;.001. </w:t>
      </w:r>
      <w:r w:rsidR="00ED4FD4" w:rsidRPr="00546020">
        <w:t xml:space="preserve">Upper and lower </w:t>
      </w:r>
      <w:r w:rsidRPr="00546020">
        <w:t>95% confidence intervals are reported in square brackets</w:t>
      </w:r>
      <w:r w:rsidR="00ED4FD4" w:rsidRPr="00546020">
        <w:t>.</w:t>
      </w:r>
    </w:p>
    <w:sectPr w:rsidR="00AC363A" w:rsidRPr="007D579F" w:rsidSect="004D637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15CD" w14:textId="77777777" w:rsidR="00E73C3B" w:rsidRDefault="00E73C3B" w:rsidP="003F69AD">
      <w:r>
        <w:separator/>
      </w:r>
    </w:p>
  </w:endnote>
  <w:endnote w:type="continuationSeparator" w:id="0">
    <w:p w14:paraId="27F28131" w14:textId="77777777" w:rsidR="00E73C3B" w:rsidRDefault="00E73C3B" w:rsidP="003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D836" w14:textId="77777777" w:rsidR="00E73C3B" w:rsidRDefault="00E73C3B" w:rsidP="003F69AD">
      <w:r>
        <w:separator/>
      </w:r>
    </w:p>
  </w:footnote>
  <w:footnote w:type="continuationSeparator" w:id="0">
    <w:p w14:paraId="1CE41480" w14:textId="77777777" w:rsidR="00E73C3B" w:rsidRDefault="00E73C3B" w:rsidP="003F69AD">
      <w:r>
        <w:continuationSeparator/>
      </w:r>
    </w:p>
  </w:footnote>
  <w:footnote w:id="1">
    <w:p w14:paraId="3D51D2BA" w14:textId="77777777" w:rsidR="00905043" w:rsidRPr="00A40640" w:rsidRDefault="00905043">
      <w:pPr>
        <w:pStyle w:val="FootnoteText"/>
      </w:pPr>
      <w:r>
        <w:rPr>
          <w:rStyle w:val="FootnoteReference"/>
        </w:rPr>
        <w:footnoteRef/>
      </w:r>
      <w:r>
        <w:t xml:space="preserve"> In total, 27 participants had one or more points of missing data. 27 lacked baseline AUDIT and/or gender data, 22 lacked age data. 19 were missing pre-assessment baseline measures. 1 participant lacked post-drinking days data, and 8 were missing post work days data. Missing case analysis was conducted by identifying all participants who had one or more missing data points on pre and post measures. Between subject t-tests revealed no significant differences on AUDIT scores </w:t>
      </w:r>
      <w:r w:rsidRPr="00677788">
        <w:rPr>
          <w:i/>
        </w:rPr>
        <w:t>t</w:t>
      </w:r>
      <w:r>
        <w:t xml:space="preserve">(80) = 1.76, </w:t>
      </w:r>
      <w:r w:rsidRPr="00677788">
        <w:rPr>
          <w:i/>
        </w:rPr>
        <w:t>p</w:t>
      </w:r>
      <w:r>
        <w:t xml:space="preserve"> = .081 or age, </w:t>
      </w:r>
      <w:r w:rsidRPr="00677788">
        <w:rPr>
          <w:i/>
        </w:rPr>
        <w:t>t</w:t>
      </w:r>
      <w:r>
        <w:t xml:space="preserve">(75) = 0.98, </w:t>
      </w:r>
      <w:r w:rsidRPr="00677788">
        <w:rPr>
          <w:i/>
        </w:rPr>
        <w:t>p</w:t>
      </w:r>
      <w:r>
        <w:t xml:space="preserve"> = .329 for those coded as having missing data or not. Gender did not differ between those who had missing data or not </w:t>
      </w:r>
      <w:r w:rsidRPr="00151EFC">
        <w:rPr>
          <w:i/>
        </w:rPr>
        <w:t>x</w:t>
      </w:r>
      <w:r w:rsidRPr="00677788">
        <w:rPr>
          <w:vertAlign w:val="superscript"/>
        </w:rPr>
        <w:t>2</w:t>
      </w:r>
      <w:r>
        <w:t xml:space="preserve">(1) = 0.31, </w:t>
      </w:r>
      <w:r w:rsidRPr="00677788">
        <w:rPr>
          <w:i/>
        </w:rPr>
        <w:t>p</w:t>
      </w:r>
      <w:r>
        <w:t xml:space="preserve"> = 058. No differences in other pre/post measures were observed (</w:t>
      </w:r>
      <w:r w:rsidRPr="00151EFC">
        <w:rPr>
          <w:i/>
        </w:rPr>
        <w:t>p</w:t>
      </w:r>
      <w:r>
        <w:t xml:space="preserve">s &gt;.176), although number of post intervention drinking could not be meaningfully compared given the single missing case.  </w:t>
      </w:r>
    </w:p>
  </w:footnote>
  <w:footnote w:id="2">
    <w:p w14:paraId="5BF0534A" w14:textId="12BE50DB" w:rsidR="00905043" w:rsidRDefault="00905043" w:rsidP="00D300E9">
      <w:pPr>
        <w:pStyle w:val="FootnoteText"/>
      </w:pPr>
      <w:r>
        <w:rPr>
          <w:rStyle w:val="FootnoteReference"/>
        </w:rPr>
        <w:footnoteRef/>
      </w:r>
      <w:r>
        <w:t xml:space="preserve"> We retain and present both analyses because (1) there is debate around the need for normality with samples &gt;50, and bootstrapping is a recognised response to this problem – see e.g. Sainani (2012). This allows readers to interpret this analysis in line with their positon on this point. We note the difference in significance patterns signals caution should be applied to interpreting these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7198"/>
      <w:docPartObj>
        <w:docPartGallery w:val="Page Numbers (Top of Page)"/>
        <w:docPartUnique/>
      </w:docPartObj>
    </w:sdtPr>
    <w:sdtEndPr>
      <w:rPr>
        <w:noProof/>
      </w:rPr>
    </w:sdtEndPr>
    <w:sdtContent>
      <w:p w14:paraId="42565B46" w14:textId="43F351E5" w:rsidR="00D3781E" w:rsidRDefault="00D3781E">
        <w:pPr>
          <w:pStyle w:val="Header"/>
          <w:jc w:val="right"/>
        </w:pPr>
        <w:r>
          <w:fldChar w:fldCharType="begin"/>
        </w:r>
        <w:r>
          <w:instrText xml:space="preserve"> PAGE   \* MERGEFORMAT </w:instrText>
        </w:r>
        <w:r>
          <w:fldChar w:fldCharType="separate"/>
        </w:r>
        <w:r w:rsidR="00CB165C">
          <w:rPr>
            <w:noProof/>
          </w:rPr>
          <w:t>1</w:t>
        </w:r>
        <w:r>
          <w:rPr>
            <w:noProof/>
          </w:rPr>
          <w:fldChar w:fldCharType="end"/>
        </w:r>
      </w:p>
    </w:sdtContent>
  </w:sdt>
  <w:p w14:paraId="54D34B1B" w14:textId="77777777" w:rsidR="00D3781E" w:rsidRDefault="00D37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B71"/>
    <w:multiLevelType w:val="hybridMultilevel"/>
    <w:tmpl w:val="E40AE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0DC0"/>
    <w:multiLevelType w:val="hybridMultilevel"/>
    <w:tmpl w:val="B964AF2E"/>
    <w:lvl w:ilvl="0" w:tplc="B3868D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620F7"/>
    <w:multiLevelType w:val="multilevel"/>
    <w:tmpl w:val="930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016F3"/>
    <w:multiLevelType w:val="hybridMultilevel"/>
    <w:tmpl w:val="E10C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46973"/>
    <w:multiLevelType w:val="hybridMultilevel"/>
    <w:tmpl w:val="E0AA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C747A"/>
    <w:multiLevelType w:val="hybridMultilevel"/>
    <w:tmpl w:val="24369C7A"/>
    <w:lvl w:ilvl="0" w:tplc="21C28C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07689"/>
    <w:multiLevelType w:val="hybridMultilevel"/>
    <w:tmpl w:val="56FA30BC"/>
    <w:lvl w:ilvl="0" w:tplc="21C28C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20DFD"/>
    <w:multiLevelType w:val="hybridMultilevel"/>
    <w:tmpl w:val="85D81C02"/>
    <w:lvl w:ilvl="0" w:tplc="21C28C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E6BC9"/>
    <w:multiLevelType w:val="hybridMultilevel"/>
    <w:tmpl w:val="4FA4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C7846"/>
    <w:multiLevelType w:val="hybridMultilevel"/>
    <w:tmpl w:val="21AE6CB8"/>
    <w:lvl w:ilvl="0" w:tplc="A8CC1934">
      <w:start w:val="5"/>
      <w:numFmt w:val="bullet"/>
      <w:lvlText w:val=""/>
      <w:lvlJc w:val="left"/>
      <w:pPr>
        <w:ind w:left="1069" w:hanging="360"/>
      </w:pPr>
      <w:rPr>
        <w:rFonts w:ascii="Wingdings" w:eastAsiaTheme="minorHAnsi" w:hAnsi="Wingdings"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7B80311D"/>
    <w:multiLevelType w:val="hybridMultilevel"/>
    <w:tmpl w:val="A6EAD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8"/>
  </w:num>
  <w:num w:numId="6">
    <w:abstractNumId w:val="3"/>
  </w:num>
  <w:num w:numId="7">
    <w:abstractNumId w:val="10"/>
  </w:num>
  <w:num w:numId="8">
    <w:abstractNumId w:val="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30CF652-5FBE-4602-B17F-41EE787D6B75}"/>
    <w:docVar w:name="dgnword-eventsink" w:val="494549872"/>
  </w:docVars>
  <w:rsids>
    <w:rsidRoot w:val="00D903D7"/>
    <w:rsid w:val="0000209A"/>
    <w:rsid w:val="00005D7F"/>
    <w:rsid w:val="000114B7"/>
    <w:rsid w:val="000132D3"/>
    <w:rsid w:val="0002471C"/>
    <w:rsid w:val="000326D6"/>
    <w:rsid w:val="0003403E"/>
    <w:rsid w:val="0003782E"/>
    <w:rsid w:val="00040D67"/>
    <w:rsid w:val="00047E2B"/>
    <w:rsid w:val="00054846"/>
    <w:rsid w:val="000600CA"/>
    <w:rsid w:val="00060352"/>
    <w:rsid w:val="00063D5F"/>
    <w:rsid w:val="00067FC8"/>
    <w:rsid w:val="00073253"/>
    <w:rsid w:val="00076280"/>
    <w:rsid w:val="000838A9"/>
    <w:rsid w:val="000923E3"/>
    <w:rsid w:val="00093F35"/>
    <w:rsid w:val="000965A3"/>
    <w:rsid w:val="000B31CE"/>
    <w:rsid w:val="000B3F46"/>
    <w:rsid w:val="000B4FA7"/>
    <w:rsid w:val="000B7B00"/>
    <w:rsid w:val="000D6228"/>
    <w:rsid w:val="000D6854"/>
    <w:rsid w:val="000F6B70"/>
    <w:rsid w:val="001024FF"/>
    <w:rsid w:val="00107D46"/>
    <w:rsid w:val="00110DD3"/>
    <w:rsid w:val="00111966"/>
    <w:rsid w:val="00113364"/>
    <w:rsid w:val="00114A2C"/>
    <w:rsid w:val="00120A40"/>
    <w:rsid w:val="001331F7"/>
    <w:rsid w:val="0013404B"/>
    <w:rsid w:val="00137EC2"/>
    <w:rsid w:val="00141259"/>
    <w:rsid w:val="00141728"/>
    <w:rsid w:val="00143359"/>
    <w:rsid w:val="00143B38"/>
    <w:rsid w:val="00145922"/>
    <w:rsid w:val="00150797"/>
    <w:rsid w:val="00150EAB"/>
    <w:rsid w:val="00151EFC"/>
    <w:rsid w:val="00154176"/>
    <w:rsid w:val="00154877"/>
    <w:rsid w:val="001575CC"/>
    <w:rsid w:val="001627CA"/>
    <w:rsid w:val="00166789"/>
    <w:rsid w:val="001719B6"/>
    <w:rsid w:val="00177D71"/>
    <w:rsid w:val="0018301A"/>
    <w:rsid w:val="001906E6"/>
    <w:rsid w:val="00190854"/>
    <w:rsid w:val="001911A4"/>
    <w:rsid w:val="00195E7B"/>
    <w:rsid w:val="00196206"/>
    <w:rsid w:val="00196521"/>
    <w:rsid w:val="00197341"/>
    <w:rsid w:val="00197B41"/>
    <w:rsid w:val="001A0219"/>
    <w:rsid w:val="001A1E37"/>
    <w:rsid w:val="001A3735"/>
    <w:rsid w:val="001A54F5"/>
    <w:rsid w:val="001A57F5"/>
    <w:rsid w:val="001B292D"/>
    <w:rsid w:val="001C04D9"/>
    <w:rsid w:val="001C516F"/>
    <w:rsid w:val="001C6ECE"/>
    <w:rsid w:val="001D4538"/>
    <w:rsid w:val="001D4B0A"/>
    <w:rsid w:val="001D657F"/>
    <w:rsid w:val="001D6EFC"/>
    <w:rsid w:val="001E1987"/>
    <w:rsid w:val="001F0ED7"/>
    <w:rsid w:val="001F3005"/>
    <w:rsid w:val="0020073A"/>
    <w:rsid w:val="00202EFC"/>
    <w:rsid w:val="002206F6"/>
    <w:rsid w:val="002219C5"/>
    <w:rsid w:val="00221AC2"/>
    <w:rsid w:val="00222761"/>
    <w:rsid w:val="00226539"/>
    <w:rsid w:val="00227B2E"/>
    <w:rsid w:val="00231D7F"/>
    <w:rsid w:val="002339AB"/>
    <w:rsid w:val="0023703C"/>
    <w:rsid w:val="002418CE"/>
    <w:rsid w:val="0024259A"/>
    <w:rsid w:val="00244131"/>
    <w:rsid w:val="00252ED9"/>
    <w:rsid w:val="002656FD"/>
    <w:rsid w:val="00267443"/>
    <w:rsid w:val="00270696"/>
    <w:rsid w:val="00273191"/>
    <w:rsid w:val="002732D9"/>
    <w:rsid w:val="00274609"/>
    <w:rsid w:val="0028392C"/>
    <w:rsid w:val="00283F14"/>
    <w:rsid w:val="00284463"/>
    <w:rsid w:val="00291577"/>
    <w:rsid w:val="00293766"/>
    <w:rsid w:val="00293AAF"/>
    <w:rsid w:val="002C0554"/>
    <w:rsid w:val="002D2E71"/>
    <w:rsid w:val="002D509C"/>
    <w:rsid w:val="002D50C5"/>
    <w:rsid w:val="002D5C55"/>
    <w:rsid w:val="002D6BCB"/>
    <w:rsid w:val="002D78F5"/>
    <w:rsid w:val="002E040F"/>
    <w:rsid w:val="002E1F65"/>
    <w:rsid w:val="002E215F"/>
    <w:rsid w:val="00301F0F"/>
    <w:rsid w:val="0030544A"/>
    <w:rsid w:val="00314014"/>
    <w:rsid w:val="003155F6"/>
    <w:rsid w:val="003157E1"/>
    <w:rsid w:val="0031640A"/>
    <w:rsid w:val="00316F31"/>
    <w:rsid w:val="00321058"/>
    <w:rsid w:val="003213AD"/>
    <w:rsid w:val="00322BE1"/>
    <w:rsid w:val="00340459"/>
    <w:rsid w:val="00353F32"/>
    <w:rsid w:val="0035440D"/>
    <w:rsid w:val="00361C13"/>
    <w:rsid w:val="003717EE"/>
    <w:rsid w:val="00382F64"/>
    <w:rsid w:val="003839D1"/>
    <w:rsid w:val="00384952"/>
    <w:rsid w:val="0039048D"/>
    <w:rsid w:val="00391CBE"/>
    <w:rsid w:val="00394E77"/>
    <w:rsid w:val="003A1B7B"/>
    <w:rsid w:val="003A40B0"/>
    <w:rsid w:val="003A6823"/>
    <w:rsid w:val="003B2E7F"/>
    <w:rsid w:val="003B5263"/>
    <w:rsid w:val="003B5AD2"/>
    <w:rsid w:val="003B6CCE"/>
    <w:rsid w:val="003C0E86"/>
    <w:rsid w:val="003C42C9"/>
    <w:rsid w:val="003C67B9"/>
    <w:rsid w:val="003D5DCB"/>
    <w:rsid w:val="003D7A10"/>
    <w:rsid w:val="003E59DB"/>
    <w:rsid w:val="003F1CA3"/>
    <w:rsid w:val="003F41EE"/>
    <w:rsid w:val="003F63E8"/>
    <w:rsid w:val="003F69AD"/>
    <w:rsid w:val="003F7EB4"/>
    <w:rsid w:val="0040004B"/>
    <w:rsid w:val="00402CB8"/>
    <w:rsid w:val="00403D8B"/>
    <w:rsid w:val="0040479B"/>
    <w:rsid w:val="00410C20"/>
    <w:rsid w:val="00410C86"/>
    <w:rsid w:val="0041126D"/>
    <w:rsid w:val="0041329C"/>
    <w:rsid w:val="0041496F"/>
    <w:rsid w:val="00417BB6"/>
    <w:rsid w:val="00430090"/>
    <w:rsid w:val="004300C7"/>
    <w:rsid w:val="004307BC"/>
    <w:rsid w:val="00431013"/>
    <w:rsid w:val="00432901"/>
    <w:rsid w:val="0043378A"/>
    <w:rsid w:val="00452971"/>
    <w:rsid w:val="0045729E"/>
    <w:rsid w:val="00457D4E"/>
    <w:rsid w:val="00461319"/>
    <w:rsid w:val="00465DF7"/>
    <w:rsid w:val="0047092D"/>
    <w:rsid w:val="00473AA9"/>
    <w:rsid w:val="004740AA"/>
    <w:rsid w:val="00475492"/>
    <w:rsid w:val="0047689C"/>
    <w:rsid w:val="00477001"/>
    <w:rsid w:val="00481537"/>
    <w:rsid w:val="00487063"/>
    <w:rsid w:val="00492B52"/>
    <w:rsid w:val="0049580A"/>
    <w:rsid w:val="00496715"/>
    <w:rsid w:val="004979E9"/>
    <w:rsid w:val="004A429A"/>
    <w:rsid w:val="004A42ED"/>
    <w:rsid w:val="004A44FE"/>
    <w:rsid w:val="004A589B"/>
    <w:rsid w:val="004B0ED1"/>
    <w:rsid w:val="004B2E64"/>
    <w:rsid w:val="004B4E28"/>
    <w:rsid w:val="004B59B2"/>
    <w:rsid w:val="004B6433"/>
    <w:rsid w:val="004C1770"/>
    <w:rsid w:val="004C3132"/>
    <w:rsid w:val="004C400F"/>
    <w:rsid w:val="004C548B"/>
    <w:rsid w:val="004C631E"/>
    <w:rsid w:val="004D3FF0"/>
    <w:rsid w:val="004D458B"/>
    <w:rsid w:val="004D637E"/>
    <w:rsid w:val="004D682B"/>
    <w:rsid w:val="004E5D65"/>
    <w:rsid w:val="004F4BC3"/>
    <w:rsid w:val="004F7A04"/>
    <w:rsid w:val="0050093D"/>
    <w:rsid w:val="00501AFD"/>
    <w:rsid w:val="00506768"/>
    <w:rsid w:val="0050694A"/>
    <w:rsid w:val="005136E0"/>
    <w:rsid w:val="00513D41"/>
    <w:rsid w:val="00514453"/>
    <w:rsid w:val="00516E66"/>
    <w:rsid w:val="00517137"/>
    <w:rsid w:val="005210E9"/>
    <w:rsid w:val="0052432D"/>
    <w:rsid w:val="0052472D"/>
    <w:rsid w:val="00525ABA"/>
    <w:rsid w:val="00530D96"/>
    <w:rsid w:val="00532CE6"/>
    <w:rsid w:val="005343BC"/>
    <w:rsid w:val="00543ACD"/>
    <w:rsid w:val="00546020"/>
    <w:rsid w:val="005535F9"/>
    <w:rsid w:val="00554B6B"/>
    <w:rsid w:val="0055513C"/>
    <w:rsid w:val="00555F67"/>
    <w:rsid w:val="00561D72"/>
    <w:rsid w:val="00563FA4"/>
    <w:rsid w:val="00565AB3"/>
    <w:rsid w:val="00572F78"/>
    <w:rsid w:val="00573FB2"/>
    <w:rsid w:val="005745D3"/>
    <w:rsid w:val="00574879"/>
    <w:rsid w:val="00575AF2"/>
    <w:rsid w:val="005763D3"/>
    <w:rsid w:val="00576944"/>
    <w:rsid w:val="00576C5D"/>
    <w:rsid w:val="00581A94"/>
    <w:rsid w:val="00582884"/>
    <w:rsid w:val="00582B2F"/>
    <w:rsid w:val="00582B4C"/>
    <w:rsid w:val="00583A51"/>
    <w:rsid w:val="00584579"/>
    <w:rsid w:val="00585B0A"/>
    <w:rsid w:val="005865D5"/>
    <w:rsid w:val="00586C47"/>
    <w:rsid w:val="005871CE"/>
    <w:rsid w:val="00594553"/>
    <w:rsid w:val="005A6043"/>
    <w:rsid w:val="005B3F51"/>
    <w:rsid w:val="005B45EE"/>
    <w:rsid w:val="005D0802"/>
    <w:rsid w:val="005D0C69"/>
    <w:rsid w:val="005D2FFD"/>
    <w:rsid w:val="005D32D4"/>
    <w:rsid w:val="005D6F08"/>
    <w:rsid w:val="005E07EA"/>
    <w:rsid w:val="005E2166"/>
    <w:rsid w:val="005E55DF"/>
    <w:rsid w:val="005F1F50"/>
    <w:rsid w:val="005F2047"/>
    <w:rsid w:val="005F362D"/>
    <w:rsid w:val="005F44B6"/>
    <w:rsid w:val="005F4782"/>
    <w:rsid w:val="005F6602"/>
    <w:rsid w:val="005F7102"/>
    <w:rsid w:val="00606D40"/>
    <w:rsid w:val="00612FB0"/>
    <w:rsid w:val="00613FD4"/>
    <w:rsid w:val="006157DD"/>
    <w:rsid w:val="00615B5F"/>
    <w:rsid w:val="0061749A"/>
    <w:rsid w:val="00621485"/>
    <w:rsid w:val="00627130"/>
    <w:rsid w:val="0063101E"/>
    <w:rsid w:val="006336C3"/>
    <w:rsid w:val="00634B5B"/>
    <w:rsid w:val="00635F96"/>
    <w:rsid w:val="00641F96"/>
    <w:rsid w:val="006423DA"/>
    <w:rsid w:val="00643208"/>
    <w:rsid w:val="0064379A"/>
    <w:rsid w:val="00644962"/>
    <w:rsid w:val="00645F3A"/>
    <w:rsid w:val="006522D4"/>
    <w:rsid w:val="006529FE"/>
    <w:rsid w:val="0065318E"/>
    <w:rsid w:val="006536F2"/>
    <w:rsid w:val="0065674D"/>
    <w:rsid w:val="00657F44"/>
    <w:rsid w:val="006640B9"/>
    <w:rsid w:val="00666279"/>
    <w:rsid w:val="00674724"/>
    <w:rsid w:val="00677788"/>
    <w:rsid w:val="006820AE"/>
    <w:rsid w:val="00683BC9"/>
    <w:rsid w:val="00693C12"/>
    <w:rsid w:val="00695568"/>
    <w:rsid w:val="00695B2B"/>
    <w:rsid w:val="006A3D86"/>
    <w:rsid w:val="006B721D"/>
    <w:rsid w:val="006B780D"/>
    <w:rsid w:val="006C0FB1"/>
    <w:rsid w:val="006C2AD6"/>
    <w:rsid w:val="006C4B99"/>
    <w:rsid w:val="006C6AB5"/>
    <w:rsid w:val="006C72DB"/>
    <w:rsid w:val="006D0272"/>
    <w:rsid w:val="006D123E"/>
    <w:rsid w:val="006D4DB0"/>
    <w:rsid w:val="006D6C58"/>
    <w:rsid w:val="006E1423"/>
    <w:rsid w:val="006E143E"/>
    <w:rsid w:val="006E1AD7"/>
    <w:rsid w:val="006E38E2"/>
    <w:rsid w:val="006E5B88"/>
    <w:rsid w:val="00702C11"/>
    <w:rsid w:val="007075F6"/>
    <w:rsid w:val="007111B8"/>
    <w:rsid w:val="007112E7"/>
    <w:rsid w:val="007114D8"/>
    <w:rsid w:val="00734516"/>
    <w:rsid w:val="00736A77"/>
    <w:rsid w:val="007379E7"/>
    <w:rsid w:val="00740164"/>
    <w:rsid w:val="00740A99"/>
    <w:rsid w:val="0074336D"/>
    <w:rsid w:val="0074342E"/>
    <w:rsid w:val="00744E32"/>
    <w:rsid w:val="00747659"/>
    <w:rsid w:val="0075115F"/>
    <w:rsid w:val="007518AB"/>
    <w:rsid w:val="00756918"/>
    <w:rsid w:val="00763870"/>
    <w:rsid w:val="00765932"/>
    <w:rsid w:val="0077482F"/>
    <w:rsid w:val="007770EC"/>
    <w:rsid w:val="00784F25"/>
    <w:rsid w:val="00786E39"/>
    <w:rsid w:val="00790DD5"/>
    <w:rsid w:val="007951A8"/>
    <w:rsid w:val="00796050"/>
    <w:rsid w:val="007A0E95"/>
    <w:rsid w:val="007A1E0C"/>
    <w:rsid w:val="007A1E0D"/>
    <w:rsid w:val="007A2EFE"/>
    <w:rsid w:val="007B1C74"/>
    <w:rsid w:val="007B31CF"/>
    <w:rsid w:val="007C0684"/>
    <w:rsid w:val="007C6B43"/>
    <w:rsid w:val="007C762F"/>
    <w:rsid w:val="007C7D2D"/>
    <w:rsid w:val="007D579F"/>
    <w:rsid w:val="007D5868"/>
    <w:rsid w:val="007D5B78"/>
    <w:rsid w:val="007E472E"/>
    <w:rsid w:val="007F6E35"/>
    <w:rsid w:val="008010F1"/>
    <w:rsid w:val="008103F7"/>
    <w:rsid w:val="00811087"/>
    <w:rsid w:val="0081125A"/>
    <w:rsid w:val="00812B27"/>
    <w:rsid w:val="00812BBC"/>
    <w:rsid w:val="00813826"/>
    <w:rsid w:val="0081793A"/>
    <w:rsid w:val="00821DB8"/>
    <w:rsid w:val="008234C9"/>
    <w:rsid w:val="0082515A"/>
    <w:rsid w:val="00825569"/>
    <w:rsid w:val="0083384B"/>
    <w:rsid w:val="00837F69"/>
    <w:rsid w:val="00847D77"/>
    <w:rsid w:val="00851F1F"/>
    <w:rsid w:val="00853675"/>
    <w:rsid w:val="00853D8D"/>
    <w:rsid w:val="00855B40"/>
    <w:rsid w:val="00856D3B"/>
    <w:rsid w:val="00863F20"/>
    <w:rsid w:val="00872AE4"/>
    <w:rsid w:val="00875D82"/>
    <w:rsid w:val="008800C8"/>
    <w:rsid w:val="0088016E"/>
    <w:rsid w:val="0088221B"/>
    <w:rsid w:val="008827EB"/>
    <w:rsid w:val="008834E2"/>
    <w:rsid w:val="008903B6"/>
    <w:rsid w:val="00892FF9"/>
    <w:rsid w:val="008946AD"/>
    <w:rsid w:val="008A67B6"/>
    <w:rsid w:val="008B4D6B"/>
    <w:rsid w:val="008B7A7D"/>
    <w:rsid w:val="008C7171"/>
    <w:rsid w:val="008D0B98"/>
    <w:rsid w:val="008D1B04"/>
    <w:rsid w:val="008D4360"/>
    <w:rsid w:val="008E2BDE"/>
    <w:rsid w:val="008E664A"/>
    <w:rsid w:val="008F4CA9"/>
    <w:rsid w:val="008F72B7"/>
    <w:rsid w:val="008F7A46"/>
    <w:rsid w:val="00902A4C"/>
    <w:rsid w:val="00905043"/>
    <w:rsid w:val="00910168"/>
    <w:rsid w:val="009136D7"/>
    <w:rsid w:val="00921932"/>
    <w:rsid w:val="009237B1"/>
    <w:rsid w:val="00924728"/>
    <w:rsid w:val="00932A66"/>
    <w:rsid w:val="00932EE6"/>
    <w:rsid w:val="00934E55"/>
    <w:rsid w:val="00942808"/>
    <w:rsid w:val="009431A4"/>
    <w:rsid w:val="00945660"/>
    <w:rsid w:val="00955E11"/>
    <w:rsid w:val="00960BD6"/>
    <w:rsid w:val="00963748"/>
    <w:rsid w:val="00964B55"/>
    <w:rsid w:val="00973225"/>
    <w:rsid w:val="00973E4A"/>
    <w:rsid w:val="0098103A"/>
    <w:rsid w:val="0098297E"/>
    <w:rsid w:val="0098470B"/>
    <w:rsid w:val="00987BB9"/>
    <w:rsid w:val="0099110F"/>
    <w:rsid w:val="00993E99"/>
    <w:rsid w:val="009944BC"/>
    <w:rsid w:val="00994F8D"/>
    <w:rsid w:val="009970C7"/>
    <w:rsid w:val="009975E4"/>
    <w:rsid w:val="009A359A"/>
    <w:rsid w:val="009A365E"/>
    <w:rsid w:val="009A4817"/>
    <w:rsid w:val="009A74C4"/>
    <w:rsid w:val="009C6A64"/>
    <w:rsid w:val="009C7063"/>
    <w:rsid w:val="009D2939"/>
    <w:rsid w:val="009D51E1"/>
    <w:rsid w:val="009D5FFB"/>
    <w:rsid w:val="009D7B70"/>
    <w:rsid w:val="009E1966"/>
    <w:rsid w:val="009E2303"/>
    <w:rsid w:val="009E3601"/>
    <w:rsid w:val="009E73E6"/>
    <w:rsid w:val="009E7567"/>
    <w:rsid w:val="00A015EC"/>
    <w:rsid w:val="00A03077"/>
    <w:rsid w:val="00A033B0"/>
    <w:rsid w:val="00A03B54"/>
    <w:rsid w:val="00A03BF7"/>
    <w:rsid w:val="00A11991"/>
    <w:rsid w:val="00A11AC6"/>
    <w:rsid w:val="00A1440A"/>
    <w:rsid w:val="00A17019"/>
    <w:rsid w:val="00A17658"/>
    <w:rsid w:val="00A2253C"/>
    <w:rsid w:val="00A23F13"/>
    <w:rsid w:val="00A271B4"/>
    <w:rsid w:val="00A3173F"/>
    <w:rsid w:val="00A33EFD"/>
    <w:rsid w:val="00A40640"/>
    <w:rsid w:val="00A45899"/>
    <w:rsid w:val="00A46E7C"/>
    <w:rsid w:val="00A50A69"/>
    <w:rsid w:val="00A52468"/>
    <w:rsid w:val="00A551B8"/>
    <w:rsid w:val="00A651EA"/>
    <w:rsid w:val="00A65B14"/>
    <w:rsid w:val="00A73E67"/>
    <w:rsid w:val="00A76B35"/>
    <w:rsid w:val="00A81F36"/>
    <w:rsid w:val="00A85812"/>
    <w:rsid w:val="00A9308C"/>
    <w:rsid w:val="00A9363D"/>
    <w:rsid w:val="00AA039F"/>
    <w:rsid w:val="00AA26E4"/>
    <w:rsid w:val="00AA350B"/>
    <w:rsid w:val="00AB1A01"/>
    <w:rsid w:val="00AB46A3"/>
    <w:rsid w:val="00AB6584"/>
    <w:rsid w:val="00AB78CF"/>
    <w:rsid w:val="00AC363A"/>
    <w:rsid w:val="00AC7154"/>
    <w:rsid w:val="00AC7C64"/>
    <w:rsid w:val="00AD49A1"/>
    <w:rsid w:val="00AD60B0"/>
    <w:rsid w:val="00AE01CA"/>
    <w:rsid w:val="00AE49A4"/>
    <w:rsid w:val="00AF3EED"/>
    <w:rsid w:val="00AF400C"/>
    <w:rsid w:val="00AF6633"/>
    <w:rsid w:val="00B04D9C"/>
    <w:rsid w:val="00B11CEB"/>
    <w:rsid w:val="00B1240F"/>
    <w:rsid w:val="00B21772"/>
    <w:rsid w:val="00B21FDA"/>
    <w:rsid w:val="00B221EB"/>
    <w:rsid w:val="00B232A0"/>
    <w:rsid w:val="00B2742A"/>
    <w:rsid w:val="00B302E7"/>
    <w:rsid w:val="00B34041"/>
    <w:rsid w:val="00B36168"/>
    <w:rsid w:val="00B44455"/>
    <w:rsid w:val="00B4522F"/>
    <w:rsid w:val="00B4668E"/>
    <w:rsid w:val="00B47374"/>
    <w:rsid w:val="00B51236"/>
    <w:rsid w:val="00B54E75"/>
    <w:rsid w:val="00B55454"/>
    <w:rsid w:val="00B569B8"/>
    <w:rsid w:val="00B60EB8"/>
    <w:rsid w:val="00B62D8B"/>
    <w:rsid w:val="00B62FE9"/>
    <w:rsid w:val="00B71E55"/>
    <w:rsid w:val="00B730C1"/>
    <w:rsid w:val="00B75286"/>
    <w:rsid w:val="00B7667E"/>
    <w:rsid w:val="00B77114"/>
    <w:rsid w:val="00B8003D"/>
    <w:rsid w:val="00B81605"/>
    <w:rsid w:val="00B817CF"/>
    <w:rsid w:val="00B82DE3"/>
    <w:rsid w:val="00B83CCE"/>
    <w:rsid w:val="00B85946"/>
    <w:rsid w:val="00B96DC1"/>
    <w:rsid w:val="00B97C2E"/>
    <w:rsid w:val="00BA3B75"/>
    <w:rsid w:val="00BA4410"/>
    <w:rsid w:val="00BA4EBA"/>
    <w:rsid w:val="00BB6312"/>
    <w:rsid w:val="00BB6AFE"/>
    <w:rsid w:val="00BC0FFD"/>
    <w:rsid w:val="00BC2BA6"/>
    <w:rsid w:val="00BC34D6"/>
    <w:rsid w:val="00BC4DDA"/>
    <w:rsid w:val="00BD0594"/>
    <w:rsid w:val="00BD15AB"/>
    <w:rsid w:val="00BD185B"/>
    <w:rsid w:val="00BD25EA"/>
    <w:rsid w:val="00BD562D"/>
    <w:rsid w:val="00BD6F1B"/>
    <w:rsid w:val="00BD77FD"/>
    <w:rsid w:val="00BE21F8"/>
    <w:rsid w:val="00BE2921"/>
    <w:rsid w:val="00BE3CD9"/>
    <w:rsid w:val="00BE47E9"/>
    <w:rsid w:val="00BE5C6E"/>
    <w:rsid w:val="00BE5E8E"/>
    <w:rsid w:val="00BE65BF"/>
    <w:rsid w:val="00BF2C02"/>
    <w:rsid w:val="00BF7250"/>
    <w:rsid w:val="00C04C7F"/>
    <w:rsid w:val="00C04D35"/>
    <w:rsid w:val="00C05938"/>
    <w:rsid w:val="00C05FD8"/>
    <w:rsid w:val="00C106C9"/>
    <w:rsid w:val="00C11A18"/>
    <w:rsid w:val="00C13953"/>
    <w:rsid w:val="00C2030F"/>
    <w:rsid w:val="00C25331"/>
    <w:rsid w:val="00C2545A"/>
    <w:rsid w:val="00C316FE"/>
    <w:rsid w:val="00C33C6B"/>
    <w:rsid w:val="00C4099D"/>
    <w:rsid w:val="00C42B08"/>
    <w:rsid w:val="00C43F8A"/>
    <w:rsid w:val="00C51BAE"/>
    <w:rsid w:val="00C547F4"/>
    <w:rsid w:val="00C66A1D"/>
    <w:rsid w:val="00C67005"/>
    <w:rsid w:val="00C67841"/>
    <w:rsid w:val="00C73D0E"/>
    <w:rsid w:val="00C801D6"/>
    <w:rsid w:val="00C80488"/>
    <w:rsid w:val="00C95190"/>
    <w:rsid w:val="00C9597B"/>
    <w:rsid w:val="00C95E6B"/>
    <w:rsid w:val="00CA2D24"/>
    <w:rsid w:val="00CA4B72"/>
    <w:rsid w:val="00CA61C8"/>
    <w:rsid w:val="00CA6EA6"/>
    <w:rsid w:val="00CA77C5"/>
    <w:rsid w:val="00CB07D2"/>
    <w:rsid w:val="00CB165C"/>
    <w:rsid w:val="00CB37AD"/>
    <w:rsid w:val="00CB5208"/>
    <w:rsid w:val="00CC4735"/>
    <w:rsid w:val="00CC480A"/>
    <w:rsid w:val="00CC5D60"/>
    <w:rsid w:val="00CD64F4"/>
    <w:rsid w:val="00CE17D1"/>
    <w:rsid w:val="00CE3C55"/>
    <w:rsid w:val="00CE471F"/>
    <w:rsid w:val="00CE4DB2"/>
    <w:rsid w:val="00CE56AD"/>
    <w:rsid w:val="00CF2155"/>
    <w:rsid w:val="00CF3713"/>
    <w:rsid w:val="00CF4B16"/>
    <w:rsid w:val="00CF6612"/>
    <w:rsid w:val="00D01EE4"/>
    <w:rsid w:val="00D046F7"/>
    <w:rsid w:val="00D052BA"/>
    <w:rsid w:val="00D05992"/>
    <w:rsid w:val="00D13BA7"/>
    <w:rsid w:val="00D14BB8"/>
    <w:rsid w:val="00D14EB8"/>
    <w:rsid w:val="00D17B30"/>
    <w:rsid w:val="00D225C0"/>
    <w:rsid w:val="00D23850"/>
    <w:rsid w:val="00D23E4D"/>
    <w:rsid w:val="00D26259"/>
    <w:rsid w:val="00D300E9"/>
    <w:rsid w:val="00D315FA"/>
    <w:rsid w:val="00D333F8"/>
    <w:rsid w:val="00D35914"/>
    <w:rsid w:val="00D366DB"/>
    <w:rsid w:val="00D3781E"/>
    <w:rsid w:val="00D40887"/>
    <w:rsid w:val="00D51FF9"/>
    <w:rsid w:val="00D52665"/>
    <w:rsid w:val="00D52B19"/>
    <w:rsid w:val="00D537F7"/>
    <w:rsid w:val="00D55796"/>
    <w:rsid w:val="00D61519"/>
    <w:rsid w:val="00D66CDE"/>
    <w:rsid w:val="00D672E9"/>
    <w:rsid w:val="00D849D4"/>
    <w:rsid w:val="00D85EB3"/>
    <w:rsid w:val="00D903D7"/>
    <w:rsid w:val="00D93E66"/>
    <w:rsid w:val="00D97775"/>
    <w:rsid w:val="00DA17F1"/>
    <w:rsid w:val="00DA2B80"/>
    <w:rsid w:val="00DA7780"/>
    <w:rsid w:val="00DA7DCB"/>
    <w:rsid w:val="00DB21C4"/>
    <w:rsid w:val="00DB37CF"/>
    <w:rsid w:val="00DB4C89"/>
    <w:rsid w:val="00DC1C46"/>
    <w:rsid w:val="00DC270A"/>
    <w:rsid w:val="00DD43A6"/>
    <w:rsid w:val="00DD4797"/>
    <w:rsid w:val="00DD4C7A"/>
    <w:rsid w:val="00DD58C4"/>
    <w:rsid w:val="00DD5B3E"/>
    <w:rsid w:val="00DD7084"/>
    <w:rsid w:val="00DE38E7"/>
    <w:rsid w:val="00DE6F3A"/>
    <w:rsid w:val="00DF6D46"/>
    <w:rsid w:val="00E03CA9"/>
    <w:rsid w:val="00E141B2"/>
    <w:rsid w:val="00E21154"/>
    <w:rsid w:val="00E21C64"/>
    <w:rsid w:val="00E22B95"/>
    <w:rsid w:val="00E22E43"/>
    <w:rsid w:val="00E2570A"/>
    <w:rsid w:val="00E3254B"/>
    <w:rsid w:val="00E342F3"/>
    <w:rsid w:val="00E36ECE"/>
    <w:rsid w:val="00E4075A"/>
    <w:rsid w:val="00E42060"/>
    <w:rsid w:val="00E440AC"/>
    <w:rsid w:val="00E44AA3"/>
    <w:rsid w:val="00E46CA6"/>
    <w:rsid w:val="00E53587"/>
    <w:rsid w:val="00E55A8A"/>
    <w:rsid w:val="00E613B7"/>
    <w:rsid w:val="00E62D59"/>
    <w:rsid w:val="00E62E28"/>
    <w:rsid w:val="00E63C13"/>
    <w:rsid w:val="00E672F9"/>
    <w:rsid w:val="00E72091"/>
    <w:rsid w:val="00E72705"/>
    <w:rsid w:val="00E73C3B"/>
    <w:rsid w:val="00E74261"/>
    <w:rsid w:val="00E86949"/>
    <w:rsid w:val="00E913BF"/>
    <w:rsid w:val="00E92EA5"/>
    <w:rsid w:val="00E93B7C"/>
    <w:rsid w:val="00E961CC"/>
    <w:rsid w:val="00EA7A52"/>
    <w:rsid w:val="00EB0DE4"/>
    <w:rsid w:val="00EC14FA"/>
    <w:rsid w:val="00EC3453"/>
    <w:rsid w:val="00EC3711"/>
    <w:rsid w:val="00EC6B44"/>
    <w:rsid w:val="00ED0FC0"/>
    <w:rsid w:val="00ED1B33"/>
    <w:rsid w:val="00ED4FD4"/>
    <w:rsid w:val="00EE5139"/>
    <w:rsid w:val="00EE6140"/>
    <w:rsid w:val="00EE7997"/>
    <w:rsid w:val="00EE7C17"/>
    <w:rsid w:val="00EF06EB"/>
    <w:rsid w:val="00EF4D92"/>
    <w:rsid w:val="00F02E6F"/>
    <w:rsid w:val="00F12678"/>
    <w:rsid w:val="00F128A6"/>
    <w:rsid w:val="00F12EBF"/>
    <w:rsid w:val="00F23B3E"/>
    <w:rsid w:val="00F256C1"/>
    <w:rsid w:val="00F473E9"/>
    <w:rsid w:val="00F54152"/>
    <w:rsid w:val="00F56CFB"/>
    <w:rsid w:val="00F57945"/>
    <w:rsid w:val="00F60ECB"/>
    <w:rsid w:val="00F6418B"/>
    <w:rsid w:val="00F65683"/>
    <w:rsid w:val="00F66144"/>
    <w:rsid w:val="00F66AE6"/>
    <w:rsid w:val="00F66D6C"/>
    <w:rsid w:val="00F6733C"/>
    <w:rsid w:val="00F67B51"/>
    <w:rsid w:val="00F823D6"/>
    <w:rsid w:val="00F826C5"/>
    <w:rsid w:val="00F846E2"/>
    <w:rsid w:val="00F850E6"/>
    <w:rsid w:val="00F86D2C"/>
    <w:rsid w:val="00F86F9A"/>
    <w:rsid w:val="00F96B89"/>
    <w:rsid w:val="00FA1DD4"/>
    <w:rsid w:val="00FA3BBC"/>
    <w:rsid w:val="00FA728E"/>
    <w:rsid w:val="00FC7917"/>
    <w:rsid w:val="00FD028E"/>
    <w:rsid w:val="00FD172B"/>
    <w:rsid w:val="00FD22EA"/>
    <w:rsid w:val="00FD23E3"/>
    <w:rsid w:val="00FD4300"/>
    <w:rsid w:val="00FD6BD5"/>
    <w:rsid w:val="00FE0740"/>
    <w:rsid w:val="00FE2E0F"/>
    <w:rsid w:val="00FE52E5"/>
    <w:rsid w:val="00FE6D35"/>
    <w:rsid w:val="00FF39D8"/>
    <w:rsid w:val="00FF3CA1"/>
    <w:rsid w:val="00FF5541"/>
    <w:rsid w:val="00FF5DAE"/>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CE6D"/>
  <w15:docId w15:val="{52DFB41A-456B-4DF0-9063-7E4CC532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6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A33EFD"/>
    <w:pPr>
      <w:spacing w:before="100" w:beforeAutospacing="1" w:after="100" w:afterAutospacing="1"/>
      <w:jc w:val="center"/>
      <w:outlineLvl w:val="0"/>
    </w:pPr>
    <w:rPr>
      <w:rFonts w:eastAsia="Times New Roman"/>
      <w:b/>
      <w:bCs/>
      <w:kern w:val="36"/>
    </w:rPr>
  </w:style>
  <w:style w:type="paragraph" w:styleId="Heading2">
    <w:name w:val="heading 2"/>
    <w:basedOn w:val="Normal"/>
    <w:next w:val="Normal"/>
    <w:link w:val="Heading2Char"/>
    <w:uiPriority w:val="9"/>
    <w:unhideWhenUsed/>
    <w:qFormat/>
    <w:rsid w:val="00A33EFD"/>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5E11"/>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55E11"/>
    <w:rPr>
      <w:rFonts w:ascii="Tahoma" w:hAnsi="Tahoma" w:cs="Tahoma"/>
      <w:sz w:val="16"/>
      <w:szCs w:val="16"/>
    </w:rPr>
  </w:style>
  <w:style w:type="character" w:styleId="CommentReference">
    <w:name w:val="annotation reference"/>
    <w:basedOn w:val="DefaultParagraphFont"/>
    <w:uiPriority w:val="99"/>
    <w:semiHidden/>
    <w:unhideWhenUsed/>
    <w:rsid w:val="00E62E28"/>
    <w:rPr>
      <w:sz w:val="16"/>
      <w:szCs w:val="16"/>
    </w:rPr>
  </w:style>
  <w:style w:type="paragraph" w:styleId="CommentText">
    <w:name w:val="annotation text"/>
    <w:basedOn w:val="Normal"/>
    <w:link w:val="CommentTextChar"/>
    <w:uiPriority w:val="99"/>
    <w:semiHidden/>
    <w:unhideWhenUsed/>
    <w:rsid w:val="00E62E28"/>
    <w:pPr>
      <w:spacing w:after="200"/>
    </w:pPr>
    <w:rPr>
      <w:rFonts w:ascii="Arial" w:hAnsi="Arial" w:cs="Arial"/>
      <w:sz w:val="20"/>
      <w:szCs w:val="20"/>
      <w:lang w:eastAsia="en-US"/>
    </w:rPr>
  </w:style>
  <w:style w:type="character" w:customStyle="1" w:styleId="CommentTextChar">
    <w:name w:val="Comment Text Char"/>
    <w:basedOn w:val="DefaultParagraphFont"/>
    <w:link w:val="CommentText"/>
    <w:uiPriority w:val="99"/>
    <w:semiHidden/>
    <w:rsid w:val="00E62E28"/>
    <w:rPr>
      <w:sz w:val="20"/>
      <w:szCs w:val="20"/>
    </w:rPr>
  </w:style>
  <w:style w:type="paragraph" w:styleId="CommentSubject">
    <w:name w:val="annotation subject"/>
    <w:basedOn w:val="CommentText"/>
    <w:next w:val="CommentText"/>
    <w:link w:val="CommentSubjectChar"/>
    <w:uiPriority w:val="99"/>
    <w:semiHidden/>
    <w:unhideWhenUsed/>
    <w:rsid w:val="00E62E28"/>
    <w:rPr>
      <w:b/>
      <w:bCs/>
    </w:rPr>
  </w:style>
  <w:style w:type="character" w:customStyle="1" w:styleId="CommentSubjectChar">
    <w:name w:val="Comment Subject Char"/>
    <w:basedOn w:val="CommentTextChar"/>
    <w:link w:val="CommentSubject"/>
    <w:uiPriority w:val="99"/>
    <w:semiHidden/>
    <w:rsid w:val="00E62E28"/>
    <w:rPr>
      <w:b/>
      <w:bCs/>
      <w:sz w:val="20"/>
      <w:szCs w:val="20"/>
    </w:rPr>
  </w:style>
  <w:style w:type="paragraph" w:styleId="Header">
    <w:name w:val="header"/>
    <w:basedOn w:val="Normal"/>
    <w:link w:val="HeaderChar"/>
    <w:uiPriority w:val="99"/>
    <w:unhideWhenUsed/>
    <w:rsid w:val="003F69AD"/>
    <w:pPr>
      <w:tabs>
        <w:tab w:val="center" w:pos="4513"/>
        <w:tab w:val="right" w:pos="9026"/>
      </w:tabs>
    </w:pPr>
    <w:rPr>
      <w:rFonts w:ascii="Arial" w:hAnsi="Arial" w:cs="Arial"/>
      <w:sz w:val="22"/>
      <w:szCs w:val="22"/>
      <w:lang w:eastAsia="en-US"/>
    </w:rPr>
  </w:style>
  <w:style w:type="character" w:customStyle="1" w:styleId="HeaderChar">
    <w:name w:val="Header Char"/>
    <w:basedOn w:val="DefaultParagraphFont"/>
    <w:link w:val="Header"/>
    <w:uiPriority w:val="99"/>
    <w:rsid w:val="003F69AD"/>
  </w:style>
  <w:style w:type="paragraph" w:styleId="Footer">
    <w:name w:val="footer"/>
    <w:basedOn w:val="Normal"/>
    <w:link w:val="FooterChar"/>
    <w:uiPriority w:val="99"/>
    <w:unhideWhenUsed/>
    <w:rsid w:val="003F69AD"/>
    <w:pPr>
      <w:tabs>
        <w:tab w:val="center" w:pos="4513"/>
        <w:tab w:val="right" w:pos="9026"/>
      </w:tabs>
    </w:pPr>
    <w:rPr>
      <w:rFonts w:ascii="Arial" w:hAnsi="Arial" w:cs="Arial"/>
      <w:sz w:val="22"/>
      <w:szCs w:val="22"/>
      <w:lang w:eastAsia="en-US"/>
    </w:rPr>
  </w:style>
  <w:style w:type="character" w:customStyle="1" w:styleId="FooterChar">
    <w:name w:val="Footer Char"/>
    <w:basedOn w:val="DefaultParagraphFont"/>
    <w:link w:val="Footer"/>
    <w:uiPriority w:val="99"/>
    <w:rsid w:val="003F69AD"/>
  </w:style>
  <w:style w:type="character" w:styleId="Hyperlink">
    <w:name w:val="Hyperlink"/>
    <w:basedOn w:val="DefaultParagraphFont"/>
    <w:uiPriority w:val="99"/>
    <w:unhideWhenUsed/>
    <w:rsid w:val="00514453"/>
    <w:rPr>
      <w:color w:val="0000FF" w:themeColor="hyperlink"/>
      <w:u w:val="single"/>
    </w:rPr>
  </w:style>
  <w:style w:type="character" w:customStyle="1" w:styleId="apple-converted-space">
    <w:name w:val="apple-converted-space"/>
    <w:basedOn w:val="DefaultParagraphFont"/>
    <w:rsid w:val="00644962"/>
  </w:style>
  <w:style w:type="paragraph" w:styleId="ListParagraph">
    <w:name w:val="List Paragraph"/>
    <w:basedOn w:val="Normal"/>
    <w:uiPriority w:val="34"/>
    <w:qFormat/>
    <w:rsid w:val="004D682B"/>
    <w:pPr>
      <w:spacing w:after="200" w:line="276" w:lineRule="auto"/>
      <w:ind w:left="720"/>
      <w:contextualSpacing/>
    </w:pPr>
    <w:rPr>
      <w:rFonts w:ascii="Arial" w:hAnsi="Arial" w:cs="Arial"/>
      <w:sz w:val="22"/>
      <w:szCs w:val="22"/>
      <w:lang w:eastAsia="en-US"/>
    </w:rPr>
  </w:style>
  <w:style w:type="character" w:customStyle="1" w:styleId="UnresolvedMention1">
    <w:name w:val="Unresolved Mention1"/>
    <w:basedOn w:val="DefaultParagraphFont"/>
    <w:uiPriority w:val="99"/>
    <w:semiHidden/>
    <w:unhideWhenUsed/>
    <w:rsid w:val="003B2E7F"/>
    <w:rPr>
      <w:color w:val="808080"/>
      <w:shd w:val="clear" w:color="auto" w:fill="E6E6E6"/>
    </w:rPr>
  </w:style>
  <w:style w:type="paragraph" w:styleId="Revision">
    <w:name w:val="Revision"/>
    <w:hidden/>
    <w:uiPriority w:val="99"/>
    <w:semiHidden/>
    <w:rsid w:val="00CC480A"/>
    <w:pPr>
      <w:spacing w:after="0" w:line="240" w:lineRule="auto"/>
    </w:pPr>
  </w:style>
  <w:style w:type="character" w:customStyle="1" w:styleId="Heading1Char">
    <w:name w:val="Heading 1 Char"/>
    <w:basedOn w:val="DefaultParagraphFont"/>
    <w:link w:val="Heading1"/>
    <w:uiPriority w:val="9"/>
    <w:rsid w:val="00A33EFD"/>
    <w:rPr>
      <w:rFonts w:ascii="Times New Roman" w:eastAsia="Times New Roman" w:hAnsi="Times New Roman" w:cs="Times New Roman"/>
      <w:b/>
      <w:bCs/>
      <w:kern w:val="36"/>
      <w:sz w:val="24"/>
      <w:szCs w:val="24"/>
      <w:lang w:eastAsia="en-GB"/>
    </w:rPr>
  </w:style>
  <w:style w:type="character" w:styleId="Strong">
    <w:name w:val="Strong"/>
    <w:basedOn w:val="DefaultParagraphFont"/>
    <w:uiPriority w:val="22"/>
    <w:qFormat/>
    <w:rsid w:val="000B3F46"/>
    <w:rPr>
      <w:b/>
      <w:bCs/>
    </w:rPr>
  </w:style>
  <w:style w:type="character" w:styleId="Emphasis">
    <w:name w:val="Emphasis"/>
    <w:basedOn w:val="DefaultParagraphFont"/>
    <w:uiPriority w:val="20"/>
    <w:qFormat/>
    <w:rsid w:val="004C3132"/>
    <w:rPr>
      <w:i/>
      <w:iCs/>
    </w:rPr>
  </w:style>
  <w:style w:type="paragraph" w:styleId="NormalWeb">
    <w:name w:val="Normal (Web)"/>
    <w:basedOn w:val="Normal"/>
    <w:uiPriority w:val="99"/>
    <w:unhideWhenUsed/>
    <w:rsid w:val="00BD185B"/>
    <w:pPr>
      <w:spacing w:before="100" w:beforeAutospacing="1" w:after="100" w:afterAutospacing="1"/>
    </w:pPr>
  </w:style>
  <w:style w:type="paragraph" w:customStyle="1" w:styleId="p1">
    <w:name w:val="p1"/>
    <w:basedOn w:val="Normal"/>
    <w:rsid w:val="004979E9"/>
    <w:rPr>
      <w:rFonts w:ascii="Helvetica" w:hAnsi="Helvetica"/>
      <w:sz w:val="29"/>
      <w:szCs w:val="29"/>
    </w:rPr>
  </w:style>
  <w:style w:type="character" w:customStyle="1" w:styleId="s1">
    <w:name w:val="s1"/>
    <w:basedOn w:val="DefaultParagraphFont"/>
    <w:rsid w:val="004979E9"/>
    <w:rPr>
      <w:rFonts w:ascii="Helvetica" w:hAnsi="Helvetica" w:hint="default"/>
      <w:sz w:val="14"/>
      <w:szCs w:val="14"/>
    </w:rPr>
  </w:style>
  <w:style w:type="character" w:customStyle="1" w:styleId="Heading2Char">
    <w:name w:val="Heading 2 Char"/>
    <w:basedOn w:val="DefaultParagraphFont"/>
    <w:link w:val="Heading2"/>
    <w:uiPriority w:val="9"/>
    <w:rsid w:val="00A33EFD"/>
    <w:rPr>
      <w:rFonts w:ascii="Times New Roman" w:hAnsi="Times New Roman" w:cs="Times New Roman"/>
      <w:b/>
      <w:sz w:val="24"/>
      <w:szCs w:val="24"/>
      <w:lang w:eastAsia="en-GB"/>
    </w:rPr>
  </w:style>
  <w:style w:type="paragraph" w:styleId="FootnoteText">
    <w:name w:val="footnote text"/>
    <w:basedOn w:val="Normal"/>
    <w:link w:val="FootnoteTextChar"/>
    <w:uiPriority w:val="99"/>
    <w:semiHidden/>
    <w:unhideWhenUsed/>
    <w:rsid w:val="00141728"/>
    <w:rPr>
      <w:sz w:val="20"/>
      <w:szCs w:val="20"/>
    </w:rPr>
  </w:style>
  <w:style w:type="character" w:customStyle="1" w:styleId="FootnoteTextChar">
    <w:name w:val="Footnote Text Char"/>
    <w:basedOn w:val="DefaultParagraphFont"/>
    <w:link w:val="FootnoteText"/>
    <w:uiPriority w:val="99"/>
    <w:semiHidden/>
    <w:rsid w:val="00141728"/>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41728"/>
    <w:rPr>
      <w:vertAlign w:val="superscript"/>
    </w:rPr>
  </w:style>
  <w:style w:type="character" w:customStyle="1" w:styleId="UnresolvedMention2">
    <w:name w:val="Unresolved Mention2"/>
    <w:basedOn w:val="DefaultParagraphFont"/>
    <w:uiPriority w:val="99"/>
    <w:semiHidden/>
    <w:unhideWhenUsed/>
    <w:rsid w:val="00653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0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858">
          <w:marLeft w:val="0"/>
          <w:marRight w:val="0"/>
          <w:marTop w:val="0"/>
          <w:marBottom w:val="0"/>
          <w:divBdr>
            <w:top w:val="none" w:sz="0" w:space="0" w:color="auto"/>
            <w:left w:val="none" w:sz="0" w:space="0" w:color="auto"/>
            <w:bottom w:val="none" w:sz="0" w:space="0" w:color="auto"/>
            <w:right w:val="none" w:sz="0" w:space="0" w:color="auto"/>
          </w:divBdr>
          <w:divsChild>
            <w:div w:id="1882937166">
              <w:marLeft w:val="0"/>
              <w:marRight w:val="0"/>
              <w:marTop w:val="0"/>
              <w:marBottom w:val="0"/>
              <w:divBdr>
                <w:top w:val="none" w:sz="0" w:space="0" w:color="auto"/>
                <w:left w:val="none" w:sz="0" w:space="0" w:color="auto"/>
                <w:bottom w:val="none" w:sz="0" w:space="0" w:color="auto"/>
                <w:right w:val="none" w:sz="0" w:space="0" w:color="auto"/>
              </w:divBdr>
              <w:divsChild>
                <w:div w:id="545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2207">
      <w:bodyDiv w:val="1"/>
      <w:marLeft w:val="0"/>
      <w:marRight w:val="0"/>
      <w:marTop w:val="0"/>
      <w:marBottom w:val="0"/>
      <w:divBdr>
        <w:top w:val="none" w:sz="0" w:space="0" w:color="auto"/>
        <w:left w:val="none" w:sz="0" w:space="0" w:color="auto"/>
        <w:bottom w:val="none" w:sz="0" w:space="0" w:color="auto"/>
        <w:right w:val="none" w:sz="0" w:space="0" w:color="auto"/>
      </w:divBdr>
      <w:divsChild>
        <w:div w:id="1828279809">
          <w:marLeft w:val="0"/>
          <w:marRight w:val="0"/>
          <w:marTop w:val="0"/>
          <w:marBottom w:val="0"/>
          <w:divBdr>
            <w:top w:val="none" w:sz="0" w:space="0" w:color="auto"/>
            <w:left w:val="none" w:sz="0" w:space="0" w:color="auto"/>
            <w:bottom w:val="none" w:sz="0" w:space="0" w:color="auto"/>
            <w:right w:val="none" w:sz="0" w:space="0" w:color="auto"/>
          </w:divBdr>
          <w:divsChild>
            <w:div w:id="1197280616">
              <w:marLeft w:val="0"/>
              <w:marRight w:val="0"/>
              <w:marTop w:val="0"/>
              <w:marBottom w:val="0"/>
              <w:divBdr>
                <w:top w:val="none" w:sz="0" w:space="0" w:color="auto"/>
                <w:left w:val="none" w:sz="0" w:space="0" w:color="auto"/>
                <w:bottom w:val="none" w:sz="0" w:space="0" w:color="auto"/>
                <w:right w:val="none" w:sz="0" w:space="0" w:color="auto"/>
              </w:divBdr>
              <w:divsChild>
                <w:div w:id="707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080">
      <w:bodyDiv w:val="1"/>
      <w:marLeft w:val="0"/>
      <w:marRight w:val="0"/>
      <w:marTop w:val="0"/>
      <w:marBottom w:val="0"/>
      <w:divBdr>
        <w:top w:val="none" w:sz="0" w:space="0" w:color="auto"/>
        <w:left w:val="none" w:sz="0" w:space="0" w:color="auto"/>
        <w:bottom w:val="none" w:sz="0" w:space="0" w:color="auto"/>
        <w:right w:val="none" w:sz="0" w:space="0" w:color="auto"/>
      </w:divBdr>
    </w:div>
    <w:div w:id="120657095">
      <w:bodyDiv w:val="1"/>
      <w:marLeft w:val="0"/>
      <w:marRight w:val="0"/>
      <w:marTop w:val="0"/>
      <w:marBottom w:val="0"/>
      <w:divBdr>
        <w:top w:val="none" w:sz="0" w:space="0" w:color="auto"/>
        <w:left w:val="none" w:sz="0" w:space="0" w:color="auto"/>
        <w:bottom w:val="none" w:sz="0" w:space="0" w:color="auto"/>
        <w:right w:val="none" w:sz="0" w:space="0" w:color="auto"/>
      </w:divBdr>
    </w:div>
    <w:div w:id="157313597">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70150463">
      <w:bodyDiv w:val="1"/>
      <w:marLeft w:val="0"/>
      <w:marRight w:val="0"/>
      <w:marTop w:val="0"/>
      <w:marBottom w:val="0"/>
      <w:divBdr>
        <w:top w:val="none" w:sz="0" w:space="0" w:color="auto"/>
        <w:left w:val="none" w:sz="0" w:space="0" w:color="auto"/>
        <w:bottom w:val="none" w:sz="0" w:space="0" w:color="auto"/>
        <w:right w:val="none" w:sz="0" w:space="0" w:color="auto"/>
      </w:divBdr>
      <w:divsChild>
        <w:div w:id="361441586">
          <w:marLeft w:val="0"/>
          <w:marRight w:val="0"/>
          <w:marTop w:val="0"/>
          <w:marBottom w:val="0"/>
          <w:divBdr>
            <w:top w:val="none" w:sz="0" w:space="0" w:color="auto"/>
            <w:left w:val="none" w:sz="0" w:space="0" w:color="auto"/>
            <w:bottom w:val="none" w:sz="0" w:space="0" w:color="auto"/>
            <w:right w:val="none" w:sz="0" w:space="0" w:color="auto"/>
          </w:divBdr>
          <w:divsChild>
            <w:div w:id="244805762">
              <w:marLeft w:val="0"/>
              <w:marRight w:val="0"/>
              <w:marTop w:val="0"/>
              <w:marBottom w:val="0"/>
              <w:divBdr>
                <w:top w:val="none" w:sz="0" w:space="0" w:color="auto"/>
                <w:left w:val="none" w:sz="0" w:space="0" w:color="auto"/>
                <w:bottom w:val="none" w:sz="0" w:space="0" w:color="auto"/>
                <w:right w:val="none" w:sz="0" w:space="0" w:color="auto"/>
              </w:divBdr>
            </w:div>
            <w:div w:id="1671523052">
              <w:marLeft w:val="0"/>
              <w:marRight w:val="0"/>
              <w:marTop w:val="0"/>
              <w:marBottom w:val="0"/>
              <w:divBdr>
                <w:top w:val="none" w:sz="0" w:space="0" w:color="auto"/>
                <w:left w:val="none" w:sz="0" w:space="0" w:color="auto"/>
                <w:bottom w:val="none" w:sz="0" w:space="0" w:color="auto"/>
                <w:right w:val="none" w:sz="0" w:space="0" w:color="auto"/>
              </w:divBdr>
            </w:div>
          </w:divsChild>
        </w:div>
        <w:div w:id="1519929983">
          <w:marLeft w:val="0"/>
          <w:marRight w:val="0"/>
          <w:marTop w:val="0"/>
          <w:marBottom w:val="0"/>
          <w:divBdr>
            <w:top w:val="none" w:sz="0" w:space="0" w:color="auto"/>
            <w:left w:val="none" w:sz="0" w:space="0" w:color="auto"/>
            <w:bottom w:val="none" w:sz="0" w:space="0" w:color="auto"/>
            <w:right w:val="none" w:sz="0" w:space="0" w:color="auto"/>
          </w:divBdr>
          <w:divsChild>
            <w:div w:id="1683510924">
              <w:marLeft w:val="0"/>
              <w:marRight w:val="0"/>
              <w:marTop w:val="0"/>
              <w:marBottom w:val="0"/>
              <w:divBdr>
                <w:top w:val="none" w:sz="0" w:space="0" w:color="auto"/>
                <w:left w:val="none" w:sz="0" w:space="0" w:color="auto"/>
                <w:bottom w:val="none" w:sz="0" w:space="0" w:color="auto"/>
                <w:right w:val="none" w:sz="0" w:space="0" w:color="auto"/>
              </w:divBdr>
            </w:div>
            <w:div w:id="18829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3596">
      <w:bodyDiv w:val="1"/>
      <w:marLeft w:val="0"/>
      <w:marRight w:val="0"/>
      <w:marTop w:val="0"/>
      <w:marBottom w:val="0"/>
      <w:divBdr>
        <w:top w:val="none" w:sz="0" w:space="0" w:color="auto"/>
        <w:left w:val="none" w:sz="0" w:space="0" w:color="auto"/>
        <w:bottom w:val="none" w:sz="0" w:space="0" w:color="auto"/>
        <w:right w:val="none" w:sz="0" w:space="0" w:color="auto"/>
      </w:divBdr>
    </w:div>
    <w:div w:id="326325097">
      <w:bodyDiv w:val="1"/>
      <w:marLeft w:val="0"/>
      <w:marRight w:val="0"/>
      <w:marTop w:val="0"/>
      <w:marBottom w:val="0"/>
      <w:divBdr>
        <w:top w:val="none" w:sz="0" w:space="0" w:color="auto"/>
        <w:left w:val="none" w:sz="0" w:space="0" w:color="auto"/>
        <w:bottom w:val="none" w:sz="0" w:space="0" w:color="auto"/>
        <w:right w:val="none" w:sz="0" w:space="0" w:color="auto"/>
      </w:divBdr>
    </w:div>
    <w:div w:id="337274896">
      <w:bodyDiv w:val="1"/>
      <w:marLeft w:val="0"/>
      <w:marRight w:val="0"/>
      <w:marTop w:val="0"/>
      <w:marBottom w:val="0"/>
      <w:divBdr>
        <w:top w:val="none" w:sz="0" w:space="0" w:color="auto"/>
        <w:left w:val="none" w:sz="0" w:space="0" w:color="auto"/>
        <w:bottom w:val="none" w:sz="0" w:space="0" w:color="auto"/>
        <w:right w:val="none" w:sz="0" w:space="0" w:color="auto"/>
      </w:divBdr>
      <w:divsChild>
        <w:div w:id="188107992">
          <w:marLeft w:val="0"/>
          <w:marRight w:val="0"/>
          <w:marTop w:val="0"/>
          <w:marBottom w:val="0"/>
          <w:divBdr>
            <w:top w:val="none" w:sz="0" w:space="0" w:color="auto"/>
            <w:left w:val="none" w:sz="0" w:space="0" w:color="auto"/>
            <w:bottom w:val="none" w:sz="0" w:space="0" w:color="auto"/>
            <w:right w:val="none" w:sz="0" w:space="0" w:color="auto"/>
          </w:divBdr>
          <w:divsChild>
            <w:div w:id="71658103">
              <w:marLeft w:val="0"/>
              <w:marRight w:val="0"/>
              <w:marTop w:val="0"/>
              <w:marBottom w:val="0"/>
              <w:divBdr>
                <w:top w:val="none" w:sz="0" w:space="0" w:color="auto"/>
                <w:left w:val="none" w:sz="0" w:space="0" w:color="auto"/>
                <w:bottom w:val="none" w:sz="0" w:space="0" w:color="auto"/>
                <w:right w:val="none" w:sz="0" w:space="0" w:color="auto"/>
              </w:divBdr>
              <w:divsChild>
                <w:div w:id="15898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0770">
      <w:bodyDiv w:val="1"/>
      <w:marLeft w:val="0"/>
      <w:marRight w:val="0"/>
      <w:marTop w:val="0"/>
      <w:marBottom w:val="0"/>
      <w:divBdr>
        <w:top w:val="none" w:sz="0" w:space="0" w:color="auto"/>
        <w:left w:val="none" w:sz="0" w:space="0" w:color="auto"/>
        <w:bottom w:val="none" w:sz="0" w:space="0" w:color="auto"/>
        <w:right w:val="none" w:sz="0" w:space="0" w:color="auto"/>
      </w:divBdr>
    </w:div>
    <w:div w:id="464852073">
      <w:bodyDiv w:val="1"/>
      <w:marLeft w:val="0"/>
      <w:marRight w:val="0"/>
      <w:marTop w:val="0"/>
      <w:marBottom w:val="0"/>
      <w:divBdr>
        <w:top w:val="none" w:sz="0" w:space="0" w:color="auto"/>
        <w:left w:val="none" w:sz="0" w:space="0" w:color="auto"/>
        <w:bottom w:val="none" w:sz="0" w:space="0" w:color="auto"/>
        <w:right w:val="none" w:sz="0" w:space="0" w:color="auto"/>
      </w:divBdr>
    </w:div>
    <w:div w:id="484275560">
      <w:bodyDiv w:val="1"/>
      <w:marLeft w:val="0"/>
      <w:marRight w:val="0"/>
      <w:marTop w:val="0"/>
      <w:marBottom w:val="0"/>
      <w:divBdr>
        <w:top w:val="none" w:sz="0" w:space="0" w:color="auto"/>
        <w:left w:val="none" w:sz="0" w:space="0" w:color="auto"/>
        <w:bottom w:val="none" w:sz="0" w:space="0" w:color="auto"/>
        <w:right w:val="none" w:sz="0" w:space="0" w:color="auto"/>
      </w:divBdr>
    </w:div>
    <w:div w:id="500393435">
      <w:bodyDiv w:val="1"/>
      <w:marLeft w:val="0"/>
      <w:marRight w:val="0"/>
      <w:marTop w:val="0"/>
      <w:marBottom w:val="0"/>
      <w:divBdr>
        <w:top w:val="none" w:sz="0" w:space="0" w:color="auto"/>
        <w:left w:val="none" w:sz="0" w:space="0" w:color="auto"/>
        <w:bottom w:val="none" w:sz="0" w:space="0" w:color="auto"/>
        <w:right w:val="none" w:sz="0" w:space="0" w:color="auto"/>
      </w:divBdr>
      <w:divsChild>
        <w:div w:id="918442718">
          <w:marLeft w:val="0"/>
          <w:marRight w:val="0"/>
          <w:marTop w:val="0"/>
          <w:marBottom w:val="0"/>
          <w:divBdr>
            <w:top w:val="none" w:sz="0" w:space="0" w:color="auto"/>
            <w:left w:val="none" w:sz="0" w:space="0" w:color="auto"/>
            <w:bottom w:val="none" w:sz="0" w:space="0" w:color="auto"/>
            <w:right w:val="none" w:sz="0" w:space="0" w:color="auto"/>
          </w:divBdr>
          <w:divsChild>
            <w:div w:id="1664696399">
              <w:marLeft w:val="0"/>
              <w:marRight w:val="0"/>
              <w:marTop w:val="0"/>
              <w:marBottom w:val="0"/>
              <w:divBdr>
                <w:top w:val="none" w:sz="0" w:space="0" w:color="auto"/>
                <w:left w:val="none" w:sz="0" w:space="0" w:color="auto"/>
                <w:bottom w:val="none" w:sz="0" w:space="0" w:color="auto"/>
                <w:right w:val="none" w:sz="0" w:space="0" w:color="auto"/>
              </w:divBdr>
              <w:divsChild>
                <w:div w:id="1210190081">
                  <w:marLeft w:val="0"/>
                  <w:marRight w:val="0"/>
                  <w:marTop w:val="0"/>
                  <w:marBottom w:val="0"/>
                  <w:divBdr>
                    <w:top w:val="none" w:sz="0" w:space="0" w:color="auto"/>
                    <w:left w:val="none" w:sz="0" w:space="0" w:color="auto"/>
                    <w:bottom w:val="none" w:sz="0" w:space="0" w:color="auto"/>
                    <w:right w:val="none" w:sz="0" w:space="0" w:color="auto"/>
                  </w:divBdr>
                  <w:divsChild>
                    <w:div w:id="269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6208">
      <w:bodyDiv w:val="1"/>
      <w:marLeft w:val="0"/>
      <w:marRight w:val="0"/>
      <w:marTop w:val="0"/>
      <w:marBottom w:val="0"/>
      <w:divBdr>
        <w:top w:val="none" w:sz="0" w:space="0" w:color="auto"/>
        <w:left w:val="none" w:sz="0" w:space="0" w:color="auto"/>
        <w:bottom w:val="none" w:sz="0" w:space="0" w:color="auto"/>
        <w:right w:val="none" w:sz="0" w:space="0" w:color="auto"/>
      </w:divBdr>
    </w:div>
    <w:div w:id="552079943">
      <w:bodyDiv w:val="1"/>
      <w:marLeft w:val="0"/>
      <w:marRight w:val="0"/>
      <w:marTop w:val="0"/>
      <w:marBottom w:val="0"/>
      <w:divBdr>
        <w:top w:val="none" w:sz="0" w:space="0" w:color="auto"/>
        <w:left w:val="none" w:sz="0" w:space="0" w:color="auto"/>
        <w:bottom w:val="none" w:sz="0" w:space="0" w:color="auto"/>
        <w:right w:val="none" w:sz="0" w:space="0" w:color="auto"/>
      </w:divBdr>
      <w:divsChild>
        <w:div w:id="1756322049">
          <w:marLeft w:val="0"/>
          <w:marRight w:val="0"/>
          <w:marTop w:val="0"/>
          <w:marBottom w:val="0"/>
          <w:divBdr>
            <w:top w:val="none" w:sz="0" w:space="0" w:color="auto"/>
            <w:left w:val="none" w:sz="0" w:space="0" w:color="auto"/>
            <w:bottom w:val="none" w:sz="0" w:space="0" w:color="auto"/>
            <w:right w:val="none" w:sz="0" w:space="0" w:color="auto"/>
          </w:divBdr>
          <w:divsChild>
            <w:div w:id="8531554">
              <w:marLeft w:val="0"/>
              <w:marRight w:val="0"/>
              <w:marTop w:val="0"/>
              <w:marBottom w:val="0"/>
              <w:divBdr>
                <w:top w:val="none" w:sz="0" w:space="0" w:color="auto"/>
                <w:left w:val="none" w:sz="0" w:space="0" w:color="auto"/>
                <w:bottom w:val="none" w:sz="0" w:space="0" w:color="auto"/>
                <w:right w:val="none" w:sz="0" w:space="0" w:color="auto"/>
              </w:divBdr>
              <w:divsChild>
                <w:div w:id="5803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21797">
      <w:bodyDiv w:val="1"/>
      <w:marLeft w:val="0"/>
      <w:marRight w:val="0"/>
      <w:marTop w:val="0"/>
      <w:marBottom w:val="0"/>
      <w:divBdr>
        <w:top w:val="none" w:sz="0" w:space="0" w:color="auto"/>
        <w:left w:val="none" w:sz="0" w:space="0" w:color="auto"/>
        <w:bottom w:val="none" w:sz="0" w:space="0" w:color="auto"/>
        <w:right w:val="none" w:sz="0" w:space="0" w:color="auto"/>
      </w:divBdr>
      <w:divsChild>
        <w:div w:id="185021002">
          <w:marLeft w:val="0"/>
          <w:marRight w:val="0"/>
          <w:marTop w:val="0"/>
          <w:marBottom w:val="0"/>
          <w:divBdr>
            <w:top w:val="none" w:sz="0" w:space="0" w:color="auto"/>
            <w:left w:val="none" w:sz="0" w:space="0" w:color="auto"/>
            <w:bottom w:val="none" w:sz="0" w:space="0" w:color="auto"/>
            <w:right w:val="none" w:sz="0" w:space="0" w:color="auto"/>
          </w:divBdr>
        </w:div>
        <w:div w:id="762920281">
          <w:marLeft w:val="0"/>
          <w:marRight w:val="0"/>
          <w:marTop w:val="0"/>
          <w:marBottom w:val="0"/>
          <w:divBdr>
            <w:top w:val="none" w:sz="0" w:space="0" w:color="auto"/>
            <w:left w:val="none" w:sz="0" w:space="0" w:color="auto"/>
            <w:bottom w:val="none" w:sz="0" w:space="0" w:color="auto"/>
            <w:right w:val="none" w:sz="0" w:space="0" w:color="auto"/>
          </w:divBdr>
        </w:div>
        <w:div w:id="1606228336">
          <w:marLeft w:val="0"/>
          <w:marRight w:val="0"/>
          <w:marTop w:val="0"/>
          <w:marBottom w:val="0"/>
          <w:divBdr>
            <w:top w:val="none" w:sz="0" w:space="0" w:color="auto"/>
            <w:left w:val="none" w:sz="0" w:space="0" w:color="auto"/>
            <w:bottom w:val="none" w:sz="0" w:space="0" w:color="auto"/>
            <w:right w:val="none" w:sz="0" w:space="0" w:color="auto"/>
          </w:divBdr>
        </w:div>
        <w:div w:id="1727099931">
          <w:marLeft w:val="0"/>
          <w:marRight w:val="0"/>
          <w:marTop w:val="0"/>
          <w:marBottom w:val="0"/>
          <w:divBdr>
            <w:top w:val="none" w:sz="0" w:space="0" w:color="auto"/>
            <w:left w:val="none" w:sz="0" w:space="0" w:color="auto"/>
            <w:bottom w:val="none" w:sz="0" w:space="0" w:color="auto"/>
            <w:right w:val="none" w:sz="0" w:space="0" w:color="auto"/>
          </w:divBdr>
        </w:div>
        <w:div w:id="1777630468">
          <w:marLeft w:val="0"/>
          <w:marRight w:val="0"/>
          <w:marTop w:val="0"/>
          <w:marBottom w:val="0"/>
          <w:divBdr>
            <w:top w:val="none" w:sz="0" w:space="0" w:color="auto"/>
            <w:left w:val="none" w:sz="0" w:space="0" w:color="auto"/>
            <w:bottom w:val="none" w:sz="0" w:space="0" w:color="auto"/>
            <w:right w:val="none" w:sz="0" w:space="0" w:color="auto"/>
          </w:divBdr>
        </w:div>
        <w:div w:id="1786928658">
          <w:marLeft w:val="0"/>
          <w:marRight w:val="0"/>
          <w:marTop w:val="0"/>
          <w:marBottom w:val="0"/>
          <w:divBdr>
            <w:top w:val="none" w:sz="0" w:space="0" w:color="auto"/>
            <w:left w:val="none" w:sz="0" w:space="0" w:color="auto"/>
            <w:bottom w:val="none" w:sz="0" w:space="0" w:color="auto"/>
            <w:right w:val="none" w:sz="0" w:space="0" w:color="auto"/>
          </w:divBdr>
        </w:div>
        <w:div w:id="1832285086">
          <w:marLeft w:val="0"/>
          <w:marRight w:val="0"/>
          <w:marTop w:val="0"/>
          <w:marBottom w:val="0"/>
          <w:divBdr>
            <w:top w:val="none" w:sz="0" w:space="0" w:color="auto"/>
            <w:left w:val="none" w:sz="0" w:space="0" w:color="auto"/>
            <w:bottom w:val="none" w:sz="0" w:space="0" w:color="auto"/>
            <w:right w:val="none" w:sz="0" w:space="0" w:color="auto"/>
          </w:divBdr>
        </w:div>
      </w:divsChild>
    </w:div>
    <w:div w:id="635181344">
      <w:bodyDiv w:val="1"/>
      <w:marLeft w:val="0"/>
      <w:marRight w:val="0"/>
      <w:marTop w:val="0"/>
      <w:marBottom w:val="0"/>
      <w:divBdr>
        <w:top w:val="none" w:sz="0" w:space="0" w:color="auto"/>
        <w:left w:val="none" w:sz="0" w:space="0" w:color="auto"/>
        <w:bottom w:val="none" w:sz="0" w:space="0" w:color="auto"/>
        <w:right w:val="none" w:sz="0" w:space="0" w:color="auto"/>
      </w:divBdr>
    </w:div>
    <w:div w:id="670836212">
      <w:bodyDiv w:val="1"/>
      <w:marLeft w:val="0"/>
      <w:marRight w:val="0"/>
      <w:marTop w:val="0"/>
      <w:marBottom w:val="0"/>
      <w:divBdr>
        <w:top w:val="none" w:sz="0" w:space="0" w:color="auto"/>
        <w:left w:val="none" w:sz="0" w:space="0" w:color="auto"/>
        <w:bottom w:val="none" w:sz="0" w:space="0" w:color="auto"/>
        <w:right w:val="none" w:sz="0" w:space="0" w:color="auto"/>
      </w:divBdr>
      <w:divsChild>
        <w:div w:id="228460450">
          <w:marLeft w:val="0"/>
          <w:marRight w:val="0"/>
          <w:marTop w:val="0"/>
          <w:marBottom w:val="0"/>
          <w:divBdr>
            <w:top w:val="none" w:sz="0" w:space="0" w:color="auto"/>
            <w:left w:val="none" w:sz="0" w:space="0" w:color="auto"/>
            <w:bottom w:val="none" w:sz="0" w:space="0" w:color="auto"/>
            <w:right w:val="none" w:sz="0" w:space="0" w:color="auto"/>
          </w:divBdr>
        </w:div>
        <w:div w:id="665666081">
          <w:marLeft w:val="0"/>
          <w:marRight w:val="0"/>
          <w:marTop w:val="0"/>
          <w:marBottom w:val="0"/>
          <w:divBdr>
            <w:top w:val="none" w:sz="0" w:space="0" w:color="auto"/>
            <w:left w:val="none" w:sz="0" w:space="0" w:color="auto"/>
            <w:bottom w:val="none" w:sz="0" w:space="0" w:color="auto"/>
            <w:right w:val="none" w:sz="0" w:space="0" w:color="auto"/>
          </w:divBdr>
        </w:div>
        <w:div w:id="817459335">
          <w:marLeft w:val="0"/>
          <w:marRight w:val="0"/>
          <w:marTop w:val="0"/>
          <w:marBottom w:val="0"/>
          <w:divBdr>
            <w:top w:val="none" w:sz="0" w:space="0" w:color="auto"/>
            <w:left w:val="none" w:sz="0" w:space="0" w:color="auto"/>
            <w:bottom w:val="none" w:sz="0" w:space="0" w:color="auto"/>
            <w:right w:val="none" w:sz="0" w:space="0" w:color="auto"/>
          </w:divBdr>
        </w:div>
        <w:div w:id="1752048787">
          <w:marLeft w:val="0"/>
          <w:marRight w:val="0"/>
          <w:marTop w:val="0"/>
          <w:marBottom w:val="0"/>
          <w:divBdr>
            <w:top w:val="none" w:sz="0" w:space="0" w:color="auto"/>
            <w:left w:val="none" w:sz="0" w:space="0" w:color="auto"/>
            <w:bottom w:val="none" w:sz="0" w:space="0" w:color="auto"/>
            <w:right w:val="none" w:sz="0" w:space="0" w:color="auto"/>
          </w:divBdr>
        </w:div>
      </w:divsChild>
    </w:div>
    <w:div w:id="711151706">
      <w:bodyDiv w:val="1"/>
      <w:marLeft w:val="0"/>
      <w:marRight w:val="0"/>
      <w:marTop w:val="0"/>
      <w:marBottom w:val="0"/>
      <w:divBdr>
        <w:top w:val="none" w:sz="0" w:space="0" w:color="auto"/>
        <w:left w:val="none" w:sz="0" w:space="0" w:color="auto"/>
        <w:bottom w:val="none" w:sz="0" w:space="0" w:color="auto"/>
        <w:right w:val="none" w:sz="0" w:space="0" w:color="auto"/>
      </w:divBdr>
    </w:div>
    <w:div w:id="857432676">
      <w:bodyDiv w:val="1"/>
      <w:marLeft w:val="0"/>
      <w:marRight w:val="0"/>
      <w:marTop w:val="0"/>
      <w:marBottom w:val="0"/>
      <w:divBdr>
        <w:top w:val="none" w:sz="0" w:space="0" w:color="auto"/>
        <w:left w:val="none" w:sz="0" w:space="0" w:color="auto"/>
        <w:bottom w:val="none" w:sz="0" w:space="0" w:color="auto"/>
        <w:right w:val="none" w:sz="0" w:space="0" w:color="auto"/>
      </w:divBdr>
      <w:divsChild>
        <w:div w:id="968122076">
          <w:marLeft w:val="0"/>
          <w:marRight w:val="0"/>
          <w:marTop w:val="0"/>
          <w:marBottom w:val="0"/>
          <w:divBdr>
            <w:top w:val="none" w:sz="0" w:space="0" w:color="auto"/>
            <w:left w:val="none" w:sz="0" w:space="0" w:color="auto"/>
            <w:bottom w:val="none" w:sz="0" w:space="0" w:color="auto"/>
            <w:right w:val="none" w:sz="0" w:space="0" w:color="auto"/>
          </w:divBdr>
          <w:divsChild>
            <w:div w:id="1727679201">
              <w:marLeft w:val="0"/>
              <w:marRight w:val="0"/>
              <w:marTop w:val="0"/>
              <w:marBottom w:val="0"/>
              <w:divBdr>
                <w:top w:val="none" w:sz="0" w:space="0" w:color="auto"/>
                <w:left w:val="none" w:sz="0" w:space="0" w:color="auto"/>
                <w:bottom w:val="none" w:sz="0" w:space="0" w:color="auto"/>
                <w:right w:val="none" w:sz="0" w:space="0" w:color="auto"/>
              </w:divBdr>
              <w:divsChild>
                <w:div w:id="8401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2409">
      <w:bodyDiv w:val="1"/>
      <w:marLeft w:val="0"/>
      <w:marRight w:val="0"/>
      <w:marTop w:val="0"/>
      <w:marBottom w:val="0"/>
      <w:divBdr>
        <w:top w:val="none" w:sz="0" w:space="0" w:color="auto"/>
        <w:left w:val="none" w:sz="0" w:space="0" w:color="auto"/>
        <w:bottom w:val="none" w:sz="0" w:space="0" w:color="auto"/>
        <w:right w:val="none" w:sz="0" w:space="0" w:color="auto"/>
      </w:divBdr>
      <w:divsChild>
        <w:div w:id="2052881441">
          <w:marLeft w:val="0"/>
          <w:marRight w:val="0"/>
          <w:marTop w:val="0"/>
          <w:marBottom w:val="0"/>
          <w:divBdr>
            <w:top w:val="none" w:sz="0" w:space="0" w:color="auto"/>
            <w:left w:val="none" w:sz="0" w:space="0" w:color="auto"/>
            <w:bottom w:val="none" w:sz="0" w:space="0" w:color="auto"/>
            <w:right w:val="none" w:sz="0" w:space="0" w:color="auto"/>
          </w:divBdr>
          <w:divsChild>
            <w:div w:id="759563608">
              <w:marLeft w:val="0"/>
              <w:marRight w:val="0"/>
              <w:marTop w:val="0"/>
              <w:marBottom w:val="0"/>
              <w:divBdr>
                <w:top w:val="none" w:sz="0" w:space="0" w:color="auto"/>
                <w:left w:val="none" w:sz="0" w:space="0" w:color="auto"/>
                <w:bottom w:val="none" w:sz="0" w:space="0" w:color="auto"/>
                <w:right w:val="none" w:sz="0" w:space="0" w:color="auto"/>
              </w:divBdr>
              <w:divsChild>
                <w:div w:id="13162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9566">
      <w:bodyDiv w:val="1"/>
      <w:marLeft w:val="0"/>
      <w:marRight w:val="0"/>
      <w:marTop w:val="0"/>
      <w:marBottom w:val="0"/>
      <w:divBdr>
        <w:top w:val="none" w:sz="0" w:space="0" w:color="auto"/>
        <w:left w:val="none" w:sz="0" w:space="0" w:color="auto"/>
        <w:bottom w:val="none" w:sz="0" w:space="0" w:color="auto"/>
        <w:right w:val="none" w:sz="0" w:space="0" w:color="auto"/>
      </w:divBdr>
    </w:div>
    <w:div w:id="1043288289">
      <w:bodyDiv w:val="1"/>
      <w:marLeft w:val="0"/>
      <w:marRight w:val="0"/>
      <w:marTop w:val="0"/>
      <w:marBottom w:val="0"/>
      <w:divBdr>
        <w:top w:val="none" w:sz="0" w:space="0" w:color="auto"/>
        <w:left w:val="none" w:sz="0" w:space="0" w:color="auto"/>
        <w:bottom w:val="none" w:sz="0" w:space="0" w:color="auto"/>
        <w:right w:val="none" w:sz="0" w:space="0" w:color="auto"/>
      </w:divBdr>
      <w:divsChild>
        <w:div w:id="214857411">
          <w:marLeft w:val="0"/>
          <w:marRight w:val="0"/>
          <w:marTop w:val="0"/>
          <w:marBottom w:val="0"/>
          <w:divBdr>
            <w:top w:val="none" w:sz="0" w:space="0" w:color="auto"/>
            <w:left w:val="none" w:sz="0" w:space="0" w:color="auto"/>
            <w:bottom w:val="none" w:sz="0" w:space="0" w:color="auto"/>
            <w:right w:val="none" w:sz="0" w:space="0" w:color="auto"/>
          </w:divBdr>
          <w:divsChild>
            <w:div w:id="1261723652">
              <w:marLeft w:val="0"/>
              <w:marRight w:val="0"/>
              <w:marTop w:val="0"/>
              <w:marBottom w:val="0"/>
              <w:divBdr>
                <w:top w:val="none" w:sz="0" w:space="0" w:color="auto"/>
                <w:left w:val="none" w:sz="0" w:space="0" w:color="auto"/>
                <w:bottom w:val="none" w:sz="0" w:space="0" w:color="auto"/>
                <w:right w:val="none" w:sz="0" w:space="0" w:color="auto"/>
              </w:divBdr>
              <w:divsChild>
                <w:div w:id="9044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7111">
      <w:bodyDiv w:val="1"/>
      <w:marLeft w:val="0"/>
      <w:marRight w:val="0"/>
      <w:marTop w:val="0"/>
      <w:marBottom w:val="0"/>
      <w:divBdr>
        <w:top w:val="none" w:sz="0" w:space="0" w:color="auto"/>
        <w:left w:val="none" w:sz="0" w:space="0" w:color="auto"/>
        <w:bottom w:val="none" w:sz="0" w:space="0" w:color="auto"/>
        <w:right w:val="none" w:sz="0" w:space="0" w:color="auto"/>
      </w:divBdr>
      <w:divsChild>
        <w:div w:id="933711856">
          <w:marLeft w:val="0"/>
          <w:marRight w:val="0"/>
          <w:marTop w:val="0"/>
          <w:marBottom w:val="0"/>
          <w:divBdr>
            <w:top w:val="none" w:sz="0" w:space="0" w:color="auto"/>
            <w:left w:val="none" w:sz="0" w:space="0" w:color="auto"/>
            <w:bottom w:val="none" w:sz="0" w:space="0" w:color="auto"/>
            <w:right w:val="none" w:sz="0" w:space="0" w:color="auto"/>
          </w:divBdr>
          <w:divsChild>
            <w:div w:id="1997028948">
              <w:marLeft w:val="0"/>
              <w:marRight w:val="0"/>
              <w:marTop w:val="0"/>
              <w:marBottom w:val="0"/>
              <w:divBdr>
                <w:top w:val="none" w:sz="0" w:space="0" w:color="auto"/>
                <w:left w:val="none" w:sz="0" w:space="0" w:color="auto"/>
                <w:bottom w:val="none" w:sz="0" w:space="0" w:color="auto"/>
                <w:right w:val="none" w:sz="0" w:space="0" w:color="auto"/>
              </w:divBdr>
              <w:divsChild>
                <w:div w:id="11832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13709">
      <w:bodyDiv w:val="1"/>
      <w:marLeft w:val="0"/>
      <w:marRight w:val="0"/>
      <w:marTop w:val="0"/>
      <w:marBottom w:val="0"/>
      <w:divBdr>
        <w:top w:val="none" w:sz="0" w:space="0" w:color="auto"/>
        <w:left w:val="none" w:sz="0" w:space="0" w:color="auto"/>
        <w:bottom w:val="none" w:sz="0" w:space="0" w:color="auto"/>
        <w:right w:val="none" w:sz="0" w:space="0" w:color="auto"/>
      </w:divBdr>
    </w:div>
    <w:div w:id="1382557394">
      <w:bodyDiv w:val="1"/>
      <w:marLeft w:val="0"/>
      <w:marRight w:val="0"/>
      <w:marTop w:val="0"/>
      <w:marBottom w:val="0"/>
      <w:divBdr>
        <w:top w:val="none" w:sz="0" w:space="0" w:color="auto"/>
        <w:left w:val="none" w:sz="0" w:space="0" w:color="auto"/>
        <w:bottom w:val="none" w:sz="0" w:space="0" w:color="auto"/>
        <w:right w:val="none" w:sz="0" w:space="0" w:color="auto"/>
      </w:divBdr>
    </w:div>
    <w:div w:id="1396851028">
      <w:bodyDiv w:val="1"/>
      <w:marLeft w:val="0"/>
      <w:marRight w:val="0"/>
      <w:marTop w:val="0"/>
      <w:marBottom w:val="0"/>
      <w:divBdr>
        <w:top w:val="none" w:sz="0" w:space="0" w:color="auto"/>
        <w:left w:val="none" w:sz="0" w:space="0" w:color="auto"/>
        <w:bottom w:val="none" w:sz="0" w:space="0" w:color="auto"/>
        <w:right w:val="none" w:sz="0" w:space="0" w:color="auto"/>
      </w:divBdr>
    </w:div>
    <w:div w:id="1503348075">
      <w:bodyDiv w:val="1"/>
      <w:marLeft w:val="0"/>
      <w:marRight w:val="0"/>
      <w:marTop w:val="0"/>
      <w:marBottom w:val="0"/>
      <w:divBdr>
        <w:top w:val="none" w:sz="0" w:space="0" w:color="auto"/>
        <w:left w:val="none" w:sz="0" w:space="0" w:color="auto"/>
        <w:bottom w:val="none" w:sz="0" w:space="0" w:color="auto"/>
        <w:right w:val="none" w:sz="0" w:space="0" w:color="auto"/>
      </w:divBdr>
    </w:div>
    <w:div w:id="1533766951">
      <w:bodyDiv w:val="1"/>
      <w:marLeft w:val="0"/>
      <w:marRight w:val="0"/>
      <w:marTop w:val="0"/>
      <w:marBottom w:val="0"/>
      <w:divBdr>
        <w:top w:val="none" w:sz="0" w:space="0" w:color="auto"/>
        <w:left w:val="none" w:sz="0" w:space="0" w:color="auto"/>
        <w:bottom w:val="none" w:sz="0" w:space="0" w:color="auto"/>
        <w:right w:val="none" w:sz="0" w:space="0" w:color="auto"/>
      </w:divBdr>
    </w:div>
    <w:div w:id="1573737788">
      <w:bodyDiv w:val="1"/>
      <w:marLeft w:val="0"/>
      <w:marRight w:val="0"/>
      <w:marTop w:val="0"/>
      <w:marBottom w:val="0"/>
      <w:divBdr>
        <w:top w:val="none" w:sz="0" w:space="0" w:color="auto"/>
        <w:left w:val="none" w:sz="0" w:space="0" w:color="auto"/>
        <w:bottom w:val="none" w:sz="0" w:space="0" w:color="auto"/>
        <w:right w:val="none" w:sz="0" w:space="0" w:color="auto"/>
      </w:divBdr>
      <w:divsChild>
        <w:div w:id="1339769279">
          <w:marLeft w:val="0"/>
          <w:marRight w:val="0"/>
          <w:marTop w:val="0"/>
          <w:marBottom w:val="0"/>
          <w:divBdr>
            <w:top w:val="none" w:sz="0" w:space="0" w:color="auto"/>
            <w:left w:val="none" w:sz="0" w:space="0" w:color="auto"/>
            <w:bottom w:val="none" w:sz="0" w:space="0" w:color="auto"/>
            <w:right w:val="none" w:sz="0" w:space="0" w:color="auto"/>
          </w:divBdr>
          <w:divsChild>
            <w:div w:id="2033720164">
              <w:marLeft w:val="0"/>
              <w:marRight w:val="0"/>
              <w:marTop w:val="0"/>
              <w:marBottom w:val="0"/>
              <w:divBdr>
                <w:top w:val="none" w:sz="0" w:space="0" w:color="auto"/>
                <w:left w:val="none" w:sz="0" w:space="0" w:color="auto"/>
                <w:bottom w:val="none" w:sz="0" w:space="0" w:color="auto"/>
                <w:right w:val="none" w:sz="0" w:space="0" w:color="auto"/>
              </w:divBdr>
              <w:divsChild>
                <w:div w:id="616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012">
      <w:bodyDiv w:val="1"/>
      <w:marLeft w:val="0"/>
      <w:marRight w:val="0"/>
      <w:marTop w:val="0"/>
      <w:marBottom w:val="0"/>
      <w:divBdr>
        <w:top w:val="none" w:sz="0" w:space="0" w:color="auto"/>
        <w:left w:val="none" w:sz="0" w:space="0" w:color="auto"/>
        <w:bottom w:val="none" w:sz="0" w:space="0" w:color="auto"/>
        <w:right w:val="none" w:sz="0" w:space="0" w:color="auto"/>
      </w:divBdr>
      <w:divsChild>
        <w:div w:id="55788377">
          <w:marLeft w:val="0"/>
          <w:marRight w:val="0"/>
          <w:marTop w:val="0"/>
          <w:marBottom w:val="0"/>
          <w:divBdr>
            <w:top w:val="none" w:sz="0" w:space="0" w:color="auto"/>
            <w:left w:val="none" w:sz="0" w:space="0" w:color="auto"/>
            <w:bottom w:val="none" w:sz="0" w:space="0" w:color="auto"/>
            <w:right w:val="none" w:sz="0" w:space="0" w:color="auto"/>
          </w:divBdr>
        </w:div>
        <w:div w:id="426539795">
          <w:marLeft w:val="0"/>
          <w:marRight w:val="0"/>
          <w:marTop w:val="0"/>
          <w:marBottom w:val="0"/>
          <w:divBdr>
            <w:top w:val="none" w:sz="0" w:space="0" w:color="auto"/>
            <w:left w:val="none" w:sz="0" w:space="0" w:color="auto"/>
            <w:bottom w:val="none" w:sz="0" w:space="0" w:color="auto"/>
            <w:right w:val="none" w:sz="0" w:space="0" w:color="auto"/>
          </w:divBdr>
        </w:div>
        <w:div w:id="765228281">
          <w:marLeft w:val="0"/>
          <w:marRight w:val="0"/>
          <w:marTop w:val="0"/>
          <w:marBottom w:val="0"/>
          <w:divBdr>
            <w:top w:val="none" w:sz="0" w:space="0" w:color="auto"/>
            <w:left w:val="none" w:sz="0" w:space="0" w:color="auto"/>
            <w:bottom w:val="none" w:sz="0" w:space="0" w:color="auto"/>
            <w:right w:val="none" w:sz="0" w:space="0" w:color="auto"/>
          </w:divBdr>
        </w:div>
        <w:div w:id="770970509">
          <w:marLeft w:val="0"/>
          <w:marRight w:val="0"/>
          <w:marTop w:val="0"/>
          <w:marBottom w:val="0"/>
          <w:divBdr>
            <w:top w:val="none" w:sz="0" w:space="0" w:color="auto"/>
            <w:left w:val="none" w:sz="0" w:space="0" w:color="auto"/>
            <w:bottom w:val="none" w:sz="0" w:space="0" w:color="auto"/>
            <w:right w:val="none" w:sz="0" w:space="0" w:color="auto"/>
          </w:divBdr>
        </w:div>
        <w:div w:id="1318806881">
          <w:marLeft w:val="0"/>
          <w:marRight w:val="0"/>
          <w:marTop w:val="0"/>
          <w:marBottom w:val="0"/>
          <w:divBdr>
            <w:top w:val="none" w:sz="0" w:space="0" w:color="auto"/>
            <w:left w:val="none" w:sz="0" w:space="0" w:color="auto"/>
            <w:bottom w:val="none" w:sz="0" w:space="0" w:color="auto"/>
            <w:right w:val="none" w:sz="0" w:space="0" w:color="auto"/>
          </w:divBdr>
        </w:div>
        <w:div w:id="1360231779">
          <w:marLeft w:val="0"/>
          <w:marRight w:val="0"/>
          <w:marTop w:val="0"/>
          <w:marBottom w:val="0"/>
          <w:divBdr>
            <w:top w:val="none" w:sz="0" w:space="0" w:color="auto"/>
            <w:left w:val="none" w:sz="0" w:space="0" w:color="auto"/>
            <w:bottom w:val="none" w:sz="0" w:space="0" w:color="auto"/>
            <w:right w:val="none" w:sz="0" w:space="0" w:color="auto"/>
          </w:divBdr>
        </w:div>
        <w:div w:id="2027750491">
          <w:marLeft w:val="0"/>
          <w:marRight w:val="0"/>
          <w:marTop w:val="0"/>
          <w:marBottom w:val="0"/>
          <w:divBdr>
            <w:top w:val="none" w:sz="0" w:space="0" w:color="auto"/>
            <w:left w:val="none" w:sz="0" w:space="0" w:color="auto"/>
            <w:bottom w:val="none" w:sz="0" w:space="0" w:color="auto"/>
            <w:right w:val="none" w:sz="0" w:space="0" w:color="auto"/>
          </w:divBdr>
        </w:div>
      </w:divsChild>
    </w:div>
    <w:div w:id="1751538482">
      <w:bodyDiv w:val="1"/>
      <w:marLeft w:val="0"/>
      <w:marRight w:val="0"/>
      <w:marTop w:val="0"/>
      <w:marBottom w:val="0"/>
      <w:divBdr>
        <w:top w:val="none" w:sz="0" w:space="0" w:color="auto"/>
        <w:left w:val="none" w:sz="0" w:space="0" w:color="auto"/>
        <w:bottom w:val="none" w:sz="0" w:space="0" w:color="auto"/>
        <w:right w:val="none" w:sz="0" w:space="0" w:color="auto"/>
      </w:divBdr>
      <w:divsChild>
        <w:div w:id="994332130">
          <w:marLeft w:val="0"/>
          <w:marRight w:val="0"/>
          <w:marTop w:val="0"/>
          <w:marBottom w:val="0"/>
          <w:divBdr>
            <w:top w:val="none" w:sz="0" w:space="0" w:color="auto"/>
            <w:left w:val="none" w:sz="0" w:space="0" w:color="auto"/>
            <w:bottom w:val="none" w:sz="0" w:space="0" w:color="auto"/>
            <w:right w:val="none" w:sz="0" w:space="0" w:color="auto"/>
          </w:divBdr>
          <w:divsChild>
            <w:div w:id="392385834">
              <w:marLeft w:val="0"/>
              <w:marRight w:val="0"/>
              <w:marTop w:val="0"/>
              <w:marBottom w:val="0"/>
              <w:divBdr>
                <w:top w:val="none" w:sz="0" w:space="0" w:color="auto"/>
                <w:left w:val="none" w:sz="0" w:space="0" w:color="auto"/>
                <w:bottom w:val="none" w:sz="0" w:space="0" w:color="auto"/>
                <w:right w:val="none" w:sz="0" w:space="0" w:color="auto"/>
              </w:divBdr>
              <w:divsChild>
                <w:div w:id="12058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6164">
      <w:bodyDiv w:val="1"/>
      <w:marLeft w:val="0"/>
      <w:marRight w:val="0"/>
      <w:marTop w:val="0"/>
      <w:marBottom w:val="0"/>
      <w:divBdr>
        <w:top w:val="none" w:sz="0" w:space="0" w:color="auto"/>
        <w:left w:val="none" w:sz="0" w:space="0" w:color="auto"/>
        <w:bottom w:val="none" w:sz="0" w:space="0" w:color="auto"/>
        <w:right w:val="none" w:sz="0" w:space="0" w:color="auto"/>
      </w:divBdr>
      <w:divsChild>
        <w:div w:id="1586646621">
          <w:marLeft w:val="0"/>
          <w:marRight w:val="0"/>
          <w:marTop w:val="0"/>
          <w:marBottom w:val="0"/>
          <w:divBdr>
            <w:top w:val="none" w:sz="0" w:space="0" w:color="auto"/>
            <w:left w:val="none" w:sz="0" w:space="0" w:color="auto"/>
            <w:bottom w:val="none" w:sz="0" w:space="0" w:color="auto"/>
            <w:right w:val="none" w:sz="0" w:space="0" w:color="auto"/>
          </w:divBdr>
          <w:divsChild>
            <w:div w:id="1818574725">
              <w:marLeft w:val="0"/>
              <w:marRight w:val="0"/>
              <w:marTop w:val="0"/>
              <w:marBottom w:val="0"/>
              <w:divBdr>
                <w:top w:val="none" w:sz="0" w:space="0" w:color="auto"/>
                <w:left w:val="none" w:sz="0" w:space="0" w:color="auto"/>
                <w:bottom w:val="none" w:sz="0" w:space="0" w:color="auto"/>
                <w:right w:val="none" w:sz="0" w:space="0" w:color="auto"/>
              </w:divBdr>
              <w:divsChild>
                <w:div w:id="60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75761">
      <w:bodyDiv w:val="1"/>
      <w:marLeft w:val="0"/>
      <w:marRight w:val="0"/>
      <w:marTop w:val="0"/>
      <w:marBottom w:val="0"/>
      <w:divBdr>
        <w:top w:val="none" w:sz="0" w:space="0" w:color="auto"/>
        <w:left w:val="none" w:sz="0" w:space="0" w:color="auto"/>
        <w:bottom w:val="none" w:sz="0" w:space="0" w:color="auto"/>
        <w:right w:val="none" w:sz="0" w:space="0" w:color="auto"/>
      </w:divBdr>
    </w:div>
    <w:div w:id="1876888172">
      <w:bodyDiv w:val="1"/>
      <w:marLeft w:val="0"/>
      <w:marRight w:val="0"/>
      <w:marTop w:val="0"/>
      <w:marBottom w:val="0"/>
      <w:divBdr>
        <w:top w:val="none" w:sz="0" w:space="0" w:color="auto"/>
        <w:left w:val="none" w:sz="0" w:space="0" w:color="auto"/>
        <w:bottom w:val="none" w:sz="0" w:space="0" w:color="auto"/>
        <w:right w:val="none" w:sz="0" w:space="0" w:color="auto"/>
      </w:divBdr>
    </w:div>
    <w:div w:id="1901356821">
      <w:bodyDiv w:val="1"/>
      <w:marLeft w:val="0"/>
      <w:marRight w:val="0"/>
      <w:marTop w:val="0"/>
      <w:marBottom w:val="0"/>
      <w:divBdr>
        <w:top w:val="none" w:sz="0" w:space="0" w:color="auto"/>
        <w:left w:val="none" w:sz="0" w:space="0" w:color="auto"/>
        <w:bottom w:val="none" w:sz="0" w:space="0" w:color="auto"/>
        <w:right w:val="none" w:sz="0" w:space="0" w:color="auto"/>
      </w:divBdr>
      <w:divsChild>
        <w:div w:id="1208756753">
          <w:marLeft w:val="0"/>
          <w:marRight w:val="0"/>
          <w:marTop w:val="0"/>
          <w:marBottom w:val="0"/>
          <w:divBdr>
            <w:top w:val="none" w:sz="0" w:space="0" w:color="auto"/>
            <w:left w:val="none" w:sz="0" w:space="0" w:color="auto"/>
            <w:bottom w:val="none" w:sz="0" w:space="0" w:color="auto"/>
            <w:right w:val="none" w:sz="0" w:space="0" w:color="auto"/>
          </w:divBdr>
          <w:divsChild>
            <w:div w:id="1379628379">
              <w:marLeft w:val="0"/>
              <w:marRight w:val="0"/>
              <w:marTop w:val="0"/>
              <w:marBottom w:val="0"/>
              <w:divBdr>
                <w:top w:val="none" w:sz="0" w:space="0" w:color="auto"/>
                <w:left w:val="none" w:sz="0" w:space="0" w:color="auto"/>
                <w:bottom w:val="none" w:sz="0" w:space="0" w:color="auto"/>
                <w:right w:val="none" w:sz="0" w:space="0" w:color="auto"/>
              </w:divBdr>
              <w:divsChild>
                <w:div w:id="10131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tbottleitup.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A70F-71BB-4E35-A715-B71609A6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LSBU</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Kerry 6</dc:creator>
  <cp:keywords/>
  <dc:description/>
  <cp:lastModifiedBy>Dan Frings</cp:lastModifiedBy>
  <cp:revision>10</cp:revision>
  <cp:lastPrinted>2018-01-25T17:30:00Z</cp:lastPrinted>
  <dcterms:created xsi:type="dcterms:W3CDTF">2018-10-15T14:30:00Z</dcterms:created>
  <dcterms:modified xsi:type="dcterms:W3CDTF">2018-11-30T14:13:00Z</dcterms:modified>
</cp:coreProperties>
</file>