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3218" w14:textId="19790BD1" w:rsidR="00BF07B9" w:rsidRDefault="00BF07B9" w:rsidP="0090642E">
      <w:pPr>
        <w:spacing w:line="360" w:lineRule="auto"/>
        <w:jc w:val="center"/>
        <w:rPr>
          <w:rFonts w:ascii="Arial" w:hAnsi="Arial" w:cs="Arial"/>
          <w:sz w:val="24"/>
          <w:u w:val="single"/>
        </w:rPr>
      </w:pPr>
      <w:bookmarkStart w:id="0" w:name="_Hlk56774575"/>
      <w:r w:rsidRPr="00BF07B9">
        <w:rPr>
          <w:rFonts w:ascii="Arial" w:hAnsi="Arial" w:cs="Arial"/>
          <w:sz w:val="24"/>
          <w:u w:val="single"/>
        </w:rPr>
        <w:t>Developing a consensus-based scoring rubric to enhance practice-based assessment of student nurses' clinical competence: a Delphi study</w:t>
      </w:r>
    </w:p>
    <w:p w14:paraId="53C719C1" w14:textId="1833F03C" w:rsidR="00BF07B9" w:rsidRDefault="00BF07B9" w:rsidP="00BF07B9">
      <w:pPr>
        <w:pStyle w:val="NoSpacing"/>
        <w:rPr>
          <w:lang w:eastAsia="en-GB"/>
        </w:rPr>
      </w:pPr>
    </w:p>
    <w:p w14:paraId="1B93EF96" w14:textId="155B1367" w:rsidR="00BF07B9" w:rsidRDefault="00BF07B9" w:rsidP="00BF07B9">
      <w:pPr>
        <w:pStyle w:val="NoSpacing"/>
        <w:rPr>
          <w:lang w:eastAsia="en-GB"/>
        </w:rPr>
      </w:pPr>
    </w:p>
    <w:p w14:paraId="62041BF3" w14:textId="3506050A" w:rsidR="00BF07B9" w:rsidRDefault="00BF07B9" w:rsidP="00BF07B9">
      <w:pPr>
        <w:pStyle w:val="NoSpacing"/>
        <w:rPr>
          <w:rFonts w:ascii="Arial" w:hAnsi="Arial" w:cs="Arial"/>
          <w:lang w:eastAsia="en-GB"/>
        </w:rPr>
      </w:pPr>
      <w:r w:rsidRPr="00BF07B9">
        <w:rPr>
          <w:rFonts w:ascii="Arial" w:hAnsi="Arial" w:cs="Arial"/>
          <w:lang w:eastAsia="en-GB"/>
        </w:rPr>
        <w:t>Authors:</w:t>
      </w:r>
    </w:p>
    <w:p w14:paraId="42FC2454" w14:textId="77777777" w:rsidR="00BF07B9" w:rsidRPr="00BF07B9" w:rsidRDefault="00BF07B9" w:rsidP="00BF07B9">
      <w:pPr>
        <w:pStyle w:val="NoSpacing"/>
        <w:rPr>
          <w:rFonts w:ascii="Arial" w:hAnsi="Arial" w:cs="Arial"/>
          <w:lang w:eastAsia="en-GB"/>
        </w:rPr>
      </w:pPr>
    </w:p>
    <w:p w14:paraId="1B919183" w14:textId="447F1B57" w:rsidR="00BF07B9" w:rsidRDefault="00BF07B9" w:rsidP="00BF07B9">
      <w:pPr>
        <w:pStyle w:val="NoSpacing"/>
        <w:rPr>
          <w:rFonts w:ascii="Arial" w:hAnsi="Arial" w:cs="Arial"/>
          <w:lang w:eastAsia="en-GB"/>
        </w:rPr>
      </w:pPr>
      <w:r w:rsidRPr="00BF07B9">
        <w:rPr>
          <w:rFonts w:ascii="Arial" w:hAnsi="Arial" w:cs="Arial"/>
          <w:lang w:eastAsia="en-GB"/>
        </w:rPr>
        <w:t>Dr Ibraheim Almalkawi (London South Bank University)</w:t>
      </w:r>
      <w:r>
        <w:rPr>
          <w:rFonts w:ascii="Arial" w:hAnsi="Arial" w:cs="Arial"/>
          <w:lang w:eastAsia="en-GB"/>
        </w:rPr>
        <w:t xml:space="preserve"> (Corresponding author)</w:t>
      </w:r>
    </w:p>
    <w:p w14:paraId="53E64FD8" w14:textId="77777777" w:rsidR="00BF07B9" w:rsidRPr="00BF07B9" w:rsidRDefault="00BF07B9" w:rsidP="00BF07B9">
      <w:pPr>
        <w:pStyle w:val="NoSpacing"/>
        <w:rPr>
          <w:rFonts w:ascii="Arial" w:hAnsi="Arial" w:cs="Arial"/>
          <w:lang w:eastAsia="en-GB"/>
        </w:rPr>
      </w:pPr>
    </w:p>
    <w:p w14:paraId="179894C0" w14:textId="4591E756" w:rsidR="00BF07B9" w:rsidRDefault="00BF07B9" w:rsidP="00BF07B9">
      <w:pPr>
        <w:pStyle w:val="NoSpacing"/>
        <w:rPr>
          <w:rFonts w:ascii="Arial" w:hAnsi="Arial" w:cs="Arial"/>
          <w:lang w:eastAsia="en-GB"/>
        </w:rPr>
      </w:pPr>
      <w:r w:rsidRPr="00BF07B9">
        <w:rPr>
          <w:rFonts w:ascii="Arial" w:hAnsi="Arial" w:cs="Arial"/>
          <w:lang w:eastAsia="en-GB"/>
        </w:rPr>
        <w:t>Professor Rebecca Jester (University of Wolverhampton)</w:t>
      </w:r>
    </w:p>
    <w:p w14:paraId="0964AE3B" w14:textId="77777777" w:rsidR="00BF07B9" w:rsidRPr="00BF07B9" w:rsidRDefault="00BF07B9" w:rsidP="00BF07B9">
      <w:pPr>
        <w:pStyle w:val="NoSpacing"/>
        <w:rPr>
          <w:rFonts w:ascii="Arial" w:hAnsi="Arial" w:cs="Arial"/>
          <w:lang w:eastAsia="en-GB"/>
        </w:rPr>
      </w:pPr>
    </w:p>
    <w:p w14:paraId="3E167D01" w14:textId="7BE3C8DC" w:rsidR="00BF07B9" w:rsidRPr="00BF07B9" w:rsidRDefault="00BF07B9" w:rsidP="00BF07B9">
      <w:pPr>
        <w:pStyle w:val="NoSpacing"/>
        <w:rPr>
          <w:rFonts w:ascii="Arial" w:hAnsi="Arial" w:cs="Arial"/>
          <w:lang w:eastAsia="en-GB"/>
        </w:rPr>
      </w:pPr>
      <w:r w:rsidRPr="00BF07B9">
        <w:rPr>
          <w:rFonts w:ascii="Arial" w:hAnsi="Arial" w:cs="Arial"/>
          <w:lang w:eastAsia="en-GB"/>
        </w:rPr>
        <w:t xml:space="preserve">Dr Louise Terry </w:t>
      </w:r>
      <w:r w:rsidRPr="00BF07B9">
        <w:rPr>
          <w:rFonts w:ascii="Arial" w:hAnsi="Arial" w:cs="Arial"/>
          <w:lang w:eastAsia="en-GB"/>
        </w:rPr>
        <w:t>(London South Bank University)</w:t>
      </w:r>
    </w:p>
    <w:p w14:paraId="14045283" w14:textId="7FC67783" w:rsidR="00BF07B9" w:rsidRDefault="00BF07B9" w:rsidP="00BF07B9">
      <w:pPr>
        <w:pStyle w:val="NoSpacing"/>
        <w:rPr>
          <w:lang w:eastAsia="en-GB"/>
        </w:rPr>
      </w:pPr>
    </w:p>
    <w:p w14:paraId="71731252" w14:textId="6692D5F0" w:rsidR="00BF07B9" w:rsidRDefault="00BF07B9" w:rsidP="00BF07B9">
      <w:pPr>
        <w:pStyle w:val="NoSpacing"/>
        <w:rPr>
          <w:lang w:eastAsia="en-GB"/>
        </w:rPr>
      </w:pPr>
    </w:p>
    <w:p w14:paraId="2A2645A9" w14:textId="194B2656" w:rsidR="00BF07B9" w:rsidRDefault="00BF07B9" w:rsidP="00BF07B9">
      <w:pPr>
        <w:pStyle w:val="NoSpacing"/>
        <w:rPr>
          <w:lang w:eastAsia="en-GB"/>
        </w:rPr>
      </w:pPr>
    </w:p>
    <w:p w14:paraId="730A5EB9" w14:textId="6FE0C2DC" w:rsidR="00BF07B9" w:rsidRDefault="00BF07B9" w:rsidP="00BF07B9">
      <w:pPr>
        <w:pStyle w:val="NoSpacing"/>
        <w:rPr>
          <w:lang w:eastAsia="en-GB"/>
        </w:rPr>
      </w:pPr>
    </w:p>
    <w:p w14:paraId="1CA0623E" w14:textId="77777777" w:rsidR="00BF07B9" w:rsidRPr="00BF07B9" w:rsidRDefault="00BF07B9" w:rsidP="00BF07B9">
      <w:pPr>
        <w:pStyle w:val="NoSpacing"/>
        <w:rPr>
          <w:lang w:eastAsia="en-GB"/>
        </w:rPr>
      </w:pPr>
    </w:p>
    <w:p w14:paraId="557749CD" w14:textId="0115939A" w:rsidR="00CF2B4E" w:rsidRPr="0090642E" w:rsidRDefault="004101B7" w:rsidP="0090642E">
      <w:pPr>
        <w:spacing w:line="360" w:lineRule="auto"/>
        <w:jc w:val="center"/>
        <w:rPr>
          <w:rFonts w:ascii="Arial" w:hAnsi="Arial" w:cs="Arial"/>
          <w:sz w:val="24"/>
        </w:rPr>
      </w:pPr>
      <w:r w:rsidRPr="0090642E">
        <w:rPr>
          <w:rFonts w:ascii="Arial" w:hAnsi="Arial" w:cs="Arial"/>
          <w:sz w:val="24"/>
          <w:u w:val="single"/>
        </w:rPr>
        <w:t>ABSTRACT</w:t>
      </w:r>
    </w:p>
    <w:p w14:paraId="23474DB7" w14:textId="77777777" w:rsidR="007D2011" w:rsidRPr="0090642E" w:rsidRDefault="007D2011" w:rsidP="0090642E">
      <w:pPr>
        <w:autoSpaceDE w:val="0"/>
        <w:autoSpaceDN w:val="0"/>
        <w:adjustRightInd w:val="0"/>
        <w:spacing w:line="360" w:lineRule="auto"/>
        <w:rPr>
          <w:rFonts w:ascii="Arial" w:hAnsi="Arial" w:cs="Arial"/>
          <w:sz w:val="24"/>
        </w:rPr>
      </w:pPr>
      <w:r w:rsidRPr="0090642E">
        <w:rPr>
          <w:rFonts w:ascii="Arial" w:hAnsi="Arial" w:cs="Arial"/>
          <w:sz w:val="24"/>
          <w:u w:val="single"/>
        </w:rPr>
        <w:t>Background</w:t>
      </w:r>
      <w:r w:rsidRPr="0090642E">
        <w:rPr>
          <w:rFonts w:ascii="Arial" w:hAnsi="Arial" w:cs="Arial"/>
          <w:sz w:val="24"/>
        </w:rPr>
        <w:t xml:space="preserve">: </w:t>
      </w:r>
      <w:r w:rsidRPr="0090642E">
        <w:rPr>
          <w:rFonts w:ascii="Arial" w:hAnsi="Arial" w:cs="Arial"/>
          <w:bCs/>
          <w:sz w:val="24"/>
        </w:rPr>
        <w:t>Concerns about reliability and validity of practice-based assessment of professional competencies are frequently reported in the literature</w:t>
      </w:r>
      <w:r w:rsidRPr="0090642E">
        <w:rPr>
          <w:rFonts w:ascii="Arial" w:hAnsi="Arial" w:cs="Arial"/>
          <w:sz w:val="24"/>
        </w:rPr>
        <w:t xml:space="preserve">. Difficulty in understanding competency statements or distinguishing different achievement levels has been found to be a major factor. </w:t>
      </w:r>
    </w:p>
    <w:p w14:paraId="4A871054" w14:textId="77777777" w:rsidR="007D2011" w:rsidRPr="0090642E" w:rsidRDefault="007D2011" w:rsidP="0090642E">
      <w:pPr>
        <w:autoSpaceDE w:val="0"/>
        <w:autoSpaceDN w:val="0"/>
        <w:adjustRightInd w:val="0"/>
        <w:spacing w:line="360" w:lineRule="auto"/>
        <w:rPr>
          <w:rFonts w:ascii="Arial" w:hAnsi="Arial" w:cs="Arial"/>
          <w:sz w:val="24"/>
          <w:u w:val="single"/>
        </w:rPr>
      </w:pPr>
    </w:p>
    <w:p w14:paraId="5C571E0E" w14:textId="379B27E7" w:rsidR="00D2295D" w:rsidRPr="0090642E" w:rsidRDefault="004C6BF5" w:rsidP="0090642E">
      <w:pPr>
        <w:autoSpaceDE w:val="0"/>
        <w:autoSpaceDN w:val="0"/>
        <w:adjustRightInd w:val="0"/>
        <w:spacing w:line="360" w:lineRule="auto"/>
        <w:rPr>
          <w:rFonts w:ascii="Arial" w:hAnsi="Arial" w:cs="Arial"/>
          <w:sz w:val="24"/>
        </w:rPr>
      </w:pPr>
      <w:r w:rsidRPr="0090642E">
        <w:rPr>
          <w:rFonts w:ascii="Arial" w:hAnsi="Arial" w:cs="Arial"/>
          <w:sz w:val="24"/>
          <w:u w:val="single"/>
        </w:rPr>
        <w:t>Objectives</w:t>
      </w:r>
      <w:r w:rsidR="00D2295D" w:rsidRPr="0090642E">
        <w:rPr>
          <w:rFonts w:ascii="Arial" w:hAnsi="Arial" w:cs="Arial"/>
          <w:sz w:val="24"/>
        </w:rPr>
        <w:t xml:space="preserve">: </w:t>
      </w:r>
      <w:r w:rsidR="00805945" w:rsidRPr="0090642E">
        <w:rPr>
          <w:rFonts w:ascii="Arial" w:hAnsi="Arial" w:cs="Arial"/>
          <w:sz w:val="24"/>
        </w:rPr>
        <w:t xml:space="preserve">To </w:t>
      </w:r>
      <w:r w:rsidR="00805945" w:rsidRPr="0090642E">
        <w:rPr>
          <w:rFonts w:ascii="Arial" w:hAnsi="Arial" w:cs="Arial"/>
          <w:bCs/>
          <w:sz w:val="24"/>
        </w:rPr>
        <w:t xml:space="preserve">develop a consensus-based scoring rubric based on stakeholders’ interpretations of level descriptors for </w:t>
      </w:r>
      <w:r w:rsidR="00E01CF4" w:rsidRPr="0090642E">
        <w:rPr>
          <w:rFonts w:ascii="Arial" w:hAnsi="Arial" w:cs="Arial"/>
          <w:bCs/>
          <w:sz w:val="24"/>
        </w:rPr>
        <w:t xml:space="preserve">student nurses’ </w:t>
      </w:r>
      <w:r w:rsidR="00805945" w:rsidRPr="0090642E">
        <w:rPr>
          <w:rFonts w:ascii="Arial" w:hAnsi="Arial" w:cs="Arial"/>
          <w:bCs/>
          <w:sz w:val="24"/>
        </w:rPr>
        <w:t>professional values competencies</w:t>
      </w:r>
      <w:r w:rsidR="00D2295D" w:rsidRPr="0090642E">
        <w:rPr>
          <w:rFonts w:ascii="Arial" w:hAnsi="Arial" w:cs="Arial"/>
          <w:sz w:val="24"/>
        </w:rPr>
        <w:t>.</w:t>
      </w:r>
    </w:p>
    <w:p w14:paraId="1528DE19" w14:textId="77777777" w:rsidR="004C6BF5" w:rsidRPr="0090642E" w:rsidRDefault="004C6BF5" w:rsidP="0090642E">
      <w:pPr>
        <w:spacing w:line="360" w:lineRule="auto"/>
        <w:rPr>
          <w:rFonts w:ascii="Arial" w:hAnsi="Arial" w:cs="Arial"/>
          <w:sz w:val="24"/>
        </w:rPr>
      </w:pPr>
    </w:p>
    <w:p w14:paraId="5BDD24D8" w14:textId="4B54E30F" w:rsidR="004C6BF5" w:rsidRPr="0090642E" w:rsidRDefault="004C6BF5" w:rsidP="0090642E">
      <w:pPr>
        <w:spacing w:line="360" w:lineRule="auto"/>
        <w:rPr>
          <w:rFonts w:ascii="Arial" w:hAnsi="Arial" w:cs="Arial"/>
          <w:sz w:val="24"/>
        </w:rPr>
      </w:pPr>
      <w:r w:rsidRPr="0090642E">
        <w:rPr>
          <w:rFonts w:ascii="Arial" w:hAnsi="Arial" w:cs="Arial"/>
          <w:sz w:val="24"/>
          <w:u w:val="single"/>
        </w:rPr>
        <w:t>Design</w:t>
      </w:r>
      <w:r w:rsidR="00D2295D" w:rsidRPr="0090642E">
        <w:rPr>
          <w:rFonts w:ascii="Arial" w:hAnsi="Arial" w:cs="Arial"/>
          <w:sz w:val="24"/>
          <w:u w:val="single"/>
        </w:rPr>
        <w:t>:</w:t>
      </w:r>
      <w:r w:rsidR="00D2295D" w:rsidRPr="0090642E">
        <w:rPr>
          <w:rFonts w:ascii="Arial" w:hAnsi="Arial" w:cs="Arial"/>
          <w:sz w:val="24"/>
        </w:rPr>
        <w:t xml:space="preserve"> </w:t>
      </w:r>
      <w:r w:rsidR="007D2011" w:rsidRPr="0090642E">
        <w:rPr>
          <w:rFonts w:ascii="Arial" w:hAnsi="Arial" w:cs="Arial"/>
          <w:sz w:val="24"/>
        </w:rPr>
        <w:t xml:space="preserve">Two rounds of </w:t>
      </w:r>
      <w:r w:rsidR="007D2011" w:rsidRPr="0090642E">
        <w:rPr>
          <w:rFonts w:ascii="Arial" w:hAnsi="Arial" w:cs="Arial"/>
          <w:bCs/>
          <w:sz w:val="24"/>
        </w:rPr>
        <w:t xml:space="preserve">Classic </w:t>
      </w:r>
      <w:r w:rsidR="00C64433">
        <w:rPr>
          <w:rFonts w:ascii="Arial" w:hAnsi="Arial" w:cs="Arial"/>
          <w:bCs/>
          <w:sz w:val="24"/>
        </w:rPr>
        <w:t>e-</w:t>
      </w:r>
      <w:r w:rsidR="007D2011" w:rsidRPr="0090642E">
        <w:rPr>
          <w:rFonts w:ascii="Arial" w:hAnsi="Arial" w:cs="Arial"/>
          <w:bCs/>
          <w:sz w:val="24"/>
        </w:rPr>
        <w:t>Delphi</w:t>
      </w:r>
      <w:r w:rsidR="00426631">
        <w:rPr>
          <w:rFonts w:ascii="Arial" w:hAnsi="Arial" w:cs="Arial"/>
          <w:bCs/>
          <w:sz w:val="24"/>
        </w:rPr>
        <w:t xml:space="preserve"> </w:t>
      </w:r>
    </w:p>
    <w:p w14:paraId="4DDB6269" w14:textId="77777777" w:rsidR="00F06D7C" w:rsidRPr="0090642E" w:rsidRDefault="00F06D7C" w:rsidP="0090642E">
      <w:pPr>
        <w:spacing w:line="360" w:lineRule="auto"/>
        <w:rPr>
          <w:rFonts w:ascii="Arial" w:hAnsi="Arial" w:cs="Arial"/>
          <w:sz w:val="24"/>
        </w:rPr>
      </w:pPr>
    </w:p>
    <w:p w14:paraId="16FE87D9" w14:textId="47BFF223" w:rsidR="007D2011" w:rsidRPr="0090642E" w:rsidRDefault="007D2011" w:rsidP="0090642E">
      <w:pPr>
        <w:spacing w:line="360" w:lineRule="auto"/>
        <w:rPr>
          <w:rFonts w:ascii="Arial" w:hAnsi="Arial" w:cs="Arial"/>
          <w:sz w:val="24"/>
        </w:rPr>
      </w:pPr>
      <w:r w:rsidRPr="0090642E">
        <w:rPr>
          <w:rFonts w:ascii="Arial" w:hAnsi="Arial" w:cs="Arial"/>
          <w:sz w:val="24"/>
          <w:u w:val="single"/>
        </w:rPr>
        <w:t>Settings</w:t>
      </w:r>
      <w:r w:rsidRPr="0090642E">
        <w:rPr>
          <w:rFonts w:ascii="Arial" w:hAnsi="Arial" w:cs="Arial"/>
          <w:sz w:val="24"/>
        </w:rPr>
        <w:t xml:space="preserve">: </w:t>
      </w:r>
      <w:r w:rsidR="00876795" w:rsidRPr="0090642E">
        <w:rPr>
          <w:rFonts w:ascii="Arial" w:hAnsi="Arial" w:cs="Arial"/>
          <w:sz w:val="24"/>
        </w:rPr>
        <w:t>This study was conducted</w:t>
      </w:r>
      <w:r w:rsidR="00E01CF4" w:rsidRPr="0090642E">
        <w:rPr>
          <w:rFonts w:ascii="Arial" w:hAnsi="Arial" w:cs="Arial"/>
          <w:sz w:val="24"/>
        </w:rPr>
        <w:t xml:space="preserve"> in a London based university </w:t>
      </w:r>
      <w:r w:rsidR="00876795" w:rsidRPr="0090642E">
        <w:rPr>
          <w:rFonts w:ascii="Arial" w:hAnsi="Arial" w:cs="Arial"/>
          <w:sz w:val="24"/>
        </w:rPr>
        <w:t>using</w:t>
      </w:r>
      <w:r w:rsidR="00876795" w:rsidRPr="0090642E">
        <w:rPr>
          <w:rFonts w:ascii="Arial" w:eastAsiaTheme="minorEastAsia" w:hAnsi="Arial" w:cs="Arial"/>
          <w:sz w:val="24"/>
          <w:lang w:eastAsia="ja-JP"/>
        </w:rPr>
        <w:t xml:space="preserve"> </w:t>
      </w:r>
      <w:r w:rsidR="00876795" w:rsidRPr="0090642E">
        <w:rPr>
          <w:rFonts w:ascii="Arial" w:hAnsi="Arial" w:cs="Arial"/>
          <w:sz w:val="24"/>
        </w:rPr>
        <w:t xml:space="preserve">Bristol Online Survey website as a host. </w:t>
      </w:r>
    </w:p>
    <w:p w14:paraId="325B2579" w14:textId="77777777" w:rsidR="00876795" w:rsidRPr="0090642E" w:rsidRDefault="00876795" w:rsidP="0090642E">
      <w:pPr>
        <w:pStyle w:val="NoSpacing"/>
        <w:spacing w:line="360" w:lineRule="auto"/>
        <w:rPr>
          <w:rFonts w:ascii="Arial" w:hAnsi="Arial" w:cs="Arial"/>
          <w:sz w:val="24"/>
          <w:szCs w:val="24"/>
          <w:lang w:eastAsia="en-GB"/>
        </w:rPr>
      </w:pPr>
    </w:p>
    <w:p w14:paraId="745B3E38" w14:textId="2FD3EA0A" w:rsidR="004C6BF5" w:rsidRPr="0090642E" w:rsidRDefault="00876795" w:rsidP="0090642E">
      <w:pPr>
        <w:spacing w:line="360" w:lineRule="auto"/>
        <w:rPr>
          <w:rFonts w:ascii="Arial" w:hAnsi="Arial" w:cs="Arial"/>
          <w:sz w:val="24"/>
        </w:rPr>
      </w:pPr>
      <w:r w:rsidRPr="0090642E">
        <w:rPr>
          <w:rFonts w:ascii="Arial" w:hAnsi="Arial" w:cs="Arial"/>
          <w:sz w:val="24"/>
          <w:u w:val="single"/>
        </w:rPr>
        <w:t>Participants</w:t>
      </w:r>
      <w:r w:rsidR="00F06D7C" w:rsidRPr="0090642E">
        <w:rPr>
          <w:rFonts w:ascii="Arial" w:hAnsi="Arial" w:cs="Arial"/>
          <w:sz w:val="24"/>
          <w:u w:val="single"/>
        </w:rPr>
        <w:t>:</w:t>
      </w:r>
      <w:r w:rsidR="00F06D7C" w:rsidRPr="0090642E">
        <w:rPr>
          <w:rFonts w:ascii="Arial" w:hAnsi="Arial" w:cs="Arial"/>
          <w:sz w:val="24"/>
        </w:rPr>
        <w:t xml:space="preserve"> </w:t>
      </w:r>
      <w:r w:rsidRPr="0090642E">
        <w:rPr>
          <w:rFonts w:ascii="Arial" w:hAnsi="Arial" w:cs="Arial"/>
          <w:sz w:val="24"/>
        </w:rPr>
        <w:t xml:space="preserve">100 </w:t>
      </w:r>
      <w:r w:rsidRPr="0090642E">
        <w:rPr>
          <w:rFonts w:ascii="Arial" w:hAnsi="Arial" w:cs="Arial"/>
          <w:bCs/>
          <w:sz w:val="24"/>
        </w:rPr>
        <w:t xml:space="preserve">stakeholders </w:t>
      </w:r>
      <w:r w:rsidRPr="0090642E">
        <w:rPr>
          <w:rFonts w:ascii="Arial" w:hAnsi="Arial" w:cs="Arial"/>
          <w:sz w:val="24"/>
        </w:rPr>
        <w:t xml:space="preserve">with vested interests in undergraduate </w:t>
      </w:r>
      <w:r w:rsidR="009D18B7" w:rsidRPr="0090642E">
        <w:rPr>
          <w:rFonts w:ascii="Arial" w:hAnsi="Arial" w:cs="Arial"/>
          <w:sz w:val="24"/>
        </w:rPr>
        <w:t xml:space="preserve">pre-registration </w:t>
      </w:r>
      <w:r w:rsidRPr="0090642E">
        <w:rPr>
          <w:rFonts w:ascii="Arial" w:hAnsi="Arial" w:cs="Arial"/>
          <w:sz w:val="24"/>
        </w:rPr>
        <w:t>nurse education were purposefully invited to participate</w:t>
      </w:r>
      <w:r w:rsidR="00F06D7C" w:rsidRPr="0090642E">
        <w:rPr>
          <w:rFonts w:ascii="Arial" w:hAnsi="Arial" w:cs="Arial"/>
          <w:sz w:val="24"/>
        </w:rPr>
        <w:t xml:space="preserve">. </w:t>
      </w:r>
    </w:p>
    <w:p w14:paraId="6B6ECFA5" w14:textId="77777777" w:rsidR="00F06D7C" w:rsidRPr="0090642E" w:rsidRDefault="00F06D7C" w:rsidP="0090642E">
      <w:pPr>
        <w:spacing w:line="360" w:lineRule="auto"/>
        <w:rPr>
          <w:rFonts w:ascii="Arial" w:hAnsi="Arial" w:cs="Arial"/>
          <w:sz w:val="24"/>
        </w:rPr>
      </w:pPr>
    </w:p>
    <w:p w14:paraId="77B17E79" w14:textId="46040C7E" w:rsidR="00876795" w:rsidRPr="006C7255" w:rsidRDefault="00876795" w:rsidP="0090642E">
      <w:pPr>
        <w:spacing w:line="360" w:lineRule="auto"/>
        <w:rPr>
          <w:rFonts w:ascii="Arial" w:hAnsi="Arial" w:cs="Arial"/>
          <w:color w:val="000000" w:themeColor="text1"/>
          <w:sz w:val="24"/>
        </w:rPr>
      </w:pPr>
      <w:r w:rsidRPr="0090642E">
        <w:rPr>
          <w:rFonts w:ascii="Arial" w:hAnsi="Arial" w:cs="Arial"/>
          <w:sz w:val="24"/>
          <w:u w:val="single"/>
        </w:rPr>
        <w:t>M</w:t>
      </w:r>
      <w:r w:rsidR="004C6BF5" w:rsidRPr="0090642E">
        <w:rPr>
          <w:rFonts w:ascii="Arial" w:hAnsi="Arial" w:cs="Arial"/>
          <w:sz w:val="24"/>
          <w:u w:val="single"/>
        </w:rPr>
        <w:t>ethod</w:t>
      </w:r>
      <w:r w:rsidR="0082406B" w:rsidRPr="0090642E">
        <w:rPr>
          <w:rFonts w:ascii="Arial" w:hAnsi="Arial" w:cs="Arial"/>
          <w:sz w:val="24"/>
          <w:u w:val="single"/>
        </w:rPr>
        <w:t>:</w:t>
      </w:r>
      <w:r w:rsidR="009433FF" w:rsidRPr="0090642E">
        <w:rPr>
          <w:rFonts w:ascii="Arial" w:hAnsi="Arial" w:cs="Arial"/>
          <w:sz w:val="24"/>
        </w:rPr>
        <w:t xml:space="preserve"> </w:t>
      </w:r>
      <w:r w:rsidRPr="0090642E">
        <w:rPr>
          <w:rFonts w:ascii="Arial" w:hAnsi="Arial" w:cs="Arial"/>
          <w:sz w:val="24"/>
        </w:rPr>
        <w:t xml:space="preserve">Round one collected free-text interpretations of the </w:t>
      </w:r>
      <w:r w:rsidR="00AF674D">
        <w:rPr>
          <w:rFonts w:ascii="Arial" w:hAnsi="Arial" w:cs="Arial"/>
          <w:sz w:val="24"/>
        </w:rPr>
        <w:t>U</w:t>
      </w:r>
      <w:r w:rsidR="00825AFC">
        <w:rPr>
          <w:rFonts w:ascii="Arial" w:hAnsi="Arial" w:cs="Arial"/>
          <w:sz w:val="24"/>
        </w:rPr>
        <w:t xml:space="preserve">nited </w:t>
      </w:r>
      <w:r w:rsidR="00AF674D">
        <w:rPr>
          <w:rFonts w:ascii="Arial" w:hAnsi="Arial" w:cs="Arial"/>
          <w:sz w:val="24"/>
        </w:rPr>
        <w:t>K</w:t>
      </w:r>
      <w:r w:rsidR="00825AFC">
        <w:rPr>
          <w:rFonts w:ascii="Arial" w:hAnsi="Arial" w:cs="Arial"/>
          <w:sz w:val="24"/>
        </w:rPr>
        <w:t>ingdom</w:t>
      </w:r>
      <w:r w:rsidR="00AF674D">
        <w:rPr>
          <w:rFonts w:ascii="Arial" w:hAnsi="Arial" w:cs="Arial"/>
          <w:sz w:val="24"/>
        </w:rPr>
        <w:t xml:space="preserve"> </w:t>
      </w:r>
      <w:r w:rsidRPr="0090642E">
        <w:rPr>
          <w:rFonts w:ascii="Arial" w:hAnsi="Arial" w:cs="Arial"/>
          <w:sz w:val="24"/>
        </w:rPr>
        <w:t xml:space="preserve">Nursing and Midwifery Council professional values </w:t>
      </w:r>
      <w:r w:rsidR="00AF674D">
        <w:rPr>
          <w:rFonts w:ascii="Arial" w:hAnsi="Arial" w:cs="Arial"/>
          <w:sz w:val="24"/>
        </w:rPr>
        <w:t xml:space="preserve">competency </w:t>
      </w:r>
      <w:r w:rsidRPr="0090642E">
        <w:rPr>
          <w:rFonts w:ascii="Arial" w:hAnsi="Arial" w:cs="Arial"/>
          <w:sz w:val="24"/>
        </w:rPr>
        <w:t xml:space="preserve">statements. Round two used a Likert scale questionnaire to measure the level of agreement to the level descriptor statements generated through round one. Responses were analysed through content analysis in round one and </w:t>
      </w:r>
      <w:r w:rsidRPr="0090642E">
        <w:rPr>
          <w:rFonts w:ascii="Arial" w:hAnsi="Arial" w:cs="Arial"/>
          <w:sz w:val="24"/>
        </w:rPr>
        <w:lastRenderedPageBreak/>
        <w:t>consensus measure in round two</w:t>
      </w:r>
      <w:r w:rsidRPr="006C7255">
        <w:rPr>
          <w:rFonts w:ascii="Arial" w:hAnsi="Arial" w:cs="Arial"/>
          <w:color w:val="000000" w:themeColor="text1"/>
          <w:sz w:val="24"/>
        </w:rPr>
        <w:t>.</w:t>
      </w:r>
      <w:r w:rsidR="002D6803" w:rsidRPr="006C7255">
        <w:rPr>
          <w:rFonts w:ascii="Georgia" w:hAnsi="Georgia"/>
          <w:color w:val="000000" w:themeColor="text1"/>
          <w:sz w:val="27"/>
          <w:szCs w:val="27"/>
          <w:shd w:val="clear" w:color="auto" w:fill="FCFCFC"/>
        </w:rPr>
        <w:t xml:space="preserve"> </w:t>
      </w:r>
      <w:r w:rsidR="002D6803" w:rsidRPr="00C86D4C">
        <w:rPr>
          <w:rFonts w:ascii="Arial" w:hAnsi="Arial" w:cs="Arial"/>
          <w:color w:val="000000" w:themeColor="text1"/>
          <w:sz w:val="24"/>
        </w:rPr>
        <w:t>A threshold of 70% agreement to determine consensus</w:t>
      </w:r>
      <w:r w:rsidR="00362212" w:rsidRPr="00C86D4C">
        <w:rPr>
          <w:rFonts w:ascii="Arial" w:hAnsi="Arial" w:cs="Arial"/>
          <w:color w:val="000000" w:themeColor="text1"/>
          <w:sz w:val="24"/>
        </w:rPr>
        <w:t xml:space="preserve"> was set in advance</w:t>
      </w:r>
      <w:r w:rsidR="00E51927" w:rsidRPr="00C86D4C">
        <w:rPr>
          <w:rFonts w:ascii="Arial" w:hAnsi="Arial" w:cs="Arial"/>
          <w:color w:val="000000" w:themeColor="text1"/>
          <w:sz w:val="24"/>
        </w:rPr>
        <w:t>.</w:t>
      </w:r>
    </w:p>
    <w:p w14:paraId="5EF5FE37" w14:textId="77777777" w:rsidR="00825AFC" w:rsidRPr="00825AFC" w:rsidRDefault="00825AFC" w:rsidP="00825AFC">
      <w:pPr>
        <w:pStyle w:val="NoSpacing"/>
        <w:rPr>
          <w:lang w:eastAsia="en-GB"/>
        </w:rPr>
      </w:pPr>
    </w:p>
    <w:p w14:paraId="642CE534" w14:textId="33F00BC9" w:rsidR="00816EC1" w:rsidRPr="0090642E" w:rsidRDefault="004C6BF5" w:rsidP="0090642E">
      <w:pPr>
        <w:spacing w:line="360" w:lineRule="auto"/>
        <w:rPr>
          <w:rFonts w:ascii="Arial" w:hAnsi="Arial" w:cs="Arial"/>
          <w:sz w:val="24"/>
        </w:rPr>
      </w:pPr>
      <w:r w:rsidRPr="0090642E">
        <w:rPr>
          <w:rFonts w:ascii="Arial" w:hAnsi="Arial" w:cs="Arial"/>
          <w:sz w:val="24"/>
          <w:u w:val="single"/>
        </w:rPr>
        <w:t>Results</w:t>
      </w:r>
      <w:r w:rsidR="0003577F" w:rsidRPr="0090642E">
        <w:rPr>
          <w:rFonts w:ascii="Arial" w:hAnsi="Arial" w:cs="Arial"/>
          <w:sz w:val="24"/>
          <w:u w:val="single"/>
        </w:rPr>
        <w:t>:</w:t>
      </w:r>
      <w:r w:rsidR="002F2D64" w:rsidRPr="0090642E">
        <w:rPr>
          <w:rFonts w:ascii="Arial" w:hAnsi="Arial" w:cs="Arial"/>
          <w:sz w:val="24"/>
        </w:rPr>
        <w:t xml:space="preserve"> </w:t>
      </w:r>
      <w:r w:rsidR="00876795" w:rsidRPr="0090642E">
        <w:rPr>
          <w:rFonts w:ascii="Arial" w:hAnsi="Arial" w:cs="Arial"/>
          <w:bCs/>
          <w:sz w:val="24"/>
        </w:rPr>
        <w:t xml:space="preserve">In round one, </w:t>
      </w:r>
      <w:r w:rsidR="00876795" w:rsidRPr="0090642E">
        <w:rPr>
          <w:rFonts w:ascii="Arial" w:hAnsi="Arial" w:cs="Arial"/>
          <w:sz w:val="24"/>
        </w:rPr>
        <w:t>47 participants provided their interpretations of the competency statements. In round two, 51 participants completed the questionnaire. All 24 items achieved a strong consensus with 86%-100% of participants agreeing or strongly agreeing with the statements.</w:t>
      </w:r>
    </w:p>
    <w:p w14:paraId="73FD1448" w14:textId="77777777" w:rsidR="00876795" w:rsidRPr="0090642E" w:rsidRDefault="00876795" w:rsidP="0090642E">
      <w:pPr>
        <w:pStyle w:val="NoSpacing"/>
        <w:spacing w:line="360" w:lineRule="auto"/>
        <w:rPr>
          <w:rFonts w:ascii="Arial" w:hAnsi="Arial" w:cs="Arial"/>
          <w:sz w:val="24"/>
          <w:szCs w:val="24"/>
          <w:lang w:eastAsia="en-GB"/>
        </w:rPr>
      </w:pPr>
    </w:p>
    <w:p w14:paraId="4369B51A" w14:textId="67E797E6" w:rsidR="00876795" w:rsidRDefault="004C6BF5" w:rsidP="0090642E">
      <w:pPr>
        <w:spacing w:line="360" w:lineRule="auto"/>
        <w:rPr>
          <w:rFonts w:ascii="Arial" w:eastAsiaTheme="minorHAnsi" w:hAnsi="Arial" w:cs="Arial"/>
          <w:sz w:val="24"/>
          <w:lang w:val="en-US" w:eastAsia="en-US"/>
        </w:rPr>
      </w:pPr>
      <w:r w:rsidRPr="0090642E">
        <w:rPr>
          <w:rFonts w:ascii="Arial" w:hAnsi="Arial" w:cs="Arial"/>
          <w:sz w:val="24"/>
          <w:u w:val="single"/>
        </w:rPr>
        <w:t>Conclusions</w:t>
      </w:r>
      <w:r w:rsidR="00CE4835" w:rsidRPr="0090642E">
        <w:rPr>
          <w:rFonts w:ascii="Arial" w:hAnsi="Arial" w:cs="Arial"/>
          <w:sz w:val="24"/>
          <w:u w:val="single"/>
        </w:rPr>
        <w:t>:</w:t>
      </w:r>
      <w:r w:rsidR="00CE4835" w:rsidRPr="0090642E">
        <w:rPr>
          <w:rFonts w:ascii="Arial" w:eastAsiaTheme="minorHAnsi" w:hAnsi="Arial" w:cs="Arial"/>
          <w:sz w:val="24"/>
          <w:lang w:eastAsia="en-US"/>
        </w:rPr>
        <w:t xml:space="preserve"> </w:t>
      </w:r>
      <w:r w:rsidR="00876795" w:rsidRPr="0090642E">
        <w:rPr>
          <w:rFonts w:ascii="Arial" w:eastAsiaTheme="minorHAnsi" w:hAnsi="Arial" w:cs="Arial"/>
          <w:sz w:val="24"/>
          <w:lang w:eastAsia="en-US"/>
        </w:rPr>
        <w:t xml:space="preserve">A Delphi study was successfully used to develop </w:t>
      </w:r>
      <w:r w:rsidR="00876795" w:rsidRPr="0090642E">
        <w:rPr>
          <w:rFonts w:ascii="Arial" w:eastAsiaTheme="minorHAnsi" w:hAnsi="Arial" w:cs="Arial"/>
          <w:bCs/>
          <w:sz w:val="24"/>
          <w:lang w:eastAsia="en-US"/>
        </w:rPr>
        <w:t xml:space="preserve">a consensus-based scoring rubric with clearly stated descriptors for </w:t>
      </w:r>
      <w:r w:rsidR="00876795" w:rsidRPr="0090642E">
        <w:rPr>
          <w:rFonts w:ascii="Arial" w:eastAsiaTheme="minorHAnsi" w:hAnsi="Arial" w:cs="Arial"/>
          <w:sz w:val="24"/>
          <w:lang w:eastAsia="en-US"/>
        </w:rPr>
        <w:t>professional values competency statements. Th</w:t>
      </w:r>
      <w:r w:rsidR="0014627B" w:rsidRPr="0090642E">
        <w:rPr>
          <w:rFonts w:ascii="Arial" w:eastAsiaTheme="minorHAnsi" w:hAnsi="Arial" w:cs="Arial"/>
          <w:sz w:val="24"/>
          <w:lang w:eastAsia="en-US"/>
        </w:rPr>
        <w:t>is scoring rubric holds the potential to enhance practice-based assessment</w:t>
      </w:r>
      <w:r w:rsidR="0014627B" w:rsidRPr="0090642E">
        <w:rPr>
          <w:rFonts w:ascii="Arial" w:eastAsiaTheme="minorEastAsia" w:hAnsi="Arial" w:cs="Arial"/>
          <w:sz w:val="24"/>
          <w:lang w:val="en-US" w:eastAsia="ja-JP"/>
        </w:rPr>
        <w:t xml:space="preserve"> </w:t>
      </w:r>
      <w:r w:rsidR="0014627B" w:rsidRPr="0090642E">
        <w:rPr>
          <w:rFonts w:ascii="Arial" w:eastAsiaTheme="minorHAnsi" w:hAnsi="Arial" w:cs="Arial"/>
          <w:sz w:val="24"/>
          <w:lang w:val="en-US" w:eastAsia="en-US"/>
        </w:rPr>
        <w:t>across all healthcare professional disciplines.</w:t>
      </w:r>
    </w:p>
    <w:p w14:paraId="3ABB4BCA" w14:textId="77777777" w:rsidR="00F956F6" w:rsidRPr="00F956F6" w:rsidRDefault="00F956F6" w:rsidP="00F956F6">
      <w:pPr>
        <w:pStyle w:val="NoSpacing"/>
        <w:rPr>
          <w:lang w:val="en-US"/>
        </w:rPr>
      </w:pPr>
    </w:p>
    <w:p w14:paraId="1FB12894" w14:textId="6BD60BD5" w:rsidR="00A83278" w:rsidRPr="0090642E" w:rsidRDefault="004101B7" w:rsidP="0090642E">
      <w:pPr>
        <w:pStyle w:val="Heading2"/>
        <w:spacing w:line="360" w:lineRule="auto"/>
        <w:jc w:val="center"/>
        <w:rPr>
          <w:rFonts w:ascii="Arial" w:hAnsi="Arial" w:cs="Arial"/>
          <w:b w:val="0"/>
          <w:sz w:val="24"/>
          <w:szCs w:val="24"/>
          <w:u w:val="single"/>
        </w:rPr>
      </w:pPr>
      <w:r w:rsidRPr="0090642E">
        <w:rPr>
          <w:rFonts w:ascii="Arial" w:hAnsi="Arial" w:cs="Arial"/>
          <w:b w:val="0"/>
          <w:sz w:val="24"/>
          <w:szCs w:val="24"/>
          <w:u w:val="single"/>
        </w:rPr>
        <w:t>KEY WORDS</w:t>
      </w:r>
    </w:p>
    <w:p w14:paraId="5DFF452C" w14:textId="7895A393" w:rsidR="006F09C2" w:rsidRPr="0090642E" w:rsidRDefault="009D18B7" w:rsidP="00583E29">
      <w:pPr>
        <w:rPr>
          <w:rFonts w:ascii="Arial" w:hAnsi="Arial" w:cs="Arial"/>
          <w:sz w:val="24"/>
        </w:rPr>
      </w:pPr>
      <w:r w:rsidRPr="0090642E">
        <w:rPr>
          <w:rFonts w:ascii="Arial" w:hAnsi="Arial" w:cs="Arial"/>
          <w:sz w:val="24"/>
        </w:rPr>
        <w:t>Student nurses</w:t>
      </w:r>
    </w:p>
    <w:p w14:paraId="4E0872A9" w14:textId="77777777" w:rsidR="0014627B" w:rsidRPr="0090642E" w:rsidRDefault="0014627B" w:rsidP="00583E29">
      <w:pPr>
        <w:rPr>
          <w:rFonts w:ascii="Arial" w:hAnsi="Arial" w:cs="Arial"/>
          <w:sz w:val="24"/>
        </w:rPr>
      </w:pPr>
      <w:r w:rsidRPr="0090642E">
        <w:rPr>
          <w:rFonts w:ascii="Arial" w:hAnsi="Arial" w:cs="Arial"/>
          <w:sz w:val="24"/>
        </w:rPr>
        <w:t>Practice-based assessment</w:t>
      </w:r>
    </w:p>
    <w:p w14:paraId="680F2589" w14:textId="658C3B32" w:rsidR="00B03DEF" w:rsidRPr="0090642E" w:rsidRDefault="00B03DEF" w:rsidP="00583E29">
      <w:pPr>
        <w:rPr>
          <w:rFonts w:ascii="Arial" w:hAnsi="Arial" w:cs="Arial"/>
          <w:bCs/>
          <w:sz w:val="24"/>
        </w:rPr>
      </w:pPr>
      <w:r w:rsidRPr="0090642E">
        <w:rPr>
          <w:rFonts w:ascii="Arial" w:hAnsi="Arial" w:cs="Arial"/>
          <w:sz w:val="24"/>
        </w:rPr>
        <w:t>Level of c</w:t>
      </w:r>
      <w:r w:rsidR="0014627B" w:rsidRPr="0090642E">
        <w:rPr>
          <w:rFonts w:ascii="Arial" w:hAnsi="Arial" w:cs="Arial"/>
          <w:sz w:val="24"/>
        </w:rPr>
        <w:t>ompetence</w:t>
      </w:r>
      <w:r w:rsidRPr="0090642E">
        <w:rPr>
          <w:rFonts w:ascii="Arial" w:eastAsiaTheme="minorEastAsia" w:hAnsi="Arial" w:cs="Arial"/>
          <w:bCs/>
          <w:color w:val="000000"/>
          <w:sz w:val="24"/>
          <w:shd w:val="clear" w:color="auto" w:fill="FFFFFF"/>
          <w:lang w:eastAsia="ja-JP"/>
        </w:rPr>
        <w:t xml:space="preserve"> </w:t>
      </w:r>
    </w:p>
    <w:p w14:paraId="34DE55FD" w14:textId="37E5EED5" w:rsidR="00B03DEF" w:rsidRPr="0090642E" w:rsidRDefault="00B03DEF" w:rsidP="00583E29">
      <w:pPr>
        <w:rPr>
          <w:rFonts w:ascii="Arial" w:hAnsi="Arial" w:cs="Arial"/>
          <w:sz w:val="24"/>
        </w:rPr>
      </w:pPr>
      <w:r w:rsidRPr="0090642E">
        <w:rPr>
          <w:rFonts w:ascii="Arial" w:hAnsi="Arial" w:cs="Arial"/>
          <w:bCs/>
          <w:sz w:val="24"/>
        </w:rPr>
        <w:t>Interpretation</w:t>
      </w:r>
    </w:p>
    <w:p w14:paraId="74859894" w14:textId="77777777" w:rsidR="0014627B" w:rsidRPr="0090642E" w:rsidRDefault="0014627B" w:rsidP="00583E29">
      <w:pPr>
        <w:rPr>
          <w:rFonts w:ascii="Arial" w:hAnsi="Arial" w:cs="Arial"/>
          <w:sz w:val="24"/>
        </w:rPr>
      </w:pPr>
      <w:r w:rsidRPr="0090642E">
        <w:rPr>
          <w:rFonts w:ascii="Arial" w:hAnsi="Arial" w:cs="Arial"/>
          <w:sz w:val="24"/>
        </w:rPr>
        <w:t>Professional values</w:t>
      </w:r>
    </w:p>
    <w:p w14:paraId="08AFBECD" w14:textId="77777777" w:rsidR="0014627B" w:rsidRPr="0090642E" w:rsidRDefault="0014627B" w:rsidP="00583E29">
      <w:pPr>
        <w:rPr>
          <w:rFonts w:ascii="Arial" w:hAnsi="Arial" w:cs="Arial"/>
          <w:sz w:val="24"/>
        </w:rPr>
      </w:pPr>
      <w:r w:rsidRPr="0090642E">
        <w:rPr>
          <w:rFonts w:ascii="Arial" w:hAnsi="Arial" w:cs="Arial"/>
          <w:sz w:val="24"/>
        </w:rPr>
        <w:t>Delphi</w:t>
      </w:r>
    </w:p>
    <w:p w14:paraId="69E08F56" w14:textId="6C35ED1B" w:rsidR="0014627B" w:rsidRPr="0090642E" w:rsidRDefault="0014627B" w:rsidP="00583E29">
      <w:pPr>
        <w:rPr>
          <w:rFonts w:ascii="Arial" w:hAnsi="Arial" w:cs="Arial"/>
          <w:sz w:val="24"/>
        </w:rPr>
      </w:pPr>
      <w:r w:rsidRPr="0090642E">
        <w:rPr>
          <w:rFonts w:ascii="Arial" w:hAnsi="Arial" w:cs="Arial"/>
          <w:sz w:val="24"/>
        </w:rPr>
        <w:t>Rubric</w:t>
      </w:r>
    </w:p>
    <w:p w14:paraId="7F78C35F" w14:textId="0589AE5D" w:rsidR="004C6BF5" w:rsidRDefault="004C6BF5" w:rsidP="0090642E">
      <w:pPr>
        <w:spacing w:line="360" w:lineRule="auto"/>
        <w:rPr>
          <w:rFonts w:ascii="Arial" w:hAnsi="Arial" w:cs="Arial"/>
          <w:sz w:val="24"/>
        </w:rPr>
      </w:pPr>
    </w:p>
    <w:p w14:paraId="0DF2DB70" w14:textId="77777777" w:rsidR="00F956F6" w:rsidRPr="00F956F6" w:rsidRDefault="00F956F6" w:rsidP="00F956F6">
      <w:pPr>
        <w:pStyle w:val="NoSpacing"/>
        <w:rPr>
          <w:lang w:eastAsia="en-GB"/>
        </w:rPr>
      </w:pPr>
    </w:p>
    <w:p w14:paraId="118A9337" w14:textId="77777777" w:rsidR="00BF07B9" w:rsidRDefault="00BF07B9">
      <w:pPr>
        <w:rPr>
          <w:rFonts w:ascii="Arial" w:eastAsiaTheme="majorEastAsia" w:hAnsi="Arial" w:cs="Arial"/>
          <w:bCs/>
          <w:sz w:val="24"/>
          <w:u w:val="single"/>
        </w:rPr>
      </w:pPr>
      <w:r>
        <w:rPr>
          <w:rFonts w:ascii="Arial" w:hAnsi="Arial" w:cs="Arial"/>
          <w:b/>
          <w:sz w:val="24"/>
          <w:u w:val="single"/>
        </w:rPr>
        <w:br w:type="page"/>
      </w:r>
    </w:p>
    <w:p w14:paraId="38D72F93" w14:textId="5B48C3C0" w:rsidR="007D374F" w:rsidRPr="0090642E" w:rsidRDefault="004101B7" w:rsidP="0090642E">
      <w:pPr>
        <w:pStyle w:val="Heading2"/>
        <w:spacing w:line="360" w:lineRule="auto"/>
        <w:jc w:val="center"/>
        <w:rPr>
          <w:rFonts w:ascii="Arial" w:hAnsi="Arial" w:cs="Arial"/>
          <w:b w:val="0"/>
          <w:sz w:val="24"/>
          <w:szCs w:val="24"/>
          <w:u w:val="single"/>
        </w:rPr>
      </w:pPr>
      <w:r w:rsidRPr="0090642E">
        <w:rPr>
          <w:rFonts w:ascii="Arial" w:hAnsi="Arial" w:cs="Arial"/>
          <w:b w:val="0"/>
          <w:sz w:val="24"/>
          <w:szCs w:val="24"/>
          <w:u w:val="single"/>
        </w:rPr>
        <w:lastRenderedPageBreak/>
        <w:t>INTRODUCTION</w:t>
      </w:r>
    </w:p>
    <w:p w14:paraId="19CCEFC7" w14:textId="507BC4D7" w:rsidR="00B03DEF" w:rsidRPr="0090642E" w:rsidRDefault="00B03DEF" w:rsidP="0090642E">
      <w:pPr>
        <w:spacing w:line="360" w:lineRule="auto"/>
        <w:rPr>
          <w:rFonts w:ascii="Arial" w:hAnsi="Arial" w:cs="Arial"/>
          <w:sz w:val="24"/>
        </w:rPr>
      </w:pPr>
      <w:r w:rsidRPr="0090642E">
        <w:rPr>
          <w:rFonts w:ascii="Arial" w:hAnsi="Arial" w:cs="Arial"/>
          <w:sz w:val="24"/>
        </w:rPr>
        <w:t xml:space="preserve">The complexity of assessing clinical practice for all healthcare professionals is a long-standing issue and has received much attention for decades. Internationally, there are concerns that practice-based assessors lack confidence in carrying out their role, feel unprepared and unwilling to fail students (Hunt et al., 2012; </w:t>
      </w:r>
      <w:proofErr w:type="spellStart"/>
      <w:r w:rsidRPr="0090642E">
        <w:rPr>
          <w:rFonts w:ascii="Arial" w:hAnsi="Arial" w:cs="Arial"/>
          <w:sz w:val="24"/>
        </w:rPr>
        <w:t>Trede</w:t>
      </w:r>
      <w:proofErr w:type="spellEnd"/>
      <w:r w:rsidRPr="0090642E">
        <w:rPr>
          <w:rFonts w:ascii="Arial" w:hAnsi="Arial" w:cs="Arial"/>
          <w:sz w:val="24"/>
        </w:rPr>
        <w:t xml:space="preserve"> </w:t>
      </w:r>
      <w:r w:rsidR="00D7743D" w:rsidRPr="0090642E">
        <w:rPr>
          <w:rFonts w:ascii="Arial" w:hAnsi="Arial" w:cs="Arial"/>
          <w:sz w:val="24"/>
        </w:rPr>
        <w:t>and</w:t>
      </w:r>
      <w:r w:rsidRPr="0090642E">
        <w:rPr>
          <w:rFonts w:ascii="Arial" w:hAnsi="Arial" w:cs="Arial"/>
          <w:sz w:val="24"/>
        </w:rPr>
        <w:t xml:space="preserve"> Smith 2012</w:t>
      </w:r>
      <w:r w:rsidR="00D532F4" w:rsidRPr="0090642E">
        <w:rPr>
          <w:rFonts w:ascii="Arial" w:hAnsi="Arial" w:cs="Arial"/>
          <w:sz w:val="24"/>
        </w:rPr>
        <w:t xml:space="preserve">; </w:t>
      </w:r>
      <w:r w:rsidR="00FD1899" w:rsidRPr="0090642E">
        <w:rPr>
          <w:rFonts w:ascii="Arial" w:hAnsi="Arial" w:cs="Arial"/>
          <w:sz w:val="24"/>
        </w:rPr>
        <w:t xml:space="preserve">De Vos et al., 2019; </w:t>
      </w:r>
      <w:proofErr w:type="spellStart"/>
      <w:r w:rsidR="00D532F4" w:rsidRPr="0090642E">
        <w:rPr>
          <w:rFonts w:ascii="Arial" w:hAnsi="Arial" w:cs="Arial"/>
          <w:sz w:val="24"/>
        </w:rPr>
        <w:t>Hishiti</w:t>
      </w:r>
      <w:proofErr w:type="spellEnd"/>
      <w:r w:rsidR="00D532F4" w:rsidRPr="0090642E">
        <w:rPr>
          <w:rFonts w:ascii="Arial" w:hAnsi="Arial" w:cs="Arial"/>
          <w:sz w:val="24"/>
        </w:rPr>
        <w:t xml:space="preserve"> et al</w:t>
      </w:r>
      <w:r w:rsidR="00F14584" w:rsidRPr="0090642E">
        <w:rPr>
          <w:rFonts w:ascii="Arial" w:hAnsi="Arial" w:cs="Arial"/>
          <w:sz w:val="24"/>
        </w:rPr>
        <w:t>.</w:t>
      </w:r>
      <w:r w:rsidR="00D532F4" w:rsidRPr="0090642E">
        <w:rPr>
          <w:rFonts w:ascii="Arial" w:hAnsi="Arial" w:cs="Arial"/>
          <w:sz w:val="24"/>
        </w:rPr>
        <w:t>, 2020</w:t>
      </w:r>
      <w:r w:rsidRPr="0090642E">
        <w:rPr>
          <w:rFonts w:ascii="Arial" w:hAnsi="Arial" w:cs="Arial"/>
          <w:sz w:val="24"/>
        </w:rPr>
        <w:t>), which places patients at risk (Duffy, 2003</w:t>
      </w:r>
      <w:r w:rsidR="009963D8" w:rsidRPr="0090642E">
        <w:rPr>
          <w:rFonts w:ascii="Arial" w:hAnsi="Arial" w:cs="Arial"/>
          <w:sz w:val="24"/>
        </w:rPr>
        <w:t>;</w:t>
      </w:r>
      <w:r w:rsidR="007D43A3">
        <w:rPr>
          <w:rFonts w:ascii="Arial" w:hAnsi="Arial" w:cs="Arial"/>
          <w:sz w:val="24"/>
        </w:rPr>
        <w:t xml:space="preserve"> </w:t>
      </w:r>
      <w:r w:rsidR="009963D8" w:rsidRPr="0090642E">
        <w:rPr>
          <w:rFonts w:ascii="Arial" w:hAnsi="Arial" w:cs="Arial"/>
          <w:sz w:val="24"/>
        </w:rPr>
        <w:t>Cassidy</w:t>
      </w:r>
      <w:r w:rsidR="00B944F7">
        <w:rPr>
          <w:rFonts w:ascii="Arial" w:hAnsi="Arial" w:cs="Arial"/>
          <w:sz w:val="24"/>
        </w:rPr>
        <w:t xml:space="preserve"> et al.</w:t>
      </w:r>
      <w:r w:rsidR="009963D8" w:rsidRPr="0090642E">
        <w:rPr>
          <w:rFonts w:ascii="Arial" w:hAnsi="Arial" w:cs="Arial"/>
          <w:sz w:val="24"/>
        </w:rPr>
        <w:t>, 2017</w:t>
      </w:r>
      <w:r w:rsidRPr="0090642E">
        <w:rPr>
          <w:rFonts w:ascii="Arial" w:hAnsi="Arial" w:cs="Arial"/>
          <w:sz w:val="24"/>
        </w:rPr>
        <w:t xml:space="preserve">). Ambiguous language used in Practice Assessment Documents (PADs) and difficulty in identifying the benchmarks that discriminate between levels of practice have been identified as significant barriers to effective practice-based assessment across health professions (Butler et al., 2011; Miller, 2010; Almalkawi et al., 2018). </w:t>
      </w:r>
    </w:p>
    <w:p w14:paraId="661764E8" w14:textId="77777777" w:rsidR="00B03DEF" w:rsidRPr="0090642E" w:rsidRDefault="00B03DEF" w:rsidP="0090642E">
      <w:pPr>
        <w:spacing w:line="360" w:lineRule="auto"/>
        <w:rPr>
          <w:rFonts w:ascii="Arial" w:hAnsi="Arial" w:cs="Arial"/>
          <w:sz w:val="24"/>
        </w:rPr>
      </w:pPr>
    </w:p>
    <w:p w14:paraId="78728846" w14:textId="03F92648" w:rsidR="004101B7" w:rsidRPr="0090642E" w:rsidRDefault="00B03DEF" w:rsidP="0090642E">
      <w:pPr>
        <w:spacing w:line="360" w:lineRule="auto"/>
        <w:rPr>
          <w:rFonts w:ascii="Arial" w:hAnsi="Arial" w:cs="Arial"/>
          <w:sz w:val="24"/>
        </w:rPr>
      </w:pPr>
      <w:r w:rsidRPr="0090642E">
        <w:rPr>
          <w:rFonts w:ascii="Arial" w:hAnsi="Arial" w:cs="Arial"/>
          <w:sz w:val="24"/>
        </w:rPr>
        <w:t xml:space="preserve">In the United Kingdom (UK), the Higher Education Institutions (HEIs) in the London region have used the Nursing and Midwifery Council (NMC)-approved single Pan London Practice Assessment Document (PLPAD) to provide uniformity of the PADs used in clinical practice. The NMC Standards for Student Supervision and Assessment (NMC, 2018) have introduced a tripartite model comprising practice supervisors, practice assessors and academic assessors to evaluate and confirm students’ proficiencies. However, the </w:t>
      </w:r>
      <w:r w:rsidR="005D5F17">
        <w:rPr>
          <w:rFonts w:ascii="Arial" w:hAnsi="Arial" w:cs="Arial"/>
          <w:sz w:val="24"/>
        </w:rPr>
        <w:t>practice assessor</w:t>
      </w:r>
      <w:r w:rsidRPr="0090642E">
        <w:rPr>
          <w:rFonts w:ascii="Arial" w:hAnsi="Arial" w:cs="Arial"/>
          <w:sz w:val="24"/>
        </w:rPr>
        <w:t xml:space="preserve"> role will continue to be performed by registered nurses based on the</w:t>
      </w:r>
      <w:r w:rsidR="005D5F17">
        <w:rPr>
          <w:rFonts w:ascii="Arial" w:hAnsi="Arial" w:cs="Arial"/>
          <w:sz w:val="24"/>
        </w:rPr>
        <w:t xml:space="preserve"> practice supervisor</w:t>
      </w:r>
      <w:r w:rsidRPr="0090642E">
        <w:rPr>
          <w:rFonts w:ascii="Arial" w:hAnsi="Arial" w:cs="Arial"/>
          <w:sz w:val="24"/>
        </w:rPr>
        <w:t>s’ feedback (NMC, 2018). Considering that P</w:t>
      </w:r>
      <w:r w:rsidR="005D5F17">
        <w:rPr>
          <w:rFonts w:ascii="Arial" w:hAnsi="Arial" w:cs="Arial"/>
          <w:sz w:val="24"/>
        </w:rPr>
        <w:t>ractice assessors</w:t>
      </w:r>
      <w:r w:rsidRPr="0090642E">
        <w:rPr>
          <w:rFonts w:ascii="Arial" w:hAnsi="Arial" w:cs="Arial"/>
          <w:sz w:val="24"/>
        </w:rPr>
        <w:t xml:space="preserve"> may spend little clinical time with students and will be reliant on the feedback from </w:t>
      </w:r>
      <w:r w:rsidR="005D5F17">
        <w:rPr>
          <w:rFonts w:ascii="Arial" w:hAnsi="Arial" w:cs="Arial"/>
          <w:sz w:val="24"/>
        </w:rPr>
        <w:t>practice superviso</w:t>
      </w:r>
      <w:r w:rsidR="005D5F17" w:rsidRPr="0090642E">
        <w:rPr>
          <w:rFonts w:ascii="Arial" w:hAnsi="Arial" w:cs="Arial"/>
          <w:sz w:val="24"/>
        </w:rPr>
        <w:t>rs</w:t>
      </w:r>
      <w:r w:rsidRPr="0090642E">
        <w:rPr>
          <w:rFonts w:ascii="Arial" w:hAnsi="Arial" w:cs="Arial"/>
          <w:sz w:val="24"/>
        </w:rPr>
        <w:t xml:space="preserve"> to inform their decisions, there is a clear need to find ways to develop transparent and common language to interpret different levels of competence to improve the validity and reliability of practice assessments</w:t>
      </w:r>
      <w:r w:rsidR="00825AFC">
        <w:rPr>
          <w:rFonts w:ascii="Arial" w:hAnsi="Arial" w:cs="Arial"/>
          <w:sz w:val="24"/>
        </w:rPr>
        <w:t xml:space="preserve"> </w:t>
      </w:r>
      <w:r w:rsidR="00825AFC" w:rsidRPr="00825AFC">
        <w:rPr>
          <w:rFonts w:ascii="Arial" w:hAnsi="Arial" w:cs="Arial"/>
          <w:sz w:val="24"/>
        </w:rPr>
        <w:t>(Cassidy et al., 2020)</w:t>
      </w:r>
      <w:r w:rsidRPr="0090642E">
        <w:rPr>
          <w:rFonts w:ascii="Arial" w:hAnsi="Arial" w:cs="Arial"/>
          <w:sz w:val="24"/>
        </w:rPr>
        <w:t xml:space="preserve">.  </w:t>
      </w:r>
    </w:p>
    <w:p w14:paraId="52EB2FA6" w14:textId="77777777" w:rsidR="00EE340C" w:rsidRPr="0090642E" w:rsidRDefault="00EE340C" w:rsidP="0090642E">
      <w:pPr>
        <w:pStyle w:val="NoSpacing"/>
        <w:spacing w:line="360" w:lineRule="auto"/>
        <w:rPr>
          <w:rFonts w:ascii="Arial" w:hAnsi="Arial" w:cs="Arial"/>
          <w:sz w:val="24"/>
          <w:szCs w:val="24"/>
          <w:lang w:eastAsia="en-GB"/>
        </w:rPr>
      </w:pPr>
    </w:p>
    <w:bookmarkEnd w:id="0"/>
    <w:p w14:paraId="0614DAAC" w14:textId="2D02D9E4" w:rsidR="004101B7" w:rsidRPr="0090642E" w:rsidRDefault="004101B7" w:rsidP="0090642E">
      <w:pPr>
        <w:pStyle w:val="Heading2"/>
        <w:spacing w:line="360" w:lineRule="auto"/>
        <w:jc w:val="center"/>
        <w:rPr>
          <w:rFonts w:ascii="Arial" w:hAnsi="Arial" w:cs="Arial"/>
          <w:b w:val="0"/>
          <w:sz w:val="24"/>
          <w:szCs w:val="24"/>
          <w:u w:val="single"/>
        </w:rPr>
      </w:pPr>
      <w:r w:rsidRPr="0090642E">
        <w:rPr>
          <w:rFonts w:ascii="Arial" w:hAnsi="Arial" w:cs="Arial"/>
          <w:b w:val="0"/>
          <w:sz w:val="24"/>
          <w:szCs w:val="24"/>
          <w:u w:val="single"/>
        </w:rPr>
        <w:t>BACKGROUND</w:t>
      </w:r>
    </w:p>
    <w:p w14:paraId="209957A9" w14:textId="7D3BFD34" w:rsidR="00EE340C" w:rsidRPr="0090642E" w:rsidRDefault="00EE340C" w:rsidP="0090642E">
      <w:pPr>
        <w:widowControl w:val="0"/>
        <w:overflowPunct w:val="0"/>
        <w:autoSpaceDE w:val="0"/>
        <w:autoSpaceDN w:val="0"/>
        <w:adjustRightInd w:val="0"/>
        <w:spacing w:line="360" w:lineRule="auto"/>
        <w:ind w:right="40"/>
        <w:rPr>
          <w:rFonts w:ascii="Arial" w:hAnsi="Arial" w:cs="Arial"/>
          <w:sz w:val="24"/>
        </w:rPr>
      </w:pPr>
      <w:r w:rsidRPr="0090642E">
        <w:rPr>
          <w:rFonts w:ascii="Arial" w:hAnsi="Arial" w:cs="Arial"/>
          <w:sz w:val="24"/>
        </w:rPr>
        <w:t>Many studies raise concerns related to the lack of reliability and validity of assessment in practice-based placements including medicine (</w:t>
      </w:r>
      <w:proofErr w:type="spellStart"/>
      <w:r w:rsidRPr="0090642E">
        <w:rPr>
          <w:rFonts w:ascii="Arial" w:hAnsi="Arial" w:cs="Arial"/>
          <w:sz w:val="24"/>
        </w:rPr>
        <w:t>Govaerts</w:t>
      </w:r>
      <w:proofErr w:type="spellEnd"/>
      <w:r w:rsidRPr="0090642E">
        <w:rPr>
          <w:rFonts w:ascii="Arial" w:hAnsi="Arial" w:cs="Arial"/>
          <w:sz w:val="24"/>
        </w:rPr>
        <w:t xml:space="preserve"> et al., 2013), occupational therapy (</w:t>
      </w:r>
      <w:r w:rsidR="00AD273B" w:rsidRPr="00C86D4C">
        <w:rPr>
          <w:rFonts w:ascii="Arial" w:hAnsi="Arial" w:cs="Arial"/>
          <w:sz w:val="24"/>
        </w:rPr>
        <w:t>Nicola-Richmond</w:t>
      </w:r>
      <w:r w:rsidR="008F4A5C" w:rsidRPr="00C86D4C">
        <w:rPr>
          <w:rFonts w:ascii="Arial" w:hAnsi="Arial" w:cs="Arial"/>
          <w:sz w:val="24"/>
        </w:rPr>
        <w:t>, 2017</w:t>
      </w:r>
      <w:r w:rsidRPr="0090642E">
        <w:rPr>
          <w:rFonts w:ascii="Arial" w:hAnsi="Arial" w:cs="Arial"/>
          <w:sz w:val="24"/>
        </w:rPr>
        <w:t>)</w:t>
      </w:r>
      <w:r w:rsidR="005B0CB4" w:rsidRPr="0090642E">
        <w:rPr>
          <w:rFonts w:ascii="Arial" w:hAnsi="Arial" w:cs="Arial"/>
          <w:sz w:val="24"/>
        </w:rPr>
        <w:t xml:space="preserve">, </w:t>
      </w:r>
      <w:r w:rsidRPr="0090642E">
        <w:rPr>
          <w:rFonts w:ascii="Arial" w:hAnsi="Arial" w:cs="Arial"/>
          <w:sz w:val="24"/>
        </w:rPr>
        <w:t>social work (</w:t>
      </w:r>
      <w:r w:rsidR="005875FA" w:rsidRPr="00C86D4C">
        <w:rPr>
          <w:rFonts w:ascii="Arial" w:hAnsi="Arial" w:cs="Arial"/>
          <w:sz w:val="24"/>
        </w:rPr>
        <w:t>Finch</w:t>
      </w:r>
      <w:r w:rsidR="007D43A3" w:rsidRPr="00C86D4C">
        <w:rPr>
          <w:rFonts w:ascii="Arial" w:hAnsi="Arial" w:cs="Arial"/>
          <w:sz w:val="24"/>
        </w:rPr>
        <w:t xml:space="preserve">, </w:t>
      </w:r>
      <w:r w:rsidR="007D43A3" w:rsidRPr="00C86D4C">
        <w:rPr>
          <w:rFonts w:ascii="Arial" w:hAnsi="Arial" w:cs="Arial"/>
          <w:sz w:val="24"/>
        </w:rPr>
        <w:lastRenderedPageBreak/>
        <w:t>2017</w:t>
      </w:r>
      <w:r w:rsidRPr="0090642E">
        <w:rPr>
          <w:rFonts w:ascii="Arial" w:hAnsi="Arial" w:cs="Arial"/>
          <w:sz w:val="24"/>
        </w:rPr>
        <w:t>)</w:t>
      </w:r>
      <w:r w:rsidR="00B14B79" w:rsidRPr="0090642E">
        <w:rPr>
          <w:rFonts w:ascii="Arial" w:hAnsi="Arial" w:cs="Arial"/>
          <w:sz w:val="24"/>
        </w:rPr>
        <w:t>,</w:t>
      </w:r>
      <w:r w:rsidR="005B0CB4" w:rsidRPr="0090642E">
        <w:rPr>
          <w:rFonts w:ascii="Arial" w:hAnsi="Arial" w:cs="Arial"/>
          <w:sz w:val="24"/>
        </w:rPr>
        <w:t xml:space="preserve"> </w:t>
      </w:r>
      <w:r w:rsidR="00825AFC">
        <w:rPr>
          <w:rFonts w:ascii="Arial" w:hAnsi="Arial" w:cs="Arial"/>
          <w:sz w:val="24"/>
        </w:rPr>
        <w:t>p</w:t>
      </w:r>
      <w:r w:rsidR="00B14B79" w:rsidRPr="0090642E">
        <w:rPr>
          <w:rFonts w:ascii="Arial" w:hAnsi="Arial" w:cs="Arial"/>
          <w:sz w:val="24"/>
        </w:rPr>
        <w:t xml:space="preserve">harmacy (Croft et al., 2019) </w:t>
      </w:r>
      <w:r w:rsidR="005B0CB4" w:rsidRPr="0090642E">
        <w:rPr>
          <w:rFonts w:ascii="Arial" w:hAnsi="Arial" w:cs="Arial"/>
          <w:sz w:val="24"/>
        </w:rPr>
        <w:t xml:space="preserve">and </w:t>
      </w:r>
      <w:r w:rsidR="00B14B79" w:rsidRPr="0090642E">
        <w:rPr>
          <w:rFonts w:ascii="Arial" w:hAnsi="Arial" w:cs="Arial"/>
          <w:sz w:val="24"/>
        </w:rPr>
        <w:t>radiography (</w:t>
      </w:r>
      <w:proofErr w:type="spellStart"/>
      <w:r w:rsidR="00B14B79" w:rsidRPr="0090642E">
        <w:rPr>
          <w:rFonts w:ascii="Arial" w:hAnsi="Arial" w:cs="Arial"/>
          <w:sz w:val="24"/>
        </w:rPr>
        <w:t>Hishiti</w:t>
      </w:r>
      <w:proofErr w:type="spellEnd"/>
      <w:r w:rsidR="00B14B79" w:rsidRPr="0090642E">
        <w:rPr>
          <w:rFonts w:ascii="Arial" w:hAnsi="Arial" w:cs="Arial"/>
          <w:sz w:val="24"/>
        </w:rPr>
        <w:t xml:space="preserve"> et al., 2020). </w:t>
      </w:r>
      <w:r w:rsidRPr="0090642E">
        <w:rPr>
          <w:rFonts w:ascii="Arial" w:hAnsi="Arial" w:cs="Arial"/>
          <w:sz w:val="24"/>
        </w:rPr>
        <w:t xml:space="preserve">Nursing shares the same concerns that mentors’ judgements are subjective and do not always accurately reflect students’ performance </w:t>
      </w:r>
      <w:r w:rsidRPr="00C86D4C">
        <w:rPr>
          <w:rFonts w:ascii="Arial" w:hAnsi="Arial" w:cs="Arial"/>
          <w:sz w:val="24"/>
        </w:rPr>
        <w:t>(</w:t>
      </w:r>
      <w:r w:rsidR="00926648" w:rsidRPr="00C86D4C">
        <w:rPr>
          <w:rFonts w:ascii="Arial" w:hAnsi="Arial" w:cs="Arial"/>
          <w:sz w:val="24"/>
        </w:rPr>
        <w:t>Cassidy et al., 2017;</w:t>
      </w:r>
      <w:r w:rsidR="00AD7B29" w:rsidRPr="00C86D4C">
        <w:rPr>
          <w:rFonts w:ascii="Arial" w:hAnsi="Arial" w:cs="Arial"/>
          <w:sz w:val="24"/>
        </w:rPr>
        <w:t xml:space="preserve"> Nugent et al., 2020</w:t>
      </w:r>
      <w:r w:rsidRPr="0090642E">
        <w:rPr>
          <w:rFonts w:ascii="Arial" w:hAnsi="Arial" w:cs="Arial"/>
          <w:sz w:val="24"/>
        </w:rPr>
        <w:t xml:space="preserve">). There is reluctance to fail underperforming students in practice settings (Duffy, </w:t>
      </w:r>
      <w:r w:rsidRPr="00C86D4C">
        <w:rPr>
          <w:rFonts w:ascii="Arial" w:hAnsi="Arial" w:cs="Arial"/>
          <w:sz w:val="24"/>
        </w:rPr>
        <w:t>2003</w:t>
      </w:r>
      <w:r w:rsidR="00C86D4C" w:rsidRPr="00C86D4C">
        <w:rPr>
          <w:rFonts w:ascii="Arial" w:hAnsi="Arial" w:cs="Arial"/>
          <w:sz w:val="24"/>
        </w:rPr>
        <w:t xml:space="preserve">; </w:t>
      </w:r>
      <w:r w:rsidRPr="00C86D4C">
        <w:rPr>
          <w:rFonts w:ascii="Arial" w:hAnsi="Arial" w:cs="Arial"/>
          <w:sz w:val="24"/>
        </w:rPr>
        <w:t>Larocque</w:t>
      </w:r>
      <w:r w:rsidRPr="0090642E">
        <w:rPr>
          <w:rFonts w:ascii="Arial" w:hAnsi="Arial" w:cs="Arial"/>
          <w:sz w:val="24"/>
        </w:rPr>
        <w:t xml:space="preserve"> and </w:t>
      </w:r>
      <w:proofErr w:type="spellStart"/>
      <w:r w:rsidRPr="0090642E">
        <w:rPr>
          <w:rFonts w:ascii="Arial" w:hAnsi="Arial" w:cs="Arial"/>
          <w:sz w:val="24"/>
        </w:rPr>
        <w:t>Luhanga</w:t>
      </w:r>
      <w:proofErr w:type="spellEnd"/>
      <w:r w:rsidRPr="0090642E">
        <w:rPr>
          <w:rFonts w:ascii="Arial" w:hAnsi="Arial" w:cs="Arial"/>
          <w:sz w:val="24"/>
        </w:rPr>
        <w:t>, 2013</w:t>
      </w:r>
      <w:r w:rsidR="00AD7B29">
        <w:rPr>
          <w:rFonts w:ascii="Arial" w:hAnsi="Arial" w:cs="Arial"/>
          <w:sz w:val="24"/>
        </w:rPr>
        <w:t xml:space="preserve">; </w:t>
      </w:r>
      <w:r w:rsidR="00AD7B29" w:rsidRPr="00C86D4C">
        <w:rPr>
          <w:rFonts w:ascii="Arial" w:hAnsi="Arial" w:cs="Arial"/>
          <w:sz w:val="24"/>
        </w:rPr>
        <w:t>Hughes et al., 2020</w:t>
      </w:r>
      <w:r w:rsidRPr="0090642E">
        <w:rPr>
          <w:rFonts w:ascii="Arial" w:hAnsi="Arial" w:cs="Arial"/>
          <w:sz w:val="24"/>
        </w:rPr>
        <w:t>). Internationally, there is evidence of similar concerns reported in Australia (Miller, 2010), Canada (Yonge et al., 2011), Finland (</w:t>
      </w:r>
      <w:proofErr w:type="spellStart"/>
      <w:r w:rsidRPr="0090642E">
        <w:rPr>
          <w:rFonts w:ascii="Arial" w:hAnsi="Arial" w:cs="Arial"/>
          <w:sz w:val="24"/>
        </w:rPr>
        <w:t>Jokelainen</w:t>
      </w:r>
      <w:proofErr w:type="spellEnd"/>
      <w:r w:rsidRPr="0090642E">
        <w:rPr>
          <w:rFonts w:ascii="Arial" w:hAnsi="Arial" w:cs="Arial"/>
          <w:sz w:val="24"/>
        </w:rPr>
        <w:t xml:space="preserve"> et al., 2013), Ireland </w:t>
      </w:r>
      <w:r w:rsidRPr="00C86D4C">
        <w:rPr>
          <w:rFonts w:ascii="Arial" w:hAnsi="Arial" w:cs="Arial"/>
          <w:sz w:val="24"/>
        </w:rPr>
        <w:t>(</w:t>
      </w:r>
      <w:r w:rsidR="000233BC" w:rsidRPr="00C86D4C">
        <w:rPr>
          <w:rFonts w:ascii="Arial" w:hAnsi="Arial" w:cs="Arial"/>
          <w:sz w:val="24"/>
        </w:rPr>
        <w:t xml:space="preserve">Kennedy and </w:t>
      </w:r>
      <w:proofErr w:type="spellStart"/>
      <w:r w:rsidR="000233BC" w:rsidRPr="00C86D4C">
        <w:rPr>
          <w:rFonts w:ascii="Arial" w:hAnsi="Arial" w:cs="Arial"/>
          <w:sz w:val="24"/>
        </w:rPr>
        <w:t>Chesser</w:t>
      </w:r>
      <w:proofErr w:type="spellEnd"/>
      <w:r w:rsidR="000233BC" w:rsidRPr="00C86D4C">
        <w:rPr>
          <w:rFonts w:ascii="Arial" w:hAnsi="Arial" w:cs="Arial"/>
          <w:sz w:val="24"/>
        </w:rPr>
        <w:t>-Smyth, 2017</w:t>
      </w:r>
      <w:r w:rsidRPr="00C86D4C">
        <w:rPr>
          <w:rFonts w:ascii="Arial" w:hAnsi="Arial" w:cs="Arial"/>
          <w:sz w:val="24"/>
        </w:rPr>
        <w:t>),</w:t>
      </w:r>
      <w:r w:rsidRPr="0090642E">
        <w:rPr>
          <w:rFonts w:ascii="Arial" w:hAnsi="Arial" w:cs="Arial"/>
          <w:sz w:val="24"/>
        </w:rPr>
        <w:t xml:space="preserve"> New Zealand (Gallagher et al., 2012)</w:t>
      </w:r>
      <w:r w:rsidR="00825AFC">
        <w:rPr>
          <w:rFonts w:ascii="Arial" w:hAnsi="Arial" w:cs="Arial"/>
          <w:sz w:val="24"/>
        </w:rPr>
        <w:t>,</w:t>
      </w:r>
      <w:r w:rsidRPr="0090642E">
        <w:rPr>
          <w:rFonts w:ascii="Arial" w:hAnsi="Arial" w:cs="Arial"/>
          <w:sz w:val="24"/>
        </w:rPr>
        <w:t xml:space="preserve"> </w:t>
      </w:r>
      <w:r w:rsidR="000D5BC6" w:rsidRPr="0090642E">
        <w:rPr>
          <w:rFonts w:ascii="Arial" w:hAnsi="Arial" w:cs="Arial"/>
          <w:sz w:val="24"/>
        </w:rPr>
        <w:t>Norway (Bachmann et</w:t>
      </w:r>
      <w:r w:rsidR="009963D8" w:rsidRPr="0090642E">
        <w:rPr>
          <w:rFonts w:ascii="Arial" w:hAnsi="Arial" w:cs="Arial"/>
          <w:sz w:val="24"/>
        </w:rPr>
        <w:t xml:space="preserve"> </w:t>
      </w:r>
      <w:r w:rsidR="000D5BC6" w:rsidRPr="0090642E">
        <w:rPr>
          <w:rFonts w:ascii="Arial" w:hAnsi="Arial" w:cs="Arial"/>
          <w:sz w:val="24"/>
        </w:rPr>
        <w:t>al., 2019</w:t>
      </w:r>
      <w:r w:rsidR="00825AFC">
        <w:rPr>
          <w:rFonts w:ascii="Arial" w:hAnsi="Arial" w:cs="Arial"/>
          <w:sz w:val="24"/>
        </w:rPr>
        <w:t>)</w:t>
      </w:r>
      <w:r w:rsidR="000D5BC6" w:rsidRPr="0090642E">
        <w:rPr>
          <w:rFonts w:ascii="Arial" w:hAnsi="Arial" w:cs="Arial"/>
          <w:sz w:val="24"/>
        </w:rPr>
        <w:t xml:space="preserve"> </w:t>
      </w:r>
      <w:r w:rsidRPr="0090642E">
        <w:rPr>
          <w:rFonts w:ascii="Arial" w:hAnsi="Arial" w:cs="Arial"/>
          <w:sz w:val="24"/>
        </w:rPr>
        <w:t>and the United States of America (</w:t>
      </w:r>
      <w:proofErr w:type="spellStart"/>
      <w:r w:rsidRPr="0090642E">
        <w:rPr>
          <w:rFonts w:ascii="Arial" w:hAnsi="Arial" w:cs="Arial"/>
          <w:sz w:val="24"/>
        </w:rPr>
        <w:t>DeBrew</w:t>
      </w:r>
      <w:proofErr w:type="spellEnd"/>
      <w:r w:rsidRPr="0090642E">
        <w:rPr>
          <w:rFonts w:ascii="Arial" w:hAnsi="Arial" w:cs="Arial"/>
          <w:sz w:val="24"/>
        </w:rPr>
        <w:t xml:space="preserve"> and Lewallen, 2014). </w:t>
      </w:r>
    </w:p>
    <w:p w14:paraId="35C49F79" w14:textId="77777777" w:rsidR="00EE340C" w:rsidRPr="0090642E" w:rsidRDefault="00EE340C" w:rsidP="0090642E">
      <w:pPr>
        <w:widowControl w:val="0"/>
        <w:overflowPunct w:val="0"/>
        <w:autoSpaceDE w:val="0"/>
        <w:autoSpaceDN w:val="0"/>
        <w:adjustRightInd w:val="0"/>
        <w:spacing w:line="360" w:lineRule="auto"/>
        <w:ind w:right="40"/>
        <w:rPr>
          <w:rFonts w:ascii="Arial" w:hAnsi="Arial" w:cs="Arial"/>
          <w:sz w:val="24"/>
        </w:rPr>
      </w:pPr>
    </w:p>
    <w:p w14:paraId="5326BDD2" w14:textId="0B4D3BF9" w:rsidR="00EE340C" w:rsidRPr="0090642E" w:rsidRDefault="00EE340C" w:rsidP="0090642E">
      <w:pPr>
        <w:widowControl w:val="0"/>
        <w:overflowPunct w:val="0"/>
        <w:autoSpaceDE w:val="0"/>
        <w:autoSpaceDN w:val="0"/>
        <w:adjustRightInd w:val="0"/>
        <w:spacing w:line="360" w:lineRule="auto"/>
        <w:ind w:right="40"/>
        <w:rPr>
          <w:rFonts w:ascii="Arial" w:hAnsi="Arial" w:cs="Arial"/>
          <w:sz w:val="24"/>
        </w:rPr>
      </w:pPr>
      <w:r w:rsidRPr="0090642E">
        <w:rPr>
          <w:rFonts w:ascii="Arial" w:hAnsi="Arial" w:cs="Arial"/>
          <w:sz w:val="24"/>
        </w:rPr>
        <w:t>The key factor is that assessors lack understanding of competency statements regarding the appropriate level of competence (Almalkawi et al., 2018). One of the factors contributing to the ‘failing to fail’ phenomenon relates to the ambiguous terminology of the PADs as the language used in the documents is described as vague and containing too much academic jargon (Neary, 2001; Cassidy et al., 2017; Almalkawi et al., 2018</w:t>
      </w:r>
      <w:r w:rsidR="00825AFC">
        <w:rPr>
          <w:rFonts w:ascii="Arial" w:hAnsi="Arial" w:cs="Arial"/>
          <w:sz w:val="24"/>
        </w:rPr>
        <w:t>;</w:t>
      </w:r>
      <w:r w:rsidR="0030161E" w:rsidRPr="0090642E">
        <w:rPr>
          <w:rFonts w:ascii="Arial" w:hAnsi="Arial" w:cs="Arial"/>
          <w:sz w:val="24"/>
        </w:rPr>
        <w:t xml:space="preserve"> Bradshaw et al., 2019</w:t>
      </w:r>
      <w:r w:rsidRPr="0090642E">
        <w:rPr>
          <w:rFonts w:ascii="Arial" w:hAnsi="Arial" w:cs="Arial"/>
          <w:sz w:val="24"/>
        </w:rPr>
        <w:t>).</w:t>
      </w:r>
    </w:p>
    <w:p w14:paraId="104D0B77" w14:textId="77777777" w:rsidR="00EE340C" w:rsidRPr="0090642E" w:rsidRDefault="00EE340C" w:rsidP="0090642E">
      <w:pPr>
        <w:widowControl w:val="0"/>
        <w:overflowPunct w:val="0"/>
        <w:autoSpaceDE w:val="0"/>
        <w:autoSpaceDN w:val="0"/>
        <w:adjustRightInd w:val="0"/>
        <w:spacing w:line="360" w:lineRule="auto"/>
        <w:ind w:right="40"/>
        <w:rPr>
          <w:rFonts w:ascii="Arial" w:hAnsi="Arial" w:cs="Arial"/>
          <w:sz w:val="24"/>
        </w:rPr>
      </w:pPr>
    </w:p>
    <w:p w14:paraId="76BD9677" w14:textId="39C6D138" w:rsidR="00EE340C" w:rsidRPr="0090642E" w:rsidRDefault="00EE340C" w:rsidP="0090642E">
      <w:pPr>
        <w:widowControl w:val="0"/>
        <w:overflowPunct w:val="0"/>
        <w:autoSpaceDE w:val="0"/>
        <w:autoSpaceDN w:val="0"/>
        <w:adjustRightInd w:val="0"/>
        <w:spacing w:line="360" w:lineRule="auto"/>
        <w:ind w:right="40"/>
        <w:rPr>
          <w:rFonts w:ascii="Arial" w:hAnsi="Arial" w:cs="Arial"/>
          <w:sz w:val="24"/>
        </w:rPr>
      </w:pPr>
      <w:r w:rsidRPr="0090642E">
        <w:rPr>
          <w:rFonts w:ascii="Arial" w:hAnsi="Arial" w:cs="Arial"/>
          <w:sz w:val="24"/>
        </w:rPr>
        <w:t>Consequently, mentors experience problems translating and applying assessment outcomes into observable practice activities. Mentors and students have reported spending significant time trying to work out what the competency statements mean rather than assessing the student against them (Neary, 2001). In particular, studies show that mentors find the ‘softer’ aspects of competence such as attitudes and behaviours to be notoriously challenging to define, measure or assess (Hunt, 2014; Strauss, 2016). Thus, when required to justify decisions regarding students not meeting competency standards, mentors struggle to prove their concerns are justified, feel unprepared and become unwilling to fail students (Duffy, 2003; Brown et al., 2012</w:t>
      </w:r>
      <w:r w:rsidR="00825AFC">
        <w:rPr>
          <w:rFonts w:ascii="Arial" w:hAnsi="Arial" w:cs="Arial"/>
          <w:sz w:val="24"/>
        </w:rPr>
        <w:t>;</w:t>
      </w:r>
      <w:r w:rsidR="009C4030" w:rsidRPr="0090642E">
        <w:rPr>
          <w:rFonts w:ascii="Arial" w:hAnsi="Arial" w:cs="Arial"/>
          <w:sz w:val="24"/>
        </w:rPr>
        <w:t xml:space="preserve"> Bradshaw, 2019</w:t>
      </w:r>
      <w:r w:rsidRPr="0090642E">
        <w:rPr>
          <w:rFonts w:ascii="Arial" w:hAnsi="Arial" w:cs="Arial"/>
          <w:sz w:val="24"/>
        </w:rPr>
        <w:t>).</w:t>
      </w:r>
    </w:p>
    <w:p w14:paraId="624242F2" w14:textId="77777777" w:rsidR="00EE340C" w:rsidRPr="0090642E" w:rsidRDefault="00EE340C" w:rsidP="0090642E">
      <w:pPr>
        <w:widowControl w:val="0"/>
        <w:overflowPunct w:val="0"/>
        <w:autoSpaceDE w:val="0"/>
        <w:autoSpaceDN w:val="0"/>
        <w:adjustRightInd w:val="0"/>
        <w:spacing w:line="360" w:lineRule="auto"/>
        <w:ind w:right="40"/>
        <w:rPr>
          <w:rFonts w:ascii="Arial" w:hAnsi="Arial" w:cs="Arial"/>
          <w:sz w:val="24"/>
        </w:rPr>
      </w:pPr>
    </w:p>
    <w:p w14:paraId="230F3786" w14:textId="6BA8A04A" w:rsidR="00EE340C" w:rsidRPr="0090642E" w:rsidRDefault="00EE340C" w:rsidP="0090642E">
      <w:pPr>
        <w:widowControl w:val="0"/>
        <w:overflowPunct w:val="0"/>
        <w:autoSpaceDE w:val="0"/>
        <w:autoSpaceDN w:val="0"/>
        <w:adjustRightInd w:val="0"/>
        <w:spacing w:line="360" w:lineRule="auto"/>
        <w:ind w:right="40"/>
        <w:rPr>
          <w:rFonts w:ascii="Arial" w:hAnsi="Arial" w:cs="Arial"/>
          <w:sz w:val="24"/>
        </w:rPr>
      </w:pPr>
      <w:r w:rsidRPr="0090642E">
        <w:rPr>
          <w:rFonts w:ascii="Arial" w:hAnsi="Arial" w:cs="Arial"/>
          <w:sz w:val="24"/>
        </w:rPr>
        <w:t>A link between mentors’ reluctance to fail underperforming students and difficulties in identifying the benchmark of what constitutes a pass or a fail is acknowledged in the literature (</w:t>
      </w:r>
      <w:proofErr w:type="spellStart"/>
      <w:r w:rsidR="007D43A3">
        <w:rPr>
          <w:rFonts w:ascii="Arial" w:hAnsi="Arial" w:cs="Arial"/>
          <w:sz w:val="24"/>
        </w:rPr>
        <w:t>Heaslip</w:t>
      </w:r>
      <w:proofErr w:type="spellEnd"/>
      <w:r w:rsidRPr="0090642E">
        <w:rPr>
          <w:rFonts w:ascii="Arial" w:hAnsi="Arial" w:cs="Arial"/>
          <w:sz w:val="24"/>
        </w:rPr>
        <w:t xml:space="preserve"> and Scammell, 2012; Cassidy et al., </w:t>
      </w:r>
      <w:r w:rsidRPr="0090642E">
        <w:rPr>
          <w:rFonts w:ascii="Arial" w:hAnsi="Arial" w:cs="Arial"/>
          <w:sz w:val="24"/>
        </w:rPr>
        <w:lastRenderedPageBreak/>
        <w:t xml:space="preserve">2017; Almalkawi et al., 2018). </w:t>
      </w:r>
      <w:proofErr w:type="spellStart"/>
      <w:r w:rsidRPr="0090642E">
        <w:rPr>
          <w:rFonts w:ascii="Arial" w:hAnsi="Arial" w:cs="Arial"/>
          <w:sz w:val="24"/>
        </w:rPr>
        <w:t>Calman</w:t>
      </w:r>
      <w:proofErr w:type="spellEnd"/>
      <w:r w:rsidRPr="0090642E">
        <w:rPr>
          <w:rFonts w:ascii="Arial" w:hAnsi="Arial" w:cs="Arial"/>
          <w:sz w:val="24"/>
        </w:rPr>
        <w:t xml:space="preserve"> et al., (2002) identified that there was no agreed strategy in nursing for describing performance at different levels. The lack of transparent criteria against which students’ competence can be judged not only influences the accuracy of understanding and measuring levels of competence, but also how mentors deliver effective and constructive feedback (Fitzgera</w:t>
      </w:r>
      <w:r w:rsidR="00B944F7">
        <w:rPr>
          <w:rFonts w:ascii="Arial" w:hAnsi="Arial" w:cs="Arial"/>
          <w:sz w:val="24"/>
        </w:rPr>
        <w:t>l</w:t>
      </w:r>
      <w:r w:rsidRPr="0090642E">
        <w:rPr>
          <w:rFonts w:ascii="Arial" w:hAnsi="Arial" w:cs="Arial"/>
          <w:sz w:val="24"/>
        </w:rPr>
        <w:t>d et al., 2010; Almalkawi et al., 2018). While there are a variety of assessment taxonomies in existence, ambiguous language and difficulty in identifying performance levels continue to be problematic (Almalkawi et al., 2018). Significant amounts of literature have debated the appropriateness and quality of existing assessment tools (</w:t>
      </w:r>
      <w:r w:rsidRPr="00661A96">
        <w:rPr>
          <w:rFonts w:ascii="Arial" w:hAnsi="Arial" w:cs="Arial"/>
          <w:sz w:val="24"/>
        </w:rPr>
        <w:t>Watson et al., 2002</w:t>
      </w:r>
      <w:r w:rsidR="009C4030" w:rsidRPr="00661A96">
        <w:rPr>
          <w:rFonts w:ascii="Arial" w:hAnsi="Arial" w:cs="Arial"/>
          <w:sz w:val="24"/>
        </w:rPr>
        <w:t>,</w:t>
      </w:r>
      <w:r w:rsidR="008E7674" w:rsidRPr="00661A96">
        <w:rPr>
          <w:rFonts w:ascii="Arial" w:hAnsi="Arial" w:cs="Arial"/>
          <w:sz w:val="24"/>
        </w:rPr>
        <w:t xml:space="preserve"> </w:t>
      </w:r>
      <w:proofErr w:type="spellStart"/>
      <w:r w:rsidR="008E7674" w:rsidRPr="00C86D4C">
        <w:rPr>
          <w:rFonts w:ascii="Arial" w:hAnsi="Arial" w:cs="Arial"/>
          <w:sz w:val="24"/>
        </w:rPr>
        <w:t>Immonen</w:t>
      </w:r>
      <w:proofErr w:type="spellEnd"/>
      <w:r w:rsidR="008E7674" w:rsidRPr="00C86D4C">
        <w:rPr>
          <w:rFonts w:ascii="Arial" w:hAnsi="Arial" w:cs="Arial"/>
          <w:sz w:val="24"/>
        </w:rPr>
        <w:t xml:space="preserve"> et al., 2019;</w:t>
      </w:r>
      <w:r w:rsidR="009C4030" w:rsidRPr="0090642E">
        <w:rPr>
          <w:rFonts w:ascii="Arial" w:hAnsi="Arial" w:cs="Arial"/>
          <w:sz w:val="24"/>
        </w:rPr>
        <w:t xml:space="preserve"> Cassidy et al., 2020</w:t>
      </w:r>
      <w:r w:rsidRPr="0090642E">
        <w:rPr>
          <w:rFonts w:ascii="Arial" w:hAnsi="Arial" w:cs="Arial"/>
          <w:sz w:val="24"/>
        </w:rPr>
        <w:t>), yet have produced no resolution to the problem of separating the competent from the not-yet-competent and the incompetent.</w:t>
      </w:r>
    </w:p>
    <w:p w14:paraId="19D1E1F4" w14:textId="77777777" w:rsidR="00EE340C" w:rsidRPr="0090642E" w:rsidRDefault="00EE340C" w:rsidP="0090642E">
      <w:pPr>
        <w:widowControl w:val="0"/>
        <w:overflowPunct w:val="0"/>
        <w:autoSpaceDE w:val="0"/>
        <w:autoSpaceDN w:val="0"/>
        <w:adjustRightInd w:val="0"/>
        <w:spacing w:line="360" w:lineRule="auto"/>
        <w:ind w:right="40"/>
        <w:rPr>
          <w:rFonts w:ascii="Arial" w:hAnsi="Arial" w:cs="Arial"/>
          <w:sz w:val="24"/>
        </w:rPr>
      </w:pPr>
    </w:p>
    <w:p w14:paraId="23D6120D" w14:textId="6CC25FA7" w:rsidR="00EE340C" w:rsidRPr="0090642E" w:rsidRDefault="00EE340C" w:rsidP="0090642E">
      <w:pPr>
        <w:widowControl w:val="0"/>
        <w:overflowPunct w:val="0"/>
        <w:autoSpaceDE w:val="0"/>
        <w:autoSpaceDN w:val="0"/>
        <w:adjustRightInd w:val="0"/>
        <w:spacing w:line="360" w:lineRule="auto"/>
        <w:ind w:right="40"/>
        <w:rPr>
          <w:rFonts w:ascii="Arial" w:hAnsi="Arial" w:cs="Arial"/>
          <w:sz w:val="24"/>
        </w:rPr>
      </w:pPr>
      <w:r w:rsidRPr="0090642E">
        <w:rPr>
          <w:rFonts w:ascii="Arial" w:hAnsi="Arial" w:cs="Arial"/>
          <w:sz w:val="24"/>
        </w:rPr>
        <w:t>An integrative review carried out prior to the study presented here highlighted the need to establish a transparent and common language to interpret different levels of competence to help assessors define what is expected of students and for students to identify what they are expected to achieve (Authors, 2018). The review established that central to the problem of practice-based assessment not being fit for purpose is a continuing inconsistency and difficulty in interpreting levels of performance when assessing nursing students in practice as well as difficulty in providing constructive feedback for formative learning (Authors, 2018).</w:t>
      </w:r>
    </w:p>
    <w:p w14:paraId="0F9CAD6A" w14:textId="7C1C78A0" w:rsidR="00EE340C" w:rsidRPr="0090642E" w:rsidRDefault="00EE340C" w:rsidP="0090642E">
      <w:pPr>
        <w:widowControl w:val="0"/>
        <w:overflowPunct w:val="0"/>
        <w:autoSpaceDE w:val="0"/>
        <w:autoSpaceDN w:val="0"/>
        <w:adjustRightInd w:val="0"/>
        <w:spacing w:line="360" w:lineRule="auto"/>
        <w:ind w:right="40"/>
        <w:rPr>
          <w:rFonts w:ascii="Arial" w:eastAsiaTheme="minorEastAsia" w:hAnsi="Arial" w:cs="Arial"/>
          <w:b/>
          <w:sz w:val="24"/>
          <w:lang w:eastAsia="ja-JP"/>
        </w:rPr>
      </w:pPr>
      <w:r w:rsidRPr="0090642E">
        <w:rPr>
          <w:rFonts w:ascii="Arial" w:hAnsi="Arial" w:cs="Arial"/>
          <w:sz w:val="24"/>
        </w:rPr>
        <w:t xml:space="preserve">Several researchers have suggested conducting research to explore whether </w:t>
      </w:r>
      <w:bookmarkStart w:id="1" w:name="_Hlk25578169"/>
      <w:r w:rsidRPr="0090642E">
        <w:rPr>
          <w:rFonts w:ascii="Arial" w:hAnsi="Arial" w:cs="Arial"/>
          <w:sz w:val="24"/>
        </w:rPr>
        <w:t xml:space="preserve">a scoring rubric, with a transparent and common language to interpret different levels of competence, offers a solution to the challenges faced in practice-based assessment </w:t>
      </w:r>
      <w:bookmarkEnd w:id="1"/>
      <w:r w:rsidRPr="0090642E">
        <w:rPr>
          <w:rFonts w:ascii="Arial" w:hAnsi="Arial" w:cs="Arial"/>
          <w:sz w:val="24"/>
        </w:rPr>
        <w:t xml:space="preserve">(Donaldson and Gray, 2012; </w:t>
      </w:r>
      <w:proofErr w:type="spellStart"/>
      <w:r w:rsidRPr="0090642E">
        <w:rPr>
          <w:rFonts w:ascii="Arial" w:hAnsi="Arial" w:cs="Arial"/>
          <w:sz w:val="24"/>
        </w:rPr>
        <w:t>Heaslip</w:t>
      </w:r>
      <w:proofErr w:type="spellEnd"/>
      <w:r w:rsidRPr="0090642E">
        <w:rPr>
          <w:rFonts w:ascii="Arial" w:hAnsi="Arial" w:cs="Arial"/>
          <w:sz w:val="24"/>
        </w:rPr>
        <w:t xml:space="preserve"> and Scammell, 2012; Shipman et al., 2012; </w:t>
      </w:r>
      <w:proofErr w:type="spellStart"/>
      <w:r w:rsidRPr="0090642E">
        <w:rPr>
          <w:rFonts w:ascii="Arial" w:hAnsi="Arial" w:cs="Arial"/>
          <w:sz w:val="24"/>
        </w:rPr>
        <w:t>Frentsos</w:t>
      </w:r>
      <w:proofErr w:type="spellEnd"/>
      <w:r w:rsidRPr="0090642E">
        <w:rPr>
          <w:rFonts w:ascii="Arial" w:hAnsi="Arial" w:cs="Arial"/>
          <w:sz w:val="24"/>
        </w:rPr>
        <w:t>, 2013). This and the authors’ own experience inspired this current study.</w:t>
      </w:r>
      <w:r w:rsidRPr="0090642E">
        <w:rPr>
          <w:rFonts w:ascii="Arial" w:eastAsiaTheme="minorEastAsia" w:hAnsi="Arial" w:cs="Arial"/>
          <w:b/>
          <w:sz w:val="24"/>
          <w:lang w:eastAsia="ja-JP"/>
        </w:rPr>
        <w:t xml:space="preserve"> </w:t>
      </w:r>
    </w:p>
    <w:p w14:paraId="5F377029" w14:textId="09A04D00" w:rsidR="005822F2" w:rsidRDefault="005822F2" w:rsidP="0090642E">
      <w:pPr>
        <w:pStyle w:val="NoSpacing"/>
        <w:spacing w:line="360" w:lineRule="auto"/>
        <w:rPr>
          <w:rFonts w:ascii="Arial" w:hAnsi="Arial" w:cs="Arial"/>
          <w:sz w:val="24"/>
          <w:szCs w:val="24"/>
          <w:lang w:eastAsia="ja-JP"/>
        </w:rPr>
      </w:pPr>
    </w:p>
    <w:p w14:paraId="65B6B012" w14:textId="77777777" w:rsidR="001F68FE" w:rsidRPr="0090642E" w:rsidRDefault="001F68FE" w:rsidP="0090642E">
      <w:pPr>
        <w:pStyle w:val="NoSpacing"/>
        <w:spacing w:line="360" w:lineRule="auto"/>
        <w:rPr>
          <w:rFonts w:ascii="Arial" w:hAnsi="Arial" w:cs="Arial"/>
          <w:sz w:val="24"/>
          <w:szCs w:val="24"/>
          <w:lang w:eastAsia="ja-JP"/>
        </w:rPr>
      </w:pPr>
    </w:p>
    <w:p w14:paraId="54BAB7BE" w14:textId="53B39FB6" w:rsidR="00EE340C" w:rsidRPr="0090642E" w:rsidRDefault="00EE340C" w:rsidP="0090642E">
      <w:pPr>
        <w:widowControl w:val="0"/>
        <w:overflowPunct w:val="0"/>
        <w:autoSpaceDE w:val="0"/>
        <w:autoSpaceDN w:val="0"/>
        <w:adjustRightInd w:val="0"/>
        <w:spacing w:line="360" w:lineRule="auto"/>
        <w:ind w:right="40"/>
        <w:jc w:val="center"/>
        <w:rPr>
          <w:rFonts w:ascii="Arial" w:hAnsi="Arial" w:cs="Arial"/>
          <w:bCs/>
          <w:sz w:val="24"/>
          <w:u w:val="single"/>
        </w:rPr>
      </w:pPr>
      <w:r w:rsidRPr="0090642E">
        <w:rPr>
          <w:rFonts w:ascii="Arial" w:hAnsi="Arial" w:cs="Arial"/>
          <w:bCs/>
          <w:sz w:val="24"/>
          <w:u w:val="single"/>
        </w:rPr>
        <w:t>THEORETICAL FRAMEWORK</w:t>
      </w:r>
    </w:p>
    <w:p w14:paraId="025166B1" w14:textId="0B3BCF52" w:rsidR="00A726EA" w:rsidRPr="0090642E" w:rsidRDefault="00EE340C" w:rsidP="0090642E">
      <w:pPr>
        <w:widowControl w:val="0"/>
        <w:overflowPunct w:val="0"/>
        <w:autoSpaceDE w:val="0"/>
        <w:autoSpaceDN w:val="0"/>
        <w:adjustRightInd w:val="0"/>
        <w:spacing w:line="360" w:lineRule="auto"/>
        <w:ind w:right="40"/>
        <w:rPr>
          <w:rFonts w:ascii="Arial" w:hAnsi="Arial" w:cs="Arial"/>
          <w:sz w:val="24"/>
        </w:rPr>
      </w:pPr>
      <w:r w:rsidRPr="0090642E">
        <w:rPr>
          <w:rFonts w:ascii="Arial" w:hAnsi="Arial" w:cs="Arial"/>
          <w:sz w:val="24"/>
        </w:rPr>
        <w:t xml:space="preserve">The study design was influenced by two complementary theoretical frameworks: 1) assessment </w:t>
      </w:r>
      <w:r w:rsidRPr="0090642E">
        <w:rPr>
          <w:rFonts w:ascii="Arial" w:hAnsi="Arial" w:cs="Arial"/>
          <w:i/>
          <w:sz w:val="24"/>
        </w:rPr>
        <w:t>for</w:t>
      </w:r>
      <w:r w:rsidRPr="0090642E">
        <w:rPr>
          <w:rFonts w:ascii="Arial" w:hAnsi="Arial" w:cs="Arial"/>
          <w:sz w:val="24"/>
        </w:rPr>
        <w:t xml:space="preserve"> learning and 2) authentic assessment. </w:t>
      </w:r>
      <w:bookmarkStart w:id="2" w:name="_Hlk526704933"/>
      <w:r w:rsidRPr="0090642E">
        <w:rPr>
          <w:rFonts w:ascii="Arial" w:hAnsi="Arial" w:cs="Arial"/>
          <w:sz w:val="24"/>
        </w:rPr>
        <w:lastRenderedPageBreak/>
        <w:t xml:space="preserve">Assessment </w:t>
      </w:r>
      <w:bookmarkEnd w:id="2"/>
      <w:r w:rsidRPr="0090642E">
        <w:rPr>
          <w:rFonts w:ascii="Arial" w:hAnsi="Arial" w:cs="Arial"/>
          <w:i/>
          <w:sz w:val="24"/>
        </w:rPr>
        <w:t>for</w:t>
      </w:r>
      <w:r w:rsidRPr="0090642E">
        <w:rPr>
          <w:rFonts w:ascii="Arial" w:hAnsi="Arial" w:cs="Arial"/>
          <w:sz w:val="24"/>
        </w:rPr>
        <w:t xml:space="preserve"> learning recognises the power of formative assessment and feedback on driving learning (</w:t>
      </w:r>
      <w:proofErr w:type="spellStart"/>
      <w:r w:rsidRPr="0090642E">
        <w:rPr>
          <w:rFonts w:ascii="Arial" w:hAnsi="Arial" w:cs="Arial"/>
          <w:sz w:val="24"/>
        </w:rPr>
        <w:t>Schuwirth</w:t>
      </w:r>
      <w:proofErr w:type="spellEnd"/>
      <w:r w:rsidRPr="0090642E">
        <w:rPr>
          <w:rFonts w:ascii="Arial" w:hAnsi="Arial" w:cs="Arial"/>
          <w:sz w:val="24"/>
        </w:rPr>
        <w:t xml:space="preserve"> </w:t>
      </w:r>
      <w:r w:rsidR="000478DA" w:rsidRPr="0090642E">
        <w:rPr>
          <w:rFonts w:ascii="Arial" w:hAnsi="Arial" w:cs="Arial"/>
          <w:sz w:val="24"/>
        </w:rPr>
        <w:t>and</w:t>
      </w:r>
      <w:r w:rsidRPr="0090642E">
        <w:rPr>
          <w:rFonts w:ascii="Arial" w:hAnsi="Arial" w:cs="Arial"/>
          <w:sz w:val="24"/>
        </w:rPr>
        <w:t xml:space="preserve"> Van der Vleuten, 2011). This is achieved through understanding the criteria that embody what it means to do well, shifting the focus towards learning, giving students opportunities to test-out subject knowledge and rehearse relevant skills before these are </w:t>
      </w:r>
      <w:proofErr w:type="spellStart"/>
      <w:r w:rsidRPr="0090642E">
        <w:rPr>
          <w:rFonts w:ascii="Arial" w:hAnsi="Arial" w:cs="Arial"/>
          <w:sz w:val="24"/>
        </w:rPr>
        <w:t>summatively</w:t>
      </w:r>
      <w:proofErr w:type="spellEnd"/>
      <w:r w:rsidRPr="0090642E">
        <w:rPr>
          <w:rFonts w:ascii="Arial" w:hAnsi="Arial" w:cs="Arial"/>
          <w:sz w:val="24"/>
        </w:rPr>
        <w:t xml:space="preserve"> assessed (McDowell et al., 2011).</w:t>
      </w:r>
      <w:r w:rsidR="00A726EA" w:rsidRPr="0090642E">
        <w:rPr>
          <w:rFonts w:ascii="Arial" w:hAnsi="Arial" w:cs="Arial"/>
          <w:sz w:val="24"/>
        </w:rPr>
        <w:t xml:space="preserve"> </w:t>
      </w:r>
      <w:bookmarkStart w:id="3" w:name="_Hlk57729078"/>
      <w:proofErr w:type="spellStart"/>
      <w:r w:rsidR="00A726EA" w:rsidRPr="0090642E">
        <w:rPr>
          <w:rFonts w:ascii="Arial" w:hAnsi="Arial" w:cs="Arial"/>
          <w:sz w:val="24"/>
        </w:rPr>
        <w:t>Oyinloye</w:t>
      </w:r>
      <w:proofErr w:type="spellEnd"/>
      <w:r w:rsidR="00A726EA" w:rsidRPr="0090642E">
        <w:rPr>
          <w:rFonts w:ascii="Arial" w:hAnsi="Arial" w:cs="Arial"/>
          <w:sz w:val="24"/>
        </w:rPr>
        <w:t xml:space="preserve"> and </w:t>
      </w:r>
      <w:proofErr w:type="spellStart"/>
      <w:r w:rsidR="00A726EA" w:rsidRPr="0090642E">
        <w:rPr>
          <w:rFonts w:ascii="Arial" w:hAnsi="Arial" w:cs="Arial"/>
          <w:sz w:val="24"/>
        </w:rPr>
        <w:t>Imenda</w:t>
      </w:r>
      <w:proofErr w:type="spellEnd"/>
      <w:r w:rsidR="00A726EA" w:rsidRPr="0090642E">
        <w:rPr>
          <w:rFonts w:ascii="Arial" w:hAnsi="Arial" w:cs="Arial"/>
          <w:sz w:val="24"/>
        </w:rPr>
        <w:t xml:space="preserve"> (2019) </w:t>
      </w:r>
      <w:bookmarkEnd w:id="3"/>
      <w:r w:rsidR="00A726EA" w:rsidRPr="0090642E">
        <w:rPr>
          <w:rFonts w:ascii="Arial" w:hAnsi="Arial" w:cs="Arial"/>
          <w:sz w:val="24"/>
        </w:rPr>
        <w:t xml:space="preserve">found that assessment </w:t>
      </w:r>
      <w:r w:rsidR="00A726EA" w:rsidRPr="0090642E">
        <w:rPr>
          <w:rFonts w:ascii="Arial" w:hAnsi="Arial" w:cs="Arial"/>
          <w:i/>
          <w:iCs/>
          <w:sz w:val="24"/>
        </w:rPr>
        <w:t>for</w:t>
      </w:r>
      <w:r w:rsidR="00A726EA" w:rsidRPr="0090642E">
        <w:rPr>
          <w:rFonts w:ascii="Arial" w:hAnsi="Arial" w:cs="Arial"/>
          <w:sz w:val="24"/>
        </w:rPr>
        <w:t xml:space="preserve"> learning strategies empowered students to take active part in their own learning and </w:t>
      </w:r>
      <w:r w:rsidR="00535906" w:rsidRPr="0090642E">
        <w:rPr>
          <w:rFonts w:ascii="Arial" w:hAnsi="Arial" w:cs="Arial"/>
          <w:sz w:val="24"/>
        </w:rPr>
        <w:t xml:space="preserve">in </w:t>
      </w:r>
      <w:r w:rsidR="00A726EA" w:rsidRPr="0090642E">
        <w:rPr>
          <w:rFonts w:ascii="Arial" w:hAnsi="Arial" w:cs="Arial"/>
          <w:sz w:val="24"/>
        </w:rPr>
        <w:t>developing self-assessment abilities.</w:t>
      </w:r>
    </w:p>
    <w:p w14:paraId="2D84221C" w14:textId="77777777" w:rsidR="00EE340C" w:rsidRPr="0090642E" w:rsidRDefault="00EE340C" w:rsidP="0090642E">
      <w:pPr>
        <w:widowControl w:val="0"/>
        <w:overflowPunct w:val="0"/>
        <w:autoSpaceDE w:val="0"/>
        <w:autoSpaceDN w:val="0"/>
        <w:adjustRightInd w:val="0"/>
        <w:spacing w:line="360" w:lineRule="auto"/>
        <w:ind w:right="40"/>
        <w:rPr>
          <w:rFonts w:ascii="Arial" w:hAnsi="Arial" w:cs="Arial"/>
          <w:sz w:val="24"/>
        </w:rPr>
      </w:pPr>
    </w:p>
    <w:p w14:paraId="411D4DCF" w14:textId="786171AD" w:rsidR="00EE340C" w:rsidRDefault="00EE340C" w:rsidP="0090642E">
      <w:pPr>
        <w:widowControl w:val="0"/>
        <w:overflowPunct w:val="0"/>
        <w:autoSpaceDE w:val="0"/>
        <w:autoSpaceDN w:val="0"/>
        <w:adjustRightInd w:val="0"/>
        <w:spacing w:line="360" w:lineRule="auto"/>
        <w:ind w:right="40"/>
        <w:rPr>
          <w:rFonts w:ascii="Arial" w:hAnsi="Arial" w:cs="Arial"/>
          <w:sz w:val="24"/>
        </w:rPr>
      </w:pPr>
      <w:r w:rsidRPr="0090642E">
        <w:rPr>
          <w:rFonts w:ascii="Arial" w:hAnsi="Arial" w:cs="Arial"/>
          <w:sz w:val="24"/>
        </w:rPr>
        <w:t xml:space="preserve">Authentic </w:t>
      </w:r>
      <w:r w:rsidRPr="00C86D4C">
        <w:rPr>
          <w:rFonts w:ascii="Arial" w:hAnsi="Arial" w:cs="Arial"/>
          <w:sz w:val="24"/>
        </w:rPr>
        <w:t>assessment</w:t>
      </w:r>
      <w:r w:rsidR="00FC7970" w:rsidRPr="00C86D4C">
        <w:rPr>
          <w:rFonts w:ascii="Arial" w:hAnsi="Arial" w:cs="Arial"/>
          <w:sz w:val="24"/>
        </w:rPr>
        <w:t>,</w:t>
      </w:r>
      <w:r w:rsidR="00FC7970" w:rsidRPr="00C86D4C">
        <w:t xml:space="preserve"> </w:t>
      </w:r>
      <w:r w:rsidR="00FC7970" w:rsidRPr="00C86D4C">
        <w:rPr>
          <w:rFonts w:ascii="Arial" w:hAnsi="Arial" w:cs="Arial"/>
          <w:sz w:val="24"/>
        </w:rPr>
        <w:t xml:space="preserve">advocated by </w:t>
      </w:r>
      <w:r w:rsidR="007628DC" w:rsidRPr="00C86D4C">
        <w:rPr>
          <w:rFonts w:ascii="Arial" w:hAnsi="Arial" w:cs="Arial"/>
          <w:sz w:val="24"/>
        </w:rPr>
        <w:t xml:space="preserve">Wiggins </w:t>
      </w:r>
      <w:r w:rsidR="00225185" w:rsidRPr="00C86D4C">
        <w:rPr>
          <w:rFonts w:ascii="Arial" w:hAnsi="Arial" w:cs="Arial"/>
          <w:sz w:val="24"/>
        </w:rPr>
        <w:t>(</w:t>
      </w:r>
      <w:r w:rsidR="007628DC" w:rsidRPr="00C86D4C">
        <w:rPr>
          <w:rFonts w:ascii="Arial" w:hAnsi="Arial" w:cs="Arial"/>
          <w:sz w:val="24"/>
        </w:rPr>
        <w:t>1989</w:t>
      </w:r>
      <w:r w:rsidR="00225185" w:rsidRPr="00C86D4C">
        <w:rPr>
          <w:rFonts w:ascii="Arial" w:hAnsi="Arial" w:cs="Arial"/>
          <w:sz w:val="24"/>
        </w:rPr>
        <w:t>)</w:t>
      </w:r>
      <w:r w:rsidR="007628DC" w:rsidRPr="00C86D4C">
        <w:rPr>
          <w:rFonts w:ascii="Arial" w:hAnsi="Arial" w:cs="Arial"/>
          <w:sz w:val="24"/>
        </w:rPr>
        <w:t>, refers to situational or contextual realism of the proposed tasks</w:t>
      </w:r>
      <w:r w:rsidR="00225185" w:rsidRPr="00C86D4C">
        <w:rPr>
          <w:rFonts w:ascii="Arial" w:hAnsi="Arial" w:cs="Arial"/>
          <w:sz w:val="24"/>
        </w:rPr>
        <w:t xml:space="preserve"> and</w:t>
      </w:r>
      <w:r w:rsidR="00FC7970" w:rsidRPr="00C86D4C">
        <w:rPr>
          <w:rFonts w:ascii="Arial" w:hAnsi="Arial" w:cs="Arial"/>
          <w:sz w:val="24"/>
        </w:rPr>
        <w:t xml:space="preserve"> </w:t>
      </w:r>
      <w:r w:rsidRPr="00C86D4C">
        <w:rPr>
          <w:rFonts w:ascii="Arial" w:hAnsi="Arial" w:cs="Arial"/>
          <w:sz w:val="24"/>
        </w:rPr>
        <w:t>involves</w:t>
      </w:r>
      <w:r w:rsidRPr="0090642E">
        <w:rPr>
          <w:rFonts w:ascii="Arial" w:hAnsi="Arial" w:cs="Arial"/>
          <w:sz w:val="24"/>
        </w:rPr>
        <w:t xml:space="preserve"> assessing the application of process and product in the real world</w:t>
      </w:r>
      <w:r w:rsidR="00C86D4C">
        <w:rPr>
          <w:rFonts w:ascii="Arial" w:hAnsi="Arial" w:cs="Arial"/>
          <w:sz w:val="24"/>
        </w:rPr>
        <w:t xml:space="preserve">. </w:t>
      </w:r>
      <w:r w:rsidRPr="0090642E">
        <w:rPr>
          <w:rFonts w:ascii="Arial" w:hAnsi="Arial" w:cs="Arial"/>
          <w:sz w:val="24"/>
        </w:rPr>
        <w:t>By taking into account the actual performances the profession wants students to achieve, criteria can be designed to replicate the actual challenges facing students in the real world, helping them to problem-solve, think critically and handle complex tasks (Wiggins, 1989</w:t>
      </w:r>
      <w:r w:rsidR="00976ECE" w:rsidRPr="0090642E">
        <w:rPr>
          <w:rFonts w:ascii="Arial" w:hAnsi="Arial" w:cs="Arial"/>
          <w:sz w:val="24"/>
        </w:rPr>
        <w:t xml:space="preserve">). </w:t>
      </w:r>
      <w:r w:rsidR="002E2419" w:rsidRPr="0090642E">
        <w:rPr>
          <w:rFonts w:ascii="Arial" w:hAnsi="Arial" w:cs="Arial"/>
          <w:sz w:val="24"/>
        </w:rPr>
        <w:t>Authentic assessment seek</w:t>
      </w:r>
      <w:r w:rsidR="00DB166D" w:rsidRPr="0090642E">
        <w:rPr>
          <w:rFonts w:ascii="Arial" w:hAnsi="Arial" w:cs="Arial"/>
          <w:sz w:val="24"/>
        </w:rPr>
        <w:t>s</w:t>
      </w:r>
      <w:r w:rsidR="002E2419" w:rsidRPr="0090642E">
        <w:rPr>
          <w:rFonts w:ascii="Arial" w:hAnsi="Arial" w:cs="Arial"/>
          <w:sz w:val="24"/>
        </w:rPr>
        <w:t xml:space="preserve"> students’ application of knowledge to evaluate and address real problems</w:t>
      </w:r>
      <w:r w:rsidR="003631EA" w:rsidRPr="0090642E">
        <w:rPr>
          <w:rFonts w:ascii="Arial" w:hAnsi="Arial" w:cs="Arial"/>
          <w:sz w:val="24"/>
        </w:rPr>
        <w:t xml:space="preserve"> (</w:t>
      </w:r>
      <w:proofErr w:type="spellStart"/>
      <w:r w:rsidR="003631EA" w:rsidRPr="0090642E">
        <w:rPr>
          <w:rFonts w:ascii="Arial" w:hAnsi="Arial" w:cs="Arial"/>
          <w:sz w:val="24"/>
        </w:rPr>
        <w:t>Wiewiora</w:t>
      </w:r>
      <w:proofErr w:type="spellEnd"/>
      <w:r w:rsidR="003631EA" w:rsidRPr="0090642E">
        <w:rPr>
          <w:rFonts w:ascii="Arial" w:hAnsi="Arial" w:cs="Arial"/>
          <w:sz w:val="24"/>
        </w:rPr>
        <w:t xml:space="preserve"> and </w:t>
      </w:r>
      <w:proofErr w:type="spellStart"/>
      <w:r w:rsidR="003631EA" w:rsidRPr="0090642E">
        <w:rPr>
          <w:rFonts w:ascii="Arial" w:hAnsi="Arial" w:cs="Arial"/>
          <w:sz w:val="24"/>
        </w:rPr>
        <w:t>Kowalkiewicz</w:t>
      </w:r>
      <w:proofErr w:type="spellEnd"/>
      <w:r w:rsidR="003631EA" w:rsidRPr="0090642E">
        <w:rPr>
          <w:rFonts w:ascii="Arial" w:hAnsi="Arial" w:cs="Arial"/>
          <w:sz w:val="24"/>
        </w:rPr>
        <w:t>, 2019)</w:t>
      </w:r>
      <w:r w:rsidR="002E2419" w:rsidRPr="0090642E">
        <w:rPr>
          <w:rFonts w:ascii="Arial" w:hAnsi="Arial" w:cs="Arial"/>
          <w:sz w:val="24"/>
        </w:rPr>
        <w:t xml:space="preserve">, </w:t>
      </w:r>
      <w:r w:rsidR="003631EA" w:rsidRPr="0090642E">
        <w:rPr>
          <w:rFonts w:ascii="Arial" w:hAnsi="Arial" w:cs="Arial"/>
          <w:sz w:val="24"/>
        </w:rPr>
        <w:t>prepare</w:t>
      </w:r>
      <w:r w:rsidR="002E2419" w:rsidRPr="0090642E">
        <w:rPr>
          <w:rFonts w:ascii="Arial" w:hAnsi="Arial" w:cs="Arial"/>
          <w:sz w:val="24"/>
        </w:rPr>
        <w:t xml:space="preserve"> them</w:t>
      </w:r>
      <w:r w:rsidR="00976ECE" w:rsidRPr="0090642E">
        <w:rPr>
          <w:rFonts w:ascii="Arial" w:hAnsi="Arial" w:cs="Arial"/>
          <w:sz w:val="24"/>
        </w:rPr>
        <w:t xml:space="preserve"> to take responsibility for </w:t>
      </w:r>
      <w:r w:rsidR="00976ECE" w:rsidRPr="0090642E">
        <w:rPr>
          <w:rFonts w:ascii="Arial" w:hAnsi="Arial" w:cs="Arial"/>
          <w:i/>
          <w:iCs/>
          <w:sz w:val="24"/>
        </w:rPr>
        <w:t>who</w:t>
      </w:r>
      <w:r w:rsidR="00976ECE" w:rsidRPr="0090642E">
        <w:rPr>
          <w:rFonts w:ascii="Arial" w:hAnsi="Arial" w:cs="Arial"/>
          <w:sz w:val="24"/>
        </w:rPr>
        <w:t xml:space="preserve"> they are becoming, rather than simply replicating practices without thinking (</w:t>
      </w:r>
      <w:proofErr w:type="spellStart"/>
      <w:r w:rsidR="00722972" w:rsidRPr="0090642E">
        <w:rPr>
          <w:rFonts w:ascii="Arial" w:hAnsi="Arial" w:cs="Arial"/>
          <w:sz w:val="24"/>
        </w:rPr>
        <w:t>Ajjawi</w:t>
      </w:r>
      <w:proofErr w:type="spellEnd"/>
      <w:r w:rsidR="00722972" w:rsidRPr="0090642E">
        <w:rPr>
          <w:rFonts w:ascii="Arial" w:hAnsi="Arial" w:cs="Arial"/>
          <w:sz w:val="24"/>
        </w:rPr>
        <w:t xml:space="preserve"> et al.</w:t>
      </w:r>
      <w:r w:rsidR="00976ECE" w:rsidRPr="0090642E">
        <w:rPr>
          <w:rFonts w:ascii="Arial" w:hAnsi="Arial" w:cs="Arial"/>
          <w:sz w:val="24"/>
        </w:rPr>
        <w:t xml:space="preserve">, </w:t>
      </w:r>
      <w:r w:rsidR="00722972" w:rsidRPr="0090642E">
        <w:rPr>
          <w:rFonts w:ascii="Arial" w:hAnsi="Arial" w:cs="Arial"/>
          <w:sz w:val="24"/>
        </w:rPr>
        <w:t>2020</w:t>
      </w:r>
      <w:r w:rsidRPr="0090642E">
        <w:rPr>
          <w:rFonts w:ascii="Arial" w:hAnsi="Arial" w:cs="Arial"/>
          <w:sz w:val="24"/>
        </w:rPr>
        <w:t>)</w:t>
      </w:r>
      <w:r w:rsidR="00976ECE" w:rsidRPr="0090642E">
        <w:rPr>
          <w:rFonts w:ascii="Arial" w:hAnsi="Arial" w:cs="Arial"/>
          <w:sz w:val="24"/>
        </w:rPr>
        <w:t>.</w:t>
      </w:r>
    </w:p>
    <w:p w14:paraId="4D52F8A0" w14:textId="77777777" w:rsidR="00C86D4C" w:rsidRPr="00C86D4C" w:rsidRDefault="00C86D4C" w:rsidP="00C86D4C">
      <w:pPr>
        <w:pStyle w:val="NoSpacing"/>
        <w:rPr>
          <w:lang w:eastAsia="en-GB"/>
        </w:rPr>
      </w:pPr>
    </w:p>
    <w:p w14:paraId="1C3EDC89" w14:textId="3E697CDD" w:rsidR="00EE340C" w:rsidRDefault="00EE340C" w:rsidP="0090642E">
      <w:pPr>
        <w:widowControl w:val="0"/>
        <w:overflowPunct w:val="0"/>
        <w:autoSpaceDE w:val="0"/>
        <w:autoSpaceDN w:val="0"/>
        <w:adjustRightInd w:val="0"/>
        <w:spacing w:line="360" w:lineRule="auto"/>
        <w:ind w:right="40"/>
        <w:rPr>
          <w:rFonts w:ascii="Arial" w:hAnsi="Arial" w:cs="Arial"/>
          <w:sz w:val="24"/>
        </w:rPr>
      </w:pPr>
      <w:r w:rsidRPr="0090642E">
        <w:rPr>
          <w:rFonts w:ascii="Arial" w:hAnsi="Arial" w:cs="Arial"/>
          <w:sz w:val="24"/>
        </w:rPr>
        <w:t xml:space="preserve">What underpins assessment </w:t>
      </w:r>
      <w:r w:rsidRPr="00387610">
        <w:rPr>
          <w:rFonts w:ascii="Arial" w:hAnsi="Arial" w:cs="Arial"/>
          <w:i/>
          <w:iCs/>
          <w:sz w:val="24"/>
        </w:rPr>
        <w:t>for</w:t>
      </w:r>
      <w:r w:rsidRPr="0090642E">
        <w:rPr>
          <w:rFonts w:ascii="Arial" w:hAnsi="Arial" w:cs="Arial"/>
          <w:sz w:val="24"/>
        </w:rPr>
        <w:t xml:space="preserve"> learning and authentic assessment is that the criteria are known in advance</w:t>
      </w:r>
      <w:r w:rsidR="00387610">
        <w:rPr>
          <w:rFonts w:ascii="Arial" w:hAnsi="Arial" w:cs="Arial"/>
          <w:sz w:val="24"/>
        </w:rPr>
        <w:t xml:space="preserve"> </w:t>
      </w:r>
      <w:r w:rsidRPr="0090642E">
        <w:rPr>
          <w:rFonts w:ascii="Arial" w:hAnsi="Arial" w:cs="Arial"/>
          <w:sz w:val="24"/>
        </w:rPr>
        <w:t>to focus both the student and the assessor.</w:t>
      </w:r>
      <w:r w:rsidR="00250A45" w:rsidRPr="0090642E">
        <w:rPr>
          <w:rFonts w:ascii="Arial" w:hAnsi="Arial" w:cs="Arial"/>
          <w:sz w:val="24"/>
        </w:rPr>
        <w:t xml:space="preserve"> </w:t>
      </w:r>
      <w:r w:rsidRPr="0090642E">
        <w:rPr>
          <w:rFonts w:ascii="Arial" w:hAnsi="Arial" w:cs="Arial"/>
          <w:sz w:val="24"/>
        </w:rPr>
        <w:t xml:space="preserve">Central to assessment </w:t>
      </w:r>
      <w:r w:rsidRPr="00387610">
        <w:rPr>
          <w:rFonts w:ascii="Arial" w:hAnsi="Arial" w:cs="Arial"/>
          <w:i/>
          <w:iCs/>
          <w:sz w:val="24"/>
        </w:rPr>
        <w:t>for</w:t>
      </w:r>
      <w:r w:rsidRPr="0090642E">
        <w:rPr>
          <w:rFonts w:ascii="Arial" w:hAnsi="Arial" w:cs="Arial"/>
          <w:sz w:val="24"/>
        </w:rPr>
        <w:t xml:space="preserve"> learning and authentic assessment characteristics is the use of explicit and transparent criteria that describe what the target performance that should be achieved looks like, enabling students and assessors to make formative assessments and continue to modify practice-based educational opportunities to reach their full potential (Montgomery, 2002; Haines et al., 2013). </w:t>
      </w:r>
      <w:proofErr w:type="spellStart"/>
      <w:r w:rsidR="007625D3" w:rsidRPr="0090642E">
        <w:rPr>
          <w:rFonts w:ascii="Arial" w:hAnsi="Arial" w:cs="Arial"/>
          <w:sz w:val="24"/>
        </w:rPr>
        <w:t>Winkelbauer</w:t>
      </w:r>
      <w:proofErr w:type="spellEnd"/>
      <w:r w:rsidR="007625D3" w:rsidRPr="0090642E">
        <w:rPr>
          <w:rFonts w:ascii="Arial" w:hAnsi="Arial" w:cs="Arial"/>
          <w:sz w:val="24"/>
        </w:rPr>
        <w:t xml:space="preserve"> (2020) supported this argument stating that authentic assessment is effective in changing practice</w:t>
      </w:r>
      <w:r w:rsidR="00DB166D" w:rsidRPr="0090642E">
        <w:rPr>
          <w:rFonts w:ascii="Arial" w:hAnsi="Arial" w:cs="Arial"/>
          <w:sz w:val="24"/>
        </w:rPr>
        <w:t xml:space="preserve"> and</w:t>
      </w:r>
      <w:r w:rsidR="007625D3" w:rsidRPr="0090642E">
        <w:rPr>
          <w:rFonts w:ascii="Arial" w:hAnsi="Arial" w:cs="Arial"/>
          <w:sz w:val="24"/>
        </w:rPr>
        <w:t xml:space="preserve">, </w:t>
      </w:r>
      <w:r w:rsidR="00E31E0F" w:rsidRPr="0090642E">
        <w:rPr>
          <w:rFonts w:ascii="Arial" w:hAnsi="Arial" w:cs="Arial"/>
          <w:sz w:val="24"/>
        </w:rPr>
        <w:t>subsequently</w:t>
      </w:r>
      <w:r w:rsidR="007625D3" w:rsidRPr="0090642E">
        <w:rPr>
          <w:rFonts w:ascii="Arial" w:hAnsi="Arial" w:cs="Arial"/>
          <w:sz w:val="24"/>
        </w:rPr>
        <w:t xml:space="preserve">, improves patient care. </w:t>
      </w:r>
      <w:r w:rsidRPr="0090642E">
        <w:rPr>
          <w:rFonts w:ascii="Arial" w:hAnsi="Arial" w:cs="Arial"/>
          <w:sz w:val="24"/>
        </w:rPr>
        <w:t>In the literature, authentic assessment is frequently associated with the use of scoring rubrics</w:t>
      </w:r>
      <w:r w:rsidR="00574E94" w:rsidRPr="0090642E">
        <w:rPr>
          <w:rFonts w:ascii="Arial" w:hAnsi="Arial" w:cs="Arial"/>
          <w:sz w:val="24"/>
        </w:rPr>
        <w:t>. Boateng et al. (2009) reported that scoring rubrics provide a learner-</w:t>
      </w:r>
      <w:r w:rsidR="005822F2" w:rsidRPr="0090642E">
        <w:rPr>
          <w:rFonts w:ascii="Arial" w:hAnsi="Arial" w:cs="Arial"/>
          <w:sz w:val="24"/>
        </w:rPr>
        <w:t>centred</w:t>
      </w:r>
      <w:r w:rsidR="00574E94" w:rsidRPr="0090642E">
        <w:rPr>
          <w:rFonts w:ascii="Arial" w:hAnsi="Arial" w:cs="Arial"/>
          <w:sz w:val="24"/>
        </w:rPr>
        <w:t xml:space="preserve"> assessment approach that focuses on encouraging </w:t>
      </w:r>
      <w:r w:rsidR="005822F2" w:rsidRPr="0090642E">
        <w:rPr>
          <w:rFonts w:ascii="Arial" w:hAnsi="Arial" w:cs="Arial"/>
          <w:sz w:val="24"/>
        </w:rPr>
        <w:t>behavioural</w:t>
      </w:r>
      <w:r w:rsidR="00574E94" w:rsidRPr="0090642E">
        <w:rPr>
          <w:rFonts w:ascii="Arial" w:hAnsi="Arial" w:cs="Arial"/>
          <w:sz w:val="24"/>
        </w:rPr>
        <w:t xml:space="preserve"> change in learners. </w:t>
      </w:r>
      <w:r w:rsidR="005822F2" w:rsidRPr="0090642E">
        <w:rPr>
          <w:rFonts w:ascii="Arial" w:hAnsi="Arial" w:cs="Arial"/>
          <w:sz w:val="24"/>
        </w:rPr>
        <w:t>They</w:t>
      </w:r>
      <w:r w:rsidR="00574E94" w:rsidRPr="0090642E">
        <w:rPr>
          <w:rFonts w:ascii="Arial" w:hAnsi="Arial" w:cs="Arial"/>
          <w:sz w:val="24"/>
        </w:rPr>
        <w:t xml:space="preserve"> promote </w:t>
      </w:r>
      <w:r w:rsidR="00574E94" w:rsidRPr="0090642E">
        <w:rPr>
          <w:rFonts w:ascii="Arial" w:hAnsi="Arial" w:cs="Arial"/>
          <w:sz w:val="24"/>
        </w:rPr>
        <w:lastRenderedPageBreak/>
        <w:t>consistency, encourage self-assessment, provide timely feedback</w:t>
      </w:r>
      <w:r w:rsidR="005822F2" w:rsidRPr="0090642E">
        <w:rPr>
          <w:rFonts w:ascii="Arial" w:hAnsi="Arial" w:cs="Arial"/>
          <w:sz w:val="24"/>
        </w:rPr>
        <w:t>,</w:t>
      </w:r>
      <w:r w:rsidR="00574E94" w:rsidRPr="0090642E">
        <w:rPr>
          <w:rFonts w:ascii="Arial" w:hAnsi="Arial" w:cs="Arial"/>
          <w:sz w:val="24"/>
        </w:rPr>
        <w:t xml:space="preserve"> </w:t>
      </w:r>
      <w:r w:rsidR="005822F2" w:rsidRPr="0090642E">
        <w:rPr>
          <w:rFonts w:ascii="Arial" w:hAnsi="Arial" w:cs="Arial"/>
          <w:sz w:val="24"/>
        </w:rPr>
        <w:t>hence, provide a potential solution to the subjectivity of performance-based assessments in clinical settings.</w:t>
      </w:r>
    </w:p>
    <w:p w14:paraId="2C1CB0DA" w14:textId="6459A30F" w:rsidR="00F956F6" w:rsidRDefault="00F956F6" w:rsidP="00F956F6">
      <w:pPr>
        <w:pStyle w:val="NoSpacing"/>
        <w:rPr>
          <w:lang w:eastAsia="en-GB"/>
        </w:rPr>
      </w:pPr>
    </w:p>
    <w:p w14:paraId="5DD16E2F" w14:textId="77777777" w:rsidR="001F68FE" w:rsidRPr="00F956F6" w:rsidRDefault="001F68FE" w:rsidP="00F956F6">
      <w:pPr>
        <w:pStyle w:val="NoSpacing"/>
        <w:rPr>
          <w:lang w:eastAsia="en-GB"/>
        </w:rPr>
      </w:pPr>
    </w:p>
    <w:p w14:paraId="08DCFE01" w14:textId="40749637" w:rsidR="001C3B46" w:rsidRPr="0090642E" w:rsidRDefault="000478DA" w:rsidP="0090642E">
      <w:pPr>
        <w:pStyle w:val="Heading2"/>
        <w:spacing w:line="360" w:lineRule="auto"/>
        <w:jc w:val="center"/>
        <w:rPr>
          <w:rFonts w:ascii="Arial" w:hAnsi="Arial" w:cs="Arial"/>
          <w:b w:val="0"/>
          <w:sz w:val="24"/>
          <w:szCs w:val="24"/>
          <w:u w:val="single"/>
        </w:rPr>
      </w:pPr>
      <w:r w:rsidRPr="0090642E">
        <w:rPr>
          <w:rFonts w:ascii="Arial" w:hAnsi="Arial" w:cs="Arial"/>
          <w:b w:val="0"/>
          <w:sz w:val="24"/>
          <w:szCs w:val="24"/>
          <w:u w:val="single"/>
        </w:rPr>
        <w:t xml:space="preserve">AIM OF THE STUDY </w:t>
      </w:r>
    </w:p>
    <w:p w14:paraId="77C03580" w14:textId="77777777" w:rsidR="00F956F6" w:rsidRDefault="000478DA" w:rsidP="0090642E">
      <w:pPr>
        <w:widowControl w:val="0"/>
        <w:autoSpaceDE w:val="0"/>
        <w:autoSpaceDN w:val="0"/>
        <w:adjustRightInd w:val="0"/>
        <w:spacing w:line="360" w:lineRule="auto"/>
        <w:rPr>
          <w:rFonts w:ascii="Arial" w:hAnsi="Arial" w:cs="Arial"/>
          <w:sz w:val="24"/>
        </w:rPr>
      </w:pPr>
      <w:r w:rsidRPr="0090642E">
        <w:rPr>
          <w:rFonts w:ascii="Arial" w:hAnsi="Arial" w:cs="Arial"/>
          <w:sz w:val="24"/>
        </w:rPr>
        <w:t>The aim of the study was to develop a consensus-based scoring rubric based on stakeholders’ interpretations of level descriptors for undergraduate student nurses’ professional values competencies in the PAD.</w:t>
      </w:r>
    </w:p>
    <w:p w14:paraId="184A62BC" w14:textId="519A5D7A" w:rsidR="000478DA" w:rsidRDefault="000478DA" w:rsidP="0090642E">
      <w:pPr>
        <w:widowControl w:val="0"/>
        <w:autoSpaceDE w:val="0"/>
        <w:autoSpaceDN w:val="0"/>
        <w:adjustRightInd w:val="0"/>
        <w:spacing w:line="360" w:lineRule="auto"/>
        <w:rPr>
          <w:rFonts w:ascii="Arial" w:hAnsi="Arial" w:cs="Arial"/>
          <w:sz w:val="24"/>
        </w:rPr>
      </w:pPr>
      <w:r w:rsidRPr="0090642E">
        <w:rPr>
          <w:rFonts w:ascii="Arial" w:hAnsi="Arial" w:cs="Arial"/>
          <w:sz w:val="24"/>
        </w:rPr>
        <w:t xml:space="preserve">  </w:t>
      </w:r>
    </w:p>
    <w:p w14:paraId="2A00E83D" w14:textId="77777777" w:rsidR="001F68FE" w:rsidRPr="001F68FE" w:rsidRDefault="001F68FE" w:rsidP="001F68FE">
      <w:pPr>
        <w:pStyle w:val="NoSpacing"/>
        <w:rPr>
          <w:lang w:eastAsia="en-GB"/>
        </w:rPr>
      </w:pPr>
    </w:p>
    <w:p w14:paraId="76900758" w14:textId="4A42EBA8" w:rsidR="004101B7" w:rsidRPr="0090642E" w:rsidRDefault="000478DA" w:rsidP="0090642E">
      <w:pPr>
        <w:pStyle w:val="Heading2"/>
        <w:spacing w:line="360" w:lineRule="auto"/>
        <w:jc w:val="center"/>
        <w:rPr>
          <w:rFonts w:ascii="Arial" w:hAnsi="Arial" w:cs="Arial"/>
          <w:b w:val="0"/>
          <w:sz w:val="24"/>
          <w:szCs w:val="24"/>
          <w:u w:val="single"/>
        </w:rPr>
      </w:pPr>
      <w:r w:rsidRPr="0090642E">
        <w:rPr>
          <w:rFonts w:ascii="Arial" w:hAnsi="Arial" w:cs="Arial"/>
          <w:b w:val="0"/>
          <w:sz w:val="24"/>
          <w:szCs w:val="24"/>
          <w:u w:val="single"/>
        </w:rPr>
        <w:t>STU</w:t>
      </w:r>
      <w:r w:rsidR="00897530" w:rsidRPr="0090642E">
        <w:rPr>
          <w:rFonts w:ascii="Arial" w:hAnsi="Arial" w:cs="Arial"/>
          <w:b w:val="0"/>
          <w:sz w:val="24"/>
          <w:szCs w:val="24"/>
          <w:u w:val="single"/>
        </w:rPr>
        <w:t>D</w:t>
      </w:r>
      <w:r w:rsidRPr="0090642E">
        <w:rPr>
          <w:rFonts w:ascii="Arial" w:hAnsi="Arial" w:cs="Arial"/>
          <w:b w:val="0"/>
          <w:sz w:val="24"/>
          <w:szCs w:val="24"/>
          <w:u w:val="single"/>
        </w:rPr>
        <w:t xml:space="preserve">Y DESIGN </w:t>
      </w:r>
    </w:p>
    <w:p w14:paraId="42058D74" w14:textId="36149B6D" w:rsidR="002961A4" w:rsidRPr="0090642E" w:rsidRDefault="000478DA" w:rsidP="0090642E">
      <w:pPr>
        <w:widowControl w:val="0"/>
        <w:autoSpaceDE w:val="0"/>
        <w:autoSpaceDN w:val="0"/>
        <w:adjustRightInd w:val="0"/>
        <w:spacing w:line="360" w:lineRule="auto"/>
        <w:rPr>
          <w:rFonts w:ascii="Arial" w:hAnsi="Arial" w:cs="Arial"/>
          <w:sz w:val="24"/>
        </w:rPr>
      </w:pPr>
      <w:r w:rsidRPr="0090642E">
        <w:rPr>
          <w:rFonts w:ascii="Arial" w:hAnsi="Arial" w:cs="Arial"/>
          <w:sz w:val="24"/>
        </w:rPr>
        <w:t xml:space="preserve">The study adopted a two-round ‘classic e-Delphi’ presented in Figure 1. In keeping with the theoretical underpinning of assessment </w:t>
      </w:r>
      <w:r w:rsidRPr="00387610">
        <w:rPr>
          <w:rFonts w:ascii="Arial" w:hAnsi="Arial" w:cs="Arial"/>
          <w:i/>
          <w:iCs/>
          <w:sz w:val="24"/>
        </w:rPr>
        <w:t>for</w:t>
      </w:r>
      <w:r w:rsidRPr="0090642E">
        <w:rPr>
          <w:rFonts w:ascii="Arial" w:hAnsi="Arial" w:cs="Arial"/>
          <w:sz w:val="24"/>
        </w:rPr>
        <w:t xml:space="preserve"> learning and authentic assessment, it was crucial to select a method that ensured interpretations of the competency statements and development of level descriptors that were unambiguous, free from academic jargon, reflected the complexity of real life and supported by relevant stakeholders. </w:t>
      </w:r>
    </w:p>
    <w:p w14:paraId="6AD93024" w14:textId="77777777" w:rsidR="007A5734" w:rsidRPr="0090642E" w:rsidRDefault="007A5734" w:rsidP="0090642E">
      <w:pPr>
        <w:pStyle w:val="NoSpacing"/>
        <w:spacing w:line="360" w:lineRule="auto"/>
        <w:rPr>
          <w:rFonts w:ascii="Arial" w:hAnsi="Arial" w:cs="Arial"/>
          <w:sz w:val="24"/>
          <w:szCs w:val="24"/>
          <w:lang w:eastAsia="en-GB"/>
        </w:rPr>
      </w:pPr>
    </w:p>
    <w:p w14:paraId="10107846" w14:textId="68D9993E" w:rsidR="00B80DFC" w:rsidRPr="0090642E" w:rsidRDefault="005D5F17" w:rsidP="0090642E">
      <w:pPr>
        <w:pStyle w:val="NoSpacing"/>
        <w:spacing w:line="360" w:lineRule="auto"/>
        <w:rPr>
          <w:rFonts w:ascii="Arial" w:hAnsi="Arial" w:cs="Arial"/>
          <w:i/>
          <w:iCs/>
          <w:sz w:val="24"/>
          <w:szCs w:val="24"/>
          <w:lang w:eastAsia="en-GB"/>
        </w:rPr>
      </w:pPr>
      <w:r>
        <w:rPr>
          <w:rFonts w:ascii="Arial" w:hAnsi="Arial" w:cs="Arial"/>
          <w:i/>
          <w:iCs/>
          <w:sz w:val="24"/>
          <w:szCs w:val="24"/>
          <w:lang w:eastAsia="en-GB"/>
        </w:rPr>
        <w:t>(</w:t>
      </w:r>
      <w:r w:rsidR="007A5734" w:rsidRPr="0090642E">
        <w:rPr>
          <w:rFonts w:ascii="Arial" w:hAnsi="Arial" w:cs="Arial"/>
          <w:i/>
          <w:iCs/>
          <w:sz w:val="24"/>
          <w:szCs w:val="24"/>
          <w:lang w:eastAsia="en-GB"/>
        </w:rPr>
        <w:t>Insert Figure 1 here</w:t>
      </w:r>
      <w:r>
        <w:rPr>
          <w:rFonts w:ascii="Arial" w:hAnsi="Arial" w:cs="Arial"/>
          <w:i/>
          <w:iCs/>
          <w:sz w:val="24"/>
          <w:szCs w:val="24"/>
          <w:lang w:eastAsia="en-GB"/>
        </w:rPr>
        <w:t>)</w:t>
      </w:r>
      <w:r w:rsidR="007A5734" w:rsidRPr="0090642E">
        <w:rPr>
          <w:rFonts w:ascii="Arial" w:hAnsi="Arial" w:cs="Arial"/>
          <w:i/>
          <w:iCs/>
          <w:sz w:val="24"/>
          <w:szCs w:val="24"/>
          <w:lang w:eastAsia="en-GB"/>
        </w:rPr>
        <w:t xml:space="preserve"> </w:t>
      </w:r>
    </w:p>
    <w:p w14:paraId="498BF62B" w14:textId="77777777" w:rsidR="007A5734" w:rsidRPr="0090642E" w:rsidRDefault="007A5734" w:rsidP="0090642E">
      <w:pPr>
        <w:pStyle w:val="NoSpacing"/>
        <w:spacing w:line="360" w:lineRule="auto"/>
        <w:rPr>
          <w:rFonts w:ascii="Arial" w:hAnsi="Arial" w:cs="Arial"/>
          <w:sz w:val="24"/>
          <w:szCs w:val="24"/>
          <w:lang w:eastAsia="en-GB"/>
        </w:rPr>
      </w:pPr>
    </w:p>
    <w:p w14:paraId="5F335E67" w14:textId="0695B2E0" w:rsidR="000478DA" w:rsidRDefault="000478DA" w:rsidP="0090642E">
      <w:pPr>
        <w:widowControl w:val="0"/>
        <w:autoSpaceDE w:val="0"/>
        <w:autoSpaceDN w:val="0"/>
        <w:adjustRightInd w:val="0"/>
        <w:spacing w:line="360" w:lineRule="auto"/>
        <w:rPr>
          <w:rFonts w:ascii="Arial" w:hAnsi="Arial" w:cs="Arial"/>
          <w:sz w:val="24"/>
        </w:rPr>
      </w:pPr>
      <w:r w:rsidRPr="0090642E">
        <w:rPr>
          <w:rFonts w:ascii="Arial" w:hAnsi="Arial" w:cs="Arial"/>
          <w:sz w:val="24"/>
        </w:rPr>
        <w:t xml:space="preserve">Questionnaires were used in each of the two rounds, which used Bristol Online Survey (BOS) website as a host. The first round gathered stakeholders’ interpretations of the competency statements, where a qualitative approach using free-text questions was adopted. The second round used data from the first round to formulate attitudinal statements to establish the degree of consensus or divergence between the stakeholders’ interpretations of the level descriptors. </w:t>
      </w:r>
    </w:p>
    <w:p w14:paraId="37FBF452" w14:textId="2B328C5E" w:rsidR="00F956F6" w:rsidRDefault="00F956F6" w:rsidP="00F956F6">
      <w:pPr>
        <w:pStyle w:val="NoSpacing"/>
        <w:rPr>
          <w:lang w:eastAsia="en-GB"/>
        </w:rPr>
      </w:pPr>
    </w:p>
    <w:p w14:paraId="4D3FBC67" w14:textId="1815CE1C" w:rsidR="00F956F6" w:rsidRDefault="00F956F6" w:rsidP="00F956F6">
      <w:pPr>
        <w:pStyle w:val="NoSpacing"/>
        <w:rPr>
          <w:lang w:eastAsia="en-GB"/>
        </w:rPr>
      </w:pPr>
    </w:p>
    <w:p w14:paraId="1790D01B" w14:textId="77777777" w:rsidR="001F68FE" w:rsidRPr="00F956F6" w:rsidRDefault="001F68FE" w:rsidP="00F956F6">
      <w:pPr>
        <w:pStyle w:val="NoSpacing"/>
        <w:rPr>
          <w:lang w:eastAsia="en-GB"/>
        </w:rPr>
      </w:pPr>
    </w:p>
    <w:p w14:paraId="7ECE41BD" w14:textId="06C70C7F" w:rsidR="003D512A" w:rsidRPr="0090642E" w:rsidRDefault="003D512A" w:rsidP="0090642E">
      <w:pPr>
        <w:widowControl w:val="0"/>
        <w:autoSpaceDE w:val="0"/>
        <w:autoSpaceDN w:val="0"/>
        <w:adjustRightInd w:val="0"/>
        <w:spacing w:line="360" w:lineRule="auto"/>
        <w:jc w:val="center"/>
        <w:rPr>
          <w:rFonts w:ascii="Arial" w:hAnsi="Arial" w:cs="Arial"/>
          <w:sz w:val="24"/>
          <w:u w:val="single"/>
        </w:rPr>
      </w:pPr>
      <w:r w:rsidRPr="0090642E">
        <w:rPr>
          <w:rFonts w:ascii="Arial" w:hAnsi="Arial" w:cs="Arial"/>
          <w:sz w:val="24"/>
          <w:u w:val="single"/>
        </w:rPr>
        <w:t>SAMPLE/PARTICIPANTS</w:t>
      </w:r>
    </w:p>
    <w:p w14:paraId="10F5624C" w14:textId="05E512BE" w:rsidR="002961A4" w:rsidRPr="0090642E" w:rsidRDefault="003D512A" w:rsidP="0090642E">
      <w:pPr>
        <w:widowControl w:val="0"/>
        <w:overflowPunct w:val="0"/>
        <w:autoSpaceDE w:val="0"/>
        <w:autoSpaceDN w:val="0"/>
        <w:adjustRightInd w:val="0"/>
        <w:spacing w:line="360" w:lineRule="auto"/>
        <w:ind w:right="320"/>
        <w:rPr>
          <w:rFonts w:ascii="Arial" w:hAnsi="Arial" w:cs="Arial"/>
          <w:sz w:val="24"/>
        </w:rPr>
      </w:pPr>
      <w:r w:rsidRPr="0090642E">
        <w:rPr>
          <w:rFonts w:ascii="Arial" w:hAnsi="Arial" w:cs="Arial"/>
          <w:sz w:val="24"/>
        </w:rPr>
        <w:t xml:space="preserve">Creating the expert panel meant recruiting a heterogeneous sample to ensure a broad range of stakeholders’ perspectives were sought. Representativeness, according to Keeney et al., (2011), is based on the </w:t>
      </w:r>
      <w:r w:rsidRPr="0090642E">
        <w:rPr>
          <w:rFonts w:ascii="Arial" w:hAnsi="Arial" w:cs="Arial"/>
          <w:sz w:val="24"/>
        </w:rPr>
        <w:lastRenderedPageBreak/>
        <w:t>qualities of the expert panel therefore sampling techniques such as purposeful, convenience and snowballing are appropriate. Bowling, (2014) advised that purposive sampling is appropriate where respondents are selected because they have knowledge that is valuable to the research. Therefore, in order to include a diverse but representative sample in this study, a purposive sampling approach was selected to recruit a group with particular characteristics. The definition of ‘expert’ in Delphi methods remains ambiguous and includes: informed individual (Mckenna, 1994), specialist in the field (Goodman, 1987), or knowledgeable about the subject (</w:t>
      </w:r>
      <w:proofErr w:type="spellStart"/>
      <w:r w:rsidRPr="0090642E">
        <w:rPr>
          <w:rFonts w:ascii="Arial" w:hAnsi="Arial" w:cs="Arial"/>
          <w:sz w:val="24"/>
        </w:rPr>
        <w:t>Lemmer</w:t>
      </w:r>
      <w:proofErr w:type="spellEnd"/>
      <w:r w:rsidRPr="0090642E">
        <w:rPr>
          <w:rFonts w:ascii="Arial" w:hAnsi="Arial" w:cs="Arial"/>
          <w:sz w:val="24"/>
        </w:rPr>
        <w:t xml:space="preserve">, 1998). The most fitting definition of the term ‘expert’ was suggested by </w:t>
      </w:r>
      <w:bookmarkStart w:id="4" w:name="_Hlk57731555"/>
      <w:r w:rsidRPr="0090642E">
        <w:rPr>
          <w:rFonts w:ascii="Arial" w:hAnsi="Arial" w:cs="Arial"/>
          <w:sz w:val="24"/>
        </w:rPr>
        <w:t>Keeney et al.</w:t>
      </w:r>
      <w:bookmarkEnd w:id="4"/>
      <w:r w:rsidRPr="0090642E">
        <w:rPr>
          <w:rFonts w:ascii="Arial" w:hAnsi="Arial" w:cs="Arial"/>
          <w:sz w:val="24"/>
        </w:rPr>
        <w:t>, (2011, p. 24) as “anyone with relevant input”. Guided by this definition, the criteria for inclusion in this study entailed all participants who have knowledge and experience in assessing the practice-based component of pre-registration education, being assessed or having a vested interest in the process, as well as having sufficient time and willingness to participate. Five groups of stakeholders were identified: practice-based assessors, nursing students, nurse educators, service users and strategy/policy shapers. Pre-determined selection criteria specific to each group is summarised in Table 1</w:t>
      </w:r>
      <w:r w:rsidRPr="00C86D4C">
        <w:rPr>
          <w:rFonts w:ascii="Arial" w:hAnsi="Arial" w:cs="Arial"/>
          <w:sz w:val="24"/>
        </w:rPr>
        <w:t xml:space="preserve">. </w:t>
      </w:r>
      <w:r w:rsidR="00362212" w:rsidRPr="00C86D4C">
        <w:rPr>
          <w:rFonts w:ascii="Arial" w:hAnsi="Arial" w:cs="Arial"/>
          <w:sz w:val="24"/>
        </w:rPr>
        <w:t>Participants</w:t>
      </w:r>
      <w:r w:rsidR="00853F6A" w:rsidRPr="00C86D4C">
        <w:rPr>
          <w:rFonts w:ascii="Arial" w:hAnsi="Arial" w:cs="Arial"/>
          <w:sz w:val="24"/>
        </w:rPr>
        <w:t xml:space="preserve"> remain</w:t>
      </w:r>
      <w:r w:rsidR="00362212" w:rsidRPr="00C86D4C">
        <w:rPr>
          <w:rFonts w:ascii="Arial" w:hAnsi="Arial" w:cs="Arial"/>
          <w:sz w:val="24"/>
        </w:rPr>
        <w:t>ed</w:t>
      </w:r>
      <w:r w:rsidR="00853F6A" w:rsidRPr="00C86D4C">
        <w:rPr>
          <w:rFonts w:ascii="Arial" w:hAnsi="Arial" w:cs="Arial"/>
          <w:sz w:val="24"/>
        </w:rPr>
        <w:t xml:space="preserve"> anonymous; they were only identified by the</w:t>
      </w:r>
      <w:r w:rsidR="00362212" w:rsidRPr="00C86D4C">
        <w:rPr>
          <w:rFonts w:ascii="Arial" w:hAnsi="Arial" w:cs="Arial"/>
          <w:sz w:val="24"/>
        </w:rPr>
        <w:t>ir stakeholder group.</w:t>
      </w:r>
    </w:p>
    <w:p w14:paraId="1FB9D998" w14:textId="7B99D405" w:rsidR="002961A4" w:rsidRPr="0090642E" w:rsidRDefault="002961A4" w:rsidP="0090642E">
      <w:pPr>
        <w:widowControl w:val="0"/>
        <w:overflowPunct w:val="0"/>
        <w:autoSpaceDE w:val="0"/>
        <w:autoSpaceDN w:val="0"/>
        <w:adjustRightInd w:val="0"/>
        <w:spacing w:line="360" w:lineRule="auto"/>
        <w:ind w:right="320"/>
        <w:rPr>
          <w:rFonts w:ascii="Arial" w:hAnsi="Arial" w:cs="Arial"/>
          <w:sz w:val="24"/>
        </w:rPr>
      </w:pPr>
    </w:p>
    <w:p w14:paraId="5767C8AA" w14:textId="4264A0D7" w:rsidR="007A5734" w:rsidRDefault="005D5F17" w:rsidP="0090642E">
      <w:pPr>
        <w:pStyle w:val="NoSpacing"/>
        <w:spacing w:line="360" w:lineRule="auto"/>
        <w:rPr>
          <w:rFonts w:ascii="Arial" w:hAnsi="Arial" w:cs="Arial"/>
          <w:i/>
          <w:iCs/>
          <w:sz w:val="24"/>
          <w:szCs w:val="24"/>
          <w:lang w:eastAsia="en-GB"/>
        </w:rPr>
      </w:pPr>
      <w:r>
        <w:rPr>
          <w:rFonts w:ascii="Arial" w:hAnsi="Arial" w:cs="Arial"/>
          <w:i/>
          <w:iCs/>
          <w:sz w:val="24"/>
          <w:szCs w:val="24"/>
          <w:lang w:eastAsia="en-GB"/>
        </w:rPr>
        <w:t>(</w:t>
      </w:r>
      <w:r w:rsidR="007A5734" w:rsidRPr="0090642E">
        <w:rPr>
          <w:rFonts w:ascii="Arial" w:hAnsi="Arial" w:cs="Arial"/>
          <w:i/>
          <w:iCs/>
          <w:sz w:val="24"/>
          <w:szCs w:val="24"/>
          <w:lang w:eastAsia="en-GB"/>
        </w:rPr>
        <w:t xml:space="preserve">Insert </w:t>
      </w:r>
      <w:r w:rsidR="0090642E" w:rsidRPr="0090642E">
        <w:rPr>
          <w:rFonts w:ascii="Arial" w:hAnsi="Arial" w:cs="Arial"/>
          <w:i/>
          <w:iCs/>
          <w:sz w:val="24"/>
          <w:szCs w:val="24"/>
          <w:lang w:eastAsia="en-GB"/>
        </w:rPr>
        <w:t>T</w:t>
      </w:r>
      <w:r w:rsidR="007A5734" w:rsidRPr="0090642E">
        <w:rPr>
          <w:rFonts w:ascii="Arial" w:hAnsi="Arial" w:cs="Arial"/>
          <w:i/>
          <w:iCs/>
          <w:sz w:val="24"/>
          <w:szCs w:val="24"/>
          <w:lang w:eastAsia="en-GB"/>
        </w:rPr>
        <w:t>able 1 here</w:t>
      </w:r>
      <w:r>
        <w:rPr>
          <w:rFonts w:ascii="Arial" w:hAnsi="Arial" w:cs="Arial"/>
          <w:i/>
          <w:iCs/>
          <w:sz w:val="24"/>
          <w:szCs w:val="24"/>
          <w:lang w:eastAsia="en-GB"/>
        </w:rPr>
        <w:t>)</w:t>
      </w:r>
      <w:r w:rsidR="007A5734" w:rsidRPr="0090642E">
        <w:rPr>
          <w:rFonts w:ascii="Arial" w:hAnsi="Arial" w:cs="Arial"/>
          <w:i/>
          <w:iCs/>
          <w:sz w:val="24"/>
          <w:szCs w:val="24"/>
          <w:lang w:eastAsia="en-GB"/>
        </w:rPr>
        <w:t xml:space="preserve"> </w:t>
      </w:r>
    </w:p>
    <w:p w14:paraId="297B2549" w14:textId="77777777" w:rsidR="00C86D4C" w:rsidRPr="0090642E" w:rsidRDefault="00C86D4C" w:rsidP="0090642E">
      <w:pPr>
        <w:pStyle w:val="NoSpacing"/>
        <w:spacing w:line="360" w:lineRule="auto"/>
        <w:rPr>
          <w:rFonts w:ascii="Arial" w:hAnsi="Arial" w:cs="Arial"/>
          <w:i/>
          <w:iCs/>
          <w:sz w:val="24"/>
          <w:szCs w:val="24"/>
          <w:lang w:eastAsia="en-GB"/>
        </w:rPr>
      </w:pPr>
    </w:p>
    <w:p w14:paraId="2F0C4538" w14:textId="7F355CCA" w:rsidR="003D512A" w:rsidRPr="0090642E" w:rsidRDefault="003D512A" w:rsidP="0090642E">
      <w:pPr>
        <w:widowControl w:val="0"/>
        <w:overflowPunct w:val="0"/>
        <w:autoSpaceDE w:val="0"/>
        <w:autoSpaceDN w:val="0"/>
        <w:adjustRightInd w:val="0"/>
        <w:spacing w:line="360" w:lineRule="auto"/>
        <w:ind w:right="320"/>
        <w:rPr>
          <w:rFonts w:ascii="Arial" w:hAnsi="Arial" w:cs="Arial"/>
          <w:sz w:val="24"/>
        </w:rPr>
      </w:pPr>
      <w:r w:rsidRPr="0090642E">
        <w:rPr>
          <w:rFonts w:ascii="Arial" w:hAnsi="Arial" w:cs="Arial"/>
          <w:sz w:val="24"/>
        </w:rPr>
        <w:t xml:space="preserve">High attrition rates are frequently associated with Delphi in the literature (Donohoe and Needham, 2009) which can lead to response bias (Keeney et al., 2011). Several strategies were employed to enhance response rates and reduce attrition (Table 2). </w:t>
      </w:r>
    </w:p>
    <w:p w14:paraId="1AA4ACF0" w14:textId="325175F5" w:rsidR="005B2F9B" w:rsidRPr="0090642E" w:rsidRDefault="005B2F9B" w:rsidP="0090642E">
      <w:pPr>
        <w:pStyle w:val="NoSpacing"/>
        <w:spacing w:line="360" w:lineRule="auto"/>
        <w:rPr>
          <w:rFonts w:ascii="Arial" w:hAnsi="Arial" w:cs="Arial"/>
          <w:sz w:val="24"/>
          <w:szCs w:val="24"/>
          <w:lang w:eastAsia="en-GB"/>
        </w:rPr>
      </w:pPr>
    </w:p>
    <w:p w14:paraId="5FC9797F" w14:textId="4455223C" w:rsidR="002961A4" w:rsidRDefault="005D5F17" w:rsidP="0090642E">
      <w:pPr>
        <w:pStyle w:val="NoSpacing"/>
        <w:spacing w:line="360" w:lineRule="auto"/>
        <w:rPr>
          <w:rFonts w:ascii="Arial" w:hAnsi="Arial" w:cs="Arial"/>
          <w:i/>
          <w:iCs/>
          <w:sz w:val="24"/>
          <w:szCs w:val="24"/>
          <w:lang w:eastAsia="en-GB"/>
        </w:rPr>
      </w:pPr>
      <w:r>
        <w:rPr>
          <w:rFonts w:ascii="Arial" w:hAnsi="Arial" w:cs="Arial"/>
          <w:i/>
          <w:iCs/>
          <w:sz w:val="24"/>
          <w:szCs w:val="24"/>
          <w:lang w:eastAsia="en-GB"/>
        </w:rPr>
        <w:t>(</w:t>
      </w:r>
      <w:r w:rsidR="006D1A9D" w:rsidRPr="0090642E">
        <w:rPr>
          <w:rFonts w:ascii="Arial" w:hAnsi="Arial" w:cs="Arial"/>
          <w:i/>
          <w:iCs/>
          <w:sz w:val="24"/>
          <w:szCs w:val="24"/>
          <w:lang w:eastAsia="en-GB"/>
        </w:rPr>
        <w:t xml:space="preserve">Insert </w:t>
      </w:r>
      <w:r w:rsidR="0090642E" w:rsidRPr="0090642E">
        <w:rPr>
          <w:rFonts w:ascii="Arial" w:hAnsi="Arial" w:cs="Arial"/>
          <w:i/>
          <w:iCs/>
          <w:sz w:val="24"/>
          <w:szCs w:val="24"/>
          <w:lang w:eastAsia="en-GB"/>
        </w:rPr>
        <w:t>T</w:t>
      </w:r>
      <w:r w:rsidR="006D1A9D" w:rsidRPr="0090642E">
        <w:rPr>
          <w:rFonts w:ascii="Arial" w:hAnsi="Arial" w:cs="Arial"/>
          <w:i/>
          <w:iCs/>
          <w:sz w:val="24"/>
          <w:szCs w:val="24"/>
          <w:lang w:eastAsia="en-GB"/>
        </w:rPr>
        <w:t>able 2 here</w:t>
      </w:r>
      <w:r>
        <w:rPr>
          <w:rFonts w:ascii="Arial" w:hAnsi="Arial" w:cs="Arial"/>
          <w:i/>
          <w:iCs/>
          <w:sz w:val="24"/>
          <w:szCs w:val="24"/>
          <w:lang w:eastAsia="en-GB"/>
        </w:rPr>
        <w:t>)</w:t>
      </w:r>
      <w:r w:rsidR="006D1A9D" w:rsidRPr="0090642E">
        <w:rPr>
          <w:rFonts w:ascii="Arial" w:hAnsi="Arial" w:cs="Arial"/>
          <w:i/>
          <w:iCs/>
          <w:sz w:val="24"/>
          <w:szCs w:val="24"/>
          <w:lang w:eastAsia="en-GB"/>
        </w:rPr>
        <w:t xml:space="preserve"> </w:t>
      </w:r>
    </w:p>
    <w:p w14:paraId="110F1DEF" w14:textId="25C46B42" w:rsidR="00C47A35" w:rsidRDefault="00C47A35" w:rsidP="0090642E">
      <w:pPr>
        <w:pStyle w:val="NoSpacing"/>
        <w:spacing w:line="360" w:lineRule="auto"/>
        <w:rPr>
          <w:rFonts w:ascii="Arial" w:hAnsi="Arial" w:cs="Arial"/>
          <w:i/>
          <w:iCs/>
          <w:sz w:val="24"/>
          <w:szCs w:val="24"/>
          <w:lang w:eastAsia="en-GB"/>
        </w:rPr>
      </w:pPr>
    </w:p>
    <w:p w14:paraId="70B6ECAE" w14:textId="1313BF4E" w:rsidR="002961A4" w:rsidRPr="00225185" w:rsidRDefault="00845611" w:rsidP="00C47A35">
      <w:pPr>
        <w:widowControl w:val="0"/>
        <w:overflowPunct w:val="0"/>
        <w:autoSpaceDE w:val="0"/>
        <w:autoSpaceDN w:val="0"/>
        <w:adjustRightInd w:val="0"/>
        <w:spacing w:line="360" w:lineRule="auto"/>
        <w:ind w:right="320"/>
        <w:rPr>
          <w:rFonts w:ascii="Arial" w:eastAsia="SimSun" w:hAnsi="Arial" w:cs="Arial"/>
          <w:sz w:val="24"/>
          <w:lang w:eastAsia="zh-CN"/>
        </w:rPr>
      </w:pPr>
      <w:r w:rsidRPr="00C86D4C">
        <w:rPr>
          <w:rFonts w:ascii="Arial" w:eastAsia="SimSun" w:hAnsi="Arial" w:cs="Arial"/>
          <w:sz w:val="24"/>
          <w:lang w:eastAsia="zh-CN"/>
        </w:rPr>
        <w:t>When</w:t>
      </w:r>
      <w:r w:rsidR="00C47A35" w:rsidRPr="00C86D4C">
        <w:rPr>
          <w:rFonts w:ascii="Arial" w:eastAsia="SimSun" w:hAnsi="Arial" w:cs="Arial"/>
          <w:sz w:val="24"/>
          <w:lang w:eastAsia="zh-CN"/>
        </w:rPr>
        <w:t xml:space="preserve"> deciding the sample size for this study, considerations were given to the importance of recruiting a heterogonous sample to ensure a spectrum of </w:t>
      </w:r>
      <w:r w:rsidR="00CD2F35" w:rsidRPr="00C86D4C">
        <w:rPr>
          <w:rFonts w:ascii="Arial" w:eastAsia="SimSun" w:hAnsi="Arial" w:cs="Arial"/>
          <w:sz w:val="24"/>
          <w:lang w:eastAsia="zh-CN"/>
        </w:rPr>
        <w:t xml:space="preserve">stakeholder </w:t>
      </w:r>
      <w:r w:rsidR="00C47A35" w:rsidRPr="00C86D4C">
        <w:rPr>
          <w:rFonts w:ascii="Arial" w:eastAsia="SimSun" w:hAnsi="Arial" w:cs="Arial"/>
          <w:sz w:val="24"/>
          <w:lang w:eastAsia="zh-CN"/>
        </w:rPr>
        <w:t>opinions was presented and the size was large enough to mitigate for the risk of attr</w:t>
      </w:r>
      <w:r w:rsidR="007E27D4">
        <w:rPr>
          <w:rFonts w:ascii="Arial" w:eastAsia="SimSun" w:hAnsi="Arial" w:cs="Arial"/>
          <w:sz w:val="24"/>
          <w:lang w:eastAsia="zh-CN"/>
        </w:rPr>
        <w:t>ition (Donohoe and Needham, 2009</w:t>
      </w:r>
      <w:r w:rsidR="00C47A35" w:rsidRPr="00C86D4C">
        <w:rPr>
          <w:rFonts w:ascii="Arial" w:eastAsia="SimSun" w:hAnsi="Arial" w:cs="Arial"/>
          <w:sz w:val="24"/>
          <w:lang w:eastAsia="zh-CN"/>
        </w:rPr>
        <w:t xml:space="preserve">). Equally, the </w:t>
      </w:r>
      <w:r w:rsidR="00C47A35" w:rsidRPr="00C86D4C">
        <w:rPr>
          <w:rFonts w:ascii="Arial" w:eastAsia="SimSun" w:hAnsi="Arial" w:cs="Arial"/>
          <w:sz w:val="24"/>
          <w:lang w:eastAsia="zh-CN"/>
        </w:rPr>
        <w:lastRenderedPageBreak/>
        <w:t>data generated needed to be manageable as large panels</w:t>
      </w:r>
      <w:r w:rsidR="00C47A35" w:rsidRPr="00C86D4C">
        <w:rPr>
          <w:rFonts w:ascii="Arial" w:eastAsia="Calibri" w:hAnsi="Arial" w:cs="Arial"/>
          <w:sz w:val="24"/>
          <w:lang w:eastAsia="en-US"/>
        </w:rPr>
        <w:t xml:space="preserve"> make analysis more time</w:t>
      </w:r>
      <w:r w:rsidR="00CD2F35" w:rsidRPr="00C86D4C">
        <w:rPr>
          <w:rFonts w:ascii="Arial" w:eastAsia="Calibri" w:hAnsi="Arial" w:cs="Arial"/>
          <w:sz w:val="24"/>
          <w:lang w:eastAsia="en-US"/>
        </w:rPr>
        <w:t>-</w:t>
      </w:r>
      <w:r w:rsidR="00C47A35" w:rsidRPr="00C86D4C">
        <w:rPr>
          <w:rFonts w:ascii="Arial" w:eastAsia="Calibri" w:hAnsi="Arial" w:cs="Arial"/>
          <w:sz w:val="24"/>
          <w:lang w:eastAsia="en-US"/>
        </w:rPr>
        <w:t>consuming with limited benefits (</w:t>
      </w:r>
      <w:proofErr w:type="spellStart"/>
      <w:r w:rsidR="00C47A35" w:rsidRPr="00C86D4C">
        <w:rPr>
          <w:rFonts w:ascii="Arial" w:eastAsia="Calibri" w:hAnsi="Arial" w:cs="Arial"/>
          <w:sz w:val="24"/>
          <w:lang w:eastAsia="en-US"/>
        </w:rPr>
        <w:t>Skulmoski</w:t>
      </w:r>
      <w:proofErr w:type="spellEnd"/>
      <w:r w:rsidR="00C47A35" w:rsidRPr="00C86D4C">
        <w:rPr>
          <w:rFonts w:ascii="Arial" w:eastAsia="Calibri" w:hAnsi="Arial" w:cs="Arial"/>
          <w:sz w:val="24"/>
          <w:lang w:eastAsia="en-US"/>
        </w:rPr>
        <w:t xml:space="preserve"> </w:t>
      </w:r>
      <w:r w:rsidR="00C47A35" w:rsidRPr="00C86D4C">
        <w:rPr>
          <w:rFonts w:ascii="Arial" w:eastAsia="SimSun" w:hAnsi="Arial" w:cs="Arial"/>
          <w:i/>
          <w:sz w:val="24"/>
          <w:lang w:eastAsia="zh-CN"/>
        </w:rPr>
        <w:t xml:space="preserve">et al., </w:t>
      </w:r>
      <w:r w:rsidR="00C47A35" w:rsidRPr="00C86D4C">
        <w:rPr>
          <w:rFonts w:ascii="Arial" w:eastAsia="Calibri" w:hAnsi="Arial" w:cs="Arial"/>
          <w:sz w:val="24"/>
          <w:lang w:eastAsia="en-US"/>
        </w:rPr>
        <w:t>2007)</w:t>
      </w:r>
      <w:r w:rsidR="00C47A35" w:rsidRPr="00C86D4C">
        <w:rPr>
          <w:rFonts w:ascii="Arial" w:eastAsia="SimSun" w:hAnsi="Arial" w:cs="Arial"/>
          <w:sz w:val="24"/>
          <w:lang w:eastAsia="zh-CN"/>
        </w:rPr>
        <w:t>. Therefore, 100 potential participants were invited (twenty per group) with the aim of recruiting ten participants from ea</w:t>
      </w:r>
      <w:r w:rsidR="00A943A2">
        <w:rPr>
          <w:rFonts w:ascii="Arial" w:eastAsia="SimSun" w:hAnsi="Arial" w:cs="Arial"/>
          <w:sz w:val="24"/>
          <w:lang w:eastAsia="zh-CN"/>
        </w:rPr>
        <w:t>ch of the five groups shown in T</w:t>
      </w:r>
      <w:r w:rsidR="00C47A35" w:rsidRPr="00C86D4C">
        <w:rPr>
          <w:rFonts w:ascii="Arial" w:eastAsia="SimSun" w:hAnsi="Arial" w:cs="Arial"/>
          <w:sz w:val="24"/>
          <w:lang w:eastAsia="zh-CN"/>
        </w:rPr>
        <w:t xml:space="preserve">able 1. </w:t>
      </w:r>
    </w:p>
    <w:p w14:paraId="679D1A56" w14:textId="45576C64" w:rsidR="00C47A35" w:rsidRDefault="00C47A35" w:rsidP="00C47A35">
      <w:pPr>
        <w:pStyle w:val="NoSpacing"/>
        <w:rPr>
          <w:lang w:eastAsia="zh-CN"/>
        </w:rPr>
      </w:pPr>
    </w:p>
    <w:p w14:paraId="45E61218" w14:textId="77777777" w:rsidR="00A943A2" w:rsidRDefault="00A943A2" w:rsidP="00C47A35">
      <w:pPr>
        <w:pStyle w:val="NoSpacing"/>
        <w:rPr>
          <w:lang w:eastAsia="zh-CN"/>
        </w:rPr>
      </w:pPr>
    </w:p>
    <w:p w14:paraId="7BE04596" w14:textId="77777777" w:rsidR="00C47A35" w:rsidRPr="00C47A35" w:rsidRDefault="00C47A35" w:rsidP="00C47A35">
      <w:pPr>
        <w:pStyle w:val="NoSpacing"/>
        <w:rPr>
          <w:lang w:eastAsia="zh-CN"/>
        </w:rPr>
      </w:pPr>
    </w:p>
    <w:p w14:paraId="42226B61" w14:textId="3C7DD8CB" w:rsidR="003D512A" w:rsidRPr="0090642E" w:rsidRDefault="003D512A" w:rsidP="0090642E">
      <w:pPr>
        <w:widowControl w:val="0"/>
        <w:autoSpaceDE w:val="0"/>
        <w:autoSpaceDN w:val="0"/>
        <w:adjustRightInd w:val="0"/>
        <w:spacing w:line="360" w:lineRule="auto"/>
        <w:jc w:val="center"/>
        <w:rPr>
          <w:rFonts w:ascii="Arial" w:hAnsi="Arial" w:cs="Arial"/>
          <w:sz w:val="24"/>
          <w:u w:val="single"/>
        </w:rPr>
      </w:pPr>
      <w:r w:rsidRPr="0090642E">
        <w:rPr>
          <w:rFonts w:ascii="Arial" w:hAnsi="Arial" w:cs="Arial"/>
          <w:sz w:val="24"/>
          <w:u w:val="single"/>
        </w:rPr>
        <w:t>DATA COLLECTION</w:t>
      </w:r>
    </w:p>
    <w:p w14:paraId="3D7E357D" w14:textId="615E0BAD" w:rsidR="003D512A" w:rsidRPr="0090642E" w:rsidRDefault="003D512A" w:rsidP="0090642E">
      <w:pPr>
        <w:spacing w:line="360" w:lineRule="auto"/>
        <w:rPr>
          <w:rFonts w:ascii="Arial" w:eastAsia="SimSun" w:hAnsi="Arial" w:cs="Arial"/>
          <w:sz w:val="24"/>
          <w:lang w:eastAsia="zh-CN"/>
        </w:rPr>
      </w:pPr>
      <w:r w:rsidRPr="0090642E">
        <w:rPr>
          <w:rFonts w:ascii="Arial" w:hAnsi="Arial" w:cs="Arial"/>
          <w:color w:val="000000"/>
          <w:sz w:val="24"/>
          <w:shd w:val="clear" w:color="auto" w:fill="FFFFFF"/>
        </w:rPr>
        <w:t xml:space="preserve">The two rounds were conducted between September - December 2015.  </w:t>
      </w:r>
      <w:r w:rsidRPr="0090642E">
        <w:rPr>
          <w:rFonts w:ascii="Arial" w:eastAsia="SimSun" w:hAnsi="Arial" w:cs="Arial"/>
          <w:sz w:val="24"/>
          <w:lang w:eastAsia="zh-CN"/>
        </w:rPr>
        <w:t>Round one adopted the classic e-Delphi approach comprising a qualitative open-ended round, which ensured participants were given complete freedom to express themselves in their own words and thereby identify comprehensive possibilities (Hasson et al., 2000). Participants were asked to write their own descriptors to reflect their understanding of the eight professional attitude, behaviour and responsibility statements in the PLPAD (Table 3). To benchmark each performance level, the ‘Successful Outcomes Markers’ model comprising the headings ‘Don't want to see’, ‘Expect to see’ and ‘Love to see’ was used (Burkhart-</w:t>
      </w:r>
      <w:proofErr w:type="spellStart"/>
      <w:r w:rsidRPr="0090642E">
        <w:rPr>
          <w:rFonts w:ascii="Arial" w:eastAsia="SimSun" w:hAnsi="Arial" w:cs="Arial"/>
          <w:sz w:val="24"/>
          <w:lang w:eastAsia="zh-CN"/>
        </w:rPr>
        <w:t>Kriesel</w:t>
      </w:r>
      <w:proofErr w:type="spellEnd"/>
      <w:r w:rsidRPr="0090642E">
        <w:rPr>
          <w:rFonts w:ascii="Arial" w:eastAsia="SimSun" w:hAnsi="Arial" w:cs="Arial"/>
          <w:sz w:val="24"/>
          <w:lang w:eastAsia="zh-CN"/>
        </w:rPr>
        <w:t xml:space="preserve"> et al., 2011).</w:t>
      </w:r>
    </w:p>
    <w:p w14:paraId="6FF2CDA0" w14:textId="77777777" w:rsidR="0090642E" w:rsidRPr="0090642E" w:rsidRDefault="0090642E" w:rsidP="0090642E">
      <w:pPr>
        <w:pStyle w:val="NoSpacing"/>
        <w:spacing w:line="360" w:lineRule="auto"/>
        <w:rPr>
          <w:rFonts w:ascii="Arial" w:hAnsi="Arial" w:cs="Arial"/>
          <w:sz w:val="24"/>
          <w:szCs w:val="24"/>
          <w:lang w:eastAsia="zh-CN"/>
        </w:rPr>
      </w:pPr>
    </w:p>
    <w:p w14:paraId="351F2D8A" w14:textId="279E9CFF" w:rsidR="003D512A" w:rsidRPr="0090642E" w:rsidRDefault="005D5F17" w:rsidP="0090642E">
      <w:pPr>
        <w:spacing w:line="360" w:lineRule="auto"/>
        <w:rPr>
          <w:rFonts w:ascii="Arial" w:eastAsia="SimSun" w:hAnsi="Arial" w:cs="Arial"/>
          <w:i/>
          <w:iCs/>
          <w:sz w:val="24"/>
          <w:lang w:eastAsia="zh-CN"/>
        </w:rPr>
      </w:pPr>
      <w:r>
        <w:rPr>
          <w:rFonts w:ascii="Arial" w:eastAsia="SimSun" w:hAnsi="Arial" w:cs="Arial"/>
          <w:i/>
          <w:iCs/>
          <w:sz w:val="24"/>
          <w:lang w:eastAsia="zh-CN"/>
        </w:rPr>
        <w:t>(</w:t>
      </w:r>
      <w:r w:rsidR="006D1A9D" w:rsidRPr="0090642E">
        <w:rPr>
          <w:rFonts w:ascii="Arial" w:eastAsia="SimSun" w:hAnsi="Arial" w:cs="Arial"/>
          <w:i/>
          <w:iCs/>
          <w:sz w:val="24"/>
          <w:lang w:eastAsia="zh-CN"/>
        </w:rPr>
        <w:t xml:space="preserve">Insert </w:t>
      </w:r>
      <w:r w:rsidR="0090642E" w:rsidRPr="0090642E">
        <w:rPr>
          <w:rFonts w:ascii="Arial" w:eastAsia="SimSun" w:hAnsi="Arial" w:cs="Arial"/>
          <w:i/>
          <w:iCs/>
          <w:sz w:val="24"/>
          <w:lang w:eastAsia="zh-CN"/>
        </w:rPr>
        <w:t>T</w:t>
      </w:r>
      <w:r w:rsidR="006D1A9D" w:rsidRPr="0090642E">
        <w:rPr>
          <w:rFonts w:ascii="Arial" w:eastAsia="SimSun" w:hAnsi="Arial" w:cs="Arial"/>
          <w:i/>
          <w:iCs/>
          <w:sz w:val="24"/>
          <w:lang w:eastAsia="zh-CN"/>
        </w:rPr>
        <w:t>able 3 here</w:t>
      </w:r>
      <w:r>
        <w:rPr>
          <w:rFonts w:ascii="Arial" w:eastAsia="SimSun" w:hAnsi="Arial" w:cs="Arial"/>
          <w:i/>
          <w:iCs/>
          <w:sz w:val="24"/>
          <w:lang w:eastAsia="zh-CN"/>
        </w:rPr>
        <w:t>)</w:t>
      </w:r>
      <w:r w:rsidR="006D1A9D" w:rsidRPr="0090642E">
        <w:rPr>
          <w:rFonts w:ascii="Arial" w:eastAsia="SimSun" w:hAnsi="Arial" w:cs="Arial"/>
          <w:i/>
          <w:iCs/>
          <w:sz w:val="24"/>
          <w:lang w:eastAsia="zh-CN"/>
        </w:rPr>
        <w:t xml:space="preserve"> </w:t>
      </w:r>
    </w:p>
    <w:p w14:paraId="3F151800" w14:textId="77777777" w:rsidR="002961A4" w:rsidRPr="0090642E" w:rsidRDefault="002961A4" w:rsidP="0090642E">
      <w:pPr>
        <w:pStyle w:val="NoSpacing"/>
        <w:spacing w:line="360" w:lineRule="auto"/>
        <w:rPr>
          <w:rFonts w:ascii="Arial" w:hAnsi="Arial" w:cs="Arial"/>
          <w:sz w:val="24"/>
          <w:szCs w:val="24"/>
          <w:lang w:eastAsia="zh-CN"/>
        </w:rPr>
      </w:pPr>
    </w:p>
    <w:p w14:paraId="0822E1E0" w14:textId="1FF09730" w:rsidR="003D512A" w:rsidRPr="0090642E" w:rsidRDefault="003D512A" w:rsidP="0090642E">
      <w:pPr>
        <w:spacing w:line="360" w:lineRule="auto"/>
        <w:rPr>
          <w:rFonts w:ascii="Arial" w:eastAsia="SimSun" w:hAnsi="Arial" w:cs="Arial"/>
          <w:sz w:val="24"/>
          <w:lang w:eastAsia="zh-CN"/>
        </w:rPr>
      </w:pPr>
      <w:r w:rsidRPr="0090642E">
        <w:rPr>
          <w:rFonts w:ascii="Arial" w:eastAsia="SimSun" w:hAnsi="Arial" w:cs="Arial"/>
          <w:sz w:val="24"/>
          <w:lang w:eastAsia="zh-CN"/>
        </w:rPr>
        <w:t xml:space="preserve">The questionnaire for round two aimed to gauge stakeholders’ agreement to the level descriptors developed in round one. </w:t>
      </w:r>
      <w:r w:rsidR="00853F6A" w:rsidRPr="00C86D4C">
        <w:rPr>
          <w:rFonts w:ascii="Arial" w:eastAsia="SimSun" w:hAnsi="Arial" w:cs="Arial"/>
          <w:sz w:val="24"/>
          <w:lang w:eastAsia="zh-CN"/>
        </w:rPr>
        <w:t xml:space="preserve">Due to the anonymity, it was not possible to identify who responded in round one, therefore, invitation emails were sent to all </w:t>
      </w:r>
      <w:r w:rsidR="00362212" w:rsidRPr="00C86D4C">
        <w:rPr>
          <w:rFonts w:ascii="Arial" w:eastAsia="SimSun" w:hAnsi="Arial" w:cs="Arial"/>
          <w:sz w:val="24"/>
          <w:lang w:eastAsia="zh-CN"/>
        </w:rPr>
        <w:t>those who had been previously invited</w:t>
      </w:r>
      <w:r w:rsidR="00853F6A" w:rsidRPr="00C86D4C">
        <w:rPr>
          <w:rFonts w:ascii="Arial" w:eastAsia="SimSun" w:hAnsi="Arial" w:cs="Arial"/>
          <w:sz w:val="24"/>
          <w:lang w:eastAsia="zh-CN"/>
        </w:rPr>
        <w:t>.</w:t>
      </w:r>
      <w:r w:rsidR="00853F6A" w:rsidRPr="00853F6A">
        <w:rPr>
          <w:rFonts w:ascii="Arial" w:eastAsia="SimSun" w:hAnsi="Arial" w:cs="Arial"/>
          <w:sz w:val="24"/>
          <w:lang w:eastAsia="zh-CN"/>
        </w:rPr>
        <w:t xml:space="preserve"> </w:t>
      </w:r>
      <w:r w:rsidRPr="0090642E">
        <w:rPr>
          <w:rFonts w:ascii="Arial" w:eastAsia="SimSun" w:hAnsi="Arial" w:cs="Arial"/>
          <w:sz w:val="24"/>
          <w:lang w:eastAsia="zh-CN"/>
        </w:rPr>
        <w:t xml:space="preserve">The data in round two were ordinal to enable the variables to be ranked on a scale of increasing magnitude. </w:t>
      </w:r>
    </w:p>
    <w:p w14:paraId="3D400094" w14:textId="77777777" w:rsidR="003D512A" w:rsidRPr="0090642E" w:rsidRDefault="003D512A" w:rsidP="0090642E">
      <w:pPr>
        <w:spacing w:line="360" w:lineRule="auto"/>
        <w:rPr>
          <w:rFonts w:ascii="Arial" w:eastAsia="SimSun" w:hAnsi="Arial" w:cs="Arial"/>
          <w:sz w:val="24"/>
          <w:lang w:eastAsia="zh-CN"/>
        </w:rPr>
      </w:pPr>
    </w:p>
    <w:p w14:paraId="77B8D58A" w14:textId="2317178B" w:rsidR="00250A45" w:rsidRPr="0090642E" w:rsidRDefault="003D512A" w:rsidP="0090642E">
      <w:pPr>
        <w:spacing w:line="360" w:lineRule="auto"/>
        <w:rPr>
          <w:rFonts w:ascii="Arial" w:eastAsia="SimSun" w:hAnsi="Arial" w:cs="Arial"/>
          <w:sz w:val="24"/>
          <w:lang w:eastAsia="zh-CN"/>
        </w:rPr>
      </w:pPr>
      <w:r w:rsidRPr="0090642E">
        <w:rPr>
          <w:rFonts w:ascii="Arial" w:eastAsia="SimSun" w:hAnsi="Arial" w:cs="Arial"/>
          <w:sz w:val="24"/>
          <w:lang w:eastAsia="zh-CN"/>
        </w:rPr>
        <w:t>A neutral option was included in the questionnaire to allow those who genuinely had no opinion to indicate this</w:t>
      </w:r>
      <w:r w:rsidRPr="0090642E">
        <w:rPr>
          <w:rFonts w:ascii="Arial" w:hAnsi="Arial" w:cs="Arial"/>
          <w:b/>
          <w:bCs/>
          <w:sz w:val="24"/>
        </w:rPr>
        <w:t xml:space="preserve"> (</w:t>
      </w:r>
      <w:r w:rsidRPr="0090642E">
        <w:rPr>
          <w:rFonts w:ascii="Arial" w:eastAsia="SimSun" w:hAnsi="Arial" w:cs="Arial"/>
          <w:sz w:val="24"/>
          <w:lang w:eastAsia="zh-CN"/>
        </w:rPr>
        <w:t xml:space="preserve">Gray et al., 2017). </w:t>
      </w:r>
      <w:r w:rsidRPr="0090642E">
        <w:rPr>
          <w:rFonts w:ascii="Arial" w:eastAsia="Calibri" w:hAnsi="Arial" w:cs="Arial"/>
          <w:sz w:val="24"/>
        </w:rPr>
        <w:t xml:space="preserve">Every participant was </w:t>
      </w:r>
      <w:r w:rsidRPr="0090642E">
        <w:rPr>
          <w:rFonts w:ascii="Arial" w:eastAsia="Trebuchet MS" w:hAnsi="Arial" w:cs="Arial"/>
          <w:sz w:val="24"/>
          <w:lang w:eastAsia="zh-CN"/>
        </w:rPr>
        <w:t xml:space="preserve">presented with all eight statements, each in turn being presented in a screen with the statements provided at the top of the webpage and below it </w:t>
      </w:r>
      <w:r w:rsidRPr="0090642E">
        <w:rPr>
          <w:rFonts w:ascii="Arial" w:eastAsia="SimSun" w:hAnsi="Arial" w:cs="Arial"/>
          <w:sz w:val="24"/>
          <w:lang w:eastAsia="zh-CN"/>
        </w:rPr>
        <w:t xml:space="preserve">the three level attributes were provided. Across each level, an attitudinal five-point Likert scale was positioned ranging from strongly agree to strongly </w:t>
      </w:r>
      <w:r w:rsidRPr="0090642E">
        <w:rPr>
          <w:rFonts w:ascii="Arial" w:eastAsia="SimSun" w:hAnsi="Arial" w:cs="Arial"/>
          <w:sz w:val="24"/>
          <w:lang w:eastAsia="zh-CN"/>
        </w:rPr>
        <w:lastRenderedPageBreak/>
        <w:t>disagree, commonly used to collect this type of data (Wood et al., 2011). In addition, participants were given the opportunity to rate their preferred benchmarking style among the commonly used level descriptor methods</w:t>
      </w:r>
      <w:r w:rsidR="00250A45" w:rsidRPr="0090642E">
        <w:rPr>
          <w:rFonts w:ascii="Arial" w:eastAsia="SimSun" w:hAnsi="Arial" w:cs="Arial"/>
          <w:sz w:val="24"/>
          <w:lang w:eastAsia="zh-CN"/>
        </w:rPr>
        <w:t>, these are</w:t>
      </w:r>
      <w:r w:rsidR="00270A20" w:rsidRPr="0090642E">
        <w:rPr>
          <w:rFonts w:ascii="Arial" w:eastAsia="SimSun" w:hAnsi="Arial" w:cs="Arial"/>
          <w:sz w:val="24"/>
          <w:lang w:eastAsia="zh-CN"/>
        </w:rPr>
        <w:t>:</w:t>
      </w:r>
      <w:r w:rsidR="00250A45" w:rsidRPr="0090642E">
        <w:rPr>
          <w:rFonts w:ascii="Arial" w:eastAsia="SimSun" w:hAnsi="Arial" w:cs="Arial"/>
          <w:sz w:val="24"/>
          <w:lang w:eastAsia="zh-CN"/>
        </w:rPr>
        <w:t xml:space="preserve"> </w:t>
      </w:r>
    </w:p>
    <w:p w14:paraId="3E4E4CE4" w14:textId="0542EFE5" w:rsidR="00250A45" w:rsidRPr="0090642E" w:rsidRDefault="00250A45" w:rsidP="00B87A1B">
      <w:pPr>
        <w:pStyle w:val="NoSpacing"/>
        <w:numPr>
          <w:ilvl w:val="0"/>
          <w:numId w:val="33"/>
        </w:numPr>
        <w:ind w:left="357" w:hanging="357"/>
        <w:rPr>
          <w:rFonts w:ascii="Arial" w:hAnsi="Arial" w:cs="Arial"/>
          <w:sz w:val="24"/>
          <w:szCs w:val="24"/>
          <w:lang w:eastAsia="zh-CN"/>
        </w:rPr>
      </w:pPr>
      <w:r w:rsidRPr="0090642E">
        <w:rPr>
          <w:rFonts w:ascii="Arial" w:hAnsi="Arial" w:cs="Arial"/>
          <w:sz w:val="24"/>
          <w:szCs w:val="24"/>
          <w:lang w:eastAsia="zh-CN"/>
        </w:rPr>
        <w:t>Don't want to see - Expect to see - Love to see.</w:t>
      </w:r>
    </w:p>
    <w:p w14:paraId="5CE89880" w14:textId="1DBC0685" w:rsidR="00250A45" w:rsidRPr="0090642E" w:rsidRDefault="00250A45" w:rsidP="00B87A1B">
      <w:pPr>
        <w:pStyle w:val="NoSpacing"/>
        <w:numPr>
          <w:ilvl w:val="0"/>
          <w:numId w:val="33"/>
        </w:numPr>
        <w:ind w:left="357" w:hanging="357"/>
        <w:rPr>
          <w:rFonts w:ascii="Arial" w:hAnsi="Arial" w:cs="Arial"/>
          <w:sz w:val="24"/>
          <w:szCs w:val="24"/>
          <w:lang w:eastAsia="zh-CN"/>
        </w:rPr>
      </w:pPr>
      <w:r w:rsidRPr="0090642E">
        <w:rPr>
          <w:rFonts w:ascii="Arial" w:hAnsi="Arial" w:cs="Arial"/>
          <w:sz w:val="24"/>
          <w:szCs w:val="24"/>
          <w:lang w:eastAsia="zh-CN"/>
        </w:rPr>
        <w:t>Developing - Competent – Exemplary.</w:t>
      </w:r>
    </w:p>
    <w:p w14:paraId="622F3FE3" w14:textId="5152D64F" w:rsidR="00250A45" w:rsidRPr="0090642E" w:rsidRDefault="00250A45" w:rsidP="00B87A1B">
      <w:pPr>
        <w:pStyle w:val="NoSpacing"/>
        <w:numPr>
          <w:ilvl w:val="0"/>
          <w:numId w:val="33"/>
        </w:numPr>
        <w:ind w:left="357" w:hanging="357"/>
        <w:rPr>
          <w:rFonts w:ascii="Arial" w:hAnsi="Arial" w:cs="Arial"/>
          <w:sz w:val="24"/>
          <w:szCs w:val="24"/>
          <w:lang w:eastAsia="zh-CN"/>
        </w:rPr>
      </w:pPr>
      <w:r w:rsidRPr="0090642E">
        <w:rPr>
          <w:rFonts w:ascii="Arial" w:hAnsi="Arial" w:cs="Arial"/>
          <w:sz w:val="24"/>
          <w:szCs w:val="24"/>
          <w:lang w:eastAsia="zh-CN"/>
        </w:rPr>
        <w:t>Does not meet expectations - Meets expectations - Exceeds expectations.</w:t>
      </w:r>
    </w:p>
    <w:p w14:paraId="49B2DC0E" w14:textId="71F4852A" w:rsidR="00250A45" w:rsidRPr="0090642E" w:rsidRDefault="00250A45" w:rsidP="00B87A1B">
      <w:pPr>
        <w:pStyle w:val="NoSpacing"/>
        <w:numPr>
          <w:ilvl w:val="0"/>
          <w:numId w:val="33"/>
        </w:numPr>
        <w:ind w:left="357" w:hanging="357"/>
        <w:rPr>
          <w:rFonts w:ascii="Arial" w:hAnsi="Arial" w:cs="Arial"/>
          <w:sz w:val="24"/>
          <w:szCs w:val="24"/>
          <w:lang w:eastAsia="zh-CN"/>
        </w:rPr>
      </w:pPr>
      <w:r w:rsidRPr="0090642E">
        <w:rPr>
          <w:rFonts w:ascii="Arial" w:hAnsi="Arial" w:cs="Arial"/>
          <w:sz w:val="24"/>
          <w:szCs w:val="24"/>
          <w:lang w:eastAsia="zh-CN"/>
        </w:rPr>
        <w:t>Not achieved - Achieved – Merit.</w:t>
      </w:r>
    </w:p>
    <w:p w14:paraId="6010BCA4" w14:textId="4CA58EBF" w:rsidR="00250A45" w:rsidRPr="0090642E" w:rsidRDefault="00250A45" w:rsidP="00B87A1B">
      <w:pPr>
        <w:pStyle w:val="NoSpacing"/>
        <w:numPr>
          <w:ilvl w:val="0"/>
          <w:numId w:val="33"/>
        </w:numPr>
        <w:ind w:left="357" w:hanging="357"/>
        <w:rPr>
          <w:rFonts w:ascii="Arial" w:hAnsi="Arial" w:cs="Arial"/>
          <w:sz w:val="24"/>
          <w:szCs w:val="24"/>
          <w:lang w:eastAsia="zh-CN"/>
        </w:rPr>
      </w:pPr>
      <w:r w:rsidRPr="0090642E">
        <w:rPr>
          <w:rFonts w:ascii="Arial" w:hAnsi="Arial" w:cs="Arial"/>
          <w:sz w:val="24"/>
          <w:szCs w:val="24"/>
          <w:lang w:eastAsia="zh-CN"/>
        </w:rPr>
        <w:t>1 - 2 - 3 (Numerical where 2 is needed for a pass).</w:t>
      </w:r>
    </w:p>
    <w:p w14:paraId="55E92F3B" w14:textId="77777777" w:rsidR="00250A45" w:rsidRPr="0090642E" w:rsidRDefault="00250A45" w:rsidP="0090642E">
      <w:pPr>
        <w:spacing w:line="360" w:lineRule="auto"/>
        <w:rPr>
          <w:rFonts w:ascii="Arial" w:eastAsia="SimSun" w:hAnsi="Arial" w:cs="Arial"/>
          <w:sz w:val="24"/>
          <w:lang w:eastAsia="zh-CN"/>
        </w:rPr>
      </w:pPr>
    </w:p>
    <w:p w14:paraId="5B62FC10" w14:textId="02C7D4A5" w:rsidR="003D512A" w:rsidRPr="0090642E" w:rsidRDefault="003D512A" w:rsidP="0090642E">
      <w:pPr>
        <w:spacing w:line="360" w:lineRule="auto"/>
        <w:rPr>
          <w:rFonts w:ascii="Arial" w:eastAsia="SimSun" w:hAnsi="Arial" w:cs="Arial"/>
          <w:sz w:val="24"/>
          <w:lang w:eastAsia="zh-CN"/>
        </w:rPr>
      </w:pPr>
      <w:r w:rsidRPr="0090642E">
        <w:rPr>
          <w:rFonts w:ascii="Arial" w:eastAsia="SimSun" w:hAnsi="Arial" w:cs="Arial"/>
          <w:sz w:val="24"/>
          <w:lang w:eastAsia="zh-CN"/>
        </w:rPr>
        <w:t xml:space="preserve">The questionnaires for both rounds were piloted on representative samples resulting in shortening the questionnaire in round one and minor wording changes for questionnaires in both rounds.  </w:t>
      </w:r>
    </w:p>
    <w:p w14:paraId="47357EAE" w14:textId="2641A233" w:rsidR="006D1A9D" w:rsidRDefault="006D1A9D" w:rsidP="0090642E">
      <w:pPr>
        <w:pStyle w:val="NoSpacing"/>
        <w:spacing w:line="360" w:lineRule="auto"/>
        <w:rPr>
          <w:rFonts w:ascii="Arial" w:hAnsi="Arial" w:cs="Arial"/>
          <w:sz w:val="24"/>
          <w:szCs w:val="24"/>
          <w:lang w:eastAsia="zh-CN"/>
        </w:rPr>
      </w:pPr>
    </w:p>
    <w:p w14:paraId="3EF833E0" w14:textId="77777777" w:rsidR="00F956F6" w:rsidRPr="0090642E" w:rsidRDefault="00F956F6" w:rsidP="0090642E">
      <w:pPr>
        <w:pStyle w:val="NoSpacing"/>
        <w:spacing w:line="360" w:lineRule="auto"/>
        <w:rPr>
          <w:rFonts w:ascii="Arial" w:hAnsi="Arial" w:cs="Arial"/>
          <w:sz w:val="24"/>
          <w:szCs w:val="24"/>
          <w:lang w:eastAsia="zh-CN"/>
        </w:rPr>
      </w:pPr>
    </w:p>
    <w:p w14:paraId="7F046ECC" w14:textId="60E02AC2" w:rsidR="003D512A" w:rsidRPr="0090642E" w:rsidRDefault="003D512A" w:rsidP="0090642E">
      <w:pPr>
        <w:widowControl w:val="0"/>
        <w:autoSpaceDE w:val="0"/>
        <w:autoSpaceDN w:val="0"/>
        <w:adjustRightInd w:val="0"/>
        <w:spacing w:line="360" w:lineRule="auto"/>
        <w:jc w:val="center"/>
        <w:rPr>
          <w:rFonts w:ascii="Arial" w:hAnsi="Arial" w:cs="Arial"/>
          <w:sz w:val="24"/>
          <w:u w:val="single"/>
        </w:rPr>
      </w:pPr>
      <w:r w:rsidRPr="0090642E">
        <w:rPr>
          <w:rFonts w:ascii="Arial" w:hAnsi="Arial" w:cs="Arial"/>
          <w:sz w:val="24"/>
          <w:u w:val="single"/>
        </w:rPr>
        <w:t>ETHICAL CONSIDERATIONS</w:t>
      </w:r>
    </w:p>
    <w:p w14:paraId="681B7354" w14:textId="22500AB4" w:rsidR="003D512A" w:rsidRPr="0090642E" w:rsidRDefault="003D512A" w:rsidP="0090642E">
      <w:pPr>
        <w:spacing w:line="360" w:lineRule="auto"/>
        <w:rPr>
          <w:rFonts w:ascii="Arial" w:hAnsi="Arial" w:cs="Arial"/>
          <w:sz w:val="24"/>
        </w:rPr>
      </w:pPr>
      <w:r w:rsidRPr="0090642E">
        <w:rPr>
          <w:rFonts w:ascii="Arial" w:eastAsia="SimSun" w:hAnsi="Arial" w:cs="Arial"/>
          <w:sz w:val="24"/>
          <w:lang w:eastAsia="zh-CN"/>
        </w:rPr>
        <w:t xml:space="preserve">Ethical approval was granted by the University Research Ethics Committee. </w:t>
      </w:r>
      <w:r w:rsidR="00A57122" w:rsidRPr="0090642E">
        <w:rPr>
          <w:rFonts w:ascii="Arial" w:eastAsia="SimSun" w:hAnsi="Arial" w:cs="Arial"/>
          <w:sz w:val="24"/>
          <w:lang w:eastAsia="zh-CN"/>
        </w:rPr>
        <w:t>T</w:t>
      </w:r>
      <w:r w:rsidRPr="0090642E">
        <w:rPr>
          <w:rFonts w:ascii="Arial" w:eastAsia="SimSun" w:hAnsi="Arial" w:cs="Arial"/>
          <w:sz w:val="24"/>
          <w:lang w:eastAsia="zh-CN"/>
        </w:rPr>
        <w:t xml:space="preserve">he Chair of the Pan London Practice Learning Group </w:t>
      </w:r>
      <w:r w:rsidR="00A57122" w:rsidRPr="0090642E">
        <w:rPr>
          <w:rFonts w:ascii="Arial" w:eastAsia="SimSun" w:hAnsi="Arial" w:cs="Arial"/>
          <w:sz w:val="24"/>
          <w:lang w:eastAsia="zh-CN"/>
        </w:rPr>
        <w:t xml:space="preserve">granted permission </w:t>
      </w:r>
      <w:r w:rsidRPr="0090642E">
        <w:rPr>
          <w:rFonts w:ascii="Arial" w:eastAsia="SimSun" w:hAnsi="Arial" w:cs="Arial"/>
          <w:sz w:val="24"/>
          <w:lang w:eastAsia="zh-CN"/>
        </w:rPr>
        <w:t>to use the professional values statements. Consent was implied by completion of the BOS. Reponses were anonymous so only stakeholder group was identifiable.</w:t>
      </w:r>
    </w:p>
    <w:p w14:paraId="00245B06" w14:textId="1963A47A" w:rsidR="003D512A" w:rsidRDefault="003D512A" w:rsidP="0090642E">
      <w:pPr>
        <w:widowControl w:val="0"/>
        <w:overflowPunct w:val="0"/>
        <w:autoSpaceDE w:val="0"/>
        <w:autoSpaceDN w:val="0"/>
        <w:adjustRightInd w:val="0"/>
        <w:spacing w:line="360" w:lineRule="auto"/>
        <w:rPr>
          <w:rFonts w:ascii="Arial" w:hAnsi="Arial" w:cs="Arial"/>
          <w:sz w:val="24"/>
        </w:rPr>
      </w:pPr>
    </w:p>
    <w:p w14:paraId="1EA99425" w14:textId="377A2062" w:rsidR="00A943A2" w:rsidRDefault="00A943A2" w:rsidP="00A943A2">
      <w:pPr>
        <w:pStyle w:val="NoSpacing"/>
        <w:rPr>
          <w:lang w:eastAsia="en-GB"/>
        </w:rPr>
      </w:pPr>
    </w:p>
    <w:p w14:paraId="63392EFC" w14:textId="03624E44" w:rsidR="00A943A2" w:rsidRDefault="00A943A2" w:rsidP="00A943A2">
      <w:pPr>
        <w:pStyle w:val="NoSpacing"/>
        <w:rPr>
          <w:lang w:eastAsia="en-GB"/>
        </w:rPr>
      </w:pPr>
    </w:p>
    <w:p w14:paraId="6D61336F" w14:textId="77777777" w:rsidR="00A943A2" w:rsidRPr="00A943A2" w:rsidRDefault="00A943A2" w:rsidP="00A943A2">
      <w:pPr>
        <w:pStyle w:val="NoSpacing"/>
        <w:rPr>
          <w:lang w:eastAsia="en-GB"/>
        </w:rPr>
      </w:pPr>
    </w:p>
    <w:p w14:paraId="0DC4B22D" w14:textId="7049EE37" w:rsidR="003D512A" w:rsidRPr="0090642E" w:rsidRDefault="003D512A" w:rsidP="0090642E">
      <w:pPr>
        <w:widowControl w:val="0"/>
        <w:autoSpaceDE w:val="0"/>
        <w:autoSpaceDN w:val="0"/>
        <w:adjustRightInd w:val="0"/>
        <w:spacing w:line="360" w:lineRule="auto"/>
        <w:jc w:val="center"/>
        <w:rPr>
          <w:rFonts w:ascii="Arial" w:hAnsi="Arial" w:cs="Arial"/>
          <w:sz w:val="24"/>
          <w:u w:val="single"/>
        </w:rPr>
      </w:pPr>
      <w:r w:rsidRPr="0090642E">
        <w:rPr>
          <w:rFonts w:ascii="Arial" w:hAnsi="Arial" w:cs="Arial"/>
          <w:sz w:val="24"/>
          <w:u w:val="single"/>
        </w:rPr>
        <w:t>DATA ANALYSIS</w:t>
      </w:r>
    </w:p>
    <w:p w14:paraId="4101F039" w14:textId="1C0752B1" w:rsidR="005B2F9B" w:rsidRPr="0090642E" w:rsidRDefault="003D512A" w:rsidP="0090642E">
      <w:pPr>
        <w:spacing w:line="360" w:lineRule="auto"/>
        <w:rPr>
          <w:rFonts w:ascii="Arial" w:hAnsi="Arial" w:cs="Arial"/>
          <w:sz w:val="24"/>
        </w:rPr>
      </w:pPr>
      <w:r w:rsidRPr="0090642E">
        <w:rPr>
          <w:rFonts w:ascii="Arial" w:hAnsi="Arial" w:cs="Arial"/>
          <w:sz w:val="24"/>
        </w:rPr>
        <w:t xml:space="preserve">Qualitative content analysis (QCA) was employed for the initial unstructured questionnaire in round 1 to identify and group statements generated by the panel (Keeney et al., 2011). QCA allows the researcher to pull out key words and statements that have similar meanings then group and collapse them into one statement, while ensuring that the statements provided by the panel remain as true to the wording as possible (Keeney et al., 2011). Deductive content analysis was used to amalgamate all descriptors for each category to form single statements. These were consolidated into a scoring rubric (an example of which is provided in Table 4). </w:t>
      </w:r>
    </w:p>
    <w:p w14:paraId="3B9601CF" w14:textId="77777777" w:rsidR="006D1A9D" w:rsidRPr="0090642E" w:rsidRDefault="006D1A9D" w:rsidP="0090642E">
      <w:pPr>
        <w:pStyle w:val="NoSpacing"/>
        <w:spacing w:line="360" w:lineRule="auto"/>
        <w:rPr>
          <w:rFonts w:ascii="Arial" w:hAnsi="Arial" w:cs="Arial"/>
          <w:sz w:val="24"/>
          <w:szCs w:val="24"/>
          <w:lang w:eastAsia="en-GB"/>
        </w:rPr>
      </w:pPr>
    </w:p>
    <w:p w14:paraId="73D4466A" w14:textId="280899C8" w:rsidR="006D1A9D" w:rsidRPr="0090642E" w:rsidRDefault="005D5F17" w:rsidP="0090642E">
      <w:pPr>
        <w:pStyle w:val="NoSpacing"/>
        <w:spacing w:line="360" w:lineRule="auto"/>
        <w:rPr>
          <w:rFonts w:ascii="Arial" w:hAnsi="Arial" w:cs="Arial"/>
          <w:i/>
          <w:iCs/>
          <w:sz w:val="24"/>
          <w:szCs w:val="24"/>
          <w:lang w:eastAsia="en-GB"/>
        </w:rPr>
      </w:pPr>
      <w:r>
        <w:rPr>
          <w:rFonts w:ascii="Arial" w:hAnsi="Arial" w:cs="Arial"/>
          <w:i/>
          <w:iCs/>
          <w:sz w:val="24"/>
          <w:szCs w:val="24"/>
          <w:lang w:eastAsia="en-GB"/>
        </w:rPr>
        <w:lastRenderedPageBreak/>
        <w:t>(</w:t>
      </w:r>
      <w:r w:rsidR="006D1A9D" w:rsidRPr="0090642E">
        <w:rPr>
          <w:rFonts w:ascii="Arial" w:hAnsi="Arial" w:cs="Arial"/>
          <w:i/>
          <w:iCs/>
          <w:sz w:val="24"/>
          <w:szCs w:val="24"/>
          <w:lang w:eastAsia="en-GB"/>
        </w:rPr>
        <w:t xml:space="preserve">Insert </w:t>
      </w:r>
      <w:r w:rsidR="0090642E" w:rsidRPr="0090642E">
        <w:rPr>
          <w:rFonts w:ascii="Arial" w:hAnsi="Arial" w:cs="Arial"/>
          <w:i/>
          <w:iCs/>
          <w:sz w:val="24"/>
          <w:szCs w:val="24"/>
          <w:lang w:eastAsia="en-GB"/>
        </w:rPr>
        <w:t>T</w:t>
      </w:r>
      <w:r w:rsidR="006D1A9D" w:rsidRPr="0090642E">
        <w:rPr>
          <w:rFonts w:ascii="Arial" w:hAnsi="Arial" w:cs="Arial"/>
          <w:i/>
          <w:iCs/>
          <w:sz w:val="24"/>
          <w:szCs w:val="24"/>
          <w:lang w:eastAsia="en-GB"/>
        </w:rPr>
        <w:t>able 4 here</w:t>
      </w:r>
      <w:r>
        <w:rPr>
          <w:rFonts w:ascii="Arial" w:hAnsi="Arial" w:cs="Arial"/>
          <w:i/>
          <w:iCs/>
          <w:sz w:val="24"/>
          <w:szCs w:val="24"/>
          <w:lang w:eastAsia="en-GB"/>
        </w:rPr>
        <w:t>)</w:t>
      </w:r>
      <w:r w:rsidR="006D1A9D" w:rsidRPr="0090642E">
        <w:rPr>
          <w:rFonts w:ascii="Arial" w:hAnsi="Arial" w:cs="Arial"/>
          <w:i/>
          <w:iCs/>
          <w:sz w:val="24"/>
          <w:szCs w:val="24"/>
          <w:lang w:eastAsia="en-GB"/>
        </w:rPr>
        <w:t xml:space="preserve"> </w:t>
      </w:r>
    </w:p>
    <w:p w14:paraId="440C3843" w14:textId="77777777" w:rsidR="006D1A9D" w:rsidRPr="0090642E" w:rsidRDefault="006D1A9D" w:rsidP="0090642E">
      <w:pPr>
        <w:pStyle w:val="NoSpacing"/>
        <w:spacing w:line="360" w:lineRule="auto"/>
        <w:rPr>
          <w:rFonts w:ascii="Arial" w:hAnsi="Arial" w:cs="Arial"/>
          <w:sz w:val="24"/>
          <w:szCs w:val="24"/>
          <w:lang w:eastAsia="en-GB"/>
        </w:rPr>
      </w:pPr>
    </w:p>
    <w:p w14:paraId="5F8D7435" w14:textId="7D2CE8EA" w:rsidR="003D512A" w:rsidRPr="0090642E" w:rsidRDefault="003D512A" w:rsidP="0090642E">
      <w:pPr>
        <w:spacing w:line="360" w:lineRule="auto"/>
        <w:rPr>
          <w:rFonts w:ascii="Arial" w:hAnsi="Arial" w:cs="Arial"/>
          <w:sz w:val="24"/>
        </w:rPr>
      </w:pPr>
      <w:r w:rsidRPr="0090642E">
        <w:rPr>
          <w:rFonts w:ascii="Arial" w:hAnsi="Arial" w:cs="Arial"/>
          <w:sz w:val="24"/>
        </w:rPr>
        <w:t>The data analysis in round two aimed to measure the level of consensus. In the absence of an agreed threshold to determine a cut-off point for reaching consensus (Keeney</w:t>
      </w:r>
      <w:r w:rsidR="00AA0E54">
        <w:rPr>
          <w:rFonts w:ascii="Arial" w:hAnsi="Arial" w:cs="Arial"/>
          <w:sz w:val="24"/>
        </w:rPr>
        <w:t xml:space="preserve"> et al.</w:t>
      </w:r>
      <w:r w:rsidRPr="0090642E">
        <w:rPr>
          <w:rFonts w:ascii="Arial" w:hAnsi="Arial" w:cs="Arial"/>
          <w:sz w:val="24"/>
        </w:rPr>
        <w:t xml:space="preserve">, 2011), </w:t>
      </w:r>
      <w:r w:rsidRPr="00C86D4C">
        <w:rPr>
          <w:rFonts w:ascii="Arial" w:hAnsi="Arial" w:cs="Arial"/>
          <w:sz w:val="24"/>
        </w:rPr>
        <w:t>consensus was considered achieved in this study when agree or strongly agree responses scored 70% or higher</w:t>
      </w:r>
      <w:r w:rsidR="00CD2E31" w:rsidRPr="00C86D4C">
        <w:rPr>
          <w:rFonts w:ascii="Arial" w:hAnsi="Arial" w:cs="Arial"/>
          <w:sz w:val="24"/>
        </w:rPr>
        <w:t>,</w:t>
      </w:r>
      <w:r w:rsidRPr="0090642E">
        <w:rPr>
          <w:rFonts w:ascii="Arial" w:hAnsi="Arial" w:cs="Arial"/>
          <w:sz w:val="24"/>
        </w:rPr>
        <w:t xml:space="preserve"> </w:t>
      </w:r>
      <w:r w:rsidR="00CD2E31" w:rsidRPr="0090642E">
        <w:rPr>
          <w:rFonts w:ascii="Arial" w:hAnsi="Arial" w:cs="Arial"/>
          <w:sz w:val="24"/>
        </w:rPr>
        <w:t xml:space="preserve">reported by Diamond et al. (2014) </w:t>
      </w:r>
      <w:r w:rsidRPr="0090642E">
        <w:rPr>
          <w:rFonts w:ascii="Arial" w:hAnsi="Arial" w:cs="Arial"/>
          <w:sz w:val="24"/>
        </w:rPr>
        <w:t xml:space="preserve">as </w:t>
      </w:r>
      <w:r w:rsidR="00CD2E31" w:rsidRPr="0090642E">
        <w:rPr>
          <w:rFonts w:ascii="Arial" w:hAnsi="Arial" w:cs="Arial"/>
          <w:sz w:val="24"/>
        </w:rPr>
        <w:t>a generally accepted benchmark</w:t>
      </w:r>
      <w:r w:rsidRPr="0090642E">
        <w:rPr>
          <w:rFonts w:ascii="Arial" w:hAnsi="Arial" w:cs="Arial"/>
          <w:sz w:val="24"/>
        </w:rPr>
        <w:t xml:space="preserve">. Free-text comments in round two were analysed and taken into consideration in the scorning rubric’s final version. </w:t>
      </w:r>
    </w:p>
    <w:p w14:paraId="50AFFB61" w14:textId="3EF01DCA" w:rsidR="003D512A" w:rsidRDefault="003D512A" w:rsidP="0090642E">
      <w:pPr>
        <w:spacing w:line="360" w:lineRule="auto"/>
        <w:rPr>
          <w:rFonts w:ascii="Arial" w:hAnsi="Arial" w:cs="Arial"/>
          <w:sz w:val="24"/>
        </w:rPr>
      </w:pPr>
    </w:p>
    <w:p w14:paraId="1CB3A90C" w14:textId="77777777" w:rsidR="00A943A2" w:rsidRPr="00A943A2" w:rsidRDefault="00A943A2" w:rsidP="00A943A2">
      <w:pPr>
        <w:pStyle w:val="NoSpacing"/>
        <w:rPr>
          <w:lang w:eastAsia="en-GB"/>
        </w:rPr>
      </w:pPr>
    </w:p>
    <w:p w14:paraId="2748D223" w14:textId="77777777" w:rsidR="002B1891" w:rsidRPr="002B1891" w:rsidRDefault="002B1891" w:rsidP="002B1891">
      <w:pPr>
        <w:pStyle w:val="NoSpacing"/>
        <w:rPr>
          <w:lang w:eastAsia="en-GB"/>
        </w:rPr>
      </w:pPr>
    </w:p>
    <w:p w14:paraId="0A4BA82F" w14:textId="1AF04F41" w:rsidR="003D512A" w:rsidRPr="0090642E" w:rsidRDefault="003D512A" w:rsidP="0090642E">
      <w:pPr>
        <w:spacing w:line="360" w:lineRule="auto"/>
        <w:jc w:val="center"/>
        <w:rPr>
          <w:rFonts w:ascii="Arial" w:hAnsi="Arial" w:cs="Arial"/>
          <w:sz w:val="24"/>
          <w:u w:val="single"/>
        </w:rPr>
      </w:pPr>
      <w:r w:rsidRPr="0090642E">
        <w:rPr>
          <w:rFonts w:ascii="Arial" w:hAnsi="Arial" w:cs="Arial"/>
          <w:sz w:val="24"/>
          <w:u w:val="single"/>
        </w:rPr>
        <w:t>VALIDITY AND RELIABILITY</w:t>
      </w:r>
    </w:p>
    <w:p w14:paraId="044A7209" w14:textId="6D005164" w:rsidR="003D512A" w:rsidRDefault="003D512A" w:rsidP="0090642E">
      <w:pPr>
        <w:spacing w:line="360" w:lineRule="auto"/>
        <w:rPr>
          <w:rFonts w:ascii="Arial" w:eastAsia="SimSun" w:hAnsi="Arial" w:cs="Arial"/>
          <w:sz w:val="24"/>
          <w:lang w:eastAsia="zh-CN"/>
        </w:rPr>
      </w:pPr>
      <w:r w:rsidRPr="0090642E">
        <w:rPr>
          <w:rFonts w:ascii="Arial" w:eastAsia="SimSun" w:hAnsi="Arial" w:cs="Arial"/>
          <w:sz w:val="24"/>
          <w:lang w:eastAsia="zh-CN"/>
        </w:rPr>
        <w:t xml:space="preserve">Problems with reliability of the Delphi method are commonly reported in the literature and predominantly relate to the variations of the procedural applications of the method, which makes standardisation of the method to evaluate its reliability difficult (Keeney et al., 2011). In light of potential reliability shortcomings, Hill </w:t>
      </w:r>
      <w:r w:rsidR="006B2EF2" w:rsidRPr="0090642E">
        <w:rPr>
          <w:rFonts w:ascii="Arial" w:hAnsi="Arial" w:cs="Arial"/>
          <w:sz w:val="24"/>
        </w:rPr>
        <w:t>and</w:t>
      </w:r>
      <w:r w:rsidRPr="0090642E">
        <w:rPr>
          <w:rFonts w:ascii="Arial" w:eastAsia="SimSun" w:hAnsi="Arial" w:cs="Arial"/>
          <w:sz w:val="24"/>
          <w:lang w:eastAsia="zh-CN"/>
        </w:rPr>
        <w:t xml:space="preserve"> Fowles (1975) suggested a set of considerations to enhance methodological</w:t>
      </w:r>
      <w:r w:rsidRPr="0090642E">
        <w:rPr>
          <w:rFonts w:ascii="Arial" w:eastAsia="Calibri" w:hAnsi="Arial" w:cs="Arial"/>
          <w:sz w:val="24"/>
          <w:lang w:eastAsia="zh-CN"/>
        </w:rPr>
        <w:t xml:space="preserve"> rigour in Delphi. Table 5 summarises these considerations including</w:t>
      </w:r>
      <w:r w:rsidRPr="0090642E">
        <w:rPr>
          <w:rFonts w:ascii="Arial" w:eastAsia="SimSun" w:hAnsi="Arial" w:cs="Arial"/>
          <w:sz w:val="24"/>
          <w:lang w:eastAsia="zh-CN"/>
        </w:rPr>
        <w:t xml:space="preserve"> how they were addressed in this study.</w:t>
      </w:r>
    </w:p>
    <w:p w14:paraId="403F4AF6" w14:textId="77777777" w:rsidR="005D5F17" w:rsidRPr="005D5F17" w:rsidRDefault="005D5F17" w:rsidP="005D5F17">
      <w:pPr>
        <w:pStyle w:val="NoSpacing"/>
        <w:rPr>
          <w:lang w:eastAsia="zh-CN"/>
        </w:rPr>
      </w:pPr>
    </w:p>
    <w:p w14:paraId="5A41BC95" w14:textId="62F0E867" w:rsidR="002961A4" w:rsidRDefault="005D5F17" w:rsidP="0090642E">
      <w:pPr>
        <w:pStyle w:val="NoSpacing"/>
        <w:spacing w:line="360" w:lineRule="auto"/>
        <w:rPr>
          <w:rFonts w:ascii="Arial" w:hAnsi="Arial" w:cs="Arial"/>
          <w:i/>
          <w:iCs/>
          <w:sz w:val="24"/>
          <w:szCs w:val="24"/>
          <w:lang w:eastAsia="en-GB"/>
        </w:rPr>
      </w:pPr>
      <w:r>
        <w:rPr>
          <w:rFonts w:ascii="Arial" w:hAnsi="Arial" w:cs="Arial"/>
          <w:i/>
          <w:iCs/>
          <w:sz w:val="24"/>
          <w:szCs w:val="24"/>
          <w:lang w:eastAsia="en-GB"/>
        </w:rPr>
        <w:t>(</w:t>
      </w:r>
      <w:r w:rsidR="006D1A9D" w:rsidRPr="0090642E">
        <w:rPr>
          <w:rFonts w:ascii="Arial" w:hAnsi="Arial" w:cs="Arial"/>
          <w:i/>
          <w:iCs/>
          <w:sz w:val="24"/>
          <w:szCs w:val="24"/>
          <w:lang w:eastAsia="en-GB"/>
        </w:rPr>
        <w:t xml:space="preserve">Insert </w:t>
      </w:r>
      <w:r w:rsidR="0090642E" w:rsidRPr="0090642E">
        <w:rPr>
          <w:rFonts w:ascii="Arial" w:hAnsi="Arial" w:cs="Arial"/>
          <w:i/>
          <w:iCs/>
          <w:sz w:val="24"/>
          <w:szCs w:val="24"/>
          <w:lang w:eastAsia="en-GB"/>
        </w:rPr>
        <w:t>T</w:t>
      </w:r>
      <w:r w:rsidR="006D1A9D" w:rsidRPr="0090642E">
        <w:rPr>
          <w:rFonts w:ascii="Arial" w:hAnsi="Arial" w:cs="Arial"/>
          <w:i/>
          <w:iCs/>
          <w:sz w:val="24"/>
          <w:szCs w:val="24"/>
          <w:lang w:eastAsia="en-GB"/>
        </w:rPr>
        <w:t>able 5 here</w:t>
      </w:r>
      <w:r>
        <w:rPr>
          <w:rFonts w:ascii="Arial" w:hAnsi="Arial" w:cs="Arial"/>
          <w:i/>
          <w:iCs/>
          <w:sz w:val="24"/>
          <w:szCs w:val="24"/>
          <w:lang w:eastAsia="en-GB"/>
        </w:rPr>
        <w:t>)</w:t>
      </w:r>
      <w:r w:rsidR="006D1A9D" w:rsidRPr="0090642E">
        <w:rPr>
          <w:rFonts w:ascii="Arial" w:hAnsi="Arial" w:cs="Arial"/>
          <w:i/>
          <w:iCs/>
          <w:sz w:val="24"/>
          <w:szCs w:val="24"/>
          <w:lang w:eastAsia="en-GB"/>
        </w:rPr>
        <w:t xml:space="preserve"> </w:t>
      </w:r>
    </w:p>
    <w:p w14:paraId="4F1099B9" w14:textId="77777777" w:rsidR="00C86D4C" w:rsidRPr="0090642E" w:rsidRDefault="00C86D4C" w:rsidP="0090642E">
      <w:pPr>
        <w:pStyle w:val="NoSpacing"/>
        <w:spacing w:line="360" w:lineRule="auto"/>
        <w:rPr>
          <w:rFonts w:ascii="Arial" w:hAnsi="Arial" w:cs="Arial"/>
          <w:i/>
          <w:iCs/>
          <w:sz w:val="24"/>
          <w:szCs w:val="24"/>
          <w:lang w:eastAsia="en-GB"/>
        </w:rPr>
      </w:pPr>
    </w:p>
    <w:p w14:paraId="37057D91" w14:textId="3FC87F7B" w:rsidR="003D512A" w:rsidRPr="0090642E" w:rsidRDefault="003D512A" w:rsidP="0090642E">
      <w:pPr>
        <w:shd w:val="clear" w:color="auto" w:fill="FFFFFF"/>
        <w:spacing w:line="360" w:lineRule="auto"/>
        <w:rPr>
          <w:rFonts w:ascii="Arial" w:eastAsia="Calibri" w:hAnsi="Arial" w:cs="Arial"/>
          <w:sz w:val="24"/>
        </w:rPr>
      </w:pPr>
      <w:r w:rsidRPr="0090642E">
        <w:rPr>
          <w:rFonts w:ascii="Arial" w:eastAsia="Calibri" w:hAnsi="Arial" w:cs="Arial"/>
          <w:sz w:val="24"/>
        </w:rPr>
        <w:t xml:space="preserve">Hill </w:t>
      </w:r>
      <w:r w:rsidR="006B2EF2" w:rsidRPr="0090642E">
        <w:rPr>
          <w:rFonts w:ascii="Arial" w:hAnsi="Arial" w:cs="Arial"/>
          <w:sz w:val="24"/>
        </w:rPr>
        <w:t>and</w:t>
      </w:r>
      <w:r w:rsidRPr="0090642E">
        <w:rPr>
          <w:rFonts w:ascii="Arial" w:eastAsia="Calibri" w:hAnsi="Arial" w:cs="Arial"/>
          <w:sz w:val="24"/>
        </w:rPr>
        <w:t xml:space="preserve"> Fowles (1975) claimed that v</w:t>
      </w:r>
      <w:r w:rsidRPr="0090642E">
        <w:rPr>
          <w:rFonts w:ascii="Arial" w:eastAsia="SimSun" w:hAnsi="Arial" w:cs="Arial"/>
          <w:sz w:val="24"/>
          <w:shd w:val="clear" w:color="auto" w:fill="FFFFFF"/>
          <w:lang w:eastAsia="zh-CN"/>
        </w:rPr>
        <w:t xml:space="preserve">alidity is enhanced in Delphi given that the method is based on </w:t>
      </w:r>
      <w:r w:rsidRPr="0090642E">
        <w:rPr>
          <w:rFonts w:ascii="Arial" w:eastAsia="SimSun" w:hAnsi="Arial" w:cs="Arial"/>
          <w:sz w:val="24"/>
          <w:lang w:eastAsia="zh-CN"/>
        </w:rPr>
        <w:t>a group opinion,</w:t>
      </w:r>
      <w:r w:rsidRPr="0090642E">
        <w:rPr>
          <w:rFonts w:ascii="Arial" w:eastAsia="SimSun" w:hAnsi="Arial" w:cs="Arial"/>
          <w:sz w:val="24"/>
          <w:shd w:val="clear" w:color="auto" w:fill="FFFFFF"/>
          <w:lang w:eastAsia="zh-CN"/>
        </w:rPr>
        <w:t xml:space="preserve"> and the</w:t>
      </w:r>
      <w:r w:rsidRPr="0090642E">
        <w:rPr>
          <w:rFonts w:ascii="Arial" w:eastAsia="Calibri" w:hAnsi="Arial" w:cs="Arial"/>
          <w:sz w:val="24"/>
        </w:rPr>
        <w:t xml:space="preserve"> decisions are then strengthened by the reiteration and controlled feedback process to challenge assumptions. </w:t>
      </w:r>
      <w:r w:rsidRPr="0090642E">
        <w:rPr>
          <w:rFonts w:ascii="Arial" w:eastAsia="SimSun" w:hAnsi="Arial" w:cs="Arial"/>
          <w:sz w:val="24"/>
          <w:shd w:val="clear" w:color="auto" w:fill="FFFFFF"/>
          <w:lang w:eastAsia="zh-CN"/>
        </w:rPr>
        <w:t>Delphi provides c</w:t>
      </w:r>
      <w:r w:rsidRPr="0090642E">
        <w:rPr>
          <w:rFonts w:ascii="Arial" w:eastAsia="Calibri" w:hAnsi="Arial" w:cs="Arial"/>
          <w:sz w:val="24"/>
        </w:rPr>
        <w:t xml:space="preserve">ontent and face validity based on confirmative judgements of a panel that have knowledge and interest in the topic </w:t>
      </w:r>
      <w:r w:rsidRPr="0090642E">
        <w:rPr>
          <w:rFonts w:ascii="Arial" w:eastAsia="Trebuchet MS" w:hAnsi="Arial" w:cs="Arial"/>
          <w:sz w:val="24"/>
          <w:lang w:eastAsia="zh-CN"/>
        </w:rPr>
        <w:t xml:space="preserve">(Keeney et al., 2011). </w:t>
      </w:r>
    </w:p>
    <w:p w14:paraId="68AEFA48" w14:textId="77777777" w:rsidR="003D512A" w:rsidRPr="0090642E" w:rsidRDefault="003D512A" w:rsidP="0090642E">
      <w:pPr>
        <w:shd w:val="clear" w:color="auto" w:fill="FFFFFF"/>
        <w:spacing w:line="360" w:lineRule="auto"/>
        <w:rPr>
          <w:rFonts w:ascii="Arial" w:eastAsia="SimSun" w:hAnsi="Arial" w:cs="Arial"/>
          <w:sz w:val="24"/>
          <w:shd w:val="clear" w:color="auto" w:fill="FFFFFF"/>
          <w:lang w:eastAsia="zh-CN"/>
        </w:rPr>
      </w:pPr>
    </w:p>
    <w:p w14:paraId="610A9DDE" w14:textId="54B39C71" w:rsidR="00A062F0" w:rsidRDefault="003D512A" w:rsidP="00A062F0">
      <w:pPr>
        <w:shd w:val="clear" w:color="auto" w:fill="FFFFFF"/>
        <w:spacing w:line="360" w:lineRule="auto"/>
        <w:rPr>
          <w:rFonts w:ascii="Arial" w:eastAsia="Calibri" w:hAnsi="Arial" w:cs="Arial"/>
          <w:sz w:val="24"/>
        </w:rPr>
      </w:pPr>
      <w:r w:rsidRPr="0090642E">
        <w:rPr>
          <w:rFonts w:ascii="Arial" w:eastAsia="Calibri" w:hAnsi="Arial" w:cs="Arial"/>
          <w:sz w:val="24"/>
        </w:rPr>
        <w:t xml:space="preserve">Hasson et al. (2000) argued that </w:t>
      </w:r>
      <w:r w:rsidRPr="0090642E">
        <w:rPr>
          <w:rFonts w:ascii="Arial" w:eastAsia="Trebuchet MS" w:hAnsi="Arial" w:cs="Arial"/>
          <w:sz w:val="24"/>
          <w:lang w:eastAsia="zh-CN"/>
        </w:rPr>
        <w:t xml:space="preserve">concurrent validity is achieved </w:t>
      </w:r>
      <w:r w:rsidRPr="0090642E">
        <w:rPr>
          <w:rFonts w:ascii="Arial" w:eastAsia="Calibri" w:hAnsi="Arial" w:cs="Arial"/>
          <w:sz w:val="24"/>
        </w:rPr>
        <w:t xml:space="preserve">through reaching a consensus using successive rounds of the questionnaires, and </w:t>
      </w:r>
      <w:r w:rsidRPr="0090642E">
        <w:rPr>
          <w:rFonts w:ascii="Arial" w:eastAsia="Trebuchet MS" w:hAnsi="Arial" w:cs="Arial"/>
          <w:sz w:val="24"/>
          <w:lang w:eastAsia="zh-CN"/>
        </w:rPr>
        <w:t>predictive</w:t>
      </w:r>
      <w:r w:rsidRPr="0090642E">
        <w:rPr>
          <w:rFonts w:ascii="Arial" w:eastAsia="Calibri" w:hAnsi="Arial" w:cs="Arial"/>
          <w:sz w:val="24"/>
        </w:rPr>
        <w:t xml:space="preserve"> validity is measured in terms of accuracy of the Delphi (Von der </w:t>
      </w:r>
      <w:proofErr w:type="spellStart"/>
      <w:r w:rsidRPr="0090642E">
        <w:rPr>
          <w:rFonts w:ascii="Arial" w:eastAsia="Calibri" w:hAnsi="Arial" w:cs="Arial"/>
          <w:sz w:val="24"/>
        </w:rPr>
        <w:t>Gracht</w:t>
      </w:r>
      <w:proofErr w:type="spellEnd"/>
      <w:r w:rsidRPr="0090642E">
        <w:rPr>
          <w:rFonts w:ascii="Arial" w:eastAsia="Calibri" w:hAnsi="Arial" w:cs="Arial"/>
          <w:sz w:val="24"/>
        </w:rPr>
        <w:t xml:space="preserve">, 2008), and is proof of the method validity </w:t>
      </w:r>
      <w:r w:rsidRPr="0090642E">
        <w:rPr>
          <w:rFonts w:ascii="Arial" w:eastAsia="Trebuchet MS" w:hAnsi="Arial" w:cs="Arial"/>
          <w:sz w:val="24"/>
          <w:lang w:eastAsia="zh-CN"/>
        </w:rPr>
        <w:t xml:space="preserve">(Keeney et al., 2011). </w:t>
      </w:r>
      <w:r w:rsidRPr="0090642E">
        <w:rPr>
          <w:rFonts w:ascii="Arial" w:eastAsia="Calibri" w:hAnsi="Arial" w:cs="Arial"/>
          <w:sz w:val="24"/>
        </w:rPr>
        <w:lastRenderedPageBreak/>
        <w:t xml:space="preserve">Validity is ultimately affected by response rates (Hasson et al., 2000). In this study, representation across all stakeholder groups was achieved with 47% and 51% of invitees </w:t>
      </w:r>
      <w:r w:rsidRPr="00C86D4C">
        <w:rPr>
          <w:rFonts w:ascii="Arial" w:eastAsia="Calibri" w:hAnsi="Arial" w:cs="Arial"/>
          <w:sz w:val="24"/>
        </w:rPr>
        <w:t xml:space="preserve">participating in rounds 1 and 2 respectively. There was </w:t>
      </w:r>
      <w:r w:rsidR="00845611" w:rsidRPr="00C86D4C">
        <w:rPr>
          <w:rFonts w:ascii="Arial" w:eastAsia="Calibri" w:hAnsi="Arial" w:cs="Arial"/>
          <w:sz w:val="24"/>
        </w:rPr>
        <w:t xml:space="preserve">a </w:t>
      </w:r>
      <w:r w:rsidRPr="00C86D4C">
        <w:rPr>
          <w:rFonts w:ascii="Arial" w:eastAsia="Calibri" w:hAnsi="Arial" w:cs="Arial"/>
          <w:sz w:val="24"/>
        </w:rPr>
        <w:t xml:space="preserve">slight difference in the number of participants between the two rounds, but since they </w:t>
      </w:r>
      <w:r w:rsidR="006A2D69" w:rsidRPr="00C86D4C">
        <w:rPr>
          <w:rFonts w:ascii="Arial" w:eastAsia="Calibri" w:hAnsi="Arial" w:cs="Arial"/>
          <w:sz w:val="24"/>
        </w:rPr>
        <w:t xml:space="preserve">had </w:t>
      </w:r>
      <w:r w:rsidR="00A062F0" w:rsidRPr="00C86D4C">
        <w:rPr>
          <w:rFonts w:ascii="Arial" w:eastAsia="Calibri" w:hAnsi="Arial" w:cs="Arial"/>
          <w:sz w:val="24"/>
        </w:rPr>
        <w:t>shared</w:t>
      </w:r>
      <w:r w:rsidRPr="00C86D4C">
        <w:rPr>
          <w:rFonts w:ascii="Arial" w:eastAsia="Calibri" w:hAnsi="Arial" w:cs="Arial"/>
          <w:sz w:val="24"/>
        </w:rPr>
        <w:t xml:space="preserve"> </w:t>
      </w:r>
      <w:r w:rsidR="006A2D69" w:rsidRPr="00C86D4C">
        <w:rPr>
          <w:rFonts w:ascii="Arial" w:eastAsia="Calibri" w:hAnsi="Arial" w:cs="Arial"/>
          <w:sz w:val="24"/>
        </w:rPr>
        <w:t xml:space="preserve">stakeholder </w:t>
      </w:r>
      <w:r w:rsidRPr="00C86D4C">
        <w:rPr>
          <w:rFonts w:ascii="Arial" w:eastAsia="Calibri" w:hAnsi="Arial" w:cs="Arial"/>
          <w:sz w:val="24"/>
        </w:rPr>
        <w:t xml:space="preserve">characteristics </w:t>
      </w:r>
      <w:r w:rsidR="006A2D69" w:rsidRPr="00C86D4C">
        <w:rPr>
          <w:rFonts w:ascii="Arial" w:eastAsia="Calibri" w:hAnsi="Arial" w:cs="Arial"/>
          <w:sz w:val="24"/>
        </w:rPr>
        <w:t>and came</w:t>
      </w:r>
      <w:r w:rsidRPr="00C86D4C">
        <w:rPr>
          <w:rFonts w:ascii="Arial" w:eastAsia="Calibri" w:hAnsi="Arial" w:cs="Arial"/>
          <w:sz w:val="24"/>
        </w:rPr>
        <w:t xml:space="preserve"> from the same group</w:t>
      </w:r>
      <w:r w:rsidR="006A2D69" w:rsidRPr="00C86D4C">
        <w:rPr>
          <w:rFonts w:ascii="Arial" w:eastAsia="Calibri" w:hAnsi="Arial" w:cs="Arial"/>
          <w:sz w:val="24"/>
        </w:rPr>
        <w:t>s</w:t>
      </w:r>
      <w:r w:rsidRPr="00C86D4C">
        <w:rPr>
          <w:rFonts w:ascii="Arial" w:eastAsia="Calibri" w:hAnsi="Arial" w:cs="Arial"/>
          <w:sz w:val="24"/>
        </w:rPr>
        <w:t xml:space="preserve"> that </w:t>
      </w:r>
      <w:r w:rsidR="006A2D69" w:rsidRPr="00C86D4C">
        <w:rPr>
          <w:rFonts w:ascii="Arial" w:eastAsia="Calibri" w:hAnsi="Arial" w:cs="Arial"/>
          <w:sz w:val="24"/>
        </w:rPr>
        <w:t xml:space="preserve">were </w:t>
      </w:r>
      <w:r w:rsidRPr="00C86D4C">
        <w:rPr>
          <w:rFonts w:ascii="Arial" w:eastAsia="Calibri" w:hAnsi="Arial" w:cs="Arial"/>
          <w:sz w:val="24"/>
        </w:rPr>
        <w:t>originally</w:t>
      </w:r>
      <w:r w:rsidRPr="0090642E">
        <w:rPr>
          <w:rFonts w:ascii="Arial" w:eastAsia="Calibri" w:hAnsi="Arial" w:cs="Arial"/>
          <w:sz w:val="24"/>
        </w:rPr>
        <w:t xml:space="preserve"> invited to participate, this difference was unlikely to have an impact on the consensus achieved.</w:t>
      </w:r>
    </w:p>
    <w:p w14:paraId="09857DE3" w14:textId="77777777" w:rsidR="00F956F6" w:rsidRPr="00F956F6" w:rsidRDefault="00F956F6" w:rsidP="00F956F6">
      <w:pPr>
        <w:pStyle w:val="NoSpacing"/>
        <w:rPr>
          <w:lang w:eastAsia="en-GB"/>
        </w:rPr>
      </w:pPr>
    </w:p>
    <w:p w14:paraId="1CE1CA95" w14:textId="08748365" w:rsidR="00835149" w:rsidRPr="0090642E" w:rsidRDefault="003D512A" w:rsidP="0090642E">
      <w:pPr>
        <w:shd w:val="clear" w:color="auto" w:fill="FFFFFF"/>
        <w:spacing w:line="360" w:lineRule="auto"/>
        <w:rPr>
          <w:rFonts w:ascii="Arial" w:eastAsia="Calibri" w:hAnsi="Arial" w:cs="Arial"/>
          <w:sz w:val="24"/>
        </w:rPr>
      </w:pPr>
      <w:r w:rsidRPr="0090642E">
        <w:rPr>
          <w:rFonts w:ascii="Arial" w:eastAsia="Calibri" w:hAnsi="Arial" w:cs="Arial"/>
          <w:sz w:val="24"/>
        </w:rPr>
        <w:t xml:space="preserve">Holloway </w:t>
      </w:r>
      <w:r w:rsidR="006B2EF2" w:rsidRPr="0090642E">
        <w:rPr>
          <w:rFonts w:ascii="Arial" w:hAnsi="Arial" w:cs="Arial"/>
          <w:sz w:val="24"/>
        </w:rPr>
        <w:t>and</w:t>
      </w:r>
      <w:r w:rsidRPr="0090642E">
        <w:rPr>
          <w:rFonts w:ascii="Arial" w:eastAsia="Calibri" w:hAnsi="Arial" w:cs="Arial"/>
          <w:sz w:val="24"/>
        </w:rPr>
        <w:t xml:space="preserve"> Wheeler (1996) believe that Delphi overlaps both quantitative and qualitative approaches, so advocate using the term ‘trustworthiness’ to determine the appropriateness and effectiveness of a Delphi. Trustworthiness, according to Lincoln </w:t>
      </w:r>
      <w:r w:rsidR="006B2EF2" w:rsidRPr="0090642E">
        <w:rPr>
          <w:rFonts w:ascii="Arial" w:hAnsi="Arial" w:cs="Arial"/>
          <w:sz w:val="24"/>
        </w:rPr>
        <w:t>and</w:t>
      </w:r>
      <w:r w:rsidRPr="0090642E">
        <w:rPr>
          <w:rFonts w:ascii="Arial" w:eastAsia="Calibri" w:hAnsi="Arial" w:cs="Arial"/>
          <w:sz w:val="24"/>
        </w:rPr>
        <w:t xml:space="preserve"> Guba (1985), comprises credibility, dependability, confirmability and transferability. As this study adopted a mixed methods approach, efforts were made to achieve trustworthiness. </w:t>
      </w:r>
      <w:r w:rsidR="00835149" w:rsidRPr="0090642E">
        <w:rPr>
          <w:rFonts w:ascii="Arial" w:eastAsia="Calibri" w:hAnsi="Arial" w:cs="Arial"/>
          <w:sz w:val="24"/>
        </w:rPr>
        <w:t xml:space="preserve">Recruiting a sample representative of stakeholders involved in nurse education enhanced credibility. </w:t>
      </w:r>
      <w:r w:rsidR="00C3260A" w:rsidRPr="0090642E">
        <w:rPr>
          <w:rFonts w:ascii="Arial" w:eastAsia="Calibri" w:hAnsi="Arial" w:cs="Arial"/>
          <w:sz w:val="24"/>
        </w:rPr>
        <w:t xml:space="preserve">Dependability was also enhanced by the </w:t>
      </w:r>
      <w:r w:rsidR="00835149" w:rsidRPr="0090642E">
        <w:rPr>
          <w:rFonts w:ascii="Arial" w:eastAsia="Calibri" w:hAnsi="Arial" w:cs="Arial"/>
          <w:sz w:val="24"/>
        </w:rPr>
        <w:t xml:space="preserve">controlled feedback </w:t>
      </w:r>
      <w:r w:rsidR="00C3260A" w:rsidRPr="0090642E">
        <w:rPr>
          <w:rFonts w:ascii="Arial" w:eastAsia="Calibri" w:hAnsi="Arial" w:cs="Arial"/>
          <w:sz w:val="24"/>
        </w:rPr>
        <w:t>process. Confirmability was achieved by the researchers maintaining an ‘outsider observer’ to ensure that the findings were shaped by the participants views. Transferability was also enhanced by describing in detail the study procedure</w:t>
      </w:r>
      <w:r w:rsidR="008B00B3" w:rsidRPr="0090642E">
        <w:rPr>
          <w:rFonts w:ascii="Arial" w:eastAsia="Calibri" w:hAnsi="Arial" w:cs="Arial"/>
          <w:sz w:val="24"/>
        </w:rPr>
        <w:t xml:space="preserve">, findings and </w:t>
      </w:r>
      <w:r w:rsidR="00C3260A" w:rsidRPr="0090642E">
        <w:rPr>
          <w:rFonts w:ascii="Arial" w:eastAsia="Calibri" w:hAnsi="Arial" w:cs="Arial"/>
          <w:sz w:val="24"/>
        </w:rPr>
        <w:t>interpretation of the data</w:t>
      </w:r>
      <w:r w:rsidR="008B00B3" w:rsidRPr="0090642E">
        <w:rPr>
          <w:rFonts w:ascii="Arial" w:eastAsia="Calibri" w:hAnsi="Arial" w:cs="Arial"/>
          <w:sz w:val="24"/>
        </w:rPr>
        <w:t>.</w:t>
      </w:r>
    </w:p>
    <w:p w14:paraId="061C48B1" w14:textId="5CB65D7C" w:rsidR="006B2EF2" w:rsidRDefault="006B2EF2" w:rsidP="0090642E">
      <w:pPr>
        <w:pStyle w:val="NoSpacing"/>
        <w:spacing w:line="360" w:lineRule="auto"/>
        <w:rPr>
          <w:rFonts w:ascii="Arial" w:hAnsi="Arial" w:cs="Arial"/>
          <w:sz w:val="24"/>
          <w:szCs w:val="24"/>
          <w:lang w:eastAsia="en-GB"/>
        </w:rPr>
      </w:pPr>
    </w:p>
    <w:p w14:paraId="5B2D34BD" w14:textId="77777777" w:rsidR="00F956F6" w:rsidRPr="0090642E" w:rsidRDefault="00F956F6" w:rsidP="0090642E">
      <w:pPr>
        <w:pStyle w:val="NoSpacing"/>
        <w:spacing w:line="360" w:lineRule="auto"/>
        <w:rPr>
          <w:rFonts w:ascii="Arial" w:hAnsi="Arial" w:cs="Arial"/>
          <w:sz w:val="24"/>
          <w:szCs w:val="24"/>
          <w:lang w:eastAsia="en-GB"/>
        </w:rPr>
      </w:pPr>
    </w:p>
    <w:p w14:paraId="3095FCF5" w14:textId="204D685A" w:rsidR="006B2EF2" w:rsidRPr="0090642E" w:rsidRDefault="006B2EF2" w:rsidP="0090642E">
      <w:pPr>
        <w:pStyle w:val="NoSpacing"/>
        <w:spacing w:line="360" w:lineRule="auto"/>
        <w:rPr>
          <w:rFonts w:ascii="Arial" w:hAnsi="Arial" w:cs="Arial"/>
          <w:sz w:val="24"/>
          <w:szCs w:val="24"/>
          <w:lang w:eastAsia="en-GB"/>
        </w:rPr>
      </w:pPr>
    </w:p>
    <w:p w14:paraId="2348142D" w14:textId="41E1EBB7" w:rsidR="003D512A" w:rsidRPr="0090642E" w:rsidRDefault="003D512A" w:rsidP="0090642E">
      <w:pPr>
        <w:spacing w:line="360" w:lineRule="auto"/>
        <w:jc w:val="center"/>
        <w:rPr>
          <w:rFonts w:ascii="Arial" w:hAnsi="Arial" w:cs="Arial"/>
          <w:sz w:val="24"/>
          <w:u w:val="single"/>
        </w:rPr>
      </w:pPr>
      <w:r w:rsidRPr="0090642E">
        <w:rPr>
          <w:rFonts w:ascii="Arial" w:hAnsi="Arial" w:cs="Arial"/>
          <w:sz w:val="24"/>
          <w:u w:val="single"/>
        </w:rPr>
        <w:t>RESULTS</w:t>
      </w:r>
    </w:p>
    <w:p w14:paraId="1F3ABFCB" w14:textId="77CE5294" w:rsidR="003D512A" w:rsidRPr="0090642E" w:rsidRDefault="003D512A" w:rsidP="0090642E">
      <w:pPr>
        <w:spacing w:line="360" w:lineRule="auto"/>
        <w:rPr>
          <w:rFonts w:ascii="Arial" w:eastAsia="SimSun" w:hAnsi="Arial" w:cs="Arial"/>
          <w:b/>
          <w:sz w:val="24"/>
          <w:lang w:eastAsia="zh-CN"/>
        </w:rPr>
      </w:pPr>
      <w:r w:rsidRPr="0090642E">
        <w:rPr>
          <w:rFonts w:ascii="Arial" w:eastAsia="SimSun" w:hAnsi="Arial" w:cs="Arial"/>
          <w:b/>
          <w:sz w:val="24"/>
          <w:lang w:eastAsia="zh-CN"/>
        </w:rPr>
        <w:t>Round 1</w:t>
      </w:r>
    </w:p>
    <w:p w14:paraId="6CF61A85" w14:textId="3CE29D6C" w:rsidR="00090B2A" w:rsidRDefault="003D512A" w:rsidP="00090B2A">
      <w:pPr>
        <w:spacing w:line="360" w:lineRule="auto"/>
        <w:rPr>
          <w:rFonts w:ascii="Arial" w:eastAsia="SimSun" w:hAnsi="Arial" w:cs="Arial"/>
          <w:sz w:val="24"/>
          <w:lang w:eastAsia="zh-CN"/>
        </w:rPr>
      </w:pPr>
      <w:r w:rsidRPr="0090642E">
        <w:rPr>
          <w:rFonts w:ascii="Arial" w:eastAsia="SimSun" w:hAnsi="Arial" w:cs="Arial"/>
          <w:sz w:val="24"/>
          <w:lang w:eastAsia="zh-CN"/>
        </w:rPr>
        <w:t>Following 100 invitations, 47 questionnaires were returned in round 1</w:t>
      </w:r>
      <w:r w:rsidR="008B00B3" w:rsidRPr="0090642E">
        <w:rPr>
          <w:rFonts w:ascii="Arial" w:eastAsia="SimSun" w:hAnsi="Arial" w:cs="Arial"/>
          <w:sz w:val="24"/>
          <w:lang w:eastAsia="zh-CN"/>
        </w:rPr>
        <w:t>(a response rate of 47</w:t>
      </w:r>
      <w:r w:rsidR="008B00B3" w:rsidRPr="00C86D4C">
        <w:rPr>
          <w:rFonts w:ascii="Arial" w:eastAsia="SimSun" w:hAnsi="Arial" w:cs="Arial"/>
          <w:sz w:val="24"/>
          <w:lang w:eastAsia="zh-CN"/>
        </w:rPr>
        <w:t>%)</w:t>
      </w:r>
      <w:r w:rsidRPr="00C86D4C">
        <w:rPr>
          <w:rFonts w:ascii="Arial" w:eastAsia="SimSun" w:hAnsi="Arial" w:cs="Arial"/>
          <w:sz w:val="24"/>
          <w:lang w:eastAsia="zh-CN"/>
        </w:rPr>
        <w:t xml:space="preserve">. </w:t>
      </w:r>
      <w:r w:rsidR="00090B2A" w:rsidRPr="00C86D4C">
        <w:rPr>
          <w:rFonts w:ascii="Arial" w:eastAsia="SimSun" w:hAnsi="Arial" w:cs="Arial"/>
          <w:sz w:val="24"/>
          <w:lang w:eastAsia="zh-CN"/>
        </w:rPr>
        <w:t>There was a good spread of responses representative of all groups as shown in Figure 2.</w:t>
      </w:r>
    </w:p>
    <w:p w14:paraId="497E069D" w14:textId="1B322C5B" w:rsidR="00090B2A" w:rsidRDefault="00090B2A" w:rsidP="00090B2A">
      <w:pPr>
        <w:pStyle w:val="NoSpacing"/>
        <w:rPr>
          <w:lang w:eastAsia="zh-CN"/>
        </w:rPr>
      </w:pPr>
    </w:p>
    <w:p w14:paraId="6EDC6D6E" w14:textId="77777777" w:rsidR="00C86D4C" w:rsidRDefault="00C86D4C" w:rsidP="00090B2A">
      <w:pPr>
        <w:pStyle w:val="NoSpacing"/>
        <w:rPr>
          <w:lang w:eastAsia="zh-CN"/>
        </w:rPr>
      </w:pPr>
    </w:p>
    <w:p w14:paraId="46BED869" w14:textId="79DF0AC6" w:rsidR="00C86D4C" w:rsidRPr="0090642E" w:rsidRDefault="00C86D4C" w:rsidP="00C86D4C">
      <w:pPr>
        <w:pStyle w:val="NoSpacing"/>
        <w:spacing w:line="360" w:lineRule="auto"/>
        <w:rPr>
          <w:rFonts w:ascii="Arial" w:hAnsi="Arial" w:cs="Arial"/>
          <w:i/>
          <w:iCs/>
          <w:sz w:val="24"/>
          <w:szCs w:val="24"/>
          <w:lang w:eastAsia="en-GB"/>
        </w:rPr>
      </w:pPr>
      <w:r>
        <w:rPr>
          <w:rFonts w:ascii="Arial" w:hAnsi="Arial" w:cs="Arial"/>
          <w:i/>
          <w:iCs/>
          <w:sz w:val="24"/>
          <w:szCs w:val="24"/>
          <w:lang w:eastAsia="en-GB"/>
        </w:rPr>
        <w:t>(</w:t>
      </w:r>
      <w:r w:rsidRPr="0090642E">
        <w:rPr>
          <w:rFonts w:ascii="Arial" w:hAnsi="Arial" w:cs="Arial"/>
          <w:i/>
          <w:iCs/>
          <w:sz w:val="24"/>
          <w:szCs w:val="24"/>
          <w:lang w:eastAsia="en-GB"/>
        </w:rPr>
        <w:t xml:space="preserve">Insert </w:t>
      </w:r>
      <w:r>
        <w:rPr>
          <w:rFonts w:ascii="Arial" w:hAnsi="Arial" w:cs="Arial"/>
          <w:i/>
          <w:iCs/>
          <w:sz w:val="24"/>
          <w:szCs w:val="24"/>
          <w:lang w:eastAsia="en-GB"/>
        </w:rPr>
        <w:t>Figure 2</w:t>
      </w:r>
      <w:r w:rsidRPr="0090642E">
        <w:rPr>
          <w:rFonts w:ascii="Arial" w:hAnsi="Arial" w:cs="Arial"/>
          <w:i/>
          <w:iCs/>
          <w:sz w:val="24"/>
          <w:szCs w:val="24"/>
          <w:lang w:eastAsia="en-GB"/>
        </w:rPr>
        <w:t xml:space="preserve"> here</w:t>
      </w:r>
      <w:r>
        <w:rPr>
          <w:rFonts w:ascii="Arial" w:hAnsi="Arial" w:cs="Arial"/>
          <w:i/>
          <w:iCs/>
          <w:sz w:val="24"/>
          <w:szCs w:val="24"/>
          <w:lang w:eastAsia="en-GB"/>
        </w:rPr>
        <w:t>)</w:t>
      </w:r>
      <w:r w:rsidRPr="0090642E">
        <w:rPr>
          <w:rFonts w:ascii="Arial" w:hAnsi="Arial" w:cs="Arial"/>
          <w:i/>
          <w:iCs/>
          <w:sz w:val="24"/>
          <w:szCs w:val="24"/>
          <w:lang w:eastAsia="en-GB"/>
        </w:rPr>
        <w:t xml:space="preserve"> </w:t>
      </w:r>
    </w:p>
    <w:p w14:paraId="78BE6CEB" w14:textId="4922AAEA" w:rsidR="005D7459" w:rsidRDefault="005D7459" w:rsidP="00090B2A">
      <w:pPr>
        <w:pStyle w:val="NoSpacing"/>
        <w:rPr>
          <w:lang w:eastAsia="zh-CN"/>
        </w:rPr>
      </w:pPr>
    </w:p>
    <w:p w14:paraId="61C111A8" w14:textId="334398E5" w:rsidR="005D7459" w:rsidRDefault="005D7459" w:rsidP="00090B2A">
      <w:pPr>
        <w:spacing w:line="360" w:lineRule="auto"/>
        <w:rPr>
          <w:rFonts w:ascii="Arial" w:eastAsia="SimSun" w:hAnsi="Arial" w:cs="Arial"/>
          <w:sz w:val="24"/>
          <w:lang w:eastAsia="zh-CN"/>
        </w:rPr>
      </w:pPr>
    </w:p>
    <w:p w14:paraId="2BDC8020" w14:textId="05F34C41" w:rsidR="003D512A" w:rsidRPr="0090642E" w:rsidRDefault="003D512A" w:rsidP="00090B2A">
      <w:pPr>
        <w:spacing w:line="360" w:lineRule="auto"/>
        <w:rPr>
          <w:rFonts w:ascii="Arial" w:eastAsia="SimSun" w:hAnsi="Arial" w:cs="Arial"/>
          <w:sz w:val="24"/>
          <w:lang w:eastAsia="zh-CN"/>
        </w:rPr>
      </w:pPr>
      <w:r w:rsidRPr="00C86D4C">
        <w:rPr>
          <w:rFonts w:ascii="Arial" w:eastAsia="SimSun" w:hAnsi="Arial" w:cs="Arial"/>
          <w:sz w:val="24"/>
          <w:lang w:eastAsia="zh-CN"/>
        </w:rPr>
        <w:lastRenderedPageBreak/>
        <w:t>A total of 24 attributes (three level descriptors per statement) were drafted into a scoring rubric ready for round 2 to seek verification from the panel on their level of agreement to the interpretations.</w:t>
      </w:r>
      <w:r w:rsidRPr="0090642E">
        <w:rPr>
          <w:rFonts w:ascii="Arial" w:eastAsia="SimSun" w:hAnsi="Arial" w:cs="Arial"/>
          <w:sz w:val="24"/>
          <w:lang w:eastAsia="zh-CN"/>
        </w:rPr>
        <w:t xml:space="preserve"> </w:t>
      </w:r>
    </w:p>
    <w:p w14:paraId="452C1A00" w14:textId="77777777" w:rsidR="003D512A" w:rsidRPr="0090642E" w:rsidRDefault="003D512A" w:rsidP="0090642E">
      <w:pPr>
        <w:spacing w:line="360" w:lineRule="auto"/>
        <w:rPr>
          <w:rFonts w:ascii="Arial" w:eastAsia="SimSun" w:hAnsi="Arial" w:cs="Arial"/>
          <w:sz w:val="24"/>
          <w:lang w:eastAsia="zh-CN"/>
        </w:rPr>
      </w:pPr>
    </w:p>
    <w:p w14:paraId="47EE4BB0" w14:textId="54944DD4" w:rsidR="003D512A" w:rsidRPr="0090642E" w:rsidRDefault="003D512A" w:rsidP="0090642E">
      <w:pPr>
        <w:spacing w:line="360" w:lineRule="auto"/>
        <w:rPr>
          <w:rFonts w:ascii="Arial" w:eastAsia="SimSun" w:hAnsi="Arial" w:cs="Arial"/>
          <w:b/>
          <w:sz w:val="24"/>
          <w:lang w:eastAsia="zh-CN"/>
        </w:rPr>
      </w:pPr>
      <w:r w:rsidRPr="0090642E">
        <w:rPr>
          <w:rFonts w:ascii="Arial" w:eastAsia="SimSun" w:hAnsi="Arial" w:cs="Arial"/>
          <w:b/>
          <w:sz w:val="24"/>
          <w:lang w:eastAsia="zh-CN"/>
        </w:rPr>
        <w:t>Round 2</w:t>
      </w:r>
    </w:p>
    <w:p w14:paraId="5C1B71D3" w14:textId="7490DD50" w:rsidR="00B65894" w:rsidRPr="00C64433" w:rsidRDefault="003D512A" w:rsidP="00C64433">
      <w:pPr>
        <w:spacing w:line="360" w:lineRule="auto"/>
        <w:rPr>
          <w:rFonts w:ascii="Arial" w:eastAsia="SimSun" w:hAnsi="Arial" w:cs="Arial"/>
          <w:sz w:val="24"/>
          <w:lang w:eastAsia="zh-CN"/>
        </w:rPr>
      </w:pPr>
      <w:r w:rsidRPr="0090642E">
        <w:rPr>
          <w:rFonts w:ascii="Arial" w:eastAsia="SimSun" w:hAnsi="Arial" w:cs="Arial"/>
          <w:sz w:val="24"/>
          <w:lang w:eastAsia="zh-CN"/>
        </w:rPr>
        <w:t xml:space="preserve">The same Delphi panel members from the first round were asked to rate their level of agreement to the 24 attributes in the scoring rubric. Of the 100 invitations 51 participants completed the questionnaire </w:t>
      </w:r>
      <w:bookmarkStart w:id="5" w:name="_Hlk57551845"/>
      <w:r w:rsidRPr="0090642E">
        <w:rPr>
          <w:rFonts w:ascii="Arial" w:eastAsia="SimSun" w:hAnsi="Arial" w:cs="Arial"/>
          <w:sz w:val="24"/>
          <w:lang w:eastAsia="zh-CN"/>
        </w:rPr>
        <w:t>(a response rate of 51</w:t>
      </w:r>
      <w:r w:rsidRPr="00C64433">
        <w:rPr>
          <w:rFonts w:ascii="Arial" w:eastAsia="SimSun" w:hAnsi="Arial" w:cs="Arial"/>
          <w:sz w:val="24"/>
          <w:lang w:eastAsia="zh-CN"/>
        </w:rPr>
        <w:t>%).</w:t>
      </w:r>
      <w:bookmarkEnd w:id="5"/>
      <w:r w:rsidR="0046106E" w:rsidRPr="00C64433">
        <w:rPr>
          <w:rFonts w:ascii="Arial" w:eastAsia="SimSun" w:hAnsi="Arial" w:cs="Arial"/>
          <w:sz w:val="24"/>
          <w:lang w:eastAsia="zh-CN"/>
        </w:rPr>
        <w:t xml:space="preserve"> </w:t>
      </w:r>
      <w:r w:rsidR="006A2D69" w:rsidRPr="00C64433">
        <w:rPr>
          <w:rFonts w:ascii="Arial" w:eastAsia="SimSun" w:hAnsi="Arial" w:cs="Arial"/>
          <w:sz w:val="24"/>
          <w:lang w:eastAsia="zh-CN"/>
        </w:rPr>
        <w:t>As with Round 1, t</w:t>
      </w:r>
      <w:r w:rsidR="00B65894" w:rsidRPr="00C64433">
        <w:rPr>
          <w:rFonts w:ascii="Arial" w:eastAsia="SimSun" w:hAnsi="Arial" w:cs="Arial"/>
          <w:sz w:val="24"/>
          <w:lang w:eastAsia="zh-CN"/>
        </w:rPr>
        <w:t>here was good representativeness from across all stakeholders</w:t>
      </w:r>
      <w:r w:rsidR="00C64433">
        <w:rPr>
          <w:rFonts w:ascii="Arial" w:eastAsia="SimSun" w:hAnsi="Arial" w:cs="Arial"/>
          <w:sz w:val="24"/>
          <w:lang w:eastAsia="zh-CN"/>
        </w:rPr>
        <w:t>’</w:t>
      </w:r>
      <w:r w:rsidR="00B65894" w:rsidRPr="00C64433">
        <w:rPr>
          <w:rFonts w:ascii="Arial" w:eastAsia="SimSun" w:hAnsi="Arial" w:cs="Arial"/>
          <w:sz w:val="24"/>
          <w:lang w:eastAsia="zh-CN"/>
        </w:rPr>
        <w:t xml:space="preserve"> groups </w:t>
      </w:r>
      <w:r w:rsidR="006A2D69" w:rsidRPr="00C64433">
        <w:rPr>
          <w:rFonts w:ascii="Arial" w:eastAsia="SimSun" w:hAnsi="Arial" w:cs="Arial"/>
          <w:sz w:val="24"/>
          <w:lang w:eastAsia="zh-CN"/>
        </w:rPr>
        <w:t>(</w:t>
      </w:r>
      <w:r w:rsidR="00B65894" w:rsidRPr="00C64433">
        <w:rPr>
          <w:rFonts w:ascii="Arial" w:eastAsia="SimSun" w:hAnsi="Arial" w:cs="Arial"/>
          <w:sz w:val="24"/>
          <w:lang w:eastAsia="zh-CN"/>
        </w:rPr>
        <w:t>Figure 3</w:t>
      </w:r>
      <w:r w:rsidR="006A2D69" w:rsidRPr="00C64433">
        <w:rPr>
          <w:rFonts w:ascii="Arial" w:eastAsia="SimSun" w:hAnsi="Arial" w:cs="Arial"/>
          <w:sz w:val="24"/>
          <w:lang w:eastAsia="zh-CN"/>
        </w:rPr>
        <w:t>)</w:t>
      </w:r>
      <w:r w:rsidR="00B65894" w:rsidRPr="00C64433">
        <w:rPr>
          <w:rFonts w:ascii="Arial" w:eastAsia="SimSun" w:hAnsi="Arial" w:cs="Arial"/>
          <w:sz w:val="24"/>
          <w:lang w:eastAsia="zh-CN"/>
        </w:rPr>
        <w:t>.</w:t>
      </w:r>
      <w:r w:rsidR="0046106E">
        <w:rPr>
          <w:rFonts w:ascii="Arial" w:eastAsia="SimSun" w:hAnsi="Arial" w:cs="Arial"/>
          <w:sz w:val="24"/>
          <w:lang w:eastAsia="zh-CN"/>
        </w:rPr>
        <w:t xml:space="preserve"> </w:t>
      </w:r>
    </w:p>
    <w:p w14:paraId="264E5B50" w14:textId="22193055" w:rsidR="0046106E" w:rsidRDefault="0046106E" w:rsidP="0090642E">
      <w:pPr>
        <w:spacing w:line="360" w:lineRule="auto"/>
        <w:rPr>
          <w:rFonts w:ascii="Arial" w:eastAsia="SimSun" w:hAnsi="Arial" w:cs="Arial"/>
          <w:sz w:val="24"/>
          <w:highlight w:val="yellow"/>
          <w:lang w:eastAsia="zh-CN"/>
        </w:rPr>
      </w:pPr>
    </w:p>
    <w:p w14:paraId="3CD29F6D" w14:textId="3DA8AD8B" w:rsidR="00F956F6" w:rsidRPr="00C64433" w:rsidRDefault="00C64433" w:rsidP="00C64433">
      <w:pPr>
        <w:pStyle w:val="NoSpacing"/>
        <w:spacing w:line="360" w:lineRule="auto"/>
        <w:rPr>
          <w:rFonts w:ascii="Arial" w:hAnsi="Arial" w:cs="Arial"/>
          <w:i/>
          <w:iCs/>
          <w:sz w:val="24"/>
          <w:szCs w:val="24"/>
          <w:lang w:eastAsia="en-GB"/>
        </w:rPr>
      </w:pPr>
      <w:r>
        <w:rPr>
          <w:rFonts w:ascii="Arial" w:hAnsi="Arial" w:cs="Arial"/>
          <w:i/>
          <w:iCs/>
          <w:sz w:val="24"/>
          <w:szCs w:val="24"/>
          <w:lang w:eastAsia="en-GB"/>
        </w:rPr>
        <w:t>(</w:t>
      </w:r>
      <w:r w:rsidRPr="0090642E">
        <w:rPr>
          <w:rFonts w:ascii="Arial" w:hAnsi="Arial" w:cs="Arial"/>
          <w:i/>
          <w:iCs/>
          <w:sz w:val="24"/>
          <w:szCs w:val="24"/>
          <w:lang w:eastAsia="en-GB"/>
        </w:rPr>
        <w:t xml:space="preserve">Insert </w:t>
      </w:r>
      <w:r>
        <w:rPr>
          <w:rFonts w:ascii="Arial" w:hAnsi="Arial" w:cs="Arial"/>
          <w:i/>
          <w:iCs/>
          <w:sz w:val="24"/>
          <w:szCs w:val="24"/>
          <w:lang w:eastAsia="en-GB"/>
        </w:rPr>
        <w:t>Figure 3</w:t>
      </w:r>
      <w:r w:rsidRPr="0090642E">
        <w:rPr>
          <w:rFonts w:ascii="Arial" w:hAnsi="Arial" w:cs="Arial"/>
          <w:i/>
          <w:iCs/>
          <w:sz w:val="24"/>
          <w:szCs w:val="24"/>
          <w:lang w:eastAsia="en-GB"/>
        </w:rPr>
        <w:t xml:space="preserve"> here</w:t>
      </w:r>
      <w:r>
        <w:rPr>
          <w:rFonts w:ascii="Arial" w:hAnsi="Arial" w:cs="Arial"/>
          <w:i/>
          <w:iCs/>
          <w:sz w:val="24"/>
          <w:szCs w:val="24"/>
          <w:lang w:eastAsia="en-GB"/>
        </w:rPr>
        <w:t>)</w:t>
      </w:r>
      <w:r w:rsidRPr="0090642E">
        <w:rPr>
          <w:rFonts w:ascii="Arial" w:hAnsi="Arial" w:cs="Arial"/>
          <w:i/>
          <w:iCs/>
          <w:sz w:val="24"/>
          <w:szCs w:val="24"/>
          <w:lang w:eastAsia="en-GB"/>
        </w:rPr>
        <w:t xml:space="preserve"> </w:t>
      </w:r>
    </w:p>
    <w:p w14:paraId="32D062EB" w14:textId="77777777" w:rsidR="00F956F6" w:rsidRPr="00C64433" w:rsidRDefault="00F956F6" w:rsidP="0090642E">
      <w:pPr>
        <w:spacing w:line="360" w:lineRule="auto"/>
        <w:rPr>
          <w:rFonts w:ascii="Arial" w:eastAsia="SimSun" w:hAnsi="Arial" w:cs="Arial"/>
          <w:sz w:val="24"/>
          <w:lang w:eastAsia="zh-CN"/>
        </w:rPr>
      </w:pPr>
    </w:p>
    <w:p w14:paraId="06FF8950" w14:textId="078FCDA2" w:rsidR="003D512A" w:rsidRPr="00C64433" w:rsidRDefault="003D512A" w:rsidP="0090642E">
      <w:pPr>
        <w:spacing w:line="360" w:lineRule="auto"/>
        <w:rPr>
          <w:rFonts w:ascii="Arial" w:eastAsia="SimSun" w:hAnsi="Arial" w:cs="Arial"/>
          <w:sz w:val="24"/>
          <w:lang w:eastAsia="zh-CN"/>
        </w:rPr>
      </w:pPr>
      <w:r w:rsidRPr="00C64433">
        <w:rPr>
          <w:rFonts w:ascii="Arial" w:eastAsia="SimSun" w:hAnsi="Arial" w:cs="Arial"/>
          <w:sz w:val="24"/>
          <w:lang w:eastAsia="zh-CN"/>
        </w:rPr>
        <w:t>A</w:t>
      </w:r>
      <w:r w:rsidRPr="00C64433">
        <w:rPr>
          <w:rFonts w:ascii="Arial" w:eastAsia="Calibri" w:hAnsi="Arial" w:cs="Arial"/>
          <w:sz w:val="24"/>
        </w:rPr>
        <w:t>ll 24 items in the questionnaire achieved a strong consensus with 86%-100% of participants agreeing or strongly agreeing with the statements</w:t>
      </w:r>
      <w:r w:rsidR="008B00B3" w:rsidRPr="00C64433">
        <w:rPr>
          <w:rFonts w:ascii="Arial" w:eastAsia="Calibri" w:hAnsi="Arial" w:cs="Arial"/>
          <w:sz w:val="24"/>
        </w:rPr>
        <w:t>.</w:t>
      </w:r>
      <w:r w:rsidRPr="00C64433">
        <w:rPr>
          <w:rFonts w:ascii="Arial" w:eastAsia="Calibri" w:hAnsi="Arial" w:cs="Arial"/>
          <w:sz w:val="24"/>
        </w:rPr>
        <w:t xml:space="preserve"> </w:t>
      </w:r>
    </w:p>
    <w:p w14:paraId="7EE25607" w14:textId="288EEED5" w:rsidR="006D1A9D" w:rsidRPr="0090642E" w:rsidRDefault="004F2671" w:rsidP="0090642E">
      <w:pPr>
        <w:autoSpaceDE w:val="0"/>
        <w:autoSpaceDN w:val="0"/>
        <w:adjustRightInd w:val="0"/>
        <w:spacing w:line="360" w:lineRule="auto"/>
        <w:rPr>
          <w:rFonts w:ascii="Arial" w:eastAsia="Calibri" w:hAnsi="Arial" w:cs="Arial"/>
          <w:sz w:val="24"/>
        </w:rPr>
      </w:pPr>
      <w:r w:rsidRPr="00C64433">
        <w:rPr>
          <w:rFonts w:ascii="Arial" w:eastAsia="Calibri" w:hAnsi="Arial" w:cs="Arial"/>
          <w:sz w:val="24"/>
        </w:rPr>
        <w:t>The agreed</w:t>
      </w:r>
      <w:r w:rsidR="003D512A" w:rsidRPr="00C64433">
        <w:rPr>
          <w:rFonts w:ascii="Arial" w:eastAsia="Calibri" w:hAnsi="Arial" w:cs="Arial"/>
          <w:sz w:val="24"/>
        </w:rPr>
        <w:t xml:space="preserve"> consensus </w:t>
      </w:r>
      <w:r w:rsidRPr="00C64433">
        <w:rPr>
          <w:rFonts w:ascii="Arial" w:eastAsia="Calibri" w:hAnsi="Arial" w:cs="Arial"/>
          <w:sz w:val="24"/>
        </w:rPr>
        <w:t xml:space="preserve">threshold </w:t>
      </w:r>
      <w:r w:rsidR="003D512A" w:rsidRPr="00C64433">
        <w:rPr>
          <w:rFonts w:ascii="Arial" w:eastAsia="Calibri" w:hAnsi="Arial" w:cs="Arial"/>
          <w:sz w:val="24"/>
        </w:rPr>
        <w:t xml:space="preserve">of 70% in the interpretations of all 24 statements was </w:t>
      </w:r>
      <w:r w:rsidRPr="00C64433">
        <w:rPr>
          <w:rFonts w:ascii="Arial" w:eastAsia="Calibri" w:hAnsi="Arial" w:cs="Arial"/>
          <w:sz w:val="24"/>
        </w:rPr>
        <w:t xml:space="preserve">exceeded </w:t>
      </w:r>
      <w:r w:rsidR="003D512A" w:rsidRPr="00C64433">
        <w:rPr>
          <w:rFonts w:ascii="Arial" w:eastAsia="Calibri" w:hAnsi="Arial" w:cs="Arial"/>
          <w:sz w:val="24"/>
        </w:rPr>
        <w:t xml:space="preserve">in round 2, the need for further rounds was eliminated. The 24 statements can be viewed within the finalised scoring rubric (Table </w:t>
      </w:r>
      <w:r w:rsidR="00974AF4" w:rsidRPr="00C64433">
        <w:rPr>
          <w:rFonts w:ascii="Arial" w:eastAsia="Calibri" w:hAnsi="Arial" w:cs="Arial"/>
          <w:sz w:val="24"/>
        </w:rPr>
        <w:t>6</w:t>
      </w:r>
      <w:r w:rsidR="003D512A" w:rsidRPr="00C64433">
        <w:rPr>
          <w:rFonts w:ascii="Arial" w:eastAsia="Calibri" w:hAnsi="Arial" w:cs="Arial"/>
          <w:sz w:val="24"/>
        </w:rPr>
        <w:t>)</w:t>
      </w:r>
      <w:r w:rsidR="0046106E" w:rsidRPr="00C64433">
        <w:rPr>
          <w:rFonts w:ascii="Arial" w:eastAsia="Calibri" w:hAnsi="Arial" w:cs="Arial"/>
          <w:sz w:val="24"/>
        </w:rPr>
        <w:t>.</w:t>
      </w:r>
    </w:p>
    <w:p w14:paraId="466B064F" w14:textId="77777777" w:rsidR="0090642E" w:rsidRPr="0090642E" w:rsidRDefault="0090642E" w:rsidP="0090642E">
      <w:pPr>
        <w:pStyle w:val="NoSpacing"/>
        <w:spacing w:line="360" w:lineRule="auto"/>
        <w:rPr>
          <w:rFonts w:ascii="Arial" w:hAnsi="Arial" w:cs="Arial"/>
          <w:sz w:val="24"/>
          <w:szCs w:val="24"/>
          <w:lang w:eastAsia="en-GB"/>
        </w:rPr>
      </w:pPr>
    </w:p>
    <w:p w14:paraId="14FD9E9D" w14:textId="3F844062" w:rsidR="006D1A9D" w:rsidRPr="0090642E" w:rsidRDefault="005D5F17" w:rsidP="0090642E">
      <w:pPr>
        <w:pStyle w:val="NoSpacing"/>
        <w:spacing w:line="360" w:lineRule="auto"/>
        <w:rPr>
          <w:rFonts w:ascii="Arial" w:hAnsi="Arial" w:cs="Arial"/>
          <w:i/>
          <w:iCs/>
          <w:sz w:val="24"/>
          <w:szCs w:val="24"/>
          <w:lang w:eastAsia="en-GB"/>
        </w:rPr>
      </w:pPr>
      <w:r>
        <w:rPr>
          <w:rFonts w:ascii="Arial" w:hAnsi="Arial" w:cs="Arial"/>
          <w:i/>
          <w:iCs/>
          <w:sz w:val="24"/>
          <w:szCs w:val="24"/>
          <w:lang w:eastAsia="en-GB"/>
        </w:rPr>
        <w:t>(</w:t>
      </w:r>
      <w:r w:rsidR="0090642E" w:rsidRPr="0090642E">
        <w:rPr>
          <w:rFonts w:ascii="Arial" w:hAnsi="Arial" w:cs="Arial"/>
          <w:i/>
          <w:iCs/>
          <w:sz w:val="24"/>
          <w:szCs w:val="24"/>
          <w:lang w:eastAsia="en-GB"/>
        </w:rPr>
        <w:t>Insert Table 6 here</w:t>
      </w:r>
      <w:r>
        <w:rPr>
          <w:rFonts w:ascii="Arial" w:hAnsi="Arial" w:cs="Arial"/>
          <w:i/>
          <w:iCs/>
          <w:sz w:val="24"/>
          <w:szCs w:val="24"/>
          <w:lang w:eastAsia="en-GB"/>
        </w:rPr>
        <w:t>)</w:t>
      </w:r>
      <w:r w:rsidR="0090642E" w:rsidRPr="0090642E">
        <w:rPr>
          <w:rFonts w:ascii="Arial" w:hAnsi="Arial" w:cs="Arial"/>
          <w:i/>
          <w:iCs/>
          <w:sz w:val="24"/>
          <w:szCs w:val="24"/>
          <w:lang w:eastAsia="en-GB"/>
        </w:rPr>
        <w:t xml:space="preserve"> </w:t>
      </w:r>
    </w:p>
    <w:p w14:paraId="393AD297" w14:textId="77777777" w:rsidR="0090642E" w:rsidRPr="0090642E" w:rsidRDefault="0090642E" w:rsidP="0090642E">
      <w:pPr>
        <w:pStyle w:val="NoSpacing"/>
        <w:spacing w:line="360" w:lineRule="auto"/>
        <w:rPr>
          <w:rFonts w:ascii="Arial" w:hAnsi="Arial" w:cs="Arial"/>
          <w:sz w:val="24"/>
          <w:szCs w:val="24"/>
          <w:lang w:eastAsia="en-GB"/>
        </w:rPr>
      </w:pPr>
    </w:p>
    <w:p w14:paraId="31A1C3F1" w14:textId="3B69D052" w:rsidR="003D512A" w:rsidRPr="0090642E" w:rsidRDefault="006D1A9D" w:rsidP="0090642E">
      <w:pPr>
        <w:spacing w:line="360" w:lineRule="auto"/>
        <w:rPr>
          <w:rFonts w:ascii="Arial" w:eastAsia="SimSun" w:hAnsi="Arial" w:cs="Arial"/>
          <w:sz w:val="24"/>
          <w:lang w:eastAsia="zh-CN"/>
        </w:rPr>
      </w:pPr>
      <w:r w:rsidRPr="0090642E">
        <w:rPr>
          <w:rFonts w:ascii="Arial" w:eastAsia="Calibri" w:hAnsi="Arial" w:cs="Arial"/>
          <w:sz w:val="24"/>
        </w:rPr>
        <w:t xml:space="preserve">Participants </w:t>
      </w:r>
      <w:r w:rsidR="003D512A" w:rsidRPr="0090642E">
        <w:rPr>
          <w:rFonts w:ascii="Arial" w:eastAsia="Calibri" w:hAnsi="Arial" w:cs="Arial"/>
          <w:sz w:val="24"/>
        </w:rPr>
        <w:t xml:space="preserve">were given the opportunity to expand on the fixed choice responses </w:t>
      </w:r>
      <w:r w:rsidR="003D512A" w:rsidRPr="0090642E">
        <w:rPr>
          <w:rFonts w:ascii="Arial" w:eastAsia="SimSun" w:hAnsi="Arial" w:cs="Arial"/>
          <w:sz w:val="24"/>
          <w:lang w:eastAsia="zh-CN"/>
        </w:rPr>
        <w:t>using the free-text box provided for making additional comments. These comments provided a unique opportunity for participants to evaluate further the contents of the scoring rubric. In total, 46</w:t>
      </w:r>
      <w:r w:rsidR="003D512A" w:rsidRPr="0090642E">
        <w:rPr>
          <w:rFonts w:ascii="Arial" w:eastAsia="Calibri" w:hAnsi="Arial" w:cs="Arial"/>
          <w:sz w:val="24"/>
        </w:rPr>
        <w:t xml:space="preserve"> comments were recorded. Comments on how valuable participants felt the rubric would be in relation to addressing the complexity and challenge of practice-based assessment included ‘very clear guidance’ and ‘clearest set of values so far’. Some</w:t>
      </w:r>
      <w:r w:rsidR="003D512A" w:rsidRPr="0090642E">
        <w:rPr>
          <w:rFonts w:ascii="Arial" w:eastAsia="SimSun" w:hAnsi="Arial" w:cs="Arial"/>
          <w:sz w:val="24"/>
          <w:lang w:eastAsia="zh-CN"/>
        </w:rPr>
        <w:t xml:space="preserve"> commented on terminology such as ‘replace the word scruffy with unkempt’. Others suggested adding words like ‘actively’ to ‘students seek to understand…’ or advised sub-dividing a descriptor sentence into two shorter sentences. Some merely clarified responses. Where appropriate, these </w:t>
      </w:r>
      <w:r w:rsidR="003D512A" w:rsidRPr="0090642E">
        <w:rPr>
          <w:rFonts w:ascii="Arial" w:eastAsia="SimSun" w:hAnsi="Arial" w:cs="Arial"/>
          <w:sz w:val="24"/>
          <w:lang w:eastAsia="zh-CN"/>
        </w:rPr>
        <w:lastRenderedPageBreak/>
        <w:t>comments were taken into consideration in the finalised scoring rubric</w:t>
      </w:r>
      <w:r w:rsidR="00E4297B" w:rsidRPr="0090642E">
        <w:rPr>
          <w:rFonts w:ascii="Arial" w:eastAsia="SimSun" w:hAnsi="Arial" w:cs="Arial"/>
          <w:sz w:val="24"/>
          <w:lang w:eastAsia="zh-CN"/>
        </w:rPr>
        <w:t xml:space="preserve"> as seen in </w:t>
      </w:r>
      <w:r w:rsidR="0090642E" w:rsidRPr="0090642E">
        <w:rPr>
          <w:rFonts w:ascii="Arial" w:eastAsia="SimSun" w:hAnsi="Arial" w:cs="Arial"/>
          <w:sz w:val="24"/>
          <w:lang w:eastAsia="zh-CN"/>
        </w:rPr>
        <w:t>T</w:t>
      </w:r>
      <w:r w:rsidR="00E4297B" w:rsidRPr="0090642E">
        <w:rPr>
          <w:rFonts w:ascii="Arial" w:eastAsia="SimSun" w:hAnsi="Arial" w:cs="Arial"/>
          <w:sz w:val="24"/>
          <w:lang w:eastAsia="zh-CN"/>
        </w:rPr>
        <w:t xml:space="preserve">able </w:t>
      </w:r>
      <w:r w:rsidR="00974AF4" w:rsidRPr="0090642E">
        <w:rPr>
          <w:rFonts w:ascii="Arial" w:eastAsia="SimSun" w:hAnsi="Arial" w:cs="Arial"/>
          <w:sz w:val="24"/>
          <w:lang w:eastAsia="zh-CN"/>
        </w:rPr>
        <w:t>6</w:t>
      </w:r>
      <w:r w:rsidR="003D512A" w:rsidRPr="0090642E">
        <w:rPr>
          <w:rFonts w:ascii="Arial" w:eastAsia="SimSun" w:hAnsi="Arial" w:cs="Arial"/>
          <w:sz w:val="24"/>
          <w:lang w:eastAsia="zh-CN"/>
        </w:rPr>
        <w:t>.</w:t>
      </w:r>
    </w:p>
    <w:p w14:paraId="25E6C1CE" w14:textId="77777777" w:rsidR="003D512A" w:rsidRPr="0090642E" w:rsidRDefault="003D512A" w:rsidP="0090642E">
      <w:pPr>
        <w:spacing w:line="360" w:lineRule="auto"/>
        <w:rPr>
          <w:rFonts w:ascii="Arial" w:eastAsia="SimSun" w:hAnsi="Arial" w:cs="Arial"/>
          <w:sz w:val="24"/>
          <w:lang w:eastAsia="zh-CN"/>
        </w:rPr>
      </w:pPr>
    </w:p>
    <w:p w14:paraId="3A6652C6" w14:textId="66B1D885" w:rsidR="006B2EF2" w:rsidRPr="0090642E" w:rsidRDefault="003D512A" w:rsidP="0090642E">
      <w:pPr>
        <w:spacing w:line="360" w:lineRule="auto"/>
        <w:rPr>
          <w:rFonts w:ascii="Arial" w:eastAsia="SimSun" w:hAnsi="Arial" w:cs="Arial"/>
          <w:sz w:val="24"/>
          <w:shd w:val="clear" w:color="auto" w:fill="FFFFFF"/>
          <w:lang w:eastAsia="zh-CN"/>
        </w:rPr>
      </w:pPr>
      <w:r w:rsidRPr="0090642E">
        <w:rPr>
          <w:rFonts w:ascii="Arial" w:eastAsia="SimSun" w:hAnsi="Arial" w:cs="Arial"/>
          <w:sz w:val="24"/>
          <w:lang w:eastAsia="zh-CN"/>
        </w:rPr>
        <w:t>Participants were also asked to rate their preferred terminology to use for benchmarking</w:t>
      </w:r>
      <w:r w:rsidR="00E4297B" w:rsidRPr="0090642E">
        <w:rPr>
          <w:rFonts w:ascii="Arial" w:eastAsia="SimSun" w:hAnsi="Arial" w:cs="Arial"/>
          <w:sz w:val="24"/>
          <w:lang w:eastAsia="zh-CN"/>
        </w:rPr>
        <w:t>.</w:t>
      </w:r>
      <w:r w:rsidRPr="0090642E">
        <w:rPr>
          <w:rFonts w:ascii="Arial" w:eastAsia="SimSun" w:hAnsi="Arial" w:cs="Arial"/>
          <w:sz w:val="24"/>
          <w:lang w:eastAsia="zh-CN"/>
        </w:rPr>
        <w:t xml:space="preserve"> Most participants (84%) strongly favoured or favoured to use ‘</w:t>
      </w:r>
      <w:r w:rsidRPr="0090642E">
        <w:rPr>
          <w:rFonts w:ascii="Arial" w:eastAsia="SimSun" w:hAnsi="Arial" w:cs="Arial"/>
          <w:sz w:val="24"/>
          <w:shd w:val="clear" w:color="auto" w:fill="FFFFFF"/>
          <w:lang w:eastAsia="zh-CN"/>
        </w:rPr>
        <w:t>Does not meet expectations’ – ‘Meets expectations’ – ‘Exceeds expectations’</w:t>
      </w:r>
      <w:r w:rsidR="00E4297B" w:rsidRPr="0090642E">
        <w:rPr>
          <w:rFonts w:ascii="Arial" w:eastAsia="SimSun" w:hAnsi="Arial" w:cs="Arial"/>
          <w:sz w:val="24"/>
          <w:shd w:val="clear" w:color="auto" w:fill="FFFFFF"/>
          <w:lang w:eastAsia="zh-CN"/>
        </w:rPr>
        <w:t>, which was adopted in the finalised draft of the scoring rubric</w:t>
      </w:r>
      <w:r w:rsidR="00B10CEC">
        <w:rPr>
          <w:rFonts w:ascii="Arial" w:eastAsia="SimSun" w:hAnsi="Arial" w:cs="Arial"/>
          <w:sz w:val="24"/>
          <w:shd w:val="clear" w:color="auto" w:fill="FFFFFF"/>
          <w:lang w:eastAsia="zh-CN"/>
        </w:rPr>
        <w:t>.</w:t>
      </w:r>
      <w:r w:rsidR="00E4297B" w:rsidRPr="0090642E">
        <w:rPr>
          <w:rFonts w:ascii="Arial" w:eastAsia="SimSun" w:hAnsi="Arial" w:cs="Arial"/>
          <w:sz w:val="24"/>
          <w:shd w:val="clear" w:color="auto" w:fill="FFFFFF"/>
          <w:lang w:eastAsia="zh-CN"/>
        </w:rPr>
        <w:t xml:space="preserve"> </w:t>
      </w:r>
    </w:p>
    <w:p w14:paraId="5B01B855" w14:textId="4874A7CF" w:rsidR="006B2EF2" w:rsidRDefault="006B2EF2" w:rsidP="0090642E">
      <w:pPr>
        <w:pStyle w:val="NoSpacing"/>
        <w:spacing w:line="360" w:lineRule="auto"/>
        <w:rPr>
          <w:rFonts w:ascii="Arial" w:hAnsi="Arial" w:cs="Arial"/>
          <w:sz w:val="24"/>
          <w:szCs w:val="24"/>
          <w:lang w:eastAsia="en-GB"/>
        </w:rPr>
      </w:pPr>
    </w:p>
    <w:p w14:paraId="3E568FBC" w14:textId="77777777" w:rsidR="00F956F6" w:rsidRPr="0090642E" w:rsidRDefault="00F956F6" w:rsidP="0090642E">
      <w:pPr>
        <w:pStyle w:val="NoSpacing"/>
        <w:spacing w:line="360" w:lineRule="auto"/>
        <w:rPr>
          <w:rFonts w:ascii="Arial" w:hAnsi="Arial" w:cs="Arial"/>
          <w:sz w:val="24"/>
          <w:szCs w:val="24"/>
          <w:lang w:eastAsia="en-GB"/>
        </w:rPr>
      </w:pPr>
    </w:p>
    <w:p w14:paraId="737CCD1C" w14:textId="77777777" w:rsidR="003D512A" w:rsidRPr="0090642E" w:rsidRDefault="003D512A" w:rsidP="0090642E">
      <w:pPr>
        <w:spacing w:line="360" w:lineRule="auto"/>
        <w:jc w:val="center"/>
        <w:rPr>
          <w:rFonts w:ascii="Arial" w:hAnsi="Arial" w:cs="Arial"/>
          <w:bCs/>
          <w:sz w:val="24"/>
          <w:u w:val="single"/>
        </w:rPr>
      </w:pPr>
      <w:r w:rsidRPr="0090642E">
        <w:rPr>
          <w:rFonts w:ascii="Arial" w:hAnsi="Arial" w:cs="Arial"/>
          <w:bCs/>
          <w:sz w:val="24"/>
          <w:u w:val="single"/>
        </w:rPr>
        <w:t>DISCUSSION</w:t>
      </w:r>
    </w:p>
    <w:p w14:paraId="15D5A874" w14:textId="1110DE70" w:rsidR="003D512A" w:rsidRPr="0090642E" w:rsidRDefault="003D512A" w:rsidP="0090642E">
      <w:pPr>
        <w:spacing w:line="360" w:lineRule="auto"/>
        <w:rPr>
          <w:rFonts w:ascii="Arial" w:hAnsi="Arial" w:cs="Arial"/>
          <w:sz w:val="24"/>
        </w:rPr>
      </w:pPr>
      <w:r w:rsidRPr="0090642E">
        <w:rPr>
          <w:rFonts w:ascii="Arial" w:hAnsi="Arial" w:cs="Arial"/>
          <w:sz w:val="24"/>
        </w:rPr>
        <w:t>Within the context of this study, the Delphi consensus method was selected to encapsulate the insights of different stakeholders to arrive at an informed group consensus in gaining a collective interpretation of three level descriptors for the professional attitude, behaviour and responsibly statements. This study was successful in reaching a very strong consensus (ranging from 86% to 100%) on shared interpretations of level descriptors for the professional values competency statements within the PLPAD. Delphi, as a consensus method, offers a highly structured and effective approach in facilitating democratic deliberation among geographically dispersed stakeholders with various roles who have vested interests in the outcomes (competent nurses) to apply their collective judgement. Additionally, a collaborative approach that involves mentors and students in developing tools is essential for success in improving practice-based assessment (</w:t>
      </w:r>
      <w:proofErr w:type="spellStart"/>
      <w:r w:rsidRPr="0090642E">
        <w:rPr>
          <w:rFonts w:ascii="Arial" w:hAnsi="Arial" w:cs="Arial"/>
          <w:sz w:val="24"/>
        </w:rPr>
        <w:t>Heaslip</w:t>
      </w:r>
      <w:proofErr w:type="spellEnd"/>
      <w:r w:rsidRPr="0090642E">
        <w:rPr>
          <w:rFonts w:ascii="Arial" w:hAnsi="Arial" w:cs="Arial"/>
          <w:sz w:val="24"/>
        </w:rPr>
        <w:t xml:space="preserve"> </w:t>
      </w:r>
      <w:r w:rsidR="00B944F7">
        <w:rPr>
          <w:rFonts w:ascii="Arial" w:hAnsi="Arial" w:cs="Arial"/>
          <w:sz w:val="24"/>
        </w:rPr>
        <w:t>and</w:t>
      </w:r>
      <w:r w:rsidRPr="0090642E">
        <w:rPr>
          <w:rFonts w:ascii="Arial" w:hAnsi="Arial" w:cs="Arial"/>
          <w:sz w:val="24"/>
        </w:rPr>
        <w:t xml:space="preserve"> Scammell, 2012; </w:t>
      </w:r>
      <w:proofErr w:type="spellStart"/>
      <w:r w:rsidRPr="0090642E">
        <w:rPr>
          <w:rFonts w:ascii="Arial" w:hAnsi="Arial" w:cs="Arial"/>
          <w:sz w:val="24"/>
        </w:rPr>
        <w:t>Cockett</w:t>
      </w:r>
      <w:proofErr w:type="spellEnd"/>
      <w:r w:rsidRPr="0090642E">
        <w:rPr>
          <w:rFonts w:ascii="Arial" w:hAnsi="Arial" w:cs="Arial"/>
          <w:sz w:val="24"/>
        </w:rPr>
        <w:t xml:space="preserve"> </w:t>
      </w:r>
      <w:r w:rsidR="00B944F7">
        <w:rPr>
          <w:rFonts w:ascii="Arial" w:hAnsi="Arial" w:cs="Arial"/>
          <w:sz w:val="24"/>
        </w:rPr>
        <w:t>and</w:t>
      </w:r>
      <w:r w:rsidRPr="0090642E">
        <w:rPr>
          <w:rFonts w:ascii="Arial" w:hAnsi="Arial" w:cs="Arial"/>
          <w:sz w:val="24"/>
        </w:rPr>
        <w:t xml:space="preserve"> Jackson 2018</w:t>
      </w:r>
      <w:r w:rsidR="006A4706" w:rsidRPr="0090642E">
        <w:rPr>
          <w:rFonts w:ascii="Arial" w:hAnsi="Arial" w:cs="Arial"/>
          <w:sz w:val="24"/>
        </w:rPr>
        <w:t>; Cassidy et al., 2020</w:t>
      </w:r>
      <w:r w:rsidRPr="0090642E">
        <w:rPr>
          <w:rFonts w:ascii="Arial" w:hAnsi="Arial" w:cs="Arial"/>
          <w:sz w:val="24"/>
        </w:rPr>
        <w:t xml:space="preserve">). </w:t>
      </w:r>
    </w:p>
    <w:p w14:paraId="7AD36417" w14:textId="77777777" w:rsidR="002961A4" w:rsidRPr="0090642E" w:rsidRDefault="002961A4" w:rsidP="0090642E">
      <w:pPr>
        <w:pStyle w:val="NoSpacing"/>
        <w:spacing w:line="360" w:lineRule="auto"/>
        <w:rPr>
          <w:rFonts w:ascii="Arial" w:hAnsi="Arial" w:cs="Arial"/>
          <w:sz w:val="24"/>
          <w:szCs w:val="24"/>
          <w:lang w:eastAsia="en-GB"/>
        </w:rPr>
      </w:pPr>
    </w:p>
    <w:p w14:paraId="40AC3897" w14:textId="35FBB86C" w:rsidR="003D512A" w:rsidRPr="0090642E" w:rsidRDefault="003D512A" w:rsidP="0090642E">
      <w:pPr>
        <w:spacing w:line="360" w:lineRule="auto"/>
        <w:rPr>
          <w:rFonts w:ascii="Arial" w:hAnsi="Arial" w:cs="Arial"/>
          <w:sz w:val="24"/>
        </w:rPr>
      </w:pPr>
      <w:r w:rsidRPr="0090642E">
        <w:rPr>
          <w:rFonts w:ascii="Arial" w:hAnsi="Arial" w:cs="Arial"/>
          <w:sz w:val="24"/>
        </w:rPr>
        <w:t>These shared understandings informed the construction of an original scoring rubric with transparent and unambiguous language to interpret different levels of competence. This consensus-based scoring rubric has the potential to overcome the difficulties in understanding the language used or in identifying the appropriate level of competence, reported in the literature to be a significant barrier to the reliability and validity of assessment in practice placements (Neary, 2001</w:t>
      </w:r>
      <w:r w:rsidR="00C64433" w:rsidRPr="00C64433">
        <w:rPr>
          <w:rFonts w:ascii="Arial" w:hAnsi="Arial" w:cs="Arial"/>
          <w:sz w:val="24"/>
        </w:rPr>
        <w:t xml:space="preserve">; </w:t>
      </w:r>
      <w:r w:rsidRPr="0090642E">
        <w:rPr>
          <w:rFonts w:ascii="Arial" w:hAnsi="Arial" w:cs="Arial"/>
          <w:sz w:val="24"/>
        </w:rPr>
        <w:t xml:space="preserve">Cassidy et al., 2017; Almalkawi et al., 2018). The transparency provided through making the scoring rubric available to both mentors and students in advance resonates with </w:t>
      </w:r>
      <w:r w:rsidRPr="0090642E">
        <w:rPr>
          <w:rFonts w:ascii="Arial" w:eastAsia="SimSun" w:hAnsi="Arial" w:cs="Arial"/>
          <w:sz w:val="24"/>
          <w:lang w:eastAsia="zh-CN"/>
        </w:rPr>
        <w:t xml:space="preserve">the concepts of assessment </w:t>
      </w:r>
      <w:r w:rsidRPr="0090642E">
        <w:rPr>
          <w:rFonts w:ascii="Arial" w:eastAsia="SimSun" w:hAnsi="Arial" w:cs="Arial"/>
          <w:i/>
          <w:sz w:val="24"/>
          <w:lang w:eastAsia="zh-CN"/>
        </w:rPr>
        <w:lastRenderedPageBreak/>
        <w:t>for</w:t>
      </w:r>
      <w:r w:rsidRPr="0090642E">
        <w:rPr>
          <w:rFonts w:ascii="Arial" w:eastAsia="SimSun" w:hAnsi="Arial" w:cs="Arial"/>
          <w:sz w:val="24"/>
          <w:lang w:eastAsia="zh-CN"/>
        </w:rPr>
        <w:t xml:space="preserve"> learning, </w:t>
      </w:r>
      <w:r w:rsidRPr="0090642E">
        <w:rPr>
          <w:rFonts w:ascii="Arial" w:hAnsi="Arial" w:cs="Arial"/>
          <w:sz w:val="24"/>
        </w:rPr>
        <w:t>emphasising both process and product in practice-based assessment,</w:t>
      </w:r>
      <w:r w:rsidRPr="0090642E">
        <w:rPr>
          <w:rFonts w:ascii="Arial" w:eastAsia="SimSun" w:hAnsi="Arial" w:cs="Arial"/>
          <w:sz w:val="24"/>
          <w:lang w:eastAsia="zh-CN"/>
        </w:rPr>
        <w:t xml:space="preserve"> which stresses the formative potential of the assessment through individualised feedback on performance (</w:t>
      </w:r>
      <w:proofErr w:type="spellStart"/>
      <w:r w:rsidR="00630357" w:rsidRPr="0090642E">
        <w:rPr>
          <w:rFonts w:ascii="Arial" w:hAnsi="Arial" w:cs="Arial"/>
          <w:sz w:val="24"/>
        </w:rPr>
        <w:t>Oyinloye</w:t>
      </w:r>
      <w:proofErr w:type="spellEnd"/>
      <w:r w:rsidR="00630357" w:rsidRPr="0090642E">
        <w:rPr>
          <w:rFonts w:ascii="Arial" w:hAnsi="Arial" w:cs="Arial"/>
          <w:sz w:val="24"/>
        </w:rPr>
        <w:t xml:space="preserve"> and </w:t>
      </w:r>
      <w:proofErr w:type="spellStart"/>
      <w:r w:rsidR="00630357" w:rsidRPr="0090642E">
        <w:rPr>
          <w:rFonts w:ascii="Arial" w:hAnsi="Arial" w:cs="Arial"/>
          <w:sz w:val="24"/>
        </w:rPr>
        <w:t>Imenda</w:t>
      </w:r>
      <w:proofErr w:type="spellEnd"/>
      <w:r w:rsidR="00630357" w:rsidRPr="0090642E">
        <w:rPr>
          <w:rFonts w:ascii="Arial" w:hAnsi="Arial" w:cs="Arial"/>
          <w:sz w:val="24"/>
        </w:rPr>
        <w:t>, 2019</w:t>
      </w:r>
      <w:r w:rsidRPr="0090642E">
        <w:rPr>
          <w:rFonts w:ascii="Arial" w:eastAsia="SimSun" w:hAnsi="Arial" w:cs="Arial"/>
          <w:sz w:val="24"/>
          <w:lang w:eastAsia="zh-CN"/>
        </w:rPr>
        <w:t xml:space="preserve">). </w:t>
      </w:r>
      <w:r w:rsidRPr="0090642E">
        <w:rPr>
          <w:rFonts w:ascii="Arial" w:hAnsi="Arial" w:cs="Arial"/>
          <w:sz w:val="24"/>
        </w:rPr>
        <w:t xml:space="preserve">It could help mentors define what is expected of students and for students to identify what they are expected to achieve (Gray and Donaldson, 2009; Shipman </w:t>
      </w:r>
      <w:r w:rsidRPr="00AA0E54">
        <w:rPr>
          <w:rFonts w:ascii="Arial" w:hAnsi="Arial" w:cs="Arial"/>
          <w:iCs/>
          <w:sz w:val="24"/>
        </w:rPr>
        <w:t xml:space="preserve">et al., </w:t>
      </w:r>
      <w:r w:rsidRPr="0090642E">
        <w:rPr>
          <w:rFonts w:ascii="Arial" w:hAnsi="Arial" w:cs="Arial"/>
          <w:sz w:val="24"/>
        </w:rPr>
        <w:t xml:space="preserve">2012; </w:t>
      </w:r>
      <w:proofErr w:type="spellStart"/>
      <w:r w:rsidRPr="0090642E">
        <w:rPr>
          <w:rFonts w:ascii="Arial" w:hAnsi="Arial" w:cs="Arial"/>
          <w:sz w:val="24"/>
        </w:rPr>
        <w:t>Frentsos</w:t>
      </w:r>
      <w:proofErr w:type="spellEnd"/>
      <w:r w:rsidRPr="0090642E">
        <w:rPr>
          <w:rFonts w:ascii="Arial" w:hAnsi="Arial" w:cs="Arial"/>
          <w:sz w:val="24"/>
        </w:rPr>
        <w:t xml:space="preserve">, 2013). </w:t>
      </w:r>
      <w:r w:rsidRPr="0090642E">
        <w:rPr>
          <w:rFonts w:ascii="Arial" w:eastAsia="SimSun" w:hAnsi="Arial" w:cs="Arial"/>
          <w:sz w:val="24"/>
          <w:lang w:eastAsia="zh-CN"/>
        </w:rPr>
        <w:t xml:space="preserve">The characteristics of the scoring rubric </w:t>
      </w:r>
      <w:r w:rsidRPr="0090642E">
        <w:rPr>
          <w:rFonts w:ascii="Arial" w:hAnsi="Arial" w:cs="Arial"/>
          <w:sz w:val="24"/>
        </w:rPr>
        <w:t>also resonate with the concept of authentic assessment by employing ‘real world’ tasks that mutually engage students and mentors in collaborative and meaningful activities (</w:t>
      </w:r>
      <w:proofErr w:type="spellStart"/>
      <w:r w:rsidR="00630357" w:rsidRPr="0090642E">
        <w:rPr>
          <w:rFonts w:ascii="Arial" w:hAnsi="Arial" w:cs="Arial"/>
          <w:sz w:val="24"/>
        </w:rPr>
        <w:t>Winkelbauer</w:t>
      </w:r>
      <w:proofErr w:type="spellEnd"/>
      <w:r w:rsidR="00630357" w:rsidRPr="0090642E">
        <w:rPr>
          <w:rFonts w:ascii="Arial" w:hAnsi="Arial" w:cs="Arial"/>
          <w:sz w:val="24"/>
        </w:rPr>
        <w:t>, 2020</w:t>
      </w:r>
      <w:r w:rsidRPr="0090642E">
        <w:rPr>
          <w:rFonts w:ascii="Arial" w:hAnsi="Arial" w:cs="Arial"/>
          <w:sz w:val="24"/>
        </w:rPr>
        <w:t xml:space="preserve">). </w:t>
      </w:r>
    </w:p>
    <w:p w14:paraId="1E99440B" w14:textId="77777777" w:rsidR="002961A4" w:rsidRPr="0090642E" w:rsidRDefault="002961A4" w:rsidP="0090642E">
      <w:pPr>
        <w:pStyle w:val="NoSpacing"/>
        <w:spacing w:line="360" w:lineRule="auto"/>
        <w:rPr>
          <w:rFonts w:ascii="Arial" w:hAnsi="Arial" w:cs="Arial"/>
          <w:sz w:val="24"/>
          <w:szCs w:val="24"/>
          <w:lang w:eastAsia="en-GB"/>
        </w:rPr>
      </w:pPr>
    </w:p>
    <w:p w14:paraId="2A03D984" w14:textId="0BAD2252" w:rsidR="003D512A" w:rsidRPr="0090642E" w:rsidRDefault="003D512A" w:rsidP="0090642E">
      <w:pPr>
        <w:spacing w:line="360" w:lineRule="auto"/>
        <w:rPr>
          <w:rFonts w:ascii="Arial" w:hAnsi="Arial" w:cs="Arial"/>
          <w:sz w:val="24"/>
        </w:rPr>
      </w:pPr>
      <w:r w:rsidRPr="0090642E">
        <w:rPr>
          <w:rFonts w:ascii="Arial" w:hAnsi="Arial" w:cs="Arial"/>
          <w:sz w:val="24"/>
        </w:rPr>
        <w:t>Furthermore, the Delphi as a method was suitable to determine if consensus exists in interpreting professional attitude and behaviour competency statements. The Delphi method has gradually found its place in academic studies, becoming highly popular in the early 21st century (</w:t>
      </w:r>
      <w:proofErr w:type="spellStart"/>
      <w:r w:rsidRPr="0090642E">
        <w:rPr>
          <w:rFonts w:ascii="Arial" w:hAnsi="Arial" w:cs="Arial"/>
          <w:sz w:val="24"/>
        </w:rPr>
        <w:t>Landeta</w:t>
      </w:r>
      <w:proofErr w:type="spellEnd"/>
      <w:r w:rsidRPr="0090642E">
        <w:rPr>
          <w:rFonts w:ascii="Arial" w:hAnsi="Arial" w:cs="Arial"/>
          <w:sz w:val="24"/>
        </w:rPr>
        <w:t>, 2006). It is described as “a method used to systematically combine expert knowledge and opinion to arrive at an informed group consensus on a complex problem” (Donohoe and Needham, 2009, p. 416).</w:t>
      </w:r>
    </w:p>
    <w:p w14:paraId="0C0A69ED" w14:textId="77777777" w:rsidR="002961A4" w:rsidRPr="0090642E" w:rsidRDefault="002961A4" w:rsidP="0090642E">
      <w:pPr>
        <w:pStyle w:val="NoSpacing"/>
        <w:spacing w:line="360" w:lineRule="auto"/>
        <w:rPr>
          <w:rFonts w:ascii="Arial" w:hAnsi="Arial" w:cs="Arial"/>
          <w:sz w:val="24"/>
          <w:szCs w:val="24"/>
          <w:lang w:eastAsia="en-GB"/>
        </w:rPr>
      </w:pPr>
    </w:p>
    <w:p w14:paraId="70BC5C91" w14:textId="4EA041D2" w:rsidR="003D512A" w:rsidRPr="0090642E" w:rsidRDefault="003D512A" w:rsidP="0090642E">
      <w:pPr>
        <w:spacing w:line="360" w:lineRule="auto"/>
        <w:rPr>
          <w:rFonts w:ascii="Arial" w:eastAsiaTheme="minorHAnsi" w:hAnsi="Arial" w:cs="Arial"/>
          <w:sz w:val="24"/>
          <w:lang w:eastAsia="en-US"/>
        </w:rPr>
      </w:pPr>
      <w:r w:rsidRPr="0090642E">
        <w:rPr>
          <w:rFonts w:ascii="Arial" w:hAnsi="Arial" w:cs="Arial"/>
          <w:sz w:val="24"/>
        </w:rPr>
        <w:t>In response to the literature reporting concerns about practice-based assessors’ reliability and validity in assessing clinical competence and difficulties in interpreting different levels of competency statements in practice documents which is a major factor affecting the reliability and validity of assessments (Almalkawi et al., 2018</w:t>
      </w:r>
      <w:r w:rsidR="000D5BC6" w:rsidRPr="0090642E">
        <w:rPr>
          <w:rFonts w:ascii="Arial" w:hAnsi="Arial" w:cs="Arial"/>
          <w:sz w:val="24"/>
        </w:rPr>
        <w:t>; Bradshaw et al., 2019</w:t>
      </w:r>
      <w:r w:rsidRPr="0090642E">
        <w:rPr>
          <w:rFonts w:ascii="Arial" w:hAnsi="Arial" w:cs="Arial"/>
          <w:sz w:val="24"/>
        </w:rPr>
        <w:t xml:space="preserve">), this study provides evidence that clear and unambiguous language to describe competency statements that distinguish between different levels of competence is achievable with the use of a well-designed consensus-based scoring rubric. It also shows that the problem of students being educated to meet minimum standards, reported by McCarthy and </w:t>
      </w:r>
      <w:r w:rsidRPr="0090642E">
        <w:rPr>
          <w:rFonts w:ascii="Arial" w:eastAsiaTheme="minorHAnsi" w:hAnsi="Arial" w:cs="Arial"/>
          <w:sz w:val="24"/>
          <w:lang w:eastAsia="en-US"/>
        </w:rPr>
        <w:t>Murphy (2008) as occurring in the absence of recognisable standards that indicate students’ levels of performance, can be overcome.</w:t>
      </w:r>
    </w:p>
    <w:p w14:paraId="3E9FF48D" w14:textId="77777777" w:rsidR="000D5BC6" w:rsidRPr="0090642E" w:rsidRDefault="000D5BC6" w:rsidP="0090642E">
      <w:pPr>
        <w:pStyle w:val="NoSpacing"/>
        <w:spacing w:line="360" w:lineRule="auto"/>
        <w:rPr>
          <w:rFonts w:ascii="Arial" w:hAnsi="Arial" w:cs="Arial"/>
          <w:sz w:val="24"/>
          <w:szCs w:val="24"/>
        </w:rPr>
      </w:pPr>
    </w:p>
    <w:p w14:paraId="053808B0" w14:textId="67C1FC68" w:rsidR="003D512A" w:rsidRPr="0090642E" w:rsidRDefault="003D512A" w:rsidP="0090642E">
      <w:pPr>
        <w:spacing w:line="360" w:lineRule="auto"/>
        <w:rPr>
          <w:rFonts w:ascii="Arial" w:hAnsi="Arial" w:cs="Arial"/>
          <w:sz w:val="24"/>
        </w:rPr>
      </w:pPr>
      <w:r w:rsidRPr="0090642E">
        <w:rPr>
          <w:rFonts w:ascii="Arial" w:hAnsi="Arial" w:cs="Arial"/>
          <w:sz w:val="24"/>
        </w:rPr>
        <w:t xml:space="preserve">In this study, out of the 100 invitations, the response rate in rounds I and 2 was 47% and 51% respectively. There are no criteria for acceptable response rates or attrition in Delphi. The literature reports response rates ranging from </w:t>
      </w:r>
      <w:r w:rsidRPr="0090642E">
        <w:rPr>
          <w:rFonts w:ascii="Arial" w:hAnsi="Arial" w:cs="Arial"/>
          <w:sz w:val="24"/>
        </w:rPr>
        <w:lastRenderedPageBreak/>
        <w:t xml:space="preserve">8% (Cooney et al., 1995) to 100% (Owens et al., 2008), with some authors recommending a 70% response rate to maintain rigour (Bork, 1993; </w:t>
      </w:r>
      <w:proofErr w:type="spellStart"/>
      <w:r w:rsidRPr="0090642E">
        <w:rPr>
          <w:rFonts w:ascii="Arial" w:hAnsi="Arial" w:cs="Arial"/>
          <w:sz w:val="24"/>
        </w:rPr>
        <w:t>Sumison</w:t>
      </w:r>
      <w:proofErr w:type="spellEnd"/>
      <w:r w:rsidRPr="0090642E">
        <w:rPr>
          <w:rFonts w:ascii="Arial" w:hAnsi="Arial" w:cs="Arial"/>
          <w:sz w:val="24"/>
        </w:rPr>
        <w:t>, 1998). However, achieving 70% requires considerable effort where the researcher must know the identity of respondents, and non-respondents must be pursued, which presents problems with anonymity (</w:t>
      </w:r>
      <w:r w:rsidR="00CB578A" w:rsidRPr="0090642E">
        <w:rPr>
          <w:rFonts w:ascii="Arial" w:hAnsi="Arial" w:cs="Arial"/>
          <w:sz w:val="24"/>
        </w:rPr>
        <w:t>Keeney et al.</w:t>
      </w:r>
      <w:r w:rsidRPr="0090642E">
        <w:rPr>
          <w:rFonts w:ascii="Arial" w:hAnsi="Arial" w:cs="Arial"/>
          <w:sz w:val="24"/>
        </w:rPr>
        <w:t>, 20</w:t>
      </w:r>
      <w:r w:rsidR="00CB578A" w:rsidRPr="0090642E">
        <w:rPr>
          <w:rFonts w:ascii="Arial" w:hAnsi="Arial" w:cs="Arial"/>
          <w:sz w:val="24"/>
        </w:rPr>
        <w:t>11</w:t>
      </w:r>
      <w:r w:rsidRPr="0090642E">
        <w:rPr>
          <w:rFonts w:ascii="Arial" w:hAnsi="Arial" w:cs="Arial"/>
          <w:sz w:val="24"/>
        </w:rPr>
        <w:t>).</w:t>
      </w:r>
      <w:r w:rsidRPr="0090642E">
        <w:rPr>
          <w:rFonts w:ascii="Arial" w:eastAsia="SimSun" w:hAnsi="Arial" w:cs="Arial"/>
          <w:sz w:val="24"/>
          <w:lang w:eastAsia="zh-CN"/>
        </w:rPr>
        <w:t xml:space="preserve"> </w:t>
      </w:r>
      <w:r w:rsidRPr="0090642E">
        <w:rPr>
          <w:rFonts w:ascii="Arial" w:hAnsi="Arial" w:cs="Arial"/>
          <w:sz w:val="24"/>
        </w:rPr>
        <w:t>Nonetheless, the consensus reached in this study was based on a good spread of responses representative</w:t>
      </w:r>
      <w:r w:rsidRPr="0090642E">
        <w:rPr>
          <w:rFonts w:ascii="Arial" w:eastAsia="SimSun" w:hAnsi="Arial" w:cs="Arial"/>
          <w:sz w:val="24"/>
          <w:lang w:eastAsia="zh-CN"/>
        </w:rPr>
        <w:t xml:space="preserve"> </w:t>
      </w:r>
      <w:r w:rsidRPr="0090642E">
        <w:rPr>
          <w:rFonts w:ascii="Arial" w:hAnsi="Arial" w:cs="Arial"/>
          <w:sz w:val="24"/>
        </w:rPr>
        <w:t>of all groups shown in Table 1. Having the opportunity to identify and agree the components, the consensus reached among the group can be considered as achieving face, content and concurrent validity (</w:t>
      </w:r>
      <w:r w:rsidR="00CB578A" w:rsidRPr="0090642E">
        <w:rPr>
          <w:rFonts w:ascii="Arial" w:hAnsi="Arial" w:cs="Arial"/>
          <w:sz w:val="24"/>
        </w:rPr>
        <w:t>Keeney et al., 2011</w:t>
      </w:r>
      <w:r w:rsidRPr="0090642E">
        <w:rPr>
          <w:rFonts w:ascii="Arial" w:hAnsi="Arial" w:cs="Arial"/>
          <w:sz w:val="24"/>
        </w:rPr>
        <w:t>).</w:t>
      </w:r>
    </w:p>
    <w:p w14:paraId="51B1EB87" w14:textId="77777777" w:rsidR="003D512A" w:rsidRPr="0090642E" w:rsidRDefault="003D512A" w:rsidP="0090642E">
      <w:pPr>
        <w:spacing w:line="360" w:lineRule="auto"/>
        <w:rPr>
          <w:rFonts w:ascii="Arial" w:hAnsi="Arial" w:cs="Arial"/>
          <w:sz w:val="24"/>
        </w:rPr>
      </w:pPr>
    </w:p>
    <w:p w14:paraId="31A57E99" w14:textId="532162C1" w:rsidR="003D512A" w:rsidRPr="0090642E" w:rsidRDefault="003D512A" w:rsidP="0090642E">
      <w:pPr>
        <w:spacing w:line="360" w:lineRule="auto"/>
        <w:rPr>
          <w:rFonts w:ascii="Arial" w:hAnsi="Arial" w:cs="Arial"/>
          <w:sz w:val="24"/>
        </w:rPr>
      </w:pPr>
      <w:r w:rsidRPr="0090642E">
        <w:rPr>
          <w:rFonts w:ascii="Arial" w:hAnsi="Arial" w:cs="Arial"/>
          <w:sz w:val="24"/>
          <w:lang w:val="en-US"/>
        </w:rPr>
        <w:t>The panel was provided with the commonly used level descriptors. Contrary to the theoretical presumption that the Successful Outcome Markers approach of ‘Don't want to see’, ‘Expect to see’ and ‘Love to see’ would be ranked high, most participants preferred to use ‘Does not meet expectations’ – ‘Meets expectations’ – ‘Exceeds expectations’</w:t>
      </w:r>
      <w:r w:rsidR="0097017F" w:rsidRPr="0090642E">
        <w:rPr>
          <w:rFonts w:ascii="Arial" w:hAnsi="Arial" w:cs="Arial"/>
          <w:sz w:val="24"/>
          <w:lang w:val="en-US"/>
        </w:rPr>
        <w:t>,</w:t>
      </w:r>
      <w:r w:rsidRPr="0090642E">
        <w:rPr>
          <w:rFonts w:ascii="Arial" w:hAnsi="Arial" w:cs="Arial"/>
          <w:sz w:val="24"/>
          <w:lang w:val="en-US"/>
        </w:rPr>
        <w:t xml:space="preserve"> which was adopted in the final rubric draft. </w:t>
      </w:r>
      <w:bookmarkStart w:id="6" w:name="_Hlk6315310"/>
      <w:r w:rsidRPr="0090642E">
        <w:rPr>
          <w:rFonts w:ascii="Arial" w:hAnsi="Arial" w:cs="Arial"/>
          <w:sz w:val="24"/>
        </w:rPr>
        <w:t>There were no comments provided by the panel members to explain their choices but having the word ‘expectations’ may have provided the panel with clearer distinction of the levels.</w:t>
      </w:r>
      <w:r w:rsidRPr="0090642E">
        <w:rPr>
          <w:rFonts w:ascii="Arial" w:eastAsia="SimSun" w:hAnsi="Arial" w:cs="Arial"/>
          <w:sz w:val="24"/>
          <w:lang w:eastAsia="zh-CN"/>
        </w:rPr>
        <w:t xml:space="preserve"> </w:t>
      </w:r>
      <w:r w:rsidRPr="0090642E">
        <w:rPr>
          <w:rFonts w:ascii="Arial" w:hAnsi="Arial" w:cs="Arial"/>
          <w:sz w:val="24"/>
        </w:rPr>
        <w:t xml:space="preserve">Here, Delphi is utilised as a social democratic procedure that emphasises social involvement in the development of a scoring rubric. This addressed the problem reported by </w:t>
      </w:r>
      <w:r w:rsidRPr="0090642E">
        <w:rPr>
          <w:rFonts w:ascii="Arial" w:eastAsiaTheme="minorHAnsi" w:hAnsi="Arial" w:cs="Arial"/>
          <w:sz w:val="24"/>
          <w:lang w:eastAsia="en-US"/>
        </w:rPr>
        <w:t xml:space="preserve">Neary (2001, p. 4) that mentors claim that assessment strategies are “too objectively bound” and designed to suit the HEI academic requirements rather than providing sufficient scope to reflect students’ performance accurately. </w:t>
      </w:r>
    </w:p>
    <w:bookmarkEnd w:id="6"/>
    <w:p w14:paraId="1A9A32AE" w14:textId="3BF888D8" w:rsidR="006B2EF2" w:rsidRDefault="006B2EF2" w:rsidP="0090642E">
      <w:pPr>
        <w:widowControl w:val="0"/>
        <w:autoSpaceDE w:val="0"/>
        <w:autoSpaceDN w:val="0"/>
        <w:adjustRightInd w:val="0"/>
        <w:spacing w:line="360" w:lineRule="auto"/>
        <w:rPr>
          <w:rFonts w:ascii="Arial" w:hAnsi="Arial" w:cs="Arial"/>
          <w:b/>
          <w:bCs/>
          <w:sz w:val="24"/>
        </w:rPr>
      </w:pPr>
    </w:p>
    <w:p w14:paraId="34F68448" w14:textId="582B9259" w:rsidR="003D512A" w:rsidRPr="0090642E" w:rsidRDefault="003D512A" w:rsidP="0090642E">
      <w:pPr>
        <w:widowControl w:val="0"/>
        <w:autoSpaceDE w:val="0"/>
        <w:autoSpaceDN w:val="0"/>
        <w:adjustRightInd w:val="0"/>
        <w:spacing w:line="360" w:lineRule="auto"/>
        <w:jc w:val="center"/>
        <w:rPr>
          <w:rFonts w:ascii="Arial" w:hAnsi="Arial" w:cs="Arial"/>
          <w:sz w:val="24"/>
          <w:u w:val="single"/>
        </w:rPr>
      </w:pPr>
      <w:r w:rsidRPr="0090642E">
        <w:rPr>
          <w:rFonts w:ascii="Arial" w:hAnsi="Arial" w:cs="Arial"/>
          <w:sz w:val="24"/>
          <w:u w:val="single"/>
        </w:rPr>
        <w:t>LIMITATIONS</w:t>
      </w:r>
    </w:p>
    <w:p w14:paraId="703D89AE" w14:textId="77777777" w:rsidR="003D512A" w:rsidRPr="0090642E" w:rsidRDefault="003D512A" w:rsidP="0090642E">
      <w:pPr>
        <w:widowControl w:val="0"/>
        <w:autoSpaceDE w:val="0"/>
        <w:autoSpaceDN w:val="0"/>
        <w:adjustRightInd w:val="0"/>
        <w:spacing w:line="360" w:lineRule="auto"/>
        <w:rPr>
          <w:rFonts w:ascii="Arial" w:hAnsi="Arial" w:cs="Arial"/>
          <w:sz w:val="24"/>
        </w:rPr>
      </w:pPr>
      <w:r w:rsidRPr="0090642E">
        <w:rPr>
          <w:rFonts w:ascii="Arial" w:hAnsi="Arial" w:cs="Arial"/>
          <w:sz w:val="24"/>
        </w:rPr>
        <w:t>Although this study drew on a national sample of stakeholders, the generalisability of the findings may be affected by recruiting student nurses from one university and</w:t>
      </w:r>
      <w:r w:rsidRPr="0090642E">
        <w:rPr>
          <w:rFonts w:ascii="Arial" w:hAnsi="Arial" w:cs="Arial"/>
          <w:color w:val="FF0000"/>
          <w:sz w:val="24"/>
        </w:rPr>
        <w:t xml:space="preserve"> </w:t>
      </w:r>
      <w:r w:rsidRPr="0090642E">
        <w:rPr>
          <w:rFonts w:ascii="Arial" w:hAnsi="Arial" w:cs="Arial"/>
          <w:sz w:val="24"/>
        </w:rPr>
        <w:t xml:space="preserve">most of the panel members were based in London (using the PLPAD), which was necessary as the PLPAD was used in the London region at the time of conducting the study. Therefore, the findings have some limitations on generalisability beyond the single London HEI and further research with a wider nationally-representative sample is needed. While the purposive sampling method used in both phases was necessary to </w:t>
      </w:r>
      <w:r w:rsidRPr="0090642E">
        <w:rPr>
          <w:rFonts w:ascii="Arial" w:hAnsi="Arial" w:cs="Arial"/>
          <w:sz w:val="24"/>
        </w:rPr>
        <w:lastRenderedPageBreak/>
        <w:t>reach the target population, it is also considered a limitation of this study due to potential to introduce bias in the sampling process (Sharma, 2017).</w:t>
      </w:r>
    </w:p>
    <w:p w14:paraId="03D7DC04" w14:textId="77777777" w:rsidR="003D512A" w:rsidRPr="0090642E" w:rsidRDefault="003D512A" w:rsidP="0090642E">
      <w:pPr>
        <w:widowControl w:val="0"/>
        <w:autoSpaceDE w:val="0"/>
        <w:autoSpaceDN w:val="0"/>
        <w:adjustRightInd w:val="0"/>
        <w:spacing w:line="360" w:lineRule="auto"/>
        <w:rPr>
          <w:rFonts w:ascii="Arial" w:hAnsi="Arial" w:cs="Arial"/>
          <w:sz w:val="24"/>
        </w:rPr>
      </w:pPr>
    </w:p>
    <w:p w14:paraId="40207BE4" w14:textId="09E6CC3C" w:rsidR="0025554B" w:rsidRPr="0090642E" w:rsidRDefault="003D512A" w:rsidP="0090642E">
      <w:pPr>
        <w:autoSpaceDE w:val="0"/>
        <w:autoSpaceDN w:val="0"/>
        <w:adjustRightInd w:val="0"/>
        <w:spacing w:line="360" w:lineRule="auto"/>
        <w:rPr>
          <w:rFonts w:ascii="Arial" w:eastAsia="SimSun" w:hAnsi="Arial" w:cs="Arial"/>
          <w:sz w:val="24"/>
          <w:lang w:eastAsia="zh-CN"/>
        </w:rPr>
      </w:pPr>
      <w:r w:rsidRPr="0090642E">
        <w:rPr>
          <w:rFonts w:ascii="Arial" w:eastAsia="SimSun" w:hAnsi="Arial" w:cs="Arial"/>
          <w:sz w:val="24"/>
          <w:lang w:eastAsia="zh-CN"/>
        </w:rPr>
        <w:t>There were some respondents who disagreed or strongly disagreed with the few statements in the scoring rubric, but</w:t>
      </w:r>
      <w:r w:rsidRPr="0090642E">
        <w:rPr>
          <w:rFonts w:ascii="Arial" w:eastAsia="SimSun" w:hAnsi="Arial" w:cs="Arial"/>
          <w:sz w:val="24"/>
          <w:shd w:val="clear" w:color="auto" w:fill="FFFFFF"/>
          <w:lang w:eastAsia="zh-CN"/>
        </w:rPr>
        <w:t xml:space="preserve"> there were no comments provided by participants in the free-text box to explain the reasons</w:t>
      </w:r>
      <w:r w:rsidRPr="0090642E">
        <w:rPr>
          <w:rFonts w:ascii="Arial" w:eastAsia="SimSun" w:hAnsi="Arial" w:cs="Arial"/>
          <w:sz w:val="24"/>
          <w:lang w:eastAsia="zh-CN"/>
        </w:rPr>
        <w:t xml:space="preserve">. Therefore, not knowing whether respondents did not agree with the statements or they misinterpreted the direction of the Likert scale is a limitation.  </w:t>
      </w:r>
    </w:p>
    <w:p w14:paraId="10AF326A" w14:textId="40D069BD" w:rsidR="0025554B" w:rsidRDefault="0025554B" w:rsidP="0090642E">
      <w:pPr>
        <w:pStyle w:val="NoSpacing"/>
        <w:spacing w:line="360" w:lineRule="auto"/>
        <w:rPr>
          <w:rFonts w:ascii="Arial" w:hAnsi="Arial" w:cs="Arial"/>
          <w:sz w:val="24"/>
          <w:szCs w:val="24"/>
          <w:lang w:eastAsia="en-GB"/>
        </w:rPr>
      </w:pPr>
    </w:p>
    <w:p w14:paraId="16753FAB" w14:textId="77777777" w:rsidR="00F956F6" w:rsidRPr="0090642E" w:rsidRDefault="00F956F6" w:rsidP="0090642E">
      <w:pPr>
        <w:pStyle w:val="NoSpacing"/>
        <w:spacing w:line="360" w:lineRule="auto"/>
        <w:rPr>
          <w:rFonts w:ascii="Arial" w:hAnsi="Arial" w:cs="Arial"/>
          <w:sz w:val="24"/>
          <w:szCs w:val="24"/>
          <w:lang w:eastAsia="en-GB"/>
        </w:rPr>
      </w:pPr>
    </w:p>
    <w:p w14:paraId="6E6AB94B" w14:textId="77777777" w:rsidR="003D512A" w:rsidRPr="0090642E" w:rsidRDefault="003D512A" w:rsidP="0090642E">
      <w:pPr>
        <w:widowControl w:val="0"/>
        <w:autoSpaceDE w:val="0"/>
        <w:autoSpaceDN w:val="0"/>
        <w:adjustRightInd w:val="0"/>
        <w:spacing w:line="360" w:lineRule="auto"/>
        <w:jc w:val="center"/>
        <w:rPr>
          <w:rFonts w:ascii="Arial" w:hAnsi="Arial" w:cs="Arial"/>
          <w:sz w:val="24"/>
          <w:u w:val="single"/>
        </w:rPr>
      </w:pPr>
      <w:r w:rsidRPr="0090642E">
        <w:rPr>
          <w:rFonts w:ascii="Arial" w:hAnsi="Arial" w:cs="Arial"/>
          <w:sz w:val="24"/>
          <w:u w:val="single"/>
        </w:rPr>
        <w:t>CONCLUSION</w:t>
      </w:r>
    </w:p>
    <w:p w14:paraId="0F53553B" w14:textId="6E8C1790" w:rsidR="003D512A" w:rsidRPr="0090642E" w:rsidRDefault="003D512A" w:rsidP="0090642E">
      <w:pPr>
        <w:spacing w:line="360" w:lineRule="auto"/>
        <w:rPr>
          <w:rFonts w:ascii="Arial" w:hAnsi="Arial" w:cs="Arial"/>
          <w:sz w:val="24"/>
          <w:lang w:val="en-US"/>
        </w:rPr>
      </w:pPr>
      <w:r w:rsidRPr="0090642E">
        <w:rPr>
          <w:rFonts w:ascii="Arial" w:hAnsi="Arial" w:cs="Arial"/>
          <w:sz w:val="24"/>
          <w:lang w:val="en-US"/>
        </w:rPr>
        <w:t xml:space="preserve">This study is the first to use a Delphi consensus method to elicit stakeholders’ interpretation of the professional attitude, </w:t>
      </w:r>
      <w:proofErr w:type="spellStart"/>
      <w:r w:rsidRPr="0090642E">
        <w:rPr>
          <w:rFonts w:ascii="Arial" w:hAnsi="Arial" w:cs="Arial"/>
          <w:sz w:val="24"/>
          <w:lang w:val="en-US"/>
        </w:rPr>
        <w:t>behaviour</w:t>
      </w:r>
      <w:proofErr w:type="spellEnd"/>
      <w:r w:rsidRPr="0090642E">
        <w:rPr>
          <w:rFonts w:ascii="Arial" w:hAnsi="Arial" w:cs="Arial"/>
          <w:sz w:val="24"/>
          <w:lang w:val="en-US"/>
        </w:rPr>
        <w:t xml:space="preserve"> and responsibility statements in the PLPAD and subsequently design and develop a consensus-based scoring rubric to improve the validity and reliability of practice assessment decisions. This study was successful in reaching a very strong consensus (ranging from 86% to 100%) on shared interpretations of level descriptors for professional attitude and </w:t>
      </w:r>
      <w:proofErr w:type="spellStart"/>
      <w:r w:rsidRPr="0090642E">
        <w:rPr>
          <w:rFonts w:ascii="Arial" w:hAnsi="Arial" w:cs="Arial"/>
          <w:sz w:val="24"/>
          <w:lang w:val="en-US"/>
        </w:rPr>
        <w:t>behaviour</w:t>
      </w:r>
      <w:proofErr w:type="spellEnd"/>
      <w:r w:rsidRPr="0090642E">
        <w:rPr>
          <w:rFonts w:ascii="Arial" w:hAnsi="Arial" w:cs="Arial"/>
          <w:sz w:val="24"/>
          <w:lang w:val="en-US"/>
        </w:rPr>
        <w:t xml:space="preserve"> competency statements, which is a unique outcome of this study. The scoring rubric presented here for professional attitude, </w:t>
      </w:r>
      <w:proofErr w:type="spellStart"/>
      <w:r w:rsidRPr="0090642E">
        <w:rPr>
          <w:rFonts w:ascii="Arial" w:hAnsi="Arial" w:cs="Arial"/>
          <w:sz w:val="24"/>
          <w:lang w:val="en-US"/>
        </w:rPr>
        <w:t>behaviour</w:t>
      </w:r>
      <w:proofErr w:type="spellEnd"/>
      <w:r w:rsidRPr="0090642E">
        <w:rPr>
          <w:rFonts w:ascii="Arial" w:hAnsi="Arial" w:cs="Arial"/>
          <w:sz w:val="24"/>
          <w:lang w:val="en-US"/>
        </w:rPr>
        <w:t xml:space="preserve"> and responsibility competency statements holds potential for use across all practice-based healthcare professional disciplines. A feasibility study to evaluate the usefulness of the consensus-based scoring rubric in enhancing the quality of the formative and summative assessment of nursing students from assessors’ and students’ perspectives has since been conducted and will be reported separately.</w:t>
      </w:r>
    </w:p>
    <w:p w14:paraId="1D2D5185" w14:textId="77777777" w:rsidR="003D512A" w:rsidRPr="0090642E" w:rsidRDefault="003D512A" w:rsidP="0090642E">
      <w:pPr>
        <w:spacing w:line="360" w:lineRule="auto"/>
        <w:jc w:val="center"/>
        <w:rPr>
          <w:rFonts w:ascii="Arial" w:hAnsi="Arial" w:cs="Arial"/>
          <w:bCs/>
          <w:sz w:val="24"/>
          <w:u w:val="single"/>
        </w:rPr>
      </w:pPr>
      <w:r w:rsidRPr="0090642E">
        <w:rPr>
          <w:rFonts w:ascii="Arial" w:hAnsi="Arial" w:cs="Arial"/>
          <w:bCs/>
          <w:sz w:val="24"/>
          <w:u w:val="single"/>
        </w:rPr>
        <w:t>REFERENCES</w:t>
      </w:r>
    </w:p>
    <w:p w14:paraId="46838E6E" w14:textId="39C67566" w:rsidR="00722972" w:rsidRPr="005D17BA" w:rsidRDefault="00722972" w:rsidP="005D5F17">
      <w:pPr>
        <w:widowControl w:val="0"/>
        <w:autoSpaceDE w:val="0"/>
        <w:autoSpaceDN w:val="0"/>
        <w:adjustRightInd w:val="0"/>
        <w:ind w:left="480" w:hanging="480"/>
        <w:rPr>
          <w:rFonts w:ascii="Arial" w:hAnsi="Arial" w:cs="Arial"/>
          <w:sz w:val="24"/>
        </w:rPr>
      </w:pPr>
      <w:bookmarkStart w:id="7" w:name="_Hlk57554767"/>
      <w:proofErr w:type="spellStart"/>
      <w:r w:rsidRPr="005D17BA">
        <w:rPr>
          <w:rFonts w:ascii="Arial" w:hAnsi="Arial" w:cs="Arial"/>
          <w:sz w:val="24"/>
        </w:rPr>
        <w:t>Ajjawi</w:t>
      </w:r>
      <w:bookmarkEnd w:id="7"/>
      <w:proofErr w:type="spellEnd"/>
      <w:r w:rsidRPr="005D17BA">
        <w:rPr>
          <w:rFonts w:ascii="Arial" w:hAnsi="Arial" w:cs="Arial"/>
          <w:sz w:val="24"/>
        </w:rPr>
        <w:t xml:space="preserve">, R., Tai, J., </w:t>
      </w:r>
      <w:proofErr w:type="spellStart"/>
      <w:r w:rsidRPr="005D17BA">
        <w:rPr>
          <w:rFonts w:ascii="Arial" w:hAnsi="Arial" w:cs="Arial"/>
          <w:sz w:val="24"/>
        </w:rPr>
        <w:t>Huu</w:t>
      </w:r>
      <w:proofErr w:type="spellEnd"/>
      <w:r w:rsidRPr="005D17BA">
        <w:rPr>
          <w:rFonts w:ascii="Arial" w:hAnsi="Arial" w:cs="Arial"/>
          <w:sz w:val="24"/>
        </w:rPr>
        <w:t xml:space="preserve"> </w:t>
      </w:r>
      <w:proofErr w:type="spellStart"/>
      <w:r w:rsidRPr="005D17BA">
        <w:rPr>
          <w:rFonts w:ascii="Arial" w:hAnsi="Arial" w:cs="Arial"/>
          <w:sz w:val="24"/>
        </w:rPr>
        <w:t>Nghia</w:t>
      </w:r>
      <w:proofErr w:type="spellEnd"/>
      <w:r w:rsidRPr="005D17BA">
        <w:rPr>
          <w:rFonts w:ascii="Arial" w:hAnsi="Arial" w:cs="Arial"/>
          <w:sz w:val="24"/>
        </w:rPr>
        <w:t xml:space="preserve">, T.L., </w:t>
      </w:r>
      <w:proofErr w:type="spellStart"/>
      <w:r w:rsidRPr="005D17BA">
        <w:rPr>
          <w:rFonts w:ascii="Arial" w:hAnsi="Arial" w:cs="Arial"/>
          <w:sz w:val="24"/>
        </w:rPr>
        <w:t>Boud</w:t>
      </w:r>
      <w:proofErr w:type="spellEnd"/>
      <w:r w:rsidRPr="005D17BA">
        <w:rPr>
          <w:rFonts w:ascii="Arial" w:hAnsi="Arial" w:cs="Arial"/>
          <w:sz w:val="24"/>
        </w:rPr>
        <w:t>, D., Johnson, L.</w:t>
      </w:r>
      <w:r w:rsidR="00FB4B37" w:rsidRPr="005D17BA">
        <w:rPr>
          <w:rFonts w:ascii="Arial" w:hAnsi="Arial" w:cs="Arial"/>
          <w:sz w:val="24"/>
        </w:rPr>
        <w:t>,</w:t>
      </w:r>
      <w:r w:rsidRPr="005D17BA">
        <w:rPr>
          <w:rFonts w:ascii="Arial" w:hAnsi="Arial" w:cs="Arial"/>
          <w:sz w:val="24"/>
        </w:rPr>
        <w:t xml:space="preserve"> Patrick, C.J.</w:t>
      </w:r>
      <w:r w:rsidR="00FB4B37" w:rsidRPr="005D17BA">
        <w:rPr>
          <w:rFonts w:ascii="Arial" w:hAnsi="Arial" w:cs="Arial"/>
          <w:sz w:val="24"/>
        </w:rPr>
        <w:t xml:space="preserve">, </w:t>
      </w:r>
      <w:r w:rsidRPr="005D17BA">
        <w:rPr>
          <w:rFonts w:ascii="Arial" w:hAnsi="Arial" w:cs="Arial"/>
          <w:sz w:val="24"/>
        </w:rPr>
        <w:t>2020</w:t>
      </w:r>
      <w:r w:rsidR="00FB4B37" w:rsidRPr="005D17BA">
        <w:rPr>
          <w:rFonts w:ascii="Arial" w:hAnsi="Arial" w:cs="Arial"/>
          <w:sz w:val="24"/>
        </w:rPr>
        <w:t>.</w:t>
      </w:r>
      <w:r w:rsidRPr="005D17BA">
        <w:rPr>
          <w:rFonts w:ascii="Arial" w:hAnsi="Arial" w:cs="Arial"/>
          <w:sz w:val="24"/>
        </w:rPr>
        <w:t xml:space="preserve"> Aligning assessment with the needs of work-integrated learning: The challenge of authentic assessment in a complex context. Assessment </w:t>
      </w:r>
      <w:r w:rsidR="00B944F7" w:rsidRPr="005D17BA">
        <w:rPr>
          <w:rFonts w:ascii="Arial" w:hAnsi="Arial" w:cs="Arial"/>
          <w:sz w:val="24"/>
        </w:rPr>
        <w:t>and</w:t>
      </w:r>
      <w:r w:rsidRPr="005D17BA">
        <w:rPr>
          <w:rFonts w:ascii="Arial" w:hAnsi="Arial" w:cs="Arial"/>
          <w:sz w:val="24"/>
        </w:rPr>
        <w:t xml:space="preserve"> Evaluation in Higher Education, 45(2), pp.304-316.</w:t>
      </w:r>
      <w:r w:rsidR="00FB4B37" w:rsidRPr="005D17BA">
        <w:rPr>
          <w:rFonts w:ascii="Arial" w:hAnsi="Arial" w:cs="Arial"/>
          <w:sz w:val="24"/>
        </w:rPr>
        <w:t xml:space="preserve"> </w:t>
      </w:r>
      <w:hyperlink r:id="rId8" w:history="1">
        <w:r w:rsidR="00FB4B37" w:rsidRPr="005D17BA">
          <w:rPr>
            <w:rStyle w:val="Hyperlink"/>
            <w:rFonts w:ascii="Arial" w:hAnsi="Arial" w:cs="Arial"/>
            <w:sz w:val="24"/>
          </w:rPr>
          <w:t>https://doi.org/10.1080/02602938.2019.1639613</w:t>
        </w:r>
      </w:hyperlink>
      <w:r w:rsidR="00FB4B37" w:rsidRPr="005D17BA">
        <w:rPr>
          <w:rFonts w:ascii="Arial" w:hAnsi="Arial" w:cs="Arial"/>
          <w:sz w:val="24"/>
        </w:rPr>
        <w:t xml:space="preserve"> </w:t>
      </w:r>
    </w:p>
    <w:p w14:paraId="1E3E4607" w14:textId="59640A90"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Almalkawi, I., Jester, R.</w:t>
      </w:r>
      <w:r w:rsidR="00FB4B37" w:rsidRPr="005D17BA">
        <w:rPr>
          <w:rFonts w:ascii="Arial" w:hAnsi="Arial" w:cs="Arial"/>
          <w:sz w:val="24"/>
        </w:rPr>
        <w:t>,</w:t>
      </w:r>
      <w:r w:rsidRPr="005D17BA">
        <w:rPr>
          <w:rFonts w:ascii="Arial" w:hAnsi="Arial" w:cs="Arial"/>
          <w:sz w:val="24"/>
        </w:rPr>
        <w:t xml:space="preserve"> Terry, L.</w:t>
      </w:r>
      <w:r w:rsidR="00AF59A5" w:rsidRPr="005D17BA">
        <w:rPr>
          <w:rFonts w:ascii="Arial" w:hAnsi="Arial" w:cs="Arial"/>
          <w:sz w:val="24"/>
        </w:rPr>
        <w:t xml:space="preserve">, </w:t>
      </w:r>
      <w:r w:rsidRPr="005D17BA">
        <w:rPr>
          <w:rFonts w:ascii="Arial" w:hAnsi="Arial" w:cs="Arial"/>
          <w:sz w:val="24"/>
        </w:rPr>
        <w:t xml:space="preserve">2018. Exploring mentors' interpretation of terminology and levels of competence when assessing nursing students: An integrative review. Nurse education today, </w:t>
      </w:r>
      <w:r w:rsidRPr="005D17BA">
        <w:rPr>
          <w:rFonts w:ascii="Arial" w:hAnsi="Arial" w:cs="Arial"/>
          <w:bCs/>
          <w:sz w:val="24"/>
        </w:rPr>
        <w:t>69</w:t>
      </w:r>
      <w:r w:rsidRPr="005D17BA">
        <w:rPr>
          <w:rFonts w:ascii="Arial" w:hAnsi="Arial" w:cs="Arial"/>
          <w:sz w:val="24"/>
        </w:rPr>
        <w:t xml:space="preserve">, 95–103. </w:t>
      </w:r>
      <w:hyperlink r:id="rId9" w:history="1">
        <w:r w:rsidRPr="005D17BA">
          <w:rPr>
            <w:rStyle w:val="Hyperlink"/>
            <w:rFonts w:ascii="Arial" w:hAnsi="Arial" w:cs="Arial"/>
            <w:sz w:val="24"/>
          </w:rPr>
          <w:t>https://doi.org/10.1016/j.nedt.2018.07.003</w:t>
        </w:r>
      </w:hyperlink>
      <w:r w:rsidRPr="005D17BA">
        <w:rPr>
          <w:rFonts w:ascii="Arial" w:hAnsi="Arial" w:cs="Arial"/>
          <w:sz w:val="24"/>
        </w:rPr>
        <w:t xml:space="preserve"> </w:t>
      </w:r>
    </w:p>
    <w:p w14:paraId="49EDFFA9" w14:textId="3CD33A53" w:rsidR="000D5BC6" w:rsidRPr="005D17BA" w:rsidRDefault="000D5BC6"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Bachmann, L., </w:t>
      </w:r>
      <w:proofErr w:type="spellStart"/>
      <w:r w:rsidRPr="005D17BA">
        <w:rPr>
          <w:rFonts w:ascii="Arial" w:hAnsi="Arial" w:cs="Arial"/>
          <w:sz w:val="24"/>
        </w:rPr>
        <w:t>Groenvik</w:t>
      </w:r>
      <w:proofErr w:type="spellEnd"/>
      <w:r w:rsidRPr="005D17BA">
        <w:rPr>
          <w:rFonts w:ascii="Arial" w:hAnsi="Arial" w:cs="Arial"/>
          <w:sz w:val="24"/>
        </w:rPr>
        <w:t>, C.K.U., Hauge, K.W.</w:t>
      </w:r>
      <w:r w:rsidR="00FB4B37" w:rsidRPr="005D17BA">
        <w:rPr>
          <w:rFonts w:ascii="Arial" w:hAnsi="Arial" w:cs="Arial"/>
          <w:sz w:val="24"/>
        </w:rPr>
        <w:t>,</w:t>
      </w:r>
      <w:r w:rsidRPr="005D17BA">
        <w:rPr>
          <w:rFonts w:ascii="Arial" w:hAnsi="Arial" w:cs="Arial"/>
          <w:sz w:val="24"/>
        </w:rPr>
        <w:t xml:space="preserve"> </w:t>
      </w:r>
      <w:proofErr w:type="spellStart"/>
      <w:r w:rsidRPr="005D17BA">
        <w:rPr>
          <w:rFonts w:ascii="Arial" w:hAnsi="Arial" w:cs="Arial"/>
          <w:sz w:val="24"/>
        </w:rPr>
        <w:t>Julnes</w:t>
      </w:r>
      <w:proofErr w:type="spellEnd"/>
      <w:r w:rsidRPr="005D17BA">
        <w:rPr>
          <w:rFonts w:ascii="Arial" w:hAnsi="Arial" w:cs="Arial"/>
          <w:sz w:val="24"/>
        </w:rPr>
        <w:t>, S.</w:t>
      </w:r>
      <w:r w:rsidR="00FB4B37" w:rsidRPr="005D17BA">
        <w:rPr>
          <w:rFonts w:ascii="Arial" w:hAnsi="Arial" w:cs="Arial"/>
          <w:sz w:val="24"/>
        </w:rPr>
        <w:t xml:space="preserve">, </w:t>
      </w:r>
      <w:r w:rsidRPr="005D17BA">
        <w:rPr>
          <w:rFonts w:ascii="Arial" w:hAnsi="Arial" w:cs="Arial"/>
          <w:sz w:val="24"/>
        </w:rPr>
        <w:t>2019</w:t>
      </w:r>
      <w:r w:rsidR="00FB4B37" w:rsidRPr="005D17BA">
        <w:rPr>
          <w:rFonts w:ascii="Arial" w:hAnsi="Arial" w:cs="Arial"/>
          <w:sz w:val="24"/>
        </w:rPr>
        <w:t>.</w:t>
      </w:r>
      <w:r w:rsidRPr="005D17BA">
        <w:rPr>
          <w:rFonts w:ascii="Arial" w:hAnsi="Arial" w:cs="Arial"/>
          <w:sz w:val="24"/>
        </w:rPr>
        <w:t xml:space="preserve"> Failing to Fail nursing students among mentors: A confirmatory factor analysis of </w:t>
      </w:r>
      <w:r w:rsidRPr="005D17BA">
        <w:rPr>
          <w:rFonts w:ascii="Arial" w:hAnsi="Arial" w:cs="Arial"/>
          <w:sz w:val="24"/>
        </w:rPr>
        <w:lastRenderedPageBreak/>
        <w:t xml:space="preserve">the Failing to Fail scale. Nursing Open, 6(3), pp. 966-973. </w:t>
      </w:r>
      <w:hyperlink r:id="rId10" w:history="1">
        <w:r w:rsidRPr="005D17BA">
          <w:rPr>
            <w:rStyle w:val="Hyperlink"/>
            <w:rFonts w:ascii="Arial" w:hAnsi="Arial" w:cs="Arial"/>
            <w:sz w:val="24"/>
          </w:rPr>
          <w:t>https://doi.org/10.1002/nop2.276</w:t>
        </w:r>
      </w:hyperlink>
      <w:r w:rsidRPr="005D17BA">
        <w:rPr>
          <w:rFonts w:ascii="Arial" w:hAnsi="Arial" w:cs="Arial"/>
          <w:sz w:val="24"/>
        </w:rPr>
        <w:t xml:space="preserve"> </w:t>
      </w:r>
    </w:p>
    <w:p w14:paraId="633C44E1" w14:textId="203F253B" w:rsidR="005822F2" w:rsidRPr="005D17BA" w:rsidRDefault="005822F2"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Boateng, B.A., Bass, L.D., </w:t>
      </w:r>
      <w:proofErr w:type="spellStart"/>
      <w:r w:rsidRPr="005D17BA">
        <w:rPr>
          <w:rFonts w:ascii="Arial" w:hAnsi="Arial" w:cs="Arial"/>
          <w:sz w:val="24"/>
        </w:rPr>
        <w:t>Blaszak</w:t>
      </w:r>
      <w:proofErr w:type="spellEnd"/>
      <w:r w:rsidRPr="005D17BA">
        <w:rPr>
          <w:rFonts w:ascii="Arial" w:hAnsi="Arial" w:cs="Arial"/>
          <w:sz w:val="24"/>
        </w:rPr>
        <w:t>, R.T.</w:t>
      </w:r>
      <w:r w:rsidR="00FB4B37" w:rsidRPr="005D17BA">
        <w:rPr>
          <w:rFonts w:ascii="Arial" w:hAnsi="Arial" w:cs="Arial"/>
          <w:sz w:val="24"/>
        </w:rPr>
        <w:t>,</w:t>
      </w:r>
      <w:r w:rsidRPr="005D17BA">
        <w:rPr>
          <w:rFonts w:ascii="Arial" w:hAnsi="Arial" w:cs="Arial"/>
          <w:sz w:val="24"/>
        </w:rPr>
        <w:t xml:space="preserve"> Farrar, H.C.</w:t>
      </w:r>
      <w:r w:rsidR="00FB4B37" w:rsidRPr="005D17BA">
        <w:rPr>
          <w:rFonts w:ascii="Arial" w:hAnsi="Arial" w:cs="Arial"/>
          <w:sz w:val="24"/>
        </w:rPr>
        <w:t xml:space="preserve">, </w:t>
      </w:r>
      <w:r w:rsidRPr="005D17BA">
        <w:rPr>
          <w:rFonts w:ascii="Arial" w:hAnsi="Arial" w:cs="Arial"/>
          <w:sz w:val="24"/>
        </w:rPr>
        <w:t>2009</w:t>
      </w:r>
      <w:r w:rsidR="00FB4B37" w:rsidRPr="005D17BA">
        <w:rPr>
          <w:rFonts w:ascii="Arial" w:hAnsi="Arial" w:cs="Arial"/>
          <w:sz w:val="24"/>
        </w:rPr>
        <w:t>.</w:t>
      </w:r>
      <w:r w:rsidRPr="005D17BA">
        <w:rPr>
          <w:rFonts w:ascii="Arial" w:hAnsi="Arial" w:cs="Arial"/>
          <w:sz w:val="24"/>
        </w:rPr>
        <w:t xml:space="preserve"> The development of a competency-based assessment rubric to measure resident milestones. Journal of graduate medical education, 1(1), pp.45-48. </w:t>
      </w:r>
      <w:hyperlink r:id="rId11" w:history="1">
        <w:r w:rsidRPr="005D17BA">
          <w:rPr>
            <w:rStyle w:val="Hyperlink"/>
            <w:rFonts w:ascii="Arial" w:hAnsi="Arial" w:cs="Arial"/>
            <w:sz w:val="24"/>
          </w:rPr>
          <w:t>https://dx.doi.org/10.4300%2F01.01.0008</w:t>
        </w:r>
      </w:hyperlink>
      <w:r w:rsidRPr="005D17BA">
        <w:rPr>
          <w:rFonts w:ascii="Arial" w:hAnsi="Arial" w:cs="Arial"/>
          <w:sz w:val="24"/>
        </w:rPr>
        <w:t xml:space="preserve"> </w:t>
      </w:r>
    </w:p>
    <w:p w14:paraId="6DC2F49B" w14:textId="3EBD6B22"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Bork, C.E.</w:t>
      </w:r>
      <w:r w:rsidR="00FB4B37" w:rsidRPr="005D17BA">
        <w:rPr>
          <w:rFonts w:ascii="Arial" w:hAnsi="Arial" w:cs="Arial"/>
          <w:sz w:val="24"/>
        </w:rPr>
        <w:t>,</w:t>
      </w:r>
      <w:r w:rsidRPr="005D17BA">
        <w:rPr>
          <w:rFonts w:ascii="Arial" w:hAnsi="Arial" w:cs="Arial"/>
          <w:sz w:val="24"/>
        </w:rPr>
        <w:t xml:space="preserve">1993. Research in Physical Therapy. </w:t>
      </w:r>
      <w:proofErr w:type="spellStart"/>
      <w:r w:rsidRPr="005D17BA">
        <w:rPr>
          <w:rFonts w:ascii="Arial" w:hAnsi="Arial" w:cs="Arial"/>
          <w:sz w:val="24"/>
        </w:rPr>
        <w:t>Philladelphia</w:t>
      </w:r>
      <w:proofErr w:type="spellEnd"/>
      <w:r w:rsidRPr="005D17BA">
        <w:rPr>
          <w:rFonts w:ascii="Arial" w:hAnsi="Arial" w:cs="Arial"/>
          <w:sz w:val="24"/>
        </w:rPr>
        <w:t>: J.B. Lippincott Co</w:t>
      </w:r>
    </w:p>
    <w:p w14:paraId="7DEFF71E" w14:textId="5BADAA0F" w:rsidR="00384C66"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Bowling, A.</w:t>
      </w:r>
      <w:r w:rsidR="00FB4B37" w:rsidRPr="005D17BA">
        <w:rPr>
          <w:rFonts w:ascii="Arial" w:hAnsi="Arial" w:cs="Arial"/>
          <w:sz w:val="24"/>
        </w:rPr>
        <w:t xml:space="preserve">, </w:t>
      </w:r>
      <w:r w:rsidRPr="005D17BA">
        <w:rPr>
          <w:rFonts w:ascii="Arial" w:hAnsi="Arial" w:cs="Arial"/>
          <w:sz w:val="24"/>
        </w:rPr>
        <w:t>2014. Research methods in health: investigating health and health services. UK: McGraw-Hill Education.</w:t>
      </w:r>
    </w:p>
    <w:p w14:paraId="4C46CDBF" w14:textId="3C5B1027" w:rsidR="00460BCA" w:rsidRPr="005D17BA" w:rsidRDefault="00460BCA" w:rsidP="005D5F17">
      <w:pPr>
        <w:widowControl w:val="0"/>
        <w:autoSpaceDE w:val="0"/>
        <w:autoSpaceDN w:val="0"/>
        <w:adjustRightInd w:val="0"/>
        <w:ind w:left="480" w:hanging="480"/>
        <w:rPr>
          <w:rFonts w:ascii="Arial" w:hAnsi="Arial" w:cs="Arial"/>
          <w:sz w:val="24"/>
        </w:rPr>
      </w:pPr>
      <w:r w:rsidRPr="005D17BA">
        <w:rPr>
          <w:rFonts w:ascii="Arial" w:hAnsi="Arial" w:cs="Arial"/>
          <w:sz w:val="24"/>
        </w:rPr>
        <w:t>Bradshaw, C., Pettigrew, J.</w:t>
      </w:r>
      <w:r w:rsidR="00FB4B37" w:rsidRPr="005D17BA">
        <w:rPr>
          <w:rFonts w:ascii="Arial" w:hAnsi="Arial" w:cs="Arial"/>
          <w:sz w:val="24"/>
        </w:rPr>
        <w:t>,</w:t>
      </w:r>
      <w:r w:rsidRPr="005D17BA">
        <w:rPr>
          <w:rFonts w:ascii="Arial" w:hAnsi="Arial" w:cs="Arial"/>
          <w:sz w:val="24"/>
        </w:rPr>
        <w:t xml:space="preserve"> Fitzpatrick, M.</w:t>
      </w:r>
      <w:r w:rsidR="00FB4B37" w:rsidRPr="005D17BA">
        <w:rPr>
          <w:rFonts w:ascii="Arial" w:hAnsi="Arial" w:cs="Arial"/>
          <w:sz w:val="24"/>
        </w:rPr>
        <w:t xml:space="preserve">, </w:t>
      </w:r>
      <w:r w:rsidRPr="005D17BA">
        <w:rPr>
          <w:rFonts w:ascii="Arial" w:hAnsi="Arial" w:cs="Arial"/>
          <w:sz w:val="24"/>
        </w:rPr>
        <w:t>2019</w:t>
      </w:r>
      <w:r w:rsidR="00FB4B37" w:rsidRPr="005D17BA">
        <w:rPr>
          <w:rFonts w:ascii="Arial" w:hAnsi="Arial" w:cs="Arial"/>
          <w:sz w:val="24"/>
        </w:rPr>
        <w:t>.</w:t>
      </w:r>
      <w:r w:rsidRPr="005D17BA">
        <w:rPr>
          <w:rFonts w:ascii="Arial" w:hAnsi="Arial" w:cs="Arial"/>
          <w:sz w:val="24"/>
        </w:rPr>
        <w:t xml:space="preserve"> Safety first: Factors affecting preceptor midwives experiences of competency assessment failure among midwifery students. Midwifery, 74, pp.29-35.</w:t>
      </w:r>
      <w:r w:rsidR="0030161E" w:rsidRPr="005D17BA">
        <w:rPr>
          <w:rFonts w:ascii="Arial" w:hAnsi="Arial" w:cs="Arial"/>
          <w:sz w:val="24"/>
        </w:rPr>
        <w:t xml:space="preserve"> </w:t>
      </w:r>
      <w:hyperlink r:id="rId12" w:history="1">
        <w:r w:rsidR="0030161E" w:rsidRPr="005D17BA">
          <w:rPr>
            <w:rStyle w:val="Hyperlink"/>
            <w:rFonts w:ascii="Arial" w:hAnsi="Arial" w:cs="Arial"/>
            <w:sz w:val="24"/>
          </w:rPr>
          <w:t>https://doi.org/10.1016/j.midw.2019.03.012</w:t>
        </w:r>
      </w:hyperlink>
      <w:r w:rsidR="0030161E" w:rsidRPr="005D17BA">
        <w:rPr>
          <w:rFonts w:ascii="Arial" w:hAnsi="Arial" w:cs="Arial"/>
          <w:sz w:val="24"/>
        </w:rPr>
        <w:t xml:space="preserve"> </w:t>
      </w:r>
    </w:p>
    <w:p w14:paraId="7C1BC760" w14:textId="035866C8"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Brown, L., Douglas, V., Garrity, J.</w:t>
      </w:r>
      <w:r w:rsidR="00FB4B37" w:rsidRPr="005D17BA">
        <w:rPr>
          <w:rFonts w:ascii="Arial" w:hAnsi="Arial" w:cs="Arial"/>
          <w:sz w:val="24"/>
        </w:rPr>
        <w:t>,</w:t>
      </w:r>
      <w:r w:rsidRPr="005D17BA">
        <w:rPr>
          <w:rFonts w:ascii="Arial" w:hAnsi="Arial" w:cs="Arial"/>
          <w:sz w:val="24"/>
        </w:rPr>
        <w:t xml:space="preserve"> Shepherd, C.K.</w:t>
      </w:r>
      <w:r w:rsidR="00FB4B37" w:rsidRPr="005D17BA">
        <w:rPr>
          <w:rFonts w:ascii="Arial" w:hAnsi="Arial" w:cs="Arial"/>
          <w:sz w:val="24"/>
        </w:rPr>
        <w:t xml:space="preserve">, </w:t>
      </w:r>
      <w:r w:rsidRPr="005D17BA">
        <w:rPr>
          <w:rFonts w:ascii="Arial" w:hAnsi="Arial" w:cs="Arial"/>
          <w:sz w:val="24"/>
        </w:rPr>
        <w:t xml:space="preserve">2012. What influences mentors to pass or fail students. Nursing Management, 19(5), 16-21. </w:t>
      </w:r>
      <w:hyperlink r:id="rId13" w:history="1">
        <w:r w:rsidRPr="005D17BA">
          <w:rPr>
            <w:rStyle w:val="Hyperlink"/>
            <w:rFonts w:ascii="Arial" w:hAnsi="Arial" w:cs="Arial"/>
            <w:sz w:val="24"/>
          </w:rPr>
          <w:t>https://doi.org/10.7748/nm2012.09.19.5.16.c9260</w:t>
        </w:r>
      </w:hyperlink>
      <w:r w:rsidRPr="005D17BA">
        <w:rPr>
          <w:rFonts w:ascii="Arial" w:hAnsi="Arial" w:cs="Arial"/>
          <w:sz w:val="24"/>
        </w:rPr>
        <w:t xml:space="preserve"> </w:t>
      </w:r>
    </w:p>
    <w:p w14:paraId="40C456FB" w14:textId="779B61A0" w:rsidR="00B730F6" w:rsidRDefault="00B730F6" w:rsidP="00B730F6">
      <w:pPr>
        <w:widowControl w:val="0"/>
        <w:autoSpaceDE w:val="0"/>
        <w:autoSpaceDN w:val="0"/>
        <w:adjustRightInd w:val="0"/>
        <w:ind w:left="480" w:hanging="480"/>
        <w:rPr>
          <w:rFonts w:ascii="Arial" w:hAnsi="Arial" w:cs="Arial"/>
          <w:sz w:val="24"/>
        </w:rPr>
      </w:pPr>
      <w:r w:rsidRPr="00B730F6">
        <w:rPr>
          <w:rFonts w:ascii="Arial" w:hAnsi="Arial" w:cs="Arial"/>
          <w:sz w:val="24"/>
        </w:rPr>
        <w:t>Buck, A. J., Gross, M., Hakim, S</w:t>
      </w:r>
      <w:r>
        <w:rPr>
          <w:rFonts w:ascii="Arial" w:hAnsi="Arial" w:cs="Arial"/>
          <w:sz w:val="24"/>
        </w:rPr>
        <w:t>.,</w:t>
      </w:r>
      <w:r w:rsidRPr="00B730F6">
        <w:rPr>
          <w:rFonts w:ascii="Arial" w:hAnsi="Arial" w:cs="Arial"/>
          <w:sz w:val="24"/>
        </w:rPr>
        <w:t xml:space="preserve"> </w:t>
      </w:r>
      <w:proofErr w:type="spellStart"/>
      <w:r w:rsidRPr="00B730F6">
        <w:rPr>
          <w:rFonts w:ascii="Arial" w:hAnsi="Arial" w:cs="Arial"/>
          <w:sz w:val="24"/>
        </w:rPr>
        <w:t>Wainblatt</w:t>
      </w:r>
      <w:proofErr w:type="spellEnd"/>
      <w:r w:rsidRPr="00B730F6">
        <w:rPr>
          <w:rFonts w:ascii="Arial" w:hAnsi="Arial" w:cs="Arial"/>
          <w:sz w:val="24"/>
        </w:rPr>
        <w:t>, J.</w:t>
      </w:r>
      <w:r>
        <w:rPr>
          <w:rFonts w:ascii="Arial" w:hAnsi="Arial" w:cs="Arial"/>
          <w:sz w:val="24"/>
        </w:rPr>
        <w:t xml:space="preserve">, </w:t>
      </w:r>
      <w:r w:rsidRPr="00B730F6">
        <w:rPr>
          <w:rFonts w:ascii="Arial" w:hAnsi="Arial" w:cs="Arial"/>
          <w:sz w:val="24"/>
        </w:rPr>
        <w:t xml:space="preserve">1993. Using the Delphi process to analyse social policy implementation- a post hoc case of from vocational rehabilitation. </w:t>
      </w:r>
      <w:r w:rsidRPr="00B730F6">
        <w:rPr>
          <w:rFonts w:ascii="Arial" w:hAnsi="Arial" w:cs="Arial"/>
          <w:i/>
          <w:sz w:val="24"/>
        </w:rPr>
        <w:t>Policy Sciences</w:t>
      </w:r>
      <w:r w:rsidRPr="00B730F6">
        <w:rPr>
          <w:rFonts w:ascii="Arial" w:hAnsi="Arial" w:cs="Arial"/>
          <w:sz w:val="24"/>
        </w:rPr>
        <w:t xml:space="preserve">, 26(4), 271-288. </w:t>
      </w:r>
      <w:hyperlink r:id="rId14" w:history="1">
        <w:r w:rsidRPr="00B730F6">
          <w:rPr>
            <w:rStyle w:val="Hyperlink"/>
            <w:rFonts w:ascii="Arial" w:hAnsi="Arial" w:cs="Arial"/>
            <w:sz w:val="24"/>
          </w:rPr>
          <w:t>https://doi.org/10.1007/BF00999473</w:t>
        </w:r>
      </w:hyperlink>
      <w:r w:rsidRPr="00B730F6">
        <w:rPr>
          <w:rFonts w:ascii="Arial" w:hAnsi="Arial" w:cs="Arial"/>
          <w:sz w:val="24"/>
        </w:rPr>
        <w:t xml:space="preserve"> </w:t>
      </w:r>
    </w:p>
    <w:p w14:paraId="10E8C740" w14:textId="5B149C7D"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Burkhart-</w:t>
      </w:r>
      <w:proofErr w:type="spellStart"/>
      <w:r w:rsidRPr="005D17BA">
        <w:rPr>
          <w:rFonts w:ascii="Arial" w:hAnsi="Arial" w:cs="Arial"/>
          <w:sz w:val="24"/>
        </w:rPr>
        <w:t>Kriesel</w:t>
      </w:r>
      <w:proofErr w:type="spellEnd"/>
      <w:r w:rsidRPr="005D17BA">
        <w:rPr>
          <w:rFonts w:ascii="Arial" w:hAnsi="Arial" w:cs="Arial"/>
          <w:sz w:val="24"/>
        </w:rPr>
        <w:t xml:space="preserve">, C., </w:t>
      </w:r>
      <w:proofErr w:type="spellStart"/>
      <w:r w:rsidRPr="005D17BA">
        <w:rPr>
          <w:rFonts w:ascii="Arial" w:hAnsi="Arial" w:cs="Arial"/>
          <w:sz w:val="24"/>
        </w:rPr>
        <w:t>Trauman</w:t>
      </w:r>
      <w:proofErr w:type="spellEnd"/>
      <w:r w:rsidRPr="005D17BA">
        <w:rPr>
          <w:rFonts w:ascii="Arial" w:hAnsi="Arial" w:cs="Arial"/>
          <w:sz w:val="24"/>
        </w:rPr>
        <w:t>, K.</w:t>
      </w:r>
      <w:r w:rsidR="00FB4B37" w:rsidRPr="005D17BA">
        <w:rPr>
          <w:rFonts w:ascii="Arial" w:hAnsi="Arial" w:cs="Arial"/>
          <w:sz w:val="24"/>
        </w:rPr>
        <w:t>,</w:t>
      </w:r>
      <w:r w:rsidRPr="005D17BA">
        <w:rPr>
          <w:rFonts w:ascii="Arial" w:hAnsi="Arial" w:cs="Arial"/>
          <w:sz w:val="24"/>
        </w:rPr>
        <w:t xml:space="preserve"> Rice, T.</w:t>
      </w:r>
      <w:r w:rsidR="00FB4B37" w:rsidRPr="005D17BA">
        <w:rPr>
          <w:rFonts w:ascii="Arial" w:hAnsi="Arial" w:cs="Arial"/>
          <w:sz w:val="24"/>
        </w:rPr>
        <w:t xml:space="preserve">, </w:t>
      </w:r>
      <w:r w:rsidRPr="005D17BA">
        <w:rPr>
          <w:rFonts w:ascii="Arial" w:hAnsi="Arial" w:cs="Arial"/>
          <w:sz w:val="24"/>
        </w:rPr>
        <w:t xml:space="preserve">2011. Benchmarking to Build. Sustainable Communities: “Expect, Like and Love to See”. University of Nebraska. Retrieved from: </w:t>
      </w:r>
      <w:hyperlink r:id="rId15" w:history="1">
        <w:r w:rsidRPr="005D17BA">
          <w:rPr>
            <w:rStyle w:val="Hyperlink"/>
            <w:rFonts w:ascii="Arial" w:hAnsi="Arial" w:cs="Arial"/>
            <w:sz w:val="24"/>
          </w:rPr>
          <w:t>http://extensionpublications.unl.edu/assets/pdf/ec860.pdf</w:t>
        </w:r>
      </w:hyperlink>
      <w:r w:rsidRPr="005D17BA">
        <w:rPr>
          <w:rFonts w:ascii="Arial" w:hAnsi="Arial" w:cs="Arial"/>
          <w:sz w:val="24"/>
        </w:rPr>
        <w:t xml:space="preserve">. </w:t>
      </w:r>
    </w:p>
    <w:p w14:paraId="4D30AF33" w14:textId="462F089D" w:rsidR="003D512A" w:rsidRPr="005D17BA" w:rsidRDefault="00FB4B37"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Butler, M.P., Cassidy, I., </w:t>
      </w:r>
      <w:proofErr w:type="spellStart"/>
      <w:r w:rsidRPr="005D17BA">
        <w:rPr>
          <w:rFonts w:ascii="Arial" w:hAnsi="Arial" w:cs="Arial"/>
          <w:sz w:val="24"/>
        </w:rPr>
        <w:t>Quillinan</w:t>
      </w:r>
      <w:proofErr w:type="spellEnd"/>
      <w:r w:rsidRPr="005D17BA">
        <w:rPr>
          <w:rFonts w:ascii="Arial" w:hAnsi="Arial" w:cs="Arial"/>
          <w:sz w:val="24"/>
        </w:rPr>
        <w:t xml:space="preserve">, B., Fahy, A., Bradshaw, C., Tuohy, D., O’Connor, M., Mc </w:t>
      </w:r>
      <w:proofErr w:type="spellStart"/>
      <w:r w:rsidRPr="005D17BA">
        <w:rPr>
          <w:rFonts w:ascii="Arial" w:hAnsi="Arial" w:cs="Arial"/>
          <w:sz w:val="24"/>
        </w:rPr>
        <w:t>Namara</w:t>
      </w:r>
      <w:proofErr w:type="spellEnd"/>
      <w:r w:rsidRPr="005D17BA">
        <w:rPr>
          <w:rFonts w:ascii="Arial" w:hAnsi="Arial" w:cs="Arial"/>
          <w:sz w:val="24"/>
        </w:rPr>
        <w:t xml:space="preserve">, M.C., Egan, G., Tierney, C., 2011. </w:t>
      </w:r>
      <w:r w:rsidR="003D512A" w:rsidRPr="005D17BA">
        <w:rPr>
          <w:rFonts w:ascii="Arial" w:hAnsi="Arial" w:cs="Arial"/>
          <w:sz w:val="24"/>
        </w:rPr>
        <w:t xml:space="preserve">Competency assessment methods–tool and processes: a survey of nurse preceptors in Ireland. Nurse Education in Practice, 11(5), 298-303. </w:t>
      </w:r>
      <w:hyperlink r:id="rId16" w:history="1">
        <w:r w:rsidR="003D512A" w:rsidRPr="005D17BA">
          <w:rPr>
            <w:rStyle w:val="Hyperlink"/>
            <w:rFonts w:ascii="Arial" w:hAnsi="Arial" w:cs="Arial"/>
            <w:sz w:val="24"/>
          </w:rPr>
          <w:t>https://doi.org/10.1016/j.nepr.2011.01.006</w:t>
        </w:r>
      </w:hyperlink>
      <w:r w:rsidR="003D512A" w:rsidRPr="005D17BA">
        <w:rPr>
          <w:rFonts w:ascii="Arial" w:hAnsi="Arial" w:cs="Arial"/>
          <w:sz w:val="24"/>
        </w:rPr>
        <w:t xml:space="preserve"> </w:t>
      </w:r>
    </w:p>
    <w:p w14:paraId="571E371D" w14:textId="2B7850DA" w:rsidR="007E27D4" w:rsidRDefault="007E27D4" w:rsidP="005D5F17">
      <w:pPr>
        <w:widowControl w:val="0"/>
        <w:autoSpaceDE w:val="0"/>
        <w:autoSpaceDN w:val="0"/>
        <w:adjustRightInd w:val="0"/>
        <w:ind w:left="480" w:hanging="480"/>
        <w:rPr>
          <w:rFonts w:ascii="Arial" w:hAnsi="Arial" w:cs="Arial"/>
          <w:sz w:val="24"/>
        </w:rPr>
      </w:pPr>
      <w:proofErr w:type="spellStart"/>
      <w:r w:rsidRPr="007E27D4">
        <w:rPr>
          <w:rFonts w:ascii="Arial" w:hAnsi="Arial" w:cs="Arial"/>
          <w:sz w:val="24"/>
        </w:rPr>
        <w:t>Calman</w:t>
      </w:r>
      <w:proofErr w:type="spellEnd"/>
      <w:r w:rsidRPr="007E27D4">
        <w:rPr>
          <w:rFonts w:ascii="Arial" w:hAnsi="Arial" w:cs="Arial"/>
          <w:sz w:val="24"/>
        </w:rPr>
        <w:t>, L., Watson, R., Norman, I., Redfern, S. and Murrells, T., 2002. Assessing practice of student nurses: methods, preparation of assessors and student views. </w:t>
      </w:r>
      <w:r w:rsidRPr="007E27D4">
        <w:rPr>
          <w:rFonts w:ascii="Arial" w:hAnsi="Arial" w:cs="Arial"/>
          <w:i/>
          <w:iCs/>
          <w:sz w:val="24"/>
        </w:rPr>
        <w:t>Journal of Advanced Nursing</w:t>
      </w:r>
      <w:r w:rsidRPr="007E27D4">
        <w:rPr>
          <w:rFonts w:ascii="Arial" w:hAnsi="Arial" w:cs="Arial"/>
          <w:sz w:val="24"/>
        </w:rPr>
        <w:t>, </w:t>
      </w:r>
      <w:r w:rsidRPr="007E27D4">
        <w:rPr>
          <w:rFonts w:ascii="Arial" w:hAnsi="Arial" w:cs="Arial"/>
          <w:i/>
          <w:iCs/>
          <w:sz w:val="24"/>
        </w:rPr>
        <w:t>38</w:t>
      </w:r>
      <w:r w:rsidRPr="007E27D4">
        <w:rPr>
          <w:rFonts w:ascii="Arial" w:hAnsi="Arial" w:cs="Arial"/>
          <w:sz w:val="24"/>
        </w:rPr>
        <w:t>(5), pp.516-523.</w:t>
      </w:r>
      <w:r w:rsidRPr="007E27D4">
        <w:t xml:space="preserve"> </w:t>
      </w:r>
      <w:hyperlink r:id="rId17" w:history="1">
        <w:r w:rsidRPr="00EA7574">
          <w:rPr>
            <w:rStyle w:val="Hyperlink"/>
            <w:rFonts w:ascii="Arial" w:hAnsi="Arial" w:cs="Arial"/>
            <w:sz w:val="24"/>
          </w:rPr>
          <w:t>https://doi.org/10.1046/j.1365-2648.2002.02213.x</w:t>
        </w:r>
      </w:hyperlink>
      <w:r>
        <w:rPr>
          <w:rFonts w:ascii="Arial" w:hAnsi="Arial" w:cs="Arial"/>
          <w:sz w:val="24"/>
        </w:rPr>
        <w:t xml:space="preserve"> </w:t>
      </w:r>
    </w:p>
    <w:p w14:paraId="48A790EF" w14:textId="2ABAB0D2" w:rsidR="006C318D"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Cassidy, S., Coffey, M.</w:t>
      </w:r>
      <w:r w:rsidR="00FB4B37" w:rsidRPr="005D17BA">
        <w:rPr>
          <w:rFonts w:ascii="Arial" w:hAnsi="Arial" w:cs="Arial"/>
          <w:sz w:val="24"/>
        </w:rPr>
        <w:t>,</w:t>
      </w:r>
      <w:r w:rsidRPr="005D17BA">
        <w:rPr>
          <w:rFonts w:ascii="Arial" w:hAnsi="Arial" w:cs="Arial"/>
          <w:sz w:val="24"/>
        </w:rPr>
        <w:t xml:space="preserve"> Murphy, F.</w:t>
      </w:r>
      <w:r w:rsidR="00806FBF" w:rsidRPr="005D17BA">
        <w:rPr>
          <w:rFonts w:ascii="Arial" w:hAnsi="Arial" w:cs="Arial"/>
          <w:sz w:val="24"/>
        </w:rPr>
        <w:t xml:space="preserve">, </w:t>
      </w:r>
      <w:r w:rsidRPr="005D17BA">
        <w:rPr>
          <w:rFonts w:ascii="Arial" w:hAnsi="Arial" w:cs="Arial"/>
          <w:sz w:val="24"/>
        </w:rPr>
        <w:t xml:space="preserve">2017. ‘Seeking authorization’: a grounded theory exploration of mentors’ experiences of assessing nursing students on the borderline of achievement of competence in clinical practice. Journal of advanced nursing, 73(9), 2167-2178. </w:t>
      </w:r>
      <w:hyperlink r:id="rId18" w:history="1">
        <w:r w:rsidR="006C318D" w:rsidRPr="005D17BA">
          <w:rPr>
            <w:rStyle w:val="Hyperlink"/>
            <w:rFonts w:ascii="Arial" w:hAnsi="Arial" w:cs="Arial"/>
            <w:sz w:val="24"/>
          </w:rPr>
          <w:t>https://doi.org/10.1111/jan.13292</w:t>
        </w:r>
      </w:hyperlink>
      <w:r w:rsidRPr="005D17BA">
        <w:rPr>
          <w:rFonts w:ascii="Arial" w:hAnsi="Arial" w:cs="Arial"/>
          <w:sz w:val="24"/>
        </w:rPr>
        <w:t xml:space="preserve"> </w:t>
      </w:r>
    </w:p>
    <w:p w14:paraId="57B49FA3" w14:textId="48A31F2F" w:rsidR="006C318D" w:rsidRPr="005D17BA" w:rsidRDefault="006C318D" w:rsidP="005D5F17">
      <w:pPr>
        <w:widowControl w:val="0"/>
        <w:autoSpaceDE w:val="0"/>
        <w:autoSpaceDN w:val="0"/>
        <w:adjustRightInd w:val="0"/>
        <w:ind w:left="480" w:hanging="480"/>
        <w:rPr>
          <w:rFonts w:ascii="Arial" w:hAnsi="Arial" w:cs="Arial"/>
          <w:sz w:val="24"/>
        </w:rPr>
      </w:pPr>
      <w:r w:rsidRPr="005D17BA">
        <w:rPr>
          <w:rFonts w:ascii="Arial" w:hAnsi="Arial" w:cs="Arial"/>
          <w:sz w:val="24"/>
        </w:rPr>
        <w:t>Cassidy, S., Coffey, M.</w:t>
      </w:r>
      <w:r w:rsidR="00806FBF" w:rsidRPr="005D17BA">
        <w:rPr>
          <w:rFonts w:ascii="Arial" w:hAnsi="Arial" w:cs="Arial"/>
          <w:sz w:val="24"/>
        </w:rPr>
        <w:t>,</w:t>
      </w:r>
      <w:r w:rsidRPr="005D17BA">
        <w:rPr>
          <w:rFonts w:ascii="Arial" w:hAnsi="Arial" w:cs="Arial"/>
          <w:sz w:val="24"/>
        </w:rPr>
        <w:t xml:space="preserve"> Murphy, F.</w:t>
      </w:r>
      <w:r w:rsidR="00806FBF" w:rsidRPr="005D17BA">
        <w:rPr>
          <w:rFonts w:ascii="Arial" w:hAnsi="Arial" w:cs="Arial"/>
          <w:sz w:val="24"/>
        </w:rPr>
        <w:t xml:space="preserve">, </w:t>
      </w:r>
      <w:r w:rsidRPr="005D17BA">
        <w:rPr>
          <w:rFonts w:ascii="Arial" w:hAnsi="Arial" w:cs="Arial"/>
          <w:sz w:val="24"/>
        </w:rPr>
        <w:t>2020</w:t>
      </w:r>
      <w:r w:rsidR="00806FBF" w:rsidRPr="005D17BA">
        <w:rPr>
          <w:rFonts w:ascii="Arial" w:hAnsi="Arial" w:cs="Arial"/>
          <w:sz w:val="24"/>
        </w:rPr>
        <w:t>.</w:t>
      </w:r>
      <w:r w:rsidRPr="005D17BA">
        <w:rPr>
          <w:rFonts w:ascii="Arial" w:hAnsi="Arial" w:cs="Arial"/>
          <w:sz w:val="24"/>
        </w:rPr>
        <w:t xml:space="preserve"> </w:t>
      </w:r>
      <w:r w:rsidRPr="005D17BA">
        <w:rPr>
          <w:rStyle w:val="title-text"/>
          <w:rFonts w:ascii="Arial" w:eastAsiaTheme="majorEastAsia" w:hAnsi="Arial" w:cs="Arial"/>
          <w:sz w:val="24"/>
        </w:rPr>
        <w:t>Transparency of assessment decision-making when students are not meeting required levels of proficiency in clinical practice</w:t>
      </w:r>
      <w:r w:rsidRPr="005D17BA">
        <w:rPr>
          <w:rStyle w:val="title-text"/>
          <w:rFonts w:ascii="Arial" w:hAnsi="Arial" w:cs="Arial"/>
          <w:sz w:val="24"/>
        </w:rPr>
        <w:t>. Nurse Education in Practice, 43(2)</w:t>
      </w:r>
      <w:r w:rsidR="002961A4" w:rsidRPr="005D17BA">
        <w:rPr>
          <w:rStyle w:val="title-text"/>
          <w:rFonts w:ascii="Arial" w:hAnsi="Arial" w:cs="Arial"/>
          <w:sz w:val="24"/>
        </w:rPr>
        <w:t>, pp.</w:t>
      </w:r>
      <w:r w:rsidRPr="005D17BA">
        <w:rPr>
          <w:rStyle w:val="title-text"/>
          <w:rFonts w:ascii="Arial" w:hAnsi="Arial" w:cs="Arial"/>
          <w:sz w:val="24"/>
        </w:rPr>
        <w:t xml:space="preserve"> 102711</w:t>
      </w:r>
      <w:r w:rsidR="002961A4" w:rsidRPr="005D17BA">
        <w:rPr>
          <w:rStyle w:val="title-text"/>
          <w:rFonts w:ascii="Arial" w:hAnsi="Arial" w:cs="Arial"/>
          <w:sz w:val="24"/>
        </w:rPr>
        <w:t xml:space="preserve">. </w:t>
      </w:r>
      <w:hyperlink r:id="rId19" w:history="1">
        <w:r w:rsidR="002961A4" w:rsidRPr="005D17BA">
          <w:rPr>
            <w:rStyle w:val="Hyperlink"/>
            <w:rFonts w:ascii="Arial" w:hAnsi="Arial" w:cs="Arial"/>
            <w:sz w:val="24"/>
          </w:rPr>
          <w:t>https://doi.org/10.1016/j.nepr.2020.102711</w:t>
        </w:r>
      </w:hyperlink>
      <w:r w:rsidR="002961A4" w:rsidRPr="005D17BA">
        <w:rPr>
          <w:rStyle w:val="title-text"/>
          <w:rFonts w:ascii="Arial" w:hAnsi="Arial" w:cs="Arial"/>
          <w:sz w:val="24"/>
        </w:rPr>
        <w:t xml:space="preserve"> </w:t>
      </w:r>
    </w:p>
    <w:p w14:paraId="031A6B03" w14:textId="40135E42" w:rsidR="003D512A"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Cockett</w:t>
      </w:r>
      <w:proofErr w:type="spellEnd"/>
      <w:r w:rsidRPr="005D17BA">
        <w:rPr>
          <w:rFonts w:ascii="Arial" w:hAnsi="Arial" w:cs="Arial"/>
          <w:sz w:val="24"/>
        </w:rPr>
        <w:t>, A.</w:t>
      </w:r>
      <w:r w:rsidR="00806FBF" w:rsidRPr="005D17BA">
        <w:rPr>
          <w:rFonts w:ascii="Arial" w:hAnsi="Arial" w:cs="Arial"/>
          <w:sz w:val="24"/>
        </w:rPr>
        <w:t>,</w:t>
      </w:r>
      <w:r w:rsidRPr="005D17BA">
        <w:rPr>
          <w:rFonts w:ascii="Arial" w:hAnsi="Arial" w:cs="Arial"/>
          <w:sz w:val="24"/>
        </w:rPr>
        <w:t xml:space="preserve"> Jackson, C.</w:t>
      </w:r>
      <w:r w:rsidR="00806FBF" w:rsidRPr="005D17BA">
        <w:rPr>
          <w:rFonts w:ascii="Arial" w:hAnsi="Arial" w:cs="Arial"/>
          <w:sz w:val="24"/>
        </w:rPr>
        <w:t xml:space="preserve">, </w:t>
      </w:r>
      <w:r w:rsidRPr="005D17BA">
        <w:rPr>
          <w:rFonts w:ascii="Arial" w:hAnsi="Arial" w:cs="Arial"/>
          <w:sz w:val="24"/>
        </w:rPr>
        <w:t xml:space="preserve">2018. The use of assessment rubrics to enhance feedback in higher education: An integrative literature review. Nurse education today, 69, 8-13. </w:t>
      </w:r>
      <w:hyperlink r:id="rId20" w:history="1">
        <w:r w:rsidRPr="005D17BA">
          <w:rPr>
            <w:rStyle w:val="Hyperlink"/>
            <w:rFonts w:ascii="Arial" w:hAnsi="Arial" w:cs="Arial"/>
            <w:sz w:val="24"/>
          </w:rPr>
          <w:t>https://doi.org/10.1016/j.nedt.2018.06.022</w:t>
        </w:r>
      </w:hyperlink>
      <w:r w:rsidRPr="005D17BA">
        <w:rPr>
          <w:rFonts w:ascii="Arial" w:hAnsi="Arial" w:cs="Arial"/>
          <w:sz w:val="24"/>
        </w:rPr>
        <w:t xml:space="preserve"> </w:t>
      </w:r>
    </w:p>
    <w:p w14:paraId="5049B6B1" w14:textId="3404D1E4" w:rsidR="00AC3CD5"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Cooney, F., </w:t>
      </w:r>
      <w:proofErr w:type="spellStart"/>
      <w:r w:rsidRPr="005D17BA">
        <w:rPr>
          <w:rFonts w:ascii="Arial" w:hAnsi="Arial" w:cs="Arial"/>
          <w:sz w:val="24"/>
        </w:rPr>
        <w:t>Stebbings</w:t>
      </w:r>
      <w:proofErr w:type="spellEnd"/>
      <w:r w:rsidRPr="005D17BA">
        <w:rPr>
          <w:rFonts w:ascii="Arial" w:hAnsi="Arial" w:cs="Arial"/>
          <w:sz w:val="24"/>
        </w:rPr>
        <w:t xml:space="preserve"> S.N., Roxburgh, M., Mayo, J., Keen, N., Evans, E.</w:t>
      </w:r>
      <w:r w:rsidR="00806FBF" w:rsidRPr="005D17BA">
        <w:rPr>
          <w:rFonts w:ascii="Arial" w:hAnsi="Arial" w:cs="Arial"/>
          <w:sz w:val="24"/>
        </w:rPr>
        <w:t>,</w:t>
      </w:r>
      <w:r w:rsidRPr="005D17BA">
        <w:rPr>
          <w:rFonts w:ascii="Arial" w:hAnsi="Arial" w:cs="Arial"/>
          <w:sz w:val="24"/>
        </w:rPr>
        <w:t xml:space="preserve"> Meehan, T.C.</w:t>
      </w:r>
      <w:r w:rsidR="00806FBF" w:rsidRPr="005D17BA">
        <w:rPr>
          <w:rFonts w:ascii="Arial" w:hAnsi="Arial" w:cs="Arial"/>
          <w:sz w:val="24"/>
        </w:rPr>
        <w:t xml:space="preserve">, </w:t>
      </w:r>
      <w:r w:rsidRPr="005D17BA">
        <w:rPr>
          <w:rFonts w:ascii="Arial" w:hAnsi="Arial" w:cs="Arial"/>
          <w:sz w:val="24"/>
        </w:rPr>
        <w:t>1995. Integrating Nursing Research and Practice, Part 11 - a Delphi study of nursing practice priorities for research-based solutions. Nursing Practice in New Zealand, 10(1), 22-27.</w:t>
      </w:r>
    </w:p>
    <w:p w14:paraId="56B8BA33" w14:textId="77814777" w:rsidR="00AC3CD5" w:rsidRPr="005D17BA" w:rsidRDefault="00AC3CD5" w:rsidP="005D5F17">
      <w:pPr>
        <w:widowControl w:val="0"/>
        <w:autoSpaceDE w:val="0"/>
        <w:autoSpaceDN w:val="0"/>
        <w:adjustRightInd w:val="0"/>
        <w:ind w:left="480" w:hanging="480"/>
        <w:rPr>
          <w:rFonts w:ascii="Arial" w:hAnsi="Arial" w:cs="Arial"/>
          <w:sz w:val="24"/>
        </w:rPr>
      </w:pPr>
      <w:r w:rsidRPr="005D17BA">
        <w:rPr>
          <w:rFonts w:ascii="Arial" w:hAnsi="Arial" w:cs="Arial"/>
          <w:sz w:val="24"/>
        </w:rPr>
        <w:lastRenderedPageBreak/>
        <w:t xml:space="preserve">Croft, H., Gilligan, C., </w:t>
      </w:r>
      <w:proofErr w:type="spellStart"/>
      <w:r w:rsidRPr="005D17BA">
        <w:rPr>
          <w:rFonts w:ascii="Arial" w:hAnsi="Arial" w:cs="Arial"/>
          <w:sz w:val="24"/>
        </w:rPr>
        <w:t>Rasiah</w:t>
      </w:r>
      <w:proofErr w:type="spellEnd"/>
      <w:r w:rsidRPr="005D17BA">
        <w:rPr>
          <w:rFonts w:ascii="Arial" w:hAnsi="Arial" w:cs="Arial"/>
          <w:sz w:val="24"/>
        </w:rPr>
        <w:t xml:space="preserve">. R., </w:t>
      </w:r>
      <w:proofErr w:type="spellStart"/>
      <w:r w:rsidRPr="005D17BA">
        <w:rPr>
          <w:rFonts w:ascii="Arial" w:hAnsi="Arial" w:cs="Arial"/>
          <w:sz w:val="24"/>
        </w:rPr>
        <w:t>Levett</w:t>
      </w:r>
      <w:proofErr w:type="spellEnd"/>
      <w:r w:rsidRPr="005D17BA">
        <w:rPr>
          <w:rFonts w:ascii="Arial" w:hAnsi="Arial" w:cs="Arial"/>
          <w:sz w:val="24"/>
        </w:rPr>
        <w:t>-Jones, T., Schneider, J.</w:t>
      </w:r>
      <w:r w:rsidR="00806FBF" w:rsidRPr="005D17BA">
        <w:rPr>
          <w:rFonts w:ascii="Arial" w:hAnsi="Arial" w:cs="Arial"/>
          <w:sz w:val="24"/>
        </w:rPr>
        <w:t xml:space="preserve">, </w:t>
      </w:r>
      <w:r w:rsidRPr="005D17BA">
        <w:rPr>
          <w:rFonts w:ascii="Arial" w:hAnsi="Arial" w:cs="Arial"/>
          <w:sz w:val="24"/>
        </w:rPr>
        <w:t>2019</w:t>
      </w:r>
      <w:r w:rsidR="00806FBF" w:rsidRPr="005D17BA">
        <w:rPr>
          <w:rFonts w:ascii="Arial" w:hAnsi="Arial" w:cs="Arial"/>
          <w:sz w:val="24"/>
        </w:rPr>
        <w:t>.</w:t>
      </w:r>
      <w:r w:rsidRPr="005D17BA">
        <w:rPr>
          <w:rFonts w:ascii="Arial" w:hAnsi="Arial" w:cs="Arial"/>
          <w:sz w:val="24"/>
        </w:rPr>
        <w:t xml:space="preserve"> Current Trends and Opportunities for Competency Assessment in Pharmacy Education–A Literature Review. Pharmacy, 7</w:t>
      </w:r>
      <w:r w:rsidR="002961A4" w:rsidRPr="005D17BA">
        <w:rPr>
          <w:rFonts w:ascii="Arial" w:hAnsi="Arial" w:cs="Arial"/>
          <w:sz w:val="24"/>
        </w:rPr>
        <w:t>(2)</w:t>
      </w:r>
      <w:r w:rsidRPr="005D17BA">
        <w:rPr>
          <w:rFonts w:ascii="Arial" w:hAnsi="Arial" w:cs="Arial"/>
          <w:sz w:val="24"/>
        </w:rPr>
        <w:t xml:space="preserve">, </w:t>
      </w:r>
      <w:r w:rsidR="002961A4" w:rsidRPr="005D17BA">
        <w:rPr>
          <w:rFonts w:ascii="Arial" w:hAnsi="Arial" w:cs="Arial"/>
          <w:sz w:val="24"/>
        </w:rPr>
        <w:t xml:space="preserve">PP. </w:t>
      </w:r>
      <w:r w:rsidRPr="005D17BA">
        <w:rPr>
          <w:rFonts w:ascii="Arial" w:hAnsi="Arial" w:cs="Arial"/>
          <w:sz w:val="24"/>
        </w:rPr>
        <w:t>67</w:t>
      </w:r>
      <w:r w:rsidR="002961A4" w:rsidRPr="005D17BA">
        <w:rPr>
          <w:rFonts w:ascii="Arial" w:hAnsi="Arial" w:cs="Arial"/>
          <w:sz w:val="24"/>
        </w:rPr>
        <w:t xml:space="preserve">. </w:t>
      </w:r>
      <w:hyperlink r:id="rId21" w:history="1">
        <w:r w:rsidR="002961A4" w:rsidRPr="005D17BA">
          <w:rPr>
            <w:rStyle w:val="Hyperlink"/>
            <w:rFonts w:ascii="Arial" w:hAnsi="Arial" w:cs="Arial"/>
            <w:sz w:val="24"/>
          </w:rPr>
          <w:t>https://doi.org/10.3390/pharmacy7020067</w:t>
        </w:r>
      </w:hyperlink>
      <w:r w:rsidR="002961A4" w:rsidRPr="005D17BA">
        <w:rPr>
          <w:rFonts w:ascii="Arial" w:hAnsi="Arial" w:cs="Arial"/>
          <w:sz w:val="24"/>
        </w:rPr>
        <w:t xml:space="preserve"> </w:t>
      </w:r>
    </w:p>
    <w:p w14:paraId="658F1A8A" w14:textId="2FE34197" w:rsidR="00FD1899"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DeBrew</w:t>
      </w:r>
      <w:proofErr w:type="spellEnd"/>
      <w:r w:rsidRPr="005D17BA">
        <w:rPr>
          <w:rFonts w:ascii="Arial" w:hAnsi="Arial" w:cs="Arial"/>
          <w:sz w:val="24"/>
        </w:rPr>
        <w:t>, J.K.</w:t>
      </w:r>
      <w:r w:rsidR="00806FBF" w:rsidRPr="005D17BA">
        <w:rPr>
          <w:rFonts w:ascii="Arial" w:hAnsi="Arial" w:cs="Arial"/>
          <w:sz w:val="24"/>
        </w:rPr>
        <w:t>,</w:t>
      </w:r>
      <w:r w:rsidRPr="005D17BA">
        <w:rPr>
          <w:rFonts w:ascii="Arial" w:hAnsi="Arial" w:cs="Arial"/>
          <w:sz w:val="24"/>
        </w:rPr>
        <w:t xml:space="preserve"> Lewallen, L.P. 2014. To pass or to fail? Understanding the factors considered by faculty in the clinical evaluation of nursing students. Nurse Education Today, 34(4), 631-636. </w:t>
      </w:r>
      <w:hyperlink r:id="rId22" w:history="1">
        <w:r w:rsidR="00FD1899" w:rsidRPr="005D17BA">
          <w:rPr>
            <w:rStyle w:val="Hyperlink"/>
            <w:rFonts w:ascii="Arial" w:hAnsi="Arial" w:cs="Arial"/>
            <w:sz w:val="24"/>
          </w:rPr>
          <w:t>https://doi.org/10.1016/j.nedt.2013.05.014</w:t>
        </w:r>
      </w:hyperlink>
      <w:r w:rsidRPr="005D17BA">
        <w:rPr>
          <w:rFonts w:ascii="Arial" w:hAnsi="Arial" w:cs="Arial"/>
          <w:sz w:val="24"/>
        </w:rPr>
        <w:t xml:space="preserve"> </w:t>
      </w:r>
    </w:p>
    <w:p w14:paraId="63BEA077" w14:textId="27651684" w:rsidR="00FD1899" w:rsidRPr="005D17BA" w:rsidRDefault="00FD1899"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De Vos, M., </w:t>
      </w:r>
      <w:proofErr w:type="spellStart"/>
      <w:r w:rsidRPr="005D17BA">
        <w:rPr>
          <w:rFonts w:ascii="Arial" w:hAnsi="Arial" w:cs="Arial"/>
          <w:sz w:val="24"/>
        </w:rPr>
        <w:t>Baartman</w:t>
      </w:r>
      <w:proofErr w:type="spellEnd"/>
      <w:r w:rsidRPr="005D17BA">
        <w:rPr>
          <w:rFonts w:ascii="Arial" w:hAnsi="Arial" w:cs="Arial"/>
          <w:sz w:val="24"/>
        </w:rPr>
        <w:t>, L., Van Der Vleuten, C</w:t>
      </w:r>
      <w:r w:rsidR="00806FBF" w:rsidRPr="005D17BA">
        <w:rPr>
          <w:rFonts w:ascii="Arial" w:hAnsi="Arial" w:cs="Arial"/>
          <w:sz w:val="24"/>
        </w:rPr>
        <w:t>.,</w:t>
      </w:r>
      <w:r w:rsidRPr="005D17BA">
        <w:rPr>
          <w:rFonts w:ascii="Arial" w:hAnsi="Arial" w:cs="Arial"/>
          <w:sz w:val="24"/>
        </w:rPr>
        <w:t xml:space="preserve"> De Bruijn, E.</w:t>
      </w:r>
      <w:r w:rsidR="00806FBF" w:rsidRPr="005D17BA">
        <w:rPr>
          <w:rFonts w:ascii="Arial" w:hAnsi="Arial" w:cs="Arial"/>
          <w:sz w:val="24"/>
        </w:rPr>
        <w:t xml:space="preserve">, </w:t>
      </w:r>
      <w:r w:rsidRPr="005D17BA">
        <w:rPr>
          <w:rFonts w:ascii="Arial" w:hAnsi="Arial" w:cs="Arial"/>
          <w:sz w:val="24"/>
        </w:rPr>
        <w:t>2019</w:t>
      </w:r>
      <w:r w:rsidR="00806FBF" w:rsidRPr="005D17BA">
        <w:rPr>
          <w:rFonts w:ascii="Arial" w:hAnsi="Arial" w:cs="Arial"/>
          <w:sz w:val="24"/>
        </w:rPr>
        <w:t>.</w:t>
      </w:r>
      <w:r w:rsidRPr="005D17BA">
        <w:rPr>
          <w:rFonts w:ascii="Arial" w:hAnsi="Arial" w:cs="Arial"/>
          <w:sz w:val="24"/>
        </w:rPr>
        <w:t xml:space="preserve"> Exploring how educators at the workplace inform their judgement of students’ professional performance. Journal of Education and Work, 32:8, 693-706</w:t>
      </w:r>
      <w:r w:rsidR="002961A4" w:rsidRPr="005D17BA">
        <w:rPr>
          <w:rFonts w:ascii="Arial" w:hAnsi="Arial" w:cs="Arial"/>
          <w:sz w:val="24"/>
        </w:rPr>
        <w:t xml:space="preserve">. </w:t>
      </w:r>
      <w:hyperlink r:id="rId23" w:history="1">
        <w:r w:rsidR="002961A4" w:rsidRPr="005D17BA">
          <w:rPr>
            <w:rStyle w:val="Hyperlink"/>
            <w:rFonts w:ascii="Arial" w:hAnsi="Arial" w:cs="Arial"/>
            <w:sz w:val="24"/>
          </w:rPr>
          <w:t>https://doi.org/10.1080/13639080.2019.1696953</w:t>
        </w:r>
      </w:hyperlink>
      <w:r w:rsidR="002961A4" w:rsidRPr="005D17BA">
        <w:rPr>
          <w:rFonts w:ascii="Arial" w:hAnsi="Arial" w:cs="Arial"/>
          <w:sz w:val="24"/>
        </w:rPr>
        <w:t xml:space="preserve"> </w:t>
      </w:r>
    </w:p>
    <w:p w14:paraId="36AC1E40" w14:textId="64BCABB4" w:rsidR="00CD2E31" w:rsidRPr="005D17BA" w:rsidRDefault="00CD2E31"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Diamond, I.R., Grant, R.C., Feldman, B.M., </w:t>
      </w:r>
      <w:proofErr w:type="spellStart"/>
      <w:r w:rsidRPr="005D17BA">
        <w:rPr>
          <w:rFonts w:ascii="Arial" w:hAnsi="Arial" w:cs="Arial"/>
          <w:sz w:val="24"/>
        </w:rPr>
        <w:t>Pencharz</w:t>
      </w:r>
      <w:proofErr w:type="spellEnd"/>
      <w:r w:rsidRPr="005D17BA">
        <w:rPr>
          <w:rFonts w:ascii="Arial" w:hAnsi="Arial" w:cs="Arial"/>
          <w:sz w:val="24"/>
        </w:rPr>
        <w:t>, P.B., Ling, S.C., Moore, A.M.</w:t>
      </w:r>
      <w:r w:rsidR="00806FBF" w:rsidRPr="005D17BA">
        <w:rPr>
          <w:rFonts w:ascii="Arial" w:hAnsi="Arial" w:cs="Arial"/>
          <w:sz w:val="24"/>
        </w:rPr>
        <w:t>,</w:t>
      </w:r>
      <w:r w:rsidRPr="005D17BA">
        <w:rPr>
          <w:rFonts w:ascii="Arial" w:hAnsi="Arial" w:cs="Arial"/>
          <w:sz w:val="24"/>
        </w:rPr>
        <w:t xml:space="preserve"> Wales, P.W.</w:t>
      </w:r>
      <w:r w:rsidR="00806FBF" w:rsidRPr="005D17BA">
        <w:rPr>
          <w:rFonts w:ascii="Arial" w:hAnsi="Arial" w:cs="Arial"/>
          <w:sz w:val="24"/>
        </w:rPr>
        <w:t xml:space="preserve">, </w:t>
      </w:r>
      <w:r w:rsidRPr="005D17BA">
        <w:rPr>
          <w:rFonts w:ascii="Arial" w:hAnsi="Arial" w:cs="Arial"/>
          <w:sz w:val="24"/>
        </w:rPr>
        <w:t>2014</w:t>
      </w:r>
      <w:r w:rsidR="00806FBF" w:rsidRPr="005D17BA">
        <w:rPr>
          <w:rFonts w:ascii="Arial" w:hAnsi="Arial" w:cs="Arial"/>
          <w:sz w:val="24"/>
        </w:rPr>
        <w:t>.</w:t>
      </w:r>
      <w:r w:rsidRPr="005D17BA">
        <w:rPr>
          <w:rFonts w:ascii="Arial" w:hAnsi="Arial" w:cs="Arial"/>
          <w:sz w:val="24"/>
        </w:rPr>
        <w:t xml:space="preserve"> Defining consensus: a systematic review recommends methodologic criteria for reporting of Delphi studies. Journal of clinical epidemiology, 67(4), pp.401-409. </w:t>
      </w:r>
      <w:hyperlink r:id="rId24" w:history="1">
        <w:r w:rsidRPr="005D17BA">
          <w:rPr>
            <w:rStyle w:val="Hyperlink"/>
            <w:rFonts w:ascii="Arial" w:hAnsi="Arial" w:cs="Arial"/>
            <w:sz w:val="24"/>
          </w:rPr>
          <w:t>https://doi.org/10.1016/j.jclinepi.2013.12.002</w:t>
        </w:r>
      </w:hyperlink>
      <w:r w:rsidRPr="005D17BA">
        <w:rPr>
          <w:rFonts w:ascii="Arial" w:hAnsi="Arial" w:cs="Arial"/>
          <w:sz w:val="24"/>
        </w:rPr>
        <w:t xml:space="preserve"> </w:t>
      </w:r>
    </w:p>
    <w:p w14:paraId="04F29C87" w14:textId="44347E28"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Donaldson, J.H.</w:t>
      </w:r>
      <w:r w:rsidR="00806FBF" w:rsidRPr="005D17BA">
        <w:rPr>
          <w:rFonts w:ascii="Arial" w:hAnsi="Arial" w:cs="Arial"/>
          <w:sz w:val="24"/>
        </w:rPr>
        <w:t>,</w:t>
      </w:r>
      <w:r w:rsidRPr="005D17BA">
        <w:rPr>
          <w:rFonts w:ascii="Arial" w:hAnsi="Arial" w:cs="Arial"/>
          <w:sz w:val="24"/>
        </w:rPr>
        <w:t xml:space="preserve"> Gray, M.</w:t>
      </w:r>
      <w:r w:rsidR="00806FBF" w:rsidRPr="005D17BA">
        <w:rPr>
          <w:rFonts w:ascii="Arial" w:hAnsi="Arial" w:cs="Arial"/>
          <w:sz w:val="24"/>
        </w:rPr>
        <w:t xml:space="preserve">, </w:t>
      </w:r>
      <w:r w:rsidRPr="005D17BA">
        <w:rPr>
          <w:rFonts w:ascii="Arial" w:hAnsi="Arial" w:cs="Arial"/>
          <w:sz w:val="24"/>
        </w:rPr>
        <w:t xml:space="preserve">2012. Systematic review of grading practice: is there evidence of grade inflation? Nurse Education in Practice, 12(2), 101-114. </w:t>
      </w:r>
      <w:hyperlink r:id="rId25" w:history="1">
        <w:r w:rsidRPr="005D17BA">
          <w:rPr>
            <w:rStyle w:val="Hyperlink"/>
            <w:rFonts w:ascii="Arial" w:hAnsi="Arial" w:cs="Arial"/>
            <w:sz w:val="24"/>
          </w:rPr>
          <w:t>https://doi.org/10.1016/j.nepr.2011.10.007</w:t>
        </w:r>
      </w:hyperlink>
      <w:r w:rsidRPr="005D17BA">
        <w:rPr>
          <w:rFonts w:ascii="Arial" w:hAnsi="Arial" w:cs="Arial"/>
          <w:sz w:val="24"/>
        </w:rPr>
        <w:t xml:space="preserve"> </w:t>
      </w:r>
    </w:p>
    <w:p w14:paraId="79F30F94" w14:textId="5FBFCEEE" w:rsidR="003C4E5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Donohoe, H.M.</w:t>
      </w:r>
      <w:r w:rsidR="00806FBF" w:rsidRPr="005D17BA">
        <w:rPr>
          <w:rFonts w:ascii="Arial" w:hAnsi="Arial" w:cs="Arial"/>
          <w:sz w:val="24"/>
        </w:rPr>
        <w:t>,</w:t>
      </w:r>
      <w:r w:rsidRPr="005D17BA">
        <w:rPr>
          <w:rFonts w:ascii="Arial" w:hAnsi="Arial" w:cs="Arial"/>
          <w:sz w:val="24"/>
        </w:rPr>
        <w:t xml:space="preserve"> Needham, R.D.</w:t>
      </w:r>
      <w:r w:rsidR="00806FBF" w:rsidRPr="005D17BA">
        <w:rPr>
          <w:rFonts w:ascii="Arial" w:hAnsi="Arial" w:cs="Arial"/>
          <w:sz w:val="24"/>
        </w:rPr>
        <w:t xml:space="preserve">, </w:t>
      </w:r>
      <w:r w:rsidRPr="005D17BA">
        <w:rPr>
          <w:rFonts w:ascii="Arial" w:hAnsi="Arial" w:cs="Arial"/>
          <w:sz w:val="24"/>
        </w:rPr>
        <w:t xml:space="preserve">2009. Moving best practice forward: Delphi characteristics, advantages, potential problems, and solutions. International Journal of Tourism Research, 11(5), 415-437. </w:t>
      </w:r>
      <w:hyperlink r:id="rId26" w:history="1">
        <w:r w:rsidRPr="005D17BA">
          <w:rPr>
            <w:rStyle w:val="Hyperlink"/>
            <w:rFonts w:ascii="Arial" w:hAnsi="Arial" w:cs="Arial"/>
            <w:sz w:val="24"/>
          </w:rPr>
          <w:t>https://doi.org/10.1002/jtr.709</w:t>
        </w:r>
      </w:hyperlink>
      <w:r w:rsidRPr="005D17BA">
        <w:rPr>
          <w:rFonts w:ascii="Arial" w:hAnsi="Arial" w:cs="Arial"/>
          <w:sz w:val="24"/>
        </w:rPr>
        <w:t xml:space="preserve"> </w:t>
      </w:r>
    </w:p>
    <w:p w14:paraId="3A986E92" w14:textId="29348301"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Duffy, K.</w:t>
      </w:r>
      <w:r w:rsidR="00806FBF" w:rsidRPr="005D17BA">
        <w:rPr>
          <w:rFonts w:ascii="Arial" w:hAnsi="Arial" w:cs="Arial"/>
          <w:sz w:val="24"/>
        </w:rPr>
        <w:t xml:space="preserve">, </w:t>
      </w:r>
      <w:r w:rsidRPr="005D17BA">
        <w:rPr>
          <w:rFonts w:ascii="Arial" w:hAnsi="Arial" w:cs="Arial"/>
          <w:sz w:val="24"/>
        </w:rPr>
        <w:t xml:space="preserve">2003. Failing students. A qualitative study of factors that influence the decisions regarding assessment of students‟ competence in practice London; NMC, London. Retrieved from: </w:t>
      </w:r>
      <w:hyperlink r:id="rId27" w:history="1">
        <w:r w:rsidRPr="005D17BA">
          <w:rPr>
            <w:rStyle w:val="Hyperlink"/>
            <w:rFonts w:ascii="Arial" w:hAnsi="Arial" w:cs="Arial"/>
            <w:sz w:val="24"/>
          </w:rPr>
          <w:t>http://www.nmcuk.org/Documents/Archived%20Publications/1Research%20papers/Kathleen_Duffy_Failing_Students2003.pdf</w:t>
        </w:r>
      </w:hyperlink>
      <w:r w:rsidRPr="005D17BA">
        <w:rPr>
          <w:rFonts w:ascii="Arial" w:hAnsi="Arial" w:cs="Arial"/>
          <w:sz w:val="24"/>
        </w:rPr>
        <w:t xml:space="preserve"> </w:t>
      </w:r>
    </w:p>
    <w:p w14:paraId="6A26C25F" w14:textId="181614D6" w:rsidR="005875FA" w:rsidRDefault="005875FA" w:rsidP="005D5F17">
      <w:pPr>
        <w:widowControl w:val="0"/>
        <w:autoSpaceDE w:val="0"/>
        <w:autoSpaceDN w:val="0"/>
        <w:adjustRightInd w:val="0"/>
        <w:ind w:left="480" w:hanging="480"/>
        <w:rPr>
          <w:rFonts w:ascii="Arial" w:hAnsi="Arial" w:cs="Arial"/>
          <w:sz w:val="24"/>
        </w:rPr>
      </w:pPr>
      <w:r w:rsidRPr="00C64433">
        <w:rPr>
          <w:rFonts w:ascii="Arial" w:hAnsi="Arial" w:cs="Arial"/>
          <w:sz w:val="24"/>
        </w:rPr>
        <w:t xml:space="preserve">Finch, J., 2017. “… It’s Just Very Hard </w:t>
      </w:r>
      <w:proofErr w:type="gramStart"/>
      <w:r w:rsidRPr="00C64433">
        <w:rPr>
          <w:rFonts w:ascii="Arial" w:hAnsi="Arial" w:cs="Arial"/>
          <w:sz w:val="24"/>
        </w:rPr>
        <w:t>To</w:t>
      </w:r>
      <w:proofErr w:type="gramEnd"/>
      <w:r w:rsidRPr="00C64433">
        <w:rPr>
          <w:rFonts w:ascii="Arial" w:hAnsi="Arial" w:cs="Arial"/>
          <w:sz w:val="24"/>
        </w:rPr>
        <w:t xml:space="preserve"> Fail A Student…”: Decision-Making And Defences Against Anxiety–An Ethnographic And Practice-Near Study Of Practice Assessment Panels. </w:t>
      </w:r>
      <w:r w:rsidRPr="00C64433">
        <w:rPr>
          <w:rFonts w:ascii="Arial" w:hAnsi="Arial" w:cs="Arial"/>
          <w:i/>
          <w:iCs/>
          <w:sz w:val="24"/>
        </w:rPr>
        <w:t>Journal of Social Work Practice</w:t>
      </w:r>
      <w:r w:rsidRPr="00C64433">
        <w:rPr>
          <w:rFonts w:ascii="Arial" w:hAnsi="Arial" w:cs="Arial"/>
          <w:sz w:val="24"/>
        </w:rPr>
        <w:t>, </w:t>
      </w:r>
      <w:r w:rsidRPr="00C64433">
        <w:rPr>
          <w:rFonts w:ascii="Arial" w:hAnsi="Arial" w:cs="Arial"/>
          <w:i/>
          <w:iCs/>
          <w:sz w:val="24"/>
        </w:rPr>
        <w:t>31</w:t>
      </w:r>
      <w:r w:rsidRPr="00C64433">
        <w:rPr>
          <w:rFonts w:ascii="Arial" w:hAnsi="Arial" w:cs="Arial"/>
          <w:sz w:val="24"/>
        </w:rPr>
        <w:t xml:space="preserve">(1), 51-65. </w:t>
      </w:r>
      <w:hyperlink r:id="rId28" w:history="1">
        <w:r w:rsidRPr="00C64433">
          <w:rPr>
            <w:rStyle w:val="Hyperlink"/>
            <w:rFonts w:ascii="Arial" w:hAnsi="Arial" w:cs="Arial"/>
            <w:sz w:val="24"/>
          </w:rPr>
          <w:t>https://doi.org/10.1080/02650533.2016.1158156</w:t>
        </w:r>
      </w:hyperlink>
      <w:r>
        <w:rPr>
          <w:rFonts w:ascii="Arial" w:hAnsi="Arial" w:cs="Arial"/>
          <w:sz w:val="24"/>
        </w:rPr>
        <w:t xml:space="preserve"> </w:t>
      </w:r>
    </w:p>
    <w:p w14:paraId="1F9F0BBC" w14:textId="35892A41"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Fitzgerald, M., Gibson, F</w:t>
      </w:r>
      <w:r w:rsidR="00806FBF" w:rsidRPr="005D17BA">
        <w:rPr>
          <w:rFonts w:ascii="Arial" w:hAnsi="Arial" w:cs="Arial"/>
          <w:sz w:val="24"/>
        </w:rPr>
        <w:t>.,</w:t>
      </w:r>
      <w:r w:rsidRPr="005D17BA">
        <w:rPr>
          <w:rFonts w:ascii="Arial" w:hAnsi="Arial" w:cs="Arial"/>
          <w:sz w:val="24"/>
        </w:rPr>
        <w:t xml:space="preserve"> Gunn, K.</w:t>
      </w:r>
      <w:r w:rsidR="00806FBF" w:rsidRPr="005D17BA">
        <w:rPr>
          <w:rFonts w:ascii="Arial" w:hAnsi="Arial" w:cs="Arial"/>
          <w:sz w:val="24"/>
        </w:rPr>
        <w:t xml:space="preserve">, </w:t>
      </w:r>
      <w:r w:rsidRPr="005D17BA">
        <w:rPr>
          <w:rFonts w:ascii="Arial" w:hAnsi="Arial" w:cs="Arial"/>
          <w:sz w:val="24"/>
        </w:rPr>
        <w:t xml:space="preserve">2010. Contemporary issues relating to assessment of pre-registration nursing students in practice. Nurse education in practice, 10(3), 158-163. </w:t>
      </w:r>
      <w:hyperlink r:id="rId29" w:history="1">
        <w:r w:rsidRPr="005D17BA">
          <w:rPr>
            <w:rStyle w:val="Hyperlink"/>
            <w:rFonts w:ascii="Arial" w:hAnsi="Arial" w:cs="Arial"/>
            <w:sz w:val="24"/>
          </w:rPr>
          <w:t>https://doi.org/10.1016/j.nepr.2009.06.001</w:t>
        </w:r>
      </w:hyperlink>
      <w:r w:rsidRPr="005D17BA">
        <w:rPr>
          <w:rFonts w:ascii="Arial" w:hAnsi="Arial" w:cs="Arial"/>
          <w:sz w:val="24"/>
        </w:rPr>
        <w:t xml:space="preserve"> </w:t>
      </w:r>
    </w:p>
    <w:p w14:paraId="3391EBD0" w14:textId="3F34D169" w:rsidR="003D512A"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Frentsos</w:t>
      </w:r>
      <w:proofErr w:type="spellEnd"/>
      <w:r w:rsidRPr="005D17BA">
        <w:rPr>
          <w:rFonts w:ascii="Arial" w:hAnsi="Arial" w:cs="Arial"/>
          <w:sz w:val="24"/>
        </w:rPr>
        <w:t>, J.M.</w:t>
      </w:r>
      <w:r w:rsidR="00806FBF" w:rsidRPr="005D17BA">
        <w:rPr>
          <w:rFonts w:ascii="Arial" w:hAnsi="Arial" w:cs="Arial"/>
          <w:sz w:val="24"/>
        </w:rPr>
        <w:t xml:space="preserve">, </w:t>
      </w:r>
      <w:r w:rsidRPr="005D17BA">
        <w:rPr>
          <w:rFonts w:ascii="Arial" w:hAnsi="Arial" w:cs="Arial"/>
          <w:sz w:val="24"/>
        </w:rPr>
        <w:t xml:space="preserve">2013. Rubrics role in measuring nursing staff competencies. Journal for nurses in professional development, 29(1), 19-23. </w:t>
      </w:r>
      <w:hyperlink r:id="rId30" w:history="1">
        <w:r w:rsidRPr="005D17BA">
          <w:rPr>
            <w:rStyle w:val="Hyperlink"/>
            <w:rFonts w:ascii="Arial" w:hAnsi="Arial" w:cs="Arial"/>
            <w:sz w:val="24"/>
          </w:rPr>
          <w:t>https://doi.org/10.1097/NND.0b013e31827d0a9c</w:t>
        </w:r>
      </w:hyperlink>
      <w:r w:rsidRPr="005D17BA">
        <w:rPr>
          <w:rFonts w:ascii="Arial" w:hAnsi="Arial" w:cs="Arial"/>
          <w:sz w:val="24"/>
        </w:rPr>
        <w:t xml:space="preserve">  </w:t>
      </w:r>
    </w:p>
    <w:p w14:paraId="0C6A9D50" w14:textId="1819D821"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Gallagher, P., Smith T.</w:t>
      </w:r>
      <w:r w:rsidR="00806FBF" w:rsidRPr="005D17BA">
        <w:rPr>
          <w:rFonts w:ascii="Arial" w:hAnsi="Arial" w:cs="Arial"/>
          <w:sz w:val="24"/>
        </w:rPr>
        <w:t>,</w:t>
      </w:r>
      <w:r w:rsidRPr="005D17BA">
        <w:rPr>
          <w:rFonts w:ascii="Arial" w:hAnsi="Arial" w:cs="Arial"/>
          <w:sz w:val="24"/>
        </w:rPr>
        <w:t xml:space="preserve"> </w:t>
      </w:r>
      <w:proofErr w:type="spellStart"/>
      <w:r w:rsidRPr="005D17BA">
        <w:rPr>
          <w:rFonts w:ascii="Arial" w:hAnsi="Arial" w:cs="Arial"/>
          <w:sz w:val="24"/>
        </w:rPr>
        <w:t>Ousey</w:t>
      </w:r>
      <w:proofErr w:type="spellEnd"/>
      <w:r w:rsidRPr="005D17BA">
        <w:rPr>
          <w:rFonts w:ascii="Arial" w:hAnsi="Arial" w:cs="Arial"/>
          <w:sz w:val="24"/>
        </w:rPr>
        <w:t>, K.</w:t>
      </w:r>
      <w:r w:rsidR="00806FBF" w:rsidRPr="005D17BA">
        <w:rPr>
          <w:rFonts w:ascii="Arial" w:hAnsi="Arial" w:cs="Arial"/>
          <w:sz w:val="24"/>
        </w:rPr>
        <w:t xml:space="preserve">, </w:t>
      </w:r>
      <w:r w:rsidRPr="005D17BA">
        <w:rPr>
          <w:rFonts w:ascii="Arial" w:hAnsi="Arial" w:cs="Arial"/>
          <w:sz w:val="24"/>
        </w:rPr>
        <w:t xml:space="preserve">2012. Problems with competence assessment as it applies to student nurses. Nurse education in practice, 12(6), 301-303. </w:t>
      </w:r>
      <w:hyperlink r:id="rId31" w:history="1">
        <w:r w:rsidRPr="005D17BA">
          <w:rPr>
            <w:rStyle w:val="Hyperlink"/>
            <w:rFonts w:ascii="Arial" w:hAnsi="Arial" w:cs="Arial"/>
            <w:sz w:val="24"/>
          </w:rPr>
          <w:t>https://doi.org/10.1016/j.nepr.2012.05.014</w:t>
        </w:r>
      </w:hyperlink>
      <w:r w:rsidRPr="005D17BA">
        <w:rPr>
          <w:rFonts w:ascii="Arial" w:hAnsi="Arial" w:cs="Arial"/>
          <w:sz w:val="24"/>
        </w:rPr>
        <w:t xml:space="preserve"> </w:t>
      </w:r>
    </w:p>
    <w:p w14:paraId="381F4835" w14:textId="02BF8824"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Goodman, C. M.</w:t>
      </w:r>
      <w:r w:rsidR="00806FBF" w:rsidRPr="005D17BA">
        <w:rPr>
          <w:rFonts w:ascii="Arial" w:hAnsi="Arial" w:cs="Arial"/>
          <w:sz w:val="24"/>
        </w:rPr>
        <w:t>,</w:t>
      </w:r>
      <w:r w:rsidRPr="005D17BA">
        <w:rPr>
          <w:rFonts w:ascii="Arial" w:hAnsi="Arial" w:cs="Arial"/>
          <w:sz w:val="24"/>
        </w:rPr>
        <w:t xml:space="preserve"> 1987. The Delphi technique: a critique. Journal of advanced nursing, 12(6), 729-734. </w:t>
      </w:r>
      <w:hyperlink r:id="rId32" w:history="1">
        <w:r w:rsidRPr="005D17BA">
          <w:rPr>
            <w:rStyle w:val="Hyperlink"/>
            <w:rFonts w:ascii="Arial" w:hAnsi="Arial" w:cs="Arial"/>
            <w:sz w:val="24"/>
          </w:rPr>
          <w:t>https://doi.org/10.1111/j.1365-2648.1987.tb01376.x</w:t>
        </w:r>
      </w:hyperlink>
      <w:r w:rsidRPr="005D17BA">
        <w:rPr>
          <w:rFonts w:ascii="Arial" w:hAnsi="Arial" w:cs="Arial"/>
          <w:sz w:val="24"/>
        </w:rPr>
        <w:t xml:space="preserve"> </w:t>
      </w:r>
    </w:p>
    <w:p w14:paraId="2321F498" w14:textId="6B814C57" w:rsidR="003D512A"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Govaerts</w:t>
      </w:r>
      <w:proofErr w:type="spellEnd"/>
      <w:r w:rsidRPr="005D17BA">
        <w:rPr>
          <w:rFonts w:ascii="Arial" w:hAnsi="Arial" w:cs="Arial"/>
          <w:sz w:val="24"/>
        </w:rPr>
        <w:t xml:space="preserve">, M.J.B., Van de </w:t>
      </w:r>
      <w:proofErr w:type="spellStart"/>
      <w:r w:rsidRPr="005D17BA">
        <w:rPr>
          <w:rFonts w:ascii="Arial" w:hAnsi="Arial" w:cs="Arial"/>
          <w:sz w:val="24"/>
        </w:rPr>
        <w:t>Wiel</w:t>
      </w:r>
      <w:proofErr w:type="spellEnd"/>
      <w:r w:rsidRPr="005D17BA">
        <w:rPr>
          <w:rFonts w:ascii="Arial" w:hAnsi="Arial" w:cs="Arial"/>
          <w:sz w:val="24"/>
        </w:rPr>
        <w:t xml:space="preserve">, M.W.J., </w:t>
      </w:r>
      <w:proofErr w:type="spellStart"/>
      <w:r w:rsidRPr="005D17BA">
        <w:rPr>
          <w:rFonts w:ascii="Arial" w:hAnsi="Arial" w:cs="Arial"/>
          <w:sz w:val="24"/>
        </w:rPr>
        <w:t>Schuwirth</w:t>
      </w:r>
      <w:proofErr w:type="spellEnd"/>
      <w:r w:rsidRPr="005D17BA">
        <w:rPr>
          <w:rFonts w:ascii="Arial" w:hAnsi="Arial" w:cs="Arial"/>
          <w:sz w:val="24"/>
        </w:rPr>
        <w:t>, L.W.T., Van der Vleuten, C.P.M.</w:t>
      </w:r>
      <w:r w:rsidR="00806FBF" w:rsidRPr="005D17BA">
        <w:rPr>
          <w:rFonts w:ascii="Arial" w:hAnsi="Arial" w:cs="Arial"/>
          <w:sz w:val="24"/>
        </w:rPr>
        <w:t>,</w:t>
      </w:r>
      <w:r w:rsidRPr="005D17BA">
        <w:rPr>
          <w:rFonts w:ascii="Arial" w:hAnsi="Arial" w:cs="Arial"/>
          <w:sz w:val="24"/>
        </w:rPr>
        <w:t xml:space="preserve"> </w:t>
      </w:r>
      <w:proofErr w:type="spellStart"/>
      <w:r w:rsidRPr="005D17BA">
        <w:rPr>
          <w:rFonts w:ascii="Arial" w:hAnsi="Arial" w:cs="Arial"/>
          <w:sz w:val="24"/>
        </w:rPr>
        <w:t>Muijtjens</w:t>
      </w:r>
      <w:proofErr w:type="spellEnd"/>
      <w:r w:rsidRPr="005D17BA">
        <w:rPr>
          <w:rFonts w:ascii="Arial" w:hAnsi="Arial" w:cs="Arial"/>
          <w:sz w:val="24"/>
        </w:rPr>
        <w:t>, A.M.M.</w:t>
      </w:r>
      <w:r w:rsidR="00806FBF" w:rsidRPr="005D17BA">
        <w:rPr>
          <w:rFonts w:ascii="Arial" w:hAnsi="Arial" w:cs="Arial"/>
          <w:sz w:val="24"/>
        </w:rPr>
        <w:t xml:space="preserve">, </w:t>
      </w:r>
      <w:r w:rsidRPr="005D17BA">
        <w:rPr>
          <w:rFonts w:ascii="Arial" w:hAnsi="Arial" w:cs="Arial"/>
          <w:sz w:val="24"/>
        </w:rPr>
        <w:t xml:space="preserve">2013. Workplace-based assessment: </w:t>
      </w:r>
      <w:proofErr w:type="spellStart"/>
      <w:r w:rsidRPr="005D17BA">
        <w:rPr>
          <w:rFonts w:ascii="Arial" w:hAnsi="Arial" w:cs="Arial"/>
          <w:sz w:val="24"/>
        </w:rPr>
        <w:t>raters’</w:t>
      </w:r>
      <w:proofErr w:type="spellEnd"/>
      <w:r w:rsidRPr="005D17BA">
        <w:rPr>
          <w:rFonts w:ascii="Arial" w:hAnsi="Arial" w:cs="Arial"/>
          <w:sz w:val="24"/>
        </w:rPr>
        <w:t xml:space="preserve"> performance theories and constructs. Advances in Health Sciences Education, 18(3), 375-396.</w:t>
      </w:r>
      <w:bookmarkStart w:id="8" w:name="_Hlk521095457"/>
      <w:r w:rsidRPr="005D17BA">
        <w:rPr>
          <w:rFonts w:ascii="Arial" w:hAnsi="Arial" w:cs="Arial"/>
          <w:sz w:val="24"/>
        </w:rPr>
        <w:t xml:space="preserve"> </w:t>
      </w:r>
      <w:hyperlink r:id="rId33" w:history="1">
        <w:r w:rsidRPr="005D17BA">
          <w:rPr>
            <w:rStyle w:val="Hyperlink"/>
            <w:rFonts w:ascii="Arial" w:hAnsi="Arial" w:cs="Arial"/>
            <w:sz w:val="24"/>
          </w:rPr>
          <w:t>https://doi.org/10.1007/s10459-012-9376-x</w:t>
        </w:r>
      </w:hyperlink>
      <w:r w:rsidRPr="005D17BA">
        <w:rPr>
          <w:rFonts w:ascii="Arial" w:hAnsi="Arial" w:cs="Arial"/>
          <w:sz w:val="24"/>
        </w:rPr>
        <w:t xml:space="preserve"> </w:t>
      </w:r>
    </w:p>
    <w:p w14:paraId="68B12ECD" w14:textId="1D59FB07" w:rsidR="003D512A" w:rsidRPr="005D17BA" w:rsidRDefault="003D512A" w:rsidP="005D5F17">
      <w:pPr>
        <w:widowControl w:val="0"/>
        <w:autoSpaceDE w:val="0"/>
        <w:autoSpaceDN w:val="0"/>
        <w:adjustRightInd w:val="0"/>
        <w:ind w:left="480" w:hanging="480"/>
        <w:rPr>
          <w:rFonts w:ascii="Arial" w:hAnsi="Arial" w:cs="Arial"/>
          <w:sz w:val="24"/>
          <w:shd w:val="clear" w:color="auto" w:fill="FFFFFF"/>
        </w:rPr>
      </w:pPr>
      <w:r w:rsidRPr="005D17BA">
        <w:rPr>
          <w:rFonts w:ascii="Arial" w:hAnsi="Arial" w:cs="Arial"/>
          <w:sz w:val="24"/>
          <w:shd w:val="clear" w:color="auto" w:fill="FFFFFF"/>
        </w:rPr>
        <w:lastRenderedPageBreak/>
        <w:t>Gray, M.A.</w:t>
      </w:r>
      <w:r w:rsidR="00806FBF" w:rsidRPr="005D17BA">
        <w:rPr>
          <w:rFonts w:ascii="Arial" w:hAnsi="Arial" w:cs="Arial"/>
          <w:sz w:val="24"/>
          <w:shd w:val="clear" w:color="auto" w:fill="FFFFFF"/>
        </w:rPr>
        <w:t>,</w:t>
      </w:r>
      <w:r w:rsidRPr="005D17BA">
        <w:rPr>
          <w:rFonts w:ascii="Arial" w:hAnsi="Arial" w:cs="Arial"/>
          <w:sz w:val="24"/>
          <w:shd w:val="clear" w:color="auto" w:fill="FFFFFF"/>
        </w:rPr>
        <w:t xml:space="preserve"> Donaldson, J.</w:t>
      </w:r>
      <w:r w:rsidR="00806FBF" w:rsidRPr="005D17BA">
        <w:rPr>
          <w:rFonts w:ascii="Arial" w:hAnsi="Arial" w:cs="Arial"/>
          <w:sz w:val="24"/>
          <w:shd w:val="clear" w:color="auto" w:fill="FFFFFF"/>
        </w:rPr>
        <w:t xml:space="preserve">, </w:t>
      </w:r>
      <w:r w:rsidRPr="005D17BA">
        <w:rPr>
          <w:rFonts w:ascii="Arial" w:hAnsi="Arial" w:cs="Arial"/>
          <w:sz w:val="24"/>
          <w:shd w:val="clear" w:color="auto" w:fill="FFFFFF"/>
        </w:rPr>
        <w:t>2009. Exploring issues in the use of grading in practice; literature review. Edinburgh Napier University, Edinburgh.</w:t>
      </w:r>
      <w:bookmarkEnd w:id="8"/>
    </w:p>
    <w:p w14:paraId="705D6887" w14:textId="37B9486D" w:rsidR="003D512A" w:rsidRPr="005D17BA" w:rsidRDefault="003D512A" w:rsidP="00806FBF">
      <w:pPr>
        <w:widowControl w:val="0"/>
        <w:autoSpaceDE w:val="0"/>
        <w:autoSpaceDN w:val="0"/>
        <w:adjustRightInd w:val="0"/>
        <w:ind w:left="480" w:hanging="480"/>
        <w:rPr>
          <w:rFonts w:ascii="Arial" w:hAnsi="Arial" w:cs="Arial"/>
          <w:sz w:val="24"/>
        </w:rPr>
      </w:pPr>
      <w:r w:rsidRPr="005D17BA">
        <w:rPr>
          <w:rFonts w:ascii="Arial" w:hAnsi="Arial" w:cs="Arial"/>
          <w:sz w:val="24"/>
        </w:rPr>
        <w:t>Gray, J.R., Grove, S.K.</w:t>
      </w:r>
      <w:r w:rsidR="00806FBF" w:rsidRPr="005D17BA">
        <w:rPr>
          <w:rFonts w:ascii="Arial" w:hAnsi="Arial" w:cs="Arial"/>
          <w:sz w:val="24"/>
        </w:rPr>
        <w:t>,</w:t>
      </w:r>
      <w:r w:rsidRPr="005D17BA">
        <w:rPr>
          <w:rFonts w:ascii="Arial" w:hAnsi="Arial" w:cs="Arial"/>
          <w:sz w:val="24"/>
        </w:rPr>
        <w:t xml:space="preserve"> Sutherland, S.</w:t>
      </w:r>
      <w:r w:rsidR="00806FBF" w:rsidRPr="005D17BA">
        <w:rPr>
          <w:rFonts w:ascii="Arial" w:hAnsi="Arial" w:cs="Arial"/>
          <w:sz w:val="24"/>
        </w:rPr>
        <w:t xml:space="preserve">, </w:t>
      </w:r>
      <w:r w:rsidRPr="005D17BA">
        <w:rPr>
          <w:rFonts w:ascii="Arial" w:hAnsi="Arial" w:cs="Arial"/>
          <w:sz w:val="24"/>
        </w:rPr>
        <w:t>2017. Burns and Grove's The Practice of Nursing Research: Appraisal, Synthesis, and Generation of Evidence (8th ed.). St. Louis, MO: Elsevier Health Sciences.</w:t>
      </w:r>
    </w:p>
    <w:p w14:paraId="4A7FFF20" w14:textId="11B42700"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Haines, C., </w:t>
      </w:r>
      <w:proofErr w:type="spellStart"/>
      <w:r w:rsidRPr="005D17BA">
        <w:rPr>
          <w:rFonts w:ascii="Arial" w:hAnsi="Arial" w:cs="Arial"/>
          <w:sz w:val="24"/>
        </w:rPr>
        <w:t>Dennick</w:t>
      </w:r>
      <w:proofErr w:type="spellEnd"/>
      <w:r w:rsidRPr="005D17BA">
        <w:rPr>
          <w:rFonts w:ascii="Arial" w:hAnsi="Arial" w:cs="Arial"/>
          <w:sz w:val="24"/>
        </w:rPr>
        <w:t>, R.</w:t>
      </w:r>
      <w:r w:rsidR="00806FBF" w:rsidRPr="005D17BA">
        <w:rPr>
          <w:rFonts w:ascii="Arial" w:hAnsi="Arial" w:cs="Arial"/>
          <w:sz w:val="24"/>
        </w:rPr>
        <w:t>,</w:t>
      </w:r>
      <w:r w:rsidRPr="005D17BA">
        <w:rPr>
          <w:rFonts w:ascii="Arial" w:hAnsi="Arial" w:cs="Arial"/>
          <w:sz w:val="24"/>
        </w:rPr>
        <w:t xml:space="preserve"> da Silva, J.A.P.</w:t>
      </w:r>
      <w:r w:rsidR="00806FBF" w:rsidRPr="005D17BA">
        <w:rPr>
          <w:rFonts w:ascii="Arial" w:hAnsi="Arial" w:cs="Arial"/>
          <w:sz w:val="24"/>
        </w:rPr>
        <w:t xml:space="preserve">, </w:t>
      </w:r>
      <w:r w:rsidRPr="005D17BA">
        <w:rPr>
          <w:rFonts w:ascii="Arial" w:hAnsi="Arial" w:cs="Arial"/>
          <w:sz w:val="24"/>
        </w:rPr>
        <w:t xml:space="preserve">2013. Developing a professional approach to work-based assessments in rheumatology. Best Practice and Research Clinical Rheumatology, 27(2), 123-136. </w:t>
      </w:r>
      <w:hyperlink r:id="rId34" w:history="1">
        <w:r w:rsidRPr="005D17BA">
          <w:rPr>
            <w:rStyle w:val="Hyperlink"/>
            <w:rFonts w:ascii="Arial" w:hAnsi="Arial" w:cs="Arial"/>
            <w:sz w:val="24"/>
          </w:rPr>
          <w:t>https://doi.org/10.1016/j.berh.2013.02.006</w:t>
        </w:r>
      </w:hyperlink>
      <w:r w:rsidRPr="005D17BA">
        <w:rPr>
          <w:rFonts w:ascii="Arial" w:hAnsi="Arial" w:cs="Arial"/>
          <w:sz w:val="24"/>
        </w:rPr>
        <w:t xml:space="preserve"> </w:t>
      </w:r>
    </w:p>
    <w:p w14:paraId="2B6B40AC" w14:textId="2DBC8406" w:rsidR="003D512A" w:rsidRPr="005D17BA" w:rsidRDefault="003D512A" w:rsidP="00806FBF">
      <w:pPr>
        <w:widowControl w:val="0"/>
        <w:autoSpaceDE w:val="0"/>
        <w:autoSpaceDN w:val="0"/>
        <w:adjustRightInd w:val="0"/>
        <w:ind w:left="480" w:hanging="480"/>
        <w:rPr>
          <w:rFonts w:ascii="Arial" w:hAnsi="Arial" w:cs="Arial"/>
          <w:sz w:val="24"/>
        </w:rPr>
      </w:pPr>
      <w:r w:rsidRPr="005D17BA">
        <w:rPr>
          <w:rFonts w:ascii="Arial" w:hAnsi="Arial" w:cs="Arial"/>
          <w:sz w:val="24"/>
        </w:rPr>
        <w:t>Hasson, F., Keeney, S.</w:t>
      </w:r>
      <w:r w:rsidR="00806FBF" w:rsidRPr="005D17BA">
        <w:rPr>
          <w:rFonts w:ascii="Arial" w:hAnsi="Arial" w:cs="Arial"/>
          <w:sz w:val="24"/>
        </w:rPr>
        <w:t>,</w:t>
      </w:r>
      <w:r w:rsidRPr="005D17BA">
        <w:rPr>
          <w:rFonts w:ascii="Arial" w:hAnsi="Arial" w:cs="Arial"/>
          <w:sz w:val="24"/>
        </w:rPr>
        <w:t xml:space="preserve"> McKenna, H.</w:t>
      </w:r>
      <w:r w:rsidR="00806FBF" w:rsidRPr="005D17BA">
        <w:rPr>
          <w:rFonts w:ascii="Arial" w:hAnsi="Arial" w:cs="Arial"/>
          <w:sz w:val="24"/>
        </w:rPr>
        <w:t>,</w:t>
      </w:r>
      <w:r w:rsidRPr="005D17BA">
        <w:rPr>
          <w:rFonts w:ascii="Arial" w:hAnsi="Arial" w:cs="Arial"/>
          <w:sz w:val="24"/>
        </w:rPr>
        <w:t xml:space="preserve"> 2000. Research guidelines for the Delphi survey technique. Journal of advanced nursing, 32(4), 1008-1015. </w:t>
      </w:r>
      <w:hyperlink r:id="rId35" w:history="1">
        <w:r w:rsidRPr="005D17BA">
          <w:rPr>
            <w:rStyle w:val="Hyperlink"/>
            <w:rFonts w:ascii="Arial" w:hAnsi="Arial" w:cs="Arial"/>
            <w:sz w:val="24"/>
          </w:rPr>
          <w:t>https://doi.org/10.1046/j.1365-2648.2000.t01-1-01567.x</w:t>
        </w:r>
      </w:hyperlink>
      <w:r w:rsidRPr="005D17BA">
        <w:rPr>
          <w:rFonts w:ascii="Arial" w:hAnsi="Arial" w:cs="Arial"/>
          <w:sz w:val="24"/>
        </w:rPr>
        <w:t xml:space="preserve"> </w:t>
      </w:r>
    </w:p>
    <w:p w14:paraId="4C9CDC5A" w14:textId="03CE69DA" w:rsidR="003D512A"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Heaslip</w:t>
      </w:r>
      <w:proofErr w:type="spellEnd"/>
      <w:r w:rsidRPr="005D17BA">
        <w:rPr>
          <w:rFonts w:ascii="Arial" w:hAnsi="Arial" w:cs="Arial"/>
          <w:sz w:val="24"/>
        </w:rPr>
        <w:t>, V.</w:t>
      </w:r>
      <w:r w:rsidR="00806FBF" w:rsidRPr="005D17BA">
        <w:rPr>
          <w:rFonts w:ascii="Arial" w:hAnsi="Arial" w:cs="Arial"/>
          <w:sz w:val="24"/>
        </w:rPr>
        <w:t>,</w:t>
      </w:r>
      <w:r w:rsidRPr="005D17BA">
        <w:rPr>
          <w:rFonts w:ascii="Arial" w:hAnsi="Arial" w:cs="Arial"/>
          <w:sz w:val="24"/>
        </w:rPr>
        <w:t xml:space="preserve"> Scammell, J.M.</w:t>
      </w:r>
      <w:r w:rsidR="00806FBF" w:rsidRPr="005D17BA">
        <w:rPr>
          <w:rFonts w:ascii="Arial" w:hAnsi="Arial" w:cs="Arial"/>
          <w:sz w:val="24"/>
        </w:rPr>
        <w:t>,</w:t>
      </w:r>
      <w:r w:rsidRPr="005D17BA">
        <w:rPr>
          <w:rFonts w:ascii="Arial" w:hAnsi="Arial" w:cs="Arial"/>
          <w:sz w:val="24"/>
        </w:rPr>
        <w:t xml:space="preserve"> 2012. Failing underperforming students: the role of grading in practice assessment. Nurse Education in practice, 12(2), 95-100. </w:t>
      </w:r>
      <w:hyperlink r:id="rId36" w:history="1">
        <w:r w:rsidRPr="005D17BA">
          <w:rPr>
            <w:rStyle w:val="Hyperlink"/>
            <w:rFonts w:ascii="Arial" w:hAnsi="Arial" w:cs="Arial"/>
            <w:sz w:val="24"/>
          </w:rPr>
          <w:t>https://doi.org/10.1016/j.nepr.2011.08.003</w:t>
        </w:r>
      </w:hyperlink>
      <w:r w:rsidRPr="005D17BA">
        <w:rPr>
          <w:rFonts w:ascii="Arial" w:hAnsi="Arial" w:cs="Arial"/>
          <w:sz w:val="24"/>
        </w:rPr>
        <w:t xml:space="preserve"> </w:t>
      </w:r>
    </w:p>
    <w:p w14:paraId="4E2D003C" w14:textId="091C602E" w:rsidR="00690655"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Hill, K.Q.</w:t>
      </w:r>
      <w:r w:rsidR="00806FBF" w:rsidRPr="005D17BA">
        <w:rPr>
          <w:rFonts w:ascii="Arial" w:hAnsi="Arial" w:cs="Arial"/>
          <w:sz w:val="24"/>
        </w:rPr>
        <w:t>,</w:t>
      </w:r>
      <w:r w:rsidRPr="005D17BA">
        <w:rPr>
          <w:rFonts w:ascii="Arial" w:hAnsi="Arial" w:cs="Arial"/>
          <w:sz w:val="24"/>
        </w:rPr>
        <w:t xml:space="preserve"> Fowles, J.</w:t>
      </w:r>
      <w:r w:rsidR="00806FBF" w:rsidRPr="005D17BA">
        <w:rPr>
          <w:rFonts w:ascii="Arial" w:hAnsi="Arial" w:cs="Arial"/>
          <w:sz w:val="24"/>
        </w:rPr>
        <w:t xml:space="preserve">, </w:t>
      </w:r>
      <w:r w:rsidRPr="005D17BA">
        <w:rPr>
          <w:rFonts w:ascii="Arial" w:hAnsi="Arial" w:cs="Arial"/>
          <w:sz w:val="24"/>
        </w:rPr>
        <w:t xml:space="preserve">1975. The methodological worth of the Delphi forecasting technique. Technological Forecasting and Social Change, 7(2), 179-192. </w:t>
      </w:r>
      <w:hyperlink r:id="rId37" w:history="1">
        <w:r w:rsidRPr="005D17BA">
          <w:rPr>
            <w:rStyle w:val="Hyperlink"/>
            <w:rFonts w:ascii="Arial" w:hAnsi="Arial" w:cs="Arial"/>
            <w:sz w:val="24"/>
          </w:rPr>
          <w:t>https://doi.org/10.1016/0040-1625(75)90057-8</w:t>
        </w:r>
      </w:hyperlink>
      <w:r w:rsidRPr="005D17BA">
        <w:rPr>
          <w:rFonts w:ascii="Arial" w:hAnsi="Arial" w:cs="Arial"/>
          <w:sz w:val="24"/>
        </w:rPr>
        <w:t xml:space="preserve"> </w:t>
      </w:r>
    </w:p>
    <w:p w14:paraId="032B0349" w14:textId="6E364B03" w:rsidR="00D532F4" w:rsidRPr="005D17BA" w:rsidRDefault="00D532F4"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Hishiti</w:t>
      </w:r>
      <w:proofErr w:type="spellEnd"/>
      <w:r w:rsidRPr="005D17BA">
        <w:rPr>
          <w:rFonts w:ascii="Arial" w:hAnsi="Arial" w:cs="Arial"/>
          <w:sz w:val="24"/>
        </w:rPr>
        <w:t xml:space="preserve">, E., </w:t>
      </w:r>
      <w:proofErr w:type="spellStart"/>
      <w:r w:rsidRPr="005D17BA">
        <w:rPr>
          <w:rFonts w:ascii="Arial" w:hAnsi="Arial" w:cs="Arial"/>
          <w:sz w:val="24"/>
        </w:rPr>
        <w:t>Amkongo</w:t>
      </w:r>
      <w:proofErr w:type="spellEnd"/>
      <w:r w:rsidRPr="005D17BA">
        <w:rPr>
          <w:rFonts w:ascii="Arial" w:hAnsi="Arial" w:cs="Arial"/>
          <w:sz w:val="24"/>
        </w:rPr>
        <w:t>, M.</w:t>
      </w:r>
      <w:r w:rsidR="00806FBF" w:rsidRPr="005D17BA">
        <w:rPr>
          <w:rFonts w:ascii="Arial" w:hAnsi="Arial" w:cs="Arial"/>
          <w:sz w:val="24"/>
        </w:rPr>
        <w:t>,</w:t>
      </w:r>
      <w:r w:rsidRPr="005D17BA">
        <w:rPr>
          <w:rFonts w:ascii="Arial" w:hAnsi="Arial" w:cs="Arial"/>
          <w:sz w:val="24"/>
        </w:rPr>
        <w:t xml:space="preserve"> </w:t>
      </w:r>
      <w:proofErr w:type="spellStart"/>
      <w:r w:rsidRPr="005D17BA">
        <w:rPr>
          <w:rFonts w:ascii="Arial" w:hAnsi="Arial" w:cs="Arial"/>
          <w:sz w:val="24"/>
        </w:rPr>
        <w:t>Karera</w:t>
      </w:r>
      <w:proofErr w:type="spellEnd"/>
      <w:r w:rsidRPr="005D17BA">
        <w:rPr>
          <w:rFonts w:ascii="Arial" w:hAnsi="Arial" w:cs="Arial"/>
          <w:sz w:val="24"/>
        </w:rPr>
        <w:t>, A.</w:t>
      </w:r>
      <w:r w:rsidR="00806FBF" w:rsidRPr="005D17BA">
        <w:rPr>
          <w:rFonts w:ascii="Arial" w:hAnsi="Arial" w:cs="Arial"/>
          <w:sz w:val="24"/>
        </w:rPr>
        <w:t xml:space="preserve">, </w:t>
      </w:r>
      <w:r w:rsidRPr="005D17BA">
        <w:rPr>
          <w:rFonts w:ascii="Arial" w:hAnsi="Arial" w:cs="Arial"/>
          <w:sz w:val="24"/>
        </w:rPr>
        <w:t>2020</w:t>
      </w:r>
      <w:r w:rsidR="00806FBF" w:rsidRPr="005D17BA">
        <w:rPr>
          <w:rFonts w:ascii="Arial" w:hAnsi="Arial" w:cs="Arial"/>
          <w:sz w:val="24"/>
        </w:rPr>
        <w:t>.</w:t>
      </w:r>
      <w:r w:rsidRPr="005D17BA">
        <w:rPr>
          <w:rFonts w:ascii="Arial" w:hAnsi="Arial" w:cs="Arial"/>
          <w:sz w:val="24"/>
        </w:rPr>
        <w:t xml:space="preserve"> Radiography students’ experiences of practical evaluations at University of Namibia, The South African Radiographer, 58(1), 20-26.</w:t>
      </w:r>
    </w:p>
    <w:p w14:paraId="76F708D5" w14:textId="2C7CBDBC"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Holloway, I.</w:t>
      </w:r>
      <w:r w:rsidR="00806FBF" w:rsidRPr="005D17BA">
        <w:rPr>
          <w:rFonts w:ascii="Arial" w:hAnsi="Arial" w:cs="Arial"/>
          <w:sz w:val="24"/>
        </w:rPr>
        <w:t>,</w:t>
      </w:r>
      <w:r w:rsidRPr="005D17BA">
        <w:rPr>
          <w:rFonts w:ascii="Arial" w:hAnsi="Arial" w:cs="Arial"/>
          <w:sz w:val="24"/>
        </w:rPr>
        <w:t xml:space="preserve"> Wheeler, S.</w:t>
      </w:r>
      <w:r w:rsidR="00806FBF" w:rsidRPr="005D17BA">
        <w:rPr>
          <w:rFonts w:ascii="Arial" w:hAnsi="Arial" w:cs="Arial"/>
          <w:sz w:val="24"/>
        </w:rPr>
        <w:t xml:space="preserve">, </w:t>
      </w:r>
      <w:r w:rsidRPr="005D17BA">
        <w:rPr>
          <w:rFonts w:ascii="Arial" w:hAnsi="Arial" w:cs="Arial"/>
          <w:sz w:val="24"/>
        </w:rPr>
        <w:t>1996. Qualitative research for nurses. Oxford: Blackwell Science.</w:t>
      </w:r>
    </w:p>
    <w:p w14:paraId="7E1ADA79" w14:textId="2B27EDC5"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Hunt, L.A.</w:t>
      </w:r>
      <w:r w:rsidR="00806FBF" w:rsidRPr="005D17BA">
        <w:rPr>
          <w:rFonts w:ascii="Arial" w:hAnsi="Arial" w:cs="Arial"/>
          <w:sz w:val="24"/>
        </w:rPr>
        <w:t xml:space="preserve">, </w:t>
      </w:r>
      <w:r w:rsidRPr="005D17BA">
        <w:rPr>
          <w:rFonts w:ascii="Arial" w:hAnsi="Arial" w:cs="Arial"/>
          <w:sz w:val="24"/>
        </w:rPr>
        <w:t>2014</w:t>
      </w:r>
      <w:r w:rsidR="00806FBF" w:rsidRPr="005D17BA">
        <w:rPr>
          <w:rFonts w:ascii="Arial" w:hAnsi="Arial" w:cs="Arial"/>
          <w:sz w:val="24"/>
        </w:rPr>
        <w:t>.</w:t>
      </w:r>
      <w:r w:rsidRPr="005D17BA">
        <w:rPr>
          <w:rFonts w:ascii="Arial" w:hAnsi="Arial" w:cs="Arial"/>
          <w:sz w:val="24"/>
        </w:rPr>
        <w:t xml:space="preserve"> Failing Securely: Enabling mentors to fail underperforming student nurses in practical assessments. Doctoral dissertation, Birmingham City University.</w:t>
      </w:r>
    </w:p>
    <w:p w14:paraId="673C40FA" w14:textId="5A79FD14"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Hunt, L.A., McGee, P., </w:t>
      </w:r>
      <w:proofErr w:type="spellStart"/>
      <w:r w:rsidRPr="005D17BA">
        <w:rPr>
          <w:rFonts w:ascii="Arial" w:hAnsi="Arial" w:cs="Arial"/>
          <w:sz w:val="24"/>
        </w:rPr>
        <w:t>Gutteridge</w:t>
      </w:r>
      <w:proofErr w:type="spellEnd"/>
      <w:r w:rsidRPr="005D17BA">
        <w:rPr>
          <w:rFonts w:ascii="Arial" w:hAnsi="Arial" w:cs="Arial"/>
          <w:sz w:val="24"/>
        </w:rPr>
        <w:t>, R.</w:t>
      </w:r>
      <w:r w:rsidR="00806FBF" w:rsidRPr="005D17BA">
        <w:rPr>
          <w:rFonts w:ascii="Arial" w:hAnsi="Arial" w:cs="Arial"/>
          <w:sz w:val="24"/>
        </w:rPr>
        <w:t>,</w:t>
      </w:r>
      <w:r w:rsidRPr="005D17BA">
        <w:rPr>
          <w:rFonts w:ascii="Arial" w:hAnsi="Arial" w:cs="Arial"/>
          <w:sz w:val="24"/>
        </w:rPr>
        <w:t xml:space="preserve"> Hughes, M.</w:t>
      </w:r>
      <w:r w:rsidR="00806FBF" w:rsidRPr="005D17BA">
        <w:rPr>
          <w:rFonts w:ascii="Arial" w:hAnsi="Arial" w:cs="Arial"/>
          <w:sz w:val="24"/>
        </w:rPr>
        <w:t xml:space="preserve">, </w:t>
      </w:r>
      <w:r w:rsidRPr="005D17BA">
        <w:rPr>
          <w:rFonts w:ascii="Arial" w:hAnsi="Arial" w:cs="Arial"/>
          <w:sz w:val="24"/>
        </w:rPr>
        <w:t xml:space="preserve">2012. Assessment of student nurses in practice: A comparison of theoretical and practical assessment results in England. Nurse Education Today, 32(4), 351-355. </w:t>
      </w:r>
      <w:hyperlink r:id="rId38" w:history="1">
        <w:r w:rsidRPr="005D17BA">
          <w:rPr>
            <w:rStyle w:val="Hyperlink"/>
            <w:rFonts w:ascii="Arial" w:hAnsi="Arial" w:cs="Arial"/>
            <w:sz w:val="24"/>
          </w:rPr>
          <w:t>https://doi.org/10.1016/j.nedt.2011.05.010</w:t>
        </w:r>
      </w:hyperlink>
      <w:r w:rsidRPr="005D17BA">
        <w:rPr>
          <w:rFonts w:ascii="Arial" w:hAnsi="Arial" w:cs="Arial"/>
          <w:sz w:val="24"/>
        </w:rPr>
        <w:t xml:space="preserve"> </w:t>
      </w:r>
    </w:p>
    <w:p w14:paraId="6CBD6B50" w14:textId="62DADD45" w:rsidR="00AD7B29" w:rsidRPr="00C64433" w:rsidRDefault="00AD7B29" w:rsidP="005D5F17">
      <w:pPr>
        <w:widowControl w:val="0"/>
        <w:autoSpaceDE w:val="0"/>
        <w:autoSpaceDN w:val="0"/>
        <w:adjustRightInd w:val="0"/>
        <w:ind w:left="480" w:hanging="480"/>
        <w:rPr>
          <w:rFonts w:ascii="Arial" w:hAnsi="Arial" w:cs="Arial"/>
          <w:sz w:val="24"/>
        </w:rPr>
      </w:pPr>
      <w:r w:rsidRPr="00C64433">
        <w:rPr>
          <w:rFonts w:ascii="Arial" w:hAnsi="Arial" w:cs="Arial"/>
          <w:sz w:val="24"/>
        </w:rPr>
        <w:t>Hughes, L.J., Mitchell, M.L. and Johnston, A.N., 2020. Moving forward: Barriers and enablers to failure to fail–A mixed methods meta-integration. </w:t>
      </w:r>
      <w:r w:rsidRPr="00C64433">
        <w:rPr>
          <w:rFonts w:ascii="Arial" w:hAnsi="Arial" w:cs="Arial"/>
          <w:i/>
          <w:iCs/>
          <w:sz w:val="24"/>
        </w:rPr>
        <w:t>Nurse Education Today</w:t>
      </w:r>
      <w:r w:rsidRPr="00C64433">
        <w:rPr>
          <w:rFonts w:ascii="Arial" w:hAnsi="Arial" w:cs="Arial"/>
          <w:sz w:val="24"/>
        </w:rPr>
        <w:t xml:space="preserve">, p.104666. </w:t>
      </w:r>
      <w:hyperlink r:id="rId39" w:history="1">
        <w:r w:rsidRPr="00C64433">
          <w:rPr>
            <w:rStyle w:val="Hyperlink"/>
            <w:rFonts w:ascii="Arial" w:hAnsi="Arial" w:cs="Arial"/>
            <w:sz w:val="24"/>
          </w:rPr>
          <w:t>https://doi.org/10.1016/j.nedt.2020.104666</w:t>
        </w:r>
      </w:hyperlink>
      <w:r w:rsidRPr="00C64433">
        <w:rPr>
          <w:rFonts w:ascii="Arial" w:hAnsi="Arial" w:cs="Arial"/>
          <w:sz w:val="24"/>
        </w:rPr>
        <w:t xml:space="preserve"> </w:t>
      </w:r>
    </w:p>
    <w:p w14:paraId="6D0E1420" w14:textId="6DC075D8" w:rsidR="008E7674" w:rsidRDefault="008E7674" w:rsidP="005D5F17">
      <w:pPr>
        <w:widowControl w:val="0"/>
        <w:autoSpaceDE w:val="0"/>
        <w:autoSpaceDN w:val="0"/>
        <w:adjustRightInd w:val="0"/>
        <w:ind w:left="480" w:hanging="480"/>
        <w:rPr>
          <w:rFonts w:ascii="Arial" w:hAnsi="Arial" w:cs="Arial"/>
          <w:sz w:val="24"/>
        </w:rPr>
      </w:pPr>
      <w:proofErr w:type="spellStart"/>
      <w:r w:rsidRPr="00C64433">
        <w:rPr>
          <w:rFonts w:ascii="Arial" w:hAnsi="Arial" w:cs="Arial"/>
          <w:sz w:val="24"/>
        </w:rPr>
        <w:t>Immonen</w:t>
      </w:r>
      <w:proofErr w:type="spellEnd"/>
      <w:r w:rsidRPr="00C64433">
        <w:rPr>
          <w:rFonts w:ascii="Arial" w:hAnsi="Arial" w:cs="Arial"/>
          <w:sz w:val="24"/>
        </w:rPr>
        <w:t xml:space="preserve">, K., </w:t>
      </w:r>
      <w:proofErr w:type="spellStart"/>
      <w:r w:rsidRPr="00C64433">
        <w:rPr>
          <w:rFonts w:ascii="Arial" w:hAnsi="Arial" w:cs="Arial"/>
          <w:sz w:val="24"/>
        </w:rPr>
        <w:t>Oikarainen</w:t>
      </w:r>
      <w:proofErr w:type="spellEnd"/>
      <w:r w:rsidRPr="00C64433">
        <w:rPr>
          <w:rFonts w:ascii="Arial" w:hAnsi="Arial" w:cs="Arial"/>
          <w:sz w:val="24"/>
        </w:rPr>
        <w:t xml:space="preserve">, A., </w:t>
      </w:r>
      <w:proofErr w:type="spellStart"/>
      <w:r w:rsidRPr="00C64433">
        <w:rPr>
          <w:rFonts w:ascii="Arial" w:hAnsi="Arial" w:cs="Arial"/>
          <w:sz w:val="24"/>
        </w:rPr>
        <w:t>Tomietto</w:t>
      </w:r>
      <w:proofErr w:type="spellEnd"/>
      <w:r w:rsidRPr="00C64433">
        <w:rPr>
          <w:rFonts w:ascii="Arial" w:hAnsi="Arial" w:cs="Arial"/>
          <w:sz w:val="24"/>
        </w:rPr>
        <w:t xml:space="preserve">, M., </w:t>
      </w:r>
      <w:proofErr w:type="spellStart"/>
      <w:r w:rsidRPr="00C64433">
        <w:rPr>
          <w:rFonts w:ascii="Arial" w:hAnsi="Arial" w:cs="Arial"/>
          <w:sz w:val="24"/>
        </w:rPr>
        <w:t>Kääriäinen</w:t>
      </w:r>
      <w:proofErr w:type="spellEnd"/>
      <w:r w:rsidRPr="00C64433">
        <w:rPr>
          <w:rFonts w:ascii="Arial" w:hAnsi="Arial" w:cs="Arial"/>
          <w:sz w:val="24"/>
        </w:rPr>
        <w:t xml:space="preserve">, M., </w:t>
      </w:r>
      <w:proofErr w:type="spellStart"/>
      <w:r w:rsidRPr="00C64433">
        <w:rPr>
          <w:rFonts w:ascii="Arial" w:hAnsi="Arial" w:cs="Arial"/>
          <w:sz w:val="24"/>
        </w:rPr>
        <w:t>Tuomikoski</w:t>
      </w:r>
      <w:proofErr w:type="spellEnd"/>
      <w:r w:rsidRPr="00C64433">
        <w:rPr>
          <w:rFonts w:ascii="Arial" w:hAnsi="Arial" w:cs="Arial"/>
          <w:sz w:val="24"/>
        </w:rPr>
        <w:t xml:space="preserve">, A.M., </w:t>
      </w:r>
      <w:proofErr w:type="spellStart"/>
      <w:r w:rsidRPr="00C64433">
        <w:rPr>
          <w:rFonts w:ascii="Arial" w:hAnsi="Arial" w:cs="Arial"/>
          <w:sz w:val="24"/>
        </w:rPr>
        <w:t>Kaučič</w:t>
      </w:r>
      <w:proofErr w:type="spellEnd"/>
      <w:r w:rsidRPr="00C64433">
        <w:rPr>
          <w:rFonts w:ascii="Arial" w:hAnsi="Arial" w:cs="Arial"/>
          <w:sz w:val="24"/>
        </w:rPr>
        <w:t xml:space="preserve">, B.M., </w:t>
      </w:r>
      <w:proofErr w:type="spellStart"/>
      <w:r w:rsidRPr="00C64433">
        <w:rPr>
          <w:rFonts w:ascii="Arial" w:hAnsi="Arial" w:cs="Arial"/>
          <w:sz w:val="24"/>
        </w:rPr>
        <w:t>Filej</w:t>
      </w:r>
      <w:proofErr w:type="spellEnd"/>
      <w:r w:rsidRPr="00C64433">
        <w:rPr>
          <w:rFonts w:ascii="Arial" w:hAnsi="Arial" w:cs="Arial"/>
          <w:sz w:val="24"/>
        </w:rPr>
        <w:t xml:space="preserve">, B., </w:t>
      </w:r>
      <w:proofErr w:type="spellStart"/>
      <w:r w:rsidRPr="00C64433">
        <w:rPr>
          <w:rFonts w:ascii="Arial" w:hAnsi="Arial" w:cs="Arial"/>
          <w:sz w:val="24"/>
        </w:rPr>
        <w:t>Riklikiene</w:t>
      </w:r>
      <w:proofErr w:type="spellEnd"/>
      <w:r w:rsidRPr="00C64433">
        <w:rPr>
          <w:rFonts w:ascii="Arial" w:hAnsi="Arial" w:cs="Arial"/>
          <w:sz w:val="24"/>
        </w:rPr>
        <w:t>, O., Vizcaya-Moreno, M.F., Perez-</w:t>
      </w:r>
      <w:proofErr w:type="spellStart"/>
      <w:r w:rsidRPr="00C64433">
        <w:rPr>
          <w:rFonts w:ascii="Arial" w:hAnsi="Arial" w:cs="Arial"/>
          <w:sz w:val="24"/>
        </w:rPr>
        <w:t>Cañaveras</w:t>
      </w:r>
      <w:proofErr w:type="spellEnd"/>
      <w:r w:rsidRPr="00C64433">
        <w:rPr>
          <w:rFonts w:ascii="Arial" w:hAnsi="Arial" w:cs="Arial"/>
          <w:sz w:val="24"/>
        </w:rPr>
        <w:t xml:space="preserve">, R.M. and De </w:t>
      </w:r>
      <w:proofErr w:type="spellStart"/>
      <w:r w:rsidRPr="00C64433">
        <w:rPr>
          <w:rFonts w:ascii="Arial" w:hAnsi="Arial" w:cs="Arial"/>
          <w:sz w:val="24"/>
        </w:rPr>
        <w:t>Raeve</w:t>
      </w:r>
      <w:proofErr w:type="spellEnd"/>
      <w:r w:rsidRPr="00C64433">
        <w:rPr>
          <w:rFonts w:ascii="Arial" w:hAnsi="Arial" w:cs="Arial"/>
          <w:sz w:val="24"/>
        </w:rPr>
        <w:t>, P., 2019. Assessment of nursing students' competence in clinical practice: a systematic review of reviews. </w:t>
      </w:r>
      <w:r w:rsidRPr="00C64433">
        <w:rPr>
          <w:rFonts w:ascii="Arial" w:hAnsi="Arial" w:cs="Arial"/>
          <w:i/>
          <w:iCs/>
          <w:sz w:val="24"/>
        </w:rPr>
        <w:t>International journal of nursing studies</w:t>
      </w:r>
      <w:r w:rsidRPr="00C64433">
        <w:rPr>
          <w:rFonts w:ascii="Arial" w:hAnsi="Arial" w:cs="Arial"/>
          <w:sz w:val="24"/>
        </w:rPr>
        <w:t>, </w:t>
      </w:r>
      <w:r w:rsidRPr="00C64433">
        <w:rPr>
          <w:rFonts w:ascii="Arial" w:hAnsi="Arial" w:cs="Arial"/>
          <w:i/>
          <w:iCs/>
          <w:sz w:val="24"/>
        </w:rPr>
        <w:t>100</w:t>
      </w:r>
      <w:r w:rsidRPr="00C64433">
        <w:rPr>
          <w:rFonts w:ascii="Arial" w:hAnsi="Arial" w:cs="Arial"/>
          <w:sz w:val="24"/>
        </w:rPr>
        <w:t xml:space="preserve">, p.103414. </w:t>
      </w:r>
      <w:hyperlink r:id="rId40" w:history="1">
        <w:r w:rsidRPr="00C64433">
          <w:rPr>
            <w:rStyle w:val="Hyperlink"/>
            <w:rFonts w:ascii="Arial" w:hAnsi="Arial" w:cs="Arial"/>
            <w:sz w:val="24"/>
          </w:rPr>
          <w:t>https://doi.org/10.1016/j.ijnurstu.2019.103414</w:t>
        </w:r>
      </w:hyperlink>
      <w:r>
        <w:rPr>
          <w:rFonts w:ascii="Arial" w:hAnsi="Arial" w:cs="Arial"/>
          <w:sz w:val="24"/>
        </w:rPr>
        <w:t xml:space="preserve"> </w:t>
      </w:r>
    </w:p>
    <w:p w14:paraId="3F84E1ED" w14:textId="08A996E2" w:rsidR="003D512A"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Jokelainen</w:t>
      </w:r>
      <w:proofErr w:type="spellEnd"/>
      <w:r w:rsidRPr="005D17BA">
        <w:rPr>
          <w:rFonts w:ascii="Arial" w:hAnsi="Arial" w:cs="Arial"/>
          <w:sz w:val="24"/>
        </w:rPr>
        <w:t xml:space="preserve">, M., </w:t>
      </w:r>
      <w:proofErr w:type="spellStart"/>
      <w:r w:rsidRPr="005D17BA">
        <w:rPr>
          <w:rFonts w:ascii="Arial" w:hAnsi="Arial" w:cs="Arial"/>
          <w:sz w:val="24"/>
        </w:rPr>
        <w:t>Tossavainen</w:t>
      </w:r>
      <w:proofErr w:type="spellEnd"/>
      <w:r w:rsidRPr="005D17BA">
        <w:rPr>
          <w:rFonts w:ascii="Arial" w:hAnsi="Arial" w:cs="Arial"/>
          <w:sz w:val="24"/>
        </w:rPr>
        <w:t xml:space="preserve">, K., </w:t>
      </w:r>
      <w:proofErr w:type="spellStart"/>
      <w:r w:rsidRPr="005D17BA">
        <w:rPr>
          <w:rFonts w:ascii="Arial" w:hAnsi="Arial" w:cs="Arial"/>
          <w:sz w:val="24"/>
        </w:rPr>
        <w:t>Jamookeeah</w:t>
      </w:r>
      <w:proofErr w:type="spellEnd"/>
      <w:r w:rsidRPr="005D17BA">
        <w:rPr>
          <w:rFonts w:ascii="Arial" w:hAnsi="Arial" w:cs="Arial"/>
          <w:sz w:val="24"/>
        </w:rPr>
        <w:t>, D.</w:t>
      </w:r>
      <w:r w:rsidR="00806FBF" w:rsidRPr="005D17BA">
        <w:rPr>
          <w:rFonts w:ascii="Arial" w:hAnsi="Arial" w:cs="Arial"/>
          <w:sz w:val="24"/>
        </w:rPr>
        <w:t>,</w:t>
      </w:r>
      <w:r w:rsidRPr="005D17BA">
        <w:rPr>
          <w:rFonts w:ascii="Arial" w:hAnsi="Arial" w:cs="Arial"/>
          <w:sz w:val="24"/>
        </w:rPr>
        <w:t xml:space="preserve"> </w:t>
      </w:r>
      <w:proofErr w:type="spellStart"/>
      <w:r w:rsidRPr="005D17BA">
        <w:rPr>
          <w:rFonts w:ascii="Arial" w:hAnsi="Arial" w:cs="Arial"/>
          <w:sz w:val="24"/>
        </w:rPr>
        <w:t>Turnen</w:t>
      </w:r>
      <w:proofErr w:type="spellEnd"/>
      <w:r w:rsidRPr="005D17BA">
        <w:rPr>
          <w:rFonts w:ascii="Arial" w:hAnsi="Arial" w:cs="Arial"/>
          <w:sz w:val="24"/>
        </w:rPr>
        <w:t>, H.</w:t>
      </w:r>
      <w:r w:rsidR="00806FBF" w:rsidRPr="005D17BA">
        <w:rPr>
          <w:rFonts w:ascii="Arial" w:hAnsi="Arial" w:cs="Arial"/>
          <w:sz w:val="24"/>
        </w:rPr>
        <w:t xml:space="preserve">, </w:t>
      </w:r>
      <w:r w:rsidRPr="005D17BA">
        <w:rPr>
          <w:rFonts w:ascii="Arial" w:hAnsi="Arial" w:cs="Arial"/>
          <w:sz w:val="24"/>
        </w:rPr>
        <w:t xml:space="preserve">2013. Finish and British mentors’ conceptions of facilitating nursing students’ placement learning and professional development. Nurse Education in Practice, 13(1), 61-67. </w:t>
      </w:r>
      <w:hyperlink r:id="rId41" w:history="1">
        <w:r w:rsidRPr="005D17BA">
          <w:rPr>
            <w:rStyle w:val="Hyperlink"/>
            <w:rFonts w:ascii="Arial" w:hAnsi="Arial" w:cs="Arial"/>
            <w:sz w:val="24"/>
          </w:rPr>
          <w:t>https://doi.org/10.1016/j.nepr.2012.07.008</w:t>
        </w:r>
      </w:hyperlink>
      <w:r w:rsidRPr="005D17BA">
        <w:rPr>
          <w:rFonts w:ascii="Arial" w:hAnsi="Arial" w:cs="Arial"/>
          <w:sz w:val="24"/>
        </w:rPr>
        <w:t xml:space="preserve"> </w:t>
      </w:r>
    </w:p>
    <w:p w14:paraId="7B3FEA47" w14:textId="3EB9AAF1" w:rsidR="003D512A" w:rsidRPr="00C64433"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Keeney, S. Hasson, F.</w:t>
      </w:r>
      <w:r w:rsidR="00806FBF" w:rsidRPr="005D17BA">
        <w:rPr>
          <w:rFonts w:ascii="Arial" w:hAnsi="Arial" w:cs="Arial"/>
          <w:sz w:val="24"/>
        </w:rPr>
        <w:t>,</w:t>
      </w:r>
      <w:r w:rsidRPr="005D17BA">
        <w:rPr>
          <w:rFonts w:ascii="Arial" w:hAnsi="Arial" w:cs="Arial"/>
          <w:sz w:val="24"/>
        </w:rPr>
        <w:t xml:space="preserve"> </w:t>
      </w:r>
      <w:proofErr w:type="spellStart"/>
      <w:r w:rsidRPr="005D17BA">
        <w:rPr>
          <w:rFonts w:ascii="Arial" w:hAnsi="Arial" w:cs="Arial"/>
          <w:sz w:val="24"/>
        </w:rPr>
        <w:t>MvKenna</w:t>
      </w:r>
      <w:proofErr w:type="spellEnd"/>
      <w:r w:rsidRPr="005D17BA">
        <w:rPr>
          <w:rFonts w:ascii="Arial" w:hAnsi="Arial" w:cs="Arial"/>
          <w:sz w:val="24"/>
        </w:rPr>
        <w:t>, H.</w:t>
      </w:r>
      <w:r w:rsidR="00806FBF" w:rsidRPr="005D17BA">
        <w:rPr>
          <w:rFonts w:ascii="Arial" w:hAnsi="Arial" w:cs="Arial"/>
          <w:sz w:val="24"/>
        </w:rPr>
        <w:t xml:space="preserve">, </w:t>
      </w:r>
      <w:r w:rsidRPr="005D17BA">
        <w:rPr>
          <w:rFonts w:ascii="Arial" w:hAnsi="Arial" w:cs="Arial"/>
          <w:sz w:val="24"/>
        </w:rPr>
        <w:t xml:space="preserve">2011. The Delphi Technique in Nursing </w:t>
      </w:r>
      <w:r w:rsidRPr="00C64433">
        <w:rPr>
          <w:rFonts w:ascii="Arial" w:hAnsi="Arial" w:cs="Arial"/>
          <w:sz w:val="24"/>
        </w:rPr>
        <w:t>and Health Research. Chichester: Wiley-Blackwell.</w:t>
      </w:r>
    </w:p>
    <w:p w14:paraId="4785C9D5" w14:textId="09490356" w:rsidR="000233BC" w:rsidRDefault="000233BC" w:rsidP="005D5F17">
      <w:pPr>
        <w:widowControl w:val="0"/>
        <w:autoSpaceDE w:val="0"/>
        <w:autoSpaceDN w:val="0"/>
        <w:adjustRightInd w:val="0"/>
        <w:ind w:left="480" w:hanging="480"/>
        <w:rPr>
          <w:rFonts w:ascii="Arial" w:hAnsi="Arial" w:cs="Arial"/>
          <w:sz w:val="24"/>
        </w:rPr>
      </w:pPr>
      <w:r w:rsidRPr="00C64433">
        <w:rPr>
          <w:rFonts w:ascii="Arial" w:hAnsi="Arial" w:cs="Arial"/>
          <w:sz w:val="24"/>
        </w:rPr>
        <w:t xml:space="preserve">Kennedy, S. and </w:t>
      </w:r>
      <w:proofErr w:type="spellStart"/>
      <w:r w:rsidRPr="00C64433">
        <w:rPr>
          <w:rFonts w:ascii="Arial" w:hAnsi="Arial" w:cs="Arial"/>
          <w:sz w:val="24"/>
        </w:rPr>
        <w:t>Chesser</w:t>
      </w:r>
      <w:proofErr w:type="spellEnd"/>
      <w:r w:rsidRPr="00C64433">
        <w:rPr>
          <w:rFonts w:ascii="Arial" w:hAnsi="Arial" w:cs="Arial"/>
          <w:sz w:val="24"/>
        </w:rPr>
        <w:t>-Smyth, P., 2017. Assessment of undergraduate nursing students from an Irish perspective: Decisions and dilemmas? </w:t>
      </w:r>
      <w:r w:rsidRPr="00C64433">
        <w:rPr>
          <w:rFonts w:ascii="Arial" w:hAnsi="Arial" w:cs="Arial"/>
          <w:i/>
          <w:iCs/>
          <w:sz w:val="24"/>
        </w:rPr>
        <w:t>Nurse education in practice</w:t>
      </w:r>
      <w:r w:rsidRPr="00C64433">
        <w:rPr>
          <w:rFonts w:ascii="Arial" w:hAnsi="Arial" w:cs="Arial"/>
          <w:sz w:val="24"/>
        </w:rPr>
        <w:t>, </w:t>
      </w:r>
      <w:r w:rsidRPr="00C64433">
        <w:rPr>
          <w:rFonts w:ascii="Arial" w:hAnsi="Arial" w:cs="Arial"/>
          <w:i/>
          <w:iCs/>
          <w:sz w:val="24"/>
        </w:rPr>
        <w:t>27</w:t>
      </w:r>
      <w:r w:rsidRPr="00C64433">
        <w:rPr>
          <w:rFonts w:ascii="Arial" w:hAnsi="Arial" w:cs="Arial"/>
          <w:sz w:val="24"/>
        </w:rPr>
        <w:t xml:space="preserve">, pp.95-100. </w:t>
      </w:r>
      <w:hyperlink r:id="rId42" w:history="1">
        <w:r w:rsidRPr="00C64433">
          <w:rPr>
            <w:rStyle w:val="Hyperlink"/>
            <w:rFonts w:ascii="Arial" w:hAnsi="Arial" w:cs="Arial"/>
            <w:sz w:val="24"/>
          </w:rPr>
          <w:t>https://doi.org/10.1016/j.nepr.2017.08.017</w:t>
        </w:r>
      </w:hyperlink>
      <w:r>
        <w:rPr>
          <w:rFonts w:ascii="Arial" w:hAnsi="Arial" w:cs="Arial"/>
          <w:sz w:val="24"/>
        </w:rPr>
        <w:t xml:space="preserve"> </w:t>
      </w:r>
    </w:p>
    <w:p w14:paraId="5E0BAB9E" w14:textId="6960F437" w:rsidR="003D512A"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lastRenderedPageBreak/>
        <w:t>Landeta</w:t>
      </w:r>
      <w:proofErr w:type="spellEnd"/>
      <w:r w:rsidRPr="005D17BA">
        <w:rPr>
          <w:rFonts w:ascii="Arial" w:hAnsi="Arial" w:cs="Arial"/>
          <w:sz w:val="24"/>
        </w:rPr>
        <w:t>, J.</w:t>
      </w:r>
      <w:r w:rsidR="00806FBF" w:rsidRPr="005D17BA">
        <w:rPr>
          <w:rFonts w:ascii="Arial" w:hAnsi="Arial" w:cs="Arial"/>
          <w:sz w:val="24"/>
        </w:rPr>
        <w:t xml:space="preserve">, </w:t>
      </w:r>
      <w:r w:rsidRPr="005D17BA">
        <w:rPr>
          <w:rFonts w:ascii="Arial" w:hAnsi="Arial" w:cs="Arial"/>
          <w:sz w:val="24"/>
        </w:rPr>
        <w:t xml:space="preserve">2006. Current validity of the Delphi method in social sciences. Technological Forecasting and Social Change, 73(5), 467-82. </w:t>
      </w:r>
      <w:hyperlink r:id="rId43" w:history="1">
        <w:r w:rsidRPr="005D17BA">
          <w:rPr>
            <w:rStyle w:val="Hyperlink"/>
            <w:rFonts w:ascii="Arial" w:hAnsi="Arial" w:cs="Arial"/>
            <w:sz w:val="24"/>
          </w:rPr>
          <w:t>https://doi.org/10.1016/j.techfore.2005.09.002</w:t>
        </w:r>
      </w:hyperlink>
      <w:r w:rsidRPr="005D17BA">
        <w:rPr>
          <w:rFonts w:ascii="Arial" w:hAnsi="Arial" w:cs="Arial"/>
          <w:sz w:val="24"/>
        </w:rPr>
        <w:t xml:space="preserve"> </w:t>
      </w:r>
    </w:p>
    <w:p w14:paraId="00C3A6B1" w14:textId="44FFD581"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Larocque, S.</w:t>
      </w:r>
      <w:r w:rsidR="00806FBF" w:rsidRPr="005D17BA">
        <w:rPr>
          <w:rFonts w:ascii="Arial" w:hAnsi="Arial" w:cs="Arial"/>
          <w:sz w:val="24"/>
        </w:rPr>
        <w:t>,</w:t>
      </w:r>
      <w:r w:rsidRPr="005D17BA">
        <w:rPr>
          <w:rFonts w:ascii="Arial" w:hAnsi="Arial" w:cs="Arial"/>
          <w:sz w:val="24"/>
        </w:rPr>
        <w:t xml:space="preserve"> </w:t>
      </w:r>
      <w:proofErr w:type="spellStart"/>
      <w:r w:rsidRPr="005D17BA">
        <w:rPr>
          <w:rFonts w:ascii="Arial" w:hAnsi="Arial" w:cs="Arial"/>
          <w:sz w:val="24"/>
        </w:rPr>
        <w:t>Luhanga</w:t>
      </w:r>
      <w:proofErr w:type="spellEnd"/>
      <w:r w:rsidRPr="005D17BA">
        <w:rPr>
          <w:rFonts w:ascii="Arial" w:hAnsi="Arial" w:cs="Arial"/>
          <w:sz w:val="24"/>
        </w:rPr>
        <w:t>, F.L.</w:t>
      </w:r>
      <w:r w:rsidR="00806FBF" w:rsidRPr="005D17BA">
        <w:rPr>
          <w:rFonts w:ascii="Arial" w:hAnsi="Arial" w:cs="Arial"/>
          <w:sz w:val="24"/>
        </w:rPr>
        <w:t xml:space="preserve">, </w:t>
      </w:r>
      <w:r w:rsidRPr="005D17BA">
        <w:rPr>
          <w:rFonts w:ascii="Arial" w:hAnsi="Arial" w:cs="Arial"/>
          <w:sz w:val="24"/>
        </w:rPr>
        <w:t xml:space="preserve">2013. Exploring the issue of failure to fail in a nursing program. International Journal of Nursing Education Scholarship, 10(1), 1-8. </w:t>
      </w:r>
      <w:hyperlink r:id="rId44" w:history="1">
        <w:r w:rsidRPr="005D17BA">
          <w:rPr>
            <w:rStyle w:val="Hyperlink"/>
            <w:rFonts w:ascii="Arial" w:hAnsi="Arial" w:cs="Arial"/>
            <w:sz w:val="24"/>
          </w:rPr>
          <w:t>https://doi.org/10.1515/ijnes-2012-0037</w:t>
        </w:r>
      </w:hyperlink>
      <w:r w:rsidRPr="005D17BA">
        <w:rPr>
          <w:rFonts w:ascii="Arial" w:hAnsi="Arial" w:cs="Arial"/>
          <w:sz w:val="24"/>
        </w:rPr>
        <w:t xml:space="preserve">  </w:t>
      </w:r>
    </w:p>
    <w:p w14:paraId="6CDE830E" w14:textId="676DF8F3" w:rsidR="003D512A"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Lemmer</w:t>
      </w:r>
      <w:proofErr w:type="spellEnd"/>
      <w:r w:rsidRPr="005D17BA">
        <w:rPr>
          <w:rFonts w:ascii="Arial" w:hAnsi="Arial" w:cs="Arial"/>
          <w:sz w:val="24"/>
        </w:rPr>
        <w:t>, B.</w:t>
      </w:r>
      <w:r w:rsidR="00806FBF" w:rsidRPr="005D17BA">
        <w:rPr>
          <w:rFonts w:ascii="Arial" w:hAnsi="Arial" w:cs="Arial"/>
          <w:sz w:val="24"/>
        </w:rPr>
        <w:t xml:space="preserve">, </w:t>
      </w:r>
      <w:r w:rsidRPr="005D17BA">
        <w:rPr>
          <w:rFonts w:ascii="Arial" w:hAnsi="Arial" w:cs="Arial"/>
          <w:sz w:val="24"/>
        </w:rPr>
        <w:t>1998. Successive surveys of an expert panel: research in decision</w:t>
      </w:r>
      <w:r w:rsidRPr="005D17BA">
        <w:rPr>
          <w:rFonts w:ascii="Cambria Math" w:eastAsia="MS Mincho" w:hAnsi="Cambria Math" w:cs="Cambria Math"/>
          <w:sz w:val="24"/>
        </w:rPr>
        <w:t>‐</w:t>
      </w:r>
      <w:r w:rsidRPr="005D17BA">
        <w:rPr>
          <w:rFonts w:ascii="Arial" w:hAnsi="Arial" w:cs="Arial"/>
          <w:sz w:val="24"/>
        </w:rPr>
        <w:t xml:space="preserve">making with health visitors. Journal of advanced nursing, 27(3), 538-545. </w:t>
      </w:r>
      <w:hyperlink r:id="rId45" w:history="1">
        <w:r w:rsidRPr="005D17BA">
          <w:rPr>
            <w:rStyle w:val="Hyperlink"/>
            <w:rFonts w:ascii="Arial" w:hAnsi="Arial" w:cs="Arial"/>
            <w:sz w:val="24"/>
          </w:rPr>
          <w:t>https://doi.org/10.1046/j.1365-2648.1998.00544.x</w:t>
        </w:r>
      </w:hyperlink>
      <w:r w:rsidRPr="005D17BA">
        <w:rPr>
          <w:rFonts w:ascii="Arial" w:hAnsi="Arial" w:cs="Arial"/>
          <w:sz w:val="24"/>
        </w:rPr>
        <w:t xml:space="preserve"> </w:t>
      </w:r>
    </w:p>
    <w:p w14:paraId="2F56971D" w14:textId="36E02E96"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Lincoln, Y.S.</w:t>
      </w:r>
      <w:r w:rsidR="00826A87" w:rsidRPr="005D17BA">
        <w:rPr>
          <w:rFonts w:ascii="Arial" w:hAnsi="Arial" w:cs="Arial"/>
          <w:sz w:val="24"/>
        </w:rPr>
        <w:t>,</w:t>
      </w:r>
      <w:r w:rsidRPr="005D17BA">
        <w:rPr>
          <w:rFonts w:ascii="Arial" w:hAnsi="Arial" w:cs="Arial"/>
          <w:sz w:val="24"/>
        </w:rPr>
        <w:t xml:space="preserve"> Guba, E.G.</w:t>
      </w:r>
      <w:r w:rsidR="00826A87" w:rsidRPr="005D17BA">
        <w:rPr>
          <w:rFonts w:ascii="Arial" w:hAnsi="Arial" w:cs="Arial"/>
          <w:sz w:val="24"/>
        </w:rPr>
        <w:t>,</w:t>
      </w:r>
      <w:r w:rsidRPr="005D17BA">
        <w:rPr>
          <w:rFonts w:ascii="Arial" w:hAnsi="Arial" w:cs="Arial"/>
          <w:sz w:val="24"/>
        </w:rPr>
        <w:t>1985. Naturalistic Inquiry. Newbury Park, CA: Sage Publications.</w:t>
      </w:r>
    </w:p>
    <w:p w14:paraId="55FA817A" w14:textId="2F6FD010" w:rsidR="007E27D4" w:rsidRDefault="007E27D4" w:rsidP="005D5F17">
      <w:pPr>
        <w:widowControl w:val="0"/>
        <w:autoSpaceDE w:val="0"/>
        <w:autoSpaceDN w:val="0"/>
        <w:adjustRightInd w:val="0"/>
        <w:ind w:left="480" w:hanging="480"/>
        <w:rPr>
          <w:rFonts w:ascii="Arial" w:hAnsi="Arial" w:cs="Arial"/>
          <w:sz w:val="24"/>
        </w:rPr>
      </w:pPr>
      <w:proofErr w:type="spellStart"/>
      <w:r>
        <w:rPr>
          <w:rFonts w:ascii="Arial" w:hAnsi="Arial" w:cs="Arial"/>
          <w:sz w:val="24"/>
        </w:rPr>
        <w:t>Linstone</w:t>
      </w:r>
      <w:proofErr w:type="spellEnd"/>
      <w:r>
        <w:rPr>
          <w:rFonts w:ascii="Arial" w:hAnsi="Arial" w:cs="Arial"/>
          <w:sz w:val="24"/>
        </w:rPr>
        <w:t>, H.A., 1978.</w:t>
      </w:r>
      <w:r w:rsidRPr="007E27D4">
        <w:rPr>
          <w:rFonts w:ascii="Arial" w:hAnsi="Arial" w:cs="Arial"/>
          <w:sz w:val="24"/>
        </w:rPr>
        <w:t xml:space="preserve"> The Delphi technique. Handbook of futures research. </w:t>
      </w:r>
      <w:r w:rsidRPr="007E27D4">
        <w:rPr>
          <w:rFonts w:ascii="Arial" w:hAnsi="Arial" w:cs="Arial"/>
          <w:i/>
          <w:iCs/>
          <w:sz w:val="24"/>
        </w:rPr>
        <w:t>J. Fowlers. Westport, CT, Greenwood Press</w:t>
      </w:r>
      <w:r w:rsidRPr="007E27D4">
        <w:rPr>
          <w:rFonts w:ascii="Arial" w:hAnsi="Arial" w:cs="Arial"/>
          <w:sz w:val="24"/>
        </w:rPr>
        <w:t>, pp.273-300.</w:t>
      </w:r>
    </w:p>
    <w:p w14:paraId="320F55F8" w14:textId="4406DA89"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McCarthy, B.</w:t>
      </w:r>
      <w:r w:rsidR="00826A87" w:rsidRPr="005D17BA">
        <w:rPr>
          <w:rFonts w:ascii="Arial" w:hAnsi="Arial" w:cs="Arial"/>
          <w:sz w:val="24"/>
        </w:rPr>
        <w:t>,</w:t>
      </w:r>
      <w:r w:rsidRPr="005D17BA">
        <w:rPr>
          <w:rFonts w:ascii="Arial" w:hAnsi="Arial" w:cs="Arial"/>
          <w:sz w:val="24"/>
        </w:rPr>
        <w:t xml:space="preserve"> Murphy, S.</w:t>
      </w:r>
      <w:r w:rsidR="00826A87" w:rsidRPr="005D17BA">
        <w:rPr>
          <w:rFonts w:ascii="Arial" w:hAnsi="Arial" w:cs="Arial"/>
          <w:sz w:val="24"/>
        </w:rPr>
        <w:t xml:space="preserve">, </w:t>
      </w:r>
      <w:r w:rsidRPr="005D17BA">
        <w:rPr>
          <w:rFonts w:ascii="Arial" w:hAnsi="Arial" w:cs="Arial"/>
          <w:sz w:val="24"/>
        </w:rPr>
        <w:t xml:space="preserve">2008 Assessing undergraduate nursing students in clinical practice: do preceptors use assessment strategies? Nurse Education Today, 28(3), 301-313. </w:t>
      </w:r>
      <w:hyperlink r:id="rId46" w:history="1">
        <w:r w:rsidRPr="005D17BA">
          <w:rPr>
            <w:rStyle w:val="Hyperlink"/>
            <w:rFonts w:ascii="Arial" w:hAnsi="Arial" w:cs="Arial"/>
            <w:sz w:val="24"/>
          </w:rPr>
          <w:t>https://doi.org/10.1016/j.nedt.2007.06.002</w:t>
        </w:r>
      </w:hyperlink>
      <w:r w:rsidRPr="005D17BA">
        <w:rPr>
          <w:rFonts w:ascii="Arial" w:hAnsi="Arial" w:cs="Arial"/>
          <w:sz w:val="24"/>
        </w:rPr>
        <w:t xml:space="preserve"> </w:t>
      </w:r>
    </w:p>
    <w:p w14:paraId="1161E490" w14:textId="7BA87367"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McDowell, L., Wakelin, D., Montgomery, C.</w:t>
      </w:r>
      <w:r w:rsidR="00826A87" w:rsidRPr="005D17BA">
        <w:rPr>
          <w:rFonts w:ascii="Arial" w:hAnsi="Arial" w:cs="Arial"/>
          <w:sz w:val="24"/>
        </w:rPr>
        <w:t>,</w:t>
      </w:r>
      <w:r w:rsidRPr="005D17BA">
        <w:rPr>
          <w:rFonts w:ascii="Arial" w:hAnsi="Arial" w:cs="Arial"/>
          <w:sz w:val="24"/>
        </w:rPr>
        <w:t xml:space="preserve"> King, S.</w:t>
      </w:r>
      <w:r w:rsidR="00826A87" w:rsidRPr="005D17BA">
        <w:rPr>
          <w:rFonts w:ascii="Arial" w:hAnsi="Arial" w:cs="Arial"/>
          <w:sz w:val="24"/>
        </w:rPr>
        <w:t xml:space="preserve">, </w:t>
      </w:r>
      <w:r w:rsidRPr="005D17BA">
        <w:rPr>
          <w:rFonts w:ascii="Arial" w:hAnsi="Arial" w:cs="Arial"/>
          <w:sz w:val="24"/>
        </w:rPr>
        <w:t xml:space="preserve">2011. Does assessment for learning make a difference? The development of a questionnaire to explore the student response. Assessment and Evaluation in Higher Education, 36(7), 749-765. </w:t>
      </w:r>
      <w:hyperlink r:id="rId47" w:history="1">
        <w:r w:rsidRPr="005D17BA">
          <w:rPr>
            <w:rStyle w:val="Hyperlink"/>
            <w:rFonts w:ascii="Arial" w:hAnsi="Arial" w:cs="Arial"/>
            <w:sz w:val="24"/>
          </w:rPr>
          <w:t>https://srhe.tandfonline.com/author/Montgomery%2C+Catherine</w:t>
        </w:r>
      </w:hyperlink>
      <w:r w:rsidRPr="005D17BA">
        <w:rPr>
          <w:rFonts w:ascii="Arial" w:hAnsi="Arial" w:cs="Arial"/>
          <w:sz w:val="24"/>
        </w:rPr>
        <w:t xml:space="preserve"> </w:t>
      </w:r>
    </w:p>
    <w:p w14:paraId="738A1724" w14:textId="400AAE34"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McKenna, H. P.</w:t>
      </w:r>
      <w:r w:rsidR="00826A87" w:rsidRPr="005D17BA">
        <w:rPr>
          <w:rFonts w:ascii="Arial" w:hAnsi="Arial" w:cs="Arial"/>
          <w:sz w:val="24"/>
        </w:rPr>
        <w:t>,</w:t>
      </w:r>
      <w:r w:rsidRPr="005D17BA">
        <w:rPr>
          <w:rFonts w:ascii="Arial" w:hAnsi="Arial" w:cs="Arial"/>
          <w:sz w:val="24"/>
        </w:rPr>
        <w:t xml:space="preserve">1994. The Delphi technique: a worthwhile approach for Nursing? Journal of Advanced Nursing, 19(6), 1221-1225. </w:t>
      </w:r>
      <w:hyperlink r:id="rId48" w:history="1">
        <w:r w:rsidRPr="005D17BA">
          <w:rPr>
            <w:rStyle w:val="Hyperlink"/>
            <w:rFonts w:ascii="Arial" w:hAnsi="Arial" w:cs="Arial"/>
            <w:sz w:val="24"/>
          </w:rPr>
          <w:t>https://doi.org/10.1111/j.1365-2648.1994.tb01207.x</w:t>
        </w:r>
      </w:hyperlink>
      <w:r w:rsidRPr="005D17BA">
        <w:rPr>
          <w:rFonts w:ascii="Arial" w:hAnsi="Arial" w:cs="Arial"/>
          <w:sz w:val="24"/>
        </w:rPr>
        <w:t xml:space="preserve"> </w:t>
      </w:r>
    </w:p>
    <w:p w14:paraId="13A6AE13" w14:textId="035C4ABA"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Miller, C.</w:t>
      </w:r>
      <w:r w:rsidR="00826A87" w:rsidRPr="005D17BA">
        <w:rPr>
          <w:rFonts w:ascii="Arial" w:hAnsi="Arial" w:cs="Arial"/>
          <w:sz w:val="24"/>
        </w:rPr>
        <w:t xml:space="preserve">, </w:t>
      </w:r>
      <w:r w:rsidRPr="005D17BA">
        <w:rPr>
          <w:rFonts w:ascii="Arial" w:hAnsi="Arial" w:cs="Arial"/>
          <w:sz w:val="24"/>
        </w:rPr>
        <w:t xml:space="preserve">2010. Improving and enhancing performance in the affective domain of nursing students: Insights from the literature for clinical educators. Contemporary Nurse, 35(1), 2–17. </w:t>
      </w:r>
      <w:hyperlink r:id="rId49" w:history="1">
        <w:r w:rsidRPr="005D17BA">
          <w:rPr>
            <w:rStyle w:val="Hyperlink"/>
            <w:rFonts w:ascii="Arial" w:hAnsi="Arial" w:cs="Arial"/>
            <w:sz w:val="24"/>
          </w:rPr>
          <w:t>https://doi.org/10.5172/conu.2010.35.1.002</w:t>
        </w:r>
      </w:hyperlink>
      <w:r w:rsidRPr="005D17BA">
        <w:rPr>
          <w:rFonts w:ascii="Arial" w:hAnsi="Arial" w:cs="Arial"/>
          <w:sz w:val="24"/>
        </w:rPr>
        <w:t xml:space="preserve"> </w:t>
      </w:r>
    </w:p>
    <w:p w14:paraId="109829FA" w14:textId="18A2C676"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Montgomery, K.</w:t>
      </w:r>
      <w:r w:rsidR="00826A87" w:rsidRPr="005D17BA">
        <w:rPr>
          <w:rFonts w:ascii="Arial" w:hAnsi="Arial" w:cs="Arial"/>
          <w:sz w:val="24"/>
        </w:rPr>
        <w:t xml:space="preserve">, </w:t>
      </w:r>
      <w:r w:rsidRPr="005D17BA">
        <w:rPr>
          <w:rFonts w:ascii="Arial" w:hAnsi="Arial" w:cs="Arial"/>
          <w:sz w:val="24"/>
        </w:rPr>
        <w:t xml:space="preserve">2002. Authentic Tasks and Rubrics: going beyond traditional assessments in College Teaching. College teaching, 50(1), 34-40. </w:t>
      </w:r>
      <w:hyperlink r:id="rId50" w:history="1">
        <w:r w:rsidRPr="005D17BA">
          <w:rPr>
            <w:rStyle w:val="Hyperlink"/>
            <w:rFonts w:ascii="Arial" w:hAnsi="Arial" w:cs="Arial"/>
            <w:sz w:val="24"/>
          </w:rPr>
          <w:t>https://doi.org/10.1080/87567550209595870</w:t>
        </w:r>
      </w:hyperlink>
      <w:r w:rsidRPr="005D17BA">
        <w:rPr>
          <w:rFonts w:ascii="Arial" w:hAnsi="Arial" w:cs="Arial"/>
          <w:sz w:val="24"/>
        </w:rPr>
        <w:t xml:space="preserve"> </w:t>
      </w:r>
    </w:p>
    <w:p w14:paraId="5AC4D72F" w14:textId="59CEB186" w:rsidR="008F4A5C" w:rsidRPr="00C64433" w:rsidRDefault="003D512A" w:rsidP="003C5188">
      <w:pPr>
        <w:widowControl w:val="0"/>
        <w:autoSpaceDE w:val="0"/>
        <w:autoSpaceDN w:val="0"/>
        <w:adjustRightInd w:val="0"/>
        <w:ind w:left="480" w:hanging="480"/>
        <w:rPr>
          <w:rFonts w:ascii="Arial" w:hAnsi="Arial" w:cs="Arial"/>
          <w:sz w:val="24"/>
        </w:rPr>
      </w:pPr>
      <w:r w:rsidRPr="005D17BA">
        <w:rPr>
          <w:rFonts w:ascii="Arial" w:hAnsi="Arial" w:cs="Arial"/>
          <w:sz w:val="24"/>
        </w:rPr>
        <w:t>Neary, M.</w:t>
      </w:r>
      <w:r w:rsidR="00826A87" w:rsidRPr="005D17BA">
        <w:rPr>
          <w:rFonts w:ascii="Arial" w:hAnsi="Arial" w:cs="Arial"/>
          <w:sz w:val="24"/>
        </w:rPr>
        <w:t xml:space="preserve">, </w:t>
      </w:r>
      <w:r w:rsidRPr="005D17BA">
        <w:rPr>
          <w:rFonts w:ascii="Arial" w:hAnsi="Arial" w:cs="Arial"/>
          <w:sz w:val="24"/>
        </w:rPr>
        <w:t xml:space="preserve">2001. Responsive assessment: assessing student nurses’ clinical competence. Nurse Education Today, 21(1), 3-17. </w:t>
      </w:r>
      <w:hyperlink r:id="rId51" w:history="1">
        <w:r w:rsidRPr="00C64433">
          <w:rPr>
            <w:rStyle w:val="Hyperlink"/>
            <w:rFonts w:ascii="Arial" w:hAnsi="Arial" w:cs="Arial"/>
            <w:sz w:val="24"/>
          </w:rPr>
          <w:t>https://doi.org/10.1054/nedt.2000.0508</w:t>
        </w:r>
      </w:hyperlink>
      <w:r w:rsidRPr="00C64433">
        <w:rPr>
          <w:rFonts w:ascii="Arial" w:hAnsi="Arial" w:cs="Arial"/>
          <w:sz w:val="24"/>
        </w:rPr>
        <w:t xml:space="preserve"> </w:t>
      </w:r>
    </w:p>
    <w:p w14:paraId="3829D58D" w14:textId="16AADA7D" w:rsidR="008F4A5C" w:rsidRPr="00C64433" w:rsidRDefault="008F4A5C" w:rsidP="005D5F17">
      <w:pPr>
        <w:widowControl w:val="0"/>
        <w:autoSpaceDE w:val="0"/>
        <w:autoSpaceDN w:val="0"/>
        <w:adjustRightInd w:val="0"/>
        <w:ind w:left="480" w:hanging="480"/>
        <w:rPr>
          <w:rFonts w:ascii="Arial" w:hAnsi="Arial" w:cs="Arial"/>
          <w:sz w:val="24"/>
        </w:rPr>
      </w:pPr>
      <w:r w:rsidRPr="00C64433">
        <w:rPr>
          <w:rFonts w:ascii="Arial" w:hAnsi="Arial" w:cs="Arial"/>
          <w:sz w:val="24"/>
        </w:rPr>
        <w:t>Nicola-Richmond, K., Butterworth, B. and Hitch, D., 2017. What factors contribute to failure of fieldwork placement? Perspectives of supervisors and university fieldwork educators. </w:t>
      </w:r>
      <w:r w:rsidRPr="00C64433">
        <w:rPr>
          <w:rFonts w:ascii="Arial" w:hAnsi="Arial" w:cs="Arial"/>
          <w:i/>
          <w:iCs/>
          <w:sz w:val="24"/>
        </w:rPr>
        <w:t>World Federation of Occupational Therapists Bulletin</w:t>
      </w:r>
      <w:r w:rsidRPr="00C64433">
        <w:rPr>
          <w:rFonts w:ascii="Arial" w:hAnsi="Arial" w:cs="Arial"/>
          <w:sz w:val="24"/>
        </w:rPr>
        <w:t>, </w:t>
      </w:r>
      <w:r w:rsidRPr="00C64433">
        <w:rPr>
          <w:rFonts w:ascii="Arial" w:hAnsi="Arial" w:cs="Arial"/>
          <w:i/>
          <w:iCs/>
          <w:sz w:val="24"/>
        </w:rPr>
        <w:t>73</w:t>
      </w:r>
      <w:r w:rsidRPr="00C64433">
        <w:rPr>
          <w:rFonts w:ascii="Arial" w:hAnsi="Arial" w:cs="Arial"/>
          <w:sz w:val="24"/>
        </w:rPr>
        <w:t>(2), 117-124.</w:t>
      </w:r>
      <w:r w:rsidR="005875FA" w:rsidRPr="00C64433">
        <w:rPr>
          <w:rFonts w:ascii="Arial" w:hAnsi="Arial" w:cs="Arial"/>
          <w:sz w:val="24"/>
        </w:rPr>
        <w:t xml:space="preserve"> </w:t>
      </w:r>
      <w:hyperlink r:id="rId52" w:history="1">
        <w:r w:rsidR="005875FA" w:rsidRPr="00C64433">
          <w:rPr>
            <w:rStyle w:val="Hyperlink"/>
            <w:rFonts w:ascii="Arial" w:hAnsi="Arial" w:cs="Arial"/>
            <w:sz w:val="24"/>
          </w:rPr>
          <w:t>https://doi.org/10.1080/14473828.2016.1149981</w:t>
        </w:r>
      </w:hyperlink>
      <w:r w:rsidR="005875FA" w:rsidRPr="00C64433">
        <w:rPr>
          <w:rFonts w:ascii="Arial" w:hAnsi="Arial" w:cs="Arial"/>
          <w:sz w:val="24"/>
        </w:rPr>
        <w:t xml:space="preserve"> </w:t>
      </w:r>
    </w:p>
    <w:p w14:paraId="086F78A8" w14:textId="21E0073A" w:rsidR="00AD7B29" w:rsidRDefault="00AD7B29" w:rsidP="005D5F17">
      <w:pPr>
        <w:widowControl w:val="0"/>
        <w:autoSpaceDE w:val="0"/>
        <w:autoSpaceDN w:val="0"/>
        <w:adjustRightInd w:val="0"/>
        <w:ind w:left="480" w:hanging="480"/>
        <w:rPr>
          <w:rFonts w:ascii="Arial" w:hAnsi="Arial" w:cs="Arial"/>
          <w:sz w:val="24"/>
        </w:rPr>
      </w:pPr>
      <w:r w:rsidRPr="00C64433">
        <w:rPr>
          <w:rFonts w:ascii="Arial" w:hAnsi="Arial" w:cs="Arial"/>
          <w:sz w:val="24"/>
        </w:rPr>
        <w:t>Nugent, O., Lydon, C., Part, S., Dennehy, C., Fenn, H., Keane, L., Prizeman, G. and Timmins, F., 2020. Who is failing who? A survey exploration of the barriers &amp; enablers to accurate decision making when nursing students’ competence is below required standards. </w:t>
      </w:r>
      <w:r w:rsidRPr="00C64433">
        <w:rPr>
          <w:rFonts w:ascii="Arial" w:hAnsi="Arial" w:cs="Arial"/>
          <w:i/>
          <w:iCs/>
          <w:sz w:val="24"/>
        </w:rPr>
        <w:t>Nurse Education in Practice</w:t>
      </w:r>
      <w:r w:rsidRPr="00C64433">
        <w:rPr>
          <w:rFonts w:ascii="Arial" w:hAnsi="Arial" w:cs="Arial"/>
          <w:sz w:val="24"/>
        </w:rPr>
        <w:t>, </w:t>
      </w:r>
      <w:r w:rsidRPr="00C64433">
        <w:rPr>
          <w:rFonts w:ascii="Arial" w:hAnsi="Arial" w:cs="Arial"/>
          <w:i/>
          <w:iCs/>
          <w:sz w:val="24"/>
        </w:rPr>
        <w:t>45</w:t>
      </w:r>
      <w:r w:rsidRPr="00C64433">
        <w:rPr>
          <w:rFonts w:ascii="Arial" w:hAnsi="Arial" w:cs="Arial"/>
          <w:sz w:val="24"/>
        </w:rPr>
        <w:t xml:space="preserve">, p.102791. </w:t>
      </w:r>
      <w:hyperlink r:id="rId53" w:history="1">
        <w:r w:rsidR="00F76480" w:rsidRPr="00C64433">
          <w:rPr>
            <w:rStyle w:val="Hyperlink"/>
            <w:rFonts w:ascii="Arial" w:hAnsi="Arial" w:cs="Arial"/>
            <w:sz w:val="24"/>
          </w:rPr>
          <w:t>https://doi.org/10.1016/j.nepr.2020.102791</w:t>
        </w:r>
      </w:hyperlink>
      <w:r w:rsidR="00F76480">
        <w:rPr>
          <w:rFonts w:ascii="Arial" w:hAnsi="Arial" w:cs="Arial"/>
          <w:sz w:val="24"/>
        </w:rPr>
        <w:t xml:space="preserve"> </w:t>
      </w:r>
    </w:p>
    <w:p w14:paraId="205C292E" w14:textId="671E1744"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Nursing and Midwifery Council (2018) Standards for student supervision and assessment. NMC: London.</w:t>
      </w:r>
    </w:p>
    <w:p w14:paraId="7DCCD6A5" w14:textId="0DC1946B"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Owens, C., Ley, A.</w:t>
      </w:r>
      <w:r w:rsidR="00826A87" w:rsidRPr="005D17BA">
        <w:rPr>
          <w:rFonts w:ascii="Arial" w:hAnsi="Arial" w:cs="Arial"/>
          <w:sz w:val="24"/>
        </w:rPr>
        <w:t>,</w:t>
      </w:r>
      <w:r w:rsidRPr="005D17BA">
        <w:rPr>
          <w:rFonts w:ascii="Arial" w:hAnsi="Arial" w:cs="Arial"/>
          <w:sz w:val="24"/>
        </w:rPr>
        <w:t xml:space="preserve"> Aitken, P.</w:t>
      </w:r>
      <w:r w:rsidR="00826A87" w:rsidRPr="005D17BA">
        <w:rPr>
          <w:rFonts w:ascii="Arial" w:hAnsi="Arial" w:cs="Arial"/>
          <w:sz w:val="24"/>
        </w:rPr>
        <w:t xml:space="preserve">, </w:t>
      </w:r>
      <w:r w:rsidRPr="005D17BA">
        <w:rPr>
          <w:rFonts w:ascii="Arial" w:hAnsi="Arial" w:cs="Arial"/>
          <w:sz w:val="24"/>
        </w:rPr>
        <w:t xml:space="preserve">2008. Do different stakeholder groups shape mental health service priorities? A four arm Delphi Study. Health Expectations, 11(4), 418-431. </w:t>
      </w:r>
      <w:hyperlink r:id="rId54" w:history="1">
        <w:r w:rsidRPr="005D17BA">
          <w:rPr>
            <w:rStyle w:val="Hyperlink"/>
            <w:rFonts w:ascii="Arial" w:hAnsi="Arial" w:cs="Arial"/>
            <w:sz w:val="24"/>
          </w:rPr>
          <w:t>https://dx.doi.org/10.1111%2Fj.1369-</w:t>
        </w:r>
        <w:r w:rsidRPr="005D17BA">
          <w:rPr>
            <w:rStyle w:val="Hyperlink"/>
            <w:rFonts w:ascii="Arial" w:hAnsi="Arial" w:cs="Arial"/>
            <w:sz w:val="24"/>
          </w:rPr>
          <w:lastRenderedPageBreak/>
          <w:t>7625.2008.00492.x</w:t>
        </w:r>
      </w:hyperlink>
      <w:r w:rsidRPr="005D17BA">
        <w:rPr>
          <w:rFonts w:ascii="Arial" w:hAnsi="Arial" w:cs="Arial"/>
          <w:sz w:val="24"/>
        </w:rPr>
        <w:t xml:space="preserve"> </w:t>
      </w:r>
    </w:p>
    <w:p w14:paraId="351A241A" w14:textId="7C44EA3A" w:rsidR="00535906" w:rsidRPr="005D17BA" w:rsidRDefault="00535906"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Oyinloye</w:t>
      </w:r>
      <w:proofErr w:type="spellEnd"/>
      <w:r w:rsidRPr="005D17BA">
        <w:rPr>
          <w:rFonts w:ascii="Arial" w:hAnsi="Arial" w:cs="Arial"/>
          <w:sz w:val="24"/>
        </w:rPr>
        <w:t>, O.M.</w:t>
      </w:r>
      <w:r w:rsidR="00826A87" w:rsidRPr="005D17BA">
        <w:rPr>
          <w:rFonts w:ascii="Arial" w:hAnsi="Arial" w:cs="Arial"/>
          <w:sz w:val="24"/>
        </w:rPr>
        <w:t>,</w:t>
      </w:r>
      <w:r w:rsidRPr="005D17BA">
        <w:rPr>
          <w:rFonts w:ascii="Arial" w:hAnsi="Arial" w:cs="Arial"/>
          <w:sz w:val="24"/>
        </w:rPr>
        <w:t xml:space="preserve"> </w:t>
      </w:r>
      <w:proofErr w:type="spellStart"/>
      <w:r w:rsidRPr="005D17BA">
        <w:rPr>
          <w:rFonts w:ascii="Arial" w:hAnsi="Arial" w:cs="Arial"/>
          <w:sz w:val="24"/>
        </w:rPr>
        <w:t>Imenda</w:t>
      </w:r>
      <w:proofErr w:type="spellEnd"/>
      <w:r w:rsidRPr="005D17BA">
        <w:rPr>
          <w:rFonts w:ascii="Arial" w:hAnsi="Arial" w:cs="Arial"/>
          <w:sz w:val="24"/>
        </w:rPr>
        <w:t>, S.N.</w:t>
      </w:r>
      <w:r w:rsidR="00826A87" w:rsidRPr="005D17BA">
        <w:rPr>
          <w:rFonts w:ascii="Arial" w:hAnsi="Arial" w:cs="Arial"/>
          <w:sz w:val="24"/>
        </w:rPr>
        <w:t xml:space="preserve">, </w:t>
      </w:r>
      <w:r w:rsidRPr="005D17BA">
        <w:rPr>
          <w:rFonts w:ascii="Arial" w:hAnsi="Arial" w:cs="Arial"/>
          <w:sz w:val="24"/>
        </w:rPr>
        <w:t>2019</w:t>
      </w:r>
      <w:r w:rsidR="00826A87" w:rsidRPr="005D17BA">
        <w:rPr>
          <w:rFonts w:ascii="Arial" w:hAnsi="Arial" w:cs="Arial"/>
          <w:sz w:val="24"/>
        </w:rPr>
        <w:t>.</w:t>
      </w:r>
      <w:r w:rsidRPr="005D17BA">
        <w:rPr>
          <w:rFonts w:ascii="Arial" w:hAnsi="Arial" w:cs="Arial"/>
          <w:sz w:val="24"/>
        </w:rPr>
        <w:t xml:space="preserve"> The Impact of Assessment for Learning on Learner Performance in Life Science. Eurasia Journal of Mathematics, Science and Technology Education, 15(11), p. em1775. </w:t>
      </w:r>
      <w:hyperlink r:id="rId55" w:history="1">
        <w:r w:rsidRPr="005D17BA">
          <w:rPr>
            <w:rStyle w:val="Hyperlink"/>
            <w:rFonts w:ascii="Arial" w:hAnsi="Arial" w:cs="Arial"/>
            <w:sz w:val="24"/>
          </w:rPr>
          <w:t>https://doi.org/10.29333/ejmste/108689</w:t>
        </w:r>
      </w:hyperlink>
      <w:r w:rsidRPr="005D17BA">
        <w:rPr>
          <w:rFonts w:ascii="Arial" w:hAnsi="Arial" w:cs="Arial"/>
          <w:sz w:val="24"/>
        </w:rPr>
        <w:t xml:space="preserve"> </w:t>
      </w:r>
    </w:p>
    <w:p w14:paraId="3C362201" w14:textId="5A61A439" w:rsidR="003D512A"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Schuwirth</w:t>
      </w:r>
      <w:proofErr w:type="spellEnd"/>
      <w:r w:rsidRPr="005D17BA">
        <w:rPr>
          <w:rFonts w:ascii="Arial" w:hAnsi="Arial" w:cs="Arial"/>
          <w:sz w:val="24"/>
        </w:rPr>
        <w:t>, L.W.</w:t>
      </w:r>
      <w:r w:rsidR="00826A87" w:rsidRPr="005D17BA">
        <w:rPr>
          <w:rFonts w:ascii="Arial" w:hAnsi="Arial" w:cs="Arial"/>
          <w:sz w:val="24"/>
        </w:rPr>
        <w:t>,</w:t>
      </w:r>
      <w:r w:rsidRPr="005D17BA">
        <w:rPr>
          <w:rFonts w:ascii="Arial" w:hAnsi="Arial" w:cs="Arial"/>
          <w:sz w:val="24"/>
        </w:rPr>
        <w:t xml:space="preserve"> Van der Vleuten, C.P.</w:t>
      </w:r>
      <w:r w:rsidR="00826A87" w:rsidRPr="005D17BA">
        <w:rPr>
          <w:rFonts w:ascii="Arial" w:hAnsi="Arial" w:cs="Arial"/>
          <w:sz w:val="24"/>
        </w:rPr>
        <w:t xml:space="preserve">, </w:t>
      </w:r>
      <w:r w:rsidRPr="005D17BA">
        <w:rPr>
          <w:rFonts w:ascii="Arial" w:hAnsi="Arial" w:cs="Arial"/>
          <w:sz w:val="24"/>
        </w:rPr>
        <w:t xml:space="preserve">2011. Programmatic assessment: from assessment of learning to assessment for learning. Medical teacher, 33(6), 478-485. </w:t>
      </w:r>
      <w:hyperlink r:id="rId56" w:history="1">
        <w:r w:rsidRPr="005D17BA">
          <w:rPr>
            <w:rStyle w:val="Hyperlink"/>
            <w:rFonts w:ascii="Arial" w:hAnsi="Arial" w:cs="Arial"/>
            <w:sz w:val="24"/>
          </w:rPr>
          <w:t>https://doi.org/10.3109/0142159X.2011.565828</w:t>
        </w:r>
      </w:hyperlink>
      <w:r w:rsidRPr="005D17BA">
        <w:rPr>
          <w:rFonts w:ascii="Arial" w:hAnsi="Arial" w:cs="Arial"/>
          <w:sz w:val="24"/>
        </w:rPr>
        <w:t xml:space="preserve"> </w:t>
      </w:r>
    </w:p>
    <w:p w14:paraId="03C36645" w14:textId="162BDC43"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Sharma, G.</w:t>
      </w:r>
      <w:r w:rsidR="00826A87" w:rsidRPr="005D17BA">
        <w:rPr>
          <w:rFonts w:ascii="Arial" w:hAnsi="Arial" w:cs="Arial"/>
          <w:sz w:val="24"/>
        </w:rPr>
        <w:t xml:space="preserve">, </w:t>
      </w:r>
      <w:r w:rsidRPr="005D17BA">
        <w:rPr>
          <w:rFonts w:ascii="Arial" w:hAnsi="Arial" w:cs="Arial"/>
          <w:sz w:val="24"/>
        </w:rPr>
        <w:t>2017</w:t>
      </w:r>
      <w:r w:rsidR="00826A87" w:rsidRPr="005D17BA">
        <w:rPr>
          <w:rFonts w:ascii="Arial" w:hAnsi="Arial" w:cs="Arial"/>
          <w:sz w:val="24"/>
        </w:rPr>
        <w:t>.</w:t>
      </w:r>
      <w:r w:rsidRPr="005D17BA">
        <w:rPr>
          <w:rFonts w:ascii="Arial" w:hAnsi="Arial" w:cs="Arial"/>
          <w:sz w:val="24"/>
        </w:rPr>
        <w:t xml:space="preserve"> Pros and cons of different sampling techniques. International Journal of Applied Research, 3(7),749-752.</w:t>
      </w:r>
    </w:p>
    <w:p w14:paraId="7A372534" w14:textId="14566581" w:rsidR="003D512A" w:rsidRPr="00C64433" w:rsidRDefault="003D512A" w:rsidP="00826A8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Shipman, D., </w:t>
      </w:r>
      <w:proofErr w:type="spellStart"/>
      <w:r w:rsidRPr="005D17BA">
        <w:rPr>
          <w:rFonts w:ascii="Arial" w:hAnsi="Arial" w:cs="Arial"/>
          <w:sz w:val="24"/>
        </w:rPr>
        <w:t>Roa</w:t>
      </w:r>
      <w:proofErr w:type="spellEnd"/>
      <w:r w:rsidRPr="005D17BA">
        <w:rPr>
          <w:rFonts w:ascii="Arial" w:hAnsi="Arial" w:cs="Arial"/>
          <w:sz w:val="24"/>
        </w:rPr>
        <w:t>, M., Hooten, J.</w:t>
      </w:r>
      <w:r w:rsidR="00826A87" w:rsidRPr="005D17BA">
        <w:rPr>
          <w:rFonts w:ascii="Arial" w:hAnsi="Arial" w:cs="Arial"/>
          <w:sz w:val="24"/>
        </w:rPr>
        <w:t>,</w:t>
      </w:r>
      <w:r w:rsidRPr="005D17BA">
        <w:rPr>
          <w:rFonts w:ascii="Arial" w:hAnsi="Arial" w:cs="Arial"/>
          <w:sz w:val="24"/>
        </w:rPr>
        <w:t xml:space="preserve"> Wang, Z.J.</w:t>
      </w:r>
      <w:r w:rsidR="00826A87" w:rsidRPr="005D17BA">
        <w:rPr>
          <w:rFonts w:ascii="Arial" w:hAnsi="Arial" w:cs="Arial"/>
          <w:sz w:val="24"/>
        </w:rPr>
        <w:t xml:space="preserve">, </w:t>
      </w:r>
      <w:r w:rsidRPr="005D17BA">
        <w:rPr>
          <w:rFonts w:ascii="Arial" w:hAnsi="Arial" w:cs="Arial"/>
          <w:sz w:val="24"/>
        </w:rPr>
        <w:t xml:space="preserve">2012. Using the analytic rubric as an evaluation tool in nursing education: the positive and the negative. Nurse education today, 32(3), 246-249. </w:t>
      </w:r>
      <w:hyperlink r:id="rId57" w:history="1">
        <w:r w:rsidRPr="00C64433">
          <w:rPr>
            <w:rStyle w:val="Hyperlink"/>
            <w:rFonts w:ascii="Arial" w:hAnsi="Arial" w:cs="Arial"/>
            <w:sz w:val="24"/>
          </w:rPr>
          <w:t>https://doi.org/10.1016/j.nedt.2011.04.007</w:t>
        </w:r>
      </w:hyperlink>
      <w:r w:rsidRPr="00C64433">
        <w:rPr>
          <w:rFonts w:ascii="Arial" w:hAnsi="Arial" w:cs="Arial"/>
          <w:sz w:val="24"/>
        </w:rPr>
        <w:t xml:space="preserve"> </w:t>
      </w:r>
    </w:p>
    <w:p w14:paraId="5C7F3A13" w14:textId="2DA63D7C" w:rsidR="00405C79" w:rsidRDefault="00405C79" w:rsidP="00405C79">
      <w:pPr>
        <w:widowControl w:val="0"/>
        <w:autoSpaceDE w:val="0"/>
        <w:autoSpaceDN w:val="0"/>
        <w:adjustRightInd w:val="0"/>
        <w:ind w:left="480" w:hanging="480"/>
        <w:rPr>
          <w:rFonts w:ascii="Arial" w:hAnsi="Arial" w:cs="Arial"/>
          <w:sz w:val="24"/>
        </w:rPr>
      </w:pPr>
      <w:proofErr w:type="spellStart"/>
      <w:r w:rsidRPr="00C64433">
        <w:rPr>
          <w:rFonts w:ascii="Arial" w:hAnsi="Arial" w:cs="Arial"/>
          <w:sz w:val="24"/>
        </w:rPr>
        <w:t>Skulmoski</w:t>
      </w:r>
      <w:proofErr w:type="spellEnd"/>
      <w:r w:rsidRPr="00C64433">
        <w:rPr>
          <w:rFonts w:ascii="Arial" w:hAnsi="Arial" w:cs="Arial"/>
          <w:sz w:val="24"/>
        </w:rPr>
        <w:t xml:space="preserve">, G.J., Hartman, F.T. and </w:t>
      </w:r>
      <w:proofErr w:type="spellStart"/>
      <w:r w:rsidRPr="00C64433">
        <w:rPr>
          <w:rFonts w:ascii="Arial" w:hAnsi="Arial" w:cs="Arial"/>
          <w:sz w:val="24"/>
        </w:rPr>
        <w:t>Krahn</w:t>
      </w:r>
      <w:proofErr w:type="spellEnd"/>
      <w:r w:rsidRPr="00C64433">
        <w:rPr>
          <w:rFonts w:ascii="Arial" w:hAnsi="Arial" w:cs="Arial"/>
          <w:sz w:val="24"/>
        </w:rPr>
        <w:t xml:space="preserve">, J., 2007. The Delphi method for graduate research. </w:t>
      </w:r>
      <w:r w:rsidRPr="00C64433">
        <w:rPr>
          <w:rFonts w:ascii="Arial" w:hAnsi="Arial" w:cs="Arial"/>
          <w:i/>
          <w:sz w:val="24"/>
        </w:rPr>
        <w:t>Journal of Information Technology Education,</w:t>
      </w:r>
      <w:r w:rsidRPr="00C64433">
        <w:rPr>
          <w:rFonts w:ascii="Arial" w:hAnsi="Arial" w:cs="Arial"/>
          <w:sz w:val="24"/>
        </w:rPr>
        <w:t xml:space="preserve"> 6 (2), 1-20. </w:t>
      </w:r>
      <w:hyperlink r:id="rId58" w:history="1">
        <w:r w:rsidRPr="00C64433">
          <w:rPr>
            <w:rStyle w:val="Hyperlink"/>
            <w:rFonts w:ascii="Arial" w:hAnsi="Arial" w:cs="Arial"/>
            <w:sz w:val="24"/>
          </w:rPr>
          <w:t>https://www.learntechlib.org/p/111405/</w:t>
        </w:r>
      </w:hyperlink>
      <w:r>
        <w:rPr>
          <w:rFonts w:ascii="Arial" w:hAnsi="Arial" w:cs="Arial"/>
          <w:sz w:val="24"/>
        </w:rPr>
        <w:t xml:space="preserve"> </w:t>
      </w:r>
    </w:p>
    <w:p w14:paraId="309B2850" w14:textId="59E5B5E0"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Strauss, C., Taylor, B.L., Gu, J., </w:t>
      </w:r>
      <w:proofErr w:type="spellStart"/>
      <w:r w:rsidRPr="005D17BA">
        <w:rPr>
          <w:rFonts w:ascii="Arial" w:hAnsi="Arial" w:cs="Arial"/>
          <w:sz w:val="24"/>
        </w:rPr>
        <w:t>Kuyken</w:t>
      </w:r>
      <w:proofErr w:type="spellEnd"/>
      <w:r w:rsidRPr="005D17BA">
        <w:rPr>
          <w:rFonts w:ascii="Arial" w:hAnsi="Arial" w:cs="Arial"/>
          <w:sz w:val="24"/>
        </w:rPr>
        <w:t>, W., Baer, R., Jones, F.</w:t>
      </w:r>
      <w:r w:rsidR="00826A87" w:rsidRPr="005D17BA">
        <w:rPr>
          <w:rFonts w:ascii="Arial" w:hAnsi="Arial" w:cs="Arial"/>
          <w:sz w:val="24"/>
        </w:rPr>
        <w:t>,</w:t>
      </w:r>
      <w:r w:rsidRPr="005D17BA">
        <w:rPr>
          <w:rFonts w:ascii="Arial" w:hAnsi="Arial" w:cs="Arial"/>
          <w:sz w:val="24"/>
        </w:rPr>
        <w:t xml:space="preserve"> Cavanagh, K.</w:t>
      </w:r>
      <w:r w:rsidR="00826A87" w:rsidRPr="005D17BA">
        <w:rPr>
          <w:rFonts w:ascii="Arial" w:hAnsi="Arial" w:cs="Arial"/>
          <w:sz w:val="24"/>
        </w:rPr>
        <w:t xml:space="preserve">, </w:t>
      </w:r>
      <w:r w:rsidRPr="005D17BA">
        <w:rPr>
          <w:rFonts w:ascii="Arial" w:hAnsi="Arial" w:cs="Arial"/>
          <w:sz w:val="24"/>
        </w:rPr>
        <w:t xml:space="preserve">2016. What is compassion and how can we measure it? A review of definitions and measures. Clinical psychology review, 47, 15-27. </w:t>
      </w:r>
      <w:hyperlink r:id="rId59" w:history="1">
        <w:r w:rsidRPr="005D17BA">
          <w:rPr>
            <w:rStyle w:val="Hyperlink"/>
            <w:rFonts w:ascii="Arial" w:hAnsi="Arial" w:cs="Arial"/>
            <w:sz w:val="24"/>
          </w:rPr>
          <w:t>https://doi.org/10.1016/j.cpr.2016.05.004</w:t>
        </w:r>
      </w:hyperlink>
      <w:r w:rsidRPr="005D17BA">
        <w:rPr>
          <w:rFonts w:ascii="Arial" w:hAnsi="Arial" w:cs="Arial"/>
          <w:sz w:val="24"/>
        </w:rPr>
        <w:t xml:space="preserve"> </w:t>
      </w:r>
    </w:p>
    <w:p w14:paraId="4B66589B" w14:textId="56EFB919" w:rsidR="003D512A"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Sumison</w:t>
      </w:r>
      <w:proofErr w:type="spellEnd"/>
      <w:r w:rsidRPr="005D17BA">
        <w:rPr>
          <w:rFonts w:ascii="Arial" w:hAnsi="Arial" w:cs="Arial"/>
          <w:sz w:val="24"/>
        </w:rPr>
        <w:t>, T.</w:t>
      </w:r>
      <w:r w:rsidR="00826A87" w:rsidRPr="005D17BA">
        <w:rPr>
          <w:rFonts w:ascii="Arial" w:hAnsi="Arial" w:cs="Arial"/>
          <w:sz w:val="24"/>
        </w:rPr>
        <w:t xml:space="preserve">, </w:t>
      </w:r>
      <w:r w:rsidRPr="005D17BA">
        <w:rPr>
          <w:rFonts w:ascii="Arial" w:hAnsi="Arial" w:cs="Arial"/>
          <w:sz w:val="24"/>
        </w:rPr>
        <w:t xml:space="preserve">1998. The Delphi Technique: an adaptive research tool. The British Journal of Occupational Therapy, 61(4), 153-156. </w:t>
      </w:r>
      <w:hyperlink r:id="rId60" w:history="1">
        <w:r w:rsidRPr="005D17BA">
          <w:rPr>
            <w:rStyle w:val="Hyperlink"/>
            <w:rFonts w:ascii="Arial" w:hAnsi="Arial" w:cs="Arial"/>
            <w:sz w:val="24"/>
          </w:rPr>
          <w:t>https://doi.org/10.1177%2F030802269806100403</w:t>
        </w:r>
      </w:hyperlink>
      <w:r w:rsidRPr="005D17BA">
        <w:rPr>
          <w:rFonts w:ascii="Arial" w:hAnsi="Arial" w:cs="Arial"/>
          <w:sz w:val="24"/>
        </w:rPr>
        <w:t xml:space="preserve"> </w:t>
      </w:r>
    </w:p>
    <w:p w14:paraId="30622074" w14:textId="48B8EABE" w:rsidR="003D512A" w:rsidRPr="005D17BA" w:rsidRDefault="003D512A"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color w:val="222222"/>
          <w:sz w:val="24"/>
          <w:shd w:val="clear" w:color="auto" w:fill="FFFFFF"/>
        </w:rPr>
        <w:t>Trede</w:t>
      </w:r>
      <w:proofErr w:type="spellEnd"/>
      <w:r w:rsidRPr="005D17BA">
        <w:rPr>
          <w:rFonts w:ascii="Arial" w:hAnsi="Arial" w:cs="Arial"/>
          <w:color w:val="222222"/>
          <w:sz w:val="24"/>
          <w:shd w:val="clear" w:color="auto" w:fill="FFFFFF"/>
        </w:rPr>
        <w:t>, F., Smith, M.</w:t>
      </w:r>
      <w:r w:rsidR="00826A87" w:rsidRPr="005D17BA">
        <w:rPr>
          <w:rFonts w:ascii="Arial" w:hAnsi="Arial" w:cs="Arial"/>
          <w:color w:val="222222"/>
          <w:sz w:val="24"/>
          <w:shd w:val="clear" w:color="auto" w:fill="FFFFFF"/>
        </w:rPr>
        <w:t xml:space="preserve">, </w:t>
      </w:r>
      <w:r w:rsidRPr="005D17BA">
        <w:rPr>
          <w:rFonts w:ascii="Arial" w:hAnsi="Arial" w:cs="Arial"/>
          <w:color w:val="222222"/>
          <w:sz w:val="24"/>
          <w:shd w:val="clear" w:color="auto" w:fill="FFFFFF"/>
        </w:rPr>
        <w:t>2012. Challenges of assessment in practice-based education. In Practice-Based Education (pp. 187-198). Brill Sense.</w:t>
      </w:r>
      <w:r w:rsidRPr="005D17BA">
        <w:rPr>
          <w:rFonts w:ascii="Arial" w:hAnsi="Arial" w:cs="Arial"/>
          <w:sz w:val="24"/>
        </w:rPr>
        <w:t xml:space="preserve"> </w:t>
      </w:r>
    </w:p>
    <w:p w14:paraId="3F83DC6E" w14:textId="04CFD00C"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Von der </w:t>
      </w:r>
      <w:proofErr w:type="spellStart"/>
      <w:r w:rsidRPr="005D17BA">
        <w:rPr>
          <w:rFonts w:ascii="Arial" w:hAnsi="Arial" w:cs="Arial"/>
          <w:sz w:val="24"/>
        </w:rPr>
        <w:t>Gracht</w:t>
      </w:r>
      <w:proofErr w:type="spellEnd"/>
      <w:r w:rsidRPr="005D17BA">
        <w:rPr>
          <w:rFonts w:ascii="Arial" w:hAnsi="Arial" w:cs="Arial"/>
          <w:sz w:val="24"/>
        </w:rPr>
        <w:t>, H. A.</w:t>
      </w:r>
      <w:r w:rsidR="00826A87" w:rsidRPr="005D17BA">
        <w:rPr>
          <w:rFonts w:ascii="Arial" w:hAnsi="Arial" w:cs="Arial"/>
          <w:sz w:val="24"/>
        </w:rPr>
        <w:t xml:space="preserve">, </w:t>
      </w:r>
      <w:r w:rsidRPr="005D17BA">
        <w:rPr>
          <w:rFonts w:ascii="Arial" w:hAnsi="Arial" w:cs="Arial"/>
          <w:sz w:val="24"/>
        </w:rPr>
        <w:t xml:space="preserve">2008. The Delphi technique for futures research. The Future of Logistics: Scenarios for 2025, 21-68. </w:t>
      </w:r>
      <w:hyperlink r:id="rId61" w:history="1">
        <w:r w:rsidRPr="005D17BA">
          <w:rPr>
            <w:rStyle w:val="Hyperlink"/>
            <w:rFonts w:ascii="Arial" w:hAnsi="Arial" w:cs="Arial"/>
            <w:sz w:val="24"/>
          </w:rPr>
          <w:t>https://doi.org/10.1007/978-3-8349-9764-7_3</w:t>
        </w:r>
      </w:hyperlink>
      <w:r w:rsidRPr="005D17BA">
        <w:rPr>
          <w:rFonts w:ascii="Arial" w:hAnsi="Arial" w:cs="Arial"/>
          <w:sz w:val="24"/>
        </w:rPr>
        <w:t xml:space="preserve"> </w:t>
      </w:r>
    </w:p>
    <w:p w14:paraId="40AC3D14" w14:textId="595058B7"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 xml:space="preserve">Watson, R., Stimpson, A., Toping, A., </w:t>
      </w:r>
      <w:proofErr w:type="spellStart"/>
      <w:r w:rsidRPr="005D17BA">
        <w:rPr>
          <w:rFonts w:ascii="Arial" w:hAnsi="Arial" w:cs="Arial"/>
          <w:sz w:val="24"/>
        </w:rPr>
        <w:t>Porock</w:t>
      </w:r>
      <w:proofErr w:type="spellEnd"/>
      <w:r w:rsidRPr="005D17BA">
        <w:rPr>
          <w:rFonts w:ascii="Arial" w:hAnsi="Arial" w:cs="Arial"/>
          <w:sz w:val="24"/>
        </w:rPr>
        <w:t>, D.</w:t>
      </w:r>
      <w:r w:rsidR="00826A87" w:rsidRPr="005D17BA">
        <w:rPr>
          <w:rFonts w:ascii="Arial" w:hAnsi="Arial" w:cs="Arial"/>
          <w:sz w:val="24"/>
        </w:rPr>
        <w:t xml:space="preserve">, </w:t>
      </w:r>
      <w:r w:rsidRPr="005D17BA">
        <w:rPr>
          <w:rFonts w:ascii="Arial" w:hAnsi="Arial" w:cs="Arial"/>
          <w:sz w:val="24"/>
        </w:rPr>
        <w:t xml:space="preserve">2002. Clinical competence assessment in nursing: a systematic review of the literature. Journal of advanced nursing, 39(5), 421-431. </w:t>
      </w:r>
      <w:hyperlink r:id="rId62" w:history="1">
        <w:r w:rsidRPr="005D17BA">
          <w:rPr>
            <w:rStyle w:val="Hyperlink"/>
            <w:rFonts w:ascii="Arial" w:hAnsi="Arial" w:cs="Arial"/>
            <w:sz w:val="24"/>
          </w:rPr>
          <w:t>https://doi.org/10.1046/j.1365-2648.2002.02307.x</w:t>
        </w:r>
      </w:hyperlink>
      <w:r w:rsidRPr="005D17BA">
        <w:rPr>
          <w:rFonts w:ascii="Arial" w:hAnsi="Arial" w:cs="Arial"/>
          <w:sz w:val="24"/>
        </w:rPr>
        <w:t xml:space="preserve"> </w:t>
      </w:r>
    </w:p>
    <w:p w14:paraId="78C562C6" w14:textId="2205FEE8" w:rsidR="002E2419" w:rsidRPr="005D17BA" w:rsidRDefault="002E2419" w:rsidP="005D5F17">
      <w:pPr>
        <w:widowControl w:val="0"/>
        <w:autoSpaceDE w:val="0"/>
        <w:autoSpaceDN w:val="0"/>
        <w:adjustRightInd w:val="0"/>
        <w:ind w:left="480" w:hanging="480"/>
        <w:rPr>
          <w:rFonts w:ascii="Arial" w:hAnsi="Arial" w:cs="Arial"/>
          <w:sz w:val="24"/>
        </w:rPr>
      </w:pPr>
      <w:proofErr w:type="spellStart"/>
      <w:r w:rsidRPr="005D17BA">
        <w:rPr>
          <w:rFonts w:ascii="Arial" w:hAnsi="Arial" w:cs="Arial"/>
          <w:sz w:val="24"/>
        </w:rPr>
        <w:t>Wiewiora</w:t>
      </w:r>
      <w:proofErr w:type="spellEnd"/>
      <w:r w:rsidRPr="005D17BA">
        <w:rPr>
          <w:rFonts w:ascii="Arial" w:hAnsi="Arial" w:cs="Arial"/>
          <w:sz w:val="24"/>
        </w:rPr>
        <w:t>, A</w:t>
      </w:r>
      <w:r w:rsidR="00826A87" w:rsidRPr="005D17BA">
        <w:rPr>
          <w:rFonts w:ascii="Arial" w:hAnsi="Arial" w:cs="Arial"/>
          <w:sz w:val="24"/>
        </w:rPr>
        <w:t>.,</w:t>
      </w:r>
      <w:r w:rsidRPr="005D17BA">
        <w:rPr>
          <w:rFonts w:ascii="Arial" w:hAnsi="Arial" w:cs="Arial"/>
          <w:sz w:val="24"/>
        </w:rPr>
        <w:t xml:space="preserve"> </w:t>
      </w:r>
      <w:proofErr w:type="spellStart"/>
      <w:r w:rsidRPr="005D17BA">
        <w:rPr>
          <w:rFonts w:ascii="Arial" w:hAnsi="Arial" w:cs="Arial"/>
          <w:sz w:val="24"/>
        </w:rPr>
        <w:t>Kowalkiewicz</w:t>
      </w:r>
      <w:proofErr w:type="spellEnd"/>
      <w:r w:rsidRPr="005D17BA">
        <w:rPr>
          <w:rFonts w:ascii="Arial" w:hAnsi="Arial" w:cs="Arial"/>
          <w:sz w:val="24"/>
        </w:rPr>
        <w:t>, A.</w:t>
      </w:r>
      <w:r w:rsidR="00826A87" w:rsidRPr="005D17BA">
        <w:rPr>
          <w:rFonts w:ascii="Arial" w:hAnsi="Arial" w:cs="Arial"/>
          <w:sz w:val="24"/>
        </w:rPr>
        <w:t xml:space="preserve">, </w:t>
      </w:r>
      <w:r w:rsidRPr="005D17BA">
        <w:rPr>
          <w:rFonts w:ascii="Arial" w:hAnsi="Arial" w:cs="Arial"/>
          <w:sz w:val="24"/>
        </w:rPr>
        <w:t>2019</w:t>
      </w:r>
      <w:r w:rsidR="00826A87" w:rsidRPr="005D17BA">
        <w:rPr>
          <w:rFonts w:ascii="Arial" w:hAnsi="Arial" w:cs="Arial"/>
          <w:sz w:val="24"/>
        </w:rPr>
        <w:t>.</w:t>
      </w:r>
      <w:r w:rsidRPr="005D17BA">
        <w:rPr>
          <w:rFonts w:ascii="Arial" w:hAnsi="Arial" w:cs="Arial"/>
          <w:sz w:val="24"/>
        </w:rPr>
        <w:t xml:space="preserve"> The role of authentic assessment in developing authentic leadership identity and competencies. Assessment </w:t>
      </w:r>
      <w:r w:rsidR="00B944F7" w:rsidRPr="005D17BA">
        <w:rPr>
          <w:rFonts w:ascii="Arial" w:hAnsi="Arial" w:cs="Arial"/>
          <w:sz w:val="24"/>
        </w:rPr>
        <w:t>and</w:t>
      </w:r>
      <w:r w:rsidRPr="005D17BA">
        <w:rPr>
          <w:rFonts w:ascii="Arial" w:hAnsi="Arial" w:cs="Arial"/>
          <w:sz w:val="24"/>
        </w:rPr>
        <w:t xml:space="preserve"> Evaluation in Higher Education, 44(3), pp.415-430.</w:t>
      </w:r>
      <w:r w:rsidR="003631EA" w:rsidRPr="005D17BA">
        <w:rPr>
          <w:rFonts w:ascii="Arial" w:hAnsi="Arial" w:cs="Arial"/>
          <w:sz w:val="24"/>
        </w:rPr>
        <w:t xml:space="preserve"> </w:t>
      </w:r>
      <w:hyperlink r:id="rId63" w:history="1">
        <w:r w:rsidR="003631EA" w:rsidRPr="005D17BA">
          <w:rPr>
            <w:rStyle w:val="Hyperlink"/>
            <w:rFonts w:ascii="Arial" w:hAnsi="Arial" w:cs="Arial"/>
            <w:sz w:val="24"/>
          </w:rPr>
          <w:t>https://doi.org/10.1080/02602938.2018.1516730</w:t>
        </w:r>
      </w:hyperlink>
      <w:r w:rsidR="003631EA" w:rsidRPr="005D17BA">
        <w:rPr>
          <w:rFonts w:ascii="Arial" w:hAnsi="Arial" w:cs="Arial"/>
          <w:sz w:val="24"/>
        </w:rPr>
        <w:t xml:space="preserve"> </w:t>
      </w:r>
    </w:p>
    <w:p w14:paraId="2AB00F4B" w14:textId="69F82030"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Wiggins, G.</w:t>
      </w:r>
      <w:r w:rsidR="00826A87" w:rsidRPr="005D17BA">
        <w:rPr>
          <w:rFonts w:ascii="Arial" w:hAnsi="Arial" w:cs="Arial"/>
          <w:sz w:val="24"/>
        </w:rPr>
        <w:t xml:space="preserve">, </w:t>
      </w:r>
      <w:r w:rsidRPr="005D17BA">
        <w:rPr>
          <w:rFonts w:ascii="Arial" w:hAnsi="Arial" w:cs="Arial"/>
          <w:sz w:val="24"/>
        </w:rPr>
        <w:t xml:space="preserve">1989. A true test: Toward more authentic and equitable assessment. Phi Delta </w:t>
      </w:r>
      <w:proofErr w:type="spellStart"/>
      <w:r w:rsidRPr="005D17BA">
        <w:rPr>
          <w:rFonts w:ascii="Arial" w:hAnsi="Arial" w:cs="Arial"/>
          <w:sz w:val="24"/>
        </w:rPr>
        <w:t>Kappan</w:t>
      </w:r>
      <w:proofErr w:type="spellEnd"/>
      <w:r w:rsidRPr="005D17BA">
        <w:rPr>
          <w:rFonts w:ascii="Arial" w:hAnsi="Arial" w:cs="Arial"/>
          <w:sz w:val="24"/>
        </w:rPr>
        <w:t xml:space="preserve">, 70(9), 703-713. </w:t>
      </w:r>
      <w:hyperlink r:id="rId64" w:history="1">
        <w:r w:rsidRPr="005D17BA">
          <w:rPr>
            <w:rStyle w:val="Hyperlink"/>
            <w:rFonts w:ascii="Arial" w:hAnsi="Arial" w:cs="Arial"/>
            <w:sz w:val="24"/>
          </w:rPr>
          <w:t>https://doi.org/10.1177%2F003172171109200721</w:t>
        </w:r>
      </w:hyperlink>
      <w:r w:rsidRPr="005D17BA">
        <w:rPr>
          <w:rFonts w:ascii="Arial" w:hAnsi="Arial" w:cs="Arial"/>
          <w:sz w:val="24"/>
        </w:rPr>
        <w:t xml:space="preserve"> </w:t>
      </w:r>
    </w:p>
    <w:p w14:paraId="2706068B" w14:textId="0F38A4C8" w:rsidR="0074147B" w:rsidRPr="005D17BA" w:rsidRDefault="0074147B" w:rsidP="005D5F17">
      <w:pPr>
        <w:widowControl w:val="0"/>
        <w:autoSpaceDE w:val="0"/>
        <w:autoSpaceDN w:val="0"/>
        <w:adjustRightInd w:val="0"/>
        <w:ind w:left="480" w:hanging="480"/>
        <w:rPr>
          <w:rFonts w:ascii="Arial" w:hAnsi="Arial" w:cs="Arial"/>
          <w:color w:val="FF0000"/>
          <w:sz w:val="24"/>
        </w:rPr>
      </w:pPr>
      <w:proofErr w:type="spellStart"/>
      <w:r w:rsidRPr="005D17BA">
        <w:rPr>
          <w:rFonts w:ascii="Arial" w:hAnsi="Arial" w:cs="Arial"/>
          <w:sz w:val="24"/>
        </w:rPr>
        <w:t>Winkelbauer</w:t>
      </w:r>
      <w:proofErr w:type="spellEnd"/>
      <w:r w:rsidRPr="005D17BA">
        <w:rPr>
          <w:rFonts w:ascii="Arial" w:hAnsi="Arial" w:cs="Arial"/>
          <w:sz w:val="24"/>
        </w:rPr>
        <w:t>, S.</w:t>
      </w:r>
      <w:r w:rsidR="00826A87" w:rsidRPr="005D17BA">
        <w:rPr>
          <w:rFonts w:ascii="Arial" w:hAnsi="Arial" w:cs="Arial"/>
          <w:sz w:val="24"/>
        </w:rPr>
        <w:t xml:space="preserve">, </w:t>
      </w:r>
      <w:r w:rsidRPr="005D17BA">
        <w:rPr>
          <w:rFonts w:ascii="Arial" w:hAnsi="Arial" w:cs="Arial"/>
          <w:sz w:val="24"/>
        </w:rPr>
        <w:t>2020</w:t>
      </w:r>
      <w:r w:rsidR="00826A87" w:rsidRPr="005D17BA">
        <w:rPr>
          <w:rFonts w:ascii="Arial" w:hAnsi="Arial" w:cs="Arial"/>
          <w:sz w:val="24"/>
        </w:rPr>
        <w:t>.</w:t>
      </w:r>
      <w:r w:rsidRPr="005D17BA">
        <w:rPr>
          <w:rFonts w:ascii="Arial" w:hAnsi="Arial" w:cs="Arial"/>
          <w:sz w:val="24"/>
        </w:rPr>
        <w:t xml:space="preserve"> An Authentic, Practice-Based Assessment as a Catalyst for Continuous Professional Development. Pharmacy, 8, 1-15.</w:t>
      </w:r>
      <w:r w:rsidR="005B2F9B" w:rsidRPr="005D17BA">
        <w:rPr>
          <w:rFonts w:ascii="Arial" w:hAnsi="Arial" w:cs="Arial"/>
          <w:sz w:val="24"/>
        </w:rPr>
        <w:t xml:space="preserve"> </w:t>
      </w:r>
      <w:hyperlink r:id="rId65" w:history="1">
        <w:r w:rsidR="005B2F9B" w:rsidRPr="005D17BA">
          <w:rPr>
            <w:rStyle w:val="Hyperlink"/>
            <w:rFonts w:ascii="Arial" w:hAnsi="Arial" w:cs="Arial"/>
            <w:sz w:val="24"/>
          </w:rPr>
          <w:t>https://doi.org/10.3390/pharmacy8010015</w:t>
        </w:r>
      </w:hyperlink>
      <w:r w:rsidR="005B2F9B" w:rsidRPr="005D17BA">
        <w:rPr>
          <w:rFonts w:ascii="Arial" w:hAnsi="Arial" w:cs="Arial"/>
          <w:color w:val="FF0000"/>
          <w:sz w:val="24"/>
        </w:rPr>
        <w:t xml:space="preserve"> </w:t>
      </w:r>
    </w:p>
    <w:p w14:paraId="3521EFD5" w14:textId="64676C83"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Wood, M.J.</w:t>
      </w:r>
      <w:r w:rsidR="00826A87" w:rsidRPr="005D17BA">
        <w:rPr>
          <w:rFonts w:ascii="Arial" w:hAnsi="Arial" w:cs="Arial"/>
          <w:sz w:val="24"/>
        </w:rPr>
        <w:t>,</w:t>
      </w:r>
      <w:r w:rsidRPr="005D17BA">
        <w:rPr>
          <w:rFonts w:ascii="Arial" w:hAnsi="Arial" w:cs="Arial"/>
          <w:sz w:val="24"/>
        </w:rPr>
        <w:t xml:space="preserve"> Ross-Kerr, J.C.</w:t>
      </w:r>
      <w:r w:rsidR="00826A87" w:rsidRPr="005D17BA">
        <w:rPr>
          <w:rFonts w:ascii="Arial" w:hAnsi="Arial" w:cs="Arial"/>
          <w:sz w:val="24"/>
        </w:rPr>
        <w:t xml:space="preserve">, </w:t>
      </w:r>
      <w:r w:rsidRPr="005D17BA">
        <w:rPr>
          <w:rFonts w:ascii="Arial" w:hAnsi="Arial" w:cs="Arial"/>
          <w:sz w:val="24"/>
        </w:rPr>
        <w:t>2011. Basic steps in planning nursing research: From question to proposal (7th ed.). London: Jones and Bartlett.</w:t>
      </w:r>
    </w:p>
    <w:p w14:paraId="3252F4AF" w14:textId="08479CED" w:rsidR="003D512A" w:rsidRPr="005D17BA" w:rsidRDefault="003D512A" w:rsidP="005D5F17">
      <w:pPr>
        <w:widowControl w:val="0"/>
        <w:autoSpaceDE w:val="0"/>
        <w:autoSpaceDN w:val="0"/>
        <w:adjustRightInd w:val="0"/>
        <w:ind w:left="480" w:hanging="480"/>
        <w:rPr>
          <w:rFonts w:ascii="Arial" w:hAnsi="Arial" w:cs="Arial"/>
          <w:sz w:val="24"/>
        </w:rPr>
      </w:pPr>
      <w:r w:rsidRPr="005D17BA">
        <w:rPr>
          <w:rFonts w:ascii="Arial" w:hAnsi="Arial" w:cs="Arial"/>
          <w:sz w:val="24"/>
        </w:rPr>
        <w:t>Yonge, O., Myrick, F.</w:t>
      </w:r>
      <w:r w:rsidR="00826A87" w:rsidRPr="005D17BA">
        <w:rPr>
          <w:rFonts w:ascii="Arial" w:hAnsi="Arial" w:cs="Arial"/>
          <w:sz w:val="24"/>
        </w:rPr>
        <w:t>,</w:t>
      </w:r>
      <w:r w:rsidRPr="005D17BA">
        <w:rPr>
          <w:rFonts w:ascii="Arial" w:hAnsi="Arial" w:cs="Arial"/>
          <w:sz w:val="24"/>
        </w:rPr>
        <w:t xml:space="preserve"> Ferguson, L.</w:t>
      </w:r>
      <w:r w:rsidR="00826A87" w:rsidRPr="005D17BA">
        <w:rPr>
          <w:rFonts w:ascii="Arial" w:hAnsi="Arial" w:cs="Arial"/>
          <w:sz w:val="24"/>
        </w:rPr>
        <w:t xml:space="preserve">, </w:t>
      </w:r>
      <w:r w:rsidRPr="005D17BA">
        <w:rPr>
          <w:rFonts w:ascii="Arial" w:hAnsi="Arial" w:cs="Arial"/>
          <w:sz w:val="24"/>
        </w:rPr>
        <w:t xml:space="preserve">2011. The process of developing a framework to guide rural nurse preceptors in the evaluation of student performance. Nurse education in practice, 11(2), 76-80. </w:t>
      </w:r>
      <w:hyperlink r:id="rId66" w:history="1">
        <w:r w:rsidRPr="005D17BA">
          <w:rPr>
            <w:rStyle w:val="Hyperlink"/>
            <w:rFonts w:ascii="Arial" w:hAnsi="Arial" w:cs="Arial"/>
            <w:sz w:val="24"/>
          </w:rPr>
          <w:t>https://doi.org/10.1016/j.nepr.2011.01.001</w:t>
        </w:r>
      </w:hyperlink>
      <w:r w:rsidRPr="005D17BA">
        <w:rPr>
          <w:rFonts w:ascii="Arial" w:hAnsi="Arial" w:cs="Arial"/>
          <w:sz w:val="24"/>
        </w:rPr>
        <w:t xml:space="preserve"> </w:t>
      </w:r>
    </w:p>
    <w:p w14:paraId="130727F1" w14:textId="77777777" w:rsidR="003D512A" w:rsidRPr="0090642E" w:rsidRDefault="003D512A" w:rsidP="0090642E">
      <w:pPr>
        <w:widowControl w:val="0"/>
        <w:autoSpaceDE w:val="0"/>
        <w:autoSpaceDN w:val="0"/>
        <w:adjustRightInd w:val="0"/>
        <w:spacing w:line="360" w:lineRule="auto"/>
        <w:ind w:left="480" w:hanging="480"/>
        <w:rPr>
          <w:rFonts w:ascii="Arial" w:hAnsi="Arial" w:cs="Arial"/>
          <w:sz w:val="24"/>
        </w:rPr>
      </w:pPr>
    </w:p>
    <w:p w14:paraId="0E76A718" w14:textId="77777777" w:rsidR="001C3B46" w:rsidRPr="0090642E" w:rsidRDefault="001C3B46" w:rsidP="0090642E">
      <w:pPr>
        <w:spacing w:line="360" w:lineRule="auto"/>
        <w:rPr>
          <w:rFonts w:ascii="Arial" w:hAnsi="Arial" w:cs="Arial"/>
          <w:sz w:val="24"/>
        </w:rPr>
      </w:pPr>
    </w:p>
    <w:sectPr w:rsidR="001C3B46" w:rsidRPr="0090642E" w:rsidSect="000478DA">
      <w:footerReference w:type="default" r:id="rId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FD4A" w14:textId="77777777" w:rsidR="00864ED6" w:rsidRDefault="00864ED6" w:rsidP="00444CD5">
      <w:r>
        <w:separator/>
      </w:r>
    </w:p>
  </w:endnote>
  <w:endnote w:type="continuationSeparator" w:id="0">
    <w:p w14:paraId="0B826D55" w14:textId="77777777" w:rsidR="00864ED6" w:rsidRDefault="00864ED6" w:rsidP="004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895084"/>
      <w:docPartObj>
        <w:docPartGallery w:val="Page Numbers (Bottom of Page)"/>
        <w:docPartUnique/>
      </w:docPartObj>
    </w:sdtPr>
    <w:sdtEndPr>
      <w:rPr>
        <w:noProof/>
      </w:rPr>
    </w:sdtEndPr>
    <w:sdtContent>
      <w:p w14:paraId="47201A3F" w14:textId="070EB462" w:rsidR="00885B61" w:rsidRDefault="00885B61">
        <w:pPr>
          <w:pStyle w:val="Footer"/>
          <w:jc w:val="right"/>
        </w:pPr>
        <w:r>
          <w:fldChar w:fldCharType="begin"/>
        </w:r>
        <w:r>
          <w:instrText xml:space="preserve"> PAGE   \* MERGEFORMAT </w:instrText>
        </w:r>
        <w:r>
          <w:fldChar w:fldCharType="separate"/>
        </w:r>
        <w:r w:rsidR="007E27D4">
          <w:rPr>
            <w:noProof/>
          </w:rPr>
          <w:t>20</w:t>
        </w:r>
        <w:r>
          <w:rPr>
            <w:noProof/>
          </w:rPr>
          <w:fldChar w:fldCharType="end"/>
        </w:r>
      </w:p>
    </w:sdtContent>
  </w:sdt>
  <w:p w14:paraId="359BC2CC" w14:textId="77777777" w:rsidR="00885B61" w:rsidRDefault="00885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383F" w14:textId="77777777" w:rsidR="00864ED6" w:rsidRDefault="00864ED6" w:rsidP="00444CD5">
      <w:r>
        <w:separator/>
      </w:r>
    </w:p>
  </w:footnote>
  <w:footnote w:type="continuationSeparator" w:id="0">
    <w:p w14:paraId="426F08A8" w14:textId="77777777" w:rsidR="00864ED6" w:rsidRDefault="00864ED6" w:rsidP="0044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0858BE"/>
    <w:multiLevelType w:val="hybridMultilevel"/>
    <w:tmpl w:val="854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70D48"/>
    <w:multiLevelType w:val="multilevel"/>
    <w:tmpl w:val="729EB36E"/>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0554F7"/>
    <w:multiLevelType w:val="hybridMultilevel"/>
    <w:tmpl w:val="36EEA702"/>
    <w:lvl w:ilvl="0" w:tplc="E6C6E3B4">
      <w:start w:val="1"/>
      <w:numFmt w:val="bullet"/>
      <w:lvlText w:val=""/>
      <w:lvlJc w:val="left"/>
      <w:pPr>
        <w:ind w:left="0" w:firstLine="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 w15:restartNumberingAfterBreak="0">
    <w:nsid w:val="17F66F03"/>
    <w:multiLevelType w:val="hybridMultilevel"/>
    <w:tmpl w:val="0680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4C77"/>
    <w:multiLevelType w:val="hybridMultilevel"/>
    <w:tmpl w:val="4878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06CFF"/>
    <w:multiLevelType w:val="hybridMultilevel"/>
    <w:tmpl w:val="9614109E"/>
    <w:lvl w:ilvl="0" w:tplc="E5FEEA34">
      <w:start w:val="1"/>
      <w:numFmt w:val="bullet"/>
      <w:lvlText w:val="•"/>
      <w:lvlJc w:val="left"/>
      <w:pPr>
        <w:tabs>
          <w:tab w:val="num" w:pos="360"/>
        </w:tabs>
        <w:ind w:left="360" w:hanging="360"/>
      </w:pPr>
      <w:rPr>
        <w:rFonts w:ascii="Times New Roman" w:hAnsi="Times New Roman" w:hint="default"/>
      </w:rPr>
    </w:lvl>
    <w:lvl w:ilvl="1" w:tplc="53507718" w:tentative="1">
      <w:start w:val="1"/>
      <w:numFmt w:val="bullet"/>
      <w:lvlText w:val="•"/>
      <w:lvlJc w:val="left"/>
      <w:pPr>
        <w:tabs>
          <w:tab w:val="num" w:pos="1080"/>
        </w:tabs>
        <w:ind w:left="1080" w:hanging="360"/>
      </w:pPr>
      <w:rPr>
        <w:rFonts w:ascii="Times New Roman" w:hAnsi="Times New Roman" w:hint="default"/>
      </w:rPr>
    </w:lvl>
    <w:lvl w:ilvl="2" w:tplc="43B295D6" w:tentative="1">
      <w:start w:val="1"/>
      <w:numFmt w:val="bullet"/>
      <w:lvlText w:val="•"/>
      <w:lvlJc w:val="left"/>
      <w:pPr>
        <w:tabs>
          <w:tab w:val="num" w:pos="1800"/>
        </w:tabs>
        <w:ind w:left="1800" w:hanging="360"/>
      </w:pPr>
      <w:rPr>
        <w:rFonts w:ascii="Times New Roman" w:hAnsi="Times New Roman" w:hint="default"/>
      </w:rPr>
    </w:lvl>
    <w:lvl w:ilvl="3" w:tplc="C838BE24" w:tentative="1">
      <w:start w:val="1"/>
      <w:numFmt w:val="bullet"/>
      <w:lvlText w:val="•"/>
      <w:lvlJc w:val="left"/>
      <w:pPr>
        <w:tabs>
          <w:tab w:val="num" w:pos="2520"/>
        </w:tabs>
        <w:ind w:left="2520" w:hanging="360"/>
      </w:pPr>
      <w:rPr>
        <w:rFonts w:ascii="Times New Roman" w:hAnsi="Times New Roman" w:hint="default"/>
      </w:rPr>
    </w:lvl>
    <w:lvl w:ilvl="4" w:tplc="149847AA" w:tentative="1">
      <w:start w:val="1"/>
      <w:numFmt w:val="bullet"/>
      <w:lvlText w:val="•"/>
      <w:lvlJc w:val="left"/>
      <w:pPr>
        <w:tabs>
          <w:tab w:val="num" w:pos="3240"/>
        </w:tabs>
        <w:ind w:left="3240" w:hanging="360"/>
      </w:pPr>
      <w:rPr>
        <w:rFonts w:ascii="Times New Roman" w:hAnsi="Times New Roman" w:hint="default"/>
      </w:rPr>
    </w:lvl>
    <w:lvl w:ilvl="5" w:tplc="B1CECAEC" w:tentative="1">
      <w:start w:val="1"/>
      <w:numFmt w:val="bullet"/>
      <w:lvlText w:val="•"/>
      <w:lvlJc w:val="left"/>
      <w:pPr>
        <w:tabs>
          <w:tab w:val="num" w:pos="3960"/>
        </w:tabs>
        <w:ind w:left="3960" w:hanging="360"/>
      </w:pPr>
      <w:rPr>
        <w:rFonts w:ascii="Times New Roman" w:hAnsi="Times New Roman" w:hint="default"/>
      </w:rPr>
    </w:lvl>
    <w:lvl w:ilvl="6" w:tplc="652806E6" w:tentative="1">
      <w:start w:val="1"/>
      <w:numFmt w:val="bullet"/>
      <w:lvlText w:val="•"/>
      <w:lvlJc w:val="left"/>
      <w:pPr>
        <w:tabs>
          <w:tab w:val="num" w:pos="4680"/>
        </w:tabs>
        <w:ind w:left="4680" w:hanging="360"/>
      </w:pPr>
      <w:rPr>
        <w:rFonts w:ascii="Times New Roman" w:hAnsi="Times New Roman" w:hint="default"/>
      </w:rPr>
    </w:lvl>
    <w:lvl w:ilvl="7" w:tplc="DE200918" w:tentative="1">
      <w:start w:val="1"/>
      <w:numFmt w:val="bullet"/>
      <w:lvlText w:val="•"/>
      <w:lvlJc w:val="left"/>
      <w:pPr>
        <w:tabs>
          <w:tab w:val="num" w:pos="5400"/>
        </w:tabs>
        <w:ind w:left="5400" w:hanging="360"/>
      </w:pPr>
      <w:rPr>
        <w:rFonts w:ascii="Times New Roman" w:hAnsi="Times New Roman" w:hint="default"/>
      </w:rPr>
    </w:lvl>
    <w:lvl w:ilvl="8" w:tplc="4460A85C"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24D53EEE"/>
    <w:multiLevelType w:val="hybridMultilevel"/>
    <w:tmpl w:val="8AD0F636"/>
    <w:lvl w:ilvl="0" w:tplc="129A219A">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0904BE"/>
    <w:multiLevelType w:val="hybridMultilevel"/>
    <w:tmpl w:val="3D72C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A1EB3"/>
    <w:multiLevelType w:val="hybridMultilevel"/>
    <w:tmpl w:val="FC8E641E"/>
    <w:lvl w:ilvl="0" w:tplc="0809000F">
      <w:start w:val="1"/>
      <w:numFmt w:val="decimal"/>
      <w:lvlText w:val="%1."/>
      <w:lvlJc w:val="lef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2" w15:restartNumberingAfterBreak="0">
    <w:nsid w:val="2D420318"/>
    <w:multiLevelType w:val="hybridMultilevel"/>
    <w:tmpl w:val="26FCF890"/>
    <w:lvl w:ilvl="0" w:tplc="A7225F6C">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1E5551"/>
    <w:multiLevelType w:val="hybridMultilevel"/>
    <w:tmpl w:val="7AE4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239B1"/>
    <w:multiLevelType w:val="hybridMultilevel"/>
    <w:tmpl w:val="26FCF890"/>
    <w:lvl w:ilvl="0" w:tplc="A7225F6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12AAB"/>
    <w:multiLevelType w:val="hybridMultilevel"/>
    <w:tmpl w:val="43C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B342E"/>
    <w:multiLevelType w:val="hybridMultilevel"/>
    <w:tmpl w:val="F066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F470F3"/>
    <w:multiLevelType w:val="hybridMultilevel"/>
    <w:tmpl w:val="CCA4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80BBD"/>
    <w:multiLevelType w:val="hybridMultilevel"/>
    <w:tmpl w:val="76F4C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82703"/>
    <w:multiLevelType w:val="hybridMultilevel"/>
    <w:tmpl w:val="FEF0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92E8D"/>
    <w:multiLevelType w:val="hybridMultilevel"/>
    <w:tmpl w:val="2452E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22664E"/>
    <w:multiLevelType w:val="hybridMultilevel"/>
    <w:tmpl w:val="3A9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C3B26"/>
    <w:multiLevelType w:val="hybridMultilevel"/>
    <w:tmpl w:val="DE608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0B2B2D"/>
    <w:multiLevelType w:val="hybridMultilevel"/>
    <w:tmpl w:val="1C8EE85C"/>
    <w:lvl w:ilvl="0" w:tplc="776836D2">
      <w:start w:val="1"/>
      <w:numFmt w:val="bullet"/>
      <w:lvlText w:val=""/>
      <w:lvlJc w:val="left"/>
      <w:pPr>
        <w:ind w:left="153" w:hanging="153"/>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73F4EEC"/>
    <w:multiLevelType w:val="hybridMultilevel"/>
    <w:tmpl w:val="E48ED63E"/>
    <w:lvl w:ilvl="0" w:tplc="776836D2">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FC6DBC"/>
    <w:multiLevelType w:val="hybridMultilevel"/>
    <w:tmpl w:val="1F10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004829"/>
    <w:multiLevelType w:val="hybridMultilevel"/>
    <w:tmpl w:val="0668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42DE0"/>
    <w:multiLevelType w:val="hybridMultilevel"/>
    <w:tmpl w:val="F2A441D6"/>
    <w:lvl w:ilvl="0" w:tplc="022A48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AF089E"/>
    <w:multiLevelType w:val="hybridMultilevel"/>
    <w:tmpl w:val="E7F0A846"/>
    <w:lvl w:ilvl="0" w:tplc="776836D2">
      <w:start w:val="1"/>
      <w:numFmt w:val="bullet"/>
      <w:lvlText w:val=""/>
      <w:lvlJc w:val="left"/>
      <w:pPr>
        <w:ind w:left="153" w:hanging="153"/>
      </w:pPr>
      <w:rPr>
        <w:rFonts w:ascii="Symbol" w:hAnsi="Symbol" w:hint="default"/>
      </w:rPr>
    </w:lvl>
    <w:lvl w:ilvl="1" w:tplc="FDF424C0">
      <w:numFmt w:val="bullet"/>
      <w:lvlText w:val="•"/>
      <w:lvlJc w:val="left"/>
      <w:pPr>
        <w:ind w:left="873" w:hanging="720"/>
      </w:pPr>
      <w:rPr>
        <w:rFonts w:ascii="Calibri" w:eastAsiaTheme="minorHAnsi" w:hAnsi="Calibri" w:cs="Calibri"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9" w15:restartNumberingAfterBreak="0">
    <w:nsid w:val="6B723EDC"/>
    <w:multiLevelType w:val="hybridMultilevel"/>
    <w:tmpl w:val="5DAE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32D4E"/>
    <w:multiLevelType w:val="hybridMultilevel"/>
    <w:tmpl w:val="C1AEB590"/>
    <w:lvl w:ilvl="0" w:tplc="DA7C581C">
      <w:start w:val="1"/>
      <w:numFmt w:val="bullet"/>
      <w:lvlText w:val=""/>
      <w:lvlJc w:val="left"/>
      <w:pPr>
        <w:ind w:left="153" w:hanging="153"/>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1" w15:restartNumberingAfterBreak="0">
    <w:nsid w:val="7F507B48"/>
    <w:multiLevelType w:val="hybridMultilevel"/>
    <w:tmpl w:val="B3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7155C"/>
    <w:multiLevelType w:val="hybridMultilevel"/>
    <w:tmpl w:val="80746FCC"/>
    <w:lvl w:ilvl="0" w:tplc="27A41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27"/>
  </w:num>
  <w:num w:numId="4">
    <w:abstractNumId w:val="4"/>
  </w:num>
  <w:num w:numId="5">
    <w:abstractNumId w:val="12"/>
  </w:num>
  <w:num w:numId="6">
    <w:abstractNumId w:val="7"/>
  </w:num>
  <w:num w:numId="7">
    <w:abstractNumId w:val="25"/>
  </w:num>
  <w:num w:numId="8">
    <w:abstractNumId w:val="10"/>
  </w:num>
  <w:num w:numId="9">
    <w:abstractNumId w:val="20"/>
  </w:num>
  <w:num w:numId="10">
    <w:abstractNumId w:val="9"/>
  </w:num>
  <w:num w:numId="11">
    <w:abstractNumId w:val="16"/>
  </w:num>
  <w:num w:numId="12">
    <w:abstractNumId w:val="18"/>
  </w:num>
  <w:num w:numId="13">
    <w:abstractNumId w:val="26"/>
  </w:num>
  <w:num w:numId="14">
    <w:abstractNumId w:val="31"/>
  </w:num>
  <w:num w:numId="15">
    <w:abstractNumId w:val="2"/>
  </w:num>
  <w:num w:numId="16">
    <w:abstractNumId w:val="0"/>
  </w:num>
  <w:num w:numId="17">
    <w:abstractNumId w:val="1"/>
  </w:num>
  <w:num w:numId="18">
    <w:abstractNumId w:val="19"/>
  </w:num>
  <w:num w:numId="19">
    <w:abstractNumId w:val="21"/>
  </w:num>
  <w:num w:numId="20">
    <w:abstractNumId w:val="13"/>
  </w:num>
  <w:num w:numId="21">
    <w:abstractNumId w:val="15"/>
  </w:num>
  <w:num w:numId="22">
    <w:abstractNumId w:val="28"/>
  </w:num>
  <w:num w:numId="23">
    <w:abstractNumId w:val="23"/>
  </w:num>
  <w:num w:numId="24">
    <w:abstractNumId w:val="22"/>
  </w:num>
  <w:num w:numId="25">
    <w:abstractNumId w:val="5"/>
  </w:num>
  <w:num w:numId="26">
    <w:abstractNumId w:val="32"/>
  </w:num>
  <w:num w:numId="27">
    <w:abstractNumId w:val="30"/>
  </w:num>
  <w:num w:numId="28">
    <w:abstractNumId w:val="29"/>
  </w:num>
  <w:num w:numId="29">
    <w:abstractNumId w:val="17"/>
  </w:num>
  <w:num w:numId="30">
    <w:abstractNumId w:val="3"/>
  </w:num>
  <w:num w:numId="31">
    <w:abstractNumId w:val="6"/>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B7"/>
    <w:rsid w:val="000000EC"/>
    <w:rsid w:val="00014824"/>
    <w:rsid w:val="00022FDC"/>
    <w:rsid w:val="000233BC"/>
    <w:rsid w:val="00023B8D"/>
    <w:rsid w:val="000259B4"/>
    <w:rsid w:val="00034ABA"/>
    <w:rsid w:val="0003577F"/>
    <w:rsid w:val="00041D9E"/>
    <w:rsid w:val="000477A4"/>
    <w:rsid w:val="000478DA"/>
    <w:rsid w:val="00055A13"/>
    <w:rsid w:val="00057E33"/>
    <w:rsid w:val="00061AD7"/>
    <w:rsid w:val="00065FEA"/>
    <w:rsid w:val="00071036"/>
    <w:rsid w:val="00075407"/>
    <w:rsid w:val="00081577"/>
    <w:rsid w:val="00090B2A"/>
    <w:rsid w:val="000C268A"/>
    <w:rsid w:val="000C664F"/>
    <w:rsid w:val="000C7AEB"/>
    <w:rsid w:val="000D5BC6"/>
    <w:rsid w:val="000F5031"/>
    <w:rsid w:val="001007AF"/>
    <w:rsid w:val="00105987"/>
    <w:rsid w:val="00111E56"/>
    <w:rsid w:val="001130A6"/>
    <w:rsid w:val="00122C35"/>
    <w:rsid w:val="00126B8D"/>
    <w:rsid w:val="0012716E"/>
    <w:rsid w:val="00127533"/>
    <w:rsid w:val="0014627B"/>
    <w:rsid w:val="00146DC2"/>
    <w:rsid w:val="00160C60"/>
    <w:rsid w:val="00161CBE"/>
    <w:rsid w:val="001763B3"/>
    <w:rsid w:val="00182971"/>
    <w:rsid w:val="00186931"/>
    <w:rsid w:val="00194250"/>
    <w:rsid w:val="001A6EF1"/>
    <w:rsid w:val="001B7056"/>
    <w:rsid w:val="001C1085"/>
    <w:rsid w:val="001C3B46"/>
    <w:rsid w:val="001C3DE8"/>
    <w:rsid w:val="001D3906"/>
    <w:rsid w:val="001E0EA9"/>
    <w:rsid w:val="001F29D8"/>
    <w:rsid w:val="001F68FE"/>
    <w:rsid w:val="0020077F"/>
    <w:rsid w:val="00220EEA"/>
    <w:rsid w:val="002236C1"/>
    <w:rsid w:val="00225185"/>
    <w:rsid w:val="002255B9"/>
    <w:rsid w:val="002278E7"/>
    <w:rsid w:val="00235619"/>
    <w:rsid w:val="0024454A"/>
    <w:rsid w:val="00250A45"/>
    <w:rsid w:val="0025554B"/>
    <w:rsid w:val="00257A45"/>
    <w:rsid w:val="00260E46"/>
    <w:rsid w:val="0026131B"/>
    <w:rsid w:val="00270A20"/>
    <w:rsid w:val="0027210B"/>
    <w:rsid w:val="00276893"/>
    <w:rsid w:val="002961A4"/>
    <w:rsid w:val="002979CA"/>
    <w:rsid w:val="002A06F1"/>
    <w:rsid w:val="002A7C30"/>
    <w:rsid w:val="002B1891"/>
    <w:rsid w:val="002D6803"/>
    <w:rsid w:val="002D74E7"/>
    <w:rsid w:val="002E2419"/>
    <w:rsid w:val="002E27EB"/>
    <w:rsid w:val="002F2D64"/>
    <w:rsid w:val="002F3C07"/>
    <w:rsid w:val="0030161E"/>
    <w:rsid w:val="00307B77"/>
    <w:rsid w:val="00310E20"/>
    <w:rsid w:val="00311D76"/>
    <w:rsid w:val="003122B7"/>
    <w:rsid w:val="00321AC7"/>
    <w:rsid w:val="003234DC"/>
    <w:rsid w:val="0034626C"/>
    <w:rsid w:val="00350AA2"/>
    <w:rsid w:val="0035343C"/>
    <w:rsid w:val="00356E11"/>
    <w:rsid w:val="00361B07"/>
    <w:rsid w:val="00362212"/>
    <w:rsid w:val="0036253E"/>
    <w:rsid w:val="003631EA"/>
    <w:rsid w:val="00364986"/>
    <w:rsid w:val="00376A1E"/>
    <w:rsid w:val="00376A2B"/>
    <w:rsid w:val="003777DE"/>
    <w:rsid w:val="00384C66"/>
    <w:rsid w:val="00387610"/>
    <w:rsid w:val="00392502"/>
    <w:rsid w:val="0039267A"/>
    <w:rsid w:val="003946A9"/>
    <w:rsid w:val="003A49FF"/>
    <w:rsid w:val="003B17AC"/>
    <w:rsid w:val="003C1066"/>
    <w:rsid w:val="003C1937"/>
    <w:rsid w:val="003C3ECA"/>
    <w:rsid w:val="003C4E5A"/>
    <w:rsid w:val="003C5188"/>
    <w:rsid w:val="003D512A"/>
    <w:rsid w:val="004023AD"/>
    <w:rsid w:val="00405C79"/>
    <w:rsid w:val="004101B7"/>
    <w:rsid w:val="00426631"/>
    <w:rsid w:val="0043148A"/>
    <w:rsid w:val="00444CD5"/>
    <w:rsid w:val="00450B60"/>
    <w:rsid w:val="00460BCA"/>
    <w:rsid w:val="0046106E"/>
    <w:rsid w:val="00462D24"/>
    <w:rsid w:val="00467533"/>
    <w:rsid w:val="00467C5B"/>
    <w:rsid w:val="00470281"/>
    <w:rsid w:val="004728B7"/>
    <w:rsid w:val="004753EE"/>
    <w:rsid w:val="00477DAC"/>
    <w:rsid w:val="00485555"/>
    <w:rsid w:val="00493281"/>
    <w:rsid w:val="00493928"/>
    <w:rsid w:val="004A2671"/>
    <w:rsid w:val="004A38E9"/>
    <w:rsid w:val="004A4EE0"/>
    <w:rsid w:val="004B06B5"/>
    <w:rsid w:val="004B0935"/>
    <w:rsid w:val="004B479B"/>
    <w:rsid w:val="004C559D"/>
    <w:rsid w:val="004C6BF5"/>
    <w:rsid w:val="004C77C3"/>
    <w:rsid w:val="004D130A"/>
    <w:rsid w:val="004D1ED5"/>
    <w:rsid w:val="004E3B29"/>
    <w:rsid w:val="004E45F0"/>
    <w:rsid w:val="004F2671"/>
    <w:rsid w:val="00500F33"/>
    <w:rsid w:val="0050268F"/>
    <w:rsid w:val="00504EE6"/>
    <w:rsid w:val="00506C44"/>
    <w:rsid w:val="00510998"/>
    <w:rsid w:val="0051421C"/>
    <w:rsid w:val="00516275"/>
    <w:rsid w:val="00517D05"/>
    <w:rsid w:val="005306CD"/>
    <w:rsid w:val="00535906"/>
    <w:rsid w:val="00546901"/>
    <w:rsid w:val="00550A3D"/>
    <w:rsid w:val="00553CAE"/>
    <w:rsid w:val="00572A40"/>
    <w:rsid w:val="00574E94"/>
    <w:rsid w:val="005822F2"/>
    <w:rsid w:val="00583E29"/>
    <w:rsid w:val="005840AA"/>
    <w:rsid w:val="005875FA"/>
    <w:rsid w:val="00592C3A"/>
    <w:rsid w:val="0059595B"/>
    <w:rsid w:val="005A2B8A"/>
    <w:rsid w:val="005B0CB4"/>
    <w:rsid w:val="005B1382"/>
    <w:rsid w:val="005B2F9B"/>
    <w:rsid w:val="005C2C45"/>
    <w:rsid w:val="005D0750"/>
    <w:rsid w:val="005D17BA"/>
    <w:rsid w:val="005D5F17"/>
    <w:rsid w:val="005D671F"/>
    <w:rsid w:val="005D7459"/>
    <w:rsid w:val="005E5BA8"/>
    <w:rsid w:val="005F34B7"/>
    <w:rsid w:val="005F5F51"/>
    <w:rsid w:val="00603F1E"/>
    <w:rsid w:val="00605A81"/>
    <w:rsid w:val="00607D3B"/>
    <w:rsid w:val="00613A8F"/>
    <w:rsid w:val="00621A56"/>
    <w:rsid w:val="00621A99"/>
    <w:rsid w:val="0062381D"/>
    <w:rsid w:val="00630357"/>
    <w:rsid w:val="00640E60"/>
    <w:rsid w:val="006438ED"/>
    <w:rsid w:val="0065587F"/>
    <w:rsid w:val="00661A96"/>
    <w:rsid w:val="00665874"/>
    <w:rsid w:val="006669AA"/>
    <w:rsid w:val="00673D88"/>
    <w:rsid w:val="00684736"/>
    <w:rsid w:val="0068474D"/>
    <w:rsid w:val="00684CED"/>
    <w:rsid w:val="00690655"/>
    <w:rsid w:val="00692746"/>
    <w:rsid w:val="00693AA2"/>
    <w:rsid w:val="006A18D8"/>
    <w:rsid w:val="006A2D69"/>
    <w:rsid w:val="006A4706"/>
    <w:rsid w:val="006B25B2"/>
    <w:rsid w:val="006B2EF2"/>
    <w:rsid w:val="006C318D"/>
    <w:rsid w:val="006C3A44"/>
    <w:rsid w:val="006C46E7"/>
    <w:rsid w:val="006C4838"/>
    <w:rsid w:val="006C7255"/>
    <w:rsid w:val="006D1A9D"/>
    <w:rsid w:val="006D4639"/>
    <w:rsid w:val="006D79F0"/>
    <w:rsid w:val="006F09C2"/>
    <w:rsid w:val="006F34A0"/>
    <w:rsid w:val="00722972"/>
    <w:rsid w:val="00724265"/>
    <w:rsid w:val="00726058"/>
    <w:rsid w:val="00726909"/>
    <w:rsid w:val="0074147B"/>
    <w:rsid w:val="00741F59"/>
    <w:rsid w:val="00745314"/>
    <w:rsid w:val="007457E1"/>
    <w:rsid w:val="00754DD7"/>
    <w:rsid w:val="007558E3"/>
    <w:rsid w:val="00760478"/>
    <w:rsid w:val="00761E86"/>
    <w:rsid w:val="007625D3"/>
    <w:rsid w:val="007628DC"/>
    <w:rsid w:val="00766E80"/>
    <w:rsid w:val="00782873"/>
    <w:rsid w:val="00791408"/>
    <w:rsid w:val="007A410A"/>
    <w:rsid w:val="007A5734"/>
    <w:rsid w:val="007B7384"/>
    <w:rsid w:val="007C440D"/>
    <w:rsid w:val="007C69F6"/>
    <w:rsid w:val="007D2011"/>
    <w:rsid w:val="007D374F"/>
    <w:rsid w:val="007D43A3"/>
    <w:rsid w:val="007E27D4"/>
    <w:rsid w:val="007E3F6C"/>
    <w:rsid w:val="007E5262"/>
    <w:rsid w:val="007E7662"/>
    <w:rsid w:val="007F1E4C"/>
    <w:rsid w:val="007F57B8"/>
    <w:rsid w:val="00800CD4"/>
    <w:rsid w:val="008023BF"/>
    <w:rsid w:val="00805945"/>
    <w:rsid w:val="00806FBF"/>
    <w:rsid w:val="00810A90"/>
    <w:rsid w:val="00811734"/>
    <w:rsid w:val="0081247E"/>
    <w:rsid w:val="00816EC1"/>
    <w:rsid w:val="0082406B"/>
    <w:rsid w:val="00825AFC"/>
    <w:rsid w:val="00826A87"/>
    <w:rsid w:val="00832A86"/>
    <w:rsid w:val="00835149"/>
    <w:rsid w:val="008368D3"/>
    <w:rsid w:val="00837F1D"/>
    <w:rsid w:val="00845611"/>
    <w:rsid w:val="008517D0"/>
    <w:rsid w:val="00853F6A"/>
    <w:rsid w:val="00862F40"/>
    <w:rsid w:val="00864ED6"/>
    <w:rsid w:val="0087328F"/>
    <w:rsid w:val="00876795"/>
    <w:rsid w:val="008778FC"/>
    <w:rsid w:val="00880142"/>
    <w:rsid w:val="00881A0B"/>
    <w:rsid w:val="00885B61"/>
    <w:rsid w:val="00897530"/>
    <w:rsid w:val="0089777A"/>
    <w:rsid w:val="00897CBC"/>
    <w:rsid w:val="00897CEA"/>
    <w:rsid w:val="008A4544"/>
    <w:rsid w:val="008A7556"/>
    <w:rsid w:val="008B00B3"/>
    <w:rsid w:val="008B06C2"/>
    <w:rsid w:val="008B3308"/>
    <w:rsid w:val="008C2CA4"/>
    <w:rsid w:val="008D2319"/>
    <w:rsid w:val="008E3794"/>
    <w:rsid w:val="008E7674"/>
    <w:rsid w:val="008F4A5C"/>
    <w:rsid w:val="00903599"/>
    <w:rsid w:val="0090642E"/>
    <w:rsid w:val="009111DF"/>
    <w:rsid w:val="00917F41"/>
    <w:rsid w:val="00926648"/>
    <w:rsid w:val="0092746C"/>
    <w:rsid w:val="0092760A"/>
    <w:rsid w:val="00935F0E"/>
    <w:rsid w:val="0093683E"/>
    <w:rsid w:val="009379DC"/>
    <w:rsid w:val="009433FF"/>
    <w:rsid w:val="00945DC1"/>
    <w:rsid w:val="009510CB"/>
    <w:rsid w:val="00965FCD"/>
    <w:rsid w:val="0097017F"/>
    <w:rsid w:val="00972FE1"/>
    <w:rsid w:val="00974AF4"/>
    <w:rsid w:val="00976ECE"/>
    <w:rsid w:val="00980390"/>
    <w:rsid w:val="009963D8"/>
    <w:rsid w:val="00997D69"/>
    <w:rsid w:val="009A0CD3"/>
    <w:rsid w:val="009A30EC"/>
    <w:rsid w:val="009A3373"/>
    <w:rsid w:val="009B3021"/>
    <w:rsid w:val="009B3F55"/>
    <w:rsid w:val="009B5AFD"/>
    <w:rsid w:val="009C2A8D"/>
    <w:rsid w:val="009C4030"/>
    <w:rsid w:val="009D18B7"/>
    <w:rsid w:val="009D212A"/>
    <w:rsid w:val="009D61B6"/>
    <w:rsid w:val="009E28C6"/>
    <w:rsid w:val="009F49FF"/>
    <w:rsid w:val="00A01009"/>
    <w:rsid w:val="00A0145D"/>
    <w:rsid w:val="00A029DD"/>
    <w:rsid w:val="00A0301D"/>
    <w:rsid w:val="00A037E6"/>
    <w:rsid w:val="00A0478F"/>
    <w:rsid w:val="00A062F0"/>
    <w:rsid w:val="00A11EA8"/>
    <w:rsid w:val="00A167AD"/>
    <w:rsid w:val="00A2049F"/>
    <w:rsid w:val="00A27962"/>
    <w:rsid w:val="00A3132B"/>
    <w:rsid w:val="00A33D18"/>
    <w:rsid w:val="00A37506"/>
    <w:rsid w:val="00A54C25"/>
    <w:rsid w:val="00A563EE"/>
    <w:rsid w:val="00A56D42"/>
    <w:rsid w:val="00A57122"/>
    <w:rsid w:val="00A57381"/>
    <w:rsid w:val="00A60B3C"/>
    <w:rsid w:val="00A726EA"/>
    <w:rsid w:val="00A83278"/>
    <w:rsid w:val="00A8739F"/>
    <w:rsid w:val="00A943A2"/>
    <w:rsid w:val="00A957F1"/>
    <w:rsid w:val="00AA07FD"/>
    <w:rsid w:val="00AA0E54"/>
    <w:rsid w:val="00AA38B1"/>
    <w:rsid w:val="00AA4659"/>
    <w:rsid w:val="00AB0599"/>
    <w:rsid w:val="00AB086C"/>
    <w:rsid w:val="00AC1879"/>
    <w:rsid w:val="00AC3CD5"/>
    <w:rsid w:val="00AC7ECC"/>
    <w:rsid w:val="00AD014D"/>
    <w:rsid w:val="00AD273B"/>
    <w:rsid w:val="00AD2F88"/>
    <w:rsid w:val="00AD7B29"/>
    <w:rsid w:val="00AF59A5"/>
    <w:rsid w:val="00AF674D"/>
    <w:rsid w:val="00B0337E"/>
    <w:rsid w:val="00B0372B"/>
    <w:rsid w:val="00B03DEF"/>
    <w:rsid w:val="00B10CEC"/>
    <w:rsid w:val="00B13F7E"/>
    <w:rsid w:val="00B14B79"/>
    <w:rsid w:val="00B351B6"/>
    <w:rsid w:val="00B36500"/>
    <w:rsid w:val="00B37AA9"/>
    <w:rsid w:val="00B51EF6"/>
    <w:rsid w:val="00B65894"/>
    <w:rsid w:val="00B66D47"/>
    <w:rsid w:val="00B67FAA"/>
    <w:rsid w:val="00B730F6"/>
    <w:rsid w:val="00B80DFC"/>
    <w:rsid w:val="00B8465D"/>
    <w:rsid w:val="00B87A1B"/>
    <w:rsid w:val="00B916C8"/>
    <w:rsid w:val="00B944F7"/>
    <w:rsid w:val="00BA67FE"/>
    <w:rsid w:val="00BB1B80"/>
    <w:rsid w:val="00BB4522"/>
    <w:rsid w:val="00BD6BAB"/>
    <w:rsid w:val="00BE2BAE"/>
    <w:rsid w:val="00BE5519"/>
    <w:rsid w:val="00BF07B9"/>
    <w:rsid w:val="00BF44CC"/>
    <w:rsid w:val="00C01EED"/>
    <w:rsid w:val="00C06313"/>
    <w:rsid w:val="00C3260A"/>
    <w:rsid w:val="00C4688C"/>
    <w:rsid w:val="00C46C13"/>
    <w:rsid w:val="00C47A35"/>
    <w:rsid w:val="00C47ECA"/>
    <w:rsid w:val="00C522C2"/>
    <w:rsid w:val="00C64433"/>
    <w:rsid w:val="00C65CFC"/>
    <w:rsid w:val="00C82CD3"/>
    <w:rsid w:val="00C86D4C"/>
    <w:rsid w:val="00CA07D1"/>
    <w:rsid w:val="00CA128A"/>
    <w:rsid w:val="00CA424A"/>
    <w:rsid w:val="00CB1D2C"/>
    <w:rsid w:val="00CB227D"/>
    <w:rsid w:val="00CB578A"/>
    <w:rsid w:val="00CC6D72"/>
    <w:rsid w:val="00CD2CE1"/>
    <w:rsid w:val="00CD2E31"/>
    <w:rsid w:val="00CD2F35"/>
    <w:rsid w:val="00CD6C1B"/>
    <w:rsid w:val="00CE4835"/>
    <w:rsid w:val="00CF2B4E"/>
    <w:rsid w:val="00CF7E42"/>
    <w:rsid w:val="00D01410"/>
    <w:rsid w:val="00D038E5"/>
    <w:rsid w:val="00D0699A"/>
    <w:rsid w:val="00D1286E"/>
    <w:rsid w:val="00D2295D"/>
    <w:rsid w:val="00D259B4"/>
    <w:rsid w:val="00D25EC4"/>
    <w:rsid w:val="00D416B8"/>
    <w:rsid w:val="00D50D9C"/>
    <w:rsid w:val="00D50E32"/>
    <w:rsid w:val="00D532F4"/>
    <w:rsid w:val="00D55B7E"/>
    <w:rsid w:val="00D600FB"/>
    <w:rsid w:val="00D6624D"/>
    <w:rsid w:val="00D725D5"/>
    <w:rsid w:val="00D7743D"/>
    <w:rsid w:val="00D8267B"/>
    <w:rsid w:val="00D87A74"/>
    <w:rsid w:val="00D87BB3"/>
    <w:rsid w:val="00D901F7"/>
    <w:rsid w:val="00D92BF5"/>
    <w:rsid w:val="00D92CEE"/>
    <w:rsid w:val="00D947C8"/>
    <w:rsid w:val="00DA43AE"/>
    <w:rsid w:val="00DA62CA"/>
    <w:rsid w:val="00DA6958"/>
    <w:rsid w:val="00DB166D"/>
    <w:rsid w:val="00DB67E1"/>
    <w:rsid w:val="00DC044E"/>
    <w:rsid w:val="00DC19C8"/>
    <w:rsid w:val="00DC6064"/>
    <w:rsid w:val="00DE0BF4"/>
    <w:rsid w:val="00DE4828"/>
    <w:rsid w:val="00DF54DB"/>
    <w:rsid w:val="00DF5E82"/>
    <w:rsid w:val="00DF7DB1"/>
    <w:rsid w:val="00E0129B"/>
    <w:rsid w:val="00E014D2"/>
    <w:rsid w:val="00E01CF4"/>
    <w:rsid w:val="00E02592"/>
    <w:rsid w:val="00E05019"/>
    <w:rsid w:val="00E1623A"/>
    <w:rsid w:val="00E16766"/>
    <w:rsid w:val="00E21777"/>
    <w:rsid w:val="00E22697"/>
    <w:rsid w:val="00E2458E"/>
    <w:rsid w:val="00E2701D"/>
    <w:rsid w:val="00E2768A"/>
    <w:rsid w:val="00E31E0F"/>
    <w:rsid w:val="00E35486"/>
    <w:rsid w:val="00E4297B"/>
    <w:rsid w:val="00E51239"/>
    <w:rsid w:val="00E51927"/>
    <w:rsid w:val="00E5266B"/>
    <w:rsid w:val="00E57BC1"/>
    <w:rsid w:val="00E71B53"/>
    <w:rsid w:val="00E80827"/>
    <w:rsid w:val="00E86FD2"/>
    <w:rsid w:val="00E87D41"/>
    <w:rsid w:val="00EA2567"/>
    <w:rsid w:val="00EA693A"/>
    <w:rsid w:val="00EC3AA4"/>
    <w:rsid w:val="00ED1898"/>
    <w:rsid w:val="00ED4D83"/>
    <w:rsid w:val="00EE340C"/>
    <w:rsid w:val="00EE58BF"/>
    <w:rsid w:val="00F01870"/>
    <w:rsid w:val="00F06D7C"/>
    <w:rsid w:val="00F13EED"/>
    <w:rsid w:val="00F14584"/>
    <w:rsid w:val="00F1590E"/>
    <w:rsid w:val="00F22BFA"/>
    <w:rsid w:val="00F302E8"/>
    <w:rsid w:val="00F3566D"/>
    <w:rsid w:val="00F50A0D"/>
    <w:rsid w:val="00F63493"/>
    <w:rsid w:val="00F639E2"/>
    <w:rsid w:val="00F651DE"/>
    <w:rsid w:val="00F70DF7"/>
    <w:rsid w:val="00F76480"/>
    <w:rsid w:val="00F90324"/>
    <w:rsid w:val="00F956F6"/>
    <w:rsid w:val="00FB09F9"/>
    <w:rsid w:val="00FB4B37"/>
    <w:rsid w:val="00FB68CF"/>
    <w:rsid w:val="00FC41EB"/>
    <w:rsid w:val="00FC7970"/>
    <w:rsid w:val="00FD1899"/>
    <w:rsid w:val="00FD3AF1"/>
    <w:rsid w:val="00FE0A83"/>
    <w:rsid w:val="00FE299E"/>
    <w:rsid w:val="00FE5D89"/>
    <w:rsid w:val="00FF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243E6"/>
  <w15:docId w15:val="{C149E71B-2865-4A88-9657-78BD87DC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Spacing"/>
    <w:qFormat/>
    <w:rsid w:val="004101B7"/>
    <w:rPr>
      <w:rFonts w:asciiTheme="minorHAnsi" w:hAnsiTheme="minorHAnsi"/>
      <w:szCs w:val="24"/>
    </w:rPr>
  </w:style>
  <w:style w:type="paragraph" w:styleId="Heading1">
    <w:name w:val="heading 1"/>
    <w:basedOn w:val="Normal"/>
    <w:next w:val="Normal"/>
    <w:link w:val="Heading1Char"/>
    <w:autoRedefine/>
    <w:uiPriority w:val="9"/>
    <w:qFormat/>
    <w:rsid w:val="006C318D"/>
    <w:pPr>
      <w:keepNext/>
      <w:keepLines/>
      <w:outlineLvl w:val="0"/>
    </w:pPr>
    <w:rPr>
      <w:rFonts w:ascii="Arial" w:eastAsiaTheme="majorEastAsia" w:hAnsi="Arial" w:cs="Arial"/>
      <w:sz w:val="24"/>
      <w:szCs w:val="28"/>
    </w:rPr>
  </w:style>
  <w:style w:type="paragraph" w:styleId="Heading2">
    <w:name w:val="heading 2"/>
    <w:basedOn w:val="Normal"/>
    <w:next w:val="Normal"/>
    <w:link w:val="Heading2Char"/>
    <w:uiPriority w:val="9"/>
    <w:unhideWhenUsed/>
    <w:qFormat/>
    <w:rsid w:val="004101B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semiHidden/>
    <w:unhideWhenUsed/>
    <w:qFormat/>
    <w:rsid w:val="004101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101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1B7"/>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6C318D"/>
    <w:rPr>
      <w:rFonts w:ascii="Arial" w:eastAsiaTheme="majorEastAsia" w:hAnsi="Arial" w:cs="Arial"/>
      <w:sz w:val="24"/>
      <w:szCs w:val="28"/>
    </w:rPr>
  </w:style>
  <w:style w:type="character" w:customStyle="1" w:styleId="Heading2Char">
    <w:name w:val="Heading 2 Char"/>
    <w:basedOn w:val="DefaultParagraphFont"/>
    <w:link w:val="Heading2"/>
    <w:uiPriority w:val="9"/>
    <w:rsid w:val="004101B7"/>
    <w:rPr>
      <w:rFonts w:asciiTheme="minorHAnsi" w:eastAsiaTheme="majorEastAsia" w:hAnsiTheme="minorHAnsi" w:cstheme="majorBidi"/>
      <w:b/>
      <w:bCs/>
      <w:sz w:val="28"/>
      <w:szCs w:val="26"/>
    </w:rPr>
  </w:style>
  <w:style w:type="character" w:customStyle="1" w:styleId="Heading3Char">
    <w:name w:val="Heading 3 Char"/>
    <w:basedOn w:val="DefaultParagraphFont"/>
    <w:link w:val="Heading3"/>
    <w:semiHidden/>
    <w:rsid w:val="004101B7"/>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sid w:val="004101B7"/>
    <w:rPr>
      <w:rFonts w:asciiTheme="majorHAnsi" w:eastAsiaTheme="majorEastAsia" w:hAnsiTheme="majorHAnsi" w:cstheme="majorBidi"/>
      <w:b/>
      <w:bCs/>
      <w:i/>
      <w:iCs/>
      <w:color w:val="4F81BD" w:themeColor="accent1"/>
      <w:szCs w:val="24"/>
    </w:rPr>
  </w:style>
  <w:style w:type="character" w:styleId="CommentReference">
    <w:name w:val="annotation reference"/>
    <w:basedOn w:val="DefaultParagraphFont"/>
    <w:uiPriority w:val="99"/>
    <w:unhideWhenUsed/>
    <w:rsid w:val="004101B7"/>
    <w:rPr>
      <w:sz w:val="16"/>
      <w:szCs w:val="16"/>
    </w:rPr>
  </w:style>
  <w:style w:type="paragraph" w:styleId="CommentText">
    <w:name w:val="annotation text"/>
    <w:basedOn w:val="Normal"/>
    <w:link w:val="CommentTextChar"/>
    <w:uiPriority w:val="99"/>
    <w:unhideWhenUsed/>
    <w:rsid w:val="004101B7"/>
    <w:rPr>
      <w:szCs w:val="20"/>
    </w:rPr>
  </w:style>
  <w:style w:type="character" w:customStyle="1" w:styleId="CommentTextChar">
    <w:name w:val="Comment Text Char"/>
    <w:basedOn w:val="DefaultParagraphFont"/>
    <w:link w:val="CommentText"/>
    <w:uiPriority w:val="99"/>
    <w:rsid w:val="004101B7"/>
    <w:rPr>
      <w:rFonts w:asciiTheme="minorHAnsi" w:hAnsiTheme="minorHAnsi"/>
    </w:rPr>
  </w:style>
  <w:style w:type="paragraph" w:styleId="BalloonText">
    <w:name w:val="Balloon Text"/>
    <w:basedOn w:val="Normal"/>
    <w:link w:val="BalloonTextChar"/>
    <w:uiPriority w:val="99"/>
    <w:rsid w:val="004101B7"/>
    <w:rPr>
      <w:rFonts w:ascii="Tahoma" w:hAnsi="Tahoma" w:cs="Tahoma"/>
      <w:sz w:val="16"/>
      <w:szCs w:val="16"/>
    </w:rPr>
  </w:style>
  <w:style w:type="character" w:customStyle="1" w:styleId="BalloonTextChar">
    <w:name w:val="Balloon Text Char"/>
    <w:basedOn w:val="DefaultParagraphFont"/>
    <w:link w:val="BalloonText"/>
    <w:uiPriority w:val="99"/>
    <w:rsid w:val="004101B7"/>
    <w:rPr>
      <w:rFonts w:ascii="Tahoma" w:hAnsi="Tahoma" w:cs="Tahoma"/>
      <w:sz w:val="16"/>
      <w:szCs w:val="16"/>
    </w:rPr>
  </w:style>
  <w:style w:type="table" w:styleId="TableGrid">
    <w:name w:val="Table Grid"/>
    <w:basedOn w:val="TableNormal"/>
    <w:uiPriority w:val="39"/>
    <w:rsid w:val="00410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01B7"/>
    <w:pPr>
      <w:tabs>
        <w:tab w:val="center" w:pos="4513"/>
        <w:tab w:val="right" w:pos="9026"/>
      </w:tabs>
    </w:pPr>
  </w:style>
  <w:style w:type="character" w:customStyle="1" w:styleId="FooterChar">
    <w:name w:val="Footer Char"/>
    <w:basedOn w:val="DefaultParagraphFont"/>
    <w:link w:val="Footer"/>
    <w:uiPriority w:val="99"/>
    <w:rsid w:val="004101B7"/>
    <w:rPr>
      <w:rFonts w:asciiTheme="minorHAnsi" w:hAnsiTheme="minorHAnsi"/>
      <w:szCs w:val="24"/>
    </w:rPr>
  </w:style>
  <w:style w:type="paragraph" w:styleId="ListParagraph">
    <w:name w:val="List Paragraph"/>
    <w:aliases w:val="List of figures"/>
    <w:basedOn w:val="Normal"/>
    <w:uiPriority w:val="34"/>
    <w:qFormat/>
    <w:rsid w:val="00F01870"/>
    <w:pPr>
      <w:ind w:left="720"/>
      <w:contextualSpacing/>
    </w:pPr>
  </w:style>
  <w:style w:type="paragraph" w:styleId="FootnoteText">
    <w:name w:val="footnote text"/>
    <w:basedOn w:val="Normal"/>
    <w:link w:val="FootnoteTextChar"/>
    <w:uiPriority w:val="99"/>
    <w:unhideWhenUsed/>
    <w:rsid w:val="00444CD5"/>
    <w:rPr>
      <w:rFonts w:eastAsiaTheme="minorHAnsi" w:cstheme="minorBidi"/>
      <w:szCs w:val="20"/>
      <w:lang w:eastAsia="en-US"/>
    </w:rPr>
  </w:style>
  <w:style w:type="character" w:customStyle="1" w:styleId="FootnoteTextChar">
    <w:name w:val="Footnote Text Char"/>
    <w:basedOn w:val="DefaultParagraphFont"/>
    <w:link w:val="FootnoteText"/>
    <w:uiPriority w:val="99"/>
    <w:rsid w:val="00444CD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44CD5"/>
    <w:rPr>
      <w:vertAlign w:val="superscript"/>
    </w:rPr>
  </w:style>
  <w:style w:type="paragraph" w:customStyle="1" w:styleId="Default">
    <w:name w:val="Default"/>
    <w:rsid w:val="00444CD5"/>
    <w:pPr>
      <w:autoSpaceDE w:val="0"/>
      <w:autoSpaceDN w:val="0"/>
      <w:adjustRightInd w:val="0"/>
    </w:pPr>
    <w:rPr>
      <w:rFonts w:ascii="Calibri" w:hAnsi="Calibri" w:cs="Calibri"/>
      <w:color w:val="000000"/>
      <w:sz w:val="24"/>
      <w:szCs w:val="24"/>
      <w:lang w:eastAsia="en-US"/>
    </w:rPr>
  </w:style>
  <w:style w:type="paragraph" w:styleId="CommentSubject">
    <w:name w:val="annotation subject"/>
    <w:basedOn w:val="CommentText"/>
    <w:next w:val="CommentText"/>
    <w:link w:val="CommentSubjectChar"/>
    <w:uiPriority w:val="99"/>
    <w:rsid w:val="0082406B"/>
    <w:rPr>
      <w:b/>
      <w:bCs/>
    </w:rPr>
  </w:style>
  <w:style w:type="character" w:customStyle="1" w:styleId="CommentSubjectChar">
    <w:name w:val="Comment Subject Char"/>
    <w:basedOn w:val="CommentTextChar"/>
    <w:link w:val="CommentSubject"/>
    <w:uiPriority w:val="99"/>
    <w:rsid w:val="0082406B"/>
    <w:rPr>
      <w:rFonts w:asciiTheme="minorHAnsi" w:hAnsiTheme="minorHAnsi"/>
      <w:b/>
      <w:bCs/>
    </w:rPr>
  </w:style>
  <w:style w:type="character" w:styleId="Hyperlink">
    <w:name w:val="Hyperlink"/>
    <w:basedOn w:val="DefaultParagraphFont"/>
    <w:uiPriority w:val="99"/>
    <w:rsid w:val="00F70DF7"/>
    <w:rPr>
      <w:color w:val="0000FF" w:themeColor="hyperlink"/>
      <w:u w:val="single"/>
    </w:rPr>
  </w:style>
  <w:style w:type="character" w:styleId="Emphasis">
    <w:name w:val="Emphasis"/>
    <w:basedOn w:val="DefaultParagraphFont"/>
    <w:uiPriority w:val="20"/>
    <w:qFormat/>
    <w:rsid w:val="00E2701D"/>
    <w:rPr>
      <w:i/>
      <w:iCs/>
    </w:rPr>
  </w:style>
  <w:style w:type="character" w:customStyle="1" w:styleId="author">
    <w:name w:val="author"/>
    <w:basedOn w:val="DefaultParagraphFont"/>
    <w:rsid w:val="00E2701D"/>
  </w:style>
  <w:style w:type="character" w:customStyle="1" w:styleId="pubyear">
    <w:name w:val="pubyear"/>
    <w:basedOn w:val="DefaultParagraphFont"/>
    <w:rsid w:val="00E2701D"/>
  </w:style>
  <w:style w:type="character" w:customStyle="1" w:styleId="articletitle">
    <w:name w:val="articletitle"/>
    <w:basedOn w:val="DefaultParagraphFont"/>
    <w:rsid w:val="00E2701D"/>
  </w:style>
  <w:style w:type="character" w:customStyle="1" w:styleId="journaltitle">
    <w:name w:val="journaltitle"/>
    <w:basedOn w:val="DefaultParagraphFont"/>
    <w:rsid w:val="00E2701D"/>
  </w:style>
  <w:style w:type="character" w:customStyle="1" w:styleId="vol">
    <w:name w:val="vol"/>
    <w:basedOn w:val="DefaultParagraphFont"/>
    <w:rsid w:val="00E2701D"/>
  </w:style>
  <w:style w:type="character" w:customStyle="1" w:styleId="pagefirst">
    <w:name w:val="pagefirst"/>
    <w:basedOn w:val="DefaultParagraphFont"/>
    <w:rsid w:val="00E2701D"/>
  </w:style>
  <w:style w:type="character" w:customStyle="1" w:styleId="pagelast">
    <w:name w:val="pagelast"/>
    <w:basedOn w:val="DefaultParagraphFont"/>
    <w:rsid w:val="00E2701D"/>
  </w:style>
  <w:style w:type="paragraph" w:styleId="Quote">
    <w:name w:val="Quote"/>
    <w:basedOn w:val="Normal"/>
    <w:next w:val="Normal"/>
    <w:link w:val="QuoteChar"/>
    <w:uiPriority w:val="29"/>
    <w:qFormat/>
    <w:rsid w:val="00B80DFC"/>
    <w:pPr>
      <w:spacing w:before="200" w:after="160" w:line="276" w:lineRule="auto"/>
      <w:ind w:left="864" w:right="864"/>
      <w:jc w:val="center"/>
    </w:pPr>
    <w:rPr>
      <w:rFonts w:eastAsiaTheme="minorEastAsia" w:cstheme="minorBidi"/>
      <w:i/>
      <w:iCs/>
      <w:color w:val="404040" w:themeColor="text1" w:themeTint="BF"/>
      <w:sz w:val="22"/>
      <w:szCs w:val="22"/>
      <w:lang w:eastAsia="ja-JP"/>
    </w:rPr>
  </w:style>
  <w:style w:type="character" w:customStyle="1" w:styleId="QuoteChar">
    <w:name w:val="Quote Char"/>
    <w:basedOn w:val="DefaultParagraphFont"/>
    <w:link w:val="Quote"/>
    <w:uiPriority w:val="29"/>
    <w:rsid w:val="00B80DFC"/>
    <w:rPr>
      <w:rFonts w:asciiTheme="minorHAnsi" w:eastAsiaTheme="minorEastAsia" w:hAnsiTheme="minorHAnsi" w:cstheme="minorBidi"/>
      <w:i/>
      <w:iCs/>
      <w:color w:val="404040" w:themeColor="text1" w:themeTint="BF"/>
      <w:sz w:val="22"/>
      <w:szCs w:val="22"/>
      <w:lang w:eastAsia="ja-JP"/>
    </w:rPr>
  </w:style>
  <w:style w:type="character" w:customStyle="1" w:styleId="current-selection">
    <w:name w:val="current-selection"/>
    <w:basedOn w:val="DefaultParagraphFont"/>
    <w:rsid w:val="003D512A"/>
  </w:style>
  <w:style w:type="character" w:customStyle="1" w:styleId="a">
    <w:name w:val="_"/>
    <w:basedOn w:val="DefaultParagraphFont"/>
    <w:rsid w:val="003D512A"/>
  </w:style>
  <w:style w:type="paragraph" w:styleId="Header">
    <w:name w:val="header"/>
    <w:basedOn w:val="Normal"/>
    <w:link w:val="HeaderChar"/>
    <w:uiPriority w:val="99"/>
    <w:unhideWhenUsed/>
    <w:rsid w:val="003D512A"/>
    <w:pPr>
      <w:tabs>
        <w:tab w:val="center" w:pos="4513"/>
        <w:tab w:val="right" w:pos="9026"/>
      </w:tabs>
    </w:pPr>
    <w:rPr>
      <w:rFonts w:eastAsiaTheme="minorEastAsia" w:cstheme="minorBidi"/>
      <w:sz w:val="22"/>
      <w:szCs w:val="22"/>
      <w:lang w:eastAsia="ja-JP"/>
    </w:rPr>
  </w:style>
  <w:style w:type="character" w:customStyle="1" w:styleId="HeaderChar">
    <w:name w:val="Header Char"/>
    <w:basedOn w:val="DefaultParagraphFont"/>
    <w:link w:val="Header"/>
    <w:uiPriority w:val="99"/>
    <w:rsid w:val="003D512A"/>
    <w:rPr>
      <w:rFonts w:asciiTheme="minorHAnsi" w:eastAsiaTheme="minorEastAsia" w:hAnsiTheme="minorHAnsi" w:cstheme="minorBidi"/>
      <w:sz w:val="22"/>
      <w:szCs w:val="22"/>
      <w:lang w:eastAsia="ja-JP"/>
    </w:rPr>
  </w:style>
  <w:style w:type="paragraph" w:customStyle="1" w:styleId="NoSpacing1">
    <w:name w:val="No Spacing1"/>
    <w:next w:val="NoSpacing"/>
    <w:uiPriority w:val="1"/>
    <w:qFormat/>
    <w:rsid w:val="003D512A"/>
    <w:rPr>
      <w:rFonts w:ascii="Calibri" w:hAnsi="Calibri"/>
      <w:szCs w:val="24"/>
    </w:rPr>
  </w:style>
  <w:style w:type="table" w:customStyle="1" w:styleId="TableGrid4">
    <w:name w:val="Table Grid4"/>
    <w:basedOn w:val="TableNormal"/>
    <w:next w:val="TableGrid"/>
    <w:uiPriority w:val="39"/>
    <w:rsid w:val="003D512A"/>
    <w:rPr>
      <w:rFonts w:asciiTheme="minorHAnsi" w:eastAsia="SimSun" w:hAnsiTheme="minorHAnsi" w:cs="Arial"/>
      <w:color w:val="000000" w:themeColor="text1"/>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D512A"/>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12A"/>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articlebody">
    <w:name w:val="article-articlebody"/>
    <w:basedOn w:val="DefaultParagraphFont"/>
    <w:rsid w:val="003D512A"/>
  </w:style>
  <w:style w:type="character" w:customStyle="1" w:styleId="UnresolvedMention1">
    <w:name w:val="Unresolved Mention1"/>
    <w:basedOn w:val="DefaultParagraphFont"/>
    <w:uiPriority w:val="99"/>
    <w:semiHidden/>
    <w:unhideWhenUsed/>
    <w:rsid w:val="006C318D"/>
    <w:rPr>
      <w:color w:val="605E5C"/>
      <w:shd w:val="clear" w:color="auto" w:fill="E1DFDD"/>
    </w:rPr>
  </w:style>
  <w:style w:type="character" w:customStyle="1" w:styleId="title-text">
    <w:name w:val="title-text"/>
    <w:basedOn w:val="DefaultParagraphFont"/>
    <w:rsid w:val="006C318D"/>
  </w:style>
  <w:style w:type="character" w:customStyle="1" w:styleId="UnresolvedMention2">
    <w:name w:val="Unresolved Mention2"/>
    <w:basedOn w:val="DefaultParagraphFont"/>
    <w:uiPriority w:val="99"/>
    <w:semiHidden/>
    <w:unhideWhenUsed/>
    <w:rsid w:val="0030161E"/>
    <w:rPr>
      <w:color w:val="605E5C"/>
      <w:shd w:val="clear" w:color="auto" w:fill="E1DFDD"/>
    </w:rPr>
  </w:style>
  <w:style w:type="table" w:customStyle="1" w:styleId="TableGrid11">
    <w:name w:val="Table Grid11"/>
    <w:basedOn w:val="TableNormal"/>
    <w:next w:val="TableGrid"/>
    <w:uiPriority w:val="39"/>
    <w:rsid w:val="002961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961A4"/>
    <w:rPr>
      <w:rFonts w:ascii="Calibri" w:eastAsia="SimSun" w:hAnsi="Calibri" w:cs="Arial"/>
      <w:color w:val="000000"/>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961A4"/>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3148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3148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20068">
      <w:bodyDiv w:val="1"/>
      <w:marLeft w:val="0"/>
      <w:marRight w:val="0"/>
      <w:marTop w:val="0"/>
      <w:marBottom w:val="0"/>
      <w:divBdr>
        <w:top w:val="none" w:sz="0" w:space="0" w:color="auto"/>
        <w:left w:val="none" w:sz="0" w:space="0" w:color="auto"/>
        <w:bottom w:val="none" w:sz="0" w:space="0" w:color="auto"/>
        <w:right w:val="none" w:sz="0" w:space="0" w:color="auto"/>
      </w:divBdr>
      <w:divsChild>
        <w:div w:id="122737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1376">
              <w:marLeft w:val="0"/>
              <w:marRight w:val="0"/>
              <w:marTop w:val="0"/>
              <w:marBottom w:val="0"/>
              <w:divBdr>
                <w:top w:val="none" w:sz="0" w:space="0" w:color="auto"/>
                <w:left w:val="none" w:sz="0" w:space="0" w:color="auto"/>
                <w:bottom w:val="none" w:sz="0" w:space="0" w:color="auto"/>
                <w:right w:val="none" w:sz="0" w:space="0" w:color="auto"/>
              </w:divBdr>
              <w:divsChild>
                <w:div w:id="395006558">
                  <w:marLeft w:val="0"/>
                  <w:marRight w:val="0"/>
                  <w:marTop w:val="0"/>
                  <w:marBottom w:val="0"/>
                  <w:divBdr>
                    <w:top w:val="none" w:sz="0" w:space="0" w:color="auto"/>
                    <w:left w:val="none" w:sz="0" w:space="0" w:color="auto"/>
                    <w:bottom w:val="none" w:sz="0" w:space="0" w:color="auto"/>
                    <w:right w:val="none" w:sz="0" w:space="0" w:color="auto"/>
                  </w:divBdr>
                  <w:divsChild>
                    <w:div w:id="15036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08262">
      <w:bodyDiv w:val="1"/>
      <w:marLeft w:val="0"/>
      <w:marRight w:val="0"/>
      <w:marTop w:val="0"/>
      <w:marBottom w:val="0"/>
      <w:divBdr>
        <w:top w:val="none" w:sz="0" w:space="0" w:color="auto"/>
        <w:left w:val="none" w:sz="0" w:space="0" w:color="auto"/>
        <w:bottom w:val="none" w:sz="0" w:space="0" w:color="auto"/>
        <w:right w:val="none" w:sz="0" w:space="0" w:color="auto"/>
      </w:divBdr>
    </w:div>
    <w:div w:id="1682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2/jtr.709" TargetMode="External"/><Relationship Id="rId21" Type="http://schemas.openxmlformats.org/officeDocument/2006/relationships/hyperlink" Target="https://doi.org/10.3390/pharmacy7020067" TargetMode="External"/><Relationship Id="rId42" Type="http://schemas.openxmlformats.org/officeDocument/2006/relationships/hyperlink" Target="https://doi.org/10.1016/j.nepr.2017.08.017" TargetMode="External"/><Relationship Id="rId47" Type="http://schemas.openxmlformats.org/officeDocument/2006/relationships/hyperlink" Target="https://srhe.tandfonline.com/author/Montgomery%2C+Catherine" TargetMode="External"/><Relationship Id="rId63" Type="http://schemas.openxmlformats.org/officeDocument/2006/relationships/hyperlink" Target="https://doi.org/10.1080/02602938.2018.151673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nepr.2011.01.006" TargetMode="External"/><Relationship Id="rId29" Type="http://schemas.openxmlformats.org/officeDocument/2006/relationships/hyperlink" Target="https://doi.org/10.1016/j.nepr.2009.06.001" TargetMode="External"/><Relationship Id="rId11" Type="http://schemas.openxmlformats.org/officeDocument/2006/relationships/hyperlink" Target="https://dx.doi.org/10.4300%2F01.01.0008" TargetMode="External"/><Relationship Id="rId24" Type="http://schemas.openxmlformats.org/officeDocument/2006/relationships/hyperlink" Target="https://doi.org/10.1016/j.jclinepi.2013.12.002" TargetMode="External"/><Relationship Id="rId32" Type="http://schemas.openxmlformats.org/officeDocument/2006/relationships/hyperlink" Target="https://doi.org/10.1111/j.1365-2648.1987.tb01376.x" TargetMode="External"/><Relationship Id="rId37" Type="http://schemas.openxmlformats.org/officeDocument/2006/relationships/hyperlink" Target="https://doi.org/10.1016/0040-1625(75)90057-8" TargetMode="External"/><Relationship Id="rId40" Type="http://schemas.openxmlformats.org/officeDocument/2006/relationships/hyperlink" Target="https://doi.org/10.1016/j.ijnurstu.2019.103414" TargetMode="External"/><Relationship Id="rId45" Type="http://schemas.openxmlformats.org/officeDocument/2006/relationships/hyperlink" Target="https://doi.org/10.1046/j.1365-2648.1998.00544.x" TargetMode="External"/><Relationship Id="rId53" Type="http://schemas.openxmlformats.org/officeDocument/2006/relationships/hyperlink" Target="https://doi.org/10.1016/j.nepr.2020.102791" TargetMode="External"/><Relationship Id="rId58" Type="http://schemas.openxmlformats.org/officeDocument/2006/relationships/hyperlink" Target="https://www.learntechlib.org/p/111405/" TargetMode="External"/><Relationship Id="rId66" Type="http://schemas.openxmlformats.org/officeDocument/2006/relationships/hyperlink" Target="https://doi.org/10.1016/j.nepr.2011.01.001" TargetMode="External"/><Relationship Id="rId5" Type="http://schemas.openxmlformats.org/officeDocument/2006/relationships/webSettings" Target="webSettings.xml"/><Relationship Id="rId61" Type="http://schemas.openxmlformats.org/officeDocument/2006/relationships/hyperlink" Target="https://doi.org/10.1007/978-3-8349-9764-7_3" TargetMode="External"/><Relationship Id="rId19" Type="http://schemas.openxmlformats.org/officeDocument/2006/relationships/hyperlink" Target="https://doi.org/10.1016/j.nepr.2020.102711" TargetMode="External"/><Relationship Id="rId14" Type="http://schemas.openxmlformats.org/officeDocument/2006/relationships/hyperlink" Target="https://doi.org/10.1007/BF00999473" TargetMode="External"/><Relationship Id="rId22" Type="http://schemas.openxmlformats.org/officeDocument/2006/relationships/hyperlink" Target="https://doi.org/10.1016/j.nedt.2013.05.014" TargetMode="External"/><Relationship Id="rId27" Type="http://schemas.openxmlformats.org/officeDocument/2006/relationships/hyperlink" Target="http://www.nmcuk.org/Documents/Archived%20Publications/1Research%20papers/Kathleen_Duffy_Failing_Students2003.pdf" TargetMode="External"/><Relationship Id="rId30" Type="http://schemas.openxmlformats.org/officeDocument/2006/relationships/hyperlink" Target="https://doi.org/10.1097/NND.0b013e31827d0a9c" TargetMode="External"/><Relationship Id="rId35" Type="http://schemas.openxmlformats.org/officeDocument/2006/relationships/hyperlink" Target="https://doi.org/10.1046/j.1365-2648.2000.t01-1-01567.x" TargetMode="External"/><Relationship Id="rId43" Type="http://schemas.openxmlformats.org/officeDocument/2006/relationships/hyperlink" Target="https://doi.org/10.1016/j.techfore.2005.09.002" TargetMode="External"/><Relationship Id="rId48" Type="http://schemas.openxmlformats.org/officeDocument/2006/relationships/hyperlink" Target="https://doi.org/10.1111/j.1365-2648.1994.tb01207.x" TargetMode="External"/><Relationship Id="rId56" Type="http://schemas.openxmlformats.org/officeDocument/2006/relationships/hyperlink" Target="https://doi.org/10.3109/0142159X.2011.565828" TargetMode="External"/><Relationship Id="rId64" Type="http://schemas.openxmlformats.org/officeDocument/2006/relationships/hyperlink" Target="https://doi.org/10.1177%2F003172171109200721" TargetMode="External"/><Relationship Id="rId69" Type="http://schemas.openxmlformats.org/officeDocument/2006/relationships/theme" Target="theme/theme1.xml"/><Relationship Id="rId8" Type="http://schemas.openxmlformats.org/officeDocument/2006/relationships/hyperlink" Target="https://doi.org/10.1080/02602938.2019.1639613" TargetMode="External"/><Relationship Id="rId51" Type="http://schemas.openxmlformats.org/officeDocument/2006/relationships/hyperlink" Target="https://doi.org/10.1054/nedt.2000.0508" TargetMode="External"/><Relationship Id="rId3" Type="http://schemas.openxmlformats.org/officeDocument/2006/relationships/styles" Target="styles.xml"/><Relationship Id="rId12" Type="http://schemas.openxmlformats.org/officeDocument/2006/relationships/hyperlink" Target="https://doi.org/10.1016/j.midw.2019.03.012" TargetMode="External"/><Relationship Id="rId17" Type="http://schemas.openxmlformats.org/officeDocument/2006/relationships/hyperlink" Target="https://doi.org/10.1046/j.1365-2648.2002.02213.x" TargetMode="External"/><Relationship Id="rId25" Type="http://schemas.openxmlformats.org/officeDocument/2006/relationships/hyperlink" Target="https://doi.org/10.1016/j.nepr.2011.10.007" TargetMode="External"/><Relationship Id="rId33" Type="http://schemas.openxmlformats.org/officeDocument/2006/relationships/hyperlink" Target="https://doi.org/10.1007/s10459-012-9376-x" TargetMode="External"/><Relationship Id="rId38" Type="http://schemas.openxmlformats.org/officeDocument/2006/relationships/hyperlink" Target="https://doi.org/10.1016/j.nedt.2011.05.010" TargetMode="External"/><Relationship Id="rId46" Type="http://schemas.openxmlformats.org/officeDocument/2006/relationships/hyperlink" Target="https://doi.org/10.1016/j.nedt.2007.06.002" TargetMode="External"/><Relationship Id="rId59" Type="http://schemas.openxmlformats.org/officeDocument/2006/relationships/hyperlink" Target="https://doi.org/10.1016/j.cpr.2016.05.004" TargetMode="External"/><Relationship Id="rId67" Type="http://schemas.openxmlformats.org/officeDocument/2006/relationships/footer" Target="footer1.xml"/><Relationship Id="rId20" Type="http://schemas.openxmlformats.org/officeDocument/2006/relationships/hyperlink" Target="https://doi.org/10.1016/j.nedt.2018.06.022" TargetMode="External"/><Relationship Id="rId41" Type="http://schemas.openxmlformats.org/officeDocument/2006/relationships/hyperlink" Target="https://doi.org/10.1016/j.nepr.2012.07.008" TargetMode="External"/><Relationship Id="rId54" Type="http://schemas.openxmlformats.org/officeDocument/2006/relationships/hyperlink" Target="https://dx.doi.org/10.1111%2Fj.1369-7625.2008.00492.x" TargetMode="External"/><Relationship Id="rId62" Type="http://schemas.openxmlformats.org/officeDocument/2006/relationships/hyperlink" Target="https://doi.org/10.1046/j.1365-2648.2002.02307.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xtensionpublications.unl.edu/assets/pdf/ec860.pdf" TargetMode="External"/><Relationship Id="rId23" Type="http://schemas.openxmlformats.org/officeDocument/2006/relationships/hyperlink" Target="https://doi.org/10.1080/13639080.2019.1696953" TargetMode="External"/><Relationship Id="rId28" Type="http://schemas.openxmlformats.org/officeDocument/2006/relationships/hyperlink" Target="https://doi.org/10.1080/02650533.2016.1158156" TargetMode="External"/><Relationship Id="rId36" Type="http://schemas.openxmlformats.org/officeDocument/2006/relationships/hyperlink" Target="https://doi.org/10.1016/j.nepr.2011.08.003" TargetMode="External"/><Relationship Id="rId49" Type="http://schemas.openxmlformats.org/officeDocument/2006/relationships/hyperlink" Target="https://doi.org/10.5172/conu.2010.35.1.002" TargetMode="External"/><Relationship Id="rId57" Type="http://schemas.openxmlformats.org/officeDocument/2006/relationships/hyperlink" Target="https://doi.org/10.1016/j.nedt.2011.04.007" TargetMode="External"/><Relationship Id="rId10" Type="http://schemas.openxmlformats.org/officeDocument/2006/relationships/hyperlink" Target="https://doi.org/10.1002/nop2.276" TargetMode="External"/><Relationship Id="rId31" Type="http://schemas.openxmlformats.org/officeDocument/2006/relationships/hyperlink" Target="https://doi.org/10.1016/j.nepr.2012.05.014" TargetMode="External"/><Relationship Id="rId44" Type="http://schemas.openxmlformats.org/officeDocument/2006/relationships/hyperlink" Target="https://doi.org/10.1515/ijnes-2012-0037" TargetMode="External"/><Relationship Id="rId52" Type="http://schemas.openxmlformats.org/officeDocument/2006/relationships/hyperlink" Target="https://doi.org/10.1080/14473828.2016.1149981" TargetMode="External"/><Relationship Id="rId60" Type="http://schemas.openxmlformats.org/officeDocument/2006/relationships/hyperlink" Target="https://doi.org/10.1177%2F030802269806100403" TargetMode="External"/><Relationship Id="rId65" Type="http://schemas.openxmlformats.org/officeDocument/2006/relationships/hyperlink" Target="https://doi.org/10.3390/pharmacy8010015" TargetMode="External"/><Relationship Id="rId4" Type="http://schemas.openxmlformats.org/officeDocument/2006/relationships/settings" Target="settings.xml"/><Relationship Id="rId9" Type="http://schemas.openxmlformats.org/officeDocument/2006/relationships/hyperlink" Target="https://doi.org/10.1016/j.nedt.2018.07.003" TargetMode="External"/><Relationship Id="rId13" Type="http://schemas.openxmlformats.org/officeDocument/2006/relationships/hyperlink" Target="https://doi.org/10.7748/nm2012.09.19.5.16.c9260" TargetMode="External"/><Relationship Id="rId18" Type="http://schemas.openxmlformats.org/officeDocument/2006/relationships/hyperlink" Target="https://doi.org/10.1111/jan.13292" TargetMode="External"/><Relationship Id="rId39" Type="http://schemas.openxmlformats.org/officeDocument/2006/relationships/hyperlink" Target="https://doi.org/10.1016/j.nedt.2020.104666" TargetMode="External"/><Relationship Id="rId34" Type="http://schemas.openxmlformats.org/officeDocument/2006/relationships/hyperlink" Target="https://doi.org/10.1016/j.berh.2013.02.006" TargetMode="External"/><Relationship Id="rId50" Type="http://schemas.openxmlformats.org/officeDocument/2006/relationships/hyperlink" Target="https://doi.org/10.1080/87567550209595870" TargetMode="External"/><Relationship Id="rId55" Type="http://schemas.openxmlformats.org/officeDocument/2006/relationships/hyperlink" Target="https://doi.org/10.29333/ejmste/108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15E3A-869C-4D48-891C-A91D0A7A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7613</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50912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Almalkawi, Ibraheim</dc:creator>
  <cp:lastModifiedBy>Terry, Louise</cp:lastModifiedBy>
  <cp:revision>3</cp:revision>
  <cp:lastPrinted>2017-10-17T11:27:00Z</cp:lastPrinted>
  <dcterms:created xsi:type="dcterms:W3CDTF">2021-03-16T10:11:00Z</dcterms:created>
  <dcterms:modified xsi:type="dcterms:W3CDTF">2021-03-16T10:16:00Z</dcterms:modified>
</cp:coreProperties>
</file>