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A351F" w14:textId="17C36766" w:rsidR="008A0C77" w:rsidRPr="0038389F" w:rsidRDefault="00D03959" w:rsidP="0038389F">
      <w:pPr>
        <w:spacing w:before="800" w:after="480"/>
        <w:rPr>
          <w:b/>
          <w:sz w:val="28"/>
          <w:szCs w:val="28"/>
          <w:lang w:val="en-US"/>
        </w:rPr>
      </w:pPr>
      <w:r w:rsidRPr="00D03959">
        <w:rPr>
          <w:b/>
          <w:bCs/>
          <w:sz w:val="28"/>
          <w:szCs w:val="28"/>
        </w:rPr>
        <w:t>Performance of different chemical soil stabilisers in the presence of sulphates</w:t>
      </w:r>
    </w:p>
    <w:p w14:paraId="30CABFBA" w14:textId="445AC674" w:rsidR="00D03959" w:rsidRPr="00D03959" w:rsidRDefault="00D03959" w:rsidP="00D03959">
      <w:pPr>
        <w:pStyle w:val="Author"/>
        <w:rPr>
          <w:lang w:val="en-US"/>
        </w:rPr>
      </w:pPr>
      <w:r w:rsidRPr="00D03959">
        <w:t>Maria Mavroulidou</w:t>
      </w:r>
      <w:r w:rsidRPr="00D03959">
        <w:rPr>
          <w:vertAlign w:val="superscript"/>
        </w:rPr>
        <w:t>1</w:t>
      </w:r>
      <w:r w:rsidRPr="00D03959">
        <w:t>, Chris Gray</w:t>
      </w:r>
      <w:r w:rsidRPr="00D03959">
        <w:rPr>
          <w:vertAlign w:val="superscript"/>
        </w:rPr>
        <w:t>1</w:t>
      </w:r>
      <w:r w:rsidRPr="00D03959">
        <w:t>, Mike J. Gunn</w:t>
      </w:r>
      <w:r w:rsidRPr="00D03959">
        <w:rPr>
          <w:vertAlign w:val="superscript"/>
        </w:rPr>
        <w:t>1</w:t>
      </w:r>
      <w:r w:rsidRPr="00D03959">
        <w:t xml:space="preserve"> </w:t>
      </w:r>
    </w:p>
    <w:p w14:paraId="5AEA9949" w14:textId="77777777" w:rsidR="00D03959" w:rsidRDefault="00D03959" w:rsidP="00D03959">
      <w:pPr>
        <w:pStyle w:val="Author"/>
        <w:spacing w:after="0" w:line="240" w:lineRule="auto"/>
        <w:rPr>
          <w:i/>
          <w:iCs/>
        </w:rPr>
      </w:pPr>
      <w:r w:rsidRPr="00D03959">
        <w:rPr>
          <w:i/>
          <w:iCs/>
          <w:vertAlign w:val="superscript"/>
        </w:rPr>
        <w:t>1</w:t>
      </w:r>
      <w:r w:rsidRPr="00D03959">
        <w:rPr>
          <w:i/>
          <w:iCs/>
        </w:rPr>
        <w:t xml:space="preserve">London South Bank University, UK, </w:t>
      </w:r>
    </w:p>
    <w:p w14:paraId="6D2A1D28" w14:textId="697C26D5" w:rsidR="00D03959" w:rsidRPr="00D03959" w:rsidRDefault="00D03959" w:rsidP="00D03959">
      <w:pPr>
        <w:pStyle w:val="Author"/>
        <w:spacing w:after="0" w:line="240" w:lineRule="auto"/>
        <w:rPr>
          <w:i/>
          <w:iCs/>
        </w:rPr>
      </w:pPr>
      <w:r w:rsidRPr="00D03959">
        <w:rPr>
          <w:i/>
          <w:iCs/>
        </w:rPr>
        <w:t>mavroum@lsbu.ac.uk (corresponding author)</w:t>
      </w:r>
    </w:p>
    <w:p w14:paraId="71C4DC1B" w14:textId="315C7DD9" w:rsidR="003531AE" w:rsidRPr="003531AE" w:rsidRDefault="00CB7A29" w:rsidP="003531AE">
      <w:pPr>
        <w:spacing w:before="800"/>
        <w:rPr>
          <w:lang w:val="en-US"/>
        </w:rPr>
      </w:pPr>
      <w:r w:rsidRPr="00CB7A29">
        <w:t xml:space="preserve">ABSTRACT: </w:t>
      </w:r>
      <w:r w:rsidR="003531AE">
        <w:t>Ground improvement of sulphate-bearing soils with calcium-based stabilisers can be severely compromised due to delayed deleterious reactions of the sulphates with calcium</w:t>
      </w:r>
      <w:r w:rsidR="00503357">
        <w:t>,</w:t>
      </w:r>
      <w:r w:rsidR="003531AE">
        <w:t xml:space="preserve"> and the consequent formation of expansive </w:t>
      </w:r>
      <w:r w:rsidR="003531AE" w:rsidRPr="003531AE">
        <w:t>crystals</w:t>
      </w:r>
      <w:r w:rsidR="003531AE">
        <w:t xml:space="preserve"> of minerals such as ettringite or thaumasite. </w:t>
      </w:r>
      <w:r w:rsidR="003531AE" w:rsidRPr="003531AE">
        <w:t xml:space="preserve"> </w:t>
      </w:r>
      <w:r w:rsidR="003531AE" w:rsidRPr="003531AE">
        <w:rPr>
          <w:lang w:val="en-US"/>
        </w:rPr>
        <w:t xml:space="preserve">Amongst other ways to prevent </w:t>
      </w:r>
      <w:r w:rsidR="003224F6">
        <w:rPr>
          <w:lang w:val="en-US"/>
        </w:rPr>
        <w:t>th</w:t>
      </w:r>
      <w:r w:rsidR="00503357">
        <w:rPr>
          <w:lang w:val="en-US"/>
        </w:rPr>
        <w:t>is</w:t>
      </w:r>
      <w:r w:rsidR="003224F6">
        <w:rPr>
          <w:lang w:val="en-US"/>
        </w:rPr>
        <w:t xml:space="preserve"> </w:t>
      </w:r>
      <w:r w:rsidR="003531AE" w:rsidRPr="003531AE">
        <w:rPr>
          <w:lang w:val="en-US"/>
        </w:rPr>
        <w:t>or mi</w:t>
      </w:r>
      <w:r w:rsidR="003224F6">
        <w:rPr>
          <w:lang w:val="en-US"/>
        </w:rPr>
        <w:t>tigate</w:t>
      </w:r>
      <w:r w:rsidR="003531AE" w:rsidRPr="003531AE">
        <w:rPr>
          <w:lang w:val="en-US"/>
        </w:rPr>
        <w:t xml:space="preserve"> the effect</w:t>
      </w:r>
      <w:r w:rsidR="003224F6">
        <w:rPr>
          <w:lang w:val="en-US"/>
        </w:rPr>
        <w:t>s</w:t>
      </w:r>
      <w:r w:rsidR="003531AE" w:rsidRPr="003531AE">
        <w:rPr>
          <w:lang w:val="en-US"/>
        </w:rPr>
        <w:t xml:space="preserve">, </w:t>
      </w:r>
      <w:r w:rsidR="001F073C">
        <w:rPr>
          <w:lang w:val="en-US"/>
        </w:rPr>
        <w:t>the literature</w:t>
      </w:r>
      <w:r w:rsidR="001F073C">
        <w:rPr>
          <w:lang w:val="en-US"/>
        </w:rPr>
        <w:t xml:space="preserve"> </w:t>
      </w:r>
      <w:r w:rsidR="001F073C">
        <w:rPr>
          <w:lang w:val="en-US"/>
        </w:rPr>
        <w:t xml:space="preserve">recommended </w:t>
      </w:r>
      <w:r w:rsidR="00503357">
        <w:rPr>
          <w:lang w:val="en-US"/>
        </w:rPr>
        <w:t xml:space="preserve">the </w:t>
      </w:r>
      <w:r w:rsidR="003531AE" w:rsidRPr="003531AE">
        <w:rPr>
          <w:lang w:val="en-US"/>
        </w:rPr>
        <w:t xml:space="preserve">use </w:t>
      </w:r>
      <w:r w:rsidR="00503357">
        <w:rPr>
          <w:lang w:val="en-US"/>
        </w:rPr>
        <w:t xml:space="preserve">of </w:t>
      </w:r>
      <w:r w:rsidR="003531AE" w:rsidRPr="003531AE">
        <w:rPr>
          <w:lang w:val="en-US"/>
        </w:rPr>
        <w:t xml:space="preserve">slags and pozzolanic </w:t>
      </w:r>
      <w:r w:rsidR="008D0E4C">
        <w:rPr>
          <w:lang w:val="en-US"/>
        </w:rPr>
        <w:t>industrial by-products</w:t>
      </w:r>
      <w:r w:rsidR="003531AE" w:rsidRPr="003531AE">
        <w:rPr>
          <w:lang w:val="en-US"/>
        </w:rPr>
        <w:t xml:space="preserve"> to replace partially calcium</w:t>
      </w:r>
      <w:r w:rsidR="008D0E4C">
        <w:rPr>
          <w:lang w:val="en-US"/>
        </w:rPr>
        <w:t>-</w:t>
      </w:r>
      <w:r w:rsidR="003531AE" w:rsidRPr="003531AE">
        <w:rPr>
          <w:lang w:val="en-US"/>
        </w:rPr>
        <w:t>based stabilisers</w:t>
      </w:r>
      <w:r w:rsidR="003224F6">
        <w:rPr>
          <w:lang w:val="en-US"/>
        </w:rPr>
        <w:t>.</w:t>
      </w:r>
      <w:r w:rsidR="008D0E4C">
        <w:rPr>
          <w:lang w:val="en-US"/>
        </w:rPr>
        <w:t xml:space="preserve"> </w:t>
      </w:r>
      <w:r w:rsidR="003531AE" w:rsidRPr="003531AE">
        <w:rPr>
          <w:lang w:val="en-US"/>
        </w:rPr>
        <w:t xml:space="preserve">This study is thus focusing on assessing whether suitable combinations of such materials </w:t>
      </w:r>
      <w:r w:rsidR="0006323E">
        <w:rPr>
          <w:lang w:val="en-US"/>
        </w:rPr>
        <w:t xml:space="preserve">partially or fully replacing calcium lime </w:t>
      </w:r>
      <w:r w:rsidR="003531AE" w:rsidRPr="003531AE">
        <w:rPr>
          <w:lang w:val="en-US"/>
        </w:rPr>
        <w:t>could effectively stabilise sulphate</w:t>
      </w:r>
      <w:r w:rsidR="0006323E">
        <w:rPr>
          <w:lang w:val="en-US"/>
        </w:rPr>
        <w:t>-</w:t>
      </w:r>
      <w:r w:rsidR="003531AE" w:rsidRPr="003531AE">
        <w:rPr>
          <w:lang w:val="en-US"/>
        </w:rPr>
        <w:t>bearing soils</w:t>
      </w:r>
      <w:r w:rsidR="003224F6">
        <w:rPr>
          <w:lang w:val="en-US"/>
        </w:rPr>
        <w:t>. In addition, the use of</w:t>
      </w:r>
      <w:r w:rsidR="003224F6" w:rsidRPr="003224F6">
        <w:rPr>
          <w:lang w:val="en-US"/>
        </w:rPr>
        <w:t xml:space="preserve"> magnesium-based additives instead the calcium-based ones</w:t>
      </w:r>
      <w:r w:rsidR="003224F6">
        <w:rPr>
          <w:lang w:val="en-US"/>
        </w:rPr>
        <w:t xml:space="preserve"> is investigated</w:t>
      </w:r>
      <w:r w:rsidR="003531AE" w:rsidRPr="003531AE">
        <w:rPr>
          <w:lang w:val="en-US"/>
        </w:rPr>
        <w:t xml:space="preserve">. </w:t>
      </w:r>
      <w:r w:rsidR="0006323E">
        <w:rPr>
          <w:lang w:val="en-US"/>
        </w:rPr>
        <w:t>The</w:t>
      </w:r>
      <w:r w:rsidR="003224F6">
        <w:rPr>
          <w:lang w:val="en-US"/>
        </w:rPr>
        <w:t xml:space="preserve"> added advantage </w:t>
      </w:r>
      <w:r w:rsidR="0006323E">
        <w:rPr>
          <w:lang w:val="en-US"/>
        </w:rPr>
        <w:t>of</w:t>
      </w:r>
      <w:r w:rsidR="003224F6">
        <w:rPr>
          <w:lang w:val="en-US"/>
        </w:rPr>
        <w:t xml:space="preserve"> us</w:t>
      </w:r>
      <w:r w:rsidR="0006323E">
        <w:rPr>
          <w:lang w:val="en-US"/>
        </w:rPr>
        <w:t xml:space="preserve">ing these </w:t>
      </w:r>
      <w:r w:rsidR="003224F6">
        <w:rPr>
          <w:lang w:val="en-US"/>
        </w:rPr>
        <w:t xml:space="preserve">materials is </w:t>
      </w:r>
      <w:r w:rsidR="0006323E">
        <w:rPr>
          <w:lang w:val="en-US"/>
        </w:rPr>
        <w:t xml:space="preserve">that they are </w:t>
      </w:r>
      <w:r w:rsidR="003224F6" w:rsidRPr="003531AE">
        <w:rPr>
          <w:lang w:val="en-US"/>
        </w:rPr>
        <w:t xml:space="preserve">more environmentally friendly than Ordinary Portland Cement </w:t>
      </w:r>
      <w:r w:rsidR="003224F6">
        <w:rPr>
          <w:lang w:val="en-US"/>
        </w:rPr>
        <w:t>and calcium lime</w:t>
      </w:r>
      <w:r w:rsidR="0006323E">
        <w:rPr>
          <w:lang w:val="en-US"/>
        </w:rPr>
        <w:t>,</w:t>
      </w:r>
      <w:r w:rsidR="003224F6">
        <w:rPr>
          <w:lang w:val="en-US"/>
        </w:rPr>
        <w:t xml:space="preserve"> whose production</w:t>
      </w:r>
      <w:r w:rsidR="003224F6" w:rsidRPr="003531AE">
        <w:rPr>
          <w:lang w:val="en-US"/>
        </w:rPr>
        <w:t xml:space="preserve"> involve</w:t>
      </w:r>
      <w:r w:rsidR="003224F6">
        <w:rPr>
          <w:lang w:val="en-US"/>
        </w:rPr>
        <w:t>s high energy input and CO</w:t>
      </w:r>
      <w:r w:rsidR="003224F6" w:rsidRPr="003224F6">
        <w:rPr>
          <w:vertAlign w:val="subscript"/>
          <w:lang w:val="en-US"/>
        </w:rPr>
        <w:t>2</w:t>
      </w:r>
      <w:r w:rsidR="003224F6">
        <w:rPr>
          <w:lang w:val="en-US"/>
        </w:rPr>
        <w:t xml:space="preserve"> emissions.</w:t>
      </w:r>
      <w:r w:rsidR="002E6F71">
        <w:rPr>
          <w:lang w:val="en-US"/>
        </w:rPr>
        <w:t xml:space="preserve"> An artificial sulphate bearing soil was treated with mixtures of lime, paper sludge ash (PSA), pulverized fuel ash (PFA), ground granulated blast furnace slag (GGBS) and rea</w:t>
      </w:r>
      <w:r w:rsidR="00B26AA3">
        <w:rPr>
          <w:lang w:val="en-US"/>
        </w:rPr>
        <w:t>c</w:t>
      </w:r>
      <w:r w:rsidR="002E6F71">
        <w:rPr>
          <w:lang w:val="en-US"/>
        </w:rPr>
        <w:t>tive magnesia cement.</w:t>
      </w:r>
      <w:r w:rsidR="00E2154E">
        <w:rPr>
          <w:lang w:val="en-US"/>
        </w:rPr>
        <w:t xml:space="preserve"> Using </w:t>
      </w:r>
      <w:r w:rsidR="00E2154E" w:rsidRPr="003976E1">
        <w:t>favourable</w:t>
      </w:r>
      <w:r w:rsidR="00E2154E">
        <w:rPr>
          <w:lang w:val="en-US"/>
        </w:rPr>
        <w:t xml:space="preserve"> conditions for </w:t>
      </w:r>
      <w:r w:rsidR="0006323E">
        <w:rPr>
          <w:lang w:val="en-US"/>
        </w:rPr>
        <w:t xml:space="preserve">the </w:t>
      </w:r>
      <w:r w:rsidR="00E60017">
        <w:rPr>
          <w:lang w:val="en-US"/>
        </w:rPr>
        <w:t>formation of sulphate</w:t>
      </w:r>
      <w:r w:rsidR="0006323E">
        <w:rPr>
          <w:lang w:val="en-US"/>
        </w:rPr>
        <w:t>-</w:t>
      </w:r>
      <w:r w:rsidR="00E60017">
        <w:rPr>
          <w:lang w:val="en-US"/>
        </w:rPr>
        <w:t>induced swelling, c</w:t>
      </w:r>
      <w:r w:rsidR="00E2154E">
        <w:rPr>
          <w:lang w:val="en-US"/>
        </w:rPr>
        <w:t xml:space="preserve">ompacted soil samples were created </w:t>
      </w:r>
      <w:r w:rsidR="00E60017">
        <w:rPr>
          <w:lang w:val="en-US"/>
        </w:rPr>
        <w:t xml:space="preserve">and subjected to moisture ingress after 7 and 28 days of curing respectively. Following this, the swelling of the specimens was </w:t>
      </w:r>
      <w:r w:rsidR="003976E1">
        <w:rPr>
          <w:lang w:val="en-US"/>
        </w:rPr>
        <w:t>monitored,</w:t>
      </w:r>
      <w:r w:rsidR="00E60017">
        <w:rPr>
          <w:lang w:val="en-US"/>
        </w:rPr>
        <w:t xml:space="preserve"> and their unconfined compressive strength (UCS) measured. </w:t>
      </w:r>
      <w:r w:rsidR="0006323E">
        <w:rPr>
          <w:lang w:val="en-US"/>
        </w:rPr>
        <w:t>It was found that, a</w:t>
      </w:r>
      <w:r w:rsidR="00DF7254">
        <w:rPr>
          <w:lang w:val="en-US"/>
        </w:rPr>
        <w:t xml:space="preserve">lthough some binder combinations were more successful and showed promise, no </w:t>
      </w:r>
      <w:r w:rsidR="00DF7254">
        <w:t>binder mix</w:t>
      </w:r>
      <w:r w:rsidR="00DF7254" w:rsidRPr="00DF7254">
        <w:t xml:space="preserve"> was fully successful in preventing the damage of the samples and suppressing swelling</w:t>
      </w:r>
      <w:r w:rsidR="0006323E" w:rsidRPr="0006323E">
        <w:t xml:space="preserve"> </w:t>
      </w:r>
      <w:r w:rsidR="0006323E">
        <w:t>fully</w:t>
      </w:r>
      <w:r w:rsidR="00DF7254">
        <w:rPr>
          <w:lang w:val="en-US"/>
        </w:rPr>
        <w:t xml:space="preserve">. </w:t>
      </w:r>
      <w:r w:rsidR="00DF7254">
        <w:t>M</w:t>
      </w:r>
      <w:r w:rsidR="00DF7254" w:rsidRPr="004C3F6B">
        <w:t>ore research is required leading to precise specifications, so that such stabiliser mixes can be used in industrial applications with confidence</w:t>
      </w:r>
      <w:r w:rsidR="00DF7254">
        <w:t>.</w:t>
      </w:r>
    </w:p>
    <w:p w14:paraId="6599E03E" w14:textId="27D55AE7" w:rsidR="00CB7A29" w:rsidRPr="00826900" w:rsidRDefault="00CB7A29" w:rsidP="003531AE">
      <w:pPr>
        <w:spacing w:before="800"/>
        <w:rPr>
          <w:i/>
        </w:rPr>
      </w:pPr>
      <w:r w:rsidRPr="00CB7A29">
        <w:rPr>
          <w:i/>
        </w:rPr>
        <w:t xml:space="preserve">Keywords: </w:t>
      </w:r>
      <w:r w:rsidR="003C35DE">
        <w:rPr>
          <w:i/>
        </w:rPr>
        <w:t>ground improvement</w:t>
      </w:r>
      <w:r w:rsidRPr="00CB7A29">
        <w:rPr>
          <w:i/>
        </w:rPr>
        <w:t xml:space="preserve">, </w:t>
      </w:r>
      <w:r w:rsidR="003C35DE">
        <w:rPr>
          <w:i/>
        </w:rPr>
        <w:t>sulphates, innovative binders</w:t>
      </w:r>
    </w:p>
    <w:p w14:paraId="5B3CA674" w14:textId="29DB409D" w:rsidR="00DE52C9" w:rsidRPr="00BD471A" w:rsidRDefault="00CB7A29" w:rsidP="00CF0787">
      <w:pPr>
        <w:pStyle w:val="Heading1"/>
      </w:pPr>
      <w:r w:rsidRPr="00BD471A">
        <w:t>Introduction</w:t>
      </w:r>
      <w:r w:rsidR="002C3D69" w:rsidRPr="00BD471A">
        <w:t xml:space="preserve"> </w:t>
      </w:r>
    </w:p>
    <w:p w14:paraId="258C50C5" w14:textId="195847AF" w:rsidR="003C35DE" w:rsidRDefault="00B95F0C" w:rsidP="00B95F0C">
      <w:r>
        <w:t xml:space="preserve">In the context of engineering sustainability, chemical ground improvement is becoming an increasingly common practice to improve the hydromechanical properties of unsuitable for construction geomaterials, </w:t>
      </w:r>
      <w:r w:rsidR="002A5420">
        <w:t>instead of the traditional practice of</w:t>
      </w:r>
      <w:r>
        <w:t xml:space="preserve"> replacing them with a more suitable imported material and landfilling them. </w:t>
      </w:r>
      <w:r w:rsidR="00D03959" w:rsidRPr="00D03959">
        <w:t>Some of the most common chemical additives used for ground improvement are cement and lime (the latter stabiliser being mostly used for clay soils).</w:t>
      </w:r>
      <w:r w:rsidRPr="00B95F0C">
        <w:t xml:space="preserve"> </w:t>
      </w:r>
      <w:r w:rsidR="00D03959" w:rsidRPr="00D03959">
        <w:t>These materials are known to improve considerably the properties of soils in terms of strength and compressibility or plasticity characteristics. However, they could lead to long term problems when used for sulphate-bearing soils</w:t>
      </w:r>
      <w:r w:rsidR="00E62A78">
        <w:t>. Similar problems can also occur</w:t>
      </w:r>
      <w:r w:rsidR="00D03959" w:rsidRPr="00D03959">
        <w:t xml:space="preserve"> if </w:t>
      </w:r>
      <w:r w:rsidRPr="00D03959">
        <w:t xml:space="preserve">soils </w:t>
      </w:r>
      <w:r>
        <w:t xml:space="preserve">stabilised with </w:t>
      </w:r>
      <w:r w:rsidR="00D03959" w:rsidRPr="00D03959">
        <w:t>calcium</w:t>
      </w:r>
      <w:r>
        <w:t xml:space="preserve">-based </w:t>
      </w:r>
      <w:r w:rsidR="00D03959" w:rsidRPr="00D03959">
        <w:t>stabilise</w:t>
      </w:r>
      <w:r>
        <w:t xml:space="preserve">rs </w:t>
      </w:r>
      <w:r w:rsidR="00D03959" w:rsidRPr="00D03959">
        <w:t>are subjected to a subsequent ingress of sulphates e.g.</w:t>
      </w:r>
      <w:r w:rsidR="00E62A78">
        <w:t>,</w:t>
      </w:r>
      <w:r w:rsidR="00D03959" w:rsidRPr="00D03959">
        <w:t xml:space="preserve"> through water</w:t>
      </w:r>
      <w:r>
        <w:t>. This is because</w:t>
      </w:r>
      <w:r w:rsidR="00D03959" w:rsidRPr="00D03959">
        <w:t xml:space="preserve"> the calcium they contain can react with the sulphates (or sulphides), leading to the formation of expansive crystals such as ettringite (Ca</w:t>
      </w:r>
      <w:r w:rsidR="00D03959" w:rsidRPr="002E69C9">
        <w:rPr>
          <w:vertAlign w:val="subscript"/>
        </w:rPr>
        <w:t>6</w:t>
      </w:r>
      <w:r w:rsidR="00D03959" w:rsidRPr="00D03959">
        <w:t>Al</w:t>
      </w:r>
      <w:r w:rsidR="00D03959" w:rsidRPr="002E69C9">
        <w:rPr>
          <w:vertAlign w:val="subscript"/>
        </w:rPr>
        <w:t>2</w:t>
      </w:r>
      <w:r w:rsidR="00D03959" w:rsidRPr="00D03959">
        <w:t>(SO</w:t>
      </w:r>
      <w:r w:rsidR="00D03959" w:rsidRPr="002E69C9">
        <w:rPr>
          <w:vertAlign w:val="subscript"/>
        </w:rPr>
        <w:t>4</w:t>
      </w:r>
      <w:r w:rsidR="00D03959" w:rsidRPr="00D03959">
        <w:t>)</w:t>
      </w:r>
      <w:r w:rsidR="00D03959" w:rsidRPr="002E69C9">
        <w:rPr>
          <w:vertAlign w:val="subscript"/>
        </w:rPr>
        <w:t>3</w:t>
      </w:r>
      <w:r w:rsidR="00D03959" w:rsidRPr="00D03959">
        <w:t>(OH)</w:t>
      </w:r>
      <w:r w:rsidR="00D03959" w:rsidRPr="002E69C9">
        <w:rPr>
          <w:vertAlign w:val="subscript"/>
        </w:rPr>
        <w:t>12</w:t>
      </w:r>
      <w:r w:rsidR="00D03959" w:rsidRPr="00D03959">
        <w:t>·26H</w:t>
      </w:r>
      <w:r w:rsidR="00D03959" w:rsidRPr="002E69C9">
        <w:rPr>
          <w:vertAlign w:val="subscript"/>
        </w:rPr>
        <w:t>2</w:t>
      </w:r>
      <w:r w:rsidR="00D03959" w:rsidRPr="00D03959">
        <w:t>O) and/or thaumasite (Ca</w:t>
      </w:r>
      <w:r w:rsidR="00D03959" w:rsidRPr="002E69C9">
        <w:rPr>
          <w:vertAlign w:val="subscript"/>
        </w:rPr>
        <w:t>3</w:t>
      </w:r>
      <w:r w:rsidR="00D03959" w:rsidRPr="00D03959">
        <w:t>Si(OH)</w:t>
      </w:r>
      <w:r w:rsidR="00D03959" w:rsidRPr="002E69C9">
        <w:rPr>
          <w:vertAlign w:val="subscript"/>
        </w:rPr>
        <w:t>6</w:t>
      </w:r>
      <w:r w:rsidR="00D03959" w:rsidRPr="00D03959">
        <w:t>(CO</w:t>
      </w:r>
      <w:r w:rsidR="00D03959" w:rsidRPr="002E69C9">
        <w:rPr>
          <w:vertAlign w:val="subscript"/>
        </w:rPr>
        <w:t>3</w:t>
      </w:r>
      <w:r w:rsidR="00D03959" w:rsidRPr="00D03959">
        <w:t>)(SO</w:t>
      </w:r>
      <w:r w:rsidR="00D03959" w:rsidRPr="002E69C9">
        <w:rPr>
          <w:vertAlign w:val="subscript"/>
        </w:rPr>
        <w:t>4</w:t>
      </w:r>
      <w:r w:rsidR="00D03959" w:rsidRPr="00D03959">
        <w:t>)·12H</w:t>
      </w:r>
      <w:r w:rsidR="00D03959" w:rsidRPr="002E69C9">
        <w:rPr>
          <w:vertAlign w:val="subscript"/>
        </w:rPr>
        <w:t>2</w:t>
      </w:r>
      <w:r w:rsidR="00D03959" w:rsidRPr="00D03959">
        <w:t>O). This can cause serious and costly damage to roads and pavements founded on stabilised soils</w:t>
      </w:r>
      <w:r w:rsidR="00E62A78">
        <w:t>,</w:t>
      </w:r>
      <w:r w:rsidR="00D03959" w:rsidRPr="00D03959">
        <w:t xml:space="preserve"> due to heaving caused </w:t>
      </w:r>
      <w:r w:rsidR="00D03959" w:rsidRPr="00D03959">
        <w:lastRenderedPageBreak/>
        <w:t>by these crystals. For instance</w:t>
      </w:r>
      <w:r w:rsidR="00E62A78">
        <w:t>,</w:t>
      </w:r>
      <w:r w:rsidR="00D03959" w:rsidRPr="00D03959">
        <w:t xml:space="preserve"> sulphate-induced heave damage to Texas highways was reported to </w:t>
      </w:r>
      <w:r w:rsidR="00E62A78">
        <w:t xml:space="preserve">have </w:t>
      </w:r>
      <w:r w:rsidR="00D03959" w:rsidRPr="00D03959">
        <w:t>amount</w:t>
      </w:r>
      <w:r w:rsidR="00E62A78">
        <w:t>ed</w:t>
      </w:r>
      <w:r w:rsidR="00D03959" w:rsidRPr="00D03959">
        <w:t xml:space="preserve"> to tens of millions of dollars in one decade (Harris et al, 2004). </w:t>
      </w:r>
      <w:r w:rsidR="0060445F" w:rsidRPr="0060445F">
        <w:t xml:space="preserve">In the UK some </w:t>
      </w:r>
      <w:r w:rsidR="00E62A78">
        <w:t>high profile</w:t>
      </w:r>
      <w:r w:rsidR="0060445F" w:rsidRPr="0060445F">
        <w:t xml:space="preserve"> sulphate</w:t>
      </w:r>
      <w:r w:rsidR="0060445F">
        <w:t>-</w:t>
      </w:r>
      <w:r w:rsidR="0060445F" w:rsidRPr="0060445F">
        <w:t>induced heave damages were also reported, such as the failure of the Banbury section of the M40, which had resulted from a lack of early design guidance on the use of calcium</w:t>
      </w:r>
      <w:r w:rsidR="00E62A78">
        <w:t>-</w:t>
      </w:r>
      <w:r w:rsidR="0060445F" w:rsidRPr="0060445F">
        <w:t>based stabilisers for sulphate</w:t>
      </w:r>
      <w:r w:rsidR="00E62A78">
        <w:t>-</w:t>
      </w:r>
      <w:r w:rsidR="0060445F" w:rsidRPr="0060445F">
        <w:t>bearing soils.</w:t>
      </w:r>
      <w:r w:rsidR="0060445F">
        <w:t xml:space="preserve"> </w:t>
      </w:r>
      <w:r w:rsidR="00D03959" w:rsidRPr="00D03959">
        <w:t xml:space="preserve">The reactions can be very rapid and occur overnight following a single rainfall event but in other cases the reactions are delayed and can take years to occur as e.g. mentioned in Mitchell (1986). </w:t>
      </w:r>
    </w:p>
    <w:p w14:paraId="0019FF84" w14:textId="006C26C0" w:rsidR="0060445F" w:rsidRDefault="0060445F" w:rsidP="00846904"/>
    <w:p w14:paraId="6BB82E0D" w14:textId="1CB73F24" w:rsidR="001A0C81" w:rsidRDefault="0060445F" w:rsidP="00915063">
      <w:r w:rsidRPr="0060445F">
        <w:t xml:space="preserve">Ettringite /thaumasite expansive crystal formation in calcium stabilised sulphate bearing soils or calcium stabilised soils subjected to a subsequent ingress of sulphates e.g. through water, is a complex phenomenon. </w:t>
      </w:r>
      <w:r w:rsidR="00E62A78">
        <w:t>D</w:t>
      </w:r>
      <w:r w:rsidRPr="0060445F">
        <w:t xml:space="preserve">ue to the severity of the engineering problem, a lot of research has been carried out on the topic to gain a better understanding of the reactions and mineral formation and to find methods of minimising the risk of such reactions (e.g. </w:t>
      </w:r>
      <w:r w:rsidR="00BD60A3">
        <w:t xml:space="preserve">Dermatas, 1995; </w:t>
      </w:r>
      <w:r w:rsidR="00376166">
        <w:t>Berger et al, 2001</w:t>
      </w:r>
      <w:r w:rsidRPr="0060445F">
        <w:t xml:space="preserve">; Harris et al, 2004; Wild et al, 1999 </w:t>
      </w:r>
      <w:r w:rsidR="00C24FC8">
        <w:t>etc.</w:t>
      </w:r>
      <w:r w:rsidRPr="0060445F">
        <w:t xml:space="preserve">). As a result of this research effort, a number of recommendations were made, e.g. to set a limit of sulphate content beyond which calcium-based stabiliser treatment is not recommended (e.g. a safe limit has been identified as 2,000 ppm or 0.2% of soluble sulphate, whereas for sulphate contents above 7,000 ppm the use of calcium based stabilisers would not be recommended  according e.g. to Harris et al, 2004); </w:t>
      </w:r>
      <w:r w:rsidR="004426BB" w:rsidRPr="0060445F">
        <w:t>apply the stabiliser in two stages (Berger et al, 2001);</w:t>
      </w:r>
      <w:r w:rsidR="00D7029A">
        <w:t xml:space="preserve"> to extend the </w:t>
      </w:r>
      <w:r w:rsidRPr="0060445F">
        <w:t>mellowing periods</w:t>
      </w:r>
      <w:r w:rsidR="00D7029A">
        <w:t xml:space="preserve"> as much as possible and</w:t>
      </w:r>
      <w:r w:rsidR="004426BB">
        <w:t xml:space="preserve"> use a low </w:t>
      </w:r>
      <w:r w:rsidR="004426BB" w:rsidRPr="004426BB">
        <w:rPr>
          <w:bCs/>
        </w:rPr>
        <w:t>compaction density</w:t>
      </w:r>
      <w:r w:rsidR="004426BB">
        <w:rPr>
          <w:bCs/>
        </w:rPr>
        <w:t xml:space="preserve">, </w:t>
      </w:r>
      <w:r w:rsidR="004426BB" w:rsidRPr="004426BB">
        <w:rPr>
          <w:bCs/>
        </w:rPr>
        <w:t>so that expansive crystals have space for growing without disrupting the soil matrix</w:t>
      </w:r>
      <w:r w:rsidR="004426BB">
        <w:rPr>
          <w:bCs/>
        </w:rPr>
        <w:t xml:space="preserve"> </w:t>
      </w:r>
      <w:r w:rsidR="004426BB" w:rsidRPr="0060445F">
        <w:t>(Harris et al, 2004)</w:t>
      </w:r>
      <w:r w:rsidR="004426BB">
        <w:t>;</w:t>
      </w:r>
      <w:r w:rsidR="00D7029A">
        <w:t xml:space="preserve"> </w:t>
      </w:r>
      <w:r w:rsidR="004426BB">
        <w:t>m</w:t>
      </w:r>
      <w:r w:rsidR="004426BB" w:rsidRPr="004426BB">
        <w:t>ix as much water as practical</w:t>
      </w:r>
      <w:r w:rsidR="004426BB">
        <w:t>ly possible</w:t>
      </w:r>
      <w:r w:rsidR="004426BB" w:rsidRPr="004426BB">
        <w:t xml:space="preserve"> (Little et al, 2010)</w:t>
      </w:r>
      <w:r w:rsidR="004426BB">
        <w:t xml:space="preserve"> -for example</w:t>
      </w:r>
      <w:r w:rsidR="00D7029A">
        <w:t>,</w:t>
      </w:r>
      <w:r w:rsidR="004426BB" w:rsidRPr="004426BB">
        <w:t xml:space="preserve"> Harris et al (2004) suggest that 2% above optimum is better than optimum water content and suggest this as the maximum practical water content above optimum to add, but report that the National Lime Association recommends even higher water contents i.e. 3 to 5% above the optimum water content  to  give  plenty  of  water  for  the  sulphate  to  react</w:t>
      </w:r>
      <w:r w:rsidRPr="0060445F">
        <w:t xml:space="preserve">; finally, </w:t>
      </w:r>
      <w:r w:rsidR="00FE5003" w:rsidRPr="00D03959">
        <w:t>it was recommended to use slags and pozzolanic materials such as ground granulated blast furnace slag (GGBS) and pulverised fuel ash (PFA) to replace partially calcium based stabilisers (Chesomi et al, 2017; Wild et al, 1999).</w:t>
      </w:r>
      <w:r w:rsidRPr="0060445F">
        <w:t xml:space="preserve"> However</w:t>
      </w:r>
      <w:r w:rsidR="005F7280">
        <w:t>,</w:t>
      </w:r>
      <w:r w:rsidRPr="0060445F">
        <w:t xml:space="preserve"> the reactions and mechanisms of crystal growth (or the lack of it) are very complex and hence the topic constitutes the focus of ongoing research (e.g.</w:t>
      </w:r>
      <w:r w:rsidR="00376166" w:rsidRPr="00376166">
        <w:rPr>
          <w:rFonts w:cs="Arial"/>
          <w:color w:val="221E1F"/>
          <w:sz w:val="18"/>
          <w:szCs w:val="18"/>
        </w:rPr>
        <w:t xml:space="preserve"> </w:t>
      </w:r>
      <w:r w:rsidR="00376166" w:rsidRPr="00376166">
        <w:t>Ouhadi</w:t>
      </w:r>
      <w:r w:rsidR="00C24FC8">
        <w:t xml:space="preserve"> </w:t>
      </w:r>
      <w:r w:rsidR="00BB3682">
        <w:t>&amp;</w:t>
      </w:r>
      <w:r w:rsidR="00C24FC8">
        <w:t xml:space="preserve"> </w:t>
      </w:r>
      <w:r w:rsidR="00376166" w:rsidRPr="00376166">
        <w:t>Yong</w:t>
      </w:r>
      <w:r w:rsidR="00376166">
        <w:t>,</w:t>
      </w:r>
      <w:r w:rsidR="00376166" w:rsidRPr="00376166">
        <w:t xml:space="preserve"> 2008</w:t>
      </w:r>
      <w:r w:rsidR="00376166">
        <w:t>;</w:t>
      </w:r>
      <w:r w:rsidR="00376166" w:rsidRPr="00376166">
        <w:t xml:space="preserve"> </w:t>
      </w:r>
      <w:r w:rsidRPr="0060445F">
        <w:t xml:space="preserve">Little et al, 2010; </w:t>
      </w:r>
      <w:r w:rsidR="00376166" w:rsidRPr="00376166">
        <w:t>Knopp</w:t>
      </w:r>
      <w:r w:rsidR="00C24FC8">
        <w:t xml:space="preserve"> </w:t>
      </w:r>
      <w:r w:rsidR="00BB3682">
        <w:t>&amp;</w:t>
      </w:r>
      <w:r w:rsidR="00C24FC8">
        <w:t xml:space="preserve"> </w:t>
      </w:r>
      <w:r w:rsidR="00376166" w:rsidRPr="00376166">
        <w:t>Moormann</w:t>
      </w:r>
      <w:r w:rsidR="00376166">
        <w:t xml:space="preserve">, </w:t>
      </w:r>
      <w:r w:rsidR="00376166" w:rsidRPr="00376166">
        <w:t>2016</w:t>
      </w:r>
      <w:r w:rsidR="00376166">
        <w:t>;</w:t>
      </w:r>
      <w:r w:rsidR="00376166" w:rsidRPr="00376166">
        <w:t xml:space="preserve"> </w:t>
      </w:r>
      <w:r w:rsidRPr="0060445F">
        <w:t xml:space="preserve">Chrysochoou et al, 2012 etc.). </w:t>
      </w:r>
      <w:bookmarkStart w:id="0" w:name="_Hlk67758551"/>
      <w:r w:rsidR="007426DA">
        <w:t>In addition, w</w:t>
      </w:r>
      <w:r w:rsidR="00D03959" w:rsidRPr="00D03959">
        <w:t xml:space="preserve">ith increasing environmental awareness, </w:t>
      </w:r>
      <w:r w:rsidR="007426DA" w:rsidRPr="0060445F">
        <w:t xml:space="preserve">the use </w:t>
      </w:r>
      <w:r w:rsidR="007426DA">
        <w:t xml:space="preserve">of innovative chemical </w:t>
      </w:r>
      <w:r w:rsidR="007426DA" w:rsidRPr="0060445F">
        <w:t xml:space="preserve">stabilisers </w:t>
      </w:r>
      <w:r w:rsidR="007426DA">
        <w:t xml:space="preserve">is actively researched. These are based on industrial waste </w:t>
      </w:r>
      <w:r w:rsidR="007426DA" w:rsidRPr="0060445F">
        <w:t>materials</w:t>
      </w:r>
      <w:r w:rsidR="007426DA" w:rsidRPr="007426DA">
        <w:t xml:space="preserve"> </w:t>
      </w:r>
      <w:r w:rsidR="00D7029A">
        <w:t>(see e.g.</w:t>
      </w:r>
      <w:r w:rsidR="00043586">
        <w:t>,</w:t>
      </w:r>
      <w:r w:rsidR="00D7029A">
        <w:t xml:space="preserve"> Mavroulidou </w:t>
      </w:r>
      <w:r w:rsidR="00043586">
        <w:t xml:space="preserve">2018; Mavroulidou </w:t>
      </w:r>
      <w:r w:rsidR="00D7029A">
        <w:t xml:space="preserve">et al. </w:t>
      </w:r>
      <w:r w:rsidR="00043586">
        <w:t xml:space="preserve">2017; 2019; 2020) </w:t>
      </w:r>
      <w:r w:rsidR="007426DA" w:rsidRPr="00D03959">
        <w:t>or alternatively, materials such as reactive magnesia cement</w:t>
      </w:r>
      <w:r w:rsidR="007426DA">
        <w:t xml:space="preserve">, proposed </w:t>
      </w:r>
      <w:r w:rsidR="007426DA" w:rsidRPr="00D03959">
        <w:t xml:space="preserve">to be more environmentally friendly than Ordinary Portland Cement in view of the lower temperatures involved in its production. </w:t>
      </w:r>
      <w:r w:rsidR="007426DA">
        <w:t xml:space="preserve">The latter cements showed potential as soil stabilisers. </w:t>
      </w:r>
      <w:r w:rsidR="006177BB">
        <w:t>Following early work by</w:t>
      </w:r>
      <w:r w:rsidR="007426DA">
        <w:t xml:space="preserve"> </w:t>
      </w:r>
      <w:r w:rsidR="007426DA" w:rsidRPr="00915063">
        <w:t>Xeidakis (1996)</w:t>
      </w:r>
      <w:r w:rsidR="006177BB">
        <w:t>,</w:t>
      </w:r>
      <w:r w:rsidR="007426DA" w:rsidRPr="00915063">
        <w:t xml:space="preserve"> </w:t>
      </w:r>
      <w:r w:rsidR="006177BB">
        <w:t xml:space="preserve">who </w:t>
      </w:r>
      <w:r w:rsidR="007426DA">
        <w:t>show</w:t>
      </w:r>
      <w:r w:rsidR="007426DA" w:rsidRPr="00915063">
        <w:t xml:space="preserve">ed that the </w:t>
      </w:r>
      <w:r w:rsidR="007426DA">
        <w:t xml:space="preserve">addition of </w:t>
      </w:r>
      <w:r w:rsidR="007426DA" w:rsidRPr="00915063">
        <w:t>Mg(OH)</w:t>
      </w:r>
      <w:r w:rsidR="007426DA" w:rsidRPr="00915063">
        <w:rPr>
          <w:vertAlign w:val="subscript"/>
        </w:rPr>
        <w:t>2</w:t>
      </w:r>
      <w:r w:rsidR="007426DA" w:rsidRPr="00915063">
        <w:t xml:space="preserve"> </w:t>
      </w:r>
      <w:r w:rsidR="007426DA">
        <w:t>could result in expansive clay modification</w:t>
      </w:r>
      <w:r w:rsidR="006177BB">
        <w:t xml:space="preserve"> and discussed</w:t>
      </w:r>
      <w:r w:rsidR="007426DA">
        <w:t xml:space="preserve"> t</w:t>
      </w:r>
      <w:r w:rsidR="007426DA" w:rsidRPr="00915063">
        <w:t xml:space="preserve">he theoretical possibility </w:t>
      </w:r>
      <w:r w:rsidR="007426DA">
        <w:t xml:space="preserve">that </w:t>
      </w:r>
      <w:r w:rsidR="007426DA" w:rsidRPr="00915063">
        <w:t>Mg</w:t>
      </w:r>
      <w:r w:rsidR="007426DA">
        <w:t>-</w:t>
      </w:r>
      <w:r w:rsidR="007426DA" w:rsidRPr="00915063">
        <w:t>based cementitious</w:t>
      </w:r>
      <w:r w:rsidR="007426DA">
        <w:t xml:space="preserve"> </w:t>
      </w:r>
      <w:r w:rsidR="007426DA" w:rsidRPr="00915063">
        <w:t>gels</w:t>
      </w:r>
      <w:r w:rsidR="007426DA">
        <w:t xml:space="preserve"> can form</w:t>
      </w:r>
      <w:r w:rsidR="006177BB">
        <w:t>, recent research also showed that MgO at 5-20% per dry soil mass can be successful in stabilising clay soils (see e.g. Yi et al, 2014; 2015; 2016 or Gu et al. 2015).</w:t>
      </w:r>
      <w:r w:rsidR="00D91E90">
        <w:t xml:space="preserve"> </w:t>
      </w:r>
    </w:p>
    <w:p w14:paraId="024B40CB" w14:textId="77777777" w:rsidR="001A0C81" w:rsidRDefault="001A0C81" w:rsidP="00915063"/>
    <w:p w14:paraId="00F19A2D" w14:textId="13CB88C9" w:rsidR="00915063" w:rsidRPr="00915063" w:rsidRDefault="007426DA" w:rsidP="00915063">
      <w:r>
        <w:t>T</w:t>
      </w:r>
      <w:r w:rsidRPr="0060445F">
        <w:t xml:space="preserve">he need has </w:t>
      </w:r>
      <w:r>
        <w:t xml:space="preserve">therefore </w:t>
      </w:r>
      <w:r w:rsidRPr="0060445F">
        <w:t xml:space="preserve">emerged to investigate how these </w:t>
      </w:r>
      <w:r w:rsidR="00D91E90">
        <w:t>innovative stabilisers</w:t>
      </w:r>
      <w:r w:rsidRPr="0060445F">
        <w:t xml:space="preserve"> behave in the presence of sulphates in soil and whether </w:t>
      </w:r>
      <w:r w:rsidR="00DD096F">
        <w:t>they</w:t>
      </w:r>
      <w:r w:rsidRPr="0060445F">
        <w:t xml:space="preserve"> could be used without risk</w:t>
      </w:r>
      <w:r w:rsidR="00DD096F">
        <w:t>s</w:t>
      </w:r>
      <w:r w:rsidRPr="0060445F">
        <w:t xml:space="preserve"> of sulphate induced reactions. </w:t>
      </w:r>
    </w:p>
    <w:p w14:paraId="04884975" w14:textId="4FB467B8" w:rsidR="003C35DE" w:rsidRDefault="003C35DE" w:rsidP="00846904"/>
    <w:p w14:paraId="40CA9A9D" w14:textId="513008D2" w:rsidR="00DE52C9" w:rsidRDefault="00D03959" w:rsidP="00846904">
      <w:r w:rsidRPr="00D03959">
        <w:t xml:space="preserve">This study is thus focusing on assessing whether suitable combinations of such materials </w:t>
      </w:r>
      <w:r w:rsidR="00257EDE" w:rsidRPr="00257EDE">
        <w:t xml:space="preserve">used to partially </w:t>
      </w:r>
      <w:r w:rsidR="00257EDE">
        <w:t xml:space="preserve">or fully </w:t>
      </w:r>
      <w:r w:rsidR="00257EDE" w:rsidRPr="00257EDE">
        <w:t xml:space="preserve">replace lime </w:t>
      </w:r>
      <w:r w:rsidRPr="00D03959">
        <w:t>could effectively stabilise sulphate bearing soils</w:t>
      </w:r>
      <w:r w:rsidR="00257EDE">
        <w:t>,</w:t>
      </w:r>
      <w:r w:rsidR="00257EDE" w:rsidRPr="00257EDE">
        <w:t xml:space="preserve"> </w:t>
      </w:r>
      <w:r w:rsidR="00813932">
        <w:t xml:space="preserve">while also </w:t>
      </w:r>
      <w:r w:rsidR="00257EDE" w:rsidRPr="00257EDE">
        <w:t>suppress</w:t>
      </w:r>
      <w:r w:rsidR="00257EDE">
        <w:t>ing</w:t>
      </w:r>
      <w:r w:rsidR="00257EDE" w:rsidRPr="00257EDE">
        <w:t xml:space="preserve"> the formation of expansive crystals. </w:t>
      </w:r>
      <w:bookmarkEnd w:id="0"/>
    </w:p>
    <w:p w14:paraId="379A5725" w14:textId="0404E6FD" w:rsidR="00DE52C9" w:rsidRPr="00B2690C" w:rsidRDefault="00D03959" w:rsidP="00CF0787">
      <w:pPr>
        <w:pStyle w:val="Heading1"/>
      </w:pPr>
      <w:r>
        <w:t>Materials and methods</w:t>
      </w:r>
    </w:p>
    <w:p w14:paraId="250A4D08" w14:textId="07773FCA" w:rsidR="00092334" w:rsidRPr="00092334" w:rsidRDefault="00092334" w:rsidP="00092334">
      <w:r w:rsidRPr="00092334">
        <w:t>The soil used as basis for the experiments was an artiﬁcial su</w:t>
      </w:r>
      <w:r>
        <w:t>lph</w:t>
      </w:r>
      <w:r w:rsidRPr="00092334">
        <w:t>ate-rich soil prepared by mixing kaolin clay from the South West of England supplied by Imerys, with 4% per soil mass analytical grade sodium sul</w:t>
      </w:r>
      <w:r w:rsidR="00F21B2A">
        <w:t>ph</w:t>
      </w:r>
      <w:r w:rsidRPr="00092334">
        <w:t>ate powder supplied by Fisher Scientific. The clay and the sulphate were mixed in the form of dry powders. This mixture is referred to herein as ‘untreated soil’. Sodium sulphate was chosen due to its high solubility (as opposed e.g. to gypsum) to create favourable conditions for ettringite formation. Tests for the total and water</w:t>
      </w:r>
      <w:r w:rsidR="00D7029A">
        <w:t>-</w:t>
      </w:r>
      <w:r w:rsidRPr="00092334">
        <w:t xml:space="preserve">soluble sulphate content based on the gravimetric method of BS 1377-3:1990 </w:t>
      </w:r>
      <w:r w:rsidR="00FD69A3">
        <w:t>(BSI, 1990)</w:t>
      </w:r>
      <w:r w:rsidRPr="00092334">
        <w:t xml:space="preserve"> showed no evidence of sulphates in the original kaolin soil. The soil stabilisers used were: </w:t>
      </w:r>
      <w:r w:rsidRPr="00092334">
        <w:lastRenderedPageBreak/>
        <w:t>a) a hydrated lime with a relative Ca(OH)</w:t>
      </w:r>
      <w:r w:rsidRPr="00092334">
        <w:rPr>
          <w:vertAlign w:val="subscript"/>
        </w:rPr>
        <w:t>2</w:t>
      </w:r>
      <w:r w:rsidRPr="00092334">
        <w:t xml:space="preserve">/CaO ratio of 4.88/1.00; b) </w:t>
      </w:r>
      <w:r w:rsidR="00A315DE" w:rsidRPr="00A315DE">
        <w:t xml:space="preserve">Paper Sludge Ash (PSA) provided by a newspaper recycling company </w:t>
      </w:r>
      <w:r w:rsidR="00CB2A7E">
        <w:t>from</w:t>
      </w:r>
      <w:r w:rsidR="00A315DE" w:rsidRPr="00A315DE">
        <w:t xml:space="preserve"> the South-East of England. PSA is mainly a calcium aluminosilicate, as the principal compounds are lime (CaO) (ca 60%), silica (SiO</w:t>
      </w:r>
      <w:r w:rsidR="00A315DE" w:rsidRPr="00A315DE">
        <w:rPr>
          <w:vertAlign w:val="subscript"/>
        </w:rPr>
        <w:t>2</w:t>
      </w:r>
      <w:r w:rsidR="00A315DE" w:rsidRPr="00A315DE">
        <w:t>) and alumina (Al</w:t>
      </w:r>
      <w:r w:rsidR="00A315DE" w:rsidRPr="00A315DE">
        <w:rPr>
          <w:vertAlign w:val="subscript"/>
        </w:rPr>
        <w:t>2</w:t>
      </w:r>
      <w:r w:rsidR="00A315DE" w:rsidRPr="00A315DE">
        <w:t>O</w:t>
      </w:r>
      <w:r w:rsidR="00A315DE" w:rsidRPr="00A315DE">
        <w:rPr>
          <w:vertAlign w:val="subscript"/>
        </w:rPr>
        <w:t>3</w:t>
      </w:r>
      <w:r w:rsidR="00A315DE">
        <w:t>)</w:t>
      </w:r>
      <w:r w:rsidRPr="00092334">
        <w:t xml:space="preserve">; </w:t>
      </w:r>
      <w:r w:rsidR="006F70D8">
        <w:t>d</w:t>
      </w:r>
      <w:r w:rsidR="006F70D8" w:rsidRPr="00092334">
        <w:t>ue to high free lime contents PSA has a pH=12.3-12.4, which is the same as that of the hydrated lime used</w:t>
      </w:r>
      <w:r w:rsidR="00CB2A7E">
        <w:t>;</w:t>
      </w:r>
      <w:r w:rsidR="006F70D8" w:rsidRPr="00092334">
        <w:t xml:space="preserve"> </w:t>
      </w:r>
      <w:r w:rsidRPr="00092334">
        <w:t xml:space="preserve">(c) ground granulated blast furnace slag (GGBS) from Hanson-Regen; </w:t>
      </w:r>
      <w:r w:rsidR="00E02BFE" w:rsidRPr="00D03959">
        <w:t>GGBS was used in mixes with other stabilisers</w:t>
      </w:r>
      <w:r w:rsidR="00E02BFE">
        <w:t>,</w:t>
      </w:r>
      <w:r w:rsidR="00E02BFE" w:rsidRPr="00D03959">
        <w:t xml:space="preserve"> as when used on its own chemical reactions are slow, and Portland cement or lime normally provide the alkalinity to activate and accelerate these</w:t>
      </w:r>
      <w:r w:rsidR="00E02BFE">
        <w:t>;</w:t>
      </w:r>
      <w:r w:rsidR="00E02BFE" w:rsidRPr="00092334">
        <w:t xml:space="preserve"> </w:t>
      </w:r>
      <w:r w:rsidRPr="00092334">
        <w:t>(d) reactive magnesia cement i.e. calcined magnesite containing a minimum of 94 % MgO, supplied by Richard Baker Harrison Ltd. This is a light-coloured non-hazardous free-flowing powder, of a grading 95% finer than the 75 μm sieve, a specific surface area of 15.9 m</w:t>
      </w:r>
      <w:r w:rsidRPr="00092334">
        <w:rPr>
          <w:vertAlign w:val="superscript"/>
        </w:rPr>
        <w:t>2</w:t>
      </w:r>
      <w:r w:rsidRPr="00092334">
        <w:t>/g and a reactivity of 976s (in terms of time required for the neutralization of an acidic solution) as determined by Jin et al (2015) using the acetic acid test;</w:t>
      </w:r>
      <w:r w:rsidR="006F70D8" w:rsidRPr="006F70D8">
        <w:t xml:space="preserve"> </w:t>
      </w:r>
      <w:r w:rsidRPr="00092334">
        <w:t xml:space="preserve"> e) PFA, a by-product of pulverised power station coal, commercially distributed by CEMEX as Cemex-450S. It is a dark grey powder of a grading 12% retained in the 45μm sieve and a specific surface area of 0.6 m</w:t>
      </w:r>
      <w:r w:rsidRPr="00092334">
        <w:rPr>
          <w:vertAlign w:val="superscript"/>
        </w:rPr>
        <w:t>2</w:t>
      </w:r>
      <w:r w:rsidRPr="00092334">
        <w:t xml:space="preserve">/g. </w:t>
      </w:r>
      <w:r w:rsidR="00E02BFE" w:rsidRPr="001F49E8">
        <w:t>Typical oxide compositions of the materials based on available suppliers’ information and the</w:t>
      </w:r>
      <w:r w:rsidR="00E02BFE">
        <w:t xml:space="preserve"> literature (</w:t>
      </w:r>
      <w:r w:rsidR="00E02BFE" w:rsidRPr="00092334">
        <w:t>Spathi, 201</w:t>
      </w:r>
      <w:r w:rsidR="00E02BFE">
        <w:t>5</w:t>
      </w:r>
      <w:r w:rsidR="00E02BFE" w:rsidRPr="00092334">
        <w:t>; Bernal et al, 2014; Mozaffari et al, 2009</w:t>
      </w:r>
      <w:r w:rsidR="00E02BFE">
        <w:t xml:space="preserve">; Mavroulidou et al, 2015 </w:t>
      </w:r>
      <w:r w:rsidR="00754A34">
        <w:t xml:space="preserve">and </w:t>
      </w:r>
      <w:r w:rsidR="00E02BFE">
        <w:t>Mavroulidou, 2018)</w:t>
      </w:r>
      <w:r w:rsidR="00E02BFE" w:rsidRPr="006B1B36">
        <w:t xml:space="preserve"> </w:t>
      </w:r>
      <w:r w:rsidR="00E02BFE" w:rsidRPr="005B7B40">
        <w:t xml:space="preserve">are shown in Table 1. </w:t>
      </w:r>
      <w:r w:rsidRPr="00092334">
        <w:t xml:space="preserve">The particle size distribution of the tested soils and stabilisers based on hydrometer testing </w:t>
      </w:r>
      <w:r w:rsidR="00CB2A7E">
        <w:t xml:space="preserve">or information by the suppliers/literature </w:t>
      </w:r>
      <w:r w:rsidRPr="00092334">
        <w:t xml:space="preserve">is shown in Figure 1. </w:t>
      </w:r>
      <w:r w:rsidR="001473FD">
        <w:t>For</w:t>
      </w:r>
      <w:r w:rsidR="001473FD" w:rsidRPr="000C69D1">
        <w:t xml:space="preserve"> MgO</w:t>
      </w:r>
      <w:r w:rsidR="001473FD">
        <w:t xml:space="preserve"> </w:t>
      </w:r>
      <w:r w:rsidR="00CB2A7E">
        <w:t>mixes</w:t>
      </w:r>
      <w:r w:rsidR="001473FD">
        <w:t>,</w:t>
      </w:r>
      <w:r w:rsidR="001473FD" w:rsidRPr="000C69D1">
        <w:t xml:space="preserve"> </w:t>
      </w:r>
      <w:r w:rsidR="001473FD">
        <w:t xml:space="preserve">typical MgO percentages recommended in the literature were used. </w:t>
      </w:r>
      <w:r w:rsidR="000C69D1" w:rsidRPr="000C69D1">
        <w:t>The minimum required stabiliser dosage (per dry soil mass) for lime</w:t>
      </w:r>
      <w:r w:rsidR="000C69D1">
        <w:t xml:space="preserve"> and</w:t>
      </w:r>
      <w:r w:rsidR="000C69D1" w:rsidRPr="000C69D1">
        <w:t xml:space="preserve"> PSA was determined from Initial Consumption of Lime (ICL) tests (Eades</w:t>
      </w:r>
      <w:r w:rsidR="00754A34">
        <w:t xml:space="preserve"> &amp;</w:t>
      </w:r>
      <w:r w:rsidR="000C69D1" w:rsidRPr="000C69D1">
        <w:t xml:space="preserve"> Grim, 1965).</w:t>
      </w:r>
      <w:r w:rsidR="000C69D1">
        <w:t xml:space="preserve"> These were 4% and 6% </w:t>
      </w:r>
      <w:r w:rsidR="000C69D1" w:rsidRPr="000C69D1">
        <w:t>respectively</w:t>
      </w:r>
      <w:r w:rsidR="001473FD">
        <w:t xml:space="preserve">. Different percentages were also used </w:t>
      </w:r>
      <w:r w:rsidR="00A9037E">
        <w:t xml:space="preserve">in the form of a parametric study, </w:t>
      </w:r>
      <w:r w:rsidR="001473FD">
        <w:t xml:space="preserve">as these materials were partially replaced by PFA and GGBS. </w:t>
      </w:r>
      <w:r w:rsidR="000C69D1" w:rsidRPr="000C69D1">
        <w:t>Note that t</w:t>
      </w:r>
      <w:r w:rsidRPr="000C69D1">
        <w:t>he percentage of the stabilizers mentioned are per mass of the artificial su</w:t>
      </w:r>
      <w:r w:rsidR="00A95FA3" w:rsidRPr="000C69D1">
        <w:t>lph</w:t>
      </w:r>
      <w:r w:rsidRPr="000C69D1">
        <w:t>ate rich soil (‘untreated soil’) mass.</w:t>
      </w:r>
    </w:p>
    <w:p w14:paraId="62D6CCCF" w14:textId="23C250E9" w:rsidR="00813932" w:rsidRPr="00FB4CEF" w:rsidRDefault="00813932" w:rsidP="00813932">
      <w:pPr>
        <w:pStyle w:val="TableCaption"/>
      </w:pPr>
      <w:r w:rsidRPr="00FB4CEF">
        <w:t xml:space="preserve">Table </w:t>
      </w:r>
      <w:r>
        <w:t>1</w:t>
      </w:r>
      <w:r w:rsidRPr="00FB4CEF">
        <w:t xml:space="preserve">. </w:t>
      </w:r>
      <w:r w:rsidRPr="00813932">
        <w:rPr>
          <w:iCs/>
        </w:rPr>
        <w:t>Typical oxide composition (%) of the stabilisers</w:t>
      </w:r>
    </w:p>
    <w:tbl>
      <w:tblPr>
        <w:tblW w:w="9086" w:type="dxa"/>
        <w:jc w:val="center"/>
        <w:tblBorders>
          <w:top w:val="single" w:sz="4" w:space="0" w:color="auto"/>
          <w:bottom w:val="single" w:sz="4" w:space="0" w:color="auto"/>
        </w:tblBorders>
        <w:tblLook w:val="04A0" w:firstRow="1" w:lastRow="0" w:firstColumn="1" w:lastColumn="0" w:noHBand="0" w:noVBand="1"/>
      </w:tblPr>
      <w:tblGrid>
        <w:gridCol w:w="2334"/>
        <w:gridCol w:w="1394"/>
        <w:gridCol w:w="1386"/>
        <w:gridCol w:w="1123"/>
        <w:gridCol w:w="1560"/>
        <w:gridCol w:w="1289"/>
      </w:tblGrid>
      <w:tr w:rsidR="00813932" w:rsidRPr="00FB4CEF" w14:paraId="29617510" w14:textId="01764181" w:rsidTr="00950A7B">
        <w:trPr>
          <w:jc w:val="center"/>
        </w:trPr>
        <w:tc>
          <w:tcPr>
            <w:tcW w:w="2334" w:type="dxa"/>
            <w:tcBorders>
              <w:top w:val="single" w:sz="4" w:space="0" w:color="auto"/>
              <w:bottom w:val="single" w:sz="4" w:space="0" w:color="auto"/>
            </w:tcBorders>
            <w:shd w:val="clear" w:color="auto" w:fill="auto"/>
            <w:vAlign w:val="center"/>
          </w:tcPr>
          <w:p w14:paraId="2055561D" w14:textId="07F5EFBB" w:rsidR="00813932" w:rsidRPr="00012415" w:rsidRDefault="00813932" w:rsidP="00257EDE">
            <w:pPr>
              <w:pStyle w:val="TableText"/>
              <w:rPr>
                <w:rFonts w:cs="Arial"/>
              </w:rPr>
            </w:pPr>
            <w:r w:rsidRPr="00012415">
              <w:rPr>
                <w:rFonts w:cs="Arial"/>
              </w:rPr>
              <w:t>Oxide</w:t>
            </w:r>
          </w:p>
        </w:tc>
        <w:tc>
          <w:tcPr>
            <w:tcW w:w="1394" w:type="dxa"/>
            <w:tcBorders>
              <w:top w:val="single" w:sz="4" w:space="0" w:color="auto"/>
              <w:bottom w:val="single" w:sz="4" w:space="0" w:color="auto"/>
            </w:tcBorders>
            <w:shd w:val="clear" w:color="auto" w:fill="auto"/>
            <w:vAlign w:val="center"/>
          </w:tcPr>
          <w:p w14:paraId="09A4174D" w14:textId="444BCF22" w:rsidR="00813932" w:rsidRPr="00012415" w:rsidRDefault="00813932" w:rsidP="00257EDE">
            <w:pPr>
              <w:pStyle w:val="TableText"/>
              <w:rPr>
                <w:rFonts w:cs="Arial"/>
              </w:rPr>
            </w:pPr>
            <w:r w:rsidRPr="00012415">
              <w:rPr>
                <w:rFonts w:cs="Arial"/>
              </w:rPr>
              <w:t>PFA</w:t>
            </w:r>
          </w:p>
        </w:tc>
        <w:tc>
          <w:tcPr>
            <w:tcW w:w="1386" w:type="dxa"/>
            <w:tcBorders>
              <w:top w:val="single" w:sz="4" w:space="0" w:color="auto"/>
              <w:bottom w:val="single" w:sz="4" w:space="0" w:color="auto"/>
            </w:tcBorders>
            <w:shd w:val="clear" w:color="auto" w:fill="auto"/>
            <w:vAlign w:val="center"/>
          </w:tcPr>
          <w:p w14:paraId="6F0A0012" w14:textId="03E28F59" w:rsidR="00813932" w:rsidRPr="00012415" w:rsidRDefault="00813932" w:rsidP="00257EDE">
            <w:pPr>
              <w:pStyle w:val="TableText"/>
              <w:rPr>
                <w:rFonts w:cs="Arial"/>
              </w:rPr>
            </w:pPr>
            <w:r w:rsidRPr="00012415">
              <w:rPr>
                <w:rFonts w:cs="Arial"/>
              </w:rPr>
              <w:t>PSA</w:t>
            </w:r>
          </w:p>
        </w:tc>
        <w:tc>
          <w:tcPr>
            <w:tcW w:w="1123" w:type="dxa"/>
            <w:tcBorders>
              <w:top w:val="single" w:sz="4" w:space="0" w:color="auto"/>
              <w:bottom w:val="single" w:sz="4" w:space="0" w:color="auto"/>
            </w:tcBorders>
            <w:shd w:val="clear" w:color="auto" w:fill="auto"/>
            <w:vAlign w:val="center"/>
          </w:tcPr>
          <w:p w14:paraId="54D27864" w14:textId="143197BC" w:rsidR="00813932" w:rsidRPr="00012415" w:rsidRDefault="00813932" w:rsidP="00257EDE">
            <w:pPr>
              <w:pStyle w:val="TableText"/>
              <w:rPr>
                <w:rFonts w:cs="Arial"/>
              </w:rPr>
            </w:pPr>
            <w:r w:rsidRPr="00012415">
              <w:rPr>
                <w:rFonts w:cs="Arial"/>
              </w:rPr>
              <w:t>GGBS</w:t>
            </w:r>
          </w:p>
        </w:tc>
        <w:tc>
          <w:tcPr>
            <w:tcW w:w="1560" w:type="dxa"/>
            <w:tcBorders>
              <w:top w:val="single" w:sz="4" w:space="0" w:color="auto"/>
              <w:bottom w:val="single" w:sz="4" w:space="0" w:color="auto"/>
            </w:tcBorders>
          </w:tcPr>
          <w:p w14:paraId="595207AF" w14:textId="6589DF15" w:rsidR="00813932" w:rsidRPr="00012415" w:rsidRDefault="00813932" w:rsidP="00257EDE">
            <w:pPr>
              <w:pStyle w:val="TableText"/>
              <w:rPr>
                <w:rFonts w:cs="Arial"/>
              </w:rPr>
            </w:pPr>
            <w:r w:rsidRPr="00012415">
              <w:rPr>
                <w:rFonts w:cs="Arial"/>
              </w:rPr>
              <w:t>MgO</w:t>
            </w:r>
          </w:p>
        </w:tc>
        <w:tc>
          <w:tcPr>
            <w:tcW w:w="1289" w:type="dxa"/>
            <w:tcBorders>
              <w:top w:val="single" w:sz="4" w:space="0" w:color="auto"/>
              <w:bottom w:val="single" w:sz="4" w:space="0" w:color="auto"/>
            </w:tcBorders>
          </w:tcPr>
          <w:p w14:paraId="30BB9D19" w14:textId="6C84603F" w:rsidR="00813932" w:rsidRPr="00012415" w:rsidRDefault="00813932" w:rsidP="00257EDE">
            <w:pPr>
              <w:pStyle w:val="TableText"/>
              <w:rPr>
                <w:rFonts w:cs="Arial"/>
              </w:rPr>
            </w:pPr>
            <w:r w:rsidRPr="00012415">
              <w:rPr>
                <w:rFonts w:cs="Arial"/>
              </w:rPr>
              <w:t>Hydrated Calcium lime</w:t>
            </w:r>
          </w:p>
        </w:tc>
      </w:tr>
      <w:tr w:rsidR="00813932" w:rsidRPr="00FB4CEF" w14:paraId="0A709236" w14:textId="28869A82" w:rsidTr="00950A7B">
        <w:trPr>
          <w:jc w:val="center"/>
        </w:trPr>
        <w:tc>
          <w:tcPr>
            <w:tcW w:w="2334" w:type="dxa"/>
            <w:shd w:val="clear" w:color="auto" w:fill="auto"/>
          </w:tcPr>
          <w:p w14:paraId="1AD4AD66" w14:textId="48DB6333" w:rsidR="00813932" w:rsidRPr="00012415" w:rsidRDefault="00813932" w:rsidP="00813932">
            <w:pPr>
              <w:pStyle w:val="TableText"/>
              <w:rPr>
                <w:rFonts w:cs="Arial"/>
              </w:rPr>
            </w:pPr>
            <w:r w:rsidRPr="00012415">
              <w:rPr>
                <w:rFonts w:eastAsia="Times New Roman" w:cs="Arial"/>
                <w:lang w:eastAsia="ar-SA"/>
              </w:rPr>
              <w:t>SiO</w:t>
            </w:r>
            <w:r w:rsidRPr="00012415">
              <w:rPr>
                <w:rFonts w:eastAsia="Times New Roman" w:cs="Arial"/>
                <w:vertAlign w:val="subscript"/>
                <w:lang w:eastAsia="ar-SA"/>
              </w:rPr>
              <w:t>2</w:t>
            </w:r>
          </w:p>
        </w:tc>
        <w:tc>
          <w:tcPr>
            <w:tcW w:w="1394" w:type="dxa"/>
            <w:tcBorders>
              <w:top w:val="single" w:sz="4" w:space="0" w:color="auto"/>
              <w:left w:val="nil"/>
              <w:bottom w:val="nil"/>
              <w:right w:val="nil"/>
            </w:tcBorders>
          </w:tcPr>
          <w:p w14:paraId="6C0CD993" w14:textId="164390CF" w:rsidR="00813932" w:rsidRPr="00012415" w:rsidRDefault="00D87D0F" w:rsidP="00813932">
            <w:pPr>
              <w:pStyle w:val="TableText"/>
              <w:rPr>
                <w:rFonts w:cs="Arial"/>
              </w:rPr>
            </w:pPr>
            <w:r w:rsidRPr="00D87D0F">
              <w:rPr>
                <w:rFonts w:cs="Arial"/>
              </w:rPr>
              <w:t>45-51</w:t>
            </w:r>
          </w:p>
        </w:tc>
        <w:tc>
          <w:tcPr>
            <w:tcW w:w="1386" w:type="dxa"/>
            <w:shd w:val="clear" w:color="auto" w:fill="auto"/>
          </w:tcPr>
          <w:p w14:paraId="4403CD18" w14:textId="374BB3DF" w:rsidR="00813932" w:rsidRPr="00012415" w:rsidRDefault="00813932" w:rsidP="00813932">
            <w:pPr>
              <w:pStyle w:val="TableText"/>
              <w:rPr>
                <w:rFonts w:cs="Arial"/>
              </w:rPr>
            </w:pPr>
            <w:r w:rsidRPr="00012415">
              <w:rPr>
                <w:rFonts w:eastAsia="Times New Roman" w:cs="Arial"/>
                <w:lang w:eastAsia="da-DK"/>
              </w:rPr>
              <w:t>19.20</w:t>
            </w:r>
          </w:p>
        </w:tc>
        <w:tc>
          <w:tcPr>
            <w:tcW w:w="1123" w:type="dxa"/>
            <w:shd w:val="clear" w:color="auto" w:fill="auto"/>
          </w:tcPr>
          <w:p w14:paraId="60DFF2C0" w14:textId="33D5D9EE" w:rsidR="00813932" w:rsidRPr="00012415" w:rsidRDefault="00813932" w:rsidP="00813932">
            <w:pPr>
              <w:pStyle w:val="TableText"/>
              <w:rPr>
                <w:rFonts w:cs="Arial"/>
              </w:rPr>
            </w:pPr>
            <w:r w:rsidRPr="00012415">
              <w:rPr>
                <w:rFonts w:eastAsia="Times New Roman" w:cs="Arial"/>
                <w:noProof/>
                <w:spacing w:val="-7"/>
                <w:lang w:eastAsia="nl-NL"/>
              </w:rPr>
              <w:t>34.68</w:t>
            </w:r>
          </w:p>
        </w:tc>
        <w:tc>
          <w:tcPr>
            <w:tcW w:w="1560" w:type="dxa"/>
            <w:shd w:val="clear" w:color="auto" w:fill="auto"/>
          </w:tcPr>
          <w:p w14:paraId="2E73DD07" w14:textId="2E164179" w:rsidR="00813932" w:rsidRPr="00012415" w:rsidRDefault="00813932" w:rsidP="00813932">
            <w:pPr>
              <w:pStyle w:val="TableText"/>
              <w:rPr>
                <w:rFonts w:cs="Arial"/>
              </w:rPr>
            </w:pPr>
            <w:r w:rsidRPr="00012415">
              <w:rPr>
                <w:rFonts w:eastAsia="Times New Roman" w:cs="Arial"/>
                <w:noProof/>
                <w:spacing w:val="-7"/>
                <w:lang w:eastAsia="nl-NL"/>
              </w:rPr>
              <w:t>1.00</w:t>
            </w:r>
          </w:p>
        </w:tc>
        <w:tc>
          <w:tcPr>
            <w:tcW w:w="1289" w:type="dxa"/>
            <w:shd w:val="clear" w:color="auto" w:fill="auto"/>
          </w:tcPr>
          <w:p w14:paraId="4EE224B6" w14:textId="26DA99C6" w:rsidR="00813932" w:rsidRPr="00012415" w:rsidRDefault="00813932" w:rsidP="00813932">
            <w:pPr>
              <w:pStyle w:val="TableText"/>
              <w:rPr>
                <w:rFonts w:cs="Arial"/>
              </w:rPr>
            </w:pPr>
            <w:r w:rsidRPr="00012415">
              <w:rPr>
                <w:rFonts w:eastAsia="Times New Roman" w:cs="Arial"/>
                <w:noProof/>
                <w:spacing w:val="-7"/>
                <w:lang w:eastAsia="nl-NL"/>
              </w:rPr>
              <w:t>0.70-1.00</w:t>
            </w:r>
          </w:p>
        </w:tc>
      </w:tr>
      <w:tr w:rsidR="00813932" w:rsidRPr="00FB4CEF" w14:paraId="0E284831" w14:textId="54A73425" w:rsidTr="00950A7B">
        <w:trPr>
          <w:jc w:val="center"/>
        </w:trPr>
        <w:tc>
          <w:tcPr>
            <w:tcW w:w="2334" w:type="dxa"/>
            <w:shd w:val="clear" w:color="auto" w:fill="auto"/>
          </w:tcPr>
          <w:p w14:paraId="1BA5C8A8" w14:textId="0813AC3E" w:rsidR="00813932" w:rsidRPr="00012415" w:rsidRDefault="00813932" w:rsidP="00813932">
            <w:pPr>
              <w:pStyle w:val="TableText"/>
              <w:rPr>
                <w:rFonts w:cs="Arial"/>
              </w:rPr>
            </w:pPr>
            <w:r w:rsidRPr="00012415">
              <w:rPr>
                <w:rFonts w:eastAsia="Times New Roman" w:cs="Arial"/>
                <w:lang w:eastAsia="ar-SA"/>
              </w:rPr>
              <w:t>Al</w:t>
            </w:r>
            <w:r w:rsidRPr="00012415">
              <w:rPr>
                <w:rFonts w:eastAsia="Times New Roman" w:cs="Arial"/>
                <w:vertAlign w:val="subscript"/>
                <w:lang w:eastAsia="ar-SA"/>
              </w:rPr>
              <w:t>2</w:t>
            </w:r>
            <w:r w:rsidRPr="00012415">
              <w:rPr>
                <w:rFonts w:eastAsia="Times New Roman" w:cs="Arial"/>
                <w:lang w:eastAsia="ar-SA"/>
              </w:rPr>
              <w:t>O</w:t>
            </w:r>
            <w:r w:rsidRPr="00012415">
              <w:rPr>
                <w:rFonts w:eastAsia="Times New Roman" w:cs="Arial"/>
                <w:vertAlign w:val="subscript"/>
                <w:lang w:eastAsia="ar-SA"/>
              </w:rPr>
              <w:t>3</w:t>
            </w:r>
          </w:p>
        </w:tc>
        <w:tc>
          <w:tcPr>
            <w:tcW w:w="1394" w:type="dxa"/>
            <w:tcBorders>
              <w:top w:val="nil"/>
              <w:left w:val="nil"/>
              <w:bottom w:val="nil"/>
              <w:right w:val="nil"/>
            </w:tcBorders>
          </w:tcPr>
          <w:p w14:paraId="420FA0DC" w14:textId="5BE02508" w:rsidR="00813932" w:rsidRPr="00012415" w:rsidRDefault="00D87D0F" w:rsidP="00813932">
            <w:pPr>
              <w:pStyle w:val="TableText"/>
              <w:rPr>
                <w:rFonts w:cs="Arial"/>
              </w:rPr>
            </w:pPr>
            <w:r w:rsidRPr="00D87D0F">
              <w:rPr>
                <w:rFonts w:cs="Arial"/>
              </w:rPr>
              <w:t>27-32</w:t>
            </w:r>
          </w:p>
        </w:tc>
        <w:tc>
          <w:tcPr>
            <w:tcW w:w="1386" w:type="dxa"/>
            <w:shd w:val="clear" w:color="auto" w:fill="auto"/>
          </w:tcPr>
          <w:p w14:paraId="6C9AEADD" w14:textId="500C81A0" w:rsidR="00813932" w:rsidRPr="00012415" w:rsidRDefault="00813932" w:rsidP="00813932">
            <w:pPr>
              <w:pStyle w:val="TableText"/>
              <w:rPr>
                <w:rFonts w:cs="Arial"/>
              </w:rPr>
            </w:pPr>
            <w:r w:rsidRPr="00012415">
              <w:rPr>
                <w:rFonts w:eastAsia="Times New Roman" w:cs="Arial"/>
                <w:lang w:eastAsia="da-DK"/>
              </w:rPr>
              <w:t>8.70</w:t>
            </w:r>
          </w:p>
        </w:tc>
        <w:tc>
          <w:tcPr>
            <w:tcW w:w="1123" w:type="dxa"/>
            <w:shd w:val="clear" w:color="auto" w:fill="auto"/>
          </w:tcPr>
          <w:p w14:paraId="0E31236A" w14:textId="41F0110B" w:rsidR="00813932" w:rsidRPr="00012415" w:rsidRDefault="00813932" w:rsidP="00813932">
            <w:pPr>
              <w:pStyle w:val="TableText"/>
              <w:rPr>
                <w:rFonts w:cs="Arial"/>
              </w:rPr>
            </w:pPr>
            <w:r w:rsidRPr="00012415">
              <w:rPr>
                <w:rFonts w:eastAsia="Times New Roman" w:cs="Arial"/>
                <w:noProof/>
                <w:spacing w:val="-7"/>
                <w:lang w:eastAsia="nl-NL"/>
              </w:rPr>
              <w:t>14.16</w:t>
            </w:r>
          </w:p>
        </w:tc>
        <w:tc>
          <w:tcPr>
            <w:tcW w:w="1560" w:type="dxa"/>
            <w:shd w:val="clear" w:color="auto" w:fill="auto"/>
          </w:tcPr>
          <w:p w14:paraId="61B33F35" w14:textId="77777777" w:rsidR="00813932" w:rsidRPr="00012415" w:rsidRDefault="00813932" w:rsidP="00813932">
            <w:pPr>
              <w:pStyle w:val="TableText"/>
              <w:rPr>
                <w:rFonts w:cs="Arial"/>
              </w:rPr>
            </w:pPr>
          </w:p>
        </w:tc>
        <w:tc>
          <w:tcPr>
            <w:tcW w:w="1289" w:type="dxa"/>
            <w:shd w:val="clear" w:color="auto" w:fill="auto"/>
          </w:tcPr>
          <w:p w14:paraId="2D883F51" w14:textId="31CA9FA6" w:rsidR="00813932" w:rsidRPr="00012415" w:rsidRDefault="00813932" w:rsidP="00813932">
            <w:pPr>
              <w:pStyle w:val="TableText"/>
              <w:rPr>
                <w:rFonts w:cs="Arial"/>
              </w:rPr>
            </w:pPr>
            <w:r w:rsidRPr="00012415">
              <w:rPr>
                <w:rFonts w:eastAsia="Times New Roman" w:cs="Arial"/>
                <w:noProof/>
                <w:spacing w:val="-7"/>
                <w:lang w:eastAsia="nl-NL"/>
              </w:rPr>
              <w:t>0.10-0.20</w:t>
            </w:r>
          </w:p>
        </w:tc>
      </w:tr>
      <w:tr w:rsidR="00813932" w:rsidRPr="00FB4CEF" w14:paraId="46EB904A" w14:textId="5EF1D207" w:rsidTr="00950A7B">
        <w:trPr>
          <w:jc w:val="center"/>
        </w:trPr>
        <w:tc>
          <w:tcPr>
            <w:tcW w:w="2334" w:type="dxa"/>
            <w:shd w:val="clear" w:color="auto" w:fill="auto"/>
          </w:tcPr>
          <w:p w14:paraId="3A66397F" w14:textId="6899333F" w:rsidR="00813932" w:rsidRPr="00012415" w:rsidRDefault="00813932" w:rsidP="00813932">
            <w:pPr>
              <w:pStyle w:val="TableText"/>
              <w:rPr>
                <w:rFonts w:cs="Arial"/>
              </w:rPr>
            </w:pPr>
            <w:r w:rsidRPr="00012415">
              <w:rPr>
                <w:rFonts w:eastAsia="Times New Roman" w:cs="Arial"/>
                <w:lang w:eastAsia="ar-SA"/>
              </w:rPr>
              <w:t>CaO</w:t>
            </w:r>
          </w:p>
        </w:tc>
        <w:tc>
          <w:tcPr>
            <w:tcW w:w="1394" w:type="dxa"/>
            <w:tcBorders>
              <w:top w:val="nil"/>
              <w:left w:val="nil"/>
              <w:bottom w:val="nil"/>
              <w:right w:val="nil"/>
            </w:tcBorders>
          </w:tcPr>
          <w:p w14:paraId="7EB891BA" w14:textId="6D364225" w:rsidR="00813932" w:rsidRPr="00012415" w:rsidRDefault="00D87D0F" w:rsidP="00813932">
            <w:pPr>
              <w:pStyle w:val="TableText"/>
              <w:rPr>
                <w:rFonts w:cs="Arial"/>
              </w:rPr>
            </w:pPr>
            <w:r w:rsidRPr="00D87D0F">
              <w:rPr>
                <w:rFonts w:cs="Arial"/>
              </w:rPr>
              <w:t>1-7</w:t>
            </w:r>
          </w:p>
        </w:tc>
        <w:tc>
          <w:tcPr>
            <w:tcW w:w="1386" w:type="dxa"/>
            <w:shd w:val="clear" w:color="auto" w:fill="auto"/>
          </w:tcPr>
          <w:p w14:paraId="09BB8F8C" w14:textId="60D17224" w:rsidR="00813932" w:rsidRPr="00012415" w:rsidRDefault="00813932" w:rsidP="00813932">
            <w:pPr>
              <w:pStyle w:val="TableText"/>
              <w:rPr>
                <w:rFonts w:cs="Arial"/>
              </w:rPr>
            </w:pPr>
            <w:r w:rsidRPr="00012415">
              <w:rPr>
                <w:rFonts w:eastAsia="Times New Roman" w:cs="Arial"/>
                <w:lang w:eastAsia="da-DK"/>
              </w:rPr>
              <w:t>60.70</w:t>
            </w:r>
          </w:p>
        </w:tc>
        <w:tc>
          <w:tcPr>
            <w:tcW w:w="1123" w:type="dxa"/>
            <w:shd w:val="clear" w:color="auto" w:fill="auto"/>
          </w:tcPr>
          <w:p w14:paraId="7B7EB4D0" w14:textId="59817277" w:rsidR="00813932" w:rsidRPr="00012415" w:rsidRDefault="00813932" w:rsidP="00813932">
            <w:pPr>
              <w:pStyle w:val="TableText"/>
              <w:rPr>
                <w:rFonts w:cs="Arial"/>
              </w:rPr>
            </w:pPr>
            <w:r w:rsidRPr="00012415">
              <w:rPr>
                <w:rFonts w:eastAsia="Times New Roman" w:cs="Arial"/>
                <w:noProof/>
                <w:spacing w:val="-7"/>
                <w:lang w:eastAsia="nl-NL"/>
              </w:rPr>
              <w:t>38.74</w:t>
            </w:r>
          </w:p>
        </w:tc>
        <w:tc>
          <w:tcPr>
            <w:tcW w:w="1560" w:type="dxa"/>
            <w:shd w:val="clear" w:color="auto" w:fill="auto"/>
          </w:tcPr>
          <w:p w14:paraId="17BFB533" w14:textId="56111F96" w:rsidR="00813932" w:rsidRPr="00012415" w:rsidRDefault="00813932" w:rsidP="00813932">
            <w:pPr>
              <w:pStyle w:val="TableText"/>
              <w:rPr>
                <w:rFonts w:cs="Arial"/>
              </w:rPr>
            </w:pPr>
            <w:r w:rsidRPr="00012415">
              <w:rPr>
                <w:rFonts w:eastAsia="Times New Roman" w:cs="Arial"/>
                <w:noProof/>
                <w:spacing w:val="-7"/>
                <w:lang w:eastAsia="nl-NL"/>
              </w:rPr>
              <w:t>2.00</w:t>
            </w:r>
          </w:p>
        </w:tc>
        <w:tc>
          <w:tcPr>
            <w:tcW w:w="1289" w:type="dxa"/>
            <w:shd w:val="clear" w:color="auto" w:fill="auto"/>
          </w:tcPr>
          <w:p w14:paraId="7E133AF2" w14:textId="69F5ADF5" w:rsidR="00813932" w:rsidRPr="00012415" w:rsidRDefault="00813932" w:rsidP="00813932">
            <w:pPr>
              <w:pStyle w:val="TableText"/>
              <w:rPr>
                <w:rFonts w:cs="Arial"/>
              </w:rPr>
            </w:pPr>
            <w:r w:rsidRPr="00012415">
              <w:rPr>
                <w:rFonts w:eastAsia="Times New Roman" w:cs="Arial"/>
                <w:noProof/>
                <w:spacing w:val="-7"/>
                <w:lang w:eastAsia="nl-NL"/>
              </w:rPr>
              <w:t>95.00-97.00</w:t>
            </w:r>
          </w:p>
        </w:tc>
      </w:tr>
      <w:tr w:rsidR="00813932" w:rsidRPr="00FB4CEF" w14:paraId="0649808B" w14:textId="42C93F0A" w:rsidTr="00950A7B">
        <w:trPr>
          <w:jc w:val="center"/>
        </w:trPr>
        <w:tc>
          <w:tcPr>
            <w:tcW w:w="2334" w:type="dxa"/>
            <w:shd w:val="clear" w:color="auto" w:fill="auto"/>
          </w:tcPr>
          <w:p w14:paraId="560B431E" w14:textId="0B2D473A" w:rsidR="00813932" w:rsidRPr="00012415" w:rsidRDefault="00813932" w:rsidP="00813932">
            <w:pPr>
              <w:pStyle w:val="TableText"/>
              <w:rPr>
                <w:rFonts w:cs="Arial"/>
              </w:rPr>
            </w:pPr>
            <w:r w:rsidRPr="00012415">
              <w:rPr>
                <w:rFonts w:eastAsia="Times New Roman" w:cs="Arial"/>
                <w:lang w:eastAsia="ar-SA"/>
              </w:rPr>
              <w:t>MgO</w:t>
            </w:r>
          </w:p>
        </w:tc>
        <w:tc>
          <w:tcPr>
            <w:tcW w:w="1394" w:type="dxa"/>
            <w:tcBorders>
              <w:top w:val="nil"/>
              <w:left w:val="nil"/>
              <w:bottom w:val="nil"/>
              <w:right w:val="nil"/>
            </w:tcBorders>
          </w:tcPr>
          <w:p w14:paraId="091AC6BE" w14:textId="3F7FCE22" w:rsidR="00813932" w:rsidRPr="00012415" w:rsidRDefault="00D87D0F" w:rsidP="00813932">
            <w:pPr>
              <w:pStyle w:val="TableText"/>
              <w:rPr>
                <w:rFonts w:cs="Arial"/>
              </w:rPr>
            </w:pPr>
            <w:r w:rsidRPr="00D87D0F">
              <w:rPr>
                <w:rFonts w:cs="Arial"/>
              </w:rPr>
              <w:t>1-4</w:t>
            </w:r>
          </w:p>
        </w:tc>
        <w:tc>
          <w:tcPr>
            <w:tcW w:w="1386" w:type="dxa"/>
            <w:shd w:val="clear" w:color="auto" w:fill="auto"/>
          </w:tcPr>
          <w:p w14:paraId="63472FA1" w14:textId="00DE0A99" w:rsidR="00813932" w:rsidRPr="00012415" w:rsidRDefault="00813932" w:rsidP="00813932">
            <w:pPr>
              <w:pStyle w:val="TableText"/>
              <w:rPr>
                <w:rFonts w:cs="Arial"/>
              </w:rPr>
            </w:pPr>
            <w:r w:rsidRPr="00012415">
              <w:rPr>
                <w:rFonts w:eastAsia="Times New Roman" w:cs="Arial"/>
                <w:lang w:eastAsia="da-DK"/>
              </w:rPr>
              <w:t>2.80</w:t>
            </w:r>
          </w:p>
        </w:tc>
        <w:tc>
          <w:tcPr>
            <w:tcW w:w="1123" w:type="dxa"/>
            <w:shd w:val="clear" w:color="auto" w:fill="auto"/>
          </w:tcPr>
          <w:p w14:paraId="3CFB0DB4" w14:textId="50961F88" w:rsidR="00813932" w:rsidRPr="00012415" w:rsidRDefault="00813932" w:rsidP="00813932">
            <w:pPr>
              <w:pStyle w:val="TableText"/>
              <w:rPr>
                <w:rFonts w:cs="Arial"/>
              </w:rPr>
            </w:pPr>
            <w:r w:rsidRPr="00012415">
              <w:rPr>
                <w:rFonts w:eastAsia="Times New Roman" w:cs="Arial"/>
                <w:noProof/>
                <w:spacing w:val="-7"/>
                <w:lang w:eastAsia="nl-NL"/>
              </w:rPr>
              <w:t>7.74</w:t>
            </w:r>
          </w:p>
        </w:tc>
        <w:tc>
          <w:tcPr>
            <w:tcW w:w="1560" w:type="dxa"/>
            <w:shd w:val="clear" w:color="auto" w:fill="auto"/>
          </w:tcPr>
          <w:p w14:paraId="304805CB" w14:textId="50AE8BD8" w:rsidR="00813932" w:rsidRPr="00012415" w:rsidRDefault="00813932" w:rsidP="00813932">
            <w:pPr>
              <w:pStyle w:val="TableText"/>
              <w:rPr>
                <w:rFonts w:cs="Arial"/>
              </w:rPr>
            </w:pPr>
            <w:r w:rsidRPr="00012415">
              <w:rPr>
                <w:rFonts w:eastAsia="Times New Roman" w:cs="Arial"/>
                <w:noProof/>
                <w:spacing w:val="-7"/>
                <w:lang w:eastAsia="nl-NL"/>
              </w:rPr>
              <w:t>94.00</w:t>
            </w:r>
            <w:r w:rsidR="00950A7B">
              <w:rPr>
                <w:rFonts w:eastAsia="Times New Roman" w:cs="Arial"/>
                <w:noProof/>
                <w:spacing w:val="-7"/>
                <w:lang w:eastAsia="nl-NL"/>
              </w:rPr>
              <w:t xml:space="preserve"> (minimum)</w:t>
            </w:r>
          </w:p>
        </w:tc>
        <w:tc>
          <w:tcPr>
            <w:tcW w:w="1289" w:type="dxa"/>
            <w:shd w:val="clear" w:color="auto" w:fill="auto"/>
          </w:tcPr>
          <w:p w14:paraId="3D84367A" w14:textId="1F1F5A68" w:rsidR="00813932" w:rsidRPr="00012415" w:rsidRDefault="00813932" w:rsidP="00813932">
            <w:pPr>
              <w:pStyle w:val="TableText"/>
              <w:rPr>
                <w:rFonts w:cs="Arial"/>
              </w:rPr>
            </w:pPr>
            <w:r w:rsidRPr="00012415">
              <w:rPr>
                <w:rFonts w:eastAsia="Times New Roman" w:cs="Arial"/>
                <w:noProof/>
                <w:spacing w:val="-7"/>
                <w:lang w:eastAsia="nl-NL"/>
              </w:rPr>
              <w:t>1.40-0.50</w:t>
            </w:r>
          </w:p>
        </w:tc>
      </w:tr>
      <w:tr w:rsidR="00813932" w:rsidRPr="00FB4CEF" w14:paraId="5F375638" w14:textId="142AC9FA" w:rsidTr="00950A7B">
        <w:trPr>
          <w:jc w:val="center"/>
        </w:trPr>
        <w:tc>
          <w:tcPr>
            <w:tcW w:w="2334" w:type="dxa"/>
            <w:shd w:val="clear" w:color="auto" w:fill="auto"/>
          </w:tcPr>
          <w:p w14:paraId="4CD51948" w14:textId="4AF36853" w:rsidR="00813932" w:rsidRPr="00012415" w:rsidRDefault="00813932" w:rsidP="00813932">
            <w:pPr>
              <w:pStyle w:val="TableText"/>
              <w:rPr>
                <w:rFonts w:cs="Arial"/>
              </w:rPr>
            </w:pPr>
            <w:r w:rsidRPr="00012415">
              <w:rPr>
                <w:rFonts w:eastAsia="Times New Roman" w:cs="Arial"/>
                <w:noProof/>
                <w:spacing w:val="-7"/>
                <w:lang w:eastAsia="nl-NL"/>
              </w:rPr>
              <w:t>Fe</w:t>
            </w:r>
            <w:r w:rsidRPr="00012415">
              <w:rPr>
                <w:rFonts w:eastAsia="Times New Roman" w:cs="Arial"/>
                <w:noProof/>
                <w:spacing w:val="-7"/>
                <w:vertAlign w:val="subscript"/>
                <w:lang w:eastAsia="nl-NL"/>
              </w:rPr>
              <w:t>2</w:t>
            </w:r>
            <w:r w:rsidRPr="00012415">
              <w:rPr>
                <w:rFonts w:eastAsia="Times New Roman" w:cs="Arial"/>
                <w:noProof/>
                <w:spacing w:val="-7"/>
                <w:lang w:eastAsia="nl-NL"/>
              </w:rPr>
              <w:t>O</w:t>
            </w:r>
            <w:r w:rsidRPr="00012415">
              <w:rPr>
                <w:rFonts w:eastAsia="Times New Roman" w:cs="Arial"/>
                <w:noProof/>
                <w:spacing w:val="-7"/>
                <w:vertAlign w:val="subscript"/>
                <w:lang w:eastAsia="nl-NL"/>
              </w:rPr>
              <w:t>3</w:t>
            </w:r>
          </w:p>
        </w:tc>
        <w:tc>
          <w:tcPr>
            <w:tcW w:w="1394" w:type="dxa"/>
            <w:tcBorders>
              <w:top w:val="nil"/>
              <w:left w:val="nil"/>
              <w:bottom w:val="nil"/>
              <w:right w:val="nil"/>
            </w:tcBorders>
          </w:tcPr>
          <w:p w14:paraId="2637AF42" w14:textId="77B1E898" w:rsidR="00813932" w:rsidRPr="00012415" w:rsidRDefault="00D87D0F" w:rsidP="00813932">
            <w:pPr>
              <w:pStyle w:val="TableText"/>
              <w:rPr>
                <w:rFonts w:cs="Arial"/>
              </w:rPr>
            </w:pPr>
            <w:r w:rsidRPr="00D87D0F">
              <w:rPr>
                <w:rFonts w:cs="Arial"/>
              </w:rPr>
              <w:t>7-11</w:t>
            </w:r>
          </w:p>
        </w:tc>
        <w:tc>
          <w:tcPr>
            <w:tcW w:w="1386" w:type="dxa"/>
            <w:shd w:val="clear" w:color="auto" w:fill="auto"/>
          </w:tcPr>
          <w:p w14:paraId="414B311F" w14:textId="66EEAED9" w:rsidR="00813932" w:rsidRPr="00012415" w:rsidRDefault="00813932" w:rsidP="00813932">
            <w:pPr>
              <w:pStyle w:val="TableText"/>
              <w:rPr>
                <w:rFonts w:cs="Arial"/>
              </w:rPr>
            </w:pPr>
            <w:r w:rsidRPr="00012415">
              <w:rPr>
                <w:rFonts w:eastAsia="Times New Roman" w:cs="Arial"/>
                <w:lang w:eastAsia="da-DK"/>
              </w:rPr>
              <w:t>0.50</w:t>
            </w:r>
          </w:p>
        </w:tc>
        <w:tc>
          <w:tcPr>
            <w:tcW w:w="1123" w:type="dxa"/>
            <w:shd w:val="clear" w:color="auto" w:fill="auto"/>
          </w:tcPr>
          <w:p w14:paraId="7CA84A4D" w14:textId="122D083E" w:rsidR="00813932" w:rsidRPr="00012415" w:rsidRDefault="00813932" w:rsidP="00813932">
            <w:pPr>
              <w:pStyle w:val="TableText"/>
              <w:rPr>
                <w:rFonts w:cs="Arial"/>
              </w:rPr>
            </w:pPr>
            <w:r w:rsidRPr="00012415">
              <w:rPr>
                <w:rFonts w:eastAsia="Times New Roman" w:cs="Arial"/>
                <w:noProof/>
                <w:spacing w:val="-7"/>
                <w:lang w:eastAsia="nl-NL"/>
              </w:rPr>
              <w:t>0.05</w:t>
            </w:r>
          </w:p>
        </w:tc>
        <w:tc>
          <w:tcPr>
            <w:tcW w:w="1560" w:type="dxa"/>
            <w:shd w:val="clear" w:color="auto" w:fill="auto"/>
          </w:tcPr>
          <w:p w14:paraId="352E0BFA" w14:textId="77777777" w:rsidR="00813932" w:rsidRPr="00012415" w:rsidRDefault="00813932" w:rsidP="00813932">
            <w:pPr>
              <w:pStyle w:val="TableText"/>
              <w:rPr>
                <w:rFonts w:cs="Arial"/>
              </w:rPr>
            </w:pPr>
          </w:p>
        </w:tc>
        <w:tc>
          <w:tcPr>
            <w:tcW w:w="1289" w:type="dxa"/>
            <w:shd w:val="clear" w:color="auto" w:fill="auto"/>
          </w:tcPr>
          <w:p w14:paraId="489345A0" w14:textId="64A1F715" w:rsidR="00813932" w:rsidRPr="00012415" w:rsidRDefault="00813932" w:rsidP="00813932">
            <w:pPr>
              <w:pStyle w:val="TableText"/>
              <w:rPr>
                <w:rFonts w:cs="Arial"/>
              </w:rPr>
            </w:pPr>
            <w:r w:rsidRPr="00012415">
              <w:rPr>
                <w:rFonts w:eastAsia="Times New Roman" w:cs="Arial"/>
                <w:noProof/>
                <w:spacing w:val="-7"/>
                <w:lang w:eastAsia="nl-NL"/>
              </w:rPr>
              <w:t>0.06-0.10</w:t>
            </w:r>
          </w:p>
        </w:tc>
      </w:tr>
      <w:tr w:rsidR="00813932" w:rsidRPr="00FB4CEF" w14:paraId="5AE941D0" w14:textId="54E2E1BE" w:rsidTr="00950A7B">
        <w:trPr>
          <w:jc w:val="center"/>
        </w:trPr>
        <w:tc>
          <w:tcPr>
            <w:tcW w:w="2334" w:type="dxa"/>
            <w:shd w:val="clear" w:color="auto" w:fill="auto"/>
          </w:tcPr>
          <w:p w14:paraId="68F3920F" w14:textId="5ACC3B8C" w:rsidR="00813932" w:rsidRPr="00012415" w:rsidRDefault="00813932" w:rsidP="00813932">
            <w:pPr>
              <w:pStyle w:val="TableText"/>
              <w:rPr>
                <w:rFonts w:cs="Arial"/>
              </w:rPr>
            </w:pPr>
            <w:r w:rsidRPr="00012415">
              <w:rPr>
                <w:rFonts w:eastAsia="Times New Roman" w:cs="Arial"/>
                <w:noProof/>
                <w:spacing w:val="-7"/>
                <w:lang w:eastAsia="nl-NL"/>
              </w:rPr>
              <w:t>Na</w:t>
            </w:r>
            <w:r w:rsidRPr="00012415">
              <w:rPr>
                <w:rFonts w:eastAsia="Times New Roman" w:cs="Arial"/>
                <w:noProof/>
                <w:spacing w:val="-7"/>
                <w:vertAlign w:val="subscript"/>
                <w:lang w:eastAsia="nl-NL"/>
              </w:rPr>
              <w:t>2</w:t>
            </w:r>
            <w:r w:rsidRPr="00012415">
              <w:rPr>
                <w:rFonts w:eastAsia="Times New Roman" w:cs="Arial"/>
                <w:noProof/>
                <w:spacing w:val="-7"/>
                <w:lang w:eastAsia="nl-NL"/>
              </w:rPr>
              <w:t>O</w:t>
            </w:r>
          </w:p>
        </w:tc>
        <w:tc>
          <w:tcPr>
            <w:tcW w:w="1394" w:type="dxa"/>
            <w:tcBorders>
              <w:top w:val="nil"/>
              <w:left w:val="nil"/>
              <w:bottom w:val="nil"/>
              <w:right w:val="nil"/>
            </w:tcBorders>
          </w:tcPr>
          <w:p w14:paraId="633742FB" w14:textId="17D7D6D1" w:rsidR="00813932" w:rsidRPr="00012415" w:rsidRDefault="00D87D0F" w:rsidP="00813932">
            <w:pPr>
              <w:pStyle w:val="TableText"/>
              <w:rPr>
                <w:rFonts w:cs="Arial"/>
              </w:rPr>
            </w:pPr>
            <w:r>
              <w:rPr>
                <w:rFonts w:cs="Arial"/>
              </w:rPr>
              <w:t>1</w:t>
            </w:r>
          </w:p>
        </w:tc>
        <w:tc>
          <w:tcPr>
            <w:tcW w:w="1386" w:type="dxa"/>
            <w:shd w:val="clear" w:color="auto" w:fill="auto"/>
          </w:tcPr>
          <w:p w14:paraId="5A1188D9" w14:textId="307671F2" w:rsidR="00813932" w:rsidRPr="00012415" w:rsidRDefault="00813932" w:rsidP="00813932">
            <w:pPr>
              <w:pStyle w:val="TableText"/>
              <w:rPr>
                <w:rFonts w:cs="Arial"/>
              </w:rPr>
            </w:pPr>
            <w:r w:rsidRPr="00012415">
              <w:rPr>
                <w:rFonts w:eastAsia="Times New Roman" w:cs="Arial"/>
                <w:lang w:eastAsia="da-DK"/>
              </w:rPr>
              <w:t>0.15</w:t>
            </w:r>
          </w:p>
        </w:tc>
        <w:tc>
          <w:tcPr>
            <w:tcW w:w="1123" w:type="dxa"/>
            <w:shd w:val="clear" w:color="auto" w:fill="auto"/>
          </w:tcPr>
          <w:p w14:paraId="6DBBDBB9" w14:textId="134AE4D5" w:rsidR="00813932" w:rsidRPr="00012415" w:rsidRDefault="00813932" w:rsidP="00813932">
            <w:pPr>
              <w:pStyle w:val="TableText"/>
              <w:rPr>
                <w:rFonts w:cs="Arial"/>
              </w:rPr>
            </w:pPr>
            <w:r w:rsidRPr="00012415">
              <w:rPr>
                <w:rFonts w:eastAsia="Times New Roman" w:cs="Arial"/>
                <w:noProof/>
                <w:spacing w:val="-7"/>
                <w:lang w:eastAsia="nl-NL"/>
              </w:rPr>
              <w:t>0.46</w:t>
            </w:r>
          </w:p>
        </w:tc>
        <w:tc>
          <w:tcPr>
            <w:tcW w:w="1560" w:type="dxa"/>
            <w:shd w:val="clear" w:color="auto" w:fill="auto"/>
          </w:tcPr>
          <w:p w14:paraId="65A779B0" w14:textId="77777777" w:rsidR="00813932" w:rsidRPr="00012415" w:rsidRDefault="00813932" w:rsidP="00813932">
            <w:pPr>
              <w:pStyle w:val="TableText"/>
              <w:rPr>
                <w:rFonts w:cs="Arial"/>
              </w:rPr>
            </w:pPr>
          </w:p>
        </w:tc>
        <w:tc>
          <w:tcPr>
            <w:tcW w:w="1289" w:type="dxa"/>
            <w:shd w:val="clear" w:color="auto" w:fill="auto"/>
          </w:tcPr>
          <w:p w14:paraId="1EFB0EF7" w14:textId="77777777" w:rsidR="00813932" w:rsidRPr="00012415" w:rsidRDefault="00813932" w:rsidP="00813932">
            <w:pPr>
              <w:pStyle w:val="TableText"/>
              <w:rPr>
                <w:rFonts w:cs="Arial"/>
              </w:rPr>
            </w:pPr>
          </w:p>
        </w:tc>
      </w:tr>
      <w:tr w:rsidR="00813932" w:rsidRPr="00FB4CEF" w14:paraId="5C58F1D0" w14:textId="2079E483" w:rsidTr="00950A7B">
        <w:trPr>
          <w:jc w:val="center"/>
        </w:trPr>
        <w:tc>
          <w:tcPr>
            <w:tcW w:w="2334" w:type="dxa"/>
            <w:shd w:val="clear" w:color="auto" w:fill="auto"/>
          </w:tcPr>
          <w:p w14:paraId="418EC146" w14:textId="121B03FB" w:rsidR="00813932" w:rsidRPr="00012415" w:rsidRDefault="00813932" w:rsidP="00813932">
            <w:pPr>
              <w:pStyle w:val="TableText"/>
              <w:rPr>
                <w:rFonts w:cs="Arial"/>
              </w:rPr>
            </w:pPr>
            <w:r w:rsidRPr="00012415">
              <w:rPr>
                <w:rFonts w:eastAsia="Times New Roman" w:cs="Arial"/>
                <w:noProof/>
                <w:spacing w:val="-7"/>
                <w:lang w:eastAsia="nl-NL"/>
              </w:rPr>
              <w:t>K</w:t>
            </w:r>
            <w:r w:rsidRPr="00012415">
              <w:rPr>
                <w:rFonts w:eastAsia="Times New Roman" w:cs="Arial"/>
                <w:noProof/>
                <w:spacing w:val="-7"/>
                <w:vertAlign w:val="subscript"/>
                <w:lang w:eastAsia="nl-NL"/>
              </w:rPr>
              <w:t>2</w:t>
            </w:r>
            <w:r w:rsidRPr="00012415">
              <w:rPr>
                <w:rFonts w:eastAsia="Times New Roman" w:cs="Arial"/>
                <w:noProof/>
                <w:spacing w:val="-7"/>
                <w:lang w:eastAsia="nl-NL"/>
              </w:rPr>
              <w:t>O</w:t>
            </w:r>
          </w:p>
        </w:tc>
        <w:tc>
          <w:tcPr>
            <w:tcW w:w="1394" w:type="dxa"/>
            <w:tcBorders>
              <w:top w:val="nil"/>
              <w:left w:val="nil"/>
              <w:bottom w:val="nil"/>
              <w:right w:val="nil"/>
            </w:tcBorders>
          </w:tcPr>
          <w:p w14:paraId="1C9965CF" w14:textId="3D5369B0" w:rsidR="00813932" w:rsidRPr="00012415" w:rsidRDefault="00D87D0F" w:rsidP="00813932">
            <w:pPr>
              <w:pStyle w:val="TableText"/>
              <w:rPr>
                <w:rFonts w:cs="Arial"/>
              </w:rPr>
            </w:pPr>
            <w:r w:rsidRPr="00D87D0F">
              <w:rPr>
                <w:rFonts w:cs="Arial"/>
              </w:rPr>
              <w:t>3-4</w:t>
            </w:r>
          </w:p>
        </w:tc>
        <w:tc>
          <w:tcPr>
            <w:tcW w:w="1386" w:type="dxa"/>
            <w:shd w:val="clear" w:color="auto" w:fill="auto"/>
          </w:tcPr>
          <w:p w14:paraId="43E385B3" w14:textId="26FDA177" w:rsidR="00813932" w:rsidRPr="00012415" w:rsidRDefault="00813932" w:rsidP="00813932">
            <w:pPr>
              <w:pStyle w:val="TableText"/>
              <w:rPr>
                <w:rFonts w:cs="Arial"/>
              </w:rPr>
            </w:pPr>
            <w:r w:rsidRPr="00012415">
              <w:rPr>
                <w:rFonts w:eastAsia="Times New Roman" w:cs="Arial"/>
                <w:lang w:eastAsia="da-DK"/>
              </w:rPr>
              <w:t>0.20</w:t>
            </w:r>
          </w:p>
        </w:tc>
        <w:tc>
          <w:tcPr>
            <w:tcW w:w="1123" w:type="dxa"/>
            <w:shd w:val="clear" w:color="auto" w:fill="auto"/>
          </w:tcPr>
          <w:p w14:paraId="0A8CF328" w14:textId="7AA91453" w:rsidR="00813932" w:rsidRPr="00012415" w:rsidRDefault="00813932" w:rsidP="00813932">
            <w:pPr>
              <w:pStyle w:val="TableText"/>
              <w:rPr>
                <w:rFonts w:cs="Arial"/>
              </w:rPr>
            </w:pPr>
            <w:r w:rsidRPr="00012415">
              <w:rPr>
                <w:rFonts w:eastAsia="Times New Roman" w:cs="Arial"/>
                <w:noProof/>
                <w:spacing w:val="-7"/>
                <w:lang w:eastAsia="nl-NL"/>
              </w:rPr>
              <w:t>0.55</w:t>
            </w:r>
          </w:p>
        </w:tc>
        <w:tc>
          <w:tcPr>
            <w:tcW w:w="1560" w:type="dxa"/>
            <w:shd w:val="clear" w:color="auto" w:fill="auto"/>
          </w:tcPr>
          <w:p w14:paraId="0BFA5D2F" w14:textId="77777777" w:rsidR="00813932" w:rsidRPr="00012415" w:rsidRDefault="00813932" w:rsidP="00813932">
            <w:pPr>
              <w:pStyle w:val="TableText"/>
              <w:rPr>
                <w:rFonts w:cs="Arial"/>
              </w:rPr>
            </w:pPr>
          </w:p>
        </w:tc>
        <w:tc>
          <w:tcPr>
            <w:tcW w:w="1289" w:type="dxa"/>
            <w:shd w:val="clear" w:color="auto" w:fill="auto"/>
          </w:tcPr>
          <w:p w14:paraId="7F4033B4" w14:textId="77777777" w:rsidR="00813932" w:rsidRPr="00012415" w:rsidRDefault="00813932" w:rsidP="00813932">
            <w:pPr>
              <w:pStyle w:val="TableText"/>
              <w:rPr>
                <w:rFonts w:cs="Arial"/>
              </w:rPr>
            </w:pPr>
          </w:p>
        </w:tc>
      </w:tr>
      <w:tr w:rsidR="00813932" w:rsidRPr="00FB4CEF" w14:paraId="4D9ADCD6" w14:textId="5D0C707B" w:rsidTr="00950A7B">
        <w:trPr>
          <w:jc w:val="center"/>
        </w:trPr>
        <w:tc>
          <w:tcPr>
            <w:tcW w:w="2334" w:type="dxa"/>
            <w:shd w:val="clear" w:color="auto" w:fill="auto"/>
          </w:tcPr>
          <w:p w14:paraId="5B419FD0" w14:textId="58F0591E" w:rsidR="00813932" w:rsidRPr="00012415" w:rsidRDefault="00813932" w:rsidP="00813932">
            <w:pPr>
              <w:pStyle w:val="TableText"/>
              <w:rPr>
                <w:rFonts w:cs="Arial"/>
              </w:rPr>
            </w:pPr>
            <w:r w:rsidRPr="00012415">
              <w:rPr>
                <w:rFonts w:eastAsia="Times New Roman" w:cs="Arial"/>
                <w:noProof/>
                <w:spacing w:val="-7"/>
                <w:lang w:eastAsia="nl-NL"/>
              </w:rPr>
              <w:t>SO</w:t>
            </w:r>
            <w:r w:rsidRPr="00012415">
              <w:rPr>
                <w:rFonts w:eastAsia="Times New Roman" w:cs="Arial"/>
                <w:noProof/>
                <w:spacing w:val="-7"/>
                <w:vertAlign w:val="subscript"/>
                <w:lang w:eastAsia="nl-NL"/>
              </w:rPr>
              <w:t>3</w:t>
            </w:r>
          </w:p>
        </w:tc>
        <w:tc>
          <w:tcPr>
            <w:tcW w:w="1394" w:type="dxa"/>
            <w:tcBorders>
              <w:top w:val="nil"/>
              <w:left w:val="nil"/>
              <w:bottom w:val="nil"/>
              <w:right w:val="nil"/>
            </w:tcBorders>
          </w:tcPr>
          <w:p w14:paraId="7F9CD3F0" w14:textId="689314A3" w:rsidR="00813932" w:rsidRPr="00012415" w:rsidRDefault="00D87D0F" w:rsidP="00813932">
            <w:pPr>
              <w:pStyle w:val="TableText"/>
              <w:rPr>
                <w:rFonts w:cs="Arial"/>
              </w:rPr>
            </w:pPr>
            <w:r w:rsidRPr="00D87D0F">
              <w:rPr>
                <w:rFonts w:cs="Arial"/>
              </w:rPr>
              <w:t>0.8</w:t>
            </w:r>
          </w:p>
        </w:tc>
        <w:tc>
          <w:tcPr>
            <w:tcW w:w="1386" w:type="dxa"/>
            <w:shd w:val="clear" w:color="auto" w:fill="auto"/>
          </w:tcPr>
          <w:p w14:paraId="3E7B952D" w14:textId="4A1AC62F" w:rsidR="00813932" w:rsidRPr="00012415" w:rsidRDefault="00813932" w:rsidP="00813932">
            <w:pPr>
              <w:pStyle w:val="TableText"/>
              <w:rPr>
                <w:rFonts w:cs="Arial"/>
              </w:rPr>
            </w:pPr>
            <w:r w:rsidRPr="00012415">
              <w:rPr>
                <w:rFonts w:eastAsia="Times New Roman" w:cs="Arial"/>
                <w:lang w:eastAsia="da-DK"/>
              </w:rPr>
              <w:t>0.48</w:t>
            </w:r>
          </w:p>
        </w:tc>
        <w:tc>
          <w:tcPr>
            <w:tcW w:w="1123" w:type="dxa"/>
            <w:shd w:val="clear" w:color="auto" w:fill="auto"/>
          </w:tcPr>
          <w:p w14:paraId="2616A3E9" w14:textId="10BD6078" w:rsidR="00813932" w:rsidRPr="00012415" w:rsidRDefault="00813932" w:rsidP="00813932">
            <w:pPr>
              <w:pStyle w:val="TableText"/>
              <w:rPr>
                <w:rFonts w:cs="Arial"/>
              </w:rPr>
            </w:pPr>
            <w:r w:rsidRPr="00012415">
              <w:rPr>
                <w:rFonts w:eastAsia="Times New Roman" w:cs="Arial"/>
                <w:noProof/>
                <w:spacing w:val="-7"/>
                <w:lang w:eastAsia="nl-NL"/>
              </w:rPr>
              <w:t>0.21</w:t>
            </w:r>
          </w:p>
        </w:tc>
        <w:tc>
          <w:tcPr>
            <w:tcW w:w="1560" w:type="dxa"/>
            <w:shd w:val="clear" w:color="auto" w:fill="auto"/>
          </w:tcPr>
          <w:p w14:paraId="039DDCCB" w14:textId="77777777" w:rsidR="00813932" w:rsidRPr="00012415" w:rsidRDefault="00813932" w:rsidP="00813932">
            <w:pPr>
              <w:pStyle w:val="TableText"/>
              <w:rPr>
                <w:rFonts w:cs="Arial"/>
              </w:rPr>
            </w:pPr>
          </w:p>
        </w:tc>
        <w:tc>
          <w:tcPr>
            <w:tcW w:w="1289" w:type="dxa"/>
            <w:shd w:val="clear" w:color="auto" w:fill="auto"/>
          </w:tcPr>
          <w:p w14:paraId="414414B2" w14:textId="77777777" w:rsidR="00813932" w:rsidRPr="00012415" w:rsidRDefault="00813932" w:rsidP="00813932">
            <w:pPr>
              <w:pStyle w:val="TableText"/>
              <w:rPr>
                <w:rFonts w:cs="Arial"/>
              </w:rPr>
            </w:pPr>
          </w:p>
        </w:tc>
      </w:tr>
      <w:tr w:rsidR="00813932" w:rsidRPr="00FB4CEF" w14:paraId="456CF211" w14:textId="6BDACDB9" w:rsidTr="00950A7B">
        <w:trPr>
          <w:jc w:val="center"/>
        </w:trPr>
        <w:tc>
          <w:tcPr>
            <w:tcW w:w="2334" w:type="dxa"/>
            <w:shd w:val="clear" w:color="auto" w:fill="auto"/>
          </w:tcPr>
          <w:p w14:paraId="4916EA9D" w14:textId="33DC5BB5" w:rsidR="00813932" w:rsidRPr="00012415" w:rsidRDefault="00813932" w:rsidP="00813932">
            <w:pPr>
              <w:pStyle w:val="TableText"/>
              <w:rPr>
                <w:rFonts w:cs="Arial"/>
              </w:rPr>
            </w:pPr>
            <w:r w:rsidRPr="00012415">
              <w:rPr>
                <w:rFonts w:eastAsia="Times New Roman" w:cs="Arial"/>
                <w:noProof/>
                <w:spacing w:val="-7"/>
                <w:lang w:eastAsia="nl-NL"/>
              </w:rPr>
              <w:t>P</w:t>
            </w:r>
            <w:r w:rsidRPr="00012415">
              <w:rPr>
                <w:rFonts w:eastAsia="Times New Roman" w:cs="Arial"/>
                <w:noProof/>
                <w:spacing w:val="-7"/>
                <w:vertAlign w:val="subscript"/>
                <w:lang w:eastAsia="nl-NL"/>
              </w:rPr>
              <w:t>2</w:t>
            </w:r>
            <w:r w:rsidRPr="00012415">
              <w:rPr>
                <w:rFonts w:eastAsia="Times New Roman" w:cs="Arial"/>
                <w:noProof/>
                <w:spacing w:val="-7"/>
                <w:lang w:eastAsia="nl-NL"/>
              </w:rPr>
              <w:t>O</w:t>
            </w:r>
            <w:r w:rsidRPr="00012415">
              <w:rPr>
                <w:rFonts w:eastAsia="Times New Roman" w:cs="Arial"/>
                <w:noProof/>
                <w:spacing w:val="-7"/>
                <w:vertAlign w:val="subscript"/>
                <w:lang w:eastAsia="nl-NL"/>
              </w:rPr>
              <w:t>5</w:t>
            </w:r>
          </w:p>
        </w:tc>
        <w:tc>
          <w:tcPr>
            <w:tcW w:w="1394" w:type="dxa"/>
            <w:tcBorders>
              <w:top w:val="nil"/>
              <w:left w:val="nil"/>
              <w:bottom w:val="nil"/>
              <w:right w:val="nil"/>
            </w:tcBorders>
          </w:tcPr>
          <w:p w14:paraId="0F335FF5" w14:textId="73B26633" w:rsidR="00813932" w:rsidRPr="00012415" w:rsidRDefault="00813932" w:rsidP="00813932">
            <w:pPr>
              <w:pStyle w:val="TableText"/>
              <w:rPr>
                <w:rFonts w:cs="Arial"/>
              </w:rPr>
            </w:pPr>
          </w:p>
        </w:tc>
        <w:tc>
          <w:tcPr>
            <w:tcW w:w="1386" w:type="dxa"/>
            <w:shd w:val="clear" w:color="auto" w:fill="auto"/>
          </w:tcPr>
          <w:p w14:paraId="40F4E217" w14:textId="1A2F4984" w:rsidR="00813932" w:rsidRPr="00012415" w:rsidRDefault="00813932" w:rsidP="00813932">
            <w:pPr>
              <w:pStyle w:val="TableText"/>
              <w:rPr>
                <w:rFonts w:cs="Arial"/>
              </w:rPr>
            </w:pPr>
            <w:r w:rsidRPr="00012415">
              <w:rPr>
                <w:rFonts w:eastAsia="Times New Roman" w:cs="Arial"/>
                <w:lang w:eastAsia="da-DK"/>
              </w:rPr>
              <w:t>0.17</w:t>
            </w:r>
          </w:p>
        </w:tc>
        <w:tc>
          <w:tcPr>
            <w:tcW w:w="1123" w:type="dxa"/>
            <w:shd w:val="clear" w:color="auto" w:fill="auto"/>
          </w:tcPr>
          <w:p w14:paraId="0D926D04" w14:textId="23241D81" w:rsidR="00813932" w:rsidRPr="00012415" w:rsidRDefault="00813932" w:rsidP="00813932">
            <w:pPr>
              <w:pStyle w:val="TableText"/>
              <w:rPr>
                <w:rFonts w:cs="Arial"/>
              </w:rPr>
            </w:pPr>
          </w:p>
        </w:tc>
        <w:tc>
          <w:tcPr>
            <w:tcW w:w="1560" w:type="dxa"/>
            <w:shd w:val="clear" w:color="auto" w:fill="auto"/>
          </w:tcPr>
          <w:p w14:paraId="63C63D43" w14:textId="77777777" w:rsidR="00813932" w:rsidRPr="00012415" w:rsidRDefault="00813932" w:rsidP="00813932">
            <w:pPr>
              <w:pStyle w:val="TableText"/>
              <w:rPr>
                <w:rFonts w:cs="Arial"/>
              </w:rPr>
            </w:pPr>
          </w:p>
        </w:tc>
        <w:tc>
          <w:tcPr>
            <w:tcW w:w="1289" w:type="dxa"/>
            <w:shd w:val="clear" w:color="auto" w:fill="auto"/>
          </w:tcPr>
          <w:p w14:paraId="441322F9" w14:textId="77777777" w:rsidR="00813932" w:rsidRPr="00012415" w:rsidRDefault="00813932" w:rsidP="00813932">
            <w:pPr>
              <w:pStyle w:val="TableText"/>
              <w:rPr>
                <w:rFonts w:cs="Arial"/>
              </w:rPr>
            </w:pPr>
          </w:p>
        </w:tc>
      </w:tr>
      <w:tr w:rsidR="00813932" w:rsidRPr="00FB4CEF" w14:paraId="10C85B14" w14:textId="2D319289" w:rsidTr="00950A7B">
        <w:trPr>
          <w:jc w:val="center"/>
        </w:trPr>
        <w:tc>
          <w:tcPr>
            <w:tcW w:w="2334" w:type="dxa"/>
            <w:shd w:val="clear" w:color="auto" w:fill="auto"/>
          </w:tcPr>
          <w:p w14:paraId="7F8F582E" w14:textId="3427BD03" w:rsidR="00813932" w:rsidRPr="00012415" w:rsidRDefault="00813932" w:rsidP="00813932">
            <w:pPr>
              <w:pStyle w:val="TableText"/>
              <w:rPr>
                <w:rFonts w:cs="Arial"/>
              </w:rPr>
            </w:pPr>
            <w:r w:rsidRPr="00012415">
              <w:rPr>
                <w:rFonts w:eastAsia="Times New Roman" w:cs="Arial"/>
                <w:noProof/>
                <w:spacing w:val="-7"/>
                <w:lang w:eastAsia="nl-NL"/>
              </w:rPr>
              <w:t>TiO</w:t>
            </w:r>
            <w:r w:rsidRPr="00012415">
              <w:rPr>
                <w:rFonts w:eastAsia="Times New Roman" w:cs="Arial"/>
                <w:noProof/>
                <w:spacing w:val="-7"/>
                <w:vertAlign w:val="subscript"/>
                <w:lang w:eastAsia="nl-NL"/>
              </w:rPr>
              <w:t>2</w:t>
            </w:r>
          </w:p>
        </w:tc>
        <w:tc>
          <w:tcPr>
            <w:tcW w:w="1394" w:type="dxa"/>
            <w:tcBorders>
              <w:top w:val="nil"/>
              <w:left w:val="nil"/>
              <w:bottom w:val="nil"/>
              <w:right w:val="nil"/>
            </w:tcBorders>
          </w:tcPr>
          <w:p w14:paraId="3936CD07" w14:textId="3EBD330C" w:rsidR="00813932" w:rsidRPr="00012415" w:rsidRDefault="00D87D0F" w:rsidP="00813932">
            <w:pPr>
              <w:pStyle w:val="TableText"/>
              <w:rPr>
                <w:rFonts w:cs="Arial"/>
              </w:rPr>
            </w:pPr>
            <w:r>
              <w:rPr>
                <w:rFonts w:cs="Arial"/>
              </w:rPr>
              <w:t>1</w:t>
            </w:r>
          </w:p>
        </w:tc>
        <w:tc>
          <w:tcPr>
            <w:tcW w:w="1386" w:type="dxa"/>
            <w:shd w:val="clear" w:color="auto" w:fill="auto"/>
          </w:tcPr>
          <w:p w14:paraId="06646A2D" w14:textId="1C3496D2" w:rsidR="00813932" w:rsidRPr="00012415" w:rsidRDefault="00813932" w:rsidP="00813932">
            <w:pPr>
              <w:pStyle w:val="TableText"/>
              <w:rPr>
                <w:rFonts w:cs="Arial"/>
              </w:rPr>
            </w:pPr>
            <w:r w:rsidRPr="00012415">
              <w:rPr>
                <w:rFonts w:eastAsia="Times New Roman" w:cs="Arial"/>
                <w:lang w:eastAsia="da-DK"/>
              </w:rPr>
              <w:t>0.20</w:t>
            </w:r>
          </w:p>
        </w:tc>
        <w:tc>
          <w:tcPr>
            <w:tcW w:w="1123" w:type="dxa"/>
            <w:shd w:val="clear" w:color="auto" w:fill="auto"/>
          </w:tcPr>
          <w:p w14:paraId="5549F1A6" w14:textId="288ABC6C" w:rsidR="00813932" w:rsidRPr="00012415" w:rsidRDefault="00813932" w:rsidP="00813932">
            <w:pPr>
              <w:pStyle w:val="TableText"/>
              <w:rPr>
                <w:rFonts w:cs="Arial"/>
              </w:rPr>
            </w:pPr>
          </w:p>
        </w:tc>
        <w:tc>
          <w:tcPr>
            <w:tcW w:w="1560" w:type="dxa"/>
            <w:shd w:val="clear" w:color="auto" w:fill="auto"/>
          </w:tcPr>
          <w:p w14:paraId="0DAEE698" w14:textId="77777777" w:rsidR="00813932" w:rsidRPr="00012415" w:rsidRDefault="00813932" w:rsidP="00813932">
            <w:pPr>
              <w:pStyle w:val="TableText"/>
              <w:rPr>
                <w:rFonts w:cs="Arial"/>
              </w:rPr>
            </w:pPr>
          </w:p>
        </w:tc>
        <w:tc>
          <w:tcPr>
            <w:tcW w:w="1289" w:type="dxa"/>
            <w:shd w:val="clear" w:color="auto" w:fill="auto"/>
          </w:tcPr>
          <w:p w14:paraId="61CF50B5" w14:textId="77777777" w:rsidR="00813932" w:rsidRPr="00012415" w:rsidRDefault="00813932" w:rsidP="00813932">
            <w:pPr>
              <w:pStyle w:val="TableText"/>
              <w:rPr>
                <w:rFonts w:cs="Arial"/>
              </w:rPr>
            </w:pPr>
          </w:p>
        </w:tc>
      </w:tr>
      <w:tr w:rsidR="00813932" w:rsidRPr="00FB4CEF" w14:paraId="63B2ED69" w14:textId="69581FC5" w:rsidTr="00950A7B">
        <w:trPr>
          <w:jc w:val="center"/>
        </w:trPr>
        <w:tc>
          <w:tcPr>
            <w:tcW w:w="2334" w:type="dxa"/>
            <w:tcBorders>
              <w:bottom w:val="nil"/>
            </w:tcBorders>
            <w:shd w:val="clear" w:color="auto" w:fill="auto"/>
          </w:tcPr>
          <w:p w14:paraId="715AC5B6" w14:textId="33B08CA7" w:rsidR="00813932" w:rsidRPr="00012415" w:rsidRDefault="00813932" w:rsidP="00813932">
            <w:pPr>
              <w:pStyle w:val="TableText"/>
              <w:rPr>
                <w:rFonts w:cs="Arial"/>
              </w:rPr>
            </w:pPr>
            <w:r w:rsidRPr="00012415">
              <w:rPr>
                <w:rFonts w:eastAsia="Times New Roman" w:cs="Arial"/>
                <w:noProof/>
                <w:spacing w:val="-7"/>
                <w:lang w:eastAsia="nl-NL"/>
              </w:rPr>
              <w:t xml:space="preserve">SrO </w:t>
            </w:r>
          </w:p>
        </w:tc>
        <w:tc>
          <w:tcPr>
            <w:tcW w:w="1394" w:type="dxa"/>
            <w:tcBorders>
              <w:top w:val="nil"/>
              <w:left w:val="nil"/>
              <w:bottom w:val="nil"/>
              <w:right w:val="nil"/>
            </w:tcBorders>
          </w:tcPr>
          <w:p w14:paraId="425FC0D7" w14:textId="1E07AD30" w:rsidR="00813932" w:rsidRPr="00012415" w:rsidRDefault="00813932" w:rsidP="00813932">
            <w:pPr>
              <w:pStyle w:val="TableText"/>
              <w:rPr>
                <w:rFonts w:cs="Arial"/>
              </w:rPr>
            </w:pPr>
          </w:p>
        </w:tc>
        <w:tc>
          <w:tcPr>
            <w:tcW w:w="1386" w:type="dxa"/>
            <w:tcBorders>
              <w:bottom w:val="nil"/>
            </w:tcBorders>
            <w:shd w:val="clear" w:color="auto" w:fill="auto"/>
          </w:tcPr>
          <w:p w14:paraId="6E75DD55" w14:textId="49C28A8A" w:rsidR="00813932" w:rsidRPr="00012415" w:rsidRDefault="00813932" w:rsidP="00813932">
            <w:pPr>
              <w:pStyle w:val="TableText"/>
              <w:rPr>
                <w:rFonts w:cs="Arial"/>
              </w:rPr>
            </w:pPr>
            <w:r w:rsidRPr="00012415">
              <w:rPr>
                <w:rFonts w:eastAsia="Times New Roman" w:cs="Arial"/>
                <w:lang w:eastAsia="da-DK"/>
              </w:rPr>
              <w:t>0.09</w:t>
            </w:r>
          </w:p>
        </w:tc>
        <w:tc>
          <w:tcPr>
            <w:tcW w:w="1123" w:type="dxa"/>
            <w:tcBorders>
              <w:bottom w:val="nil"/>
            </w:tcBorders>
            <w:shd w:val="clear" w:color="auto" w:fill="auto"/>
          </w:tcPr>
          <w:p w14:paraId="3AB8EEEE" w14:textId="4749AF11" w:rsidR="00813932" w:rsidRPr="00012415" w:rsidRDefault="00813932" w:rsidP="00813932">
            <w:pPr>
              <w:pStyle w:val="TableText"/>
              <w:rPr>
                <w:rFonts w:cs="Arial"/>
              </w:rPr>
            </w:pPr>
          </w:p>
        </w:tc>
        <w:tc>
          <w:tcPr>
            <w:tcW w:w="1560" w:type="dxa"/>
            <w:tcBorders>
              <w:bottom w:val="nil"/>
            </w:tcBorders>
            <w:shd w:val="clear" w:color="auto" w:fill="auto"/>
          </w:tcPr>
          <w:p w14:paraId="3175BB4A" w14:textId="77777777" w:rsidR="00813932" w:rsidRPr="00012415" w:rsidRDefault="00813932" w:rsidP="00813932">
            <w:pPr>
              <w:pStyle w:val="TableText"/>
              <w:rPr>
                <w:rFonts w:cs="Arial"/>
              </w:rPr>
            </w:pPr>
          </w:p>
        </w:tc>
        <w:tc>
          <w:tcPr>
            <w:tcW w:w="1289" w:type="dxa"/>
            <w:tcBorders>
              <w:bottom w:val="nil"/>
            </w:tcBorders>
            <w:shd w:val="clear" w:color="auto" w:fill="auto"/>
          </w:tcPr>
          <w:p w14:paraId="74C7B79B" w14:textId="77777777" w:rsidR="00813932" w:rsidRPr="00012415" w:rsidRDefault="00813932" w:rsidP="00813932">
            <w:pPr>
              <w:pStyle w:val="TableText"/>
              <w:rPr>
                <w:rFonts w:cs="Arial"/>
              </w:rPr>
            </w:pPr>
          </w:p>
        </w:tc>
      </w:tr>
      <w:tr w:rsidR="00813932" w:rsidRPr="00FB4CEF" w14:paraId="227F4662" w14:textId="2CDBBCDB" w:rsidTr="00950A7B">
        <w:trPr>
          <w:jc w:val="center"/>
        </w:trPr>
        <w:tc>
          <w:tcPr>
            <w:tcW w:w="2334" w:type="dxa"/>
            <w:tcBorders>
              <w:top w:val="nil"/>
              <w:bottom w:val="nil"/>
            </w:tcBorders>
            <w:shd w:val="clear" w:color="auto" w:fill="auto"/>
          </w:tcPr>
          <w:p w14:paraId="624AC3E3" w14:textId="777020A8" w:rsidR="00813932" w:rsidRPr="00012415" w:rsidRDefault="00813932" w:rsidP="00813932">
            <w:pPr>
              <w:pStyle w:val="TableText"/>
              <w:rPr>
                <w:rFonts w:cs="Arial"/>
              </w:rPr>
            </w:pPr>
            <w:r w:rsidRPr="00012415">
              <w:rPr>
                <w:rFonts w:eastAsia="Times New Roman" w:cs="Arial"/>
                <w:noProof/>
                <w:spacing w:val="-7"/>
                <w:lang w:eastAsia="nl-NL"/>
              </w:rPr>
              <w:t>MnO</w:t>
            </w:r>
          </w:p>
        </w:tc>
        <w:tc>
          <w:tcPr>
            <w:tcW w:w="1394" w:type="dxa"/>
            <w:tcBorders>
              <w:top w:val="nil"/>
              <w:left w:val="nil"/>
              <w:bottom w:val="nil"/>
              <w:right w:val="nil"/>
            </w:tcBorders>
          </w:tcPr>
          <w:p w14:paraId="6949C722" w14:textId="278BCB41" w:rsidR="00813932" w:rsidRPr="00012415" w:rsidRDefault="00813932" w:rsidP="00813932">
            <w:pPr>
              <w:pStyle w:val="TableText"/>
              <w:rPr>
                <w:rFonts w:cs="Arial"/>
              </w:rPr>
            </w:pPr>
          </w:p>
        </w:tc>
        <w:tc>
          <w:tcPr>
            <w:tcW w:w="1386" w:type="dxa"/>
            <w:tcBorders>
              <w:top w:val="nil"/>
              <w:bottom w:val="nil"/>
            </w:tcBorders>
            <w:shd w:val="clear" w:color="auto" w:fill="auto"/>
          </w:tcPr>
          <w:p w14:paraId="4E69643A" w14:textId="29A2F6F2" w:rsidR="00813932" w:rsidRPr="00012415" w:rsidRDefault="00813932" w:rsidP="00813932">
            <w:pPr>
              <w:pStyle w:val="TableText"/>
              <w:rPr>
                <w:rFonts w:cs="Arial"/>
              </w:rPr>
            </w:pPr>
            <w:r w:rsidRPr="00012415">
              <w:rPr>
                <w:rFonts w:eastAsia="Times New Roman" w:cs="Arial"/>
                <w:lang w:eastAsia="da-DK"/>
              </w:rPr>
              <w:t>0.02</w:t>
            </w:r>
          </w:p>
        </w:tc>
        <w:tc>
          <w:tcPr>
            <w:tcW w:w="1123" w:type="dxa"/>
            <w:tcBorders>
              <w:top w:val="nil"/>
              <w:bottom w:val="nil"/>
            </w:tcBorders>
            <w:shd w:val="clear" w:color="auto" w:fill="auto"/>
          </w:tcPr>
          <w:p w14:paraId="3C36EF18" w14:textId="6BE86353" w:rsidR="00813932" w:rsidRPr="00012415" w:rsidRDefault="00813932" w:rsidP="00813932">
            <w:pPr>
              <w:pStyle w:val="TableText"/>
              <w:rPr>
                <w:rFonts w:cs="Arial"/>
              </w:rPr>
            </w:pPr>
          </w:p>
        </w:tc>
        <w:tc>
          <w:tcPr>
            <w:tcW w:w="1560" w:type="dxa"/>
            <w:tcBorders>
              <w:top w:val="nil"/>
              <w:bottom w:val="nil"/>
            </w:tcBorders>
            <w:shd w:val="clear" w:color="auto" w:fill="auto"/>
          </w:tcPr>
          <w:p w14:paraId="4278B63B" w14:textId="77777777" w:rsidR="00813932" w:rsidRPr="00012415" w:rsidRDefault="00813932" w:rsidP="00813932">
            <w:pPr>
              <w:pStyle w:val="TableText"/>
              <w:rPr>
                <w:rFonts w:cs="Arial"/>
              </w:rPr>
            </w:pPr>
          </w:p>
        </w:tc>
        <w:tc>
          <w:tcPr>
            <w:tcW w:w="1289" w:type="dxa"/>
            <w:tcBorders>
              <w:top w:val="nil"/>
              <w:bottom w:val="nil"/>
            </w:tcBorders>
            <w:shd w:val="clear" w:color="auto" w:fill="auto"/>
          </w:tcPr>
          <w:p w14:paraId="04E8E7AB" w14:textId="77777777" w:rsidR="00813932" w:rsidRPr="00012415" w:rsidRDefault="00813932" w:rsidP="00813932">
            <w:pPr>
              <w:pStyle w:val="TableText"/>
              <w:rPr>
                <w:rFonts w:cs="Arial"/>
              </w:rPr>
            </w:pPr>
          </w:p>
        </w:tc>
      </w:tr>
      <w:tr w:rsidR="00813932" w:rsidRPr="00FB4CEF" w14:paraId="76DB3E5C" w14:textId="760C30E2" w:rsidTr="00950A7B">
        <w:trPr>
          <w:jc w:val="center"/>
        </w:trPr>
        <w:tc>
          <w:tcPr>
            <w:tcW w:w="2334" w:type="dxa"/>
            <w:tcBorders>
              <w:top w:val="nil"/>
              <w:bottom w:val="nil"/>
            </w:tcBorders>
            <w:shd w:val="clear" w:color="auto" w:fill="auto"/>
          </w:tcPr>
          <w:p w14:paraId="07BBEF34" w14:textId="0E09AE0D" w:rsidR="00813932" w:rsidRPr="00012415" w:rsidRDefault="00813932" w:rsidP="00813932">
            <w:pPr>
              <w:pStyle w:val="TableText"/>
              <w:rPr>
                <w:rFonts w:cs="Arial"/>
              </w:rPr>
            </w:pPr>
            <w:r w:rsidRPr="00012415">
              <w:rPr>
                <w:rFonts w:eastAsia="Times New Roman" w:cs="Arial"/>
                <w:noProof/>
                <w:spacing w:val="-7"/>
                <w:lang w:eastAsia="nl-NL"/>
              </w:rPr>
              <w:t>BaO</w:t>
            </w:r>
          </w:p>
        </w:tc>
        <w:tc>
          <w:tcPr>
            <w:tcW w:w="1394" w:type="dxa"/>
            <w:tcBorders>
              <w:top w:val="nil"/>
              <w:left w:val="nil"/>
              <w:bottom w:val="nil"/>
              <w:right w:val="nil"/>
            </w:tcBorders>
          </w:tcPr>
          <w:p w14:paraId="4FD449F3" w14:textId="390134A9" w:rsidR="00813932" w:rsidRPr="00012415" w:rsidRDefault="00813932" w:rsidP="00813932">
            <w:pPr>
              <w:pStyle w:val="TableText"/>
              <w:rPr>
                <w:rFonts w:cs="Arial"/>
              </w:rPr>
            </w:pPr>
          </w:p>
        </w:tc>
        <w:tc>
          <w:tcPr>
            <w:tcW w:w="1386" w:type="dxa"/>
            <w:tcBorders>
              <w:top w:val="nil"/>
              <w:bottom w:val="nil"/>
            </w:tcBorders>
            <w:shd w:val="clear" w:color="auto" w:fill="auto"/>
          </w:tcPr>
          <w:p w14:paraId="1E25C1A0" w14:textId="5F0F5C0D" w:rsidR="00813932" w:rsidRPr="00012415" w:rsidRDefault="00813932" w:rsidP="00813932">
            <w:pPr>
              <w:pStyle w:val="TableText"/>
              <w:rPr>
                <w:rFonts w:cs="Arial"/>
              </w:rPr>
            </w:pPr>
            <w:r w:rsidRPr="00012415">
              <w:rPr>
                <w:rFonts w:eastAsia="Times New Roman" w:cs="Arial"/>
                <w:noProof/>
                <w:spacing w:val="-7"/>
                <w:lang w:eastAsia="nl-NL"/>
              </w:rPr>
              <w:t>0.04</w:t>
            </w:r>
          </w:p>
        </w:tc>
        <w:tc>
          <w:tcPr>
            <w:tcW w:w="1123" w:type="dxa"/>
            <w:tcBorders>
              <w:top w:val="nil"/>
              <w:bottom w:val="nil"/>
            </w:tcBorders>
            <w:shd w:val="clear" w:color="auto" w:fill="auto"/>
          </w:tcPr>
          <w:p w14:paraId="2981E281" w14:textId="6B4B4C44" w:rsidR="00813932" w:rsidRPr="00012415" w:rsidRDefault="00813932" w:rsidP="00813932">
            <w:pPr>
              <w:pStyle w:val="TableText"/>
              <w:rPr>
                <w:rFonts w:cs="Arial"/>
              </w:rPr>
            </w:pPr>
          </w:p>
        </w:tc>
        <w:tc>
          <w:tcPr>
            <w:tcW w:w="1560" w:type="dxa"/>
            <w:tcBorders>
              <w:top w:val="nil"/>
              <w:bottom w:val="nil"/>
            </w:tcBorders>
            <w:shd w:val="clear" w:color="auto" w:fill="auto"/>
          </w:tcPr>
          <w:p w14:paraId="408962F3" w14:textId="77777777" w:rsidR="00813932" w:rsidRPr="00012415" w:rsidRDefault="00813932" w:rsidP="00813932">
            <w:pPr>
              <w:pStyle w:val="TableText"/>
              <w:rPr>
                <w:rFonts w:cs="Arial"/>
              </w:rPr>
            </w:pPr>
          </w:p>
        </w:tc>
        <w:tc>
          <w:tcPr>
            <w:tcW w:w="1289" w:type="dxa"/>
            <w:tcBorders>
              <w:top w:val="nil"/>
              <w:bottom w:val="nil"/>
            </w:tcBorders>
            <w:shd w:val="clear" w:color="auto" w:fill="auto"/>
          </w:tcPr>
          <w:p w14:paraId="4CBC3CEC" w14:textId="77777777" w:rsidR="00813932" w:rsidRPr="00012415" w:rsidRDefault="00813932" w:rsidP="00813932">
            <w:pPr>
              <w:pStyle w:val="TableText"/>
              <w:rPr>
                <w:rFonts w:cs="Arial"/>
              </w:rPr>
            </w:pPr>
          </w:p>
        </w:tc>
      </w:tr>
      <w:tr w:rsidR="00813932" w:rsidRPr="00FB4CEF" w14:paraId="509B7B09" w14:textId="6C79F615" w:rsidTr="00950A7B">
        <w:trPr>
          <w:jc w:val="center"/>
        </w:trPr>
        <w:tc>
          <w:tcPr>
            <w:tcW w:w="2334" w:type="dxa"/>
            <w:tcBorders>
              <w:top w:val="nil"/>
              <w:bottom w:val="nil"/>
            </w:tcBorders>
            <w:shd w:val="clear" w:color="auto" w:fill="auto"/>
          </w:tcPr>
          <w:p w14:paraId="06FA628F" w14:textId="2466E890" w:rsidR="00813932" w:rsidRPr="00012415" w:rsidRDefault="00813932" w:rsidP="00813932">
            <w:pPr>
              <w:pStyle w:val="TableText"/>
              <w:rPr>
                <w:rFonts w:cs="Arial"/>
              </w:rPr>
            </w:pPr>
            <w:r w:rsidRPr="00012415">
              <w:rPr>
                <w:rFonts w:eastAsia="Times New Roman" w:cs="Arial"/>
                <w:noProof/>
                <w:spacing w:val="-7"/>
                <w:lang w:eastAsia="nl-NL"/>
              </w:rPr>
              <w:t>Li</w:t>
            </w:r>
            <w:r w:rsidRPr="00012415">
              <w:rPr>
                <w:rFonts w:eastAsia="Times New Roman" w:cs="Arial"/>
                <w:noProof/>
                <w:spacing w:val="-7"/>
                <w:vertAlign w:val="subscript"/>
                <w:lang w:eastAsia="nl-NL"/>
              </w:rPr>
              <w:t>2</w:t>
            </w:r>
            <w:r w:rsidRPr="00012415">
              <w:rPr>
                <w:rFonts w:eastAsia="Times New Roman" w:cs="Arial"/>
                <w:noProof/>
                <w:spacing w:val="-7"/>
                <w:lang w:eastAsia="nl-NL"/>
              </w:rPr>
              <w:t>O</w:t>
            </w:r>
          </w:p>
        </w:tc>
        <w:tc>
          <w:tcPr>
            <w:tcW w:w="1394" w:type="dxa"/>
            <w:tcBorders>
              <w:top w:val="nil"/>
              <w:left w:val="nil"/>
              <w:bottom w:val="nil"/>
              <w:right w:val="nil"/>
            </w:tcBorders>
          </w:tcPr>
          <w:p w14:paraId="4EA3CC82" w14:textId="77777777" w:rsidR="00813932" w:rsidRPr="00012415" w:rsidRDefault="00813932" w:rsidP="00813932">
            <w:pPr>
              <w:pStyle w:val="TableText"/>
              <w:rPr>
                <w:rFonts w:cs="Arial"/>
              </w:rPr>
            </w:pPr>
          </w:p>
        </w:tc>
        <w:tc>
          <w:tcPr>
            <w:tcW w:w="1386" w:type="dxa"/>
            <w:tcBorders>
              <w:top w:val="nil"/>
              <w:bottom w:val="nil"/>
            </w:tcBorders>
            <w:shd w:val="clear" w:color="auto" w:fill="auto"/>
          </w:tcPr>
          <w:p w14:paraId="7CE978C8" w14:textId="42B9BBF9" w:rsidR="00813932" w:rsidRPr="00012415" w:rsidRDefault="00813932" w:rsidP="00813932">
            <w:pPr>
              <w:pStyle w:val="TableText"/>
              <w:rPr>
                <w:rFonts w:cs="Arial"/>
              </w:rPr>
            </w:pPr>
            <w:r w:rsidRPr="00012415">
              <w:rPr>
                <w:rFonts w:eastAsia="Times New Roman" w:cs="Arial"/>
                <w:noProof/>
                <w:spacing w:val="-7"/>
                <w:lang w:eastAsia="nl-NL"/>
              </w:rPr>
              <w:t>0.01</w:t>
            </w:r>
          </w:p>
        </w:tc>
        <w:tc>
          <w:tcPr>
            <w:tcW w:w="1123" w:type="dxa"/>
            <w:tcBorders>
              <w:top w:val="nil"/>
              <w:bottom w:val="nil"/>
            </w:tcBorders>
            <w:shd w:val="clear" w:color="auto" w:fill="auto"/>
          </w:tcPr>
          <w:p w14:paraId="23CB7D87" w14:textId="77777777" w:rsidR="00813932" w:rsidRPr="00012415" w:rsidRDefault="00813932" w:rsidP="00813932">
            <w:pPr>
              <w:pStyle w:val="TableText"/>
              <w:rPr>
                <w:rFonts w:cs="Arial"/>
              </w:rPr>
            </w:pPr>
          </w:p>
        </w:tc>
        <w:tc>
          <w:tcPr>
            <w:tcW w:w="1560" w:type="dxa"/>
            <w:tcBorders>
              <w:top w:val="nil"/>
              <w:bottom w:val="nil"/>
            </w:tcBorders>
            <w:shd w:val="clear" w:color="auto" w:fill="auto"/>
          </w:tcPr>
          <w:p w14:paraId="04D96478" w14:textId="77777777" w:rsidR="00813932" w:rsidRPr="00012415" w:rsidRDefault="00813932" w:rsidP="00813932">
            <w:pPr>
              <w:pStyle w:val="TableText"/>
              <w:rPr>
                <w:rFonts w:cs="Arial"/>
              </w:rPr>
            </w:pPr>
          </w:p>
        </w:tc>
        <w:tc>
          <w:tcPr>
            <w:tcW w:w="1289" w:type="dxa"/>
            <w:tcBorders>
              <w:top w:val="nil"/>
              <w:bottom w:val="nil"/>
            </w:tcBorders>
            <w:shd w:val="clear" w:color="auto" w:fill="auto"/>
          </w:tcPr>
          <w:p w14:paraId="1DE2875B" w14:textId="77777777" w:rsidR="00813932" w:rsidRPr="00012415" w:rsidRDefault="00813932" w:rsidP="00813932">
            <w:pPr>
              <w:pStyle w:val="TableText"/>
              <w:rPr>
                <w:rFonts w:cs="Arial"/>
              </w:rPr>
            </w:pPr>
          </w:p>
        </w:tc>
      </w:tr>
      <w:tr w:rsidR="00813932" w:rsidRPr="00FB4CEF" w14:paraId="29736245" w14:textId="166F6E20" w:rsidTr="00950A7B">
        <w:trPr>
          <w:jc w:val="center"/>
        </w:trPr>
        <w:tc>
          <w:tcPr>
            <w:tcW w:w="2334" w:type="dxa"/>
            <w:tcBorders>
              <w:top w:val="nil"/>
            </w:tcBorders>
            <w:shd w:val="clear" w:color="auto" w:fill="auto"/>
          </w:tcPr>
          <w:p w14:paraId="4E75F2AD" w14:textId="1AF4ACDD" w:rsidR="00813932" w:rsidRPr="00012415" w:rsidRDefault="00813932" w:rsidP="00813932">
            <w:pPr>
              <w:pStyle w:val="TableText"/>
              <w:rPr>
                <w:rFonts w:cs="Arial"/>
              </w:rPr>
            </w:pPr>
            <w:r w:rsidRPr="00012415">
              <w:rPr>
                <w:rFonts w:eastAsia="Times New Roman" w:cs="Arial"/>
                <w:noProof/>
                <w:lang w:eastAsia="nl-NL"/>
              </w:rPr>
              <w:t>Refractory oxides (R</w:t>
            </w:r>
            <w:r w:rsidRPr="00012415">
              <w:rPr>
                <w:rFonts w:eastAsia="Times New Roman" w:cs="Arial"/>
                <w:noProof/>
                <w:vertAlign w:val="subscript"/>
                <w:lang w:eastAsia="nl-NL"/>
              </w:rPr>
              <w:t>2</w:t>
            </w:r>
            <w:r w:rsidRPr="00012415">
              <w:rPr>
                <w:rFonts w:eastAsia="Times New Roman" w:cs="Arial"/>
                <w:noProof/>
                <w:lang w:eastAsia="nl-NL"/>
              </w:rPr>
              <w:t>O</w:t>
            </w:r>
            <w:r w:rsidRPr="00012415">
              <w:rPr>
                <w:rFonts w:eastAsia="Times New Roman" w:cs="Arial"/>
                <w:noProof/>
                <w:vertAlign w:val="subscript"/>
                <w:lang w:eastAsia="nl-NL"/>
              </w:rPr>
              <w:t>3</w:t>
            </w:r>
            <w:r w:rsidRPr="00012415">
              <w:rPr>
                <w:rFonts w:eastAsia="Times New Roman" w:cs="Arial"/>
                <w:noProof/>
                <w:lang w:eastAsia="nl-NL"/>
              </w:rPr>
              <w:t>)</w:t>
            </w:r>
          </w:p>
        </w:tc>
        <w:tc>
          <w:tcPr>
            <w:tcW w:w="1394" w:type="dxa"/>
            <w:tcBorders>
              <w:top w:val="nil"/>
              <w:left w:val="nil"/>
              <w:bottom w:val="single" w:sz="4" w:space="0" w:color="auto"/>
              <w:right w:val="nil"/>
            </w:tcBorders>
          </w:tcPr>
          <w:p w14:paraId="1DEBBDA7" w14:textId="77777777" w:rsidR="00813932" w:rsidRPr="00012415" w:rsidRDefault="00813932" w:rsidP="00813932">
            <w:pPr>
              <w:pStyle w:val="TableText"/>
              <w:rPr>
                <w:rFonts w:cs="Arial"/>
              </w:rPr>
            </w:pPr>
          </w:p>
        </w:tc>
        <w:tc>
          <w:tcPr>
            <w:tcW w:w="1386" w:type="dxa"/>
            <w:tcBorders>
              <w:top w:val="nil"/>
            </w:tcBorders>
            <w:shd w:val="clear" w:color="auto" w:fill="auto"/>
          </w:tcPr>
          <w:p w14:paraId="77D76B3C" w14:textId="77777777" w:rsidR="00813932" w:rsidRPr="00012415" w:rsidRDefault="00813932" w:rsidP="00813932">
            <w:pPr>
              <w:pStyle w:val="TableText"/>
              <w:rPr>
                <w:rFonts w:cs="Arial"/>
              </w:rPr>
            </w:pPr>
          </w:p>
        </w:tc>
        <w:tc>
          <w:tcPr>
            <w:tcW w:w="1123" w:type="dxa"/>
            <w:tcBorders>
              <w:top w:val="nil"/>
            </w:tcBorders>
            <w:shd w:val="clear" w:color="auto" w:fill="auto"/>
          </w:tcPr>
          <w:p w14:paraId="1E39C626" w14:textId="77777777" w:rsidR="00813932" w:rsidRPr="00012415" w:rsidRDefault="00813932" w:rsidP="00813932">
            <w:pPr>
              <w:pStyle w:val="TableText"/>
              <w:rPr>
                <w:rFonts w:cs="Arial"/>
              </w:rPr>
            </w:pPr>
          </w:p>
        </w:tc>
        <w:tc>
          <w:tcPr>
            <w:tcW w:w="1560" w:type="dxa"/>
            <w:tcBorders>
              <w:top w:val="nil"/>
            </w:tcBorders>
            <w:shd w:val="clear" w:color="auto" w:fill="auto"/>
          </w:tcPr>
          <w:p w14:paraId="6C6D9E50" w14:textId="6A6D0F41" w:rsidR="00813932" w:rsidRPr="00012415" w:rsidRDefault="00813932" w:rsidP="00813932">
            <w:pPr>
              <w:pStyle w:val="TableText"/>
              <w:rPr>
                <w:rFonts w:cs="Arial"/>
              </w:rPr>
            </w:pPr>
            <w:r w:rsidRPr="00012415">
              <w:rPr>
                <w:rFonts w:eastAsia="Times New Roman" w:cs="Arial"/>
                <w:lang w:eastAsia="da-DK"/>
              </w:rPr>
              <w:t>0.70</w:t>
            </w:r>
          </w:p>
        </w:tc>
        <w:tc>
          <w:tcPr>
            <w:tcW w:w="1289" w:type="dxa"/>
            <w:tcBorders>
              <w:top w:val="nil"/>
            </w:tcBorders>
            <w:shd w:val="clear" w:color="auto" w:fill="auto"/>
          </w:tcPr>
          <w:p w14:paraId="4BE080B7" w14:textId="77777777" w:rsidR="00813932" w:rsidRPr="00012415" w:rsidRDefault="00813932" w:rsidP="00813932">
            <w:pPr>
              <w:pStyle w:val="TableText"/>
              <w:rPr>
                <w:rFonts w:cs="Arial"/>
              </w:rPr>
            </w:pPr>
          </w:p>
        </w:tc>
      </w:tr>
    </w:tbl>
    <w:p w14:paraId="5BE4F201" w14:textId="77777777" w:rsidR="00C67A6B" w:rsidRDefault="00C67A6B" w:rsidP="00D03959"/>
    <w:p w14:paraId="56DA092E" w14:textId="6B25C057" w:rsidR="0082651C" w:rsidRDefault="0082651C" w:rsidP="00D03959">
      <w:r>
        <w:t>T</w:t>
      </w:r>
      <w:r w:rsidR="0060445F">
        <w:t xml:space="preserve">he specimens were prepared </w:t>
      </w:r>
      <w:r w:rsidR="00C82DC1">
        <w:t>so that</w:t>
      </w:r>
      <w:r w:rsidR="00DA33DF">
        <w:t xml:space="preserve"> </w:t>
      </w:r>
      <w:r w:rsidR="00DA33DF" w:rsidRPr="00257EDE">
        <w:t xml:space="preserve">conditions </w:t>
      </w:r>
      <w:r w:rsidR="00EB6E5D">
        <w:t xml:space="preserve">are </w:t>
      </w:r>
      <w:r w:rsidR="00EB6E5D" w:rsidRPr="00257EDE">
        <w:t xml:space="preserve">most favourable </w:t>
      </w:r>
      <w:r w:rsidR="00DA33DF" w:rsidRPr="00257EDE">
        <w:t xml:space="preserve">for the formation of </w:t>
      </w:r>
      <w:r w:rsidR="00C82DC1">
        <w:t>expansive minerals</w:t>
      </w:r>
      <w:r w:rsidR="0060445F">
        <w:t xml:space="preserve">. Namely, </w:t>
      </w:r>
      <w:r>
        <w:t xml:space="preserve">a) </w:t>
      </w:r>
      <w:r w:rsidR="00813932" w:rsidRPr="00257EDE">
        <w:t xml:space="preserve">low </w:t>
      </w:r>
      <w:r w:rsidR="00EB6E5D">
        <w:t xml:space="preserve">compaction </w:t>
      </w:r>
      <w:r w:rsidR="00813932" w:rsidRPr="00257EDE">
        <w:t>water contents</w:t>
      </w:r>
      <w:r w:rsidR="00EB6E5D">
        <w:t>,</w:t>
      </w:r>
      <w:r w:rsidR="00C82DC1">
        <w:t xml:space="preserve"> </w:t>
      </w:r>
      <w:r w:rsidR="00EB6E5D">
        <w:t xml:space="preserve">adopting </w:t>
      </w:r>
      <w:r w:rsidRPr="00D03959">
        <w:t>a constant liquidity index of IL=-0.05</w:t>
      </w:r>
      <w:r w:rsidR="00C82DC1" w:rsidRPr="00C82DC1">
        <w:t xml:space="preserve"> </w:t>
      </w:r>
      <w:r w:rsidR="00C82DC1">
        <w:t>for all soil mixtures t</w:t>
      </w:r>
      <w:r w:rsidR="00C82DC1" w:rsidRPr="00D03959">
        <w:t>o maintain the same consistency across samples</w:t>
      </w:r>
      <w:r w:rsidR="00C82DC1">
        <w:t>; this IL is</w:t>
      </w:r>
      <w:r w:rsidRPr="00D03959">
        <w:t xml:space="preserve"> below the Proctor optimum –</w:t>
      </w:r>
      <w:r w:rsidR="00C82DC1">
        <w:t>which is</w:t>
      </w:r>
      <w:r w:rsidRPr="00D03959">
        <w:t xml:space="preserve"> around the plastic limit-</w:t>
      </w:r>
      <w:r w:rsidR="00C82DC1">
        <w:t>, thus</w:t>
      </w:r>
      <w:r w:rsidRPr="00D03959">
        <w:t xml:space="preserve"> more critical for expansion due to sulphates (Harris et al, 2004)</w:t>
      </w:r>
      <w:r w:rsidR="00C82DC1">
        <w:t>;</w:t>
      </w:r>
      <w:r w:rsidR="00813932" w:rsidRPr="00257EDE">
        <w:t xml:space="preserve"> </w:t>
      </w:r>
      <w:r>
        <w:t xml:space="preserve">b) </w:t>
      </w:r>
      <w:r w:rsidR="00813932" w:rsidRPr="00257EDE">
        <w:t>short mellowing periods</w:t>
      </w:r>
      <w:r w:rsidRPr="0082651C">
        <w:t xml:space="preserve"> </w:t>
      </w:r>
      <w:r>
        <w:t>of 1h</w:t>
      </w:r>
      <w:r w:rsidR="00EB6E5D">
        <w:t xml:space="preserve">; c) </w:t>
      </w:r>
      <w:r w:rsidR="00CB2A7E">
        <w:t xml:space="preserve">a high </w:t>
      </w:r>
      <w:r w:rsidR="00EB6E5D">
        <w:t>compaction</w:t>
      </w:r>
      <w:r>
        <w:t xml:space="preserve"> </w:t>
      </w:r>
      <w:r w:rsidR="00CB2A7E">
        <w:t xml:space="preserve">dry </w:t>
      </w:r>
      <w:r w:rsidRPr="00257EDE">
        <w:t>density</w:t>
      </w:r>
      <w:r w:rsidR="006724B7">
        <w:t xml:space="preserve"> for the clay</w:t>
      </w:r>
      <w:r>
        <w:t>, i.e. 1.4 g/cm</w:t>
      </w:r>
      <w:r w:rsidRPr="00EB6E5D">
        <w:rPr>
          <w:vertAlign w:val="superscript"/>
        </w:rPr>
        <w:t>3</w:t>
      </w:r>
      <w:r>
        <w:t>;</w:t>
      </w:r>
      <w:r w:rsidR="00EB6E5D">
        <w:t xml:space="preserve"> d)</w:t>
      </w:r>
      <w:r>
        <w:t xml:space="preserve"> application of stabilisers in one dose</w:t>
      </w:r>
      <w:r w:rsidR="00C82DC1">
        <w:t>.</w:t>
      </w:r>
    </w:p>
    <w:p w14:paraId="7FABEC82" w14:textId="77777777" w:rsidR="0060445F" w:rsidRDefault="0060445F" w:rsidP="00D03959"/>
    <w:p w14:paraId="04EF7EE0" w14:textId="5A1FFDE8" w:rsidR="00D03959" w:rsidRDefault="00A01DD3" w:rsidP="00D03959">
      <w:r w:rsidRPr="00A01DD3">
        <w:t xml:space="preserve">After mellowing for </w:t>
      </w:r>
      <w:r w:rsidR="00A9037E">
        <w:t>1</w:t>
      </w:r>
      <w:r w:rsidRPr="00A01DD3">
        <w:t xml:space="preserve"> hour</w:t>
      </w:r>
      <w:r w:rsidR="00A9037E">
        <w:t>,</w:t>
      </w:r>
      <w:r w:rsidRPr="00A01DD3">
        <w:t xml:space="preserve"> cylindrical specimens of </w:t>
      </w:r>
      <w:r>
        <w:t>50</w:t>
      </w:r>
      <w:r w:rsidRPr="00A01DD3">
        <w:t xml:space="preserve"> mm diameter</w:t>
      </w:r>
      <w:r>
        <w:t xml:space="preserve"> and 10</w:t>
      </w:r>
      <w:r w:rsidRPr="00A01DD3">
        <w:t>0mm height were statically compacted at the required water content</w:t>
      </w:r>
      <w:r>
        <w:t xml:space="preserve"> and dry density</w:t>
      </w:r>
      <w:r w:rsidRPr="00A01DD3">
        <w:t xml:space="preserve"> in equal layers, using a monotonic displacement rate of 1mm/min</w:t>
      </w:r>
      <w:r>
        <w:t xml:space="preserve">. </w:t>
      </w:r>
      <w:r w:rsidR="00D03959" w:rsidRPr="00D03959">
        <w:t>S</w:t>
      </w:r>
      <w:r>
        <w:t>pecimens still</w:t>
      </w:r>
      <w:r w:rsidR="00D03959" w:rsidRPr="00D03959">
        <w:t xml:space="preserve"> in moulds were </w:t>
      </w:r>
      <w:r w:rsidR="006724B7">
        <w:t xml:space="preserve">wrapped in several layers of cling film and </w:t>
      </w:r>
      <w:r w:rsidR="006E6DF0">
        <w:t xml:space="preserve">cured at constant moisture in an environmental cabinet (with temperature and humidity control) for the required period of time, i.e. </w:t>
      </w:r>
      <w:r w:rsidR="006E6DF0" w:rsidRPr="00D03959">
        <w:t>7 and 28 days</w:t>
      </w:r>
      <w:r w:rsidR="006E6DF0">
        <w:t xml:space="preserve">. After </w:t>
      </w:r>
      <w:r w:rsidR="006724B7">
        <w:t xml:space="preserve">constant moisture </w:t>
      </w:r>
      <w:r w:rsidR="006E6DF0">
        <w:t xml:space="preserve">curing, </w:t>
      </w:r>
      <w:r w:rsidR="006724B7">
        <w:t xml:space="preserve">and </w:t>
      </w:r>
      <w:r w:rsidR="006E6DF0">
        <w:t>while still in the cabinet, the</w:t>
      </w:r>
      <w:r w:rsidR="006724B7">
        <w:t xml:space="preserve"> specimens</w:t>
      </w:r>
      <w:r w:rsidR="006E6DF0">
        <w:t xml:space="preserve"> </w:t>
      </w:r>
      <w:r w:rsidR="006724B7">
        <w:t xml:space="preserve">(still in moulds) </w:t>
      </w:r>
      <w:r w:rsidR="006E6DF0">
        <w:t>were</w:t>
      </w:r>
      <w:r w:rsidR="006724B7">
        <w:t xml:space="preserve"> placed</w:t>
      </w:r>
      <w:r w:rsidR="00D03959" w:rsidRPr="00D03959">
        <w:t xml:space="preserve"> </w:t>
      </w:r>
      <w:r w:rsidR="006724B7">
        <w:t xml:space="preserve">on porous stones </w:t>
      </w:r>
      <w:r w:rsidR="00D03959" w:rsidRPr="00D03959">
        <w:t xml:space="preserve">in </w:t>
      </w:r>
      <w:r w:rsidR="006724B7">
        <w:t xml:space="preserve">a tray of </w:t>
      </w:r>
      <w:r w:rsidR="00D03959" w:rsidRPr="00D03959">
        <w:t xml:space="preserve">water </w:t>
      </w:r>
      <w:r w:rsidR="006724B7">
        <w:t xml:space="preserve">where they </w:t>
      </w:r>
      <w:r w:rsidR="006724B7">
        <w:lastRenderedPageBreak/>
        <w:t xml:space="preserve">remained </w:t>
      </w:r>
      <w:r w:rsidR="006E6DF0" w:rsidRPr="00D03959">
        <w:t>for 1½ months (to cause delayed migration of water)</w:t>
      </w:r>
      <w:r w:rsidR="006724B7">
        <w:t>; during this period</w:t>
      </w:r>
      <w:r w:rsidR="006E6DF0">
        <w:t xml:space="preserve"> </w:t>
      </w:r>
      <w:r w:rsidR="00D03959" w:rsidRPr="00D03959">
        <w:t>the s</w:t>
      </w:r>
      <w:r w:rsidR="006E6DF0">
        <w:t>pecimen</w:t>
      </w:r>
      <w:r w:rsidR="00D03959" w:rsidRPr="00D03959">
        <w:t xml:space="preserve"> swelling ΔH </w:t>
      </w:r>
      <w:r w:rsidR="006E6DF0">
        <w:t>was recorded</w:t>
      </w:r>
      <w:r w:rsidR="006724B7">
        <w:t xml:space="preserve"> using external dial gauges mounted at the top of the specimens</w:t>
      </w:r>
      <w:r w:rsidR="006E6DF0">
        <w:t xml:space="preserve">. </w:t>
      </w:r>
    </w:p>
    <w:p w14:paraId="63780A64" w14:textId="77777777" w:rsidR="001A0C81" w:rsidRDefault="001A0C81" w:rsidP="00D03959"/>
    <w:p w14:paraId="7C70459A" w14:textId="25EECE4A" w:rsidR="001A0C81" w:rsidRDefault="001A0C81" w:rsidP="001A0C81">
      <w:pPr>
        <w:jc w:val="center"/>
      </w:pPr>
      <w:r w:rsidRPr="001A0C81">
        <w:rPr>
          <w:noProof/>
        </w:rPr>
        <w:drawing>
          <wp:inline distT="0" distB="0" distL="0" distR="0" wp14:anchorId="143F2917" wp14:editId="615863B4">
            <wp:extent cx="3716197" cy="179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6310" cy="1816447"/>
                    </a:xfrm>
                    <a:prstGeom prst="rect">
                      <a:avLst/>
                    </a:prstGeom>
                  </pic:spPr>
                </pic:pic>
              </a:graphicData>
            </a:graphic>
          </wp:inline>
        </w:drawing>
      </w:r>
    </w:p>
    <w:p w14:paraId="556CBA48" w14:textId="07344767" w:rsidR="001A0C81" w:rsidRPr="001A0C81" w:rsidRDefault="001A0C81" w:rsidP="001A0C81">
      <w:pPr>
        <w:jc w:val="center"/>
        <w:rPr>
          <w:b/>
        </w:rPr>
      </w:pPr>
      <w:r w:rsidRPr="001A0C81">
        <w:rPr>
          <w:b/>
        </w:rPr>
        <w:t xml:space="preserve">Figure 1. </w:t>
      </w:r>
      <w:r>
        <w:rPr>
          <w:b/>
        </w:rPr>
        <w:t>Particle size distribution of the kaolin soil and stabilisers</w:t>
      </w:r>
    </w:p>
    <w:p w14:paraId="2FFC9285" w14:textId="2D39A404" w:rsidR="002C3D69" w:rsidRPr="00B2690C" w:rsidRDefault="00D03959" w:rsidP="00CF0787">
      <w:pPr>
        <w:pStyle w:val="Heading1"/>
      </w:pPr>
      <w:r>
        <w:t xml:space="preserve">Results </w:t>
      </w:r>
    </w:p>
    <w:p w14:paraId="44075A77" w14:textId="471AB551" w:rsidR="00386BB3" w:rsidRDefault="00D03959" w:rsidP="00D03959">
      <w:r w:rsidRPr="00D03959">
        <w:t xml:space="preserve">Table </w:t>
      </w:r>
      <w:r w:rsidR="0082651C">
        <w:t>2</w:t>
      </w:r>
      <w:r w:rsidRPr="00D03959">
        <w:t xml:space="preserve"> shows </w:t>
      </w:r>
      <w:r w:rsidR="0082651C">
        <w:t>p</w:t>
      </w:r>
      <w:r w:rsidR="0082651C" w:rsidRPr="00D03959">
        <w:t xml:space="preserve">lasticity </w:t>
      </w:r>
      <w:r w:rsidR="0082651C">
        <w:t>characteristics of the untreated and treated soils</w:t>
      </w:r>
      <w:r w:rsidR="0082651C" w:rsidRPr="00D03959">
        <w:t xml:space="preserve"> (at 1 h of mellowing)</w:t>
      </w:r>
      <w:r w:rsidR="0082651C">
        <w:t>.</w:t>
      </w:r>
      <w:r w:rsidR="0082651C" w:rsidRPr="00D03959">
        <w:t xml:space="preserve"> </w:t>
      </w:r>
      <w:r w:rsidRPr="00D03959">
        <w:t>All stabilisers increased the liquid limit of the untreated soil, consistently with observations on lime-stabilised kaolinitic clay soils (Bell, 1996). Regarding unconfined compressive strength q</w:t>
      </w:r>
      <w:r w:rsidRPr="00D03959">
        <w:rPr>
          <w:vertAlign w:val="subscript"/>
        </w:rPr>
        <w:t>u</w:t>
      </w:r>
      <w:r w:rsidRPr="00D03959">
        <w:t xml:space="preserve"> and swelling ΔH of water immersed samples, </w:t>
      </w:r>
      <w:r w:rsidR="0082651C">
        <w:t xml:space="preserve">Figures </w:t>
      </w:r>
      <w:r w:rsidR="001A0C81">
        <w:t>2</w:t>
      </w:r>
      <w:r w:rsidR="0082651C">
        <w:t xml:space="preserve"> and 3 show </w:t>
      </w:r>
      <w:r w:rsidR="0082651C" w:rsidRPr="00D03959">
        <w:t xml:space="preserve">a summary of average values from at least duplicate samples (some tests were replicated in duplicate later). </w:t>
      </w:r>
      <w:r w:rsidR="0082651C">
        <w:t xml:space="preserve">Based on these, </w:t>
      </w:r>
      <w:r w:rsidRPr="00D03959">
        <w:t>there are indications that</w:t>
      </w:r>
      <w:r w:rsidR="0082651C">
        <w:t>:</w:t>
      </w:r>
      <w:r w:rsidRPr="00D03959">
        <w:t xml:space="preserve"> a) PSA, rich in CaO, may perform better than lime, presumably due to its aluminosilicates content; b) GGBS improved the performance of lime but not as much that of PSA; c) PFA used at low proportions is not as effective as GGBS, failing to give higher strengths and resulting in higher expansions; d) MgO at high dosages gives relatively high strengths and low swelling but when used in combination with GGBS the results start worsen with higher GGBS dosages presumably due to the calcium in GGBS; e) most 28 day cured samples showed lower strengths than 7-day treated samples as hypothesised. However, the UCS results should be treated with caution as visual observations showed that no stabiliser mix prevented deleterious reactions, as </w:t>
      </w:r>
      <w:r w:rsidR="00773DE6">
        <w:t xml:space="preserve">salt </w:t>
      </w:r>
      <w:r w:rsidRPr="00D03959">
        <w:t xml:space="preserve">crystals formed on the top of all samples (including purely MgO treated </w:t>
      </w:r>
      <w:r w:rsidR="00773DE6">
        <w:t xml:space="preserve">specimens, where magnesium sulphate crystals clearly appear to have formed, see Fig </w:t>
      </w:r>
      <w:r w:rsidR="001A0C81">
        <w:t>4</w:t>
      </w:r>
      <w:r w:rsidRPr="00D03959">
        <w:t>) so that s</w:t>
      </w:r>
      <w:r w:rsidR="00773DE6">
        <w:t>pecimens</w:t>
      </w:r>
      <w:r w:rsidRPr="00D03959">
        <w:t xml:space="preserve"> were cracked before UCS testing</w:t>
      </w:r>
      <w:r w:rsidR="003279D5">
        <w:t xml:space="preserve"> (see Fig. </w:t>
      </w:r>
      <w:r w:rsidR="001A0C81">
        <w:t>4</w:t>
      </w:r>
      <w:r w:rsidR="003279D5">
        <w:t>)</w:t>
      </w:r>
      <w:r w:rsidR="00773DE6">
        <w:t>; the adopted compaction characteristics could have contributed to this</w:t>
      </w:r>
      <w:r w:rsidRPr="00D03959">
        <w:t xml:space="preserve">. </w:t>
      </w:r>
      <w:r w:rsidR="00773DE6">
        <w:t>As a result of this</w:t>
      </w:r>
      <w:r w:rsidR="001B68EE">
        <w:t>,</w:t>
      </w:r>
      <w:r w:rsidRPr="00D03959">
        <w:t xml:space="preserve"> there could be large discrepancies in the values of q</w:t>
      </w:r>
      <w:r w:rsidRPr="00D03959">
        <w:rPr>
          <w:vertAlign w:val="subscript"/>
        </w:rPr>
        <w:t>u</w:t>
      </w:r>
      <w:r w:rsidRPr="00D03959">
        <w:t xml:space="preserve"> (with some outliers discarded being up to 4 times higher than the mean values shown), presumably depending on the crack pattern.</w:t>
      </w:r>
    </w:p>
    <w:p w14:paraId="5E9AC6C9" w14:textId="43D1A843" w:rsidR="00E51AEB" w:rsidRPr="00FB4CEF" w:rsidRDefault="00E51AEB" w:rsidP="00E51AEB">
      <w:pPr>
        <w:pStyle w:val="TableCaption"/>
      </w:pPr>
      <w:bookmarkStart w:id="1" w:name="_Hlk67747437"/>
      <w:r w:rsidRPr="00FB4CEF">
        <w:t xml:space="preserve">Table </w:t>
      </w:r>
      <w:r w:rsidR="00813932">
        <w:t>2</w:t>
      </w:r>
      <w:r w:rsidRPr="00FB4CEF">
        <w:t xml:space="preserve">. </w:t>
      </w:r>
      <w:r>
        <w:t>Plasticity characteristics of the soil before and after treatments</w:t>
      </w:r>
    </w:p>
    <w:tbl>
      <w:tblPr>
        <w:tblW w:w="8405" w:type="dxa"/>
        <w:jc w:val="center"/>
        <w:tblBorders>
          <w:top w:val="single" w:sz="4" w:space="0" w:color="auto"/>
          <w:bottom w:val="single" w:sz="4" w:space="0" w:color="auto"/>
        </w:tblBorders>
        <w:tblLook w:val="04A0" w:firstRow="1" w:lastRow="0" w:firstColumn="1" w:lastColumn="0" w:noHBand="0" w:noVBand="1"/>
      </w:tblPr>
      <w:tblGrid>
        <w:gridCol w:w="2977"/>
        <w:gridCol w:w="1822"/>
        <w:gridCol w:w="1809"/>
        <w:gridCol w:w="1797"/>
      </w:tblGrid>
      <w:tr w:rsidR="00E51AEB" w:rsidRPr="00FB4CEF" w14:paraId="61BEB383" w14:textId="77777777" w:rsidTr="00E51AEB">
        <w:trPr>
          <w:jc w:val="center"/>
        </w:trPr>
        <w:tc>
          <w:tcPr>
            <w:tcW w:w="2977" w:type="dxa"/>
            <w:tcBorders>
              <w:top w:val="single" w:sz="4" w:space="0" w:color="auto"/>
              <w:bottom w:val="single" w:sz="4" w:space="0" w:color="auto"/>
            </w:tcBorders>
            <w:shd w:val="clear" w:color="auto" w:fill="auto"/>
            <w:vAlign w:val="center"/>
          </w:tcPr>
          <w:p w14:paraId="5C0CDF85" w14:textId="29C045C4" w:rsidR="00E51AEB" w:rsidRPr="00FB4CEF" w:rsidRDefault="00E51AEB" w:rsidP="00257EDE">
            <w:pPr>
              <w:pStyle w:val="TableText"/>
            </w:pPr>
            <w:bookmarkStart w:id="2" w:name="_Hlk67746927"/>
            <w:bookmarkEnd w:id="1"/>
            <w:r w:rsidRPr="00FB4CEF">
              <w:t xml:space="preserve">Soil </w:t>
            </w:r>
            <w:r>
              <w:t>type</w:t>
            </w:r>
          </w:p>
        </w:tc>
        <w:tc>
          <w:tcPr>
            <w:tcW w:w="1822" w:type="dxa"/>
            <w:tcBorders>
              <w:top w:val="single" w:sz="4" w:space="0" w:color="auto"/>
              <w:bottom w:val="single" w:sz="4" w:space="0" w:color="auto"/>
            </w:tcBorders>
            <w:shd w:val="clear" w:color="auto" w:fill="auto"/>
            <w:vAlign w:val="center"/>
          </w:tcPr>
          <w:p w14:paraId="74E7D857" w14:textId="5D716868" w:rsidR="00E51AEB" w:rsidRPr="00FB4CEF" w:rsidRDefault="00E51AEB" w:rsidP="00257EDE">
            <w:pPr>
              <w:pStyle w:val="TableText"/>
            </w:pPr>
            <w:r>
              <w:t>LL</w:t>
            </w:r>
          </w:p>
          <w:p w14:paraId="7D637870" w14:textId="5EFBE6F4" w:rsidR="00E51AEB" w:rsidRPr="00FB4CEF" w:rsidRDefault="00E51AEB" w:rsidP="00257EDE">
            <w:pPr>
              <w:pStyle w:val="TableText"/>
            </w:pPr>
            <w:r w:rsidRPr="00FB4CEF">
              <w:t>(</w:t>
            </w:r>
            <w:r>
              <w:t>%</w:t>
            </w:r>
            <w:r w:rsidRPr="00FB4CEF">
              <w:t>)</w:t>
            </w:r>
          </w:p>
        </w:tc>
        <w:tc>
          <w:tcPr>
            <w:tcW w:w="1809" w:type="dxa"/>
            <w:tcBorders>
              <w:top w:val="single" w:sz="4" w:space="0" w:color="auto"/>
              <w:bottom w:val="single" w:sz="4" w:space="0" w:color="auto"/>
            </w:tcBorders>
            <w:shd w:val="clear" w:color="auto" w:fill="auto"/>
            <w:vAlign w:val="center"/>
          </w:tcPr>
          <w:p w14:paraId="6C10642F" w14:textId="72F76C32" w:rsidR="00E51AEB" w:rsidRPr="00FB4CEF" w:rsidRDefault="00E51AEB" w:rsidP="00257EDE">
            <w:pPr>
              <w:pStyle w:val="TableText"/>
            </w:pPr>
            <w:r>
              <w:t>PL</w:t>
            </w:r>
          </w:p>
          <w:p w14:paraId="4BE056E2" w14:textId="7FFE315B" w:rsidR="00E51AEB" w:rsidRPr="00FB4CEF" w:rsidRDefault="00E51AEB" w:rsidP="00257EDE">
            <w:pPr>
              <w:pStyle w:val="TableText"/>
            </w:pPr>
            <w:r w:rsidRPr="00FB4CEF">
              <w:t>(</w:t>
            </w:r>
            <w:r>
              <w:t>%</w:t>
            </w:r>
            <w:r w:rsidRPr="00FB4CEF">
              <w:t>)</w:t>
            </w:r>
          </w:p>
        </w:tc>
        <w:tc>
          <w:tcPr>
            <w:tcW w:w="1797" w:type="dxa"/>
            <w:tcBorders>
              <w:top w:val="single" w:sz="4" w:space="0" w:color="auto"/>
              <w:bottom w:val="single" w:sz="4" w:space="0" w:color="auto"/>
            </w:tcBorders>
            <w:shd w:val="clear" w:color="auto" w:fill="auto"/>
            <w:vAlign w:val="center"/>
          </w:tcPr>
          <w:p w14:paraId="78720705" w14:textId="08CA1E00" w:rsidR="00E51AEB" w:rsidRPr="00FB4CEF" w:rsidRDefault="00E51AEB" w:rsidP="00257EDE">
            <w:pPr>
              <w:pStyle w:val="TableText"/>
            </w:pPr>
            <w:r>
              <w:t>PI</w:t>
            </w:r>
          </w:p>
          <w:p w14:paraId="498452BC" w14:textId="52B56886" w:rsidR="00E51AEB" w:rsidRPr="00E51AEB" w:rsidRDefault="00E51AEB" w:rsidP="00257EDE">
            <w:pPr>
              <w:pStyle w:val="TableText"/>
            </w:pPr>
            <w:r w:rsidRPr="00E51AEB">
              <w:t>(%)</w:t>
            </w:r>
          </w:p>
        </w:tc>
      </w:tr>
      <w:tr w:rsidR="00E51AEB" w:rsidRPr="00FB4CEF" w14:paraId="51D7CF31" w14:textId="77777777" w:rsidTr="00E51AEB">
        <w:trPr>
          <w:jc w:val="center"/>
        </w:trPr>
        <w:tc>
          <w:tcPr>
            <w:tcW w:w="2977" w:type="dxa"/>
            <w:tcBorders>
              <w:top w:val="single" w:sz="4" w:space="0" w:color="auto"/>
              <w:left w:val="nil"/>
              <w:bottom w:val="nil"/>
              <w:right w:val="nil"/>
            </w:tcBorders>
          </w:tcPr>
          <w:p w14:paraId="6BF997EE" w14:textId="625A4702" w:rsidR="00E51AEB" w:rsidRPr="00FB4CEF" w:rsidRDefault="00E51AEB" w:rsidP="00E51AEB">
            <w:pPr>
              <w:pStyle w:val="TableText"/>
            </w:pPr>
            <w:r w:rsidRPr="00D03959">
              <w:t xml:space="preserve">Untreated soil                </w:t>
            </w:r>
          </w:p>
        </w:tc>
        <w:tc>
          <w:tcPr>
            <w:tcW w:w="1822" w:type="dxa"/>
            <w:tcBorders>
              <w:top w:val="single" w:sz="4" w:space="0" w:color="auto"/>
              <w:left w:val="nil"/>
              <w:bottom w:val="nil"/>
              <w:right w:val="nil"/>
            </w:tcBorders>
          </w:tcPr>
          <w:p w14:paraId="61468284" w14:textId="3C7AE699" w:rsidR="00E51AEB" w:rsidRPr="00FB4CEF" w:rsidRDefault="00E51AEB" w:rsidP="00E51AEB">
            <w:pPr>
              <w:pStyle w:val="TableText"/>
            </w:pPr>
            <w:r w:rsidRPr="00D03959">
              <w:t>52</w:t>
            </w:r>
          </w:p>
        </w:tc>
        <w:tc>
          <w:tcPr>
            <w:tcW w:w="1809" w:type="dxa"/>
            <w:tcBorders>
              <w:top w:val="single" w:sz="4" w:space="0" w:color="auto"/>
              <w:left w:val="nil"/>
              <w:bottom w:val="nil"/>
              <w:right w:val="nil"/>
            </w:tcBorders>
          </w:tcPr>
          <w:p w14:paraId="6909E1EF" w14:textId="1591A8D6" w:rsidR="00E51AEB" w:rsidRPr="00FB4CEF" w:rsidRDefault="00E51AEB" w:rsidP="00E51AEB">
            <w:pPr>
              <w:pStyle w:val="TableText"/>
            </w:pPr>
            <w:r w:rsidRPr="00D03959">
              <w:t>25</w:t>
            </w:r>
          </w:p>
        </w:tc>
        <w:tc>
          <w:tcPr>
            <w:tcW w:w="1797" w:type="dxa"/>
            <w:tcBorders>
              <w:top w:val="single" w:sz="4" w:space="0" w:color="auto"/>
              <w:left w:val="nil"/>
              <w:bottom w:val="nil"/>
              <w:right w:val="nil"/>
            </w:tcBorders>
          </w:tcPr>
          <w:p w14:paraId="3B2D81D0" w14:textId="71D5F9AD" w:rsidR="00E51AEB" w:rsidRPr="00FB4CEF" w:rsidRDefault="00E51AEB" w:rsidP="00E51AEB">
            <w:pPr>
              <w:pStyle w:val="TableText"/>
            </w:pPr>
            <w:r w:rsidRPr="00D03959">
              <w:t>27</w:t>
            </w:r>
          </w:p>
        </w:tc>
      </w:tr>
      <w:tr w:rsidR="00E51AEB" w:rsidRPr="00FB4CEF" w14:paraId="3A1617D2" w14:textId="77777777" w:rsidTr="00E51AEB">
        <w:trPr>
          <w:jc w:val="center"/>
        </w:trPr>
        <w:tc>
          <w:tcPr>
            <w:tcW w:w="2977" w:type="dxa"/>
            <w:tcBorders>
              <w:top w:val="nil"/>
              <w:left w:val="nil"/>
              <w:bottom w:val="nil"/>
              <w:right w:val="nil"/>
            </w:tcBorders>
          </w:tcPr>
          <w:p w14:paraId="5F3468AF" w14:textId="5BFAAF4C" w:rsidR="00E51AEB" w:rsidRPr="00FB4CEF" w:rsidRDefault="00E51AEB" w:rsidP="00E51AEB">
            <w:pPr>
              <w:pStyle w:val="TableText"/>
            </w:pPr>
            <w:r w:rsidRPr="00D03959">
              <w:t xml:space="preserve">4% lime-treated </w:t>
            </w:r>
          </w:p>
        </w:tc>
        <w:tc>
          <w:tcPr>
            <w:tcW w:w="1822" w:type="dxa"/>
            <w:tcBorders>
              <w:top w:val="nil"/>
              <w:left w:val="nil"/>
              <w:bottom w:val="nil"/>
              <w:right w:val="nil"/>
            </w:tcBorders>
          </w:tcPr>
          <w:p w14:paraId="78A0F243" w14:textId="6CE30531" w:rsidR="00E51AEB" w:rsidRPr="00FB4CEF" w:rsidRDefault="00E51AEB" w:rsidP="00E51AEB">
            <w:pPr>
              <w:pStyle w:val="TableText"/>
            </w:pPr>
            <w:r w:rsidRPr="00D03959">
              <w:t>61</w:t>
            </w:r>
          </w:p>
        </w:tc>
        <w:tc>
          <w:tcPr>
            <w:tcW w:w="1809" w:type="dxa"/>
            <w:tcBorders>
              <w:top w:val="nil"/>
              <w:left w:val="nil"/>
              <w:bottom w:val="nil"/>
              <w:right w:val="nil"/>
            </w:tcBorders>
          </w:tcPr>
          <w:p w14:paraId="517AFBBC" w14:textId="462F6E0D" w:rsidR="00E51AEB" w:rsidRPr="00FB4CEF" w:rsidRDefault="00E51AEB" w:rsidP="00E51AEB">
            <w:pPr>
              <w:pStyle w:val="TableText"/>
            </w:pPr>
            <w:r w:rsidRPr="00D03959">
              <w:t>27</w:t>
            </w:r>
          </w:p>
        </w:tc>
        <w:tc>
          <w:tcPr>
            <w:tcW w:w="1797" w:type="dxa"/>
            <w:tcBorders>
              <w:top w:val="nil"/>
              <w:left w:val="nil"/>
              <w:bottom w:val="nil"/>
              <w:right w:val="nil"/>
            </w:tcBorders>
          </w:tcPr>
          <w:p w14:paraId="76183DD3" w14:textId="518613C5" w:rsidR="00E51AEB" w:rsidRPr="00FB4CEF" w:rsidRDefault="00E51AEB" w:rsidP="00E51AEB">
            <w:pPr>
              <w:pStyle w:val="TableText"/>
            </w:pPr>
            <w:r w:rsidRPr="00D03959">
              <w:t>34</w:t>
            </w:r>
          </w:p>
        </w:tc>
      </w:tr>
      <w:tr w:rsidR="00E51AEB" w:rsidRPr="00FB4CEF" w14:paraId="59D2A87F" w14:textId="77777777" w:rsidTr="00E51AEB">
        <w:trPr>
          <w:jc w:val="center"/>
        </w:trPr>
        <w:tc>
          <w:tcPr>
            <w:tcW w:w="2977" w:type="dxa"/>
            <w:tcBorders>
              <w:top w:val="nil"/>
              <w:left w:val="nil"/>
              <w:bottom w:val="nil"/>
              <w:right w:val="nil"/>
            </w:tcBorders>
          </w:tcPr>
          <w:p w14:paraId="7C9CB48B" w14:textId="71569963" w:rsidR="00E51AEB" w:rsidRPr="00FB4CEF" w:rsidRDefault="00E51AEB" w:rsidP="00E51AEB">
            <w:pPr>
              <w:pStyle w:val="TableText"/>
            </w:pPr>
            <w:r w:rsidRPr="00D03959">
              <w:t xml:space="preserve">4% PSA-treated   </w:t>
            </w:r>
          </w:p>
        </w:tc>
        <w:tc>
          <w:tcPr>
            <w:tcW w:w="1822" w:type="dxa"/>
            <w:tcBorders>
              <w:top w:val="nil"/>
              <w:left w:val="nil"/>
              <w:bottom w:val="nil"/>
              <w:right w:val="nil"/>
            </w:tcBorders>
          </w:tcPr>
          <w:p w14:paraId="22C72FDC" w14:textId="270CD7C9" w:rsidR="00E51AEB" w:rsidRPr="00FB4CEF" w:rsidRDefault="00E51AEB" w:rsidP="00E51AEB">
            <w:pPr>
              <w:pStyle w:val="TableText"/>
            </w:pPr>
            <w:r w:rsidRPr="00D03959">
              <w:t>59</w:t>
            </w:r>
          </w:p>
        </w:tc>
        <w:tc>
          <w:tcPr>
            <w:tcW w:w="1809" w:type="dxa"/>
            <w:tcBorders>
              <w:top w:val="nil"/>
              <w:left w:val="nil"/>
              <w:bottom w:val="nil"/>
              <w:right w:val="nil"/>
            </w:tcBorders>
          </w:tcPr>
          <w:p w14:paraId="4E83CC09" w14:textId="621A0DC3" w:rsidR="00E51AEB" w:rsidRPr="00FB4CEF" w:rsidRDefault="00E51AEB" w:rsidP="00E51AEB">
            <w:pPr>
              <w:pStyle w:val="TableText"/>
            </w:pPr>
            <w:r w:rsidRPr="00D03959">
              <w:t>27</w:t>
            </w:r>
          </w:p>
        </w:tc>
        <w:tc>
          <w:tcPr>
            <w:tcW w:w="1797" w:type="dxa"/>
            <w:tcBorders>
              <w:top w:val="nil"/>
              <w:left w:val="nil"/>
              <w:bottom w:val="nil"/>
              <w:right w:val="nil"/>
            </w:tcBorders>
          </w:tcPr>
          <w:p w14:paraId="31374931" w14:textId="31C04EFD" w:rsidR="00E51AEB" w:rsidRPr="00FB4CEF" w:rsidRDefault="00E51AEB" w:rsidP="00E51AEB">
            <w:pPr>
              <w:pStyle w:val="TableText"/>
            </w:pPr>
            <w:r w:rsidRPr="00D03959">
              <w:t>32</w:t>
            </w:r>
          </w:p>
        </w:tc>
      </w:tr>
      <w:tr w:rsidR="00E51AEB" w:rsidRPr="00FB4CEF" w14:paraId="3BB8A6EC" w14:textId="77777777" w:rsidTr="00E51AEB">
        <w:trPr>
          <w:jc w:val="center"/>
        </w:trPr>
        <w:tc>
          <w:tcPr>
            <w:tcW w:w="2977" w:type="dxa"/>
            <w:tcBorders>
              <w:top w:val="nil"/>
              <w:left w:val="nil"/>
              <w:bottom w:val="nil"/>
              <w:right w:val="nil"/>
            </w:tcBorders>
          </w:tcPr>
          <w:p w14:paraId="4F4F7F2F" w14:textId="39A31BC6" w:rsidR="00E51AEB" w:rsidRPr="00FB4CEF" w:rsidRDefault="00E51AEB" w:rsidP="00E51AEB">
            <w:pPr>
              <w:pStyle w:val="TableText"/>
            </w:pPr>
            <w:r w:rsidRPr="00D03959">
              <w:t xml:space="preserve">6% PSA-treated  </w:t>
            </w:r>
          </w:p>
        </w:tc>
        <w:tc>
          <w:tcPr>
            <w:tcW w:w="1822" w:type="dxa"/>
            <w:tcBorders>
              <w:top w:val="nil"/>
              <w:left w:val="nil"/>
              <w:bottom w:val="nil"/>
              <w:right w:val="nil"/>
            </w:tcBorders>
          </w:tcPr>
          <w:p w14:paraId="37CF201E" w14:textId="416D48EE" w:rsidR="00E51AEB" w:rsidRPr="00FB4CEF" w:rsidRDefault="00E51AEB" w:rsidP="00E51AEB">
            <w:pPr>
              <w:pStyle w:val="TableText"/>
            </w:pPr>
            <w:r w:rsidRPr="00D03959">
              <w:t>69</w:t>
            </w:r>
          </w:p>
        </w:tc>
        <w:tc>
          <w:tcPr>
            <w:tcW w:w="1809" w:type="dxa"/>
            <w:tcBorders>
              <w:top w:val="nil"/>
              <w:left w:val="nil"/>
              <w:bottom w:val="nil"/>
              <w:right w:val="nil"/>
            </w:tcBorders>
          </w:tcPr>
          <w:p w14:paraId="200FE3E9" w14:textId="1893AFAD" w:rsidR="00E51AEB" w:rsidRPr="00FB4CEF" w:rsidRDefault="00E51AEB" w:rsidP="00E51AEB">
            <w:pPr>
              <w:pStyle w:val="TableText"/>
            </w:pPr>
            <w:r w:rsidRPr="00D03959">
              <w:t>39</w:t>
            </w:r>
          </w:p>
        </w:tc>
        <w:tc>
          <w:tcPr>
            <w:tcW w:w="1797" w:type="dxa"/>
            <w:tcBorders>
              <w:top w:val="nil"/>
              <w:left w:val="nil"/>
              <w:bottom w:val="nil"/>
              <w:right w:val="nil"/>
            </w:tcBorders>
          </w:tcPr>
          <w:p w14:paraId="1CA72049" w14:textId="74C731D2" w:rsidR="00E51AEB" w:rsidRPr="00FB4CEF" w:rsidRDefault="00E51AEB" w:rsidP="00E51AEB">
            <w:pPr>
              <w:pStyle w:val="TableText"/>
            </w:pPr>
            <w:r w:rsidRPr="00D03959">
              <w:t>29</w:t>
            </w:r>
          </w:p>
        </w:tc>
      </w:tr>
      <w:tr w:rsidR="00E51AEB" w:rsidRPr="00FB4CEF" w14:paraId="39AED6C6" w14:textId="77777777" w:rsidTr="00E51AEB">
        <w:trPr>
          <w:jc w:val="center"/>
        </w:trPr>
        <w:tc>
          <w:tcPr>
            <w:tcW w:w="2977" w:type="dxa"/>
            <w:tcBorders>
              <w:top w:val="nil"/>
              <w:left w:val="nil"/>
              <w:bottom w:val="nil"/>
              <w:right w:val="nil"/>
            </w:tcBorders>
          </w:tcPr>
          <w:p w14:paraId="0BFE6A3D" w14:textId="18CF4B6A" w:rsidR="00E51AEB" w:rsidRPr="00FB4CEF" w:rsidRDefault="00E51AEB" w:rsidP="00E51AEB">
            <w:pPr>
              <w:pStyle w:val="TableText"/>
            </w:pPr>
            <w:r w:rsidRPr="00D03959">
              <w:t xml:space="preserve">2% Lime-2% GGBS-treated  </w:t>
            </w:r>
          </w:p>
        </w:tc>
        <w:tc>
          <w:tcPr>
            <w:tcW w:w="1822" w:type="dxa"/>
            <w:tcBorders>
              <w:top w:val="nil"/>
              <w:left w:val="nil"/>
              <w:bottom w:val="nil"/>
              <w:right w:val="nil"/>
            </w:tcBorders>
          </w:tcPr>
          <w:p w14:paraId="3A3E4BA0" w14:textId="638CDA60" w:rsidR="00E51AEB" w:rsidRPr="00FB4CEF" w:rsidRDefault="00E51AEB" w:rsidP="00E51AEB">
            <w:pPr>
              <w:pStyle w:val="TableText"/>
            </w:pPr>
            <w:r w:rsidRPr="00D03959">
              <w:t>58</w:t>
            </w:r>
          </w:p>
        </w:tc>
        <w:tc>
          <w:tcPr>
            <w:tcW w:w="1809" w:type="dxa"/>
            <w:tcBorders>
              <w:top w:val="nil"/>
              <w:left w:val="nil"/>
              <w:bottom w:val="nil"/>
              <w:right w:val="nil"/>
            </w:tcBorders>
          </w:tcPr>
          <w:p w14:paraId="02E80C13" w14:textId="2DA28FE9" w:rsidR="00E51AEB" w:rsidRPr="00FB4CEF" w:rsidRDefault="00E51AEB" w:rsidP="00E51AEB">
            <w:pPr>
              <w:pStyle w:val="TableText"/>
            </w:pPr>
            <w:r w:rsidRPr="00D03959">
              <w:t>32</w:t>
            </w:r>
          </w:p>
        </w:tc>
        <w:tc>
          <w:tcPr>
            <w:tcW w:w="1797" w:type="dxa"/>
            <w:tcBorders>
              <w:top w:val="nil"/>
              <w:left w:val="nil"/>
              <w:bottom w:val="nil"/>
              <w:right w:val="nil"/>
            </w:tcBorders>
          </w:tcPr>
          <w:p w14:paraId="1B23EB4E" w14:textId="50779ADC" w:rsidR="00E51AEB" w:rsidRPr="00FB4CEF" w:rsidRDefault="00E51AEB" w:rsidP="00E51AEB">
            <w:pPr>
              <w:pStyle w:val="TableText"/>
            </w:pPr>
            <w:r w:rsidRPr="00D03959">
              <w:t>26</w:t>
            </w:r>
          </w:p>
        </w:tc>
      </w:tr>
      <w:tr w:rsidR="00E51AEB" w:rsidRPr="00FB4CEF" w14:paraId="00EB7364" w14:textId="77777777" w:rsidTr="00E51AEB">
        <w:trPr>
          <w:jc w:val="center"/>
        </w:trPr>
        <w:tc>
          <w:tcPr>
            <w:tcW w:w="2977" w:type="dxa"/>
            <w:tcBorders>
              <w:top w:val="nil"/>
              <w:left w:val="nil"/>
              <w:bottom w:val="nil"/>
              <w:right w:val="nil"/>
            </w:tcBorders>
          </w:tcPr>
          <w:p w14:paraId="77F98851" w14:textId="177CD320" w:rsidR="00E51AEB" w:rsidRPr="00FB4CEF" w:rsidRDefault="00E51AEB" w:rsidP="00E51AEB">
            <w:pPr>
              <w:pStyle w:val="TableText"/>
            </w:pPr>
            <w:r w:rsidRPr="00D03959">
              <w:t xml:space="preserve">2% PSA-2% GGBS-treated   </w:t>
            </w:r>
          </w:p>
        </w:tc>
        <w:tc>
          <w:tcPr>
            <w:tcW w:w="1822" w:type="dxa"/>
            <w:tcBorders>
              <w:top w:val="nil"/>
              <w:left w:val="nil"/>
              <w:bottom w:val="nil"/>
              <w:right w:val="nil"/>
            </w:tcBorders>
          </w:tcPr>
          <w:p w14:paraId="3AEF730D" w14:textId="2ABC2700" w:rsidR="00E51AEB" w:rsidRPr="00FB4CEF" w:rsidRDefault="00E51AEB" w:rsidP="00E51AEB">
            <w:pPr>
              <w:pStyle w:val="TableText"/>
            </w:pPr>
            <w:r w:rsidRPr="00D03959">
              <w:t>64</w:t>
            </w:r>
          </w:p>
        </w:tc>
        <w:tc>
          <w:tcPr>
            <w:tcW w:w="1809" w:type="dxa"/>
            <w:tcBorders>
              <w:top w:val="nil"/>
              <w:left w:val="nil"/>
              <w:bottom w:val="nil"/>
              <w:right w:val="nil"/>
            </w:tcBorders>
          </w:tcPr>
          <w:p w14:paraId="0F1D9BA8" w14:textId="0F310392" w:rsidR="00E51AEB" w:rsidRPr="00FB4CEF" w:rsidRDefault="00E51AEB" w:rsidP="00E51AEB">
            <w:pPr>
              <w:pStyle w:val="TableText"/>
            </w:pPr>
            <w:r w:rsidRPr="00D03959">
              <w:t>40</w:t>
            </w:r>
          </w:p>
        </w:tc>
        <w:tc>
          <w:tcPr>
            <w:tcW w:w="1797" w:type="dxa"/>
            <w:tcBorders>
              <w:top w:val="nil"/>
              <w:left w:val="nil"/>
              <w:bottom w:val="nil"/>
              <w:right w:val="nil"/>
            </w:tcBorders>
          </w:tcPr>
          <w:p w14:paraId="7DE93F04" w14:textId="66629FF9" w:rsidR="00E51AEB" w:rsidRPr="00FB4CEF" w:rsidRDefault="00E51AEB" w:rsidP="00E51AEB">
            <w:pPr>
              <w:pStyle w:val="TableText"/>
            </w:pPr>
            <w:r w:rsidRPr="00D03959">
              <w:t>24</w:t>
            </w:r>
          </w:p>
        </w:tc>
      </w:tr>
      <w:tr w:rsidR="00E51AEB" w:rsidRPr="00FB4CEF" w14:paraId="7633D978" w14:textId="77777777" w:rsidTr="00E51AEB">
        <w:trPr>
          <w:jc w:val="center"/>
        </w:trPr>
        <w:tc>
          <w:tcPr>
            <w:tcW w:w="2977" w:type="dxa"/>
            <w:tcBorders>
              <w:top w:val="nil"/>
              <w:left w:val="nil"/>
              <w:bottom w:val="nil"/>
              <w:right w:val="nil"/>
            </w:tcBorders>
          </w:tcPr>
          <w:p w14:paraId="79F77E46" w14:textId="70A00C8A" w:rsidR="00E51AEB" w:rsidRPr="00FB4CEF" w:rsidRDefault="00E51AEB" w:rsidP="00E51AEB">
            <w:pPr>
              <w:pStyle w:val="TableText"/>
            </w:pPr>
            <w:r w:rsidRPr="00D03959">
              <w:t xml:space="preserve">3% PSA-3% GGBS-treated   </w:t>
            </w:r>
          </w:p>
        </w:tc>
        <w:tc>
          <w:tcPr>
            <w:tcW w:w="1822" w:type="dxa"/>
            <w:tcBorders>
              <w:top w:val="nil"/>
              <w:left w:val="nil"/>
              <w:bottom w:val="nil"/>
              <w:right w:val="nil"/>
            </w:tcBorders>
          </w:tcPr>
          <w:p w14:paraId="26B445CF" w14:textId="470DF85A" w:rsidR="00E51AEB" w:rsidRPr="00FB4CEF" w:rsidRDefault="00E51AEB" w:rsidP="00E51AEB">
            <w:pPr>
              <w:pStyle w:val="TableText"/>
            </w:pPr>
            <w:r w:rsidRPr="00D03959">
              <w:t>63</w:t>
            </w:r>
          </w:p>
        </w:tc>
        <w:tc>
          <w:tcPr>
            <w:tcW w:w="1809" w:type="dxa"/>
            <w:tcBorders>
              <w:top w:val="nil"/>
              <w:left w:val="nil"/>
              <w:bottom w:val="nil"/>
              <w:right w:val="nil"/>
            </w:tcBorders>
          </w:tcPr>
          <w:p w14:paraId="6CE6CBC5" w14:textId="7DFD7606" w:rsidR="00E51AEB" w:rsidRPr="00FB4CEF" w:rsidRDefault="00E51AEB" w:rsidP="00E51AEB">
            <w:pPr>
              <w:pStyle w:val="TableText"/>
            </w:pPr>
            <w:r w:rsidRPr="00D03959">
              <w:t>37</w:t>
            </w:r>
          </w:p>
        </w:tc>
        <w:tc>
          <w:tcPr>
            <w:tcW w:w="1797" w:type="dxa"/>
            <w:tcBorders>
              <w:top w:val="nil"/>
              <w:left w:val="nil"/>
              <w:bottom w:val="nil"/>
              <w:right w:val="nil"/>
            </w:tcBorders>
          </w:tcPr>
          <w:p w14:paraId="6D243FE5" w14:textId="7FA5C281" w:rsidR="00E51AEB" w:rsidRPr="00FB4CEF" w:rsidRDefault="00E51AEB" w:rsidP="00E51AEB">
            <w:pPr>
              <w:pStyle w:val="TableText"/>
            </w:pPr>
            <w:r w:rsidRPr="00D03959">
              <w:t>26</w:t>
            </w:r>
          </w:p>
        </w:tc>
      </w:tr>
      <w:tr w:rsidR="00E51AEB" w:rsidRPr="00FB4CEF" w14:paraId="2422443F" w14:textId="77777777" w:rsidTr="00E51AEB">
        <w:trPr>
          <w:jc w:val="center"/>
        </w:trPr>
        <w:tc>
          <w:tcPr>
            <w:tcW w:w="2977" w:type="dxa"/>
            <w:tcBorders>
              <w:top w:val="nil"/>
              <w:left w:val="nil"/>
              <w:bottom w:val="nil"/>
              <w:right w:val="nil"/>
            </w:tcBorders>
          </w:tcPr>
          <w:p w14:paraId="0F30F74A" w14:textId="1523D8A9" w:rsidR="00E51AEB" w:rsidRPr="00FB4CEF" w:rsidRDefault="00E51AEB" w:rsidP="00E51AEB">
            <w:pPr>
              <w:pStyle w:val="TableText"/>
            </w:pPr>
            <w:r w:rsidRPr="00D03959">
              <w:t xml:space="preserve">2% Lime-2% PFA-treated   </w:t>
            </w:r>
          </w:p>
        </w:tc>
        <w:tc>
          <w:tcPr>
            <w:tcW w:w="1822" w:type="dxa"/>
            <w:tcBorders>
              <w:top w:val="nil"/>
              <w:left w:val="nil"/>
              <w:bottom w:val="nil"/>
              <w:right w:val="nil"/>
            </w:tcBorders>
          </w:tcPr>
          <w:p w14:paraId="648B9BFC" w14:textId="1B3B805F" w:rsidR="00E51AEB" w:rsidRPr="00FB4CEF" w:rsidRDefault="00E51AEB" w:rsidP="00E51AEB">
            <w:pPr>
              <w:pStyle w:val="TableText"/>
            </w:pPr>
            <w:r w:rsidRPr="00D03959">
              <w:t>65</w:t>
            </w:r>
          </w:p>
        </w:tc>
        <w:tc>
          <w:tcPr>
            <w:tcW w:w="1809" w:type="dxa"/>
            <w:tcBorders>
              <w:top w:val="nil"/>
              <w:left w:val="nil"/>
              <w:bottom w:val="nil"/>
              <w:right w:val="nil"/>
            </w:tcBorders>
          </w:tcPr>
          <w:p w14:paraId="5AEC0509" w14:textId="54B88019" w:rsidR="00E51AEB" w:rsidRPr="00FB4CEF" w:rsidRDefault="00E51AEB" w:rsidP="00E51AEB">
            <w:pPr>
              <w:pStyle w:val="TableText"/>
            </w:pPr>
            <w:r w:rsidRPr="00D03959">
              <w:t>43</w:t>
            </w:r>
          </w:p>
        </w:tc>
        <w:tc>
          <w:tcPr>
            <w:tcW w:w="1797" w:type="dxa"/>
            <w:tcBorders>
              <w:top w:val="nil"/>
              <w:left w:val="nil"/>
              <w:bottom w:val="nil"/>
              <w:right w:val="nil"/>
            </w:tcBorders>
          </w:tcPr>
          <w:p w14:paraId="2B8A1917" w14:textId="451712C7" w:rsidR="00E51AEB" w:rsidRPr="00FB4CEF" w:rsidRDefault="00E51AEB" w:rsidP="00E51AEB">
            <w:pPr>
              <w:pStyle w:val="TableText"/>
            </w:pPr>
            <w:r w:rsidRPr="00D03959">
              <w:t>22</w:t>
            </w:r>
          </w:p>
        </w:tc>
      </w:tr>
      <w:tr w:rsidR="00E51AEB" w:rsidRPr="00FB4CEF" w14:paraId="3A9B613A" w14:textId="77777777" w:rsidTr="00E51AEB">
        <w:trPr>
          <w:jc w:val="center"/>
        </w:trPr>
        <w:tc>
          <w:tcPr>
            <w:tcW w:w="2977" w:type="dxa"/>
            <w:tcBorders>
              <w:top w:val="nil"/>
              <w:left w:val="nil"/>
              <w:bottom w:val="nil"/>
              <w:right w:val="nil"/>
            </w:tcBorders>
          </w:tcPr>
          <w:p w14:paraId="59D4B64C" w14:textId="21383203" w:rsidR="00E51AEB" w:rsidRPr="00FB4CEF" w:rsidRDefault="00E51AEB" w:rsidP="00E51AEB">
            <w:pPr>
              <w:pStyle w:val="TableText"/>
            </w:pPr>
            <w:r w:rsidRPr="00D03959">
              <w:t xml:space="preserve">3% PSA-3% PFA-treated   </w:t>
            </w:r>
          </w:p>
        </w:tc>
        <w:tc>
          <w:tcPr>
            <w:tcW w:w="1822" w:type="dxa"/>
            <w:tcBorders>
              <w:top w:val="nil"/>
              <w:left w:val="nil"/>
              <w:bottom w:val="nil"/>
              <w:right w:val="nil"/>
            </w:tcBorders>
          </w:tcPr>
          <w:p w14:paraId="50625CCC" w14:textId="03E36F24" w:rsidR="00E51AEB" w:rsidRPr="00FB4CEF" w:rsidRDefault="00E51AEB" w:rsidP="00E51AEB">
            <w:pPr>
              <w:pStyle w:val="TableText"/>
            </w:pPr>
            <w:r w:rsidRPr="00D03959">
              <w:t>63</w:t>
            </w:r>
          </w:p>
        </w:tc>
        <w:tc>
          <w:tcPr>
            <w:tcW w:w="1809" w:type="dxa"/>
            <w:tcBorders>
              <w:top w:val="nil"/>
              <w:left w:val="nil"/>
              <w:bottom w:val="nil"/>
              <w:right w:val="nil"/>
            </w:tcBorders>
          </w:tcPr>
          <w:p w14:paraId="688EDA1F" w14:textId="472B6795" w:rsidR="00E51AEB" w:rsidRPr="00FB4CEF" w:rsidRDefault="00E51AEB" w:rsidP="00E51AEB">
            <w:pPr>
              <w:pStyle w:val="TableText"/>
            </w:pPr>
            <w:r w:rsidRPr="00D03959">
              <w:t>44</w:t>
            </w:r>
          </w:p>
        </w:tc>
        <w:tc>
          <w:tcPr>
            <w:tcW w:w="1797" w:type="dxa"/>
            <w:tcBorders>
              <w:top w:val="nil"/>
              <w:left w:val="nil"/>
              <w:bottom w:val="nil"/>
              <w:right w:val="nil"/>
            </w:tcBorders>
          </w:tcPr>
          <w:p w14:paraId="4B52B333" w14:textId="67319F1C" w:rsidR="00E51AEB" w:rsidRPr="00FB4CEF" w:rsidRDefault="00E51AEB" w:rsidP="00E51AEB">
            <w:pPr>
              <w:pStyle w:val="TableText"/>
            </w:pPr>
            <w:r w:rsidRPr="00D03959">
              <w:t>19</w:t>
            </w:r>
          </w:p>
        </w:tc>
      </w:tr>
      <w:tr w:rsidR="00E51AEB" w:rsidRPr="00FB4CEF" w14:paraId="0924EAA9" w14:textId="77777777" w:rsidTr="00E51AEB">
        <w:trPr>
          <w:jc w:val="center"/>
        </w:trPr>
        <w:tc>
          <w:tcPr>
            <w:tcW w:w="2977" w:type="dxa"/>
            <w:tcBorders>
              <w:top w:val="nil"/>
              <w:left w:val="nil"/>
              <w:bottom w:val="nil"/>
              <w:right w:val="nil"/>
            </w:tcBorders>
          </w:tcPr>
          <w:p w14:paraId="33CFB48A" w14:textId="75B1E928" w:rsidR="00E51AEB" w:rsidRPr="00FB4CEF" w:rsidRDefault="00E51AEB" w:rsidP="00E51AEB">
            <w:pPr>
              <w:pStyle w:val="TableText"/>
            </w:pPr>
            <w:r w:rsidRPr="00D03959">
              <w:t>10% MgO-treated</w:t>
            </w:r>
          </w:p>
        </w:tc>
        <w:tc>
          <w:tcPr>
            <w:tcW w:w="1822" w:type="dxa"/>
            <w:tcBorders>
              <w:top w:val="nil"/>
              <w:left w:val="nil"/>
              <w:bottom w:val="nil"/>
              <w:right w:val="nil"/>
            </w:tcBorders>
          </w:tcPr>
          <w:p w14:paraId="424DE394" w14:textId="454AAAA1" w:rsidR="00E51AEB" w:rsidRPr="00FB4CEF" w:rsidRDefault="00E51AEB" w:rsidP="00E51AEB">
            <w:pPr>
              <w:pStyle w:val="TableText"/>
            </w:pPr>
            <w:r w:rsidRPr="00D03959">
              <w:t>62</w:t>
            </w:r>
          </w:p>
        </w:tc>
        <w:tc>
          <w:tcPr>
            <w:tcW w:w="1809" w:type="dxa"/>
            <w:tcBorders>
              <w:top w:val="nil"/>
              <w:left w:val="nil"/>
              <w:bottom w:val="nil"/>
              <w:right w:val="nil"/>
            </w:tcBorders>
          </w:tcPr>
          <w:p w14:paraId="41208F9D" w14:textId="5C80A925" w:rsidR="00E51AEB" w:rsidRPr="00FB4CEF" w:rsidRDefault="00E51AEB" w:rsidP="00E51AEB">
            <w:pPr>
              <w:pStyle w:val="TableText"/>
            </w:pPr>
            <w:r w:rsidRPr="00D03959">
              <w:t>38</w:t>
            </w:r>
          </w:p>
        </w:tc>
        <w:tc>
          <w:tcPr>
            <w:tcW w:w="1797" w:type="dxa"/>
            <w:tcBorders>
              <w:top w:val="nil"/>
              <w:left w:val="nil"/>
              <w:bottom w:val="nil"/>
              <w:right w:val="nil"/>
            </w:tcBorders>
          </w:tcPr>
          <w:p w14:paraId="193254A0" w14:textId="4EE5D54B" w:rsidR="00E51AEB" w:rsidRPr="00FB4CEF" w:rsidRDefault="00E51AEB" w:rsidP="00E51AEB">
            <w:pPr>
              <w:pStyle w:val="TableText"/>
            </w:pPr>
            <w:r w:rsidRPr="00D03959">
              <w:t>24</w:t>
            </w:r>
          </w:p>
        </w:tc>
      </w:tr>
      <w:tr w:rsidR="00E51AEB" w:rsidRPr="00FB4CEF" w14:paraId="695C74C9" w14:textId="77777777" w:rsidTr="00E51AEB">
        <w:trPr>
          <w:jc w:val="center"/>
        </w:trPr>
        <w:tc>
          <w:tcPr>
            <w:tcW w:w="2977" w:type="dxa"/>
            <w:tcBorders>
              <w:top w:val="nil"/>
              <w:left w:val="nil"/>
              <w:bottom w:val="nil"/>
              <w:right w:val="nil"/>
            </w:tcBorders>
          </w:tcPr>
          <w:p w14:paraId="4EB43510" w14:textId="62348AD1" w:rsidR="00E51AEB" w:rsidRPr="00FB4CEF" w:rsidRDefault="00E51AEB" w:rsidP="00E51AEB">
            <w:pPr>
              <w:pStyle w:val="TableText"/>
            </w:pPr>
            <w:r w:rsidRPr="00D03959">
              <w:t>12% MgO-treated</w:t>
            </w:r>
          </w:p>
        </w:tc>
        <w:tc>
          <w:tcPr>
            <w:tcW w:w="1822" w:type="dxa"/>
            <w:tcBorders>
              <w:top w:val="nil"/>
              <w:left w:val="nil"/>
              <w:bottom w:val="nil"/>
              <w:right w:val="nil"/>
            </w:tcBorders>
          </w:tcPr>
          <w:p w14:paraId="72649075" w14:textId="14BE5556" w:rsidR="00E51AEB" w:rsidRPr="00FB4CEF" w:rsidRDefault="00E51AEB" w:rsidP="00E51AEB">
            <w:pPr>
              <w:pStyle w:val="TableText"/>
            </w:pPr>
            <w:r w:rsidRPr="00D03959">
              <w:t>54</w:t>
            </w:r>
          </w:p>
        </w:tc>
        <w:tc>
          <w:tcPr>
            <w:tcW w:w="1809" w:type="dxa"/>
            <w:tcBorders>
              <w:top w:val="nil"/>
              <w:left w:val="nil"/>
              <w:bottom w:val="nil"/>
              <w:right w:val="nil"/>
            </w:tcBorders>
          </w:tcPr>
          <w:p w14:paraId="1706DD0E" w14:textId="64DC7CD0" w:rsidR="00E51AEB" w:rsidRPr="00FB4CEF" w:rsidRDefault="00E51AEB" w:rsidP="00E51AEB">
            <w:pPr>
              <w:pStyle w:val="TableText"/>
            </w:pPr>
            <w:r w:rsidRPr="00D03959">
              <w:t>36</w:t>
            </w:r>
          </w:p>
        </w:tc>
        <w:tc>
          <w:tcPr>
            <w:tcW w:w="1797" w:type="dxa"/>
            <w:tcBorders>
              <w:top w:val="nil"/>
              <w:left w:val="nil"/>
              <w:bottom w:val="nil"/>
              <w:right w:val="nil"/>
            </w:tcBorders>
          </w:tcPr>
          <w:p w14:paraId="7D5B21FF" w14:textId="79AD16B8" w:rsidR="00E51AEB" w:rsidRPr="00FB4CEF" w:rsidRDefault="00E51AEB" w:rsidP="00E51AEB">
            <w:pPr>
              <w:pStyle w:val="TableText"/>
            </w:pPr>
            <w:r w:rsidRPr="00D03959">
              <w:t>18</w:t>
            </w:r>
          </w:p>
        </w:tc>
      </w:tr>
      <w:tr w:rsidR="00E51AEB" w:rsidRPr="00FB4CEF" w14:paraId="60A2AC4B" w14:textId="77777777" w:rsidTr="00E51AEB">
        <w:trPr>
          <w:jc w:val="center"/>
        </w:trPr>
        <w:tc>
          <w:tcPr>
            <w:tcW w:w="2977" w:type="dxa"/>
            <w:tcBorders>
              <w:top w:val="nil"/>
              <w:left w:val="nil"/>
              <w:bottom w:val="nil"/>
              <w:right w:val="nil"/>
            </w:tcBorders>
          </w:tcPr>
          <w:p w14:paraId="247712D6" w14:textId="004D84E9" w:rsidR="00E51AEB" w:rsidRPr="00FB4CEF" w:rsidRDefault="00E51AEB" w:rsidP="00E51AEB">
            <w:pPr>
              <w:pStyle w:val="TableText"/>
            </w:pPr>
            <w:r w:rsidRPr="00D03959">
              <w:t xml:space="preserve">9%  MgO -3% GGBS-treated </w:t>
            </w:r>
          </w:p>
        </w:tc>
        <w:tc>
          <w:tcPr>
            <w:tcW w:w="1822" w:type="dxa"/>
            <w:tcBorders>
              <w:top w:val="nil"/>
              <w:left w:val="nil"/>
              <w:bottom w:val="nil"/>
              <w:right w:val="nil"/>
            </w:tcBorders>
          </w:tcPr>
          <w:p w14:paraId="071A53DE" w14:textId="38F0A00F" w:rsidR="00E51AEB" w:rsidRPr="00FB4CEF" w:rsidRDefault="00E51AEB" w:rsidP="00E51AEB">
            <w:pPr>
              <w:pStyle w:val="TableText"/>
            </w:pPr>
            <w:r w:rsidRPr="00D03959">
              <w:t>60</w:t>
            </w:r>
          </w:p>
        </w:tc>
        <w:tc>
          <w:tcPr>
            <w:tcW w:w="1809" w:type="dxa"/>
            <w:tcBorders>
              <w:top w:val="nil"/>
              <w:left w:val="nil"/>
              <w:bottom w:val="nil"/>
              <w:right w:val="nil"/>
            </w:tcBorders>
          </w:tcPr>
          <w:p w14:paraId="18102100" w14:textId="023928E2" w:rsidR="00E51AEB" w:rsidRPr="00FB4CEF" w:rsidRDefault="00E51AEB" w:rsidP="00E51AEB">
            <w:pPr>
              <w:pStyle w:val="TableText"/>
            </w:pPr>
            <w:r w:rsidRPr="00D03959">
              <w:t>36</w:t>
            </w:r>
          </w:p>
        </w:tc>
        <w:tc>
          <w:tcPr>
            <w:tcW w:w="1797" w:type="dxa"/>
            <w:tcBorders>
              <w:top w:val="nil"/>
              <w:left w:val="nil"/>
              <w:bottom w:val="nil"/>
              <w:right w:val="nil"/>
            </w:tcBorders>
          </w:tcPr>
          <w:p w14:paraId="3DCEBD10" w14:textId="65E22843" w:rsidR="00E51AEB" w:rsidRPr="00FB4CEF" w:rsidRDefault="00E51AEB" w:rsidP="00E51AEB">
            <w:pPr>
              <w:pStyle w:val="TableText"/>
            </w:pPr>
            <w:r w:rsidRPr="00D03959">
              <w:t>24</w:t>
            </w:r>
          </w:p>
        </w:tc>
      </w:tr>
      <w:tr w:rsidR="00E51AEB" w:rsidRPr="00FB4CEF" w14:paraId="5C5322B4" w14:textId="77777777" w:rsidTr="00E51AEB">
        <w:trPr>
          <w:jc w:val="center"/>
        </w:trPr>
        <w:tc>
          <w:tcPr>
            <w:tcW w:w="2977" w:type="dxa"/>
            <w:tcBorders>
              <w:top w:val="nil"/>
              <w:left w:val="nil"/>
              <w:bottom w:val="single" w:sz="4" w:space="0" w:color="auto"/>
              <w:right w:val="nil"/>
            </w:tcBorders>
          </w:tcPr>
          <w:p w14:paraId="5E3F8C11" w14:textId="302F7B18" w:rsidR="00E51AEB" w:rsidRPr="00FB4CEF" w:rsidRDefault="00E51AEB" w:rsidP="00E51AEB">
            <w:pPr>
              <w:pStyle w:val="TableText"/>
            </w:pPr>
            <w:r w:rsidRPr="00D03959">
              <w:t xml:space="preserve">3%  MgO -9% GGBS-treated  </w:t>
            </w:r>
          </w:p>
        </w:tc>
        <w:tc>
          <w:tcPr>
            <w:tcW w:w="1822" w:type="dxa"/>
            <w:tcBorders>
              <w:top w:val="nil"/>
              <w:left w:val="nil"/>
              <w:bottom w:val="single" w:sz="4" w:space="0" w:color="auto"/>
              <w:right w:val="nil"/>
            </w:tcBorders>
          </w:tcPr>
          <w:p w14:paraId="46ED5E30" w14:textId="28920FA7" w:rsidR="00E51AEB" w:rsidRPr="00FB4CEF" w:rsidRDefault="00E51AEB" w:rsidP="00E51AEB">
            <w:pPr>
              <w:pStyle w:val="TableText"/>
            </w:pPr>
            <w:r w:rsidRPr="00D03959">
              <w:t>60</w:t>
            </w:r>
          </w:p>
        </w:tc>
        <w:tc>
          <w:tcPr>
            <w:tcW w:w="1809" w:type="dxa"/>
            <w:tcBorders>
              <w:top w:val="nil"/>
              <w:left w:val="nil"/>
              <w:bottom w:val="single" w:sz="4" w:space="0" w:color="auto"/>
              <w:right w:val="nil"/>
            </w:tcBorders>
          </w:tcPr>
          <w:p w14:paraId="1B433480" w14:textId="066F3B89" w:rsidR="00E51AEB" w:rsidRPr="00FB4CEF" w:rsidRDefault="00E51AEB" w:rsidP="00E51AEB">
            <w:pPr>
              <w:pStyle w:val="TableText"/>
            </w:pPr>
            <w:r w:rsidRPr="00D03959">
              <w:t>37</w:t>
            </w:r>
          </w:p>
        </w:tc>
        <w:tc>
          <w:tcPr>
            <w:tcW w:w="1797" w:type="dxa"/>
            <w:tcBorders>
              <w:top w:val="nil"/>
              <w:left w:val="nil"/>
              <w:bottom w:val="single" w:sz="4" w:space="0" w:color="auto"/>
              <w:right w:val="nil"/>
            </w:tcBorders>
          </w:tcPr>
          <w:p w14:paraId="7C41DCE7" w14:textId="744B9D48" w:rsidR="00E51AEB" w:rsidRPr="00FB4CEF" w:rsidRDefault="00E51AEB" w:rsidP="00E51AEB">
            <w:pPr>
              <w:pStyle w:val="TableText"/>
            </w:pPr>
            <w:r w:rsidRPr="00D03959">
              <w:t>23</w:t>
            </w:r>
          </w:p>
        </w:tc>
      </w:tr>
    </w:tbl>
    <w:bookmarkEnd w:id="2"/>
    <w:p w14:paraId="0F4E6004" w14:textId="77777777" w:rsidR="00C267B1" w:rsidRDefault="00C267B1" w:rsidP="00D75AFE">
      <w:pPr>
        <w:pStyle w:val="Figure"/>
      </w:pPr>
      <w:r>
        <w:lastRenderedPageBreak/>
        <w:drawing>
          <wp:inline distT="0" distB="0" distL="0" distR="0" wp14:anchorId="0EDF063B" wp14:editId="5E267A16">
            <wp:extent cx="5761355" cy="2950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950845"/>
                    </a:xfrm>
                    <a:prstGeom prst="rect">
                      <a:avLst/>
                    </a:prstGeom>
                    <a:noFill/>
                  </pic:spPr>
                </pic:pic>
              </a:graphicData>
            </a:graphic>
          </wp:inline>
        </w:drawing>
      </w:r>
    </w:p>
    <w:p w14:paraId="09380921" w14:textId="22526478" w:rsidR="00C267B1" w:rsidRDefault="00C267B1" w:rsidP="00C267B1">
      <w:pPr>
        <w:pStyle w:val="Figure"/>
        <w:rPr>
          <w:b/>
          <w:sz w:val="18"/>
        </w:rPr>
      </w:pPr>
      <w:bookmarkStart w:id="3" w:name="_Hlk67835391"/>
      <w:bookmarkStart w:id="4" w:name="_Hlk67754225"/>
      <w:r w:rsidRPr="00C267B1">
        <w:rPr>
          <w:b/>
          <w:sz w:val="18"/>
        </w:rPr>
        <w:t xml:space="preserve">Figure </w:t>
      </w:r>
      <w:r w:rsidR="001A0C81">
        <w:rPr>
          <w:b/>
          <w:sz w:val="18"/>
        </w:rPr>
        <w:t>2</w:t>
      </w:r>
      <w:r w:rsidRPr="00C267B1">
        <w:rPr>
          <w:b/>
          <w:sz w:val="18"/>
        </w:rPr>
        <w:t>. Unconfined compressive strength after immersion in water for 7 and 28 days respectively</w:t>
      </w:r>
    </w:p>
    <w:p w14:paraId="00C03499" w14:textId="0AF86CAB" w:rsidR="00C267B1" w:rsidRPr="00FB4CEF" w:rsidRDefault="00C267B1" w:rsidP="00C267B1">
      <w:pPr>
        <w:pStyle w:val="Figure"/>
      </w:pPr>
      <w:bookmarkStart w:id="5" w:name="_Hlk67766634"/>
      <w:bookmarkEnd w:id="3"/>
      <w:r w:rsidRPr="00466328">
        <w:drawing>
          <wp:inline distT="0" distB="0" distL="0" distR="0" wp14:anchorId="56D733C6" wp14:editId="776DA46D">
            <wp:extent cx="5759450" cy="3143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143885"/>
                    </a:xfrm>
                    <a:prstGeom prst="rect">
                      <a:avLst/>
                    </a:prstGeom>
                  </pic:spPr>
                </pic:pic>
              </a:graphicData>
            </a:graphic>
          </wp:inline>
        </w:drawing>
      </w:r>
    </w:p>
    <w:p w14:paraId="067741CB" w14:textId="6EC0A694" w:rsidR="00C267B1" w:rsidRDefault="00C267B1" w:rsidP="00C267B1">
      <w:pPr>
        <w:pStyle w:val="FigureCaption"/>
      </w:pPr>
      <w:r w:rsidRPr="00FB4CEF">
        <w:t xml:space="preserve">Figure </w:t>
      </w:r>
      <w:r w:rsidR="001A0C81">
        <w:t>3</w:t>
      </w:r>
      <w:r w:rsidRPr="00FB4CEF">
        <w:t xml:space="preserve">. </w:t>
      </w:r>
      <w:r>
        <w:t>Change in height after immersion in water for 7 and 28 days respectively</w:t>
      </w:r>
    </w:p>
    <w:bookmarkEnd w:id="5"/>
    <w:p w14:paraId="57E442C8" w14:textId="6361333C" w:rsidR="00E34666" w:rsidRDefault="006E6DF0" w:rsidP="00634342">
      <w:pPr>
        <w:jc w:val="center"/>
        <w:rPr>
          <w:lang w:eastAsia="de-CH"/>
        </w:rPr>
      </w:pPr>
      <w:r w:rsidRPr="006E6DF0">
        <w:rPr>
          <w:noProof/>
          <w:lang w:eastAsia="de-CH"/>
        </w:rPr>
        <w:drawing>
          <wp:inline distT="0" distB="0" distL="0" distR="0" wp14:anchorId="22F776EA" wp14:editId="12540293">
            <wp:extent cx="2355292" cy="1771649"/>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0985" cy="1790975"/>
                    </a:xfrm>
                    <a:prstGeom prst="rect">
                      <a:avLst/>
                    </a:prstGeom>
                  </pic:spPr>
                </pic:pic>
              </a:graphicData>
            </a:graphic>
          </wp:inline>
        </w:drawing>
      </w:r>
      <w:r w:rsidR="00634342" w:rsidRPr="00F76BD4">
        <w:rPr>
          <w:noProof/>
          <w:lang w:eastAsia="en-GB"/>
        </w:rPr>
        <w:drawing>
          <wp:inline distT="0" distB="0" distL="0" distR="0" wp14:anchorId="56197395" wp14:editId="5FAB1C26">
            <wp:extent cx="835284" cy="1764742"/>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049" cy="1781148"/>
                    </a:xfrm>
                    <a:prstGeom prst="rect">
                      <a:avLst/>
                    </a:prstGeom>
                    <a:noFill/>
                    <a:ln>
                      <a:noFill/>
                    </a:ln>
                  </pic:spPr>
                </pic:pic>
              </a:graphicData>
            </a:graphic>
          </wp:inline>
        </w:drawing>
      </w:r>
    </w:p>
    <w:p w14:paraId="55017C9C" w14:textId="35083DDA" w:rsidR="00634342" w:rsidRPr="00E34666" w:rsidRDefault="00634342" w:rsidP="00351441">
      <w:pPr>
        <w:pStyle w:val="FigureCaption"/>
      </w:pPr>
      <w:r w:rsidRPr="00FB4CEF">
        <w:t xml:space="preserve">Figure </w:t>
      </w:r>
      <w:r w:rsidR="001A0C81">
        <w:t>4</w:t>
      </w:r>
      <w:r w:rsidRPr="00FB4CEF">
        <w:t xml:space="preserve">. </w:t>
      </w:r>
      <w:r w:rsidR="00773DE6">
        <w:t>S</w:t>
      </w:r>
      <w:r w:rsidR="006E6DF0">
        <w:t xml:space="preserve">alt formation </w:t>
      </w:r>
      <w:r w:rsidR="00773DE6">
        <w:t xml:space="preserve">in MgO mixes </w:t>
      </w:r>
      <w:r w:rsidR="006E6DF0">
        <w:t>and</w:t>
      </w:r>
      <w:r>
        <w:t xml:space="preserve"> specimen damage </w:t>
      </w:r>
      <w:r w:rsidR="00E450D9">
        <w:t>(</w:t>
      </w:r>
      <w:r w:rsidR="00773DE6">
        <w:t xml:space="preserve">here, </w:t>
      </w:r>
      <w:r w:rsidR="00E450D9">
        <w:t>MgO-GGBS</w:t>
      </w:r>
      <w:r w:rsidR="00773DE6">
        <w:t xml:space="preserve"> mix</w:t>
      </w:r>
      <w:r w:rsidR="00E450D9">
        <w:t xml:space="preserve">) </w:t>
      </w:r>
      <w:r>
        <w:t>before UCS testing</w:t>
      </w:r>
      <w:r w:rsidR="00E450D9">
        <w:t xml:space="preserve"> </w:t>
      </w:r>
    </w:p>
    <w:bookmarkEnd w:id="4"/>
    <w:p w14:paraId="2CFBB73D" w14:textId="57FE8139" w:rsidR="00DE52C9" w:rsidRPr="00744959" w:rsidRDefault="00294D33" w:rsidP="005266F6">
      <w:pPr>
        <w:pStyle w:val="Heading1"/>
      </w:pPr>
      <w:r w:rsidRPr="00744959">
        <w:lastRenderedPageBreak/>
        <w:t>Conclusions</w:t>
      </w:r>
    </w:p>
    <w:p w14:paraId="0E1A55FE" w14:textId="32A5C39B" w:rsidR="004C3F6B" w:rsidRPr="004C3F6B" w:rsidRDefault="009303B0" w:rsidP="004C3F6B">
      <w:r>
        <w:t>The results showed that</w:t>
      </w:r>
      <w:r w:rsidR="00773DE6">
        <w:t xml:space="preserve">, </w:t>
      </w:r>
      <w:r w:rsidR="00B312D5">
        <w:t>providing most</w:t>
      </w:r>
      <w:r w:rsidR="00773DE6">
        <w:t xml:space="preserve"> </w:t>
      </w:r>
      <w:r w:rsidR="00B312D5">
        <w:t>favourable conditions for the formation of expansive salts and potential resulting damage,</w:t>
      </w:r>
      <w:r>
        <w:t xml:space="preserve"> </w:t>
      </w:r>
      <w:bookmarkStart w:id="6" w:name="_Hlk67761861"/>
      <w:r>
        <w:t>no combination of binder was fully successful in preventing the damage of the samples and suppressing</w:t>
      </w:r>
      <w:r w:rsidR="00DF7254">
        <w:t xml:space="preserve"> swelling</w:t>
      </w:r>
      <w:bookmarkEnd w:id="6"/>
      <w:r>
        <w:t>. Although rich in CaO,</w:t>
      </w:r>
      <w:r w:rsidRPr="009303B0">
        <w:t xml:space="preserve"> PSA</w:t>
      </w:r>
      <w:r>
        <w:t xml:space="preserve"> </w:t>
      </w:r>
      <w:r w:rsidRPr="009303B0">
        <w:t>perform</w:t>
      </w:r>
      <w:r>
        <w:t>ed</w:t>
      </w:r>
      <w:r w:rsidRPr="009303B0">
        <w:t xml:space="preserve"> better than lime, presumably due to its aluminosilicates content</w:t>
      </w:r>
      <w:r>
        <w:t xml:space="preserve">. </w:t>
      </w:r>
      <w:r w:rsidRPr="009303B0">
        <w:t xml:space="preserve"> GGBS improved the performance of lime but not as much that of PSA</w:t>
      </w:r>
      <w:r>
        <w:t xml:space="preserve">, whereas </w:t>
      </w:r>
      <w:r w:rsidRPr="009303B0">
        <w:t xml:space="preserve">PFA </w:t>
      </w:r>
      <w:r>
        <w:t>used at same p</w:t>
      </w:r>
      <w:r w:rsidRPr="009303B0">
        <w:t xml:space="preserve">roportions </w:t>
      </w:r>
      <w:r>
        <w:t>as GGBS was not</w:t>
      </w:r>
      <w:r w:rsidRPr="009303B0">
        <w:t xml:space="preserve"> as effective</w:t>
      </w:r>
      <w:r>
        <w:t xml:space="preserve">. </w:t>
      </w:r>
      <w:r w:rsidRPr="009303B0">
        <w:t xml:space="preserve">MgO </w:t>
      </w:r>
      <w:r>
        <w:t xml:space="preserve">used on its own gave some promise however crystal forming was observed in all samples. </w:t>
      </w:r>
      <w:r w:rsidR="004C3F6B" w:rsidRPr="004C3F6B">
        <w:t>The reactions and mechanisms of expansive crystal growth (or the lack of it) in sulphate bearing soils are very complex. Despite some promising results shown here and in the literature for admixtures with slags and pozzolans or alternative cements, it is the Authors’ opinion that more research is required leading to precise specifications, so that such stabiliser mixes can be used in industrial applications with confidence.</w:t>
      </w:r>
    </w:p>
    <w:p w14:paraId="5EE54B68" w14:textId="77777777" w:rsidR="00276891" w:rsidRPr="00294D33" w:rsidRDefault="00276891" w:rsidP="00276891">
      <w:pPr>
        <w:spacing w:before="480" w:after="200"/>
        <w:rPr>
          <w:b/>
          <w:sz w:val="24"/>
          <w:szCs w:val="24"/>
        </w:rPr>
      </w:pPr>
      <w:r>
        <w:rPr>
          <w:b/>
          <w:sz w:val="24"/>
          <w:szCs w:val="24"/>
        </w:rPr>
        <w:t>References</w:t>
      </w:r>
    </w:p>
    <w:p w14:paraId="08C4A9F9" w14:textId="7F34A05F" w:rsidR="004C3F6B" w:rsidRPr="00C267B1" w:rsidRDefault="004C3F6B" w:rsidP="004C3F6B">
      <w:pPr>
        <w:rPr>
          <w:rStyle w:val="A6"/>
          <w:rFonts w:ascii="Arial" w:hAnsi="Arial" w:cs="Arial"/>
        </w:rPr>
      </w:pPr>
      <w:r w:rsidRPr="00C267B1">
        <w:rPr>
          <w:rStyle w:val="A6"/>
          <w:rFonts w:ascii="Arial" w:hAnsi="Arial" w:cs="Arial"/>
        </w:rPr>
        <w:t>Bell FG. (1996). Lime stabilization of clay minerals and soils. Engineering Geology, 42(4), pp. 223–37.</w:t>
      </w:r>
    </w:p>
    <w:p w14:paraId="6DBD86CC" w14:textId="530BF82E" w:rsidR="0060445F" w:rsidRPr="00C267B1" w:rsidRDefault="0060445F" w:rsidP="0060445F">
      <w:pPr>
        <w:rPr>
          <w:rFonts w:cs="Arial"/>
          <w:color w:val="221E1F"/>
          <w:sz w:val="18"/>
          <w:szCs w:val="18"/>
        </w:rPr>
      </w:pPr>
      <w:r w:rsidRPr="00C267B1">
        <w:rPr>
          <w:rFonts w:cs="Arial"/>
          <w:color w:val="221E1F"/>
          <w:sz w:val="18"/>
          <w:szCs w:val="18"/>
        </w:rPr>
        <w:t>Berger, E., Little, D.N., Graves,  R. (2001)</w:t>
      </w:r>
      <w:r w:rsidR="006B1B36" w:rsidRPr="00C267B1">
        <w:rPr>
          <w:rFonts w:cs="Arial"/>
          <w:color w:val="221E1F"/>
          <w:sz w:val="18"/>
          <w:szCs w:val="18"/>
        </w:rPr>
        <w:t>.</w:t>
      </w:r>
      <w:r w:rsidRPr="00C267B1">
        <w:rPr>
          <w:rFonts w:cs="Arial"/>
          <w:color w:val="221E1F"/>
          <w:sz w:val="18"/>
          <w:szCs w:val="18"/>
        </w:rPr>
        <w:t xml:space="preserve"> </w:t>
      </w:r>
      <w:r w:rsidRPr="00C267B1">
        <w:rPr>
          <w:rFonts w:cs="Arial"/>
          <w:iCs/>
          <w:color w:val="221E1F"/>
          <w:sz w:val="18"/>
          <w:szCs w:val="18"/>
        </w:rPr>
        <w:t>Technical Memorandum: Guidelines for  Stabilization of Soils Containing Sulfates</w:t>
      </w:r>
      <w:r w:rsidRPr="00C267B1">
        <w:rPr>
          <w:rFonts w:cs="Arial"/>
          <w:color w:val="221E1F"/>
          <w:sz w:val="18"/>
          <w:szCs w:val="18"/>
        </w:rPr>
        <w:t xml:space="preserve">,  NLA, </w:t>
      </w:r>
      <w:hyperlink r:id="rId13" w:history="1">
        <w:r w:rsidRPr="00C267B1">
          <w:rPr>
            <w:rStyle w:val="Hyperlink"/>
            <w:rFonts w:cs="Arial"/>
            <w:sz w:val="18"/>
            <w:szCs w:val="18"/>
          </w:rPr>
          <w:t>http://www.lime.org/publications.html</w:t>
        </w:r>
      </w:hyperlink>
      <w:r w:rsidRPr="00C267B1">
        <w:rPr>
          <w:rFonts w:cs="Arial"/>
          <w:color w:val="221E1F"/>
          <w:sz w:val="18"/>
          <w:szCs w:val="18"/>
        </w:rPr>
        <w:t>.</w:t>
      </w:r>
    </w:p>
    <w:p w14:paraId="1CDE8FBF" w14:textId="70C4E549" w:rsidR="006B1B36" w:rsidRDefault="006B1B36" w:rsidP="006B1B36">
      <w:pPr>
        <w:rPr>
          <w:rFonts w:cs="Arial"/>
          <w:color w:val="221E1F"/>
          <w:sz w:val="18"/>
          <w:szCs w:val="18"/>
        </w:rPr>
      </w:pPr>
      <w:r w:rsidRPr="006B1B36">
        <w:rPr>
          <w:rFonts w:cs="Arial"/>
          <w:color w:val="221E1F"/>
          <w:sz w:val="18"/>
          <w:szCs w:val="18"/>
        </w:rPr>
        <w:t xml:space="preserve">Bernal S, Ball R, Hussein O, Heath A &amp; Provis J (2014) Paper sludge ash as a precursor for production of alkali-activated materials. </w:t>
      </w:r>
      <w:r w:rsidRPr="006B1B36">
        <w:rPr>
          <w:rFonts w:cs="Arial"/>
          <w:i/>
          <w:color w:val="221E1F"/>
          <w:sz w:val="18"/>
          <w:szCs w:val="18"/>
        </w:rPr>
        <w:t>2</w:t>
      </w:r>
      <w:r w:rsidRPr="006B1B36">
        <w:rPr>
          <w:rFonts w:cs="Arial"/>
          <w:i/>
          <w:color w:val="221E1F"/>
          <w:sz w:val="18"/>
          <w:szCs w:val="18"/>
          <w:vertAlign w:val="superscript"/>
        </w:rPr>
        <w:t>nd</w:t>
      </w:r>
      <w:r w:rsidRPr="006B1B36">
        <w:rPr>
          <w:rFonts w:cs="Arial"/>
          <w:i/>
          <w:color w:val="221E1F"/>
          <w:sz w:val="18"/>
          <w:szCs w:val="18"/>
        </w:rPr>
        <w:t xml:space="preserve"> International Conference on Advances in Chemically Activated Materials</w:t>
      </w:r>
      <w:r w:rsidRPr="006B1B36">
        <w:rPr>
          <w:rFonts w:cs="Arial"/>
          <w:color w:val="221E1F"/>
          <w:sz w:val="18"/>
          <w:szCs w:val="18"/>
        </w:rPr>
        <w:t xml:space="preserve">, June 1-3 2014, Changsha, China </w:t>
      </w:r>
    </w:p>
    <w:p w14:paraId="4C9D17D5" w14:textId="41615D29" w:rsidR="00FD69A3" w:rsidRPr="00FD69A3" w:rsidRDefault="00FD69A3" w:rsidP="006B1B36">
      <w:pPr>
        <w:rPr>
          <w:rFonts w:cs="Arial"/>
          <w:color w:val="221E1F"/>
          <w:sz w:val="18"/>
          <w:szCs w:val="18"/>
        </w:rPr>
      </w:pPr>
      <w:r w:rsidRPr="00FD69A3">
        <w:rPr>
          <w:sz w:val="18"/>
          <w:szCs w:val="18"/>
        </w:rPr>
        <w:t>British Standards Institution</w:t>
      </w:r>
      <w:r>
        <w:rPr>
          <w:sz w:val="18"/>
          <w:szCs w:val="18"/>
        </w:rPr>
        <w:t xml:space="preserve"> (BSI)</w:t>
      </w:r>
      <w:r w:rsidRPr="00FD69A3">
        <w:rPr>
          <w:sz w:val="18"/>
          <w:szCs w:val="18"/>
        </w:rPr>
        <w:t xml:space="preserve"> (</w:t>
      </w:r>
      <w:r w:rsidRPr="00FD69A3">
        <w:rPr>
          <w:rStyle w:val="nlmyear"/>
          <w:sz w:val="18"/>
          <w:szCs w:val="18"/>
        </w:rPr>
        <w:t>1990</w:t>
      </w:r>
      <w:r w:rsidRPr="00FD69A3">
        <w:rPr>
          <w:sz w:val="18"/>
          <w:szCs w:val="18"/>
        </w:rPr>
        <w:t xml:space="preserve">) BS 1377-3: 1990 Soils for Civil Engineering Purposes. </w:t>
      </w:r>
      <w:r w:rsidRPr="00FD69A3">
        <w:rPr>
          <w:rStyle w:val="nlmpublisher-loc"/>
          <w:sz w:val="18"/>
          <w:szCs w:val="18"/>
        </w:rPr>
        <w:t>London, UK</w:t>
      </w:r>
      <w:r w:rsidRPr="00FD69A3">
        <w:rPr>
          <w:sz w:val="18"/>
          <w:szCs w:val="18"/>
        </w:rPr>
        <w:t xml:space="preserve">: </w:t>
      </w:r>
      <w:r w:rsidRPr="00FD69A3">
        <w:rPr>
          <w:rStyle w:val="nlmpublisher-name"/>
          <w:sz w:val="18"/>
          <w:szCs w:val="18"/>
        </w:rPr>
        <w:t>British Standards Institution</w:t>
      </w:r>
    </w:p>
    <w:p w14:paraId="657F7E0F" w14:textId="5043D3FB" w:rsidR="00D72F7F" w:rsidRDefault="004C3F6B" w:rsidP="00D72F7F">
      <w:pPr>
        <w:rPr>
          <w:rStyle w:val="A6"/>
          <w:rFonts w:ascii="Arial" w:hAnsi="Arial" w:cs="Arial"/>
        </w:rPr>
      </w:pPr>
      <w:r w:rsidRPr="00C267B1">
        <w:rPr>
          <w:rStyle w:val="A6"/>
          <w:rFonts w:ascii="Arial" w:hAnsi="Arial" w:cs="Arial"/>
        </w:rPr>
        <w:t>Cheshomi, A., Eshaghi, A., Hassanpour, J. (2017). Effect of lime and ﬂy ash on swelling percentage and Atterberg limits of sulfate-bearing clay.</w:t>
      </w:r>
      <w:r w:rsidRPr="00C267B1">
        <w:rPr>
          <w:sz w:val="18"/>
          <w:szCs w:val="18"/>
        </w:rPr>
        <w:t xml:space="preserve"> </w:t>
      </w:r>
      <w:r w:rsidRPr="00C267B1">
        <w:rPr>
          <w:rStyle w:val="A6"/>
          <w:rFonts w:ascii="Arial" w:hAnsi="Arial" w:cs="Arial"/>
        </w:rPr>
        <w:t>Applied Clay Science, 135, pp. 190–198</w:t>
      </w:r>
      <w:r w:rsidR="00D72F7F" w:rsidRPr="00C267B1">
        <w:rPr>
          <w:rStyle w:val="A6"/>
          <w:rFonts w:ascii="Arial" w:hAnsi="Arial" w:cs="Arial"/>
        </w:rPr>
        <w:t>.</w:t>
      </w:r>
    </w:p>
    <w:p w14:paraId="5528267D" w14:textId="772F2B2D" w:rsidR="001B6790" w:rsidRDefault="001B6790" w:rsidP="001B6790">
      <w:pPr>
        <w:rPr>
          <w:rStyle w:val="A6"/>
          <w:rFonts w:ascii="Arial" w:hAnsi="Arial" w:cs="Arial"/>
        </w:rPr>
      </w:pPr>
      <w:r w:rsidRPr="001B6790">
        <w:rPr>
          <w:rStyle w:val="A6"/>
          <w:rFonts w:ascii="Arial" w:hAnsi="Arial" w:cs="Arial"/>
        </w:rPr>
        <w:t>Chrysochoou, M</w:t>
      </w:r>
      <w:r>
        <w:rPr>
          <w:rStyle w:val="A6"/>
          <w:rFonts w:ascii="Arial" w:hAnsi="Arial" w:cs="Arial"/>
        </w:rPr>
        <w:t>.</w:t>
      </w:r>
      <w:r w:rsidRPr="001B6790">
        <w:rPr>
          <w:rStyle w:val="A6"/>
          <w:rFonts w:ascii="Arial" w:hAnsi="Arial" w:cs="Arial"/>
        </w:rPr>
        <w:t xml:space="preserve"> Grubb</w:t>
      </w:r>
      <w:r>
        <w:rPr>
          <w:rStyle w:val="A6"/>
          <w:rFonts w:ascii="Arial" w:hAnsi="Arial" w:cs="Arial"/>
        </w:rPr>
        <w:t>,</w:t>
      </w:r>
      <w:r w:rsidRPr="001B6790">
        <w:rPr>
          <w:rStyle w:val="A6"/>
          <w:rFonts w:ascii="Arial" w:hAnsi="Arial" w:cs="Arial"/>
        </w:rPr>
        <w:t xml:space="preserve"> D</w:t>
      </w:r>
      <w:r>
        <w:rPr>
          <w:rStyle w:val="A6"/>
          <w:rFonts w:ascii="Arial" w:hAnsi="Arial" w:cs="Arial"/>
        </w:rPr>
        <w:t>.</w:t>
      </w:r>
      <w:r w:rsidRPr="001B6790">
        <w:rPr>
          <w:rStyle w:val="A6"/>
          <w:rFonts w:ascii="Arial" w:hAnsi="Arial" w:cs="Arial"/>
        </w:rPr>
        <w:t>G</w:t>
      </w:r>
      <w:r>
        <w:rPr>
          <w:rStyle w:val="A6"/>
          <w:rFonts w:ascii="Arial" w:hAnsi="Arial" w:cs="Arial"/>
        </w:rPr>
        <w:t>.</w:t>
      </w:r>
      <w:r w:rsidRPr="001B6790">
        <w:rPr>
          <w:rStyle w:val="A6"/>
          <w:rFonts w:ascii="Arial" w:hAnsi="Arial" w:cs="Arial"/>
        </w:rPr>
        <w:t>, Malasavage</w:t>
      </w:r>
      <w:r>
        <w:rPr>
          <w:rStyle w:val="A6"/>
          <w:rFonts w:ascii="Arial" w:hAnsi="Arial" w:cs="Arial"/>
        </w:rPr>
        <w:t xml:space="preserve">, </w:t>
      </w:r>
      <w:r w:rsidRPr="001B6790">
        <w:rPr>
          <w:rStyle w:val="A6"/>
          <w:rFonts w:ascii="Arial" w:hAnsi="Arial" w:cs="Arial"/>
        </w:rPr>
        <w:t>N</w:t>
      </w:r>
      <w:r>
        <w:rPr>
          <w:rStyle w:val="A6"/>
          <w:rFonts w:ascii="Arial" w:hAnsi="Arial" w:cs="Arial"/>
        </w:rPr>
        <w:t>.</w:t>
      </w:r>
      <w:r w:rsidRPr="001B6790">
        <w:rPr>
          <w:rStyle w:val="A6"/>
          <w:rFonts w:ascii="Arial" w:hAnsi="Arial" w:cs="Arial"/>
        </w:rPr>
        <w:t>E</w:t>
      </w:r>
      <w:r>
        <w:rPr>
          <w:rStyle w:val="A6"/>
          <w:rFonts w:ascii="Arial" w:hAnsi="Arial" w:cs="Arial"/>
        </w:rPr>
        <w:t xml:space="preserve">. (2012). </w:t>
      </w:r>
      <w:r w:rsidRPr="001B6790">
        <w:rPr>
          <w:rStyle w:val="A6"/>
          <w:rFonts w:ascii="Arial" w:hAnsi="Arial" w:cs="Arial"/>
        </w:rPr>
        <w:t>Assessment of sulfate-induced swell in stabilized dredged material: Is ettringite always a problem?</w:t>
      </w:r>
      <w:r>
        <w:rPr>
          <w:rStyle w:val="A6"/>
          <w:rFonts w:ascii="Arial" w:hAnsi="Arial" w:cs="Arial"/>
        </w:rPr>
        <w:t xml:space="preserve"> </w:t>
      </w:r>
      <w:r w:rsidRPr="001B6790">
        <w:rPr>
          <w:rStyle w:val="A6"/>
          <w:rFonts w:ascii="Arial" w:hAnsi="Arial" w:cs="Arial"/>
        </w:rPr>
        <w:t>Journal of Geotechnical and Geoenvironmental engineering 138 (3), 407-414</w:t>
      </w:r>
      <w:r w:rsidR="00BD60A3">
        <w:rPr>
          <w:rStyle w:val="A6"/>
          <w:rFonts w:ascii="Arial" w:hAnsi="Arial" w:cs="Arial"/>
        </w:rPr>
        <w:t>.</w:t>
      </w:r>
    </w:p>
    <w:p w14:paraId="0D03ADCE" w14:textId="4911FC66" w:rsidR="00BD60A3" w:rsidRPr="00BD60A3" w:rsidRDefault="00BD60A3" w:rsidP="00BD60A3">
      <w:pPr>
        <w:rPr>
          <w:rFonts w:cs="Arial"/>
          <w:color w:val="221E1F"/>
          <w:sz w:val="18"/>
          <w:szCs w:val="18"/>
        </w:rPr>
      </w:pPr>
      <w:r w:rsidRPr="00BD60A3">
        <w:rPr>
          <w:rFonts w:cs="Arial"/>
          <w:color w:val="221E1F"/>
          <w:sz w:val="18"/>
          <w:szCs w:val="18"/>
        </w:rPr>
        <w:t>Dermatas, D. (1995)</w:t>
      </w:r>
      <w:r>
        <w:rPr>
          <w:rFonts w:cs="Arial"/>
          <w:color w:val="221E1F"/>
          <w:sz w:val="18"/>
          <w:szCs w:val="18"/>
        </w:rPr>
        <w:t>.</w:t>
      </w:r>
      <w:r w:rsidRPr="00BD60A3">
        <w:rPr>
          <w:rFonts w:cs="Arial"/>
          <w:color w:val="221E1F"/>
          <w:sz w:val="18"/>
          <w:szCs w:val="18"/>
        </w:rPr>
        <w:t xml:space="preserve"> Ettringite-induced swelling in soils: State-of-the-art</w:t>
      </w:r>
      <w:r>
        <w:rPr>
          <w:rFonts w:cs="Arial"/>
          <w:color w:val="221E1F"/>
          <w:sz w:val="18"/>
          <w:szCs w:val="18"/>
        </w:rPr>
        <w:t>.</w:t>
      </w:r>
      <w:r w:rsidRPr="00BD60A3">
        <w:rPr>
          <w:rFonts w:cs="Arial"/>
          <w:color w:val="221E1F"/>
          <w:sz w:val="18"/>
          <w:szCs w:val="18"/>
        </w:rPr>
        <w:t xml:space="preserve"> </w:t>
      </w:r>
      <w:r w:rsidRPr="00BD60A3">
        <w:rPr>
          <w:rFonts w:cs="Arial"/>
          <w:iCs/>
          <w:color w:val="221E1F"/>
          <w:sz w:val="18"/>
          <w:szCs w:val="18"/>
        </w:rPr>
        <w:t>Applied Mechanics Reviews,</w:t>
      </w:r>
      <w:r w:rsidRPr="00BD60A3">
        <w:rPr>
          <w:rFonts w:cs="Arial"/>
          <w:color w:val="221E1F"/>
          <w:sz w:val="18"/>
          <w:szCs w:val="18"/>
        </w:rPr>
        <w:t xml:space="preserve">  </w:t>
      </w:r>
      <w:r w:rsidRPr="00BD60A3">
        <w:rPr>
          <w:rFonts w:cs="Arial"/>
          <w:bCs/>
          <w:color w:val="221E1F"/>
          <w:sz w:val="18"/>
          <w:szCs w:val="18"/>
        </w:rPr>
        <w:t>48</w:t>
      </w:r>
      <w:r w:rsidRPr="00BD60A3">
        <w:rPr>
          <w:rFonts w:cs="Arial"/>
          <w:color w:val="221E1F"/>
          <w:sz w:val="18"/>
          <w:szCs w:val="18"/>
        </w:rPr>
        <w:t xml:space="preserve"> (10), pp:  659–673.</w:t>
      </w:r>
    </w:p>
    <w:p w14:paraId="76F9B13C" w14:textId="6ACFB420" w:rsidR="00D72F7F" w:rsidRPr="00D72F7F" w:rsidRDefault="00D72F7F" w:rsidP="00D72F7F">
      <w:pPr>
        <w:rPr>
          <w:rFonts w:cs="Arial"/>
          <w:color w:val="221E1F"/>
          <w:sz w:val="18"/>
          <w:szCs w:val="18"/>
        </w:rPr>
      </w:pPr>
      <w:r w:rsidRPr="00D72F7F">
        <w:rPr>
          <w:rFonts w:cs="Arial"/>
          <w:color w:val="221E1F"/>
          <w:sz w:val="18"/>
          <w:szCs w:val="18"/>
        </w:rPr>
        <w:t>Eades, J.L.</w:t>
      </w:r>
      <w:r w:rsidRPr="00C267B1">
        <w:rPr>
          <w:rFonts w:cs="Arial"/>
          <w:color w:val="221E1F"/>
          <w:sz w:val="18"/>
          <w:szCs w:val="18"/>
        </w:rPr>
        <w:t>,</w:t>
      </w:r>
      <w:r w:rsidRPr="00D72F7F">
        <w:rPr>
          <w:rFonts w:cs="Arial"/>
          <w:color w:val="221E1F"/>
          <w:sz w:val="18"/>
          <w:szCs w:val="18"/>
        </w:rPr>
        <w:t xml:space="preserve"> Grim</w:t>
      </w:r>
      <w:r w:rsidRPr="00C267B1">
        <w:rPr>
          <w:rFonts w:cs="Arial"/>
          <w:color w:val="221E1F"/>
          <w:sz w:val="18"/>
          <w:szCs w:val="18"/>
        </w:rPr>
        <w:t>,</w:t>
      </w:r>
      <w:r w:rsidRPr="00D72F7F">
        <w:rPr>
          <w:rFonts w:cs="Arial"/>
          <w:color w:val="221E1F"/>
          <w:sz w:val="18"/>
          <w:szCs w:val="18"/>
        </w:rPr>
        <w:t xml:space="preserve"> R.E. (1966)</w:t>
      </w:r>
      <w:r w:rsidRPr="00C267B1">
        <w:rPr>
          <w:rFonts w:cs="Arial"/>
          <w:color w:val="221E1F"/>
          <w:sz w:val="18"/>
          <w:szCs w:val="18"/>
        </w:rPr>
        <w:t xml:space="preserve">. A quick test to determine lime requirements for soil stabilization. </w:t>
      </w:r>
      <w:r w:rsidRPr="00D72F7F">
        <w:rPr>
          <w:rFonts w:cs="Arial"/>
          <w:i/>
          <w:color w:val="221E1F"/>
          <w:sz w:val="18"/>
          <w:szCs w:val="18"/>
        </w:rPr>
        <w:t>Transportation Research Board</w:t>
      </w:r>
      <w:r w:rsidRPr="00D72F7F">
        <w:rPr>
          <w:rFonts w:cs="Arial"/>
          <w:color w:val="221E1F"/>
          <w:sz w:val="18"/>
          <w:szCs w:val="18"/>
        </w:rPr>
        <w:t>, Washington, DC Highway Research Record</w:t>
      </w:r>
      <w:r w:rsidRPr="00C267B1">
        <w:rPr>
          <w:rFonts w:cs="Arial"/>
          <w:color w:val="221E1F"/>
          <w:sz w:val="18"/>
          <w:szCs w:val="18"/>
        </w:rPr>
        <w:t>,</w:t>
      </w:r>
      <w:r w:rsidRPr="00D72F7F">
        <w:rPr>
          <w:rFonts w:cs="Arial"/>
          <w:color w:val="221E1F"/>
          <w:sz w:val="18"/>
          <w:szCs w:val="18"/>
        </w:rPr>
        <w:t xml:space="preserve">  </w:t>
      </w:r>
      <w:r w:rsidRPr="00D72F7F">
        <w:rPr>
          <w:rFonts w:cs="Arial"/>
          <w:bCs/>
          <w:color w:val="221E1F"/>
          <w:sz w:val="18"/>
          <w:szCs w:val="18"/>
        </w:rPr>
        <w:t>139</w:t>
      </w:r>
      <w:r w:rsidRPr="00C267B1">
        <w:rPr>
          <w:rFonts w:cs="Arial"/>
          <w:color w:val="221E1F"/>
          <w:sz w:val="18"/>
          <w:szCs w:val="18"/>
        </w:rPr>
        <w:t xml:space="preserve">, pp. </w:t>
      </w:r>
      <w:r w:rsidRPr="00D72F7F">
        <w:rPr>
          <w:rFonts w:cs="Arial"/>
          <w:color w:val="221E1F"/>
          <w:sz w:val="18"/>
          <w:szCs w:val="18"/>
        </w:rPr>
        <w:t>61–72</w:t>
      </w:r>
      <w:r w:rsidRPr="00C267B1">
        <w:rPr>
          <w:rFonts w:cs="Arial"/>
          <w:color w:val="221E1F"/>
          <w:sz w:val="18"/>
          <w:szCs w:val="18"/>
        </w:rPr>
        <w:t>.</w:t>
      </w:r>
      <w:r w:rsidRPr="00D72F7F">
        <w:rPr>
          <w:rFonts w:cs="Arial"/>
          <w:color w:val="221E1F"/>
          <w:sz w:val="18"/>
          <w:szCs w:val="18"/>
        </w:rPr>
        <w:t xml:space="preserve"> </w:t>
      </w:r>
    </w:p>
    <w:p w14:paraId="12D8EC0D" w14:textId="54E4D404" w:rsidR="004C3F6B" w:rsidRDefault="004C3F6B" w:rsidP="004C3F6B">
      <w:pPr>
        <w:rPr>
          <w:rStyle w:val="A6"/>
          <w:rFonts w:ascii="Arial" w:hAnsi="Arial" w:cs="Arial"/>
        </w:rPr>
      </w:pPr>
      <w:r w:rsidRPr="00C267B1">
        <w:rPr>
          <w:rStyle w:val="A6"/>
          <w:rFonts w:ascii="Arial" w:hAnsi="Arial" w:cs="Arial"/>
        </w:rPr>
        <w:t>Harris, P., Scullion, T., Sebesta, S.  (2004).  Hydrated lime stabilization of sulphate-bearing soils in Texas.  Report FHWA/TX-04/0-4240-2, Texas Transportation Institute.</w:t>
      </w:r>
    </w:p>
    <w:p w14:paraId="6FCAC3E2" w14:textId="43697F76" w:rsidR="006177BB" w:rsidRPr="006177BB" w:rsidRDefault="006177BB" w:rsidP="006177BB">
      <w:pPr>
        <w:rPr>
          <w:sz w:val="18"/>
          <w:szCs w:val="18"/>
        </w:rPr>
      </w:pPr>
      <w:r w:rsidRPr="006177BB">
        <w:rPr>
          <w:sz w:val="18"/>
          <w:szCs w:val="18"/>
        </w:rPr>
        <w:t>Gu, K</w:t>
      </w:r>
      <w:r>
        <w:rPr>
          <w:sz w:val="18"/>
          <w:szCs w:val="18"/>
        </w:rPr>
        <w:t>.,</w:t>
      </w:r>
      <w:r w:rsidRPr="006177BB">
        <w:rPr>
          <w:sz w:val="18"/>
          <w:szCs w:val="18"/>
        </w:rPr>
        <w:t xml:space="preserve"> Jin, F</w:t>
      </w:r>
      <w:r>
        <w:rPr>
          <w:sz w:val="18"/>
          <w:szCs w:val="18"/>
        </w:rPr>
        <w:t xml:space="preserve">., </w:t>
      </w:r>
      <w:r w:rsidRPr="006177BB">
        <w:rPr>
          <w:sz w:val="18"/>
          <w:szCs w:val="18"/>
        </w:rPr>
        <w:t>Al-Tabbaa, A</w:t>
      </w:r>
      <w:r>
        <w:rPr>
          <w:sz w:val="18"/>
          <w:szCs w:val="18"/>
        </w:rPr>
        <w:t xml:space="preserve">., </w:t>
      </w:r>
      <w:r w:rsidRPr="006177BB">
        <w:rPr>
          <w:sz w:val="18"/>
          <w:szCs w:val="18"/>
        </w:rPr>
        <w:t>Shi, B</w:t>
      </w:r>
      <w:r>
        <w:rPr>
          <w:sz w:val="18"/>
          <w:szCs w:val="18"/>
        </w:rPr>
        <w:t xml:space="preserve">., </w:t>
      </w:r>
      <w:r w:rsidRPr="006177BB">
        <w:rPr>
          <w:sz w:val="18"/>
          <w:szCs w:val="18"/>
        </w:rPr>
        <w:t>Liu, C</w:t>
      </w:r>
      <w:r>
        <w:rPr>
          <w:sz w:val="18"/>
          <w:szCs w:val="18"/>
        </w:rPr>
        <w:t xml:space="preserve">, </w:t>
      </w:r>
      <w:r w:rsidRPr="006177BB">
        <w:rPr>
          <w:sz w:val="18"/>
          <w:szCs w:val="18"/>
        </w:rPr>
        <w:t>Gao, L</w:t>
      </w:r>
      <w:r>
        <w:rPr>
          <w:sz w:val="18"/>
          <w:szCs w:val="18"/>
        </w:rPr>
        <w:t>.</w:t>
      </w:r>
      <w:r w:rsidRPr="006177BB">
        <w:rPr>
          <w:sz w:val="18"/>
          <w:szCs w:val="18"/>
        </w:rPr>
        <w:t xml:space="preserve"> (2015)</w:t>
      </w:r>
      <w:r>
        <w:rPr>
          <w:sz w:val="18"/>
          <w:szCs w:val="18"/>
        </w:rPr>
        <w:t>.</w:t>
      </w:r>
      <w:r w:rsidRPr="006177BB">
        <w:rPr>
          <w:sz w:val="18"/>
          <w:szCs w:val="18"/>
        </w:rPr>
        <w:t xml:space="preserve"> Incorporation of reactive magnesia and quicklime in sustainable binders for soil stabilisation. Engineering Geology, 195</w:t>
      </w:r>
      <w:r>
        <w:rPr>
          <w:sz w:val="18"/>
          <w:szCs w:val="18"/>
        </w:rPr>
        <w:t>,</w:t>
      </w:r>
      <w:r w:rsidRPr="006177BB">
        <w:rPr>
          <w:sz w:val="18"/>
          <w:szCs w:val="18"/>
        </w:rPr>
        <w:t xml:space="preserve"> pp. 53-62. </w:t>
      </w:r>
    </w:p>
    <w:p w14:paraId="69A68DEB" w14:textId="64F9CBB0" w:rsidR="00415E6A" w:rsidRDefault="00415E6A" w:rsidP="00415E6A">
      <w:pPr>
        <w:rPr>
          <w:rStyle w:val="A6"/>
          <w:rFonts w:ascii="Arial" w:hAnsi="Arial" w:cs="Arial"/>
        </w:rPr>
      </w:pPr>
      <w:r w:rsidRPr="00415E6A">
        <w:rPr>
          <w:rStyle w:val="A6"/>
          <w:rFonts w:ascii="Arial" w:hAnsi="Arial" w:cs="Arial"/>
        </w:rPr>
        <w:t>Jin, F.</w:t>
      </w:r>
      <w:r>
        <w:rPr>
          <w:rStyle w:val="A6"/>
          <w:rFonts w:ascii="Arial" w:hAnsi="Arial" w:cs="Arial"/>
        </w:rPr>
        <w:t>,</w:t>
      </w:r>
      <w:r w:rsidRPr="00415E6A">
        <w:rPr>
          <w:rStyle w:val="A6"/>
          <w:rFonts w:ascii="Arial" w:hAnsi="Arial" w:cs="Arial"/>
        </w:rPr>
        <w:t xml:space="preserve"> Gu, K.</w:t>
      </w:r>
      <w:r>
        <w:rPr>
          <w:rStyle w:val="A6"/>
          <w:rFonts w:ascii="Arial" w:hAnsi="Arial" w:cs="Arial"/>
        </w:rPr>
        <w:t>,</w:t>
      </w:r>
      <w:r w:rsidRPr="00415E6A">
        <w:rPr>
          <w:rStyle w:val="A6"/>
          <w:rFonts w:ascii="Arial" w:hAnsi="Arial" w:cs="Arial"/>
        </w:rPr>
        <w:t xml:space="preserve"> Al-Tabbaa</w:t>
      </w:r>
      <w:r>
        <w:rPr>
          <w:rStyle w:val="A6"/>
          <w:rFonts w:ascii="Arial" w:hAnsi="Arial" w:cs="Arial"/>
        </w:rPr>
        <w:t>,</w:t>
      </w:r>
      <w:r w:rsidRPr="00415E6A">
        <w:rPr>
          <w:rStyle w:val="A6"/>
          <w:rFonts w:ascii="Arial" w:hAnsi="Arial" w:cs="Arial"/>
        </w:rPr>
        <w:t xml:space="preserve"> A. (2015)</w:t>
      </w:r>
      <w:r>
        <w:rPr>
          <w:rStyle w:val="A6"/>
          <w:rFonts w:ascii="Arial" w:hAnsi="Arial" w:cs="Arial"/>
        </w:rPr>
        <w:t xml:space="preserve">. </w:t>
      </w:r>
      <w:r w:rsidRPr="00415E6A">
        <w:rPr>
          <w:rStyle w:val="A6"/>
          <w:rFonts w:ascii="Arial" w:hAnsi="Arial" w:cs="Arial"/>
        </w:rPr>
        <w:t>Strength and hydration properties of reactive MgO-activated ground granulated blastfurnace slag paste</w:t>
      </w:r>
      <w:r>
        <w:rPr>
          <w:rStyle w:val="A6"/>
          <w:rFonts w:ascii="Arial" w:hAnsi="Arial" w:cs="Arial"/>
        </w:rPr>
        <w:t xml:space="preserve">. </w:t>
      </w:r>
      <w:r w:rsidRPr="00415E6A">
        <w:rPr>
          <w:rStyle w:val="A6"/>
          <w:rFonts w:ascii="Arial" w:hAnsi="Arial" w:cs="Arial"/>
        </w:rPr>
        <w:t>Cem</w:t>
      </w:r>
      <w:r>
        <w:rPr>
          <w:rStyle w:val="A6"/>
          <w:rFonts w:ascii="Arial" w:hAnsi="Arial" w:cs="Arial"/>
        </w:rPr>
        <w:t>ent and</w:t>
      </w:r>
      <w:r w:rsidRPr="00415E6A">
        <w:rPr>
          <w:rStyle w:val="A6"/>
          <w:rFonts w:ascii="Arial" w:hAnsi="Arial" w:cs="Arial"/>
        </w:rPr>
        <w:t xml:space="preserve"> Concr</w:t>
      </w:r>
      <w:r>
        <w:rPr>
          <w:rStyle w:val="A6"/>
          <w:rFonts w:ascii="Arial" w:hAnsi="Arial" w:cs="Arial"/>
        </w:rPr>
        <w:t>ete</w:t>
      </w:r>
      <w:r w:rsidRPr="00415E6A">
        <w:rPr>
          <w:rStyle w:val="A6"/>
          <w:rFonts w:ascii="Arial" w:hAnsi="Arial" w:cs="Arial"/>
        </w:rPr>
        <w:t xml:space="preserve"> Compos</w:t>
      </w:r>
      <w:r>
        <w:rPr>
          <w:rStyle w:val="A6"/>
          <w:rFonts w:ascii="Arial" w:hAnsi="Arial" w:cs="Arial"/>
        </w:rPr>
        <w:t>ites</w:t>
      </w:r>
      <w:r w:rsidRPr="00415E6A">
        <w:rPr>
          <w:rStyle w:val="A6"/>
          <w:rFonts w:ascii="Arial" w:hAnsi="Arial" w:cs="Arial"/>
        </w:rPr>
        <w:t>, 57, pp. 8-16</w:t>
      </w:r>
      <w:r w:rsidR="00F75840">
        <w:rPr>
          <w:rStyle w:val="A6"/>
          <w:rFonts w:ascii="Arial" w:hAnsi="Arial" w:cs="Arial"/>
        </w:rPr>
        <w:t>.</w:t>
      </w:r>
    </w:p>
    <w:p w14:paraId="5E081942" w14:textId="51D493DD" w:rsidR="00CB25FF" w:rsidRPr="00C267B1" w:rsidRDefault="00CB25FF" w:rsidP="00415E6A">
      <w:pPr>
        <w:rPr>
          <w:rStyle w:val="A6"/>
          <w:rFonts w:ascii="Arial" w:hAnsi="Arial" w:cs="Arial"/>
        </w:rPr>
      </w:pPr>
      <w:bookmarkStart w:id="7" w:name="_Hlk67766445"/>
      <w:r w:rsidRPr="00CB25FF">
        <w:rPr>
          <w:rStyle w:val="A6"/>
          <w:rFonts w:ascii="Arial" w:hAnsi="Arial" w:cs="Arial"/>
        </w:rPr>
        <w:t>Knopp J</w:t>
      </w:r>
      <w:r>
        <w:rPr>
          <w:rStyle w:val="A6"/>
          <w:rFonts w:ascii="Arial" w:hAnsi="Arial" w:cs="Arial"/>
        </w:rPr>
        <w:t>.,</w:t>
      </w:r>
      <w:r w:rsidRPr="00CB25FF">
        <w:rPr>
          <w:rStyle w:val="A6"/>
          <w:rFonts w:ascii="Arial" w:hAnsi="Arial" w:cs="Arial"/>
        </w:rPr>
        <w:t xml:space="preserve"> Moormann </w:t>
      </w:r>
      <w:r>
        <w:rPr>
          <w:rStyle w:val="A6"/>
          <w:rFonts w:ascii="Arial" w:hAnsi="Arial" w:cs="Arial"/>
        </w:rPr>
        <w:t xml:space="preserve">C. (2016). </w:t>
      </w:r>
      <w:bookmarkEnd w:id="7"/>
      <w:r w:rsidRPr="00CB25FF">
        <w:rPr>
          <w:rStyle w:val="A6"/>
          <w:rFonts w:ascii="Arial" w:hAnsi="Arial" w:cs="Arial"/>
        </w:rPr>
        <w:t>Ettringite Swelling in the Treatment of Sulfate-Containing Soils Used as Subgrade  for Road Constructions</w:t>
      </w:r>
      <w:r>
        <w:rPr>
          <w:rStyle w:val="A6"/>
          <w:rFonts w:ascii="Arial" w:hAnsi="Arial" w:cs="Arial"/>
        </w:rPr>
        <w:t>. Procedia Engineering, 143, pp</w:t>
      </w:r>
      <w:r w:rsidR="00CF4640">
        <w:rPr>
          <w:rStyle w:val="A6"/>
          <w:rFonts w:ascii="Arial" w:hAnsi="Arial" w:cs="Arial"/>
        </w:rPr>
        <w:t xml:space="preserve">. </w:t>
      </w:r>
      <w:r w:rsidR="00CF4640" w:rsidRPr="00CF4640">
        <w:rPr>
          <w:rStyle w:val="A6"/>
          <w:rFonts w:ascii="Arial" w:hAnsi="Arial" w:cs="Arial"/>
        </w:rPr>
        <w:t>28–137</w:t>
      </w:r>
      <w:r w:rsidR="00CF4640">
        <w:rPr>
          <w:rStyle w:val="A6"/>
          <w:rFonts w:ascii="Arial" w:hAnsi="Arial" w:cs="Arial"/>
        </w:rPr>
        <w:t>.</w:t>
      </w:r>
      <w:r w:rsidRPr="00CB25FF">
        <w:rPr>
          <w:rStyle w:val="A6"/>
          <w:rFonts w:ascii="Arial" w:hAnsi="Arial" w:cs="Arial"/>
        </w:rPr>
        <w:t xml:space="preserve"> doi:10.1016/j.proeng.2016.06.017  </w:t>
      </w:r>
    </w:p>
    <w:p w14:paraId="26E46CFD" w14:textId="132F740F" w:rsidR="004C3F6B" w:rsidRPr="00C267B1" w:rsidRDefault="004C3F6B" w:rsidP="004C3F6B">
      <w:pPr>
        <w:rPr>
          <w:rStyle w:val="A6"/>
          <w:rFonts w:ascii="Arial" w:hAnsi="Arial" w:cs="Arial"/>
        </w:rPr>
      </w:pPr>
      <w:r w:rsidRPr="00C267B1">
        <w:rPr>
          <w:rStyle w:val="A6"/>
          <w:rFonts w:ascii="Arial" w:hAnsi="Arial" w:cs="Arial"/>
        </w:rPr>
        <w:t>Little, D. N., Nair, S., Herbert, B. (2010). Addressing Sulfate-Induced Heave in Lime Treated Soils, Journal of Geotechnical and Geoenvironmental Engineering, 136 (1), pp. 110-118.</w:t>
      </w:r>
    </w:p>
    <w:p w14:paraId="01ECD2DC" w14:textId="45475AC2" w:rsidR="00D72F7F" w:rsidRPr="00C267B1" w:rsidRDefault="00D72F7F" w:rsidP="00D72F7F">
      <w:pPr>
        <w:rPr>
          <w:rFonts w:cs="Arial"/>
          <w:color w:val="221E1F"/>
          <w:sz w:val="18"/>
          <w:szCs w:val="18"/>
        </w:rPr>
      </w:pPr>
      <w:r w:rsidRPr="00D72F7F">
        <w:rPr>
          <w:rFonts w:cs="Arial"/>
          <w:color w:val="221E1F"/>
          <w:sz w:val="18"/>
          <w:szCs w:val="18"/>
        </w:rPr>
        <w:t>Mavroulidou, M. (2018)</w:t>
      </w:r>
      <w:r w:rsidRPr="00C267B1">
        <w:rPr>
          <w:rFonts w:cs="Arial"/>
          <w:color w:val="221E1F"/>
          <w:sz w:val="18"/>
          <w:szCs w:val="18"/>
        </w:rPr>
        <w:t>.</w:t>
      </w:r>
      <w:r w:rsidRPr="00D72F7F">
        <w:rPr>
          <w:rFonts w:cs="Arial"/>
          <w:color w:val="221E1F"/>
          <w:sz w:val="18"/>
          <w:szCs w:val="18"/>
        </w:rPr>
        <w:t xml:space="preserve"> Use of paper sludge ash as a calcium-based stabiliser for clay soils </w:t>
      </w:r>
      <w:r w:rsidRPr="00D72F7F">
        <w:rPr>
          <w:rFonts w:cs="Arial"/>
          <w:i/>
          <w:color w:val="221E1F"/>
          <w:sz w:val="18"/>
          <w:szCs w:val="18"/>
        </w:rPr>
        <w:t>Waste Management and Research,</w:t>
      </w:r>
      <w:r w:rsidRPr="00D72F7F">
        <w:rPr>
          <w:rFonts w:cs="Arial"/>
          <w:color w:val="221E1F"/>
          <w:sz w:val="18"/>
          <w:szCs w:val="18"/>
        </w:rPr>
        <w:t xml:space="preserve"> 36 (11)</w:t>
      </w:r>
      <w:r w:rsidRPr="00C267B1">
        <w:rPr>
          <w:rFonts w:cs="Arial"/>
          <w:color w:val="221E1F"/>
          <w:sz w:val="18"/>
          <w:szCs w:val="18"/>
        </w:rPr>
        <w:t>, pp.</w:t>
      </w:r>
      <w:r w:rsidRPr="00D72F7F">
        <w:rPr>
          <w:rFonts w:cs="Arial"/>
          <w:color w:val="221E1F"/>
          <w:sz w:val="18"/>
          <w:szCs w:val="18"/>
        </w:rPr>
        <w:t xml:space="preserve"> 1066–1072</w:t>
      </w:r>
      <w:r w:rsidRPr="00C267B1">
        <w:rPr>
          <w:rFonts w:cs="Arial"/>
          <w:color w:val="221E1F"/>
          <w:sz w:val="18"/>
          <w:szCs w:val="18"/>
        </w:rPr>
        <w:t>.</w:t>
      </w:r>
    </w:p>
    <w:p w14:paraId="5D807016" w14:textId="0ADDA6A4" w:rsidR="00DA493D" w:rsidRDefault="005741F6" w:rsidP="00DA493D">
      <w:pPr>
        <w:rPr>
          <w:rFonts w:cs="Arial"/>
          <w:color w:val="221E1F"/>
          <w:sz w:val="18"/>
          <w:szCs w:val="18"/>
        </w:rPr>
      </w:pPr>
      <w:r w:rsidRPr="005741F6">
        <w:rPr>
          <w:rFonts w:cs="Arial"/>
          <w:color w:val="221E1F"/>
          <w:sz w:val="18"/>
          <w:szCs w:val="18"/>
        </w:rPr>
        <w:t>Mavroulidou</w:t>
      </w:r>
      <w:r w:rsidR="00043586">
        <w:rPr>
          <w:rFonts w:cs="Arial"/>
          <w:color w:val="221E1F"/>
          <w:sz w:val="18"/>
          <w:szCs w:val="18"/>
        </w:rPr>
        <w:t>,</w:t>
      </w:r>
      <w:r w:rsidRPr="005741F6">
        <w:rPr>
          <w:rFonts w:cs="Arial"/>
          <w:color w:val="221E1F"/>
          <w:sz w:val="18"/>
          <w:szCs w:val="18"/>
        </w:rPr>
        <w:t xml:space="preserve"> M</w:t>
      </w:r>
      <w:r w:rsidR="00043586">
        <w:rPr>
          <w:rFonts w:cs="Arial"/>
          <w:color w:val="221E1F"/>
          <w:sz w:val="18"/>
          <w:szCs w:val="18"/>
        </w:rPr>
        <w:t>.</w:t>
      </w:r>
      <w:r w:rsidRPr="005741F6">
        <w:rPr>
          <w:rFonts w:cs="Arial"/>
          <w:color w:val="221E1F"/>
          <w:sz w:val="18"/>
          <w:szCs w:val="18"/>
        </w:rPr>
        <w:t>, Morrison T</w:t>
      </w:r>
      <w:r w:rsidR="00043586">
        <w:rPr>
          <w:rFonts w:cs="Arial"/>
          <w:color w:val="221E1F"/>
          <w:sz w:val="18"/>
          <w:szCs w:val="18"/>
        </w:rPr>
        <w:t>.</w:t>
      </w:r>
      <w:r w:rsidRPr="005741F6">
        <w:rPr>
          <w:rFonts w:cs="Arial"/>
          <w:color w:val="221E1F"/>
          <w:sz w:val="18"/>
          <w:szCs w:val="18"/>
        </w:rPr>
        <w:t>, Unsworth</w:t>
      </w:r>
      <w:r w:rsidR="00043586">
        <w:rPr>
          <w:rFonts w:cs="Arial"/>
          <w:color w:val="221E1F"/>
          <w:sz w:val="18"/>
          <w:szCs w:val="18"/>
        </w:rPr>
        <w:t>,</w:t>
      </w:r>
      <w:r w:rsidRPr="005741F6">
        <w:rPr>
          <w:rFonts w:cs="Arial"/>
          <w:color w:val="221E1F"/>
          <w:sz w:val="18"/>
          <w:szCs w:val="18"/>
        </w:rPr>
        <w:t xml:space="preserve"> C</w:t>
      </w:r>
      <w:r w:rsidR="00043586">
        <w:rPr>
          <w:rFonts w:cs="Arial"/>
          <w:color w:val="221E1F"/>
          <w:sz w:val="18"/>
          <w:szCs w:val="18"/>
        </w:rPr>
        <w:t>.,</w:t>
      </w:r>
      <w:r w:rsidRPr="005741F6">
        <w:rPr>
          <w:rFonts w:cs="Arial"/>
          <w:color w:val="221E1F"/>
          <w:sz w:val="18"/>
          <w:szCs w:val="18"/>
        </w:rPr>
        <w:t xml:space="preserve"> Gunn</w:t>
      </w:r>
      <w:r w:rsidR="00043586">
        <w:rPr>
          <w:rFonts w:cs="Arial"/>
          <w:color w:val="221E1F"/>
          <w:sz w:val="18"/>
          <w:szCs w:val="18"/>
        </w:rPr>
        <w:t>,</w:t>
      </w:r>
      <w:r w:rsidRPr="005741F6">
        <w:rPr>
          <w:rFonts w:cs="Arial"/>
          <w:color w:val="221E1F"/>
          <w:sz w:val="18"/>
          <w:szCs w:val="18"/>
        </w:rPr>
        <w:t xml:space="preserve"> M</w:t>
      </w:r>
      <w:r w:rsidR="00043586">
        <w:rPr>
          <w:rFonts w:cs="Arial"/>
          <w:color w:val="221E1F"/>
          <w:sz w:val="18"/>
          <w:szCs w:val="18"/>
        </w:rPr>
        <w:t>.</w:t>
      </w:r>
      <w:r w:rsidRPr="005741F6">
        <w:rPr>
          <w:rFonts w:cs="Arial"/>
          <w:color w:val="221E1F"/>
          <w:sz w:val="18"/>
          <w:szCs w:val="18"/>
        </w:rPr>
        <w:t>J</w:t>
      </w:r>
      <w:r w:rsidR="00043586">
        <w:rPr>
          <w:rFonts w:cs="Arial"/>
          <w:color w:val="221E1F"/>
          <w:sz w:val="18"/>
          <w:szCs w:val="18"/>
        </w:rPr>
        <w:t>.</w:t>
      </w:r>
      <w:r w:rsidRPr="005741F6">
        <w:rPr>
          <w:rFonts w:cs="Arial"/>
          <w:color w:val="221E1F"/>
          <w:sz w:val="18"/>
          <w:szCs w:val="18"/>
        </w:rPr>
        <w:t xml:space="preserve"> (2015)</w:t>
      </w:r>
      <w:r w:rsidR="002E587C">
        <w:rPr>
          <w:rFonts w:cs="Arial"/>
          <w:color w:val="221E1F"/>
          <w:sz w:val="18"/>
          <w:szCs w:val="18"/>
        </w:rPr>
        <w:t>.</w:t>
      </w:r>
      <w:r w:rsidRPr="005741F6">
        <w:rPr>
          <w:rFonts w:cs="Arial"/>
          <w:color w:val="221E1F"/>
          <w:sz w:val="18"/>
          <w:szCs w:val="18"/>
        </w:rPr>
        <w:t xml:space="preserve"> Properties of concrete made of multicomponent mixes of low-energy demanding binders. </w:t>
      </w:r>
      <w:r w:rsidRPr="005741F6">
        <w:rPr>
          <w:rFonts w:cs="Arial"/>
          <w:iCs/>
          <w:color w:val="221E1F"/>
          <w:sz w:val="18"/>
          <w:szCs w:val="18"/>
        </w:rPr>
        <w:t>Construction and Building Materials</w:t>
      </w:r>
      <w:r w:rsidRPr="005741F6">
        <w:rPr>
          <w:rFonts w:cs="Arial"/>
          <w:color w:val="221E1F"/>
          <w:sz w:val="18"/>
          <w:szCs w:val="18"/>
        </w:rPr>
        <w:t xml:space="preserve"> 101</w:t>
      </w:r>
      <w:r w:rsidRPr="00C267B1">
        <w:rPr>
          <w:rFonts w:cs="Arial"/>
          <w:color w:val="221E1F"/>
          <w:sz w:val="18"/>
          <w:szCs w:val="18"/>
        </w:rPr>
        <w:t>, pp.</w:t>
      </w:r>
      <w:r w:rsidRPr="005741F6">
        <w:rPr>
          <w:rFonts w:cs="Arial"/>
          <w:color w:val="221E1F"/>
          <w:sz w:val="18"/>
          <w:szCs w:val="18"/>
        </w:rPr>
        <w:t xml:space="preserve"> 1122-1141</w:t>
      </w:r>
      <w:r w:rsidR="00DA493D">
        <w:rPr>
          <w:rFonts w:cs="Arial"/>
          <w:color w:val="221E1F"/>
          <w:sz w:val="18"/>
          <w:szCs w:val="18"/>
        </w:rPr>
        <w:t>.</w:t>
      </w:r>
    </w:p>
    <w:p w14:paraId="42C201F6" w14:textId="10F3ED15" w:rsidR="00DA493D" w:rsidRPr="00DA493D" w:rsidRDefault="00DA493D" w:rsidP="00DA493D">
      <w:pPr>
        <w:rPr>
          <w:rFonts w:cs="Arial"/>
          <w:color w:val="221E1F"/>
          <w:sz w:val="18"/>
          <w:szCs w:val="18"/>
        </w:rPr>
      </w:pPr>
      <w:r w:rsidRPr="00DA493D">
        <w:rPr>
          <w:rFonts w:cs="Arial"/>
          <w:color w:val="221E1F"/>
          <w:sz w:val="18"/>
          <w:szCs w:val="18"/>
        </w:rPr>
        <w:t>Mavroulidou M., Ziniatis A., Gray C, et al (2017)</w:t>
      </w:r>
      <w:r w:rsidR="00043586">
        <w:rPr>
          <w:rFonts w:cs="Arial"/>
          <w:color w:val="221E1F"/>
          <w:sz w:val="18"/>
          <w:szCs w:val="18"/>
        </w:rPr>
        <w:t>.</w:t>
      </w:r>
      <w:r w:rsidRPr="00DA493D">
        <w:rPr>
          <w:rFonts w:cs="Arial"/>
          <w:color w:val="221E1F"/>
          <w:sz w:val="18"/>
          <w:szCs w:val="18"/>
        </w:rPr>
        <w:t xml:space="preserve"> Alternative calcium-based chemical stabilisers for ground improvement: Paper Sludge Ash treatment of London Clay, 15th International Conference on Environmental Science and Technology Rhodes, Greece, 31 August to 2 September 2017</w:t>
      </w:r>
    </w:p>
    <w:p w14:paraId="27D20FA3" w14:textId="744E8863" w:rsidR="00DA493D" w:rsidRPr="00DA493D" w:rsidRDefault="00DA493D" w:rsidP="00DA493D">
      <w:pPr>
        <w:rPr>
          <w:rFonts w:cs="Arial"/>
          <w:color w:val="221E1F"/>
          <w:sz w:val="18"/>
          <w:szCs w:val="18"/>
        </w:rPr>
      </w:pPr>
      <w:r>
        <w:rPr>
          <w:rFonts w:cs="Arial"/>
          <w:color w:val="221E1F"/>
          <w:sz w:val="18"/>
          <w:szCs w:val="18"/>
        </w:rPr>
        <w:t>M</w:t>
      </w:r>
      <w:r w:rsidRPr="00DA493D">
        <w:rPr>
          <w:rFonts w:cs="Arial"/>
          <w:color w:val="221E1F"/>
          <w:sz w:val="18"/>
          <w:szCs w:val="18"/>
        </w:rPr>
        <w:t>avroulidou M.,  Garelick J., Gray C., Gunn MJ, Youssef A., Hassan S. (2019)</w:t>
      </w:r>
      <w:r w:rsidR="00043586">
        <w:rPr>
          <w:rFonts w:cs="Arial"/>
          <w:color w:val="221E1F"/>
          <w:sz w:val="18"/>
          <w:szCs w:val="18"/>
        </w:rPr>
        <w:t>.</w:t>
      </w:r>
      <w:r w:rsidRPr="00DA493D">
        <w:rPr>
          <w:rFonts w:cs="Arial"/>
          <w:color w:val="221E1F"/>
          <w:sz w:val="18"/>
          <w:szCs w:val="18"/>
        </w:rPr>
        <w:t xml:space="preserve"> A study on the use of paper recycling waste streams for geotechnical applications, XVII ECSMGE European Conference on Soil Mechanics and Geotechnical Engineering, Reykjavik, Iceland 1</w:t>
      </w:r>
      <w:r w:rsidRPr="00043586">
        <w:rPr>
          <w:rFonts w:cs="Arial"/>
          <w:color w:val="221E1F"/>
          <w:sz w:val="18"/>
          <w:szCs w:val="18"/>
          <w:vertAlign w:val="superscript"/>
        </w:rPr>
        <w:t>st</w:t>
      </w:r>
      <w:r w:rsidRPr="00DA493D">
        <w:rPr>
          <w:rFonts w:cs="Arial"/>
          <w:color w:val="221E1F"/>
          <w:sz w:val="18"/>
          <w:szCs w:val="18"/>
        </w:rPr>
        <w:t>- 6</w:t>
      </w:r>
      <w:r w:rsidRPr="00043586">
        <w:rPr>
          <w:rFonts w:cs="Arial"/>
          <w:color w:val="221E1F"/>
          <w:sz w:val="18"/>
          <w:szCs w:val="18"/>
          <w:vertAlign w:val="superscript"/>
        </w:rPr>
        <w:t>th</w:t>
      </w:r>
      <w:r w:rsidRPr="00DA493D">
        <w:rPr>
          <w:rFonts w:cs="Arial"/>
          <w:color w:val="221E1F"/>
          <w:sz w:val="18"/>
          <w:szCs w:val="18"/>
        </w:rPr>
        <w:t xml:space="preserve"> September 2019</w:t>
      </w:r>
    </w:p>
    <w:p w14:paraId="57826B89" w14:textId="4CAA170C" w:rsidR="00DA493D" w:rsidRPr="005741F6" w:rsidRDefault="00DA493D" w:rsidP="00DA493D">
      <w:pPr>
        <w:rPr>
          <w:rFonts w:cs="Arial"/>
          <w:color w:val="221E1F"/>
          <w:sz w:val="18"/>
          <w:szCs w:val="18"/>
        </w:rPr>
      </w:pPr>
      <w:r>
        <w:rPr>
          <w:rFonts w:cs="Arial"/>
          <w:color w:val="221E1F"/>
          <w:sz w:val="18"/>
          <w:szCs w:val="18"/>
        </w:rPr>
        <w:lastRenderedPageBreak/>
        <w:t>M</w:t>
      </w:r>
      <w:r w:rsidRPr="00DA493D">
        <w:rPr>
          <w:rFonts w:cs="Arial"/>
          <w:color w:val="221E1F"/>
          <w:sz w:val="18"/>
          <w:szCs w:val="18"/>
        </w:rPr>
        <w:t>avroulidou M, Gray, C., Gumbochuma F</w:t>
      </w:r>
      <w:r w:rsidR="009B7DEF">
        <w:rPr>
          <w:rFonts w:cs="Arial"/>
          <w:color w:val="221E1F"/>
          <w:sz w:val="18"/>
          <w:szCs w:val="18"/>
        </w:rPr>
        <w:t xml:space="preserve">, </w:t>
      </w:r>
      <w:r w:rsidRPr="00DA493D">
        <w:rPr>
          <w:rFonts w:cs="Arial"/>
          <w:color w:val="221E1F"/>
          <w:sz w:val="18"/>
          <w:szCs w:val="18"/>
        </w:rPr>
        <w:t>Gunn</w:t>
      </w:r>
      <w:r w:rsidR="009B7DEF">
        <w:rPr>
          <w:rFonts w:cs="Arial"/>
          <w:color w:val="221E1F"/>
          <w:sz w:val="18"/>
          <w:szCs w:val="18"/>
        </w:rPr>
        <w:t>,</w:t>
      </w:r>
      <w:r w:rsidRPr="00DA493D">
        <w:rPr>
          <w:rFonts w:cs="Arial"/>
          <w:color w:val="221E1F"/>
          <w:sz w:val="18"/>
          <w:szCs w:val="18"/>
        </w:rPr>
        <w:t xml:space="preserve"> M</w:t>
      </w:r>
      <w:r w:rsidR="009B7DEF">
        <w:rPr>
          <w:rFonts w:cs="Arial"/>
          <w:color w:val="221E1F"/>
          <w:sz w:val="18"/>
          <w:szCs w:val="18"/>
        </w:rPr>
        <w:t>.</w:t>
      </w:r>
      <w:r w:rsidRPr="00DA493D">
        <w:rPr>
          <w:rFonts w:cs="Arial"/>
          <w:color w:val="221E1F"/>
          <w:sz w:val="18"/>
          <w:szCs w:val="18"/>
        </w:rPr>
        <w:t>J</w:t>
      </w:r>
      <w:r w:rsidR="009B7DEF">
        <w:rPr>
          <w:rFonts w:cs="Arial"/>
          <w:color w:val="221E1F"/>
          <w:sz w:val="18"/>
          <w:szCs w:val="18"/>
        </w:rPr>
        <w:t>.</w:t>
      </w:r>
      <w:r w:rsidRPr="00DA493D">
        <w:rPr>
          <w:rFonts w:cs="Arial"/>
          <w:color w:val="221E1F"/>
          <w:sz w:val="18"/>
          <w:szCs w:val="18"/>
        </w:rPr>
        <w:t xml:space="preserve"> (2020)</w:t>
      </w:r>
      <w:r w:rsidR="00043586">
        <w:rPr>
          <w:rFonts w:cs="Arial"/>
          <w:color w:val="221E1F"/>
          <w:sz w:val="18"/>
          <w:szCs w:val="18"/>
        </w:rPr>
        <w:t>.</w:t>
      </w:r>
      <w:r w:rsidRPr="00DA493D">
        <w:rPr>
          <w:rFonts w:cs="Arial"/>
          <w:color w:val="221E1F"/>
          <w:sz w:val="18"/>
          <w:szCs w:val="18"/>
        </w:rPr>
        <w:t xml:space="preserve"> A comparative assessment of chemical stabilisers including waste materials, for the treatment of swelling-shrinking soils, 4</w:t>
      </w:r>
      <w:r w:rsidRPr="00043586">
        <w:rPr>
          <w:rFonts w:cs="Arial"/>
          <w:color w:val="221E1F"/>
          <w:sz w:val="18"/>
          <w:szCs w:val="18"/>
          <w:vertAlign w:val="superscript"/>
        </w:rPr>
        <w:t>th</w:t>
      </w:r>
      <w:r w:rsidRPr="00DA493D">
        <w:rPr>
          <w:rFonts w:cs="Arial"/>
          <w:color w:val="221E1F"/>
          <w:sz w:val="18"/>
          <w:szCs w:val="18"/>
        </w:rPr>
        <w:t xml:space="preserve"> European Conference on Unsaturated Soils (E-UNSAT2020), Lisbon 21-24 October 2020, E3S Web of Conferences 195, 03028 (2020</w:t>
      </w:r>
      <w:r>
        <w:rPr>
          <w:rFonts w:cs="Arial"/>
          <w:color w:val="221E1F"/>
          <w:sz w:val="18"/>
          <w:szCs w:val="18"/>
        </w:rPr>
        <w:t>)</w:t>
      </w:r>
      <w:r w:rsidRPr="00DA493D">
        <w:rPr>
          <w:rFonts w:cs="Arial"/>
          <w:color w:val="221E1F"/>
          <w:sz w:val="18"/>
          <w:szCs w:val="18"/>
        </w:rPr>
        <w:t xml:space="preserve"> https://doi.org/10.1051/e3sconf/202019503028</w:t>
      </w:r>
    </w:p>
    <w:p w14:paraId="2435FD94" w14:textId="13C6FD24" w:rsidR="004C3F6B" w:rsidRPr="00C267B1" w:rsidRDefault="004C3F6B" w:rsidP="004C3F6B">
      <w:pPr>
        <w:rPr>
          <w:rStyle w:val="A6"/>
          <w:rFonts w:ascii="Arial" w:hAnsi="Arial" w:cs="Arial"/>
        </w:rPr>
      </w:pPr>
      <w:r w:rsidRPr="00C267B1">
        <w:rPr>
          <w:rStyle w:val="A6"/>
          <w:rFonts w:ascii="Arial" w:hAnsi="Arial" w:cs="Arial"/>
        </w:rPr>
        <w:t>Mitchell, J.K. (1986). Practical problems from surprising soil behavior. Journal of Geotechnical Engineering,112 (3), pp. 255–289.</w:t>
      </w:r>
    </w:p>
    <w:p w14:paraId="601B60DE" w14:textId="6880338E" w:rsidR="00092334" w:rsidRDefault="00092334" w:rsidP="00092334">
      <w:pPr>
        <w:rPr>
          <w:rFonts w:cs="Arial"/>
          <w:color w:val="221E1F"/>
          <w:sz w:val="18"/>
          <w:szCs w:val="18"/>
        </w:rPr>
      </w:pPr>
      <w:r w:rsidRPr="00092334">
        <w:rPr>
          <w:rFonts w:cs="Arial"/>
          <w:color w:val="221E1F"/>
          <w:sz w:val="18"/>
          <w:szCs w:val="18"/>
        </w:rPr>
        <w:t>Mozaffari</w:t>
      </w:r>
      <w:r w:rsidRPr="00C267B1">
        <w:rPr>
          <w:rFonts w:cs="Arial"/>
          <w:color w:val="221E1F"/>
          <w:sz w:val="18"/>
          <w:szCs w:val="18"/>
        </w:rPr>
        <w:t>,</w:t>
      </w:r>
      <w:r w:rsidRPr="00092334">
        <w:rPr>
          <w:rFonts w:cs="Arial"/>
          <w:color w:val="221E1F"/>
          <w:sz w:val="18"/>
          <w:szCs w:val="18"/>
        </w:rPr>
        <w:t xml:space="preserve"> E</w:t>
      </w:r>
      <w:r w:rsidRPr="00C267B1">
        <w:rPr>
          <w:rFonts w:cs="Arial"/>
          <w:color w:val="221E1F"/>
          <w:sz w:val="18"/>
          <w:szCs w:val="18"/>
        </w:rPr>
        <w:t>.</w:t>
      </w:r>
      <w:r w:rsidRPr="00092334">
        <w:rPr>
          <w:rFonts w:cs="Arial"/>
          <w:color w:val="221E1F"/>
          <w:sz w:val="18"/>
          <w:szCs w:val="18"/>
        </w:rPr>
        <w:t>, Kinuthia</w:t>
      </w:r>
      <w:r w:rsidRPr="00C267B1">
        <w:rPr>
          <w:rFonts w:cs="Arial"/>
          <w:color w:val="221E1F"/>
          <w:sz w:val="18"/>
          <w:szCs w:val="18"/>
        </w:rPr>
        <w:t>,</w:t>
      </w:r>
      <w:r w:rsidRPr="00092334">
        <w:rPr>
          <w:rFonts w:cs="Arial"/>
          <w:color w:val="221E1F"/>
          <w:sz w:val="18"/>
          <w:szCs w:val="18"/>
        </w:rPr>
        <w:t xml:space="preserve"> J</w:t>
      </w:r>
      <w:r w:rsidRPr="00C267B1">
        <w:rPr>
          <w:rFonts w:cs="Arial"/>
          <w:color w:val="221E1F"/>
          <w:sz w:val="18"/>
          <w:szCs w:val="18"/>
        </w:rPr>
        <w:t>.</w:t>
      </w:r>
      <w:r w:rsidRPr="00092334">
        <w:rPr>
          <w:rFonts w:cs="Arial"/>
          <w:color w:val="221E1F"/>
          <w:sz w:val="18"/>
          <w:szCs w:val="18"/>
        </w:rPr>
        <w:t>M</w:t>
      </w:r>
      <w:r w:rsidRPr="00C267B1">
        <w:rPr>
          <w:rFonts w:cs="Arial"/>
          <w:color w:val="221E1F"/>
          <w:sz w:val="18"/>
          <w:szCs w:val="18"/>
        </w:rPr>
        <w:t>.</w:t>
      </w:r>
      <w:r w:rsidRPr="00092334">
        <w:rPr>
          <w:rFonts w:cs="Arial"/>
          <w:color w:val="221E1F"/>
          <w:sz w:val="18"/>
          <w:szCs w:val="18"/>
        </w:rPr>
        <w:t>, Bai</w:t>
      </w:r>
      <w:r w:rsidRPr="00C267B1">
        <w:rPr>
          <w:rFonts w:cs="Arial"/>
          <w:color w:val="221E1F"/>
          <w:sz w:val="18"/>
          <w:szCs w:val="18"/>
        </w:rPr>
        <w:t>,</w:t>
      </w:r>
      <w:r w:rsidRPr="00092334">
        <w:rPr>
          <w:rFonts w:cs="Arial"/>
          <w:color w:val="221E1F"/>
          <w:sz w:val="18"/>
          <w:szCs w:val="18"/>
        </w:rPr>
        <w:t xml:space="preserve"> J</w:t>
      </w:r>
      <w:r w:rsidRPr="00C267B1">
        <w:rPr>
          <w:rFonts w:cs="Arial"/>
          <w:color w:val="221E1F"/>
          <w:sz w:val="18"/>
          <w:szCs w:val="18"/>
        </w:rPr>
        <w:t>.,</w:t>
      </w:r>
      <w:r w:rsidRPr="00092334">
        <w:rPr>
          <w:rFonts w:cs="Arial"/>
          <w:color w:val="221E1F"/>
          <w:sz w:val="18"/>
          <w:szCs w:val="18"/>
        </w:rPr>
        <w:t xml:space="preserve"> Wild</w:t>
      </w:r>
      <w:r w:rsidRPr="00C267B1">
        <w:rPr>
          <w:rFonts w:cs="Arial"/>
          <w:color w:val="221E1F"/>
          <w:sz w:val="18"/>
          <w:szCs w:val="18"/>
        </w:rPr>
        <w:t>,</w:t>
      </w:r>
      <w:r w:rsidRPr="00092334">
        <w:rPr>
          <w:rFonts w:cs="Arial"/>
          <w:color w:val="221E1F"/>
          <w:sz w:val="18"/>
          <w:szCs w:val="18"/>
        </w:rPr>
        <w:t xml:space="preserve"> S</w:t>
      </w:r>
      <w:r w:rsidRPr="00C267B1">
        <w:rPr>
          <w:rFonts w:cs="Arial"/>
          <w:color w:val="221E1F"/>
          <w:sz w:val="18"/>
          <w:szCs w:val="18"/>
        </w:rPr>
        <w:t>.</w:t>
      </w:r>
      <w:r w:rsidRPr="00092334">
        <w:rPr>
          <w:rFonts w:cs="Arial"/>
          <w:color w:val="221E1F"/>
          <w:sz w:val="18"/>
          <w:szCs w:val="18"/>
        </w:rPr>
        <w:t xml:space="preserve"> (2009)</w:t>
      </w:r>
      <w:r w:rsidRPr="00C267B1">
        <w:rPr>
          <w:rFonts w:cs="Arial"/>
          <w:color w:val="221E1F"/>
          <w:sz w:val="18"/>
          <w:szCs w:val="18"/>
        </w:rPr>
        <w:t>.</w:t>
      </w:r>
      <w:r w:rsidRPr="00092334">
        <w:rPr>
          <w:rFonts w:cs="Arial"/>
          <w:color w:val="221E1F"/>
          <w:sz w:val="18"/>
          <w:szCs w:val="18"/>
        </w:rPr>
        <w:t xml:space="preserve"> An investigation into the strength development of Wastepaper Sludge Ash blended with Ground Granulated Blastfurnace Slag. </w:t>
      </w:r>
      <w:r w:rsidRPr="00092334">
        <w:rPr>
          <w:rFonts w:cs="Arial"/>
          <w:iCs/>
          <w:color w:val="221E1F"/>
          <w:sz w:val="18"/>
          <w:szCs w:val="18"/>
        </w:rPr>
        <w:t>Cement and Concrete Research</w:t>
      </w:r>
      <w:r w:rsidRPr="00C267B1">
        <w:rPr>
          <w:rFonts w:cs="Arial"/>
          <w:iCs/>
          <w:color w:val="221E1F"/>
          <w:sz w:val="18"/>
          <w:szCs w:val="18"/>
        </w:rPr>
        <w:t>,</w:t>
      </w:r>
      <w:r w:rsidRPr="00092334">
        <w:rPr>
          <w:rFonts w:cs="Arial"/>
          <w:iCs/>
          <w:color w:val="221E1F"/>
          <w:sz w:val="18"/>
          <w:szCs w:val="18"/>
        </w:rPr>
        <w:t xml:space="preserve"> 39</w:t>
      </w:r>
      <w:r w:rsidRPr="00C267B1">
        <w:rPr>
          <w:rFonts w:cs="Arial"/>
          <w:color w:val="221E1F"/>
          <w:sz w:val="18"/>
          <w:szCs w:val="18"/>
        </w:rPr>
        <w:t>, pp.</w:t>
      </w:r>
      <w:r w:rsidRPr="00092334">
        <w:rPr>
          <w:rFonts w:cs="Arial"/>
          <w:color w:val="221E1F"/>
          <w:sz w:val="18"/>
          <w:szCs w:val="18"/>
        </w:rPr>
        <w:t xml:space="preserve"> 942–949</w:t>
      </w:r>
      <w:r w:rsidR="00376166">
        <w:rPr>
          <w:rFonts w:cs="Arial"/>
          <w:color w:val="221E1F"/>
          <w:sz w:val="18"/>
          <w:szCs w:val="18"/>
        </w:rPr>
        <w:t>.</w:t>
      </w:r>
    </w:p>
    <w:p w14:paraId="4526F8BB" w14:textId="0759B88E" w:rsidR="00376166" w:rsidRPr="00376166" w:rsidRDefault="00376166" w:rsidP="00376166">
      <w:pPr>
        <w:rPr>
          <w:rFonts w:cs="Arial"/>
          <w:color w:val="221E1F"/>
          <w:sz w:val="18"/>
          <w:szCs w:val="18"/>
        </w:rPr>
      </w:pPr>
      <w:bookmarkStart w:id="8" w:name="_Hlk67766402"/>
      <w:r w:rsidRPr="00376166">
        <w:rPr>
          <w:rFonts w:cs="Arial"/>
          <w:color w:val="221E1F"/>
          <w:sz w:val="18"/>
          <w:szCs w:val="18"/>
        </w:rPr>
        <w:t>Ouhadi</w:t>
      </w:r>
      <w:r>
        <w:rPr>
          <w:rFonts w:cs="Arial"/>
          <w:color w:val="221E1F"/>
          <w:sz w:val="18"/>
          <w:szCs w:val="18"/>
        </w:rPr>
        <w:t xml:space="preserve">, V.R, </w:t>
      </w:r>
      <w:r w:rsidRPr="00376166">
        <w:rPr>
          <w:rFonts w:cs="Arial"/>
          <w:color w:val="221E1F"/>
          <w:sz w:val="18"/>
          <w:szCs w:val="18"/>
        </w:rPr>
        <w:t>Yong</w:t>
      </w:r>
      <w:r>
        <w:rPr>
          <w:rFonts w:cs="Arial"/>
          <w:color w:val="221E1F"/>
          <w:sz w:val="18"/>
          <w:szCs w:val="18"/>
        </w:rPr>
        <w:t xml:space="preserve">, R.N. (2008) </w:t>
      </w:r>
      <w:bookmarkEnd w:id="8"/>
      <w:r w:rsidRPr="00376166">
        <w:rPr>
          <w:rFonts w:cs="Arial"/>
          <w:color w:val="221E1F"/>
          <w:sz w:val="18"/>
          <w:szCs w:val="18"/>
        </w:rPr>
        <w:t>Ettringite formation and behaviour in clayey soils</w:t>
      </w:r>
      <w:r w:rsidRPr="00376166">
        <w:t xml:space="preserve"> </w:t>
      </w:r>
      <w:r w:rsidRPr="00376166">
        <w:rPr>
          <w:rFonts w:cs="Arial"/>
          <w:color w:val="221E1F"/>
          <w:sz w:val="18"/>
          <w:szCs w:val="18"/>
        </w:rPr>
        <w:t>Applied Clay Science</w:t>
      </w:r>
      <w:r>
        <w:rPr>
          <w:rFonts w:cs="Arial"/>
          <w:color w:val="221E1F"/>
          <w:sz w:val="18"/>
          <w:szCs w:val="18"/>
        </w:rPr>
        <w:t xml:space="preserve">, </w:t>
      </w:r>
      <w:r w:rsidRPr="00376166">
        <w:rPr>
          <w:rFonts w:cs="Arial"/>
          <w:color w:val="221E1F"/>
          <w:sz w:val="18"/>
          <w:szCs w:val="18"/>
        </w:rPr>
        <w:t>42</w:t>
      </w:r>
      <w:r>
        <w:rPr>
          <w:rFonts w:cs="Arial"/>
          <w:color w:val="221E1F"/>
          <w:sz w:val="18"/>
          <w:szCs w:val="18"/>
        </w:rPr>
        <w:t>(</w:t>
      </w:r>
      <w:r w:rsidRPr="00376166">
        <w:rPr>
          <w:rFonts w:cs="Arial"/>
          <w:color w:val="221E1F"/>
          <w:sz w:val="18"/>
          <w:szCs w:val="18"/>
        </w:rPr>
        <w:t>1–2</w:t>
      </w:r>
      <w:r>
        <w:rPr>
          <w:rFonts w:cs="Arial"/>
          <w:color w:val="221E1F"/>
          <w:sz w:val="18"/>
          <w:szCs w:val="18"/>
        </w:rPr>
        <w:t>)</w:t>
      </w:r>
      <w:r w:rsidRPr="00376166">
        <w:rPr>
          <w:rFonts w:cs="Arial"/>
          <w:color w:val="221E1F"/>
          <w:sz w:val="18"/>
          <w:szCs w:val="18"/>
        </w:rPr>
        <w:t xml:space="preserve">, </w:t>
      </w:r>
      <w:r>
        <w:rPr>
          <w:rFonts w:cs="Arial"/>
          <w:color w:val="221E1F"/>
          <w:sz w:val="18"/>
          <w:szCs w:val="18"/>
        </w:rPr>
        <w:t>pp.</w:t>
      </w:r>
      <w:r w:rsidRPr="00376166">
        <w:rPr>
          <w:rFonts w:cs="Arial"/>
          <w:color w:val="221E1F"/>
          <w:sz w:val="18"/>
          <w:szCs w:val="18"/>
        </w:rPr>
        <w:t xml:space="preserve"> 258-265</w:t>
      </w:r>
    </w:p>
    <w:p w14:paraId="5369BF7D" w14:textId="0853B527" w:rsidR="00092334" w:rsidRPr="00092334" w:rsidRDefault="00092334" w:rsidP="00092334">
      <w:pPr>
        <w:rPr>
          <w:rFonts w:cs="Arial"/>
          <w:color w:val="221E1F"/>
          <w:sz w:val="18"/>
          <w:szCs w:val="18"/>
        </w:rPr>
      </w:pPr>
      <w:r w:rsidRPr="00092334">
        <w:rPr>
          <w:rFonts w:cs="Arial"/>
          <w:color w:val="221E1F"/>
          <w:sz w:val="18"/>
          <w:szCs w:val="18"/>
        </w:rPr>
        <w:t>Spathi</w:t>
      </w:r>
      <w:r w:rsidRPr="00C267B1">
        <w:rPr>
          <w:rFonts w:cs="Arial"/>
          <w:color w:val="221E1F"/>
          <w:sz w:val="18"/>
          <w:szCs w:val="18"/>
        </w:rPr>
        <w:t>,</w:t>
      </w:r>
      <w:r w:rsidRPr="00092334">
        <w:rPr>
          <w:rFonts w:cs="Arial"/>
          <w:color w:val="221E1F"/>
          <w:sz w:val="18"/>
          <w:szCs w:val="18"/>
        </w:rPr>
        <w:t xml:space="preserve"> C</w:t>
      </w:r>
      <w:r w:rsidRPr="00C267B1">
        <w:rPr>
          <w:rFonts w:cs="Arial"/>
          <w:color w:val="221E1F"/>
          <w:sz w:val="18"/>
          <w:szCs w:val="18"/>
        </w:rPr>
        <w:t>.</w:t>
      </w:r>
      <w:r w:rsidRPr="00092334">
        <w:rPr>
          <w:rFonts w:cs="Arial"/>
          <w:color w:val="221E1F"/>
          <w:sz w:val="18"/>
          <w:szCs w:val="18"/>
        </w:rPr>
        <w:t xml:space="preserve"> (201</w:t>
      </w:r>
      <w:r w:rsidRPr="00C267B1">
        <w:rPr>
          <w:rFonts w:cs="Arial"/>
          <w:color w:val="221E1F"/>
          <w:sz w:val="18"/>
          <w:szCs w:val="18"/>
        </w:rPr>
        <w:t>5</w:t>
      </w:r>
      <w:r w:rsidRPr="00092334">
        <w:rPr>
          <w:rFonts w:cs="Arial"/>
          <w:color w:val="221E1F"/>
          <w:sz w:val="18"/>
          <w:szCs w:val="18"/>
        </w:rPr>
        <w:t xml:space="preserve">) </w:t>
      </w:r>
      <w:r w:rsidRPr="00092334">
        <w:rPr>
          <w:rFonts w:cs="Arial"/>
          <w:iCs/>
          <w:color w:val="221E1F"/>
          <w:sz w:val="18"/>
          <w:szCs w:val="18"/>
        </w:rPr>
        <w:t>Novel applications for paper sludge ash</w:t>
      </w:r>
      <w:r w:rsidRPr="00C267B1">
        <w:rPr>
          <w:rFonts w:cs="Arial"/>
          <w:color w:val="221E1F"/>
          <w:sz w:val="18"/>
          <w:szCs w:val="18"/>
        </w:rPr>
        <w:t>.</w:t>
      </w:r>
      <w:r w:rsidRPr="00092334">
        <w:rPr>
          <w:rFonts w:cs="Arial"/>
          <w:color w:val="221E1F"/>
          <w:sz w:val="18"/>
          <w:szCs w:val="18"/>
        </w:rPr>
        <w:t xml:space="preserve"> PhD thesis, Imperial College, London</w:t>
      </w:r>
    </w:p>
    <w:p w14:paraId="57481F02" w14:textId="6B19C35C" w:rsidR="00D75AFE" w:rsidRDefault="004C3F6B" w:rsidP="00D75AFE">
      <w:pPr>
        <w:rPr>
          <w:rStyle w:val="A6"/>
          <w:rFonts w:ascii="Arial" w:hAnsi="Arial" w:cs="Arial"/>
        </w:rPr>
      </w:pPr>
      <w:r w:rsidRPr="00C267B1">
        <w:rPr>
          <w:rStyle w:val="A6"/>
          <w:rFonts w:ascii="Arial" w:hAnsi="Arial" w:cs="Arial"/>
        </w:rPr>
        <w:t xml:space="preserve">Wild, S., Kinuthia, J.M., Jones, G.I., Higgins, D.D., </w:t>
      </w:r>
      <w:r w:rsidR="002E69C9" w:rsidRPr="00C267B1">
        <w:rPr>
          <w:rStyle w:val="A6"/>
          <w:rFonts w:ascii="Arial" w:hAnsi="Arial" w:cs="Arial"/>
        </w:rPr>
        <w:t>(</w:t>
      </w:r>
      <w:r w:rsidRPr="00C267B1">
        <w:rPr>
          <w:rStyle w:val="A6"/>
          <w:rFonts w:ascii="Arial" w:hAnsi="Arial" w:cs="Arial"/>
        </w:rPr>
        <w:t>1999</w:t>
      </w:r>
      <w:r w:rsidR="002E69C9" w:rsidRPr="00C267B1">
        <w:rPr>
          <w:rStyle w:val="A6"/>
          <w:rFonts w:ascii="Arial" w:hAnsi="Arial" w:cs="Arial"/>
        </w:rPr>
        <w:t>).</w:t>
      </w:r>
      <w:r w:rsidRPr="00C267B1">
        <w:rPr>
          <w:rStyle w:val="A6"/>
          <w:rFonts w:ascii="Arial" w:hAnsi="Arial" w:cs="Arial"/>
        </w:rPr>
        <w:t xml:space="preserve"> Suppression of swelling associated with ettringite formation in lime stabilized sulphate bearing clay soils by partial substitution of lime with ground granulated blast furnace slag. Engineering Geology, 51 (4), pp. 257–277.</w:t>
      </w:r>
    </w:p>
    <w:p w14:paraId="56688294" w14:textId="39D452C8" w:rsidR="00915063" w:rsidRDefault="00915063" w:rsidP="00915063">
      <w:pPr>
        <w:rPr>
          <w:sz w:val="18"/>
          <w:szCs w:val="18"/>
        </w:rPr>
      </w:pPr>
      <w:r w:rsidRPr="00915063">
        <w:rPr>
          <w:sz w:val="18"/>
          <w:szCs w:val="18"/>
        </w:rPr>
        <w:t>Xeidakis, G. (1996). Stabilization of swelling clays by Mg (OH)</w:t>
      </w:r>
      <w:r w:rsidRPr="00915063">
        <w:rPr>
          <w:sz w:val="18"/>
          <w:szCs w:val="18"/>
          <w:vertAlign w:val="subscript"/>
        </w:rPr>
        <w:t>2</w:t>
      </w:r>
      <w:r w:rsidRPr="00915063">
        <w:rPr>
          <w:sz w:val="18"/>
          <w:szCs w:val="18"/>
        </w:rPr>
        <w:t>. Changes in clay properties after addition of Mg-hydroxide. Engineering Geology, 44(1-4), 107–120.</w:t>
      </w:r>
    </w:p>
    <w:p w14:paraId="1B164FB5" w14:textId="10CA4AB1" w:rsidR="006177BB" w:rsidRDefault="00BB1B8D" w:rsidP="006177BB">
      <w:pPr>
        <w:rPr>
          <w:sz w:val="18"/>
          <w:szCs w:val="18"/>
        </w:rPr>
      </w:pPr>
      <w:r w:rsidRPr="00BB1B8D">
        <w:rPr>
          <w:sz w:val="18"/>
          <w:szCs w:val="18"/>
        </w:rPr>
        <w:t>Yi, Y</w:t>
      </w:r>
      <w:r>
        <w:rPr>
          <w:sz w:val="18"/>
          <w:szCs w:val="18"/>
        </w:rPr>
        <w:t>.,</w:t>
      </w:r>
      <w:r w:rsidRPr="00BB1B8D">
        <w:rPr>
          <w:sz w:val="18"/>
          <w:szCs w:val="18"/>
        </w:rPr>
        <w:t xml:space="preserve"> Liska, M</w:t>
      </w:r>
      <w:r>
        <w:rPr>
          <w:sz w:val="18"/>
          <w:szCs w:val="18"/>
        </w:rPr>
        <w:t>.,</w:t>
      </w:r>
      <w:r w:rsidRPr="00BB1B8D">
        <w:rPr>
          <w:sz w:val="18"/>
          <w:szCs w:val="18"/>
        </w:rPr>
        <w:t xml:space="preserve"> Al-Tabbaa, A (2014)</w:t>
      </w:r>
      <w:r>
        <w:rPr>
          <w:sz w:val="18"/>
          <w:szCs w:val="18"/>
        </w:rPr>
        <w:t>.</w:t>
      </w:r>
      <w:r w:rsidRPr="00BB1B8D">
        <w:rPr>
          <w:sz w:val="18"/>
          <w:szCs w:val="18"/>
        </w:rPr>
        <w:t xml:space="preserve"> Properties of two model soils stabilized with different blends and contents of GGBS, MgO, lime, and PC. Journal of Materials in Civil Engineering, 26</w:t>
      </w:r>
      <w:r w:rsidR="006177BB">
        <w:rPr>
          <w:sz w:val="18"/>
          <w:szCs w:val="18"/>
        </w:rPr>
        <w:t>,</w:t>
      </w:r>
      <w:r w:rsidRPr="00BB1B8D">
        <w:rPr>
          <w:sz w:val="18"/>
          <w:szCs w:val="18"/>
        </w:rPr>
        <w:t xml:space="preserve"> pp. 267-274</w:t>
      </w:r>
    </w:p>
    <w:p w14:paraId="6EDA61A8" w14:textId="07157D3C" w:rsidR="006177BB" w:rsidRPr="00C267B1" w:rsidRDefault="006177BB" w:rsidP="006177BB">
      <w:pPr>
        <w:rPr>
          <w:sz w:val="18"/>
          <w:szCs w:val="18"/>
        </w:rPr>
      </w:pPr>
      <w:r w:rsidRPr="006177BB">
        <w:rPr>
          <w:sz w:val="18"/>
          <w:szCs w:val="18"/>
        </w:rPr>
        <w:t>Yi, Y</w:t>
      </w:r>
      <w:r>
        <w:rPr>
          <w:sz w:val="18"/>
          <w:szCs w:val="18"/>
        </w:rPr>
        <w:t xml:space="preserve">., </w:t>
      </w:r>
      <w:r w:rsidRPr="006177BB">
        <w:rPr>
          <w:sz w:val="18"/>
          <w:szCs w:val="18"/>
        </w:rPr>
        <w:t>Zheng, X</w:t>
      </w:r>
      <w:r>
        <w:rPr>
          <w:sz w:val="18"/>
          <w:szCs w:val="18"/>
        </w:rPr>
        <w:t>.,</w:t>
      </w:r>
      <w:r w:rsidRPr="006177BB">
        <w:rPr>
          <w:sz w:val="18"/>
          <w:szCs w:val="18"/>
        </w:rPr>
        <w:t xml:space="preserve"> Liu, S</w:t>
      </w:r>
      <w:r>
        <w:rPr>
          <w:sz w:val="18"/>
          <w:szCs w:val="18"/>
        </w:rPr>
        <w:t>.,</w:t>
      </w:r>
      <w:r w:rsidRPr="006177BB">
        <w:rPr>
          <w:sz w:val="18"/>
          <w:szCs w:val="18"/>
        </w:rPr>
        <w:t xml:space="preserve"> Al-Tabbaa, A</w:t>
      </w:r>
      <w:r>
        <w:rPr>
          <w:sz w:val="18"/>
          <w:szCs w:val="18"/>
        </w:rPr>
        <w:t>.</w:t>
      </w:r>
      <w:r w:rsidRPr="006177BB">
        <w:rPr>
          <w:sz w:val="18"/>
          <w:szCs w:val="18"/>
        </w:rPr>
        <w:t xml:space="preserve"> (2015) Comparison of reactive magnesia- and carbide slag-activated ground granulated blastfurnace slag and Portland cement for stabilisation of a natural soil. Applied Clay Science, 111</w:t>
      </w:r>
      <w:r>
        <w:rPr>
          <w:sz w:val="18"/>
          <w:szCs w:val="18"/>
        </w:rPr>
        <w:t>,</w:t>
      </w:r>
      <w:r w:rsidRPr="006177BB">
        <w:rPr>
          <w:sz w:val="18"/>
          <w:szCs w:val="18"/>
        </w:rPr>
        <w:t xml:space="preserve"> pp. 21-26. </w:t>
      </w:r>
    </w:p>
    <w:p w14:paraId="18AC72F3" w14:textId="6F9C4E88" w:rsidR="006177BB" w:rsidRPr="006177BB" w:rsidRDefault="006177BB" w:rsidP="006177BB">
      <w:pPr>
        <w:rPr>
          <w:sz w:val="18"/>
          <w:szCs w:val="18"/>
        </w:rPr>
      </w:pPr>
      <w:r w:rsidRPr="006177BB">
        <w:rPr>
          <w:sz w:val="18"/>
          <w:szCs w:val="18"/>
        </w:rPr>
        <w:t>Yi, Y</w:t>
      </w:r>
      <w:r>
        <w:rPr>
          <w:sz w:val="18"/>
          <w:szCs w:val="18"/>
        </w:rPr>
        <w:t>.,</w:t>
      </w:r>
      <w:r w:rsidRPr="006177BB">
        <w:rPr>
          <w:sz w:val="18"/>
          <w:szCs w:val="18"/>
        </w:rPr>
        <w:t xml:space="preserve"> Liska, M</w:t>
      </w:r>
      <w:r>
        <w:rPr>
          <w:sz w:val="18"/>
          <w:szCs w:val="18"/>
        </w:rPr>
        <w:t xml:space="preserve">., </w:t>
      </w:r>
      <w:r w:rsidRPr="006177BB">
        <w:rPr>
          <w:sz w:val="18"/>
          <w:szCs w:val="18"/>
        </w:rPr>
        <w:t>Jin, F</w:t>
      </w:r>
      <w:r>
        <w:rPr>
          <w:sz w:val="18"/>
          <w:szCs w:val="18"/>
        </w:rPr>
        <w:t>.,</w:t>
      </w:r>
      <w:r w:rsidRPr="006177BB">
        <w:rPr>
          <w:sz w:val="18"/>
          <w:szCs w:val="18"/>
        </w:rPr>
        <w:t xml:space="preserve"> Al-Tabbaa, A (2016)</w:t>
      </w:r>
      <w:r>
        <w:rPr>
          <w:sz w:val="18"/>
          <w:szCs w:val="18"/>
        </w:rPr>
        <w:t>.</w:t>
      </w:r>
      <w:r w:rsidRPr="006177BB">
        <w:rPr>
          <w:sz w:val="18"/>
          <w:szCs w:val="18"/>
        </w:rPr>
        <w:t xml:space="preserve"> Mechanism of reactive magnesia – ground granulated blastfurnace slag (GGBS) soil stabilization. Canadian Geotechnical Journal, 53</w:t>
      </w:r>
      <w:r>
        <w:rPr>
          <w:sz w:val="18"/>
          <w:szCs w:val="18"/>
        </w:rPr>
        <w:t>,</w:t>
      </w:r>
      <w:r w:rsidRPr="006177BB">
        <w:rPr>
          <w:sz w:val="18"/>
          <w:szCs w:val="18"/>
        </w:rPr>
        <w:t xml:space="preserve"> pp. 773-782. </w:t>
      </w:r>
    </w:p>
    <w:p w14:paraId="3A015A94" w14:textId="77777777" w:rsidR="006177BB" w:rsidRPr="006177BB" w:rsidRDefault="006177BB" w:rsidP="006177BB">
      <w:pPr>
        <w:rPr>
          <w:sz w:val="18"/>
          <w:szCs w:val="18"/>
        </w:rPr>
      </w:pPr>
    </w:p>
    <w:p w14:paraId="414BA078" w14:textId="77777777" w:rsidR="006177BB" w:rsidRPr="00C267B1" w:rsidRDefault="006177BB">
      <w:pPr>
        <w:rPr>
          <w:sz w:val="18"/>
          <w:szCs w:val="18"/>
        </w:rPr>
      </w:pPr>
    </w:p>
    <w:sectPr w:rsidR="006177BB" w:rsidRPr="00C267B1" w:rsidSect="00F058A8">
      <w:headerReference w:type="default" r:id="rId14"/>
      <w:footerReference w:type="default" r:id="rId15"/>
      <w:headerReference w:type="first" r:id="rId16"/>
      <w:footerReference w:type="first" r:id="rId17"/>
      <w:pgSz w:w="11906" w:h="16838"/>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C282F" w14:textId="77777777" w:rsidR="00D76097" w:rsidRDefault="00D76097" w:rsidP="00FE1898">
      <w:pPr>
        <w:spacing w:after="0" w:line="240" w:lineRule="auto"/>
      </w:pPr>
      <w:r>
        <w:separator/>
      </w:r>
    </w:p>
  </w:endnote>
  <w:endnote w:type="continuationSeparator" w:id="0">
    <w:p w14:paraId="21381542" w14:textId="77777777" w:rsidR="00D76097" w:rsidRDefault="00D76097" w:rsidP="00FE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4D29" w14:textId="77777777" w:rsidR="00C82DC1" w:rsidRDefault="00C82DC1" w:rsidP="0028159B">
    <w:pPr>
      <w:pStyle w:val="Footer"/>
    </w:pPr>
    <w:r>
      <w:fldChar w:fldCharType="begin"/>
    </w:r>
    <w:r>
      <w:instrText xml:space="preserve"> PAGE   \* MERGEFORMAT </w:instrText>
    </w:r>
    <w:r>
      <w:fldChar w:fldCharType="separate"/>
    </w:r>
    <w:r>
      <w:rPr>
        <w:noProof/>
      </w:rPr>
      <w:t>- 4 -</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69A6" w14:textId="77777777" w:rsidR="00C82DC1" w:rsidRDefault="00C82DC1" w:rsidP="00F058A8">
    <w:pPr>
      <w:pStyle w:val="Footer"/>
    </w:pPr>
    <w:r>
      <w:fldChar w:fldCharType="begin"/>
    </w:r>
    <w:r>
      <w:instrText xml:space="preserve"> PAGE   \* MERGEFORMAT </w:instrText>
    </w:r>
    <w:r>
      <w:fldChar w:fldCharType="separate"/>
    </w:r>
    <w:r>
      <w:rPr>
        <w:noProof/>
      </w:rPr>
      <w:t>- 1 -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94630" w14:textId="77777777" w:rsidR="00D76097" w:rsidRDefault="00D76097" w:rsidP="00FE1898">
      <w:pPr>
        <w:spacing w:after="0" w:line="240" w:lineRule="auto"/>
      </w:pPr>
      <w:r>
        <w:separator/>
      </w:r>
    </w:p>
  </w:footnote>
  <w:footnote w:type="continuationSeparator" w:id="0">
    <w:p w14:paraId="0A46B207" w14:textId="77777777" w:rsidR="00D76097" w:rsidRDefault="00D76097" w:rsidP="00FE1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563E" w14:textId="54273543" w:rsidR="00C82DC1" w:rsidRDefault="00C82DC1">
    <w:pPr>
      <w:pStyle w:val="Header"/>
    </w:pPr>
    <w:r>
      <w:t>M. Mavroulidou, C. Gray, M. J. Gunn</w:t>
    </w:r>
    <w:r>
      <w:tab/>
      <w:t>Proceedings of the 3</w:t>
    </w:r>
    <w:r w:rsidRPr="007B77D3">
      <w:rPr>
        <w:vertAlign w:val="superscript"/>
      </w:rPr>
      <w:t>rd</w:t>
    </w:r>
    <w:r>
      <w:t xml:space="preserve"> European Regional Conference of IAEG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1430" w14:textId="77777777" w:rsidR="00C82DC1" w:rsidRPr="00B94269" w:rsidRDefault="00C82DC1">
    <w:pPr>
      <w:pStyle w:val="Header"/>
      <w:rPr>
        <w:i/>
      </w:rPr>
    </w:pPr>
    <w:r>
      <w:rPr>
        <w:noProof/>
        <w:lang w:val="el-GR" w:eastAsia="el-GR"/>
      </w:rPr>
      <w:drawing>
        <wp:inline distT="0" distB="0" distL="0" distR="0" wp14:anchorId="572996B0" wp14:editId="7186C4E3">
          <wp:extent cx="1904641" cy="846324"/>
          <wp:effectExtent l="19050" t="0" r="359"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1109" t="28571" r="11975" b="18546"/>
                  <a:stretch>
                    <a:fillRect/>
                  </a:stretch>
                </pic:blipFill>
                <pic:spPr bwMode="auto">
                  <a:xfrm>
                    <a:off x="0" y="0"/>
                    <a:ext cx="1904886" cy="846433"/>
                  </a:xfrm>
                  <a:prstGeom prst="rect">
                    <a:avLst/>
                  </a:prstGeom>
                  <a:noFill/>
                  <a:ln w="9525">
                    <a:noFill/>
                    <a:miter lim="800000"/>
                    <a:headEnd/>
                    <a:tailEnd/>
                  </a:ln>
                </pic:spPr>
              </pic:pic>
            </a:graphicData>
          </a:graphic>
        </wp:inline>
      </w:drawing>
    </w: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E4C1DE3"/>
    <w:multiLevelType w:val="hybridMultilevel"/>
    <w:tmpl w:val="6EA2D3E2"/>
    <w:lvl w:ilvl="0" w:tplc="0966E522">
      <w:start w:val="1"/>
      <w:numFmt w:val="bullet"/>
      <w:pStyle w:val="BulletPoin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E631C9D"/>
    <w:multiLevelType w:val="hybridMultilevel"/>
    <w:tmpl w:val="94F29530"/>
    <w:lvl w:ilvl="0" w:tplc="DEEC9134">
      <w:start w:val="1"/>
      <w:numFmt w:val="decimal"/>
      <w:pStyle w:val="NumberedList"/>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CB97594"/>
    <w:multiLevelType w:val="hybridMultilevel"/>
    <w:tmpl w:val="12E41BB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D956B3E"/>
    <w:multiLevelType w:val="hybridMultilevel"/>
    <w:tmpl w:val="93CEAD4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3B1E32E1"/>
    <w:multiLevelType w:val="hybridMultilevel"/>
    <w:tmpl w:val="60AC12DA"/>
    <w:lvl w:ilvl="0" w:tplc="68A4DEE4">
      <w:start w:val="1"/>
      <w:numFmt w:val="decimal"/>
      <w:lvlText w:val="%1"/>
      <w:lvlJc w:val="left"/>
      <w:pPr>
        <w:ind w:left="795" w:hanging="43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E697F9B"/>
    <w:multiLevelType w:val="hybridMultilevel"/>
    <w:tmpl w:val="7D906AFA"/>
    <w:lvl w:ilvl="0" w:tplc="9670E6B0">
      <w:start w:val="1"/>
      <w:numFmt w:val="decimal"/>
      <w:pStyle w:val="Heading1EUROENGEO"/>
      <w:lvlText w:val="%1"/>
      <w:lvlJc w:val="left"/>
      <w:pPr>
        <w:ind w:left="720" w:hanging="360"/>
      </w:pPr>
      <w:rPr>
        <w:rFonts w:ascii="Arial" w:hAnsi="Arial" w:hint="default"/>
        <w:b/>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28216F0"/>
    <w:multiLevelType w:val="hybridMultilevel"/>
    <w:tmpl w:val="359AD0DC"/>
    <w:lvl w:ilvl="0" w:tplc="2A0C6266">
      <w:start w:val="1"/>
      <w:numFmt w:val="bullet"/>
      <w:lvlText w:val=""/>
      <w:lvlJc w:val="left"/>
      <w:pPr>
        <w:tabs>
          <w:tab w:val="num" w:pos="1437"/>
        </w:tabs>
        <w:ind w:left="143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80133F"/>
    <w:multiLevelType w:val="hybridMultilevel"/>
    <w:tmpl w:val="18FAA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53244B0"/>
    <w:multiLevelType w:val="multilevel"/>
    <w:tmpl w:val="0002A8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9"/>
  </w:num>
  <w:num w:numId="2">
    <w:abstractNumId w:val="3"/>
  </w:num>
  <w:num w:numId="3">
    <w:abstractNumId w:val="1"/>
  </w:num>
  <w:num w:numId="4">
    <w:abstractNumId w:val="2"/>
  </w:num>
  <w:num w:numId="5">
    <w:abstractNumId w:val="6"/>
  </w:num>
  <w:num w:numId="6">
    <w:abstractNumId w:val="5"/>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7"/>
  </w:num>
  <w:num w:numId="39">
    <w:abstractNumId w:val="9"/>
  </w:num>
  <w:num w:numId="40">
    <w:abstractNumId w:val="9"/>
  </w:num>
  <w:num w:numId="41">
    <w:abstractNumId w:val="9"/>
  </w:num>
  <w:num w:numId="42">
    <w:abstractNumId w:val="8"/>
  </w:num>
  <w:num w:numId="43">
    <w:abstractNumId w:val="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defaultTabStop w:val="4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98"/>
    <w:rsid w:val="00000956"/>
    <w:rsid w:val="0001088C"/>
    <w:rsid w:val="00012415"/>
    <w:rsid w:val="00015EA3"/>
    <w:rsid w:val="00024B7D"/>
    <w:rsid w:val="0003139B"/>
    <w:rsid w:val="000414E8"/>
    <w:rsid w:val="00043586"/>
    <w:rsid w:val="0004490F"/>
    <w:rsid w:val="00047424"/>
    <w:rsid w:val="000533C3"/>
    <w:rsid w:val="00062CFA"/>
    <w:rsid w:val="0006323E"/>
    <w:rsid w:val="00063AB2"/>
    <w:rsid w:val="00092334"/>
    <w:rsid w:val="000A36D9"/>
    <w:rsid w:val="000C20C1"/>
    <w:rsid w:val="000C3F69"/>
    <w:rsid w:val="000C69D1"/>
    <w:rsid w:val="000D59B5"/>
    <w:rsid w:val="000F5BAC"/>
    <w:rsid w:val="001055BF"/>
    <w:rsid w:val="00125CB1"/>
    <w:rsid w:val="001473FD"/>
    <w:rsid w:val="001503DB"/>
    <w:rsid w:val="00150CC0"/>
    <w:rsid w:val="00155E4C"/>
    <w:rsid w:val="00164F74"/>
    <w:rsid w:val="00165B34"/>
    <w:rsid w:val="001A0C81"/>
    <w:rsid w:val="001A541C"/>
    <w:rsid w:val="001B633E"/>
    <w:rsid w:val="001B6790"/>
    <w:rsid w:val="001B68EE"/>
    <w:rsid w:val="001C1A94"/>
    <w:rsid w:val="001E197B"/>
    <w:rsid w:val="001F073C"/>
    <w:rsid w:val="001F0E95"/>
    <w:rsid w:val="001F49E8"/>
    <w:rsid w:val="001F570A"/>
    <w:rsid w:val="00201CAB"/>
    <w:rsid w:val="00257EDE"/>
    <w:rsid w:val="0026677E"/>
    <w:rsid w:val="00276891"/>
    <w:rsid w:val="00277E72"/>
    <w:rsid w:val="0028159B"/>
    <w:rsid w:val="00283DCF"/>
    <w:rsid w:val="00294D33"/>
    <w:rsid w:val="002A0A4F"/>
    <w:rsid w:val="002A5420"/>
    <w:rsid w:val="002A6A6C"/>
    <w:rsid w:val="002B111D"/>
    <w:rsid w:val="002C3D69"/>
    <w:rsid w:val="002C6BB4"/>
    <w:rsid w:val="002E5759"/>
    <w:rsid w:val="002E587C"/>
    <w:rsid w:val="002E69C9"/>
    <w:rsid w:val="002E6F71"/>
    <w:rsid w:val="002F4A1A"/>
    <w:rsid w:val="002F4F6C"/>
    <w:rsid w:val="002F7450"/>
    <w:rsid w:val="002F784C"/>
    <w:rsid w:val="003072E1"/>
    <w:rsid w:val="0031725E"/>
    <w:rsid w:val="003201AB"/>
    <w:rsid w:val="0032176D"/>
    <w:rsid w:val="003224F6"/>
    <w:rsid w:val="003279D5"/>
    <w:rsid w:val="003453C4"/>
    <w:rsid w:val="00351441"/>
    <w:rsid w:val="003531AE"/>
    <w:rsid w:val="00355366"/>
    <w:rsid w:val="00360F86"/>
    <w:rsid w:val="0036119E"/>
    <w:rsid w:val="00363182"/>
    <w:rsid w:val="0036590A"/>
    <w:rsid w:val="0037532A"/>
    <w:rsid w:val="00376166"/>
    <w:rsid w:val="0038389F"/>
    <w:rsid w:val="00386BB3"/>
    <w:rsid w:val="003976E1"/>
    <w:rsid w:val="003A3B8B"/>
    <w:rsid w:val="003B61EC"/>
    <w:rsid w:val="003C0CE6"/>
    <w:rsid w:val="003C24D0"/>
    <w:rsid w:val="003C2B7B"/>
    <w:rsid w:val="003C35DE"/>
    <w:rsid w:val="003D1D4F"/>
    <w:rsid w:val="003E170D"/>
    <w:rsid w:val="003E6820"/>
    <w:rsid w:val="004049D2"/>
    <w:rsid w:val="00404DFC"/>
    <w:rsid w:val="00411F4C"/>
    <w:rsid w:val="0041300F"/>
    <w:rsid w:val="00415E6A"/>
    <w:rsid w:val="004356D6"/>
    <w:rsid w:val="004379B0"/>
    <w:rsid w:val="004426BB"/>
    <w:rsid w:val="0044317B"/>
    <w:rsid w:val="00466328"/>
    <w:rsid w:val="00470168"/>
    <w:rsid w:val="00470EFC"/>
    <w:rsid w:val="0049556E"/>
    <w:rsid w:val="004C3F6B"/>
    <w:rsid w:val="004D0065"/>
    <w:rsid w:val="004D7CAA"/>
    <w:rsid w:val="00503357"/>
    <w:rsid w:val="00506ABE"/>
    <w:rsid w:val="005216FA"/>
    <w:rsid w:val="005266F6"/>
    <w:rsid w:val="00535B73"/>
    <w:rsid w:val="00542BB7"/>
    <w:rsid w:val="00552649"/>
    <w:rsid w:val="00556208"/>
    <w:rsid w:val="005741F6"/>
    <w:rsid w:val="005839C0"/>
    <w:rsid w:val="0059786D"/>
    <w:rsid w:val="005B7B40"/>
    <w:rsid w:val="005C3D48"/>
    <w:rsid w:val="005C49E9"/>
    <w:rsid w:val="005C4A7C"/>
    <w:rsid w:val="005D726A"/>
    <w:rsid w:val="005E2BFF"/>
    <w:rsid w:val="005F2ADE"/>
    <w:rsid w:val="005F7280"/>
    <w:rsid w:val="0060445F"/>
    <w:rsid w:val="0061238F"/>
    <w:rsid w:val="006145A7"/>
    <w:rsid w:val="006177BB"/>
    <w:rsid w:val="00620189"/>
    <w:rsid w:val="00634342"/>
    <w:rsid w:val="00634A1B"/>
    <w:rsid w:val="00635860"/>
    <w:rsid w:val="006359EE"/>
    <w:rsid w:val="00646E13"/>
    <w:rsid w:val="00665FA6"/>
    <w:rsid w:val="006724B7"/>
    <w:rsid w:val="00675C3B"/>
    <w:rsid w:val="006816D7"/>
    <w:rsid w:val="00692069"/>
    <w:rsid w:val="006B1B36"/>
    <w:rsid w:val="006B7DE4"/>
    <w:rsid w:val="006C0EE4"/>
    <w:rsid w:val="006C4434"/>
    <w:rsid w:val="006C5AF1"/>
    <w:rsid w:val="006C6EB2"/>
    <w:rsid w:val="006D37D3"/>
    <w:rsid w:val="006D6617"/>
    <w:rsid w:val="006E09F2"/>
    <w:rsid w:val="006E24E7"/>
    <w:rsid w:val="006E6DF0"/>
    <w:rsid w:val="006F70D8"/>
    <w:rsid w:val="0070584F"/>
    <w:rsid w:val="00732B3F"/>
    <w:rsid w:val="00732BFF"/>
    <w:rsid w:val="007426DA"/>
    <w:rsid w:val="00744959"/>
    <w:rsid w:val="00744FBF"/>
    <w:rsid w:val="007458EE"/>
    <w:rsid w:val="0074795C"/>
    <w:rsid w:val="00750DA8"/>
    <w:rsid w:val="00754A34"/>
    <w:rsid w:val="007572FA"/>
    <w:rsid w:val="00764FB9"/>
    <w:rsid w:val="007658A0"/>
    <w:rsid w:val="00773DE6"/>
    <w:rsid w:val="007779DC"/>
    <w:rsid w:val="007837A1"/>
    <w:rsid w:val="007842F6"/>
    <w:rsid w:val="007B77D3"/>
    <w:rsid w:val="007B781C"/>
    <w:rsid w:val="007D2E7E"/>
    <w:rsid w:val="007D557C"/>
    <w:rsid w:val="007E209F"/>
    <w:rsid w:val="007E6434"/>
    <w:rsid w:val="007F2DE7"/>
    <w:rsid w:val="007F5250"/>
    <w:rsid w:val="00800E16"/>
    <w:rsid w:val="00803C3E"/>
    <w:rsid w:val="008125C1"/>
    <w:rsid w:val="00813932"/>
    <w:rsid w:val="00816124"/>
    <w:rsid w:val="00822DE9"/>
    <w:rsid w:val="0082651C"/>
    <w:rsid w:val="00826900"/>
    <w:rsid w:val="008304C2"/>
    <w:rsid w:val="00846904"/>
    <w:rsid w:val="00847D7D"/>
    <w:rsid w:val="00855B14"/>
    <w:rsid w:val="00865CCA"/>
    <w:rsid w:val="00870F3B"/>
    <w:rsid w:val="0087152A"/>
    <w:rsid w:val="008828B2"/>
    <w:rsid w:val="00892259"/>
    <w:rsid w:val="0089676A"/>
    <w:rsid w:val="008A05F3"/>
    <w:rsid w:val="008A0C77"/>
    <w:rsid w:val="008A7FBD"/>
    <w:rsid w:val="008B146B"/>
    <w:rsid w:val="008B3F0F"/>
    <w:rsid w:val="008D0E4C"/>
    <w:rsid w:val="008D3F7C"/>
    <w:rsid w:val="0090036D"/>
    <w:rsid w:val="00907A17"/>
    <w:rsid w:val="00915063"/>
    <w:rsid w:val="009240DB"/>
    <w:rsid w:val="009303B0"/>
    <w:rsid w:val="00932423"/>
    <w:rsid w:val="00934DE7"/>
    <w:rsid w:val="009410B8"/>
    <w:rsid w:val="00942B89"/>
    <w:rsid w:val="00950A7B"/>
    <w:rsid w:val="009A7D43"/>
    <w:rsid w:val="009B7DEF"/>
    <w:rsid w:val="009C2464"/>
    <w:rsid w:val="009C6D5B"/>
    <w:rsid w:val="00A01DD3"/>
    <w:rsid w:val="00A2044D"/>
    <w:rsid w:val="00A27741"/>
    <w:rsid w:val="00A30648"/>
    <w:rsid w:val="00A315DE"/>
    <w:rsid w:val="00A34C35"/>
    <w:rsid w:val="00A37B54"/>
    <w:rsid w:val="00A443DF"/>
    <w:rsid w:val="00A504E9"/>
    <w:rsid w:val="00A50859"/>
    <w:rsid w:val="00A53A1F"/>
    <w:rsid w:val="00A613CA"/>
    <w:rsid w:val="00A72250"/>
    <w:rsid w:val="00A9037E"/>
    <w:rsid w:val="00A95FA3"/>
    <w:rsid w:val="00AA12A1"/>
    <w:rsid w:val="00AC1ACD"/>
    <w:rsid w:val="00AC7E40"/>
    <w:rsid w:val="00AF2323"/>
    <w:rsid w:val="00B04E61"/>
    <w:rsid w:val="00B12AAD"/>
    <w:rsid w:val="00B2690C"/>
    <w:rsid w:val="00B26AA3"/>
    <w:rsid w:val="00B312D5"/>
    <w:rsid w:val="00B33FE3"/>
    <w:rsid w:val="00B377E3"/>
    <w:rsid w:val="00B40A7B"/>
    <w:rsid w:val="00B647BE"/>
    <w:rsid w:val="00B65398"/>
    <w:rsid w:val="00B7574E"/>
    <w:rsid w:val="00B76F19"/>
    <w:rsid w:val="00B9061B"/>
    <w:rsid w:val="00B92789"/>
    <w:rsid w:val="00B928DF"/>
    <w:rsid w:val="00B94269"/>
    <w:rsid w:val="00B95F0C"/>
    <w:rsid w:val="00BA3E9D"/>
    <w:rsid w:val="00BA7135"/>
    <w:rsid w:val="00BB1B8D"/>
    <w:rsid w:val="00BB3682"/>
    <w:rsid w:val="00BC0C98"/>
    <w:rsid w:val="00BD471A"/>
    <w:rsid w:val="00BD60A3"/>
    <w:rsid w:val="00BE5ECF"/>
    <w:rsid w:val="00BE7A22"/>
    <w:rsid w:val="00C01957"/>
    <w:rsid w:val="00C24FC8"/>
    <w:rsid w:val="00C267B1"/>
    <w:rsid w:val="00C26E32"/>
    <w:rsid w:val="00C30B9D"/>
    <w:rsid w:val="00C30CF3"/>
    <w:rsid w:val="00C31864"/>
    <w:rsid w:val="00C371E7"/>
    <w:rsid w:val="00C420CE"/>
    <w:rsid w:val="00C44D2C"/>
    <w:rsid w:val="00C5109D"/>
    <w:rsid w:val="00C54489"/>
    <w:rsid w:val="00C550C5"/>
    <w:rsid w:val="00C67A6B"/>
    <w:rsid w:val="00C82DC1"/>
    <w:rsid w:val="00C86627"/>
    <w:rsid w:val="00C873DB"/>
    <w:rsid w:val="00C90C38"/>
    <w:rsid w:val="00CA1DF7"/>
    <w:rsid w:val="00CA75F2"/>
    <w:rsid w:val="00CB21CB"/>
    <w:rsid w:val="00CB25FF"/>
    <w:rsid w:val="00CB2A7E"/>
    <w:rsid w:val="00CB6090"/>
    <w:rsid w:val="00CB7A29"/>
    <w:rsid w:val="00CD30EA"/>
    <w:rsid w:val="00CD332D"/>
    <w:rsid w:val="00CD3922"/>
    <w:rsid w:val="00CD40C3"/>
    <w:rsid w:val="00CF0787"/>
    <w:rsid w:val="00CF4640"/>
    <w:rsid w:val="00D03959"/>
    <w:rsid w:val="00D07A09"/>
    <w:rsid w:val="00D143AA"/>
    <w:rsid w:val="00D15368"/>
    <w:rsid w:val="00D2195E"/>
    <w:rsid w:val="00D26060"/>
    <w:rsid w:val="00D442BE"/>
    <w:rsid w:val="00D7029A"/>
    <w:rsid w:val="00D72F7F"/>
    <w:rsid w:val="00D75AFE"/>
    <w:rsid w:val="00D76097"/>
    <w:rsid w:val="00D8208E"/>
    <w:rsid w:val="00D87D0F"/>
    <w:rsid w:val="00D91E90"/>
    <w:rsid w:val="00DA327B"/>
    <w:rsid w:val="00DA33DF"/>
    <w:rsid w:val="00DA493D"/>
    <w:rsid w:val="00DD0244"/>
    <w:rsid w:val="00DD096F"/>
    <w:rsid w:val="00DD7F7D"/>
    <w:rsid w:val="00DE3D9F"/>
    <w:rsid w:val="00DE52C9"/>
    <w:rsid w:val="00DE5FFA"/>
    <w:rsid w:val="00DF7254"/>
    <w:rsid w:val="00DF78D1"/>
    <w:rsid w:val="00E02BFE"/>
    <w:rsid w:val="00E12D5D"/>
    <w:rsid w:val="00E17F6E"/>
    <w:rsid w:val="00E2154E"/>
    <w:rsid w:val="00E21C54"/>
    <w:rsid w:val="00E24343"/>
    <w:rsid w:val="00E34666"/>
    <w:rsid w:val="00E450D9"/>
    <w:rsid w:val="00E50F36"/>
    <w:rsid w:val="00E51AEB"/>
    <w:rsid w:val="00E60017"/>
    <w:rsid w:val="00E62A78"/>
    <w:rsid w:val="00E70291"/>
    <w:rsid w:val="00E7117D"/>
    <w:rsid w:val="00E83AA9"/>
    <w:rsid w:val="00EB120A"/>
    <w:rsid w:val="00EB4C7E"/>
    <w:rsid w:val="00EB6E5D"/>
    <w:rsid w:val="00EE0B54"/>
    <w:rsid w:val="00EE2B2E"/>
    <w:rsid w:val="00EE466A"/>
    <w:rsid w:val="00EE5CBB"/>
    <w:rsid w:val="00EF0061"/>
    <w:rsid w:val="00EF2E99"/>
    <w:rsid w:val="00F058A8"/>
    <w:rsid w:val="00F21B2A"/>
    <w:rsid w:val="00F26BA4"/>
    <w:rsid w:val="00F320DA"/>
    <w:rsid w:val="00F33E79"/>
    <w:rsid w:val="00F33FAA"/>
    <w:rsid w:val="00F512E6"/>
    <w:rsid w:val="00F73B78"/>
    <w:rsid w:val="00F75840"/>
    <w:rsid w:val="00F84DB2"/>
    <w:rsid w:val="00F8728D"/>
    <w:rsid w:val="00F94714"/>
    <w:rsid w:val="00FA309D"/>
    <w:rsid w:val="00FA5E96"/>
    <w:rsid w:val="00FB4CEF"/>
    <w:rsid w:val="00FC1CF9"/>
    <w:rsid w:val="00FD35FD"/>
    <w:rsid w:val="00FD69A3"/>
    <w:rsid w:val="00FD7DCC"/>
    <w:rsid w:val="00FE1898"/>
    <w:rsid w:val="00FE5003"/>
    <w:rsid w:val="00FF0547"/>
    <w:rsid w:val="00FF1B1C"/>
    <w:rsid w:val="00FF4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4260F"/>
  <w15:docId w15:val="{1AEA39A8-5773-43C5-B05A-FBC57E52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A8"/>
    <w:pPr>
      <w:spacing w:after="80" w:line="240" w:lineRule="atLeast"/>
      <w:jc w:val="both"/>
    </w:pPr>
    <w:rPr>
      <w:rFonts w:ascii="Arial" w:hAnsi="Arial"/>
      <w:szCs w:val="22"/>
      <w:lang w:val="en-GB"/>
    </w:rPr>
  </w:style>
  <w:style w:type="paragraph" w:styleId="Heading1">
    <w:name w:val="heading 1"/>
    <w:aliases w:val="Heading 1_EUROENGEO_"/>
    <w:basedOn w:val="Normal"/>
    <w:next w:val="Normal"/>
    <w:link w:val="Heading1Char"/>
    <w:uiPriority w:val="9"/>
    <w:qFormat/>
    <w:rsid w:val="00EB4C7E"/>
    <w:pPr>
      <w:keepNext/>
      <w:keepLines/>
      <w:numPr>
        <w:numId w:val="1"/>
      </w:numPr>
      <w:tabs>
        <w:tab w:val="left" w:pos="454"/>
      </w:tabs>
      <w:spacing w:before="480" w:after="200"/>
      <w:ind w:left="454" w:hanging="454"/>
      <w:outlineLvl w:val="0"/>
    </w:pPr>
    <w:rPr>
      <w:rFonts w:eastAsia="SimSun"/>
      <w:b/>
      <w:bCs/>
      <w:sz w:val="24"/>
      <w:szCs w:val="28"/>
    </w:rPr>
  </w:style>
  <w:style w:type="paragraph" w:styleId="Heading2">
    <w:name w:val="heading 2"/>
    <w:aliases w:val="Heading 2_EUROENGEO_"/>
    <w:basedOn w:val="Normal"/>
    <w:next w:val="Normal"/>
    <w:link w:val="Heading2Char"/>
    <w:uiPriority w:val="9"/>
    <w:unhideWhenUsed/>
    <w:qFormat/>
    <w:rsid w:val="004356D6"/>
    <w:pPr>
      <w:keepNext/>
      <w:keepLines/>
      <w:numPr>
        <w:ilvl w:val="1"/>
        <w:numId w:val="1"/>
      </w:numPr>
      <w:tabs>
        <w:tab w:val="left" w:pos="624"/>
      </w:tabs>
      <w:spacing w:before="400" w:after="60"/>
      <w:ind w:left="624" w:hanging="624"/>
      <w:outlineLvl w:val="1"/>
    </w:pPr>
    <w:rPr>
      <w:rFonts w:eastAsia="Times New Roman"/>
      <w:b/>
      <w:bCs/>
      <w:iCs/>
      <w:sz w:val="22"/>
      <w:szCs w:val="28"/>
    </w:rPr>
  </w:style>
  <w:style w:type="paragraph" w:styleId="Heading3">
    <w:name w:val="heading 3"/>
    <w:basedOn w:val="Normal"/>
    <w:next w:val="Normal"/>
    <w:link w:val="Heading3Char"/>
    <w:uiPriority w:val="9"/>
    <w:unhideWhenUsed/>
    <w:rsid w:val="00892259"/>
    <w:pPr>
      <w:keepNext/>
      <w:keepLines/>
      <w:numPr>
        <w:ilvl w:val="2"/>
        <w:numId w:val="1"/>
      </w:numPr>
      <w:suppressAutoHyphens/>
      <w:spacing w:before="240" w:after="40" w:line="360" w:lineRule="auto"/>
      <w:ind w:left="851" w:hanging="851"/>
      <w:outlineLvl w:val="2"/>
    </w:pPr>
    <w:rPr>
      <w:rFonts w:eastAsia="Times New Roman"/>
      <w:b/>
      <w:bCs/>
      <w:color w:val="FF0000"/>
      <w:szCs w:val="26"/>
    </w:rPr>
  </w:style>
  <w:style w:type="paragraph" w:styleId="Heading4">
    <w:name w:val="heading 4"/>
    <w:basedOn w:val="Normal"/>
    <w:next w:val="Normal"/>
    <w:link w:val="Heading4Char"/>
    <w:uiPriority w:val="9"/>
    <w:unhideWhenUsed/>
    <w:rsid w:val="00942B89"/>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semiHidden/>
    <w:unhideWhenUsed/>
    <w:rsid w:val="00D07A09"/>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D07A09"/>
    <w:pPr>
      <w:numPr>
        <w:ilvl w:val="5"/>
        <w:numId w:val="1"/>
      </w:num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D07A09"/>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D07A09"/>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D07A09"/>
    <w:pPr>
      <w:numPr>
        <w:ilvl w:val="8"/>
        <w:numId w:val="1"/>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9D"/>
    <w:pPr>
      <w:pBdr>
        <w:bottom w:val="single" w:sz="2" w:space="1" w:color="000000"/>
      </w:pBdr>
      <w:tabs>
        <w:tab w:val="right" w:pos="9072"/>
      </w:tabs>
      <w:spacing w:after="0" w:line="240" w:lineRule="auto"/>
    </w:pPr>
    <w:rPr>
      <w:color w:val="595959"/>
      <w:sz w:val="16"/>
    </w:rPr>
  </w:style>
  <w:style w:type="character" w:customStyle="1" w:styleId="HeaderChar">
    <w:name w:val="Header Char"/>
    <w:link w:val="Header"/>
    <w:uiPriority w:val="99"/>
    <w:rsid w:val="00FA309D"/>
    <w:rPr>
      <w:rFonts w:ascii="Arial" w:hAnsi="Arial"/>
      <w:color w:val="595959"/>
      <w:sz w:val="16"/>
      <w:szCs w:val="22"/>
      <w:lang w:eastAsia="en-US"/>
    </w:rPr>
  </w:style>
  <w:style w:type="paragraph" w:styleId="Footer">
    <w:name w:val="footer"/>
    <w:basedOn w:val="Normal"/>
    <w:link w:val="FooterChar"/>
    <w:uiPriority w:val="99"/>
    <w:unhideWhenUsed/>
    <w:rsid w:val="00B04E61"/>
    <w:pPr>
      <w:tabs>
        <w:tab w:val="center" w:pos="4153"/>
        <w:tab w:val="right" w:pos="8306"/>
      </w:tabs>
      <w:spacing w:before="120" w:after="0" w:line="240" w:lineRule="auto"/>
      <w:jc w:val="center"/>
    </w:pPr>
    <w:rPr>
      <w:sz w:val="18"/>
    </w:rPr>
  </w:style>
  <w:style w:type="character" w:customStyle="1" w:styleId="FooterChar">
    <w:name w:val="Footer Char"/>
    <w:link w:val="Footer"/>
    <w:uiPriority w:val="99"/>
    <w:rsid w:val="00B04E61"/>
    <w:rPr>
      <w:rFonts w:ascii="Arial" w:hAnsi="Arial"/>
      <w:sz w:val="18"/>
      <w:szCs w:val="22"/>
      <w:lang w:eastAsia="en-US"/>
    </w:rPr>
  </w:style>
  <w:style w:type="paragraph" w:customStyle="1" w:styleId="NumberedList">
    <w:name w:val="Numbered List"/>
    <w:basedOn w:val="BulletPoints"/>
    <w:qFormat/>
    <w:rsid w:val="00556208"/>
    <w:pPr>
      <w:numPr>
        <w:numId w:val="4"/>
      </w:numPr>
      <w:ind w:left="397" w:hanging="227"/>
    </w:pPr>
  </w:style>
  <w:style w:type="paragraph" w:customStyle="1" w:styleId="Email">
    <w:name w:val="Email"/>
    <w:basedOn w:val="Normal"/>
    <w:qFormat/>
    <w:rsid w:val="005C3D48"/>
    <w:pPr>
      <w:spacing w:before="20" w:after="20"/>
    </w:pPr>
  </w:style>
  <w:style w:type="paragraph" w:customStyle="1" w:styleId="Author">
    <w:name w:val="Author"/>
    <w:basedOn w:val="Normal"/>
    <w:qFormat/>
    <w:rsid w:val="00D07A09"/>
    <w:pPr>
      <w:spacing w:after="280"/>
    </w:pPr>
  </w:style>
  <w:style w:type="paragraph" w:customStyle="1" w:styleId="Affiliation">
    <w:name w:val="Affiliation"/>
    <w:basedOn w:val="Normal"/>
    <w:qFormat/>
    <w:rsid w:val="00E21C54"/>
    <w:pPr>
      <w:spacing w:before="160" w:after="40"/>
    </w:pPr>
    <w:rPr>
      <w:i/>
    </w:rPr>
  </w:style>
  <w:style w:type="paragraph" w:customStyle="1" w:styleId="Keywords">
    <w:name w:val="Keywords"/>
    <w:basedOn w:val="Normal"/>
    <w:qFormat/>
    <w:rsid w:val="006C4434"/>
    <w:pPr>
      <w:spacing w:before="480"/>
    </w:pPr>
    <w:rPr>
      <w:i/>
      <w:sz w:val="18"/>
    </w:rPr>
  </w:style>
  <w:style w:type="character" w:customStyle="1" w:styleId="Heading2Char">
    <w:name w:val="Heading 2 Char"/>
    <w:aliases w:val="Heading 2_EUROENGEO_ Char"/>
    <w:link w:val="Heading2"/>
    <w:uiPriority w:val="9"/>
    <w:rsid w:val="004356D6"/>
    <w:rPr>
      <w:rFonts w:ascii="Arial" w:eastAsia="Times New Roman" w:hAnsi="Arial"/>
      <w:b/>
      <w:bCs/>
      <w:iCs/>
      <w:sz w:val="22"/>
      <w:szCs w:val="28"/>
      <w:lang w:val="en-GB"/>
    </w:rPr>
  </w:style>
  <w:style w:type="character" w:styleId="Hyperlink">
    <w:name w:val="Hyperlink"/>
    <w:uiPriority w:val="99"/>
    <w:unhideWhenUsed/>
    <w:rsid w:val="00FE1898"/>
    <w:rPr>
      <w:color w:val="0000FF"/>
      <w:u w:val="single"/>
    </w:rPr>
  </w:style>
  <w:style w:type="character" w:customStyle="1" w:styleId="Heading3Char">
    <w:name w:val="Heading 3 Char"/>
    <w:link w:val="Heading3"/>
    <w:uiPriority w:val="9"/>
    <w:rsid w:val="00892259"/>
    <w:rPr>
      <w:rFonts w:ascii="Arial" w:eastAsia="Times New Roman" w:hAnsi="Arial"/>
      <w:b/>
      <w:bCs/>
      <w:color w:val="FF0000"/>
      <w:szCs w:val="26"/>
      <w:lang w:val="en-GB"/>
    </w:rPr>
  </w:style>
  <w:style w:type="paragraph" w:customStyle="1" w:styleId="AuthorInformation">
    <w:name w:val="Author Information"/>
    <w:basedOn w:val="Normal"/>
    <w:qFormat/>
    <w:rsid w:val="00D07A09"/>
    <w:pPr>
      <w:spacing w:after="20"/>
    </w:pPr>
  </w:style>
  <w:style w:type="character" w:customStyle="1" w:styleId="Heading1Char">
    <w:name w:val="Heading 1 Char"/>
    <w:aliases w:val="Heading 1_EUROENGEO_ Char"/>
    <w:link w:val="Heading1"/>
    <w:uiPriority w:val="9"/>
    <w:rsid w:val="00EB4C7E"/>
    <w:rPr>
      <w:rFonts w:ascii="Arial" w:eastAsia="SimSun" w:hAnsi="Arial"/>
      <w:b/>
      <w:bCs/>
      <w:sz w:val="24"/>
      <w:szCs w:val="28"/>
      <w:lang w:val="en-GB"/>
    </w:rPr>
  </w:style>
  <w:style w:type="character" w:customStyle="1" w:styleId="Heading4Char">
    <w:name w:val="Heading 4 Char"/>
    <w:link w:val="Heading4"/>
    <w:uiPriority w:val="9"/>
    <w:rsid w:val="00942B89"/>
    <w:rPr>
      <w:rFonts w:ascii="Cambria" w:eastAsia="SimSun" w:hAnsi="Cambria"/>
      <w:b/>
      <w:bCs/>
      <w:i/>
      <w:iCs/>
      <w:color w:val="4F81BD"/>
      <w:sz w:val="18"/>
      <w:szCs w:val="22"/>
      <w:lang w:val="en-GB" w:eastAsia="en-US"/>
    </w:rPr>
  </w:style>
  <w:style w:type="character" w:customStyle="1" w:styleId="Heading5Char">
    <w:name w:val="Heading 5 Char"/>
    <w:link w:val="Heading5"/>
    <w:uiPriority w:val="9"/>
    <w:semiHidden/>
    <w:rsid w:val="00D07A09"/>
    <w:rPr>
      <w:rFonts w:ascii="Calibri" w:eastAsia="Times New Roman" w:hAnsi="Calibri" w:cs="Times New Roman"/>
      <w:b/>
      <w:bCs/>
      <w:i/>
      <w:iCs/>
      <w:sz w:val="26"/>
      <w:szCs w:val="26"/>
      <w:lang w:val="en-GB" w:eastAsia="en-US"/>
    </w:rPr>
  </w:style>
  <w:style w:type="paragraph" w:customStyle="1" w:styleId="Abtracttext">
    <w:name w:val="Abtract text"/>
    <w:basedOn w:val="Normal"/>
    <w:qFormat/>
    <w:rsid w:val="003C24D0"/>
    <w:pPr>
      <w:spacing w:before="800"/>
    </w:pPr>
    <w:rPr>
      <w:sz w:val="18"/>
    </w:rPr>
  </w:style>
  <w:style w:type="character" w:customStyle="1" w:styleId="Heading6Char">
    <w:name w:val="Heading 6 Char"/>
    <w:link w:val="Heading6"/>
    <w:uiPriority w:val="9"/>
    <w:semiHidden/>
    <w:rsid w:val="00D07A09"/>
    <w:rPr>
      <w:rFonts w:ascii="Calibri" w:eastAsia="Times New Roman" w:hAnsi="Calibri" w:cs="Times New Roman"/>
      <w:b/>
      <w:bCs/>
      <w:sz w:val="22"/>
      <w:szCs w:val="22"/>
      <w:lang w:val="en-GB" w:eastAsia="en-US"/>
    </w:rPr>
  </w:style>
  <w:style w:type="character" w:customStyle="1" w:styleId="Heading7Char">
    <w:name w:val="Heading 7 Char"/>
    <w:link w:val="Heading7"/>
    <w:uiPriority w:val="9"/>
    <w:semiHidden/>
    <w:rsid w:val="00D07A09"/>
    <w:rPr>
      <w:rFonts w:ascii="Calibri" w:eastAsia="Times New Roman" w:hAnsi="Calibri" w:cs="Times New Roman"/>
      <w:sz w:val="24"/>
      <w:szCs w:val="24"/>
      <w:lang w:val="en-GB" w:eastAsia="en-US"/>
    </w:rPr>
  </w:style>
  <w:style w:type="character" w:customStyle="1" w:styleId="Heading8Char">
    <w:name w:val="Heading 8 Char"/>
    <w:link w:val="Heading8"/>
    <w:uiPriority w:val="9"/>
    <w:semiHidden/>
    <w:rsid w:val="00D07A09"/>
    <w:rPr>
      <w:rFonts w:ascii="Calibri" w:eastAsia="Times New Roman" w:hAnsi="Calibri" w:cs="Times New Roman"/>
      <w:i/>
      <w:iCs/>
      <w:sz w:val="24"/>
      <w:szCs w:val="24"/>
      <w:lang w:val="en-GB" w:eastAsia="en-US"/>
    </w:rPr>
  </w:style>
  <w:style w:type="character" w:customStyle="1" w:styleId="Heading9Char">
    <w:name w:val="Heading 9 Char"/>
    <w:link w:val="Heading9"/>
    <w:uiPriority w:val="9"/>
    <w:semiHidden/>
    <w:rsid w:val="00D07A09"/>
    <w:rPr>
      <w:rFonts w:ascii="Cambria" w:eastAsia="Times New Roman" w:hAnsi="Cambria" w:cs="Times New Roman"/>
      <w:sz w:val="22"/>
      <w:szCs w:val="22"/>
      <w:lang w:val="en-GB" w:eastAsia="en-US"/>
    </w:rPr>
  </w:style>
  <w:style w:type="paragraph" w:customStyle="1" w:styleId="Equation">
    <w:name w:val="Equation"/>
    <w:basedOn w:val="Normal"/>
    <w:qFormat/>
    <w:rsid w:val="00063AB2"/>
    <w:pPr>
      <w:tabs>
        <w:tab w:val="right" w:pos="9072"/>
      </w:tabs>
      <w:spacing w:before="160" w:after="120"/>
    </w:pPr>
  </w:style>
  <w:style w:type="paragraph" w:customStyle="1" w:styleId="Heading1-Nonumber">
    <w:name w:val="Heading 1 - No number"/>
    <w:basedOn w:val="Normal"/>
    <w:qFormat/>
    <w:rsid w:val="005839C0"/>
    <w:pPr>
      <w:keepNext/>
      <w:keepLines/>
      <w:tabs>
        <w:tab w:val="left" w:pos="454"/>
      </w:tabs>
      <w:spacing w:before="480" w:after="200"/>
      <w:ind w:left="454" w:hanging="454"/>
    </w:pPr>
    <w:rPr>
      <w:b/>
      <w:sz w:val="24"/>
      <w:szCs w:val="24"/>
    </w:rPr>
  </w:style>
  <w:style w:type="paragraph" w:customStyle="1" w:styleId="ReferenceList">
    <w:name w:val="Reference List"/>
    <w:basedOn w:val="Normal"/>
    <w:qFormat/>
    <w:rsid w:val="00A72250"/>
    <w:pPr>
      <w:tabs>
        <w:tab w:val="left" w:pos="284"/>
      </w:tabs>
      <w:spacing w:after="160"/>
    </w:pPr>
    <w:rPr>
      <w:sz w:val="18"/>
      <w:szCs w:val="18"/>
    </w:rPr>
  </w:style>
  <w:style w:type="table" w:styleId="TableGrid">
    <w:name w:val="Table Grid"/>
    <w:basedOn w:val="TableNormal"/>
    <w:uiPriority w:val="59"/>
    <w:rsid w:val="00783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7837A1"/>
    <w:pPr>
      <w:spacing w:before="20" w:after="20" w:line="240" w:lineRule="auto"/>
      <w:jc w:val="center"/>
    </w:pPr>
    <w:rPr>
      <w:sz w:val="18"/>
      <w:szCs w:val="18"/>
    </w:rPr>
  </w:style>
  <w:style w:type="paragraph" w:customStyle="1" w:styleId="TableCaption">
    <w:name w:val="Table Caption"/>
    <w:basedOn w:val="Normal"/>
    <w:qFormat/>
    <w:rsid w:val="00C5109D"/>
    <w:pPr>
      <w:keepNext/>
      <w:spacing w:before="240" w:after="40" w:line="240" w:lineRule="auto"/>
    </w:pPr>
    <w:rPr>
      <w:b/>
      <w:sz w:val="18"/>
      <w:szCs w:val="18"/>
    </w:rPr>
  </w:style>
  <w:style w:type="paragraph" w:customStyle="1" w:styleId="BulletPoints">
    <w:name w:val="Bullet Points"/>
    <w:basedOn w:val="Normal"/>
    <w:qFormat/>
    <w:rsid w:val="00AC7E40"/>
    <w:pPr>
      <w:numPr>
        <w:numId w:val="3"/>
      </w:numPr>
      <w:tabs>
        <w:tab w:val="left" w:pos="397"/>
      </w:tabs>
      <w:ind w:left="397" w:hanging="227"/>
    </w:pPr>
  </w:style>
  <w:style w:type="paragraph" w:customStyle="1" w:styleId="Figure">
    <w:name w:val="Figure"/>
    <w:basedOn w:val="Normal"/>
    <w:qFormat/>
    <w:rsid w:val="00C5109D"/>
    <w:pPr>
      <w:keepNext/>
      <w:spacing w:before="240" w:after="20"/>
      <w:jc w:val="center"/>
    </w:pPr>
    <w:rPr>
      <w:noProof/>
      <w:lang w:eastAsia="de-CH"/>
    </w:rPr>
  </w:style>
  <w:style w:type="paragraph" w:customStyle="1" w:styleId="FigureCaption">
    <w:name w:val="Figure Caption"/>
    <w:basedOn w:val="Figure"/>
    <w:next w:val="Normal"/>
    <w:qFormat/>
    <w:rsid w:val="00C5109D"/>
    <w:pPr>
      <w:keepNext w:val="0"/>
      <w:spacing w:before="20" w:after="240"/>
    </w:pPr>
    <w:rPr>
      <w:b/>
      <w:sz w:val="18"/>
    </w:rPr>
  </w:style>
  <w:style w:type="paragraph" w:customStyle="1" w:styleId="PaperTitle">
    <w:name w:val="Paper Title"/>
    <w:basedOn w:val="Normal"/>
    <w:qFormat/>
    <w:rsid w:val="006C6EB2"/>
    <w:pPr>
      <w:pageBreakBefore/>
      <w:spacing w:before="800" w:after="480"/>
      <w:contextualSpacing/>
    </w:pPr>
    <w:rPr>
      <w:rFonts w:eastAsia="SimSun"/>
      <w:b/>
      <w:spacing w:val="5"/>
      <w:kern w:val="28"/>
      <w:sz w:val="28"/>
      <w:szCs w:val="52"/>
    </w:rPr>
  </w:style>
  <w:style w:type="paragraph" w:styleId="BalloonText">
    <w:name w:val="Balloon Text"/>
    <w:basedOn w:val="Normal"/>
    <w:link w:val="BalloonTextChar"/>
    <w:uiPriority w:val="99"/>
    <w:semiHidden/>
    <w:unhideWhenUsed/>
    <w:rsid w:val="00FA30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309D"/>
    <w:rPr>
      <w:rFonts w:ascii="Tahoma" w:hAnsi="Tahoma" w:cs="Tahoma"/>
      <w:sz w:val="16"/>
      <w:szCs w:val="16"/>
      <w:lang w:eastAsia="en-US"/>
    </w:rPr>
  </w:style>
  <w:style w:type="character" w:customStyle="1" w:styleId="1">
    <w:name w:val="Ανεπίλυτη αναφορά1"/>
    <w:basedOn w:val="DefaultParagraphFont"/>
    <w:uiPriority w:val="99"/>
    <w:semiHidden/>
    <w:unhideWhenUsed/>
    <w:rsid w:val="00283DCF"/>
    <w:rPr>
      <w:color w:val="605E5C"/>
      <w:shd w:val="clear" w:color="auto" w:fill="E1DFDD"/>
    </w:rPr>
  </w:style>
  <w:style w:type="paragraph" w:styleId="ListParagraph">
    <w:name w:val="List Paragraph"/>
    <w:basedOn w:val="Normal"/>
    <w:link w:val="ListParagraphChar"/>
    <w:uiPriority w:val="34"/>
    <w:qFormat/>
    <w:rsid w:val="00BD471A"/>
    <w:pPr>
      <w:ind w:left="720"/>
      <w:contextualSpacing/>
    </w:pPr>
  </w:style>
  <w:style w:type="paragraph" w:customStyle="1" w:styleId="Heading1EUROENGEO">
    <w:name w:val="Heading 1_EUROENGEO"/>
    <w:basedOn w:val="ListParagraph"/>
    <w:link w:val="Heading1EUROENGEOChar"/>
    <w:rsid w:val="00C90C38"/>
    <w:pPr>
      <w:numPr>
        <w:numId w:val="5"/>
      </w:numPr>
      <w:spacing w:before="480" w:after="200"/>
    </w:pPr>
    <w:rPr>
      <w:b/>
      <w:sz w:val="24"/>
      <w:szCs w:val="24"/>
    </w:rPr>
  </w:style>
  <w:style w:type="character" w:customStyle="1" w:styleId="ListParagraphChar">
    <w:name w:val="List Paragraph Char"/>
    <w:basedOn w:val="DefaultParagraphFont"/>
    <w:link w:val="ListParagraph"/>
    <w:uiPriority w:val="34"/>
    <w:rsid w:val="00C90C38"/>
    <w:rPr>
      <w:rFonts w:ascii="Arial" w:hAnsi="Arial"/>
      <w:szCs w:val="22"/>
      <w:lang w:val="en-GB"/>
    </w:rPr>
  </w:style>
  <w:style w:type="character" w:customStyle="1" w:styleId="Heading1EUROENGEOChar">
    <w:name w:val="Heading 1_EUROENGEO Char"/>
    <w:basedOn w:val="ListParagraphChar"/>
    <w:link w:val="Heading1EUROENGEO"/>
    <w:rsid w:val="00C90C38"/>
    <w:rPr>
      <w:rFonts w:ascii="Arial" w:hAnsi="Arial"/>
      <w:b/>
      <w:sz w:val="24"/>
      <w:szCs w:val="24"/>
      <w:lang w:val="en-GB"/>
    </w:rPr>
  </w:style>
  <w:style w:type="paragraph" w:customStyle="1" w:styleId="Heading3EUROENGEO">
    <w:name w:val="Heading 3_EUROENGEO_"/>
    <w:basedOn w:val="Heading3"/>
    <w:link w:val="Heading3EUROENGEOChar"/>
    <w:qFormat/>
    <w:rsid w:val="00892259"/>
    <w:pPr>
      <w:spacing w:before="320" w:after="120" w:line="240" w:lineRule="atLeast"/>
      <w:ind w:left="794" w:hanging="794"/>
    </w:pPr>
    <w:rPr>
      <w:color w:val="auto"/>
    </w:rPr>
  </w:style>
  <w:style w:type="character" w:customStyle="1" w:styleId="Heading3EUROENGEOChar">
    <w:name w:val="Heading 3_EUROENGEO_ Char"/>
    <w:basedOn w:val="Heading3Char"/>
    <w:link w:val="Heading3EUROENGEO"/>
    <w:rsid w:val="00892259"/>
    <w:rPr>
      <w:rFonts w:ascii="Arial" w:eastAsia="Times New Roman" w:hAnsi="Arial"/>
      <w:b/>
      <w:bCs/>
      <w:color w:val="FF0000"/>
      <w:szCs w:val="26"/>
      <w:lang w:val="en-GB"/>
    </w:rPr>
  </w:style>
  <w:style w:type="paragraph" w:customStyle="1" w:styleId="Pa2">
    <w:name w:val="Pa2"/>
    <w:basedOn w:val="Normal"/>
    <w:next w:val="Normal"/>
    <w:uiPriority w:val="99"/>
    <w:rsid w:val="00D03959"/>
    <w:pPr>
      <w:autoSpaceDE w:val="0"/>
      <w:autoSpaceDN w:val="0"/>
      <w:adjustRightInd w:val="0"/>
      <w:spacing w:after="0" w:line="241" w:lineRule="atLeast"/>
      <w:jc w:val="left"/>
    </w:pPr>
    <w:rPr>
      <w:rFonts w:ascii="Times New Roman" w:eastAsia="MS Mincho" w:hAnsi="Times New Roman" w:cs="Mangal"/>
      <w:sz w:val="24"/>
      <w:szCs w:val="24"/>
      <w:lang w:val="en-US" w:eastAsia="ja-JP" w:bidi="ne-NP"/>
    </w:rPr>
  </w:style>
  <w:style w:type="character" w:customStyle="1" w:styleId="A1">
    <w:name w:val="A1"/>
    <w:uiPriority w:val="99"/>
    <w:rsid w:val="00D03959"/>
    <w:rPr>
      <w:rFonts w:ascii="Times New Roman" w:hAnsi="Times New Roman" w:cs="Times New Roman" w:hint="default"/>
      <w:b/>
      <w:bCs/>
      <w:color w:val="221E1F"/>
      <w:sz w:val="20"/>
      <w:szCs w:val="20"/>
    </w:rPr>
  </w:style>
  <w:style w:type="character" w:customStyle="1" w:styleId="A6">
    <w:name w:val="A6"/>
    <w:uiPriority w:val="99"/>
    <w:rsid w:val="00D03959"/>
    <w:rPr>
      <w:rFonts w:ascii="Times" w:hAnsi="Times" w:cs="Times" w:hint="default"/>
      <w:color w:val="221E1F"/>
      <w:sz w:val="18"/>
      <w:szCs w:val="18"/>
    </w:rPr>
  </w:style>
  <w:style w:type="character" w:styleId="UnresolvedMention">
    <w:name w:val="Unresolved Mention"/>
    <w:basedOn w:val="DefaultParagraphFont"/>
    <w:uiPriority w:val="99"/>
    <w:semiHidden/>
    <w:unhideWhenUsed/>
    <w:rsid w:val="0060445F"/>
    <w:rPr>
      <w:color w:val="605E5C"/>
      <w:shd w:val="clear" w:color="auto" w:fill="E1DFDD"/>
    </w:rPr>
  </w:style>
  <w:style w:type="paragraph" w:styleId="Title">
    <w:name w:val="Title"/>
    <w:basedOn w:val="Normal"/>
    <w:next w:val="Normal"/>
    <w:link w:val="TitleChar"/>
    <w:qFormat/>
    <w:rsid w:val="00257E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EDE"/>
    <w:rPr>
      <w:rFonts w:asciiTheme="majorHAnsi" w:eastAsiaTheme="majorEastAsia" w:hAnsiTheme="majorHAnsi" w:cstheme="majorBidi"/>
      <w:spacing w:val="-10"/>
      <w:kern w:val="28"/>
      <w:sz w:val="56"/>
      <w:szCs w:val="56"/>
      <w:lang w:val="en-GB"/>
    </w:rPr>
  </w:style>
  <w:style w:type="character" w:customStyle="1" w:styleId="nlmyear">
    <w:name w:val="nlm_year"/>
    <w:basedOn w:val="DefaultParagraphFont"/>
    <w:rsid w:val="00FD69A3"/>
  </w:style>
  <w:style w:type="character" w:customStyle="1" w:styleId="nlmpublisher-loc">
    <w:name w:val="nlm_publisher-loc"/>
    <w:basedOn w:val="DefaultParagraphFont"/>
    <w:rsid w:val="00FD69A3"/>
  </w:style>
  <w:style w:type="character" w:customStyle="1" w:styleId="nlmpublisher-name">
    <w:name w:val="nlm_publisher-name"/>
    <w:basedOn w:val="DefaultParagraphFont"/>
    <w:rsid w:val="00FD6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8269">
      <w:bodyDiv w:val="1"/>
      <w:marLeft w:val="0"/>
      <w:marRight w:val="0"/>
      <w:marTop w:val="0"/>
      <w:marBottom w:val="0"/>
      <w:divBdr>
        <w:top w:val="none" w:sz="0" w:space="0" w:color="auto"/>
        <w:left w:val="none" w:sz="0" w:space="0" w:color="auto"/>
        <w:bottom w:val="none" w:sz="0" w:space="0" w:color="auto"/>
        <w:right w:val="none" w:sz="0" w:space="0" w:color="auto"/>
      </w:divBdr>
    </w:div>
    <w:div w:id="710423608">
      <w:bodyDiv w:val="1"/>
      <w:marLeft w:val="0"/>
      <w:marRight w:val="0"/>
      <w:marTop w:val="0"/>
      <w:marBottom w:val="0"/>
      <w:divBdr>
        <w:top w:val="none" w:sz="0" w:space="0" w:color="auto"/>
        <w:left w:val="none" w:sz="0" w:space="0" w:color="auto"/>
        <w:bottom w:val="none" w:sz="0" w:space="0" w:color="auto"/>
        <w:right w:val="none" w:sz="0" w:space="0" w:color="auto"/>
      </w:divBdr>
    </w:div>
    <w:div w:id="857473453">
      <w:bodyDiv w:val="1"/>
      <w:marLeft w:val="0"/>
      <w:marRight w:val="0"/>
      <w:marTop w:val="0"/>
      <w:marBottom w:val="0"/>
      <w:divBdr>
        <w:top w:val="none" w:sz="0" w:space="0" w:color="auto"/>
        <w:left w:val="none" w:sz="0" w:space="0" w:color="auto"/>
        <w:bottom w:val="none" w:sz="0" w:space="0" w:color="auto"/>
        <w:right w:val="none" w:sz="0" w:space="0" w:color="auto"/>
      </w:divBdr>
    </w:div>
    <w:div w:id="13830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me.org/publication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7A8B4-002C-4AFB-BE0A-A6CC82D3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3159</Words>
  <Characters>18008</Characters>
  <Application>Microsoft Office Word</Application>
  <DocSecurity>0</DocSecurity>
  <Lines>150</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21125</CharactersWithSpaces>
  <SharedDoc>false</SharedDoc>
  <HLinks>
    <vt:vector size="24" baseType="variant">
      <vt:variant>
        <vt:i4>2949176</vt:i4>
      </vt:variant>
      <vt:variant>
        <vt:i4>9</vt:i4>
      </vt:variant>
      <vt:variant>
        <vt:i4>0</vt:i4>
      </vt:variant>
      <vt:variant>
        <vt:i4>5</vt:i4>
      </vt:variant>
      <vt:variant>
        <vt:lpwstr>http://www.eetc2014athens.org/</vt:lpwstr>
      </vt:variant>
      <vt:variant>
        <vt:lpwstr/>
      </vt:variant>
      <vt:variant>
        <vt:i4>7405656</vt:i4>
      </vt:variant>
      <vt:variant>
        <vt:i4>6</vt:i4>
      </vt:variant>
      <vt:variant>
        <vt:i4>0</vt:i4>
      </vt:variant>
      <vt:variant>
        <vt:i4>5</vt:i4>
      </vt:variant>
      <vt:variant>
        <vt:lpwstr>mailto:emailthirdauthor@institute.com</vt:lpwstr>
      </vt:variant>
      <vt:variant>
        <vt:lpwstr/>
      </vt:variant>
      <vt:variant>
        <vt:i4>6684753</vt:i4>
      </vt:variant>
      <vt:variant>
        <vt:i4>3</vt:i4>
      </vt:variant>
      <vt:variant>
        <vt:i4>0</vt:i4>
      </vt:variant>
      <vt:variant>
        <vt:i4>5</vt:i4>
      </vt:variant>
      <vt:variant>
        <vt:lpwstr>mailto:emailsecondauthor@institute.com</vt:lpwstr>
      </vt:variant>
      <vt:variant>
        <vt:lpwstr/>
      </vt:variant>
      <vt:variant>
        <vt:i4>7405633</vt:i4>
      </vt:variant>
      <vt:variant>
        <vt:i4>0</vt:i4>
      </vt:variant>
      <vt:variant>
        <vt:i4>0</vt:i4>
      </vt:variant>
      <vt:variant>
        <vt:i4>5</vt:i4>
      </vt:variant>
      <vt:variant>
        <vt:lpwstr>mailto:emailfirstauthor@institute.com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EETC2014</dc:creator>
  <cp:keywords/>
  <cp:lastModifiedBy>Mavroulidou, Maria</cp:lastModifiedBy>
  <cp:revision>7</cp:revision>
  <cp:lastPrinted>2019-06-19T14:59:00Z</cp:lastPrinted>
  <dcterms:created xsi:type="dcterms:W3CDTF">2021-09-08T20:05:00Z</dcterms:created>
  <dcterms:modified xsi:type="dcterms:W3CDTF">2021-09-08T20:21:00Z</dcterms:modified>
</cp:coreProperties>
</file>