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3F2B7" w14:textId="77777777" w:rsidR="00377F27" w:rsidRDefault="00377F27" w:rsidP="00377F27">
      <w:pPr>
        <w:spacing w:line="200" w:lineRule="exact"/>
        <w:rPr>
          <w:rFonts w:ascii="Times New Roman" w:eastAsia="Times New Roman" w:hAnsi="Times New Roman"/>
          <w:sz w:val="24"/>
        </w:rPr>
      </w:pPr>
      <w:bookmarkStart w:id="0" w:name="page1"/>
      <w:bookmarkEnd w:id="0"/>
      <w:r>
        <w:rPr>
          <w:noProof/>
          <w:lang w:eastAsia="en-GB"/>
        </w:rPr>
        <w:drawing>
          <wp:anchor distT="0" distB="0" distL="114300" distR="114300" simplePos="0" relativeHeight="251665408" behindDoc="1" locked="0" layoutInCell="1" allowOverlap="1" wp14:anchorId="2203FB7E" wp14:editId="0DD3D064">
            <wp:simplePos x="0" y="0"/>
            <wp:positionH relativeFrom="page">
              <wp:posOffset>2646045</wp:posOffset>
            </wp:positionH>
            <wp:positionV relativeFrom="page">
              <wp:posOffset>914400</wp:posOffset>
            </wp:positionV>
            <wp:extent cx="2292985" cy="22929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0" layoutInCell="1" allowOverlap="1" wp14:anchorId="11EE47F9" wp14:editId="7D4BE568">
                <wp:simplePos x="0" y="0"/>
                <wp:positionH relativeFrom="page">
                  <wp:posOffset>304800</wp:posOffset>
                </wp:positionH>
                <wp:positionV relativeFrom="page">
                  <wp:posOffset>332105</wp:posOffset>
                </wp:positionV>
                <wp:extent cx="6951980" cy="0"/>
                <wp:effectExtent l="28575" t="36830" r="29845" b="2984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54864">
                          <a:solidFill>
                            <a:srgbClr val="24406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B215" id="Straight Connector 2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6.15pt" to="57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" strokecolor="#244061" strokeweight="4.32pt">
                <w10:wrap anchorx="page" anchory="page"/>
              </v:line>
            </w:pict>
          </mc:Fallback>
        </mc:AlternateContent>
      </w:r>
      <w:r>
        <w:rPr>
          <w:noProof/>
          <w:lang w:eastAsia="en-GB"/>
        </w:rPr>
        <mc:AlternateContent>
          <mc:Choice Requires="wps">
            <w:drawing>
              <wp:anchor distT="0" distB="0" distL="114300" distR="114300" simplePos="0" relativeHeight="251667456" behindDoc="1" locked="0" layoutInCell="1" allowOverlap="1" wp14:anchorId="63ACD1B2" wp14:editId="77F590DF">
                <wp:simplePos x="0" y="0"/>
                <wp:positionH relativeFrom="page">
                  <wp:posOffset>332105</wp:posOffset>
                </wp:positionH>
                <wp:positionV relativeFrom="page">
                  <wp:posOffset>304800</wp:posOffset>
                </wp:positionV>
                <wp:extent cx="0" cy="10085070"/>
                <wp:effectExtent l="36830" t="28575" r="29845" b="304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070"/>
                        </a:xfrm>
                        <a:prstGeom prst="line">
                          <a:avLst/>
                        </a:prstGeom>
                        <a:noFill/>
                        <a:ln w="54863">
                          <a:solidFill>
                            <a:srgbClr val="24406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466E8" id="Straight Connector 2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4pt" to="26.15pt,8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" strokecolor="#244061" strokeweight="1.52397mm">
                <w10:wrap anchorx="page" anchory="page"/>
              </v:line>
            </w:pict>
          </mc:Fallback>
        </mc:AlternateContent>
      </w:r>
      <w:r>
        <w:rPr>
          <w:noProof/>
          <w:lang w:eastAsia="en-GB"/>
        </w:rPr>
        <mc:AlternateContent>
          <mc:Choice Requires="wps">
            <w:drawing>
              <wp:anchor distT="0" distB="0" distL="114300" distR="114300" simplePos="0" relativeHeight="251668480" behindDoc="1" locked="0" layoutInCell="1" allowOverlap="1" wp14:anchorId="22C3BAD7" wp14:editId="49E39F73">
                <wp:simplePos x="0" y="0"/>
                <wp:positionH relativeFrom="page">
                  <wp:posOffset>304800</wp:posOffset>
                </wp:positionH>
                <wp:positionV relativeFrom="page">
                  <wp:posOffset>10362565</wp:posOffset>
                </wp:positionV>
                <wp:extent cx="6951980" cy="0"/>
                <wp:effectExtent l="28575" t="27940" r="29845" b="2921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54863">
                          <a:solidFill>
                            <a:srgbClr val="24406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6322E" id="Straight Connector 1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5.95pt" to="571.4pt,8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" strokecolor="#244061" strokeweight="1.52397mm">
                <w10:wrap anchorx="page" anchory="page"/>
              </v:line>
            </w:pict>
          </mc:Fallback>
        </mc:AlternateContent>
      </w:r>
      <w:r>
        <w:rPr>
          <w:noProof/>
          <w:lang w:eastAsia="en-GB"/>
        </w:rPr>
        <mc:AlternateContent>
          <mc:Choice Requires="wps">
            <w:drawing>
              <wp:anchor distT="0" distB="0" distL="114300" distR="114300" simplePos="0" relativeHeight="251669504" behindDoc="1" locked="0" layoutInCell="1" allowOverlap="1" wp14:anchorId="3C68D459" wp14:editId="1CA71E72">
                <wp:simplePos x="0" y="0"/>
                <wp:positionH relativeFrom="page">
                  <wp:posOffset>7229475</wp:posOffset>
                </wp:positionH>
                <wp:positionV relativeFrom="page">
                  <wp:posOffset>304800</wp:posOffset>
                </wp:positionV>
                <wp:extent cx="0" cy="10085070"/>
                <wp:effectExtent l="28575" t="28575" r="28575" b="304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070"/>
                        </a:xfrm>
                        <a:prstGeom prst="line">
                          <a:avLst/>
                        </a:prstGeom>
                        <a:noFill/>
                        <a:ln w="54864">
                          <a:solidFill>
                            <a:srgbClr val="24406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4BF41" id="Straight Connector 1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25pt,24pt" to="569.25pt,8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" strokecolor="#244061" strokeweight="4.32pt">
                <w10:wrap anchorx="page" anchory="page"/>
              </v:line>
            </w:pict>
          </mc:Fallback>
        </mc:AlternateContent>
      </w:r>
    </w:p>
    <w:p w14:paraId="26B31E90" w14:textId="77777777" w:rsidR="00377F27" w:rsidRDefault="00377F27" w:rsidP="00377F27">
      <w:pPr>
        <w:spacing w:line="200" w:lineRule="exact"/>
        <w:rPr>
          <w:rFonts w:ascii="Times New Roman" w:eastAsia="Times New Roman" w:hAnsi="Times New Roman"/>
          <w:sz w:val="24"/>
        </w:rPr>
      </w:pPr>
    </w:p>
    <w:p w14:paraId="40A84A1D" w14:textId="77777777" w:rsidR="00377F27" w:rsidRDefault="00377F27" w:rsidP="00377F27">
      <w:pPr>
        <w:spacing w:line="200" w:lineRule="exact"/>
        <w:rPr>
          <w:rFonts w:ascii="Times New Roman" w:eastAsia="Times New Roman" w:hAnsi="Times New Roman"/>
          <w:sz w:val="24"/>
        </w:rPr>
      </w:pPr>
    </w:p>
    <w:p w14:paraId="132FFF2C" w14:textId="77777777" w:rsidR="00377F27" w:rsidRDefault="00377F27" w:rsidP="00377F27">
      <w:pPr>
        <w:spacing w:line="200" w:lineRule="exact"/>
        <w:rPr>
          <w:rFonts w:ascii="Times New Roman" w:eastAsia="Times New Roman" w:hAnsi="Times New Roman"/>
          <w:sz w:val="24"/>
        </w:rPr>
      </w:pPr>
    </w:p>
    <w:p w14:paraId="335CFD26" w14:textId="77777777" w:rsidR="00377F27" w:rsidRDefault="00377F27" w:rsidP="00377F27">
      <w:pPr>
        <w:spacing w:line="200" w:lineRule="exact"/>
        <w:rPr>
          <w:rFonts w:ascii="Times New Roman" w:eastAsia="Times New Roman" w:hAnsi="Times New Roman"/>
          <w:sz w:val="24"/>
        </w:rPr>
      </w:pPr>
    </w:p>
    <w:p w14:paraId="11685D32" w14:textId="77777777" w:rsidR="00377F27" w:rsidRDefault="00377F27" w:rsidP="00377F27">
      <w:pPr>
        <w:spacing w:line="200" w:lineRule="exact"/>
        <w:rPr>
          <w:rFonts w:ascii="Times New Roman" w:eastAsia="Times New Roman" w:hAnsi="Times New Roman"/>
          <w:sz w:val="24"/>
        </w:rPr>
      </w:pPr>
    </w:p>
    <w:p w14:paraId="6BCBF817" w14:textId="77777777" w:rsidR="00377F27" w:rsidRDefault="00377F27" w:rsidP="00377F27">
      <w:pPr>
        <w:spacing w:line="200" w:lineRule="exact"/>
        <w:rPr>
          <w:rFonts w:ascii="Times New Roman" w:eastAsia="Times New Roman" w:hAnsi="Times New Roman"/>
          <w:sz w:val="24"/>
        </w:rPr>
      </w:pPr>
    </w:p>
    <w:p w14:paraId="0AF97BA7" w14:textId="77777777" w:rsidR="00377F27" w:rsidRDefault="00377F27" w:rsidP="00377F27">
      <w:pPr>
        <w:spacing w:line="200" w:lineRule="exact"/>
        <w:rPr>
          <w:rFonts w:ascii="Times New Roman" w:eastAsia="Times New Roman" w:hAnsi="Times New Roman"/>
          <w:sz w:val="24"/>
        </w:rPr>
      </w:pPr>
    </w:p>
    <w:p w14:paraId="20095B5C" w14:textId="77777777" w:rsidR="00377F27" w:rsidRDefault="00377F27" w:rsidP="00377F27">
      <w:pPr>
        <w:spacing w:line="200" w:lineRule="exact"/>
        <w:rPr>
          <w:rFonts w:ascii="Times New Roman" w:eastAsia="Times New Roman" w:hAnsi="Times New Roman"/>
          <w:sz w:val="24"/>
        </w:rPr>
      </w:pPr>
    </w:p>
    <w:p w14:paraId="220299E9" w14:textId="77777777" w:rsidR="00377F27" w:rsidRDefault="00377F27" w:rsidP="00377F27">
      <w:pPr>
        <w:spacing w:line="325" w:lineRule="exact"/>
        <w:rPr>
          <w:rFonts w:ascii="Times New Roman" w:eastAsia="Times New Roman" w:hAnsi="Times New Roman"/>
          <w:sz w:val="24"/>
        </w:rPr>
      </w:pPr>
    </w:p>
    <w:p w14:paraId="1A7E3DC9" w14:textId="77777777" w:rsidR="00B75F8C" w:rsidRPr="00832B93" w:rsidRDefault="00B75F8C" w:rsidP="00832B93">
      <w:pPr>
        <w:pStyle w:val="BodyText"/>
        <w:jc w:val="center"/>
        <w:rPr>
          <w:rFonts w:asciiTheme="minorHAnsi" w:hAnsiTheme="minorHAnsi" w:cstheme="minorHAnsi"/>
          <w:b/>
          <w:bCs/>
          <w:sz w:val="36"/>
          <w:szCs w:val="36"/>
        </w:rPr>
      </w:pPr>
      <w:r w:rsidRPr="00832B93">
        <w:rPr>
          <w:rFonts w:asciiTheme="minorHAnsi" w:hAnsiTheme="minorHAnsi" w:cstheme="minorHAnsi"/>
          <w:b/>
          <w:bCs/>
          <w:sz w:val="36"/>
          <w:szCs w:val="36"/>
        </w:rPr>
        <w:t>Division of Accounting, Finance &amp; Economics</w:t>
      </w:r>
    </w:p>
    <w:p w14:paraId="78150E86" w14:textId="55600AB1" w:rsidR="00B75F8C" w:rsidRPr="00832B93" w:rsidRDefault="00B75F8C" w:rsidP="00832B93">
      <w:pPr>
        <w:pStyle w:val="BodyText"/>
        <w:jc w:val="center"/>
        <w:rPr>
          <w:rFonts w:asciiTheme="minorHAnsi" w:hAnsiTheme="minorHAnsi" w:cstheme="minorHAnsi"/>
          <w:b/>
          <w:bCs/>
          <w:sz w:val="36"/>
          <w:szCs w:val="36"/>
        </w:rPr>
      </w:pPr>
      <w:r w:rsidRPr="00832B93">
        <w:rPr>
          <w:rFonts w:asciiTheme="minorHAnsi" w:hAnsiTheme="minorHAnsi" w:cstheme="minorHAnsi"/>
          <w:b/>
          <w:bCs/>
          <w:sz w:val="36"/>
          <w:szCs w:val="36"/>
        </w:rPr>
        <w:t>School of Business.</w:t>
      </w:r>
    </w:p>
    <w:p w14:paraId="25A04030" w14:textId="77777777" w:rsidR="005C6D97" w:rsidRDefault="005C6D97" w:rsidP="00B75F8C">
      <w:pPr>
        <w:jc w:val="center"/>
        <w:rPr>
          <w:b/>
          <w:bCs/>
          <w:sz w:val="36"/>
        </w:rPr>
      </w:pPr>
    </w:p>
    <w:p w14:paraId="2498D6D2" w14:textId="61B3E9A7" w:rsidR="00B75F8C" w:rsidRDefault="00B70363" w:rsidP="00B75F8C">
      <w:pPr>
        <w:jc w:val="center"/>
        <w:rPr>
          <w:b/>
          <w:bCs/>
          <w:sz w:val="36"/>
        </w:rPr>
      </w:pPr>
      <w:r>
        <w:rPr>
          <w:b/>
          <w:bCs/>
          <w:sz w:val="36"/>
        </w:rPr>
        <w:t xml:space="preserve">Contribution to </w:t>
      </w:r>
      <w:r w:rsidR="0048613C">
        <w:rPr>
          <w:b/>
          <w:bCs/>
          <w:sz w:val="36"/>
        </w:rPr>
        <w:t>F</w:t>
      </w:r>
      <w:r w:rsidR="005C6D97">
        <w:rPr>
          <w:b/>
          <w:bCs/>
          <w:sz w:val="36"/>
        </w:rPr>
        <w:t xml:space="preserve">inancial </w:t>
      </w:r>
      <w:r w:rsidR="0048613C">
        <w:rPr>
          <w:b/>
          <w:bCs/>
          <w:sz w:val="36"/>
        </w:rPr>
        <w:t>E</w:t>
      </w:r>
      <w:r w:rsidR="005C6D97">
        <w:rPr>
          <w:b/>
          <w:bCs/>
          <w:sz w:val="36"/>
        </w:rPr>
        <w:t xml:space="preserve">conometrics and Quantitative Finance </w:t>
      </w:r>
    </w:p>
    <w:p w14:paraId="365AF8B0" w14:textId="397476CE" w:rsidR="005C6D97" w:rsidRDefault="005C6D97" w:rsidP="00B75F8C">
      <w:pPr>
        <w:jc w:val="center"/>
        <w:rPr>
          <w:b/>
          <w:bCs/>
          <w:sz w:val="36"/>
        </w:rPr>
      </w:pPr>
      <w:r>
        <w:rPr>
          <w:b/>
          <w:bCs/>
          <w:sz w:val="36"/>
        </w:rPr>
        <w:t>PhD in three parts:</w:t>
      </w:r>
    </w:p>
    <w:p w14:paraId="1675F096" w14:textId="2DAFA796" w:rsidR="00B75F8C" w:rsidRPr="002E143B" w:rsidRDefault="002C15FD" w:rsidP="005C6D97">
      <w:pPr>
        <w:pStyle w:val="TOC1"/>
        <w:tabs>
          <w:tab w:val="right" w:leader="dot" w:pos="9016"/>
        </w:tabs>
        <w:rPr>
          <w:rStyle w:val="Hyperlink"/>
          <w:noProof/>
          <w:color w:val="auto"/>
          <w:sz w:val="28"/>
          <w:szCs w:val="28"/>
          <w:u w:val="none"/>
        </w:rPr>
      </w:pPr>
      <w:hyperlink w:anchor="_Toc78416887" w:history="1">
        <w:r w:rsidR="005C6D97" w:rsidRPr="002E143B">
          <w:rPr>
            <w:rStyle w:val="Hyperlink"/>
            <w:b/>
            <w:bCs/>
            <w:noProof/>
            <w:color w:val="auto"/>
            <w:sz w:val="28"/>
            <w:szCs w:val="28"/>
            <w:u w:val="none"/>
          </w:rPr>
          <w:t>Part 1</w:t>
        </w:r>
        <w:r w:rsidR="005C6D97" w:rsidRPr="002E143B">
          <w:rPr>
            <w:rStyle w:val="Hyperlink"/>
            <w:noProof/>
            <w:color w:val="auto"/>
            <w:sz w:val="28"/>
            <w:szCs w:val="28"/>
            <w:u w:val="none"/>
          </w:rPr>
          <w:t xml:space="preserve">: Liquidity Transmission </w:t>
        </w:r>
        <w:r w:rsidR="004808F2">
          <w:rPr>
            <w:rStyle w:val="Hyperlink"/>
            <w:noProof/>
            <w:color w:val="auto"/>
            <w:sz w:val="28"/>
            <w:szCs w:val="28"/>
            <w:u w:val="none"/>
          </w:rPr>
          <w:t>M</w:t>
        </w:r>
        <w:r w:rsidR="005C6D97" w:rsidRPr="002E143B">
          <w:rPr>
            <w:rStyle w:val="Hyperlink"/>
            <w:noProof/>
            <w:color w:val="auto"/>
            <w:sz w:val="28"/>
            <w:szCs w:val="28"/>
            <w:u w:val="none"/>
          </w:rPr>
          <w:t>echanism: Evidence from pre, during and post 2007 subprime crisis</w:t>
        </w:r>
      </w:hyperlink>
    </w:p>
    <w:p w14:paraId="619DCD04" w14:textId="087971D5" w:rsidR="005C6D97" w:rsidRPr="002E143B" w:rsidRDefault="002C15FD" w:rsidP="005C6D97">
      <w:pPr>
        <w:pStyle w:val="TOC1"/>
        <w:tabs>
          <w:tab w:val="right" w:leader="dot" w:pos="9016"/>
        </w:tabs>
        <w:rPr>
          <w:rStyle w:val="Hyperlink"/>
          <w:noProof/>
          <w:color w:val="auto"/>
          <w:sz w:val="28"/>
          <w:szCs w:val="28"/>
          <w:u w:val="none"/>
        </w:rPr>
      </w:pPr>
      <w:hyperlink w:anchor="_Toc78416940" w:history="1">
        <w:r w:rsidR="005C6D97" w:rsidRPr="002E143B">
          <w:rPr>
            <w:rStyle w:val="Hyperlink"/>
            <w:b/>
            <w:bCs/>
            <w:noProof/>
            <w:color w:val="auto"/>
            <w:sz w:val="28"/>
            <w:szCs w:val="28"/>
            <w:u w:val="none"/>
          </w:rPr>
          <w:t>Part 2</w:t>
        </w:r>
        <w:r w:rsidR="005C6D97" w:rsidRPr="002E143B">
          <w:rPr>
            <w:rStyle w:val="Hyperlink"/>
            <w:noProof/>
            <w:color w:val="auto"/>
            <w:sz w:val="28"/>
            <w:szCs w:val="28"/>
            <w:u w:val="none"/>
          </w:rPr>
          <w:t>: Benford's laws tests on the volume of S&amp;P500 minutes data</w:t>
        </w:r>
      </w:hyperlink>
    </w:p>
    <w:p w14:paraId="54189A83" w14:textId="3D8571BE" w:rsidR="005C6D97" w:rsidRPr="002E143B" w:rsidRDefault="002C15FD" w:rsidP="005C6D97">
      <w:pPr>
        <w:pStyle w:val="TOC1"/>
        <w:tabs>
          <w:tab w:val="right" w:leader="dot" w:pos="9016"/>
        </w:tabs>
        <w:rPr>
          <w:rFonts w:asciiTheme="minorHAnsi" w:eastAsiaTheme="minorEastAsia" w:hAnsiTheme="minorHAnsi" w:cstheme="minorBidi"/>
          <w:noProof/>
          <w:sz w:val="28"/>
          <w:szCs w:val="28"/>
          <w:lang w:eastAsia="en-GB"/>
        </w:rPr>
      </w:pPr>
      <w:hyperlink w:anchor="_Toc78416950" w:history="1">
        <w:r w:rsidR="005C6D97" w:rsidRPr="002E143B">
          <w:rPr>
            <w:rStyle w:val="Hyperlink"/>
            <w:b/>
            <w:bCs/>
            <w:noProof/>
            <w:color w:val="auto"/>
            <w:sz w:val="28"/>
            <w:szCs w:val="28"/>
            <w:u w:val="none"/>
          </w:rPr>
          <w:t>Part 3</w:t>
        </w:r>
        <w:r w:rsidR="005C6D97" w:rsidRPr="002E143B">
          <w:rPr>
            <w:rStyle w:val="Hyperlink"/>
            <w:noProof/>
            <w:color w:val="auto"/>
            <w:sz w:val="28"/>
            <w:szCs w:val="28"/>
            <w:u w:val="none"/>
          </w:rPr>
          <w:t>: Model and application: Irrational Fractional Brownian Motion GARCH</w:t>
        </w:r>
      </w:hyperlink>
    </w:p>
    <w:p w14:paraId="54B56570" w14:textId="77777777" w:rsidR="005C6D97" w:rsidRDefault="005C6D97" w:rsidP="00B75F8C">
      <w:pPr>
        <w:jc w:val="both"/>
        <w:rPr>
          <w:b/>
          <w:bCs/>
          <w:sz w:val="32"/>
        </w:rPr>
      </w:pPr>
    </w:p>
    <w:p w14:paraId="459B6A1B" w14:textId="31E26124" w:rsidR="00B75F8C" w:rsidRDefault="00B75F8C" w:rsidP="00B75F8C">
      <w:pPr>
        <w:jc w:val="both"/>
        <w:rPr>
          <w:b/>
          <w:bCs/>
          <w:sz w:val="32"/>
        </w:rPr>
      </w:pPr>
      <w:r>
        <w:rPr>
          <w:b/>
          <w:bCs/>
          <w:sz w:val="32"/>
        </w:rPr>
        <w:t>A thesis submitted to London South Bank University for the degree of Doctor of Philosophy In the school of Business</w:t>
      </w:r>
    </w:p>
    <w:p w14:paraId="57268C03" w14:textId="77777777" w:rsidR="00377F27" w:rsidRDefault="00377F27" w:rsidP="00377F27">
      <w:pPr>
        <w:spacing w:line="20" w:lineRule="exact"/>
        <w:rPr>
          <w:rFonts w:ascii="Times New Roman" w:eastAsia="Times New Roman" w:hAnsi="Times New Roman"/>
          <w:sz w:val="24"/>
        </w:rPr>
      </w:pPr>
      <w:r>
        <w:rPr>
          <w:rFonts w:ascii="Cambria" w:eastAsia="Cambria" w:hAnsi="Cambria"/>
          <w:noProof/>
          <w:sz w:val="56"/>
          <w:lang w:eastAsia="en-GB"/>
        </w:rPr>
        <mc:AlternateContent>
          <mc:Choice Requires="wps">
            <w:drawing>
              <wp:anchor distT="0" distB="0" distL="114300" distR="114300" simplePos="0" relativeHeight="251670528" behindDoc="1" locked="0" layoutInCell="1" allowOverlap="1" wp14:anchorId="5247B329" wp14:editId="23B10B21">
                <wp:simplePos x="0" y="0"/>
                <wp:positionH relativeFrom="column">
                  <wp:posOffset>-69215</wp:posOffset>
                </wp:positionH>
                <wp:positionV relativeFrom="paragraph">
                  <wp:posOffset>7620</wp:posOffset>
                </wp:positionV>
                <wp:extent cx="5871845" cy="0"/>
                <wp:effectExtent l="6985" t="7620" r="7620" b="114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845"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43DC" id="Straight Connector 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pt" to="456.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" strokecolor="#4f81bd" strokeweight=".48pt"/>
            </w:pict>
          </mc:Fallback>
        </mc:AlternateContent>
      </w:r>
    </w:p>
    <w:p w14:paraId="6751C5AC" w14:textId="77777777" w:rsidR="00377F27" w:rsidRDefault="00377F27" w:rsidP="00377F27">
      <w:pPr>
        <w:spacing w:line="270" w:lineRule="exact"/>
        <w:rPr>
          <w:rFonts w:ascii="Times New Roman" w:eastAsia="Times New Roman" w:hAnsi="Times New Roman"/>
          <w:sz w:val="24"/>
        </w:rPr>
      </w:pPr>
    </w:p>
    <w:p w14:paraId="47194CBF" w14:textId="0DB5FE49" w:rsidR="00377F27" w:rsidRPr="00B75F8C" w:rsidRDefault="00377F27" w:rsidP="00377F27">
      <w:pPr>
        <w:spacing w:line="0" w:lineRule="atLeast"/>
        <w:ind w:right="-95"/>
        <w:jc w:val="center"/>
        <w:rPr>
          <w:rFonts w:eastAsia="Cambria" w:cstheme="minorHAnsi"/>
          <w:b/>
          <w:sz w:val="36"/>
          <w:szCs w:val="36"/>
        </w:rPr>
      </w:pPr>
      <w:r w:rsidRPr="00B75F8C">
        <w:rPr>
          <w:rFonts w:eastAsia="Cambria" w:cstheme="minorHAnsi"/>
          <w:b/>
          <w:sz w:val="36"/>
          <w:szCs w:val="36"/>
        </w:rPr>
        <w:t xml:space="preserve">Submitted </w:t>
      </w:r>
      <w:r w:rsidR="00B75F8C" w:rsidRPr="00B75F8C">
        <w:rPr>
          <w:rFonts w:eastAsia="Cambria" w:cstheme="minorHAnsi"/>
          <w:b/>
          <w:sz w:val="36"/>
          <w:szCs w:val="36"/>
        </w:rPr>
        <w:t>by:</w:t>
      </w:r>
      <w:r w:rsidRPr="00B75F8C">
        <w:rPr>
          <w:rFonts w:eastAsia="Cambria" w:cstheme="minorHAnsi"/>
          <w:b/>
          <w:sz w:val="36"/>
          <w:szCs w:val="36"/>
        </w:rPr>
        <w:t xml:space="preserve"> </w:t>
      </w:r>
      <w:r w:rsidR="00B75F8C" w:rsidRPr="00B75F8C">
        <w:rPr>
          <w:rFonts w:cstheme="minorHAnsi"/>
          <w:b/>
          <w:bCs/>
          <w:sz w:val="36"/>
          <w:szCs w:val="36"/>
        </w:rPr>
        <w:t>Babar Jawaid Syed 2</w:t>
      </w:r>
      <w:r w:rsidR="00453354">
        <w:rPr>
          <w:rFonts w:cstheme="minorHAnsi"/>
          <w:b/>
          <w:bCs/>
          <w:sz w:val="36"/>
          <w:szCs w:val="36"/>
        </w:rPr>
        <w:t>8</w:t>
      </w:r>
      <w:r w:rsidR="00B75F8C" w:rsidRPr="00B75F8C">
        <w:rPr>
          <w:rFonts w:cstheme="minorHAnsi"/>
          <w:b/>
          <w:bCs/>
          <w:sz w:val="36"/>
          <w:szCs w:val="36"/>
        </w:rPr>
        <w:t>30493</w:t>
      </w:r>
    </w:p>
    <w:p w14:paraId="30A21F7E" w14:textId="77777777" w:rsidR="00377F27" w:rsidRDefault="00377F27" w:rsidP="00377F27">
      <w:pPr>
        <w:spacing w:line="23" w:lineRule="exact"/>
        <w:rPr>
          <w:rFonts w:ascii="Times New Roman" w:eastAsia="Times New Roman" w:hAnsi="Times New Roman"/>
          <w:sz w:val="24"/>
        </w:rPr>
      </w:pPr>
    </w:p>
    <w:p w14:paraId="7C0F696E" w14:textId="77777777" w:rsidR="005C6D97" w:rsidRPr="002F193D" w:rsidRDefault="005C6D97" w:rsidP="00CD195D">
      <w:pPr>
        <w:pStyle w:val="Heading1"/>
        <w:jc w:val="center"/>
      </w:pPr>
      <w:bookmarkStart w:id="1" w:name="_Toc11914188"/>
      <w:bookmarkStart w:id="2" w:name="_Toc90499917"/>
      <w:r w:rsidRPr="002F193D">
        <w:lastRenderedPageBreak/>
        <w:t>Declaration</w:t>
      </w:r>
      <w:bookmarkEnd w:id="1"/>
      <w:bookmarkEnd w:id="2"/>
    </w:p>
    <w:p w14:paraId="764CA249" w14:textId="77777777" w:rsidR="005C6D97" w:rsidRPr="002F193D" w:rsidRDefault="005C6D97" w:rsidP="005C6D97">
      <w:pPr>
        <w:jc w:val="center"/>
        <w:rPr>
          <w:rFonts w:ascii="Times New Roman" w:hAnsi="Times New Roman"/>
          <w:color w:val="000000"/>
          <w:sz w:val="28"/>
          <w:szCs w:val="28"/>
        </w:rPr>
      </w:pPr>
    </w:p>
    <w:p w14:paraId="74FAB823" w14:textId="77777777" w:rsidR="005C6D97" w:rsidRDefault="005C6D97" w:rsidP="005C6D97">
      <w:pPr>
        <w:jc w:val="center"/>
        <w:rPr>
          <w:rFonts w:ascii="Times New Roman" w:hAnsi="Times New Roman"/>
          <w:color w:val="000000"/>
          <w:sz w:val="28"/>
          <w:szCs w:val="28"/>
        </w:rPr>
        <w:sectPr w:rsidR="005C6D97" w:rsidSect="002E143B">
          <w:footerReference w:type="default" r:id="rId9"/>
          <w:pgSz w:w="11906" w:h="16838"/>
          <w:pgMar w:top="1440" w:right="1440" w:bottom="1440" w:left="1440" w:header="708" w:footer="708" w:gutter="0"/>
          <w:cols w:space="708"/>
          <w:docGrid w:linePitch="360"/>
        </w:sectPr>
      </w:pPr>
      <w:r w:rsidRPr="002F193D">
        <w:rPr>
          <w:rFonts w:ascii="Times New Roman" w:hAnsi="Times New Roman"/>
          <w:color w:val="000000"/>
          <w:sz w:val="28"/>
          <w:szCs w:val="28"/>
        </w:rPr>
        <w:t>No portion of the work referred to in the thesis has been submitted in support of an application for another degree or qualiﬁcation of this or any other university or other institute of learning</w:t>
      </w:r>
      <w:r>
        <w:rPr>
          <w:rFonts w:ascii="Times New Roman" w:hAnsi="Times New Roman"/>
          <w:color w:val="000000"/>
          <w:sz w:val="28"/>
          <w:szCs w:val="28"/>
        </w:rPr>
        <w:t xml:space="preserve">. </w:t>
      </w:r>
      <w:r w:rsidRPr="002F193D">
        <w:rPr>
          <w:rFonts w:ascii="Times New Roman" w:hAnsi="Times New Roman"/>
          <w:color w:val="000000"/>
          <w:sz w:val="28"/>
          <w:szCs w:val="28"/>
        </w:rPr>
        <w:t>Where other work is quot</w:t>
      </w:r>
      <w:r>
        <w:rPr>
          <w:rFonts w:ascii="Times New Roman" w:hAnsi="Times New Roman"/>
          <w:color w:val="000000"/>
          <w:sz w:val="28"/>
          <w:szCs w:val="28"/>
        </w:rPr>
        <w:t>ed, due reference has been made.</w:t>
      </w:r>
    </w:p>
    <w:p w14:paraId="569D0642" w14:textId="77777777" w:rsidR="00377F27" w:rsidRDefault="00377F27" w:rsidP="00377F27">
      <w:pPr>
        <w:spacing w:line="200" w:lineRule="exact"/>
        <w:rPr>
          <w:rFonts w:ascii="Times New Roman" w:eastAsia="Times New Roman" w:hAnsi="Times New Roman"/>
        </w:rPr>
      </w:pPr>
    </w:p>
    <w:p w14:paraId="6816E2B3" w14:textId="0FCB425D" w:rsidR="00537E32" w:rsidRDefault="00537E32" w:rsidP="005C6D97">
      <w:pPr>
        <w:pStyle w:val="Heading1"/>
        <w:jc w:val="center"/>
      </w:pPr>
      <w:bookmarkStart w:id="3" w:name="_Toc11914187"/>
      <w:bookmarkStart w:id="4" w:name="_Toc90499918"/>
      <w:r w:rsidRPr="001C50BB">
        <w:t>Dedication</w:t>
      </w:r>
      <w:bookmarkEnd w:id="3"/>
      <w:bookmarkEnd w:id="4"/>
    </w:p>
    <w:p w14:paraId="5103E463" w14:textId="77777777" w:rsidR="00537E32" w:rsidRDefault="00537E32" w:rsidP="00537E32"/>
    <w:p w14:paraId="1D5D915E" w14:textId="77777777" w:rsidR="00537E32" w:rsidRPr="00145FAD" w:rsidRDefault="00537E32" w:rsidP="00537E32"/>
    <w:p w14:paraId="299E901A" w14:textId="77777777" w:rsidR="00537E32" w:rsidRDefault="00537E32" w:rsidP="00537E32">
      <w:pPr>
        <w:jc w:val="center"/>
        <w:rPr>
          <w:rFonts w:ascii="Times New Roman" w:hAnsi="Times New Roman"/>
          <w:i/>
          <w:color w:val="000000"/>
          <w:sz w:val="28"/>
          <w:szCs w:val="28"/>
        </w:rPr>
      </w:pPr>
    </w:p>
    <w:p w14:paraId="430AFDD4" w14:textId="7BB3568D" w:rsidR="00537E32" w:rsidRDefault="00537E32" w:rsidP="00537E32">
      <w:pPr>
        <w:jc w:val="center"/>
        <w:rPr>
          <w:rFonts w:ascii="Times New Roman" w:hAnsi="Times New Roman"/>
          <w:i/>
          <w:color w:val="000000"/>
          <w:sz w:val="28"/>
          <w:szCs w:val="28"/>
        </w:rPr>
      </w:pPr>
      <w:r>
        <w:rPr>
          <w:rFonts w:ascii="Times New Roman" w:hAnsi="Times New Roman"/>
          <w:i/>
          <w:color w:val="000000"/>
          <w:sz w:val="28"/>
          <w:szCs w:val="28"/>
        </w:rPr>
        <w:t xml:space="preserve">To my Parents, </w:t>
      </w:r>
      <w:r w:rsidR="00B70363">
        <w:rPr>
          <w:rFonts w:ascii="Times New Roman" w:hAnsi="Times New Roman"/>
          <w:i/>
          <w:color w:val="000000"/>
          <w:sz w:val="28"/>
          <w:szCs w:val="28"/>
        </w:rPr>
        <w:t>Wife,</w:t>
      </w:r>
      <w:r>
        <w:rPr>
          <w:rFonts w:ascii="Times New Roman" w:hAnsi="Times New Roman"/>
          <w:i/>
          <w:color w:val="000000"/>
          <w:sz w:val="28"/>
          <w:szCs w:val="28"/>
        </w:rPr>
        <w:t xml:space="preserve"> and </w:t>
      </w:r>
      <w:r w:rsidR="002E143B">
        <w:rPr>
          <w:rFonts w:ascii="Times New Roman" w:hAnsi="Times New Roman"/>
          <w:i/>
          <w:color w:val="000000"/>
          <w:sz w:val="28"/>
          <w:szCs w:val="28"/>
        </w:rPr>
        <w:t>C</w:t>
      </w:r>
      <w:r w:rsidR="00B70363">
        <w:rPr>
          <w:rFonts w:ascii="Times New Roman" w:hAnsi="Times New Roman"/>
          <w:i/>
          <w:color w:val="000000"/>
          <w:sz w:val="28"/>
          <w:szCs w:val="28"/>
        </w:rPr>
        <w:t>hildren</w:t>
      </w:r>
      <w:r>
        <w:rPr>
          <w:rFonts w:ascii="Times New Roman" w:hAnsi="Times New Roman"/>
          <w:i/>
          <w:color w:val="000000"/>
          <w:sz w:val="28"/>
          <w:szCs w:val="28"/>
        </w:rPr>
        <w:t xml:space="preserve"> for everything!</w:t>
      </w:r>
    </w:p>
    <w:p w14:paraId="59949A0C" w14:textId="77777777" w:rsidR="00377F27" w:rsidRDefault="00377F27" w:rsidP="00454904">
      <w:pPr>
        <w:rPr>
          <w:rFonts w:ascii="Times New Roman" w:hAnsi="Times New Roman" w:cs="Times New Roman"/>
          <w:b/>
          <w:sz w:val="24"/>
          <w:szCs w:val="24"/>
        </w:rPr>
      </w:pPr>
    </w:p>
    <w:p w14:paraId="34E6B6D8" w14:textId="77777777" w:rsidR="00377F27" w:rsidRDefault="00377F27" w:rsidP="00454904">
      <w:pPr>
        <w:rPr>
          <w:rFonts w:ascii="Times New Roman" w:hAnsi="Times New Roman" w:cs="Times New Roman"/>
          <w:b/>
          <w:sz w:val="24"/>
          <w:szCs w:val="24"/>
        </w:rPr>
      </w:pPr>
    </w:p>
    <w:p w14:paraId="6E6031F9" w14:textId="6C79A6DA" w:rsidR="00E67F8F" w:rsidRDefault="00E67F8F" w:rsidP="00E67F8F">
      <w:pPr>
        <w:jc w:val="center"/>
        <w:rPr>
          <w:rFonts w:ascii="Times New Roman" w:hAnsi="Times New Roman" w:cs="Times New Roman"/>
          <w:b/>
          <w:sz w:val="24"/>
          <w:szCs w:val="24"/>
        </w:rPr>
      </w:pPr>
    </w:p>
    <w:p w14:paraId="1202E9F7" w14:textId="14D66A72" w:rsidR="00537E32" w:rsidRDefault="00537E32" w:rsidP="00E67F8F">
      <w:pPr>
        <w:jc w:val="center"/>
        <w:rPr>
          <w:rFonts w:ascii="Times New Roman" w:hAnsi="Times New Roman" w:cs="Times New Roman"/>
          <w:b/>
          <w:sz w:val="24"/>
          <w:szCs w:val="24"/>
        </w:rPr>
      </w:pPr>
    </w:p>
    <w:p w14:paraId="00BE565C" w14:textId="2103AAB7" w:rsidR="00537E32" w:rsidRDefault="00537E32" w:rsidP="00E67F8F">
      <w:pPr>
        <w:jc w:val="center"/>
        <w:rPr>
          <w:rFonts w:ascii="Times New Roman" w:hAnsi="Times New Roman" w:cs="Times New Roman"/>
          <w:b/>
          <w:sz w:val="24"/>
          <w:szCs w:val="24"/>
        </w:rPr>
      </w:pPr>
    </w:p>
    <w:p w14:paraId="24B8F72A" w14:textId="66EECC93" w:rsidR="00537E32" w:rsidRDefault="00537E32" w:rsidP="00E67F8F">
      <w:pPr>
        <w:jc w:val="center"/>
        <w:rPr>
          <w:rFonts w:ascii="Times New Roman" w:hAnsi="Times New Roman" w:cs="Times New Roman"/>
          <w:b/>
          <w:sz w:val="24"/>
          <w:szCs w:val="24"/>
        </w:rPr>
      </w:pPr>
    </w:p>
    <w:p w14:paraId="722B2271" w14:textId="7BD534F2" w:rsidR="00537E32" w:rsidRDefault="00537E32" w:rsidP="00E67F8F">
      <w:pPr>
        <w:jc w:val="center"/>
        <w:rPr>
          <w:rFonts w:ascii="Times New Roman" w:hAnsi="Times New Roman" w:cs="Times New Roman"/>
          <w:b/>
          <w:sz w:val="24"/>
          <w:szCs w:val="24"/>
        </w:rPr>
      </w:pPr>
    </w:p>
    <w:p w14:paraId="3D5D1755" w14:textId="3754F59D" w:rsidR="00537E32" w:rsidRDefault="00537E32" w:rsidP="00E67F8F">
      <w:pPr>
        <w:jc w:val="center"/>
        <w:rPr>
          <w:rFonts w:ascii="Times New Roman" w:hAnsi="Times New Roman" w:cs="Times New Roman"/>
          <w:b/>
          <w:sz w:val="24"/>
          <w:szCs w:val="24"/>
        </w:rPr>
      </w:pPr>
    </w:p>
    <w:p w14:paraId="515F6ACA" w14:textId="5490B0A8" w:rsidR="00537E32" w:rsidRDefault="00537E32" w:rsidP="00E67F8F">
      <w:pPr>
        <w:jc w:val="center"/>
        <w:rPr>
          <w:rFonts w:ascii="Times New Roman" w:hAnsi="Times New Roman" w:cs="Times New Roman"/>
          <w:b/>
          <w:sz w:val="24"/>
          <w:szCs w:val="24"/>
        </w:rPr>
      </w:pPr>
    </w:p>
    <w:p w14:paraId="4DD5FEBD" w14:textId="259A6D1B" w:rsidR="00537E32" w:rsidRDefault="00537E32" w:rsidP="00E67F8F">
      <w:pPr>
        <w:jc w:val="center"/>
        <w:rPr>
          <w:rFonts w:ascii="Times New Roman" w:hAnsi="Times New Roman" w:cs="Times New Roman"/>
          <w:b/>
          <w:sz w:val="24"/>
          <w:szCs w:val="24"/>
        </w:rPr>
      </w:pPr>
    </w:p>
    <w:p w14:paraId="3058737C" w14:textId="4C532B3F" w:rsidR="00537E32" w:rsidRDefault="00537E32" w:rsidP="00E67F8F">
      <w:pPr>
        <w:jc w:val="center"/>
        <w:rPr>
          <w:rFonts w:ascii="Times New Roman" w:hAnsi="Times New Roman" w:cs="Times New Roman"/>
          <w:b/>
          <w:sz w:val="24"/>
          <w:szCs w:val="24"/>
        </w:rPr>
      </w:pPr>
    </w:p>
    <w:p w14:paraId="2DAEE981" w14:textId="2A40B6A2" w:rsidR="00537E32" w:rsidRDefault="00537E32" w:rsidP="00E67F8F">
      <w:pPr>
        <w:jc w:val="center"/>
        <w:rPr>
          <w:rFonts w:ascii="Times New Roman" w:hAnsi="Times New Roman" w:cs="Times New Roman"/>
          <w:b/>
          <w:sz w:val="24"/>
          <w:szCs w:val="24"/>
        </w:rPr>
      </w:pPr>
    </w:p>
    <w:p w14:paraId="0FAB243F" w14:textId="0475E812" w:rsidR="00561654" w:rsidRDefault="00561654" w:rsidP="00E67F8F">
      <w:pPr>
        <w:jc w:val="center"/>
        <w:rPr>
          <w:rFonts w:ascii="Times New Roman" w:hAnsi="Times New Roman" w:cs="Times New Roman"/>
          <w:b/>
          <w:sz w:val="24"/>
          <w:szCs w:val="24"/>
        </w:rPr>
      </w:pPr>
    </w:p>
    <w:p w14:paraId="3A54AADE" w14:textId="003DC57D" w:rsidR="00561654" w:rsidRDefault="00561654">
      <w:pPr>
        <w:rPr>
          <w:rFonts w:ascii="Times New Roman" w:hAnsi="Times New Roman" w:cs="Times New Roman"/>
          <w:b/>
          <w:sz w:val="24"/>
          <w:szCs w:val="24"/>
        </w:rPr>
      </w:pPr>
      <w:r>
        <w:rPr>
          <w:rFonts w:ascii="Times New Roman" w:hAnsi="Times New Roman" w:cs="Times New Roman"/>
          <w:b/>
          <w:sz w:val="24"/>
          <w:szCs w:val="24"/>
        </w:rPr>
        <w:br w:type="page"/>
      </w:r>
    </w:p>
    <w:p w14:paraId="3EFE655C" w14:textId="77777777" w:rsidR="005C6D97" w:rsidRDefault="005C6D97" w:rsidP="00CD195D">
      <w:pPr>
        <w:pStyle w:val="Heading1"/>
        <w:jc w:val="center"/>
      </w:pPr>
      <w:bookmarkStart w:id="5" w:name="_Toc11914189"/>
      <w:bookmarkStart w:id="6" w:name="_Toc90499919"/>
      <w:r>
        <w:lastRenderedPageBreak/>
        <w:t>Acknowledgement</w:t>
      </w:r>
      <w:bookmarkEnd w:id="5"/>
      <w:bookmarkEnd w:id="6"/>
    </w:p>
    <w:p w14:paraId="31444E87" w14:textId="2F917EE1" w:rsidR="00235D4D" w:rsidRPr="005A7FA0" w:rsidRDefault="00235D4D" w:rsidP="005A7FA0">
      <w:pPr>
        <w:autoSpaceDE w:val="0"/>
        <w:autoSpaceDN w:val="0"/>
        <w:adjustRightInd w:val="0"/>
        <w:spacing w:before="100" w:beforeAutospacing="1" w:after="100" w:afterAutospacing="1" w:line="240" w:lineRule="auto"/>
        <w:jc w:val="both"/>
        <w:rPr>
          <w:rFonts w:ascii="Times New Roman" w:hAnsi="Times New Roman" w:cs="Times New Roman"/>
          <w:sz w:val="28"/>
          <w:szCs w:val="28"/>
        </w:rPr>
      </w:pPr>
      <w:r w:rsidRPr="005A7FA0">
        <w:rPr>
          <w:rFonts w:ascii="Times New Roman" w:hAnsi="Times New Roman" w:cs="Times New Roman"/>
          <w:sz w:val="28"/>
          <w:szCs w:val="28"/>
        </w:rPr>
        <w:t xml:space="preserve">Foremost, I would like to express my sincere gratitude to my </w:t>
      </w:r>
      <w:r w:rsidR="005A7FA0" w:rsidRPr="005A7FA0">
        <w:rPr>
          <w:rFonts w:ascii="Times New Roman" w:hAnsi="Times New Roman" w:cs="Times New Roman"/>
          <w:sz w:val="28"/>
          <w:szCs w:val="28"/>
        </w:rPr>
        <w:t>Director</w:t>
      </w:r>
      <w:r w:rsidRPr="005A7FA0">
        <w:rPr>
          <w:rFonts w:ascii="Times New Roman" w:hAnsi="Times New Roman" w:cs="Times New Roman"/>
          <w:sz w:val="28"/>
          <w:szCs w:val="28"/>
        </w:rPr>
        <w:t xml:space="preserve"> of </w:t>
      </w:r>
      <w:r w:rsidR="005A7FA0" w:rsidRPr="005A7FA0">
        <w:rPr>
          <w:rFonts w:ascii="Times New Roman" w:hAnsi="Times New Roman" w:cs="Times New Roman"/>
          <w:sz w:val="28"/>
          <w:szCs w:val="28"/>
        </w:rPr>
        <w:t>S</w:t>
      </w:r>
      <w:r w:rsidRPr="005A7FA0">
        <w:rPr>
          <w:rFonts w:ascii="Times New Roman" w:hAnsi="Times New Roman" w:cs="Times New Roman"/>
          <w:sz w:val="28"/>
          <w:szCs w:val="28"/>
        </w:rPr>
        <w:t xml:space="preserve">tudies, Dr Gurjeet Dhesi for the continuous support of my PhD study and research, for his patience, motivation, </w:t>
      </w:r>
      <w:r w:rsidR="005A7FA0" w:rsidRPr="005A7FA0">
        <w:rPr>
          <w:rFonts w:ascii="Times New Roman" w:hAnsi="Times New Roman" w:cs="Times New Roman"/>
          <w:sz w:val="28"/>
          <w:szCs w:val="28"/>
        </w:rPr>
        <w:t>enthusiasm,</w:t>
      </w:r>
      <w:r w:rsidRPr="005A7FA0">
        <w:rPr>
          <w:rFonts w:ascii="Times New Roman" w:hAnsi="Times New Roman" w:cs="Times New Roman"/>
          <w:sz w:val="28"/>
          <w:szCs w:val="28"/>
        </w:rPr>
        <w:t xml:space="preserve"> and immense knowledge</w:t>
      </w:r>
      <w:r w:rsidR="008313C1" w:rsidRPr="005A7FA0">
        <w:rPr>
          <w:rFonts w:ascii="Times New Roman" w:hAnsi="Times New Roman" w:cs="Times New Roman"/>
          <w:sz w:val="28"/>
          <w:szCs w:val="28"/>
        </w:rPr>
        <w:t xml:space="preserve">. His guidance helped me in all the time of research, writing of this thesis and beyond. I could not have Imagined having a better </w:t>
      </w:r>
      <w:r w:rsidR="00564FF7" w:rsidRPr="005A7FA0">
        <w:rPr>
          <w:rFonts w:ascii="Times New Roman" w:hAnsi="Times New Roman" w:cs="Times New Roman"/>
          <w:color w:val="000000"/>
          <w:sz w:val="28"/>
          <w:szCs w:val="28"/>
        </w:rPr>
        <w:t xml:space="preserve">mentor, </w:t>
      </w:r>
      <w:r w:rsidR="009D2246" w:rsidRPr="005A7FA0">
        <w:rPr>
          <w:rFonts w:ascii="Times New Roman" w:hAnsi="Times New Roman" w:cs="Times New Roman"/>
          <w:color w:val="000000"/>
          <w:sz w:val="28"/>
          <w:szCs w:val="28"/>
        </w:rPr>
        <w:t>advisor,</w:t>
      </w:r>
      <w:r w:rsidR="00564FF7" w:rsidRPr="005A7FA0">
        <w:rPr>
          <w:rFonts w:ascii="Times New Roman" w:hAnsi="Times New Roman" w:cs="Times New Roman"/>
          <w:color w:val="000000"/>
          <w:sz w:val="28"/>
          <w:szCs w:val="28"/>
        </w:rPr>
        <w:t xml:space="preserve"> and friend, it has been a privilege to have him as director of studies and I could not have achieved all I have without him.</w:t>
      </w:r>
      <w:r w:rsidR="008313C1" w:rsidRPr="005A7FA0">
        <w:rPr>
          <w:rFonts w:ascii="Times New Roman" w:hAnsi="Times New Roman" w:cs="Times New Roman"/>
          <w:sz w:val="28"/>
          <w:szCs w:val="28"/>
        </w:rPr>
        <w:t xml:space="preserve"> </w:t>
      </w:r>
    </w:p>
    <w:p w14:paraId="13B54EA5" w14:textId="2614C6B0" w:rsidR="009673F2" w:rsidRPr="005A7FA0" w:rsidRDefault="009673F2" w:rsidP="005A7FA0">
      <w:pPr>
        <w:spacing w:line="240" w:lineRule="auto"/>
        <w:jc w:val="both"/>
        <w:rPr>
          <w:rFonts w:ascii="Times New Roman" w:eastAsia="Arial" w:hAnsi="Times New Roman"/>
          <w:sz w:val="28"/>
          <w:szCs w:val="28"/>
        </w:rPr>
      </w:pPr>
      <w:r w:rsidRPr="005A7FA0">
        <w:rPr>
          <w:rFonts w:ascii="Times New Roman" w:hAnsi="Times New Roman"/>
          <w:color w:val="000000"/>
          <w:sz w:val="28"/>
          <w:szCs w:val="28"/>
        </w:rPr>
        <w:t xml:space="preserve">I wish to express my sincere gratitude to my second supervisor, Dr Peter Luke (previous) and </w:t>
      </w:r>
      <w:r w:rsidRPr="005A7FA0">
        <w:rPr>
          <w:rFonts w:ascii="Times New Roman" w:eastAsia="Arial" w:hAnsi="Times New Roman"/>
          <w:sz w:val="28"/>
          <w:szCs w:val="28"/>
        </w:rPr>
        <w:t xml:space="preserve">Professor Marcel </w:t>
      </w:r>
      <w:proofErr w:type="spellStart"/>
      <w:r w:rsidRPr="005A7FA0">
        <w:rPr>
          <w:rFonts w:ascii="Times New Roman" w:eastAsia="Arial" w:hAnsi="Times New Roman"/>
          <w:sz w:val="28"/>
          <w:szCs w:val="28"/>
        </w:rPr>
        <w:t>Ausloos</w:t>
      </w:r>
      <w:proofErr w:type="spellEnd"/>
      <w:r w:rsidRPr="005A7FA0">
        <w:rPr>
          <w:rFonts w:ascii="Times New Roman" w:eastAsia="Arial" w:hAnsi="Times New Roman"/>
          <w:sz w:val="28"/>
          <w:szCs w:val="28"/>
        </w:rPr>
        <w:t xml:space="preserve"> (current) they have always given me important suggestions and advice about how to improve my research. I am very grateful to Dr Lynn Xiao, Dr Muhammad Bilal Shakeel and Dr Valerio </w:t>
      </w:r>
      <w:proofErr w:type="spellStart"/>
      <w:r w:rsidRPr="005A7FA0">
        <w:rPr>
          <w:rFonts w:ascii="Times New Roman" w:eastAsia="Arial" w:hAnsi="Times New Roman"/>
          <w:sz w:val="28"/>
          <w:szCs w:val="28"/>
        </w:rPr>
        <w:t>Ficcadenti</w:t>
      </w:r>
      <w:proofErr w:type="spellEnd"/>
      <w:r w:rsidRPr="005A7FA0">
        <w:rPr>
          <w:rFonts w:ascii="Times New Roman" w:eastAsia="Arial" w:hAnsi="Times New Roman"/>
          <w:sz w:val="28"/>
          <w:szCs w:val="28"/>
        </w:rPr>
        <w:t xml:space="preserve"> for their excellent and valuable advice and support to conduct and present the research work. </w:t>
      </w:r>
    </w:p>
    <w:p w14:paraId="5CD695AB" w14:textId="45982938" w:rsidR="009673F2" w:rsidRPr="005A7FA0" w:rsidRDefault="009673F2" w:rsidP="005A7FA0">
      <w:pPr>
        <w:spacing w:line="240" w:lineRule="auto"/>
        <w:jc w:val="both"/>
        <w:rPr>
          <w:rFonts w:ascii="Times New Roman" w:eastAsia="Arial" w:hAnsi="Times New Roman"/>
          <w:sz w:val="28"/>
          <w:szCs w:val="28"/>
        </w:rPr>
      </w:pPr>
      <w:r w:rsidRPr="005A7FA0">
        <w:rPr>
          <w:rFonts w:ascii="Times New Roman" w:eastAsia="Times New Roman" w:hAnsi="Times New Roman"/>
          <w:sz w:val="28"/>
          <w:szCs w:val="28"/>
        </w:rPr>
        <w:t xml:space="preserve">I would also like </w:t>
      </w:r>
      <w:r w:rsidR="00F56765" w:rsidRPr="005A7FA0">
        <w:rPr>
          <w:rFonts w:ascii="Times New Roman" w:eastAsia="Times New Roman" w:hAnsi="Times New Roman"/>
          <w:sz w:val="28"/>
          <w:szCs w:val="28"/>
        </w:rPr>
        <w:t>to give special thanks</w:t>
      </w:r>
      <w:r w:rsidRPr="005A7FA0">
        <w:rPr>
          <w:rFonts w:ascii="Times New Roman" w:eastAsia="Times New Roman" w:hAnsi="Times New Roman"/>
          <w:sz w:val="28"/>
          <w:szCs w:val="28"/>
        </w:rPr>
        <w:t xml:space="preserve"> to </w:t>
      </w:r>
      <w:r w:rsidR="00F56765" w:rsidRPr="005A7FA0">
        <w:rPr>
          <w:rFonts w:ascii="Times New Roman" w:eastAsia="Times New Roman" w:hAnsi="Times New Roman"/>
          <w:sz w:val="28"/>
          <w:szCs w:val="28"/>
        </w:rPr>
        <w:t xml:space="preserve">my </w:t>
      </w:r>
      <w:r w:rsidRPr="005A7FA0">
        <w:rPr>
          <w:rFonts w:ascii="Times New Roman" w:eastAsia="Times New Roman" w:hAnsi="Times New Roman"/>
          <w:sz w:val="28"/>
          <w:szCs w:val="28"/>
        </w:rPr>
        <w:t>fellow PhD colleagues</w:t>
      </w:r>
      <w:r w:rsidR="00F56765" w:rsidRPr="005A7FA0">
        <w:rPr>
          <w:rFonts w:ascii="Times New Roman" w:eastAsia="Times New Roman" w:hAnsi="Times New Roman"/>
          <w:sz w:val="28"/>
          <w:szCs w:val="28"/>
        </w:rPr>
        <w:t xml:space="preserve"> and dear friends</w:t>
      </w:r>
      <w:r w:rsidRPr="005A7FA0">
        <w:rPr>
          <w:rFonts w:ascii="Times New Roman" w:eastAsia="Times New Roman" w:hAnsi="Times New Roman"/>
          <w:sz w:val="28"/>
          <w:szCs w:val="28"/>
        </w:rPr>
        <w:t xml:space="preserve"> </w:t>
      </w:r>
      <w:r w:rsidR="00F56765" w:rsidRPr="005A7FA0">
        <w:rPr>
          <w:rFonts w:ascii="Times New Roman" w:eastAsia="Times New Roman" w:hAnsi="Times New Roman"/>
          <w:sz w:val="28"/>
          <w:szCs w:val="28"/>
        </w:rPr>
        <w:t>Bilal, for</w:t>
      </w:r>
      <w:r w:rsidRPr="005A7FA0">
        <w:rPr>
          <w:rFonts w:ascii="Times New Roman" w:eastAsia="Times New Roman" w:hAnsi="Times New Roman"/>
          <w:sz w:val="28"/>
          <w:szCs w:val="28"/>
        </w:rPr>
        <w:t xml:space="preserve"> </w:t>
      </w:r>
      <w:r w:rsidR="00F56765" w:rsidRPr="005A7FA0">
        <w:rPr>
          <w:rFonts w:ascii="Times New Roman" w:eastAsia="Times New Roman" w:hAnsi="Times New Roman"/>
          <w:sz w:val="28"/>
          <w:szCs w:val="28"/>
        </w:rPr>
        <w:t>his</w:t>
      </w:r>
      <w:r w:rsidRPr="005A7FA0">
        <w:rPr>
          <w:rFonts w:ascii="Times New Roman" w:eastAsia="Times New Roman" w:hAnsi="Times New Roman"/>
          <w:sz w:val="28"/>
          <w:szCs w:val="28"/>
        </w:rPr>
        <w:t xml:space="preserve"> ideas, </w:t>
      </w:r>
      <w:r w:rsidR="005A7FA0" w:rsidRPr="005A7FA0">
        <w:rPr>
          <w:rFonts w:ascii="Times New Roman" w:eastAsia="Times New Roman" w:hAnsi="Times New Roman"/>
          <w:sz w:val="28"/>
          <w:szCs w:val="28"/>
        </w:rPr>
        <w:t>support,</w:t>
      </w:r>
      <w:r w:rsidRPr="005A7FA0">
        <w:rPr>
          <w:rFonts w:ascii="Times New Roman" w:eastAsia="Times New Roman" w:hAnsi="Times New Roman"/>
          <w:sz w:val="28"/>
          <w:szCs w:val="28"/>
        </w:rPr>
        <w:t xml:space="preserve"> and timeless friendship. I am thankful to London South Bank University especially the Business School for giving me this opportunity.</w:t>
      </w:r>
    </w:p>
    <w:p w14:paraId="08452E93" w14:textId="7A8063D7" w:rsidR="00F56765" w:rsidRPr="005A7FA0" w:rsidRDefault="00235D4D" w:rsidP="005A7FA0">
      <w:pPr>
        <w:spacing w:line="240" w:lineRule="auto"/>
        <w:jc w:val="both"/>
        <w:rPr>
          <w:rFonts w:ascii="Times New Roman" w:eastAsia="Times New Roman" w:hAnsi="Times New Roman"/>
          <w:sz w:val="28"/>
          <w:szCs w:val="28"/>
        </w:rPr>
      </w:pPr>
      <w:r w:rsidRPr="005A7FA0">
        <w:rPr>
          <w:rFonts w:ascii="Times New Roman" w:eastAsia="Arial" w:hAnsi="Times New Roman"/>
          <w:sz w:val="28"/>
          <w:szCs w:val="28"/>
        </w:rPr>
        <w:t xml:space="preserve">I feel a deep sense of gratitude for </w:t>
      </w:r>
      <w:r w:rsidR="00F56765" w:rsidRPr="005A7FA0">
        <w:rPr>
          <w:rFonts w:ascii="Times New Roman" w:eastAsia="Arial" w:hAnsi="Times New Roman"/>
          <w:sz w:val="28"/>
          <w:szCs w:val="28"/>
        </w:rPr>
        <w:t xml:space="preserve">my dear parents, brothers, my lovely wife </w:t>
      </w:r>
      <w:proofErr w:type="spellStart"/>
      <w:r w:rsidR="00F56765" w:rsidRPr="005A7FA0">
        <w:rPr>
          <w:rFonts w:ascii="Times New Roman" w:eastAsia="Arial" w:hAnsi="Times New Roman"/>
          <w:sz w:val="28"/>
          <w:szCs w:val="28"/>
        </w:rPr>
        <w:t>Samia</w:t>
      </w:r>
      <w:proofErr w:type="spellEnd"/>
      <w:r w:rsidR="00F56765" w:rsidRPr="005A7FA0">
        <w:rPr>
          <w:rFonts w:ascii="Times New Roman" w:eastAsia="Arial" w:hAnsi="Times New Roman"/>
          <w:sz w:val="28"/>
          <w:szCs w:val="28"/>
        </w:rPr>
        <w:t xml:space="preserve"> and children</w:t>
      </w:r>
      <w:r w:rsidR="005A7FA0" w:rsidRPr="005A7FA0">
        <w:rPr>
          <w:rFonts w:ascii="Times New Roman" w:eastAsia="Arial" w:hAnsi="Times New Roman"/>
          <w:sz w:val="28"/>
          <w:szCs w:val="28"/>
        </w:rPr>
        <w:t>;</w:t>
      </w:r>
      <w:r w:rsidR="00F56765" w:rsidRPr="005A7FA0">
        <w:rPr>
          <w:rFonts w:ascii="Times New Roman" w:eastAsia="Arial" w:hAnsi="Times New Roman"/>
          <w:sz w:val="28"/>
          <w:szCs w:val="28"/>
        </w:rPr>
        <w:t xml:space="preserve"> </w:t>
      </w:r>
      <w:proofErr w:type="spellStart"/>
      <w:r w:rsidR="00F56765" w:rsidRPr="005A7FA0">
        <w:rPr>
          <w:rFonts w:ascii="Times New Roman" w:eastAsia="Arial" w:hAnsi="Times New Roman"/>
          <w:sz w:val="28"/>
          <w:szCs w:val="28"/>
        </w:rPr>
        <w:t>Muhriz</w:t>
      </w:r>
      <w:proofErr w:type="spellEnd"/>
      <w:r w:rsidR="00F56765" w:rsidRPr="005A7FA0">
        <w:rPr>
          <w:rFonts w:ascii="Times New Roman" w:eastAsia="Arial" w:hAnsi="Times New Roman"/>
          <w:sz w:val="28"/>
          <w:szCs w:val="28"/>
        </w:rPr>
        <w:t xml:space="preserve">, </w:t>
      </w:r>
      <w:proofErr w:type="spellStart"/>
      <w:r w:rsidR="00F56765" w:rsidRPr="005A7FA0">
        <w:rPr>
          <w:rFonts w:ascii="Times New Roman" w:eastAsia="Arial" w:hAnsi="Times New Roman"/>
          <w:sz w:val="28"/>
          <w:szCs w:val="28"/>
        </w:rPr>
        <w:t>Hibah</w:t>
      </w:r>
      <w:proofErr w:type="spellEnd"/>
      <w:r w:rsidR="00F56765" w:rsidRPr="005A7FA0">
        <w:rPr>
          <w:rFonts w:ascii="Times New Roman" w:eastAsia="Arial" w:hAnsi="Times New Roman"/>
          <w:sz w:val="28"/>
          <w:szCs w:val="28"/>
        </w:rPr>
        <w:t xml:space="preserve"> and Musa who have been by my side since I start my PhD, their constant love and trust have been my strength in this entire journey. </w:t>
      </w:r>
    </w:p>
    <w:p w14:paraId="4FBE94E0" w14:textId="5D6226D2" w:rsidR="005C6D97" w:rsidRDefault="005C6D97">
      <w:pPr>
        <w:rPr>
          <w:rFonts w:ascii="Times New Roman" w:hAnsi="Times New Roman" w:cs="Times New Roman"/>
          <w:b/>
          <w:sz w:val="24"/>
          <w:szCs w:val="24"/>
        </w:rPr>
      </w:pPr>
    </w:p>
    <w:p w14:paraId="19783124" w14:textId="7758AF7C" w:rsidR="005C6D97" w:rsidRDefault="005C6D97">
      <w:pPr>
        <w:rPr>
          <w:rFonts w:ascii="Times New Roman" w:hAnsi="Times New Roman" w:cs="Times New Roman"/>
          <w:b/>
          <w:sz w:val="24"/>
          <w:szCs w:val="24"/>
        </w:rPr>
      </w:pPr>
    </w:p>
    <w:p w14:paraId="205117C4" w14:textId="62098D72" w:rsidR="0048613C" w:rsidRDefault="0048613C">
      <w:pPr>
        <w:rPr>
          <w:rFonts w:ascii="Times New Roman" w:hAnsi="Times New Roman" w:cs="Times New Roman"/>
          <w:b/>
          <w:sz w:val="24"/>
          <w:szCs w:val="24"/>
        </w:rPr>
      </w:pPr>
    </w:p>
    <w:p w14:paraId="2384470D" w14:textId="24A68222" w:rsidR="0048613C" w:rsidRDefault="0048613C">
      <w:pPr>
        <w:rPr>
          <w:rFonts w:ascii="Times New Roman" w:hAnsi="Times New Roman" w:cs="Times New Roman"/>
          <w:b/>
          <w:sz w:val="24"/>
          <w:szCs w:val="24"/>
        </w:rPr>
      </w:pPr>
    </w:p>
    <w:p w14:paraId="22DB25F9" w14:textId="77777777" w:rsidR="0048613C" w:rsidRDefault="0048613C">
      <w:pPr>
        <w:rPr>
          <w:rFonts w:ascii="Times New Roman" w:hAnsi="Times New Roman" w:cs="Times New Roman"/>
          <w:b/>
          <w:sz w:val="24"/>
          <w:szCs w:val="24"/>
        </w:rPr>
      </w:pPr>
    </w:p>
    <w:p w14:paraId="6AED08F6" w14:textId="227DC246" w:rsidR="005C6D97" w:rsidRDefault="005C6D97">
      <w:pPr>
        <w:rPr>
          <w:rFonts w:ascii="Times New Roman" w:hAnsi="Times New Roman" w:cs="Times New Roman"/>
          <w:b/>
          <w:sz w:val="24"/>
          <w:szCs w:val="24"/>
        </w:rPr>
      </w:pPr>
    </w:p>
    <w:p w14:paraId="4D92C97A" w14:textId="13482331" w:rsidR="005C6D97" w:rsidRDefault="005C6D97">
      <w:pPr>
        <w:rPr>
          <w:rFonts w:ascii="Times New Roman" w:hAnsi="Times New Roman" w:cs="Times New Roman"/>
          <w:b/>
          <w:sz w:val="24"/>
          <w:szCs w:val="24"/>
        </w:rPr>
      </w:pPr>
    </w:p>
    <w:p w14:paraId="517AC86B" w14:textId="6E67A4DC" w:rsidR="005C6D97" w:rsidRDefault="005C6D97">
      <w:pPr>
        <w:rPr>
          <w:rFonts w:ascii="Times New Roman" w:hAnsi="Times New Roman" w:cs="Times New Roman"/>
          <w:b/>
          <w:sz w:val="24"/>
          <w:szCs w:val="24"/>
        </w:rPr>
      </w:pPr>
    </w:p>
    <w:p w14:paraId="192C6CA8" w14:textId="58512FB0" w:rsidR="005C6D97" w:rsidRDefault="005C6D97">
      <w:pPr>
        <w:rPr>
          <w:rFonts w:ascii="Times New Roman" w:hAnsi="Times New Roman" w:cs="Times New Roman"/>
          <w:b/>
          <w:sz w:val="24"/>
          <w:szCs w:val="24"/>
        </w:rPr>
      </w:pPr>
    </w:p>
    <w:p w14:paraId="3D9F57CB" w14:textId="24F7CCF5" w:rsidR="005C6D97" w:rsidRDefault="005C6D97">
      <w:pPr>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val="en-GB" w:eastAsia="en-US"/>
        </w:rPr>
        <w:id w:val="1994371403"/>
        <w:docPartObj>
          <w:docPartGallery w:val="Table of Contents"/>
          <w:docPartUnique/>
        </w:docPartObj>
      </w:sdtPr>
      <w:sdtEndPr>
        <w:rPr>
          <w:noProof/>
        </w:rPr>
      </w:sdtEndPr>
      <w:sdtContent>
        <w:p w14:paraId="54F6DADF" w14:textId="54F44E64" w:rsidR="00561654" w:rsidRDefault="00561654">
          <w:pPr>
            <w:pStyle w:val="TOCHeading"/>
          </w:pPr>
          <w:r>
            <w:t>Table of Contents</w:t>
          </w:r>
        </w:p>
        <w:p w14:paraId="22603D7F" w14:textId="27FC6629" w:rsidR="00474477" w:rsidRDefault="00561654">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0499917" w:history="1">
            <w:r w:rsidR="00474477" w:rsidRPr="00E76B00">
              <w:rPr>
                <w:rStyle w:val="Hyperlink"/>
                <w:noProof/>
              </w:rPr>
              <w:t>Declaration</w:t>
            </w:r>
            <w:r w:rsidR="00474477">
              <w:rPr>
                <w:noProof/>
                <w:webHidden/>
              </w:rPr>
              <w:tab/>
            </w:r>
            <w:r w:rsidR="00474477">
              <w:rPr>
                <w:noProof/>
                <w:webHidden/>
              </w:rPr>
              <w:fldChar w:fldCharType="begin"/>
            </w:r>
            <w:r w:rsidR="00474477">
              <w:rPr>
                <w:noProof/>
                <w:webHidden/>
              </w:rPr>
              <w:instrText xml:space="preserve"> PAGEREF _Toc90499917 \h </w:instrText>
            </w:r>
            <w:r w:rsidR="00474477">
              <w:rPr>
                <w:noProof/>
                <w:webHidden/>
              </w:rPr>
            </w:r>
            <w:r w:rsidR="00474477">
              <w:rPr>
                <w:noProof/>
                <w:webHidden/>
              </w:rPr>
              <w:fldChar w:fldCharType="separate"/>
            </w:r>
            <w:r w:rsidR="00474477">
              <w:rPr>
                <w:noProof/>
                <w:webHidden/>
              </w:rPr>
              <w:t>2</w:t>
            </w:r>
            <w:r w:rsidR="00474477">
              <w:rPr>
                <w:noProof/>
                <w:webHidden/>
              </w:rPr>
              <w:fldChar w:fldCharType="end"/>
            </w:r>
          </w:hyperlink>
        </w:p>
        <w:p w14:paraId="6123EFB3" w14:textId="37F0709C"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18" w:history="1">
            <w:r w:rsidR="00474477" w:rsidRPr="00E76B00">
              <w:rPr>
                <w:rStyle w:val="Hyperlink"/>
                <w:noProof/>
              </w:rPr>
              <w:t>Dedication</w:t>
            </w:r>
            <w:r w:rsidR="00474477">
              <w:rPr>
                <w:noProof/>
                <w:webHidden/>
              </w:rPr>
              <w:tab/>
            </w:r>
            <w:r w:rsidR="00474477">
              <w:rPr>
                <w:noProof/>
                <w:webHidden/>
              </w:rPr>
              <w:fldChar w:fldCharType="begin"/>
            </w:r>
            <w:r w:rsidR="00474477">
              <w:rPr>
                <w:noProof/>
                <w:webHidden/>
              </w:rPr>
              <w:instrText xml:space="preserve"> PAGEREF _Toc90499918 \h </w:instrText>
            </w:r>
            <w:r w:rsidR="00474477">
              <w:rPr>
                <w:noProof/>
                <w:webHidden/>
              </w:rPr>
            </w:r>
            <w:r w:rsidR="00474477">
              <w:rPr>
                <w:noProof/>
                <w:webHidden/>
              </w:rPr>
              <w:fldChar w:fldCharType="separate"/>
            </w:r>
            <w:r w:rsidR="00474477">
              <w:rPr>
                <w:noProof/>
                <w:webHidden/>
              </w:rPr>
              <w:t>3</w:t>
            </w:r>
            <w:r w:rsidR="00474477">
              <w:rPr>
                <w:noProof/>
                <w:webHidden/>
              </w:rPr>
              <w:fldChar w:fldCharType="end"/>
            </w:r>
          </w:hyperlink>
        </w:p>
        <w:p w14:paraId="3AAF9991" w14:textId="425DC241"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19" w:history="1">
            <w:r w:rsidR="00474477" w:rsidRPr="00E76B00">
              <w:rPr>
                <w:rStyle w:val="Hyperlink"/>
                <w:noProof/>
              </w:rPr>
              <w:t>Acknowledgement</w:t>
            </w:r>
            <w:r w:rsidR="00474477">
              <w:rPr>
                <w:noProof/>
                <w:webHidden/>
              </w:rPr>
              <w:tab/>
            </w:r>
            <w:r w:rsidR="00474477">
              <w:rPr>
                <w:noProof/>
                <w:webHidden/>
              </w:rPr>
              <w:fldChar w:fldCharType="begin"/>
            </w:r>
            <w:r w:rsidR="00474477">
              <w:rPr>
                <w:noProof/>
                <w:webHidden/>
              </w:rPr>
              <w:instrText xml:space="preserve"> PAGEREF _Toc90499919 \h </w:instrText>
            </w:r>
            <w:r w:rsidR="00474477">
              <w:rPr>
                <w:noProof/>
                <w:webHidden/>
              </w:rPr>
            </w:r>
            <w:r w:rsidR="00474477">
              <w:rPr>
                <w:noProof/>
                <w:webHidden/>
              </w:rPr>
              <w:fldChar w:fldCharType="separate"/>
            </w:r>
            <w:r w:rsidR="00474477">
              <w:rPr>
                <w:noProof/>
                <w:webHidden/>
              </w:rPr>
              <w:t>4</w:t>
            </w:r>
            <w:r w:rsidR="00474477">
              <w:rPr>
                <w:noProof/>
                <w:webHidden/>
              </w:rPr>
              <w:fldChar w:fldCharType="end"/>
            </w:r>
          </w:hyperlink>
        </w:p>
        <w:p w14:paraId="7DA32CF5" w14:textId="54C1F49D"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0" w:history="1">
            <w:r w:rsidR="00474477" w:rsidRPr="00E76B00">
              <w:rPr>
                <w:rStyle w:val="Hyperlink"/>
                <w:noProof/>
              </w:rPr>
              <w:t>Tables of figures</w:t>
            </w:r>
            <w:r w:rsidR="00474477">
              <w:rPr>
                <w:noProof/>
                <w:webHidden/>
              </w:rPr>
              <w:tab/>
            </w:r>
            <w:r w:rsidR="00474477">
              <w:rPr>
                <w:noProof/>
                <w:webHidden/>
              </w:rPr>
              <w:fldChar w:fldCharType="begin"/>
            </w:r>
            <w:r w:rsidR="00474477">
              <w:rPr>
                <w:noProof/>
                <w:webHidden/>
              </w:rPr>
              <w:instrText xml:space="preserve"> PAGEREF _Toc90499920 \h </w:instrText>
            </w:r>
            <w:r w:rsidR="00474477">
              <w:rPr>
                <w:noProof/>
                <w:webHidden/>
              </w:rPr>
            </w:r>
            <w:r w:rsidR="00474477">
              <w:rPr>
                <w:noProof/>
                <w:webHidden/>
              </w:rPr>
              <w:fldChar w:fldCharType="separate"/>
            </w:r>
            <w:r w:rsidR="00474477">
              <w:rPr>
                <w:noProof/>
                <w:webHidden/>
              </w:rPr>
              <w:t>10</w:t>
            </w:r>
            <w:r w:rsidR="00474477">
              <w:rPr>
                <w:noProof/>
                <w:webHidden/>
              </w:rPr>
              <w:fldChar w:fldCharType="end"/>
            </w:r>
          </w:hyperlink>
        </w:p>
        <w:p w14:paraId="7800B8AC" w14:textId="4C422844"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1" w:history="1">
            <w:r w:rsidR="00474477" w:rsidRPr="00E76B00">
              <w:rPr>
                <w:rStyle w:val="Hyperlink"/>
                <w:noProof/>
              </w:rPr>
              <w:t>Preamble</w:t>
            </w:r>
            <w:r w:rsidR="00474477">
              <w:rPr>
                <w:noProof/>
                <w:webHidden/>
              </w:rPr>
              <w:tab/>
            </w:r>
            <w:r w:rsidR="00474477">
              <w:rPr>
                <w:noProof/>
                <w:webHidden/>
              </w:rPr>
              <w:fldChar w:fldCharType="begin"/>
            </w:r>
            <w:r w:rsidR="00474477">
              <w:rPr>
                <w:noProof/>
                <w:webHidden/>
              </w:rPr>
              <w:instrText xml:space="preserve"> PAGEREF _Toc90499921 \h </w:instrText>
            </w:r>
            <w:r w:rsidR="00474477">
              <w:rPr>
                <w:noProof/>
                <w:webHidden/>
              </w:rPr>
            </w:r>
            <w:r w:rsidR="00474477">
              <w:rPr>
                <w:noProof/>
                <w:webHidden/>
              </w:rPr>
              <w:fldChar w:fldCharType="separate"/>
            </w:r>
            <w:r w:rsidR="00474477">
              <w:rPr>
                <w:noProof/>
                <w:webHidden/>
              </w:rPr>
              <w:t>12</w:t>
            </w:r>
            <w:r w:rsidR="00474477">
              <w:rPr>
                <w:noProof/>
                <w:webHidden/>
              </w:rPr>
              <w:fldChar w:fldCharType="end"/>
            </w:r>
          </w:hyperlink>
        </w:p>
        <w:p w14:paraId="4EB9A07C" w14:textId="1AAC5A9D"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2" w:history="1">
            <w:r w:rsidR="00474477" w:rsidRPr="00E76B00">
              <w:rPr>
                <w:rStyle w:val="Hyperlink"/>
                <w:noProof/>
              </w:rPr>
              <w:t>Abstract</w:t>
            </w:r>
            <w:r w:rsidR="00474477">
              <w:rPr>
                <w:noProof/>
                <w:webHidden/>
              </w:rPr>
              <w:tab/>
            </w:r>
            <w:r w:rsidR="00474477">
              <w:rPr>
                <w:noProof/>
                <w:webHidden/>
              </w:rPr>
              <w:fldChar w:fldCharType="begin"/>
            </w:r>
            <w:r w:rsidR="00474477">
              <w:rPr>
                <w:noProof/>
                <w:webHidden/>
              </w:rPr>
              <w:instrText xml:space="preserve"> PAGEREF _Toc90499922 \h </w:instrText>
            </w:r>
            <w:r w:rsidR="00474477">
              <w:rPr>
                <w:noProof/>
                <w:webHidden/>
              </w:rPr>
            </w:r>
            <w:r w:rsidR="00474477">
              <w:rPr>
                <w:noProof/>
                <w:webHidden/>
              </w:rPr>
              <w:fldChar w:fldCharType="separate"/>
            </w:r>
            <w:r w:rsidR="00474477">
              <w:rPr>
                <w:noProof/>
                <w:webHidden/>
              </w:rPr>
              <w:t>13</w:t>
            </w:r>
            <w:r w:rsidR="00474477">
              <w:rPr>
                <w:noProof/>
                <w:webHidden/>
              </w:rPr>
              <w:fldChar w:fldCharType="end"/>
            </w:r>
          </w:hyperlink>
        </w:p>
        <w:p w14:paraId="424E9495" w14:textId="5483F340"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3" w:history="1">
            <w:r w:rsidR="00474477" w:rsidRPr="00E76B00">
              <w:rPr>
                <w:rStyle w:val="Hyperlink"/>
                <w:noProof/>
              </w:rPr>
              <w:t>Part 1: Liquidity Transmission mechanism: Evidence from pre, during and post 2007 subprime crisis.</w:t>
            </w:r>
            <w:r w:rsidR="00474477">
              <w:rPr>
                <w:noProof/>
                <w:webHidden/>
              </w:rPr>
              <w:tab/>
            </w:r>
            <w:r w:rsidR="00474477">
              <w:rPr>
                <w:noProof/>
                <w:webHidden/>
              </w:rPr>
              <w:fldChar w:fldCharType="begin"/>
            </w:r>
            <w:r w:rsidR="00474477">
              <w:rPr>
                <w:noProof/>
                <w:webHidden/>
              </w:rPr>
              <w:instrText xml:space="preserve"> PAGEREF _Toc90499923 \h </w:instrText>
            </w:r>
            <w:r w:rsidR="00474477">
              <w:rPr>
                <w:noProof/>
                <w:webHidden/>
              </w:rPr>
            </w:r>
            <w:r w:rsidR="00474477">
              <w:rPr>
                <w:noProof/>
                <w:webHidden/>
              </w:rPr>
              <w:fldChar w:fldCharType="separate"/>
            </w:r>
            <w:r w:rsidR="00474477">
              <w:rPr>
                <w:noProof/>
                <w:webHidden/>
              </w:rPr>
              <w:t>16</w:t>
            </w:r>
            <w:r w:rsidR="00474477">
              <w:rPr>
                <w:noProof/>
                <w:webHidden/>
              </w:rPr>
              <w:fldChar w:fldCharType="end"/>
            </w:r>
          </w:hyperlink>
        </w:p>
        <w:p w14:paraId="5BA6E24E" w14:textId="467DD63D"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4" w:history="1">
            <w:r w:rsidR="00474477" w:rsidRPr="00E76B00">
              <w:rPr>
                <w:rStyle w:val="Hyperlink"/>
                <w:noProof/>
              </w:rPr>
              <w:t>Abstract: Part 1</w:t>
            </w:r>
            <w:r w:rsidR="00474477">
              <w:rPr>
                <w:noProof/>
                <w:webHidden/>
              </w:rPr>
              <w:tab/>
            </w:r>
            <w:r w:rsidR="00474477">
              <w:rPr>
                <w:noProof/>
                <w:webHidden/>
              </w:rPr>
              <w:fldChar w:fldCharType="begin"/>
            </w:r>
            <w:r w:rsidR="00474477">
              <w:rPr>
                <w:noProof/>
                <w:webHidden/>
              </w:rPr>
              <w:instrText xml:space="preserve"> PAGEREF _Toc90499924 \h </w:instrText>
            </w:r>
            <w:r w:rsidR="00474477">
              <w:rPr>
                <w:noProof/>
                <w:webHidden/>
              </w:rPr>
            </w:r>
            <w:r w:rsidR="00474477">
              <w:rPr>
                <w:noProof/>
                <w:webHidden/>
              </w:rPr>
              <w:fldChar w:fldCharType="separate"/>
            </w:r>
            <w:r w:rsidR="00474477">
              <w:rPr>
                <w:noProof/>
                <w:webHidden/>
              </w:rPr>
              <w:t>16</w:t>
            </w:r>
            <w:r w:rsidR="00474477">
              <w:rPr>
                <w:noProof/>
                <w:webHidden/>
              </w:rPr>
              <w:fldChar w:fldCharType="end"/>
            </w:r>
          </w:hyperlink>
        </w:p>
        <w:p w14:paraId="2C44C3CC" w14:textId="0F76BAFE"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5" w:history="1">
            <w:r w:rsidR="00474477" w:rsidRPr="00E76B00">
              <w:rPr>
                <w:rStyle w:val="Hyperlink"/>
                <w:noProof/>
              </w:rPr>
              <w:t>1.1 Introduction</w:t>
            </w:r>
            <w:r w:rsidR="00474477">
              <w:rPr>
                <w:noProof/>
                <w:webHidden/>
              </w:rPr>
              <w:tab/>
            </w:r>
            <w:r w:rsidR="00474477">
              <w:rPr>
                <w:noProof/>
                <w:webHidden/>
              </w:rPr>
              <w:fldChar w:fldCharType="begin"/>
            </w:r>
            <w:r w:rsidR="00474477">
              <w:rPr>
                <w:noProof/>
                <w:webHidden/>
              </w:rPr>
              <w:instrText xml:space="preserve"> PAGEREF _Toc90499925 \h </w:instrText>
            </w:r>
            <w:r w:rsidR="00474477">
              <w:rPr>
                <w:noProof/>
                <w:webHidden/>
              </w:rPr>
            </w:r>
            <w:r w:rsidR="00474477">
              <w:rPr>
                <w:noProof/>
                <w:webHidden/>
              </w:rPr>
              <w:fldChar w:fldCharType="separate"/>
            </w:r>
            <w:r w:rsidR="00474477">
              <w:rPr>
                <w:noProof/>
                <w:webHidden/>
              </w:rPr>
              <w:t>17</w:t>
            </w:r>
            <w:r w:rsidR="00474477">
              <w:rPr>
                <w:noProof/>
                <w:webHidden/>
              </w:rPr>
              <w:fldChar w:fldCharType="end"/>
            </w:r>
          </w:hyperlink>
        </w:p>
        <w:p w14:paraId="65182D71" w14:textId="44C226C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26" w:history="1">
            <w:r w:rsidR="00474477" w:rsidRPr="00E76B00">
              <w:rPr>
                <w:rStyle w:val="Hyperlink"/>
                <w:noProof/>
              </w:rPr>
              <w:t>1.1.1 Background</w:t>
            </w:r>
            <w:r w:rsidR="00474477">
              <w:rPr>
                <w:noProof/>
                <w:webHidden/>
              </w:rPr>
              <w:tab/>
            </w:r>
            <w:r w:rsidR="00474477">
              <w:rPr>
                <w:noProof/>
                <w:webHidden/>
              </w:rPr>
              <w:fldChar w:fldCharType="begin"/>
            </w:r>
            <w:r w:rsidR="00474477">
              <w:rPr>
                <w:noProof/>
                <w:webHidden/>
              </w:rPr>
              <w:instrText xml:space="preserve"> PAGEREF _Toc90499926 \h </w:instrText>
            </w:r>
            <w:r w:rsidR="00474477">
              <w:rPr>
                <w:noProof/>
                <w:webHidden/>
              </w:rPr>
            </w:r>
            <w:r w:rsidR="00474477">
              <w:rPr>
                <w:noProof/>
                <w:webHidden/>
              </w:rPr>
              <w:fldChar w:fldCharType="separate"/>
            </w:r>
            <w:r w:rsidR="00474477">
              <w:rPr>
                <w:noProof/>
                <w:webHidden/>
              </w:rPr>
              <w:t>17</w:t>
            </w:r>
            <w:r w:rsidR="00474477">
              <w:rPr>
                <w:noProof/>
                <w:webHidden/>
              </w:rPr>
              <w:fldChar w:fldCharType="end"/>
            </w:r>
          </w:hyperlink>
        </w:p>
        <w:p w14:paraId="6B943B10" w14:textId="270C36A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27" w:history="1">
            <w:r w:rsidR="00474477" w:rsidRPr="00E76B00">
              <w:rPr>
                <w:rStyle w:val="Hyperlink"/>
                <w:noProof/>
              </w:rPr>
              <w:t>1.1.2 Research Motivation</w:t>
            </w:r>
            <w:r w:rsidR="00474477">
              <w:rPr>
                <w:noProof/>
                <w:webHidden/>
              </w:rPr>
              <w:tab/>
            </w:r>
            <w:r w:rsidR="00474477">
              <w:rPr>
                <w:noProof/>
                <w:webHidden/>
              </w:rPr>
              <w:fldChar w:fldCharType="begin"/>
            </w:r>
            <w:r w:rsidR="00474477">
              <w:rPr>
                <w:noProof/>
                <w:webHidden/>
              </w:rPr>
              <w:instrText xml:space="preserve"> PAGEREF _Toc90499927 \h </w:instrText>
            </w:r>
            <w:r w:rsidR="00474477">
              <w:rPr>
                <w:noProof/>
                <w:webHidden/>
              </w:rPr>
            </w:r>
            <w:r w:rsidR="00474477">
              <w:rPr>
                <w:noProof/>
                <w:webHidden/>
              </w:rPr>
              <w:fldChar w:fldCharType="separate"/>
            </w:r>
            <w:r w:rsidR="00474477">
              <w:rPr>
                <w:noProof/>
                <w:webHidden/>
              </w:rPr>
              <w:t>20</w:t>
            </w:r>
            <w:r w:rsidR="00474477">
              <w:rPr>
                <w:noProof/>
                <w:webHidden/>
              </w:rPr>
              <w:fldChar w:fldCharType="end"/>
            </w:r>
          </w:hyperlink>
        </w:p>
        <w:p w14:paraId="30AACE0C" w14:textId="7A411C0F"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28" w:history="1">
            <w:r w:rsidR="00474477" w:rsidRPr="00E76B00">
              <w:rPr>
                <w:rStyle w:val="Hyperlink"/>
                <w:noProof/>
              </w:rPr>
              <w:t>1.2 Literature Review</w:t>
            </w:r>
            <w:r w:rsidR="00474477">
              <w:rPr>
                <w:noProof/>
                <w:webHidden/>
              </w:rPr>
              <w:tab/>
            </w:r>
            <w:r w:rsidR="00474477">
              <w:rPr>
                <w:noProof/>
                <w:webHidden/>
              </w:rPr>
              <w:fldChar w:fldCharType="begin"/>
            </w:r>
            <w:r w:rsidR="00474477">
              <w:rPr>
                <w:noProof/>
                <w:webHidden/>
              </w:rPr>
              <w:instrText xml:space="preserve"> PAGEREF _Toc90499928 \h </w:instrText>
            </w:r>
            <w:r w:rsidR="00474477">
              <w:rPr>
                <w:noProof/>
                <w:webHidden/>
              </w:rPr>
            </w:r>
            <w:r w:rsidR="00474477">
              <w:rPr>
                <w:noProof/>
                <w:webHidden/>
              </w:rPr>
              <w:fldChar w:fldCharType="separate"/>
            </w:r>
            <w:r w:rsidR="00474477">
              <w:rPr>
                <w:noProof/>
                <w:webHidden/>
              </w:rPr>
              <w:t>27</w:t>
            </w:r>
            <w:r w:rsidR="00474477">
              <w:rPr>
                <w:noProof/>
                <w:webHidden/>
              </w:rPr>
              <w:fldChar w:fldCharType="end"/>
            </w:r>
          </w:hyperlink>
        </w:p>
        <w:p w14:paraId="23AF784E" w14:textId="3C4F64BC"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29" w:history="1">
            <w:r w:rsidR="00474477" w:rsidRPr="00E76B00">
              <w:rPr>
                <w:rStyle w:val="Hyperlink"/>
                <w:noProof/>
              </w:rPr>
              <w:t>1.2.1 The Recent Financial Crisis</w:t>
            </w:r>
            <w:r w:rsidR="00474477">
              <w:rPr>
                <w:noProof/>
                <w:webHidden/>
              </w:rPr>
              <w:tab/>
            </w:r>
            <w:r w:rsidR="00474477">
              <w:rPr>
                <w:noProof/>
                <w:webHidden/>
              </w:rPr>
              <w:fldChar w:fldCharType="begin"/>
            </w:r>
            <w:r w:rsidR="00474477">
              <w:rPr>
                <w:noProof/>
                <w:webHidden/>
              </w:rPr>
              <w:instrText xml:space="preserve"> PAGEREF _Toc90499929 \h </w:instrText>
            </w:r>
            <w:r w:rsidR="00474477">
              <w:rPr>
                <w:noProof/>
                <w:webHidden/>
              </w:rPr>
            </w:r>
            <w:r w:rsidR="00474477">
              <w:rPr>
                <w:noProof/>
                <w:webHidden/>
              </w:rPr>
              <w:fldChar w:fldCharType="separate"/>
            </w:r>
            <w:r w:rsidR="00474477">
              <w:rPr>
                <w:noProof/>
                <w:webHidden/>
              </w:rPr>
              <w:t>27</w:t>
            </w:r>
            <w:r w:rsidR="00474477">
              <w:rPr>
                <w:noProof/>
                <w:webHidden/>
              </w:rPr>
              <w:fldChar w:fldCharType="end"/>
            </w:r>
          </w:hyperlink>
        </w:p>
        <w:p w14:paraId="1DA708ED" w14:textId="4460C52E"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0" w:history="1">
            <w:r w:rsidR="00474477" w:rsidRPr="00E76B00">
              <w:rPr>
                <w:rStyle w:val="Hyperlink"/>
                <w:noProof/>
              </w:rPr>
              <w:t>1.2.2 Tracking down the traces of the recent crisis: Empirical Data</w:t>
            </w:r>
            <w:r w:rsidR="00474477">
              <w:rPr>
                <w:noProof/>
                <w:webHidden/>
              </w:rPr>
              <w:tab/>
            </w:r>
            <w:r w:rsidR="00474477">
              <w:rPr>
                <w:noProof/>
                <w:webHidden/>
              </w:rPr>
              <w:fldChar w:fldCharType="begin"/>
            </w:r>
            <w:r w:rsidR="00474477">
              <w:rPr>
                <w:noProof/>
                <w:webHidden/>
              </w:rPr>
              <w:instrText xml:space="preserve"> PAGEREF _Toc90499930 \h </w:instrText>
            </w:r>
            <w:r w:rsidR="00474477">
              <w:rPr>
                <w:noProof/>
                <w:webHidden/>
              </w:rPr>
            </w:r>
            <w:r w:rsidR="00474477">
              <w:rPr>
                <w:noProof/>
                <w:webHidden/>
              </w:rPr>
              <w:fldChar w:fldCharType="separate"/>
            </w:r>
            <w:r w:rsidR="00474477">
              <w:rPr>
                <w:noProof/>
                <w:webHidden/>
              </w:rPr>
              <w:t>30</w:t>
            </w:r>
            <w:r w:rsidR="00474477">
              <w:rPr>
                <w:noProof/>
                <w:webHidden/>
              </w:rPr>
              <w:fldChar w:fldCharType="end"/>
            </w:r>
          </w:hyperlink>
        </w:p>
        <w:p w14:paraId="2C0E359B" w14:textId="6E4986A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1" w:history="1">
            <w:r w:rsidR="00474477" w:rsidRPr="00E76B00">
              <w:rPr>
                <w:rStyle w:val="Hyperlink"/>
                <w:noProof/>
              </w:rPr>
              <w:t>1.2.3 Following the Banking System’s traces in the Shadow</w:t>
            </w:r>
            <w:r w:rsidR="00474477">
              <w:rPr>
                <w:noProof/>
                <w:webHidden/>
              </w:rPr>
              <w:tab/>
            </w:r>
            <w:r w:rsidR="00474477">
              <w:rPr>
                <w:noProof/>
                <w:webHidden/>
              </w:rPr>
              <w:fldChar w:fldCharType="begin"/>
            </w:r>
            <w:r w:rsidR="00474477">
              <w:rPr>
                <w:noProof/>
                <w:webHidden/>
              </w:rPr>
              <w:instrText xml:space="preserve"> PAGEREF _Toc90499931 \h </w:instrText>
            </w:r>
            <w:r w:rsidR="00474477">
              <w:rPr>
                <w:noProof/>
                <w:webHidden/>
              </w:rPr>
            </w:r>
            <w:r w:rsidR="00474477">
              <w:rPr>
                <w:noProof/>
                <w:webHidden/>
              </w:rPr>
              <w:fldChar w:fldCharType="separate"/>
            </w:r>
            <w:r w:rsidR="00474477">
              <w:rPr>
                <w:noProof/>
                <w:webHidden/>
              </w:rPr>
              <w:t>37</w:t>
            </w:r>
            <w:r w:rsidR="00474477">
              <w:rPr>
                <w:noProof/>
                <w:webHidden/>
              </w:rPr>
              <w:fldChar w:fldCharType="end"/>
            </w:r>
          </w:hyperlink>
        </w:p>
        <w:p w14:paraId="382B360E" w14:textId="3FE50CD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2" w:history="1">
            <w:r w:rsidR="00474477" w:rsidRPr="00E76B00">
              <w:rPr>
                <w:rStyle w:val="Hyperlink"/>
                <w:noProof/>
              </w:rPr>
              <w:t>1.2.4 TRANSMISSION OF SPILLOVERS DURING THE SUBPRIME CRISIS</w:t>
            </w:r>
            <w:r w:rsidR="00474477">
              <w:rPr>
                <w:noProof/>
                <w:webHidden/>
              </w:rPr>
              <w:tab/>
            </w:r>
            <w:r w:rsidR="00474477">
              <w:rPr>
                <w:noProof/>
                <w:webHidden/>
              </w:rPr>
              <w:fldChar w:fldCharType="begin"/>
            </w:r>
            <w:r w:rsidR="00474477">
              <w:rPr>
                <w:noProof/>
                <w:webHidden/>
              </w:rPr>
              <w:instrText xml:space="preserve"> PAGEREF _Toc90499932 \h </w:instrText>
            </w:r>
            <w:r w:rsidR="00474477">
              <w:rPr>
                <w:noProof/>
                <w:webHidden/>
              </w:rPr>
            </w:r>
            <w:r w:rsidR="00474477">
              <w:rPr>
                <w:noProof/>
                <w:webHidden/>
              </w:rPr>
              <w:fldChar w:fldCharType="separate"/>
            </w:r>
            <w:r w:rsidR="00474477">
              <w:rPr>
                <w:noProof/>
                <w:webHidden/>
              </w:rPr>
              <w:t>45</w:t>
            </w:r>
            <w:r w:rsidR="00474477">
              <w:rPr>
                <w:noProof/>
                <w:webHidden/>
              </w:rPr>
              <w:fldChar w:fldCharType="end"/>
            </w:r>
          </w:hyperlink>
        </w:p>
        <w:p w14:paraId="6CC57A25" w14:textId="1452093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3" w:history="1">
            <w:r w:rsidR="00474477" w:rsidRPr="00E76B00">
              <w:rPr>
                <w:rStyle w:val="Hyperlink"/>
                <w:noProof/>
              </w:rPr>
              <w:t>1.2.5 Liquidity shocks transmission and GARCH model</w:t>
            </w:r>
            <w:r w:rsidR="00474477">
              <w:rPr>
                <w:noProof/>
                <w:webHidden/>
              </w:rPr>
              <w:tab/>
            </w:r>
            <w:r w:rsidR="00474477">
              <w:rPr>
                <w:noProof/>
                <w:webHidden/>
              </w:rPr>
              <w:fldChar w:fldCharType="begin"/>
            </w:r>
            <w:r w:rsidR="00474477">
              <w:rPr>
                <w:noProof/>
                <w:webHidden/>
              </w:rPr>
              <w:instrText xml:space="preserve"> PAGEREF _Toc90499933 \h </w:instrText>
            </w:r>
            <w:r w:rsidR="00474477">
              <w:rPr>
                <w:noProof/>
                <w:webHidden/>
              </w:rPr>
            </w:r>
            <w:r w:rsidR="00474477">
              <w:rPr>
                <w:noProof/>
                <w:webHidden/>
              </w:rPr>
              <w:fldChar w:fldCharType="separate"/>
            </w:r>
            <w:r w:rsidR="00474477">
              <w:rPr>
                <w:noProof/>
                <w:webHidden/>
              </w:rPr>
              <w:t>49</w:t>
            </w:r>
            <w:r w:rsidR="00474477">
              <w:rPr>
                <w:noProof/>
                <w:webHidden/>
              </w:rPr>
              <w:fldChar w:fldCharType="end"/>
            </w:r>
          </w:hyperlink>
        </w:p>
        <w:p w14:paraId="6EEBCD15" w14:textId="4B9F016A"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34" w:history="1">
            <w:r w:rsidR="00474477" w:rsidRPr="00E76B00">
              <w:rPr>
                <w:rStyle w:val="Hyperlink"/>
                <w:noProof/>
              </w:rPr>
              <w:t>1.3 Methodology</w:t>
            </w:r>
            <w:r w:rsidR="00474477">
              <w:rPr>
                <w:noProof/>
                <w:webHidden/>
              </w:rPr>
              <w:tab/>
            </w:r>
            <w:r w:rsidR="00474477">
              <w:rPr>
                <w:noProof/>
                <w:webHidden/>
              </w:rPr>
              <w:fldChar w:fldCharType="begin"/>
            </w:r>
            <w:r w:rsidR="00474477">
              <w:rPr>
                <w:noProof/>
                <w:webHidden/>
              </w:rPr>
              <w:instrText xml:space="preserve"> PAGEREF _Toc90499934 \h </w:instrText>
            </w:r>
            <w:r w:rsidR="00474477">
              <w:rPr>
                <w:noProof/>
                <w:webHidden/>
              </w:rPr>
            </w:r>
            <w:r w:rsidR="00474477">
              <w:rPr>
                <w:noProof/>
                <w:webHidden/>
              </w:rPr>
              <w:fldChar w:fldCharType="separate"/>
            </w:r>
            <w:r w:rsidR="00474477">
              <w:rPr>
                <w:noProof/>
                <w:webHidden/>
              </w:rPr>
              <w:t>54</w:t>
            </w:r>
            <w:r w:rsidR="00474477">
              <w:rPr>
                <w:noProof/>
                <w:webHidden/>
              </w:rPr>
              <w:fldChar w:fldCharType="end"/>
            </w:r>
          </w:hyperlink>
        </w:p>
        <w:p w14:paraId="67279158" w14:textId="73B530D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5" w:history="1">
            <w:r w:rsidR="00474477" w:rsidRPr="00E76B00">
              <w:rPr>
                <w:rStyle w:val="Hyperlink"/>
                <w:noProof/>
              </w:rPr>
              <w:t>1.3.1 Research Strategy and process</w:t>
            </w:r>
            <w:r w:rsidR="00474477">
              <w:rPr>
                <w:noProof/>
                <w:webHidden/>
              </w:rPr>
              <w:tab/>
            </w:r>
            <w:r w:rsidR="00474477">
              <w:rPr>
                <w:noProof/>
                <w:webHidden/>
              </w:rPr>
              <w:fldChar w:fldCharType="begin"/>
            </w:r>
            <w:r w:rsidR="00474477">
              <w:rPr>
                <w:noProof/>
                <w:webHidden/>
              </w:rPr>
              <w:instrText xml:space="preserve"> PAGEREF _Toc90499935 \h </w:instrText>
            </w:r>
            <w:r w:rsidR="00474477">
              <w:rPr>
                <w:noProof/>
                <w:webHidden/>
              </w:rPr>
            </w:r>
            <w:r w:rsidR="00474477">
              <w:rPr>
                <w:noProof/>
                <w:webHidden/>
              </w:rPr>
              <w:fldChar w:fldCharType="separate"/>
            </w:r>
            <w:r w:rsidR="00474477">
              <w:rPr>
                <w:noProof/>
                <w:webHidden/>
              </w:rPr>
              <w:t>56</w:t>
            </w:r>
            <w:r w:rsidR="00474477">
              <w:rPr>
                <w:noProof/>
                <w:webHidden/>
              </w:rPr>
              <w:fldChar w:fldCharType="end"/>
            </w:r>
          </w:hyperlink>
        </w:p>
        <w:p w14:paraId="73FFBA67" w14:textId="1A23EFDD"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36" w:history="1">
            <w:r w:rsidR="00474477" w:rsidRPr="00E76B00">
              <w:rPr>
                <w:rStyle w:val="Hyperlink"/>
                <w:noProof/>
              </w:rPr>
              <w:t>1.3.1.1Stationarity methods for de-trending the data</w:t>
            </w:r>
            <w:r w:rsidR="00474477">
              <w:rPr>
                <w:noProof/>
                <w:webHidden/>
              </w:rPr>
              <w:tab/>
            </w:r>
            <w:r w:rsidR="00474477">
              <w:rPr>
                <w:noProof/>
                <w:webHidden/>
              </w:rPr>
              <w:fldChar w:fldCharType="begin"/>
            </w:r>
            <w:r w:rsidR="00474477">
              <w:rPr>
                <w:noProof/>
                <w:webHidden/>
              </w:rPr>
              <w:instrText xml:space="preserve"> PAGEREF _Toc90499936 \h </w:instrText>
            </w:r>
            <w:r w:rsidR="00474477">
              <w:rPr>
                <w:noProof/>
                <w:webHidden/>
              </w:rPr>
            </w:r>
            <w:r w:rsidR="00474477">
              <w:rPr>
                <w:noProof/>
                <w:webHidden/>
              </w:rPr>
              <w:fldChar w:fldCharType="separate"/>
            </w:r>
            <w:r w:rsidR="00474477">
              <w:rPr>
                <w:noProof/>
                <w:webHidden/>
              </w:rPr>
              <w:t>58</w:t>
            </w:r>
            <w:r w:rsidR="00474477">
              <w:rPr>
                <w:noProof/>
                <w:webHidden/>
              </w:rPr>
              <w:fldChar w:fldCharType="end"/>
            </w:r>
          </w:hyperlink>
        </w:p>
        <w:p w14:paraId="349EEEAA" w14:textId="1C024B95"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37" w:history="1">
            <w:r w:rsidR="00474477" w:rsidRPr="00E76B00">
              <w:rPr>
                <w:rStyle w:val="Hyperlink"/>
                <w:noProof/>
              </w:rPr>
              <w:t>1.3.2 Stationarity Analysis</w:t>
            </w:r>
            <w:r w:rsidR="00474477">
              <w:rPr>
                <w:noProof/>
                <w:webHidden/>
              </w:rPr>
              <w:tab/>
            </w:r>
            <w:r w:rsidR="00474477">
              <w:rPr>
                <w:noProof/>
                <w:webHidden/>
              </w:rPr>
              <w:fldChar w:fldCharType="begin"/>
            </w:r>
            <w:r w:rsidR="00474477">
              <w:rPr>
                <w:noProof/>
                <w:webHidden/>
              </w:rPr>
              <w:instrText xml:space="preserve"> PAGEREF _Toc90499937 \h </w:instrText>
            </w:r>
            <w:r w:rsidR="00474477">
              <w:rPr>
                <w:noProof/>
                <w:webHidden/>
              </w:rPr>
            </w:r>
            <w:r w:rsidR="00474477">
              <w:rPr>
                <w:noProof/>
                <w:webHidden/>
              </w:rPr>
              <w:fldChar w:fldCharType="separate"/>
            </w:r>
            <w:r w:rsidR="00474477">
              <w:rPr>
                <w:noProof/>
                <w:webHidden/>
              </w:rPr>
              <w:t>62</w:t>
            </w:r>
            <w:r w:rsidR="00474477">
              <w:rPr>
                <w:noProof/>
                <w:webHidden/>
              </w:rPr>
              <w:fldChar w:fldCharType="end"/>
            </w:r>
          </w:hyperlink>
        </w:p>
        <w:p w14:paraId="5036C34D" w14:textId="069CB6EF"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38" w:history="1">
            <w:r w:rsidR="00474477" w:rsidRPr="00E76B00">
              <w:rPr>
                <w:rStyle w:val="Hyperlink"/>
                <w:noProof/>
              </w:rPr>
              <w:t>1.3.2.1 The Augmented Dickey Fuller (ADF) Test</w:t>
            </w:r>
            <w:r w:rsidR="00474477">
              <w:rPr>
                <w:noProof/>
                <w:webHidden/>
              </w:rPr>
              <w:tab/>
            </w:r>
            <w:r w:rsidR="00474477">
              <w:rPr>
                <w:noProof/>
                <w:webHidden/>
              </w:rPr>
              <w:fldChar w:fldCharType="begin"/>
            </w:r>
            <w:r w:rsidR="00474477">
              <w:rPr>
                <w:noProof/>
                <w:webHidden/>
              </w:rPr>
              <w:instrText xml:space="preserve"> PAGEREF _Toc90499938 \h </w:instrText>
            </w:r>
            <w:r w:rsidR="00474477">
              <w:rPr>
                <w:noProof/>
                <w:webHidden/>
              </w:rPr>
            </w:r>
            <w:r w:rsidR="00474477">
              <w:rPr>
                <w:noProof/>
                <w:webHidden/>
              </w:rPr>
              <w:fldChar w:fldCharType="separate"/>
            </w:r>
            <w:r w:rsidR="00474477">
              <w:rPr>
                <w:noProof/>
                <w:webHidden/>
              </w:rPr>
              <w:t>63</w:t>
            </w:r>
            <w:r w:rsidR="00474477">
              <w:rPr>
                <w:noProof/>
                <w:webHidden/>
              </w:rPr>
              <w:fldChar w:fldCharType="end"/>
            </w:r>
          </w:hyperlink>
        </w:p>
        <w:p w14:paraId="5FEF4F1E" w14:textId="540B47F3"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39" w:history="1">
            <w:r w:rsidR="00474477" w:rsidRPr="00E76B00">
              <w:rPr>
                <w:rStyle w:val="Hyperlink"/>
                <w:noProof/>
              </w:rPr>
              <w:t>1.3.2.2 Phillips- Perron unit root test</w:t>
            </w:r>
            <w:r w:rsidR="00474477">
              <w:rPr>
                <w:noProof/>
                <w:webHidden/>
              </w:rPr>
              <w:tab/>
            </w:r>
            <w:r w:rsidR="00474477">
              <w:rPr>
                <w:noProof/>
                <w:webHidden/>
              </w:rPr>
              <w:fldChar w:fldCharType="begin"/>
            </w:r>
            <w:r w:rsidR="00474477">
              <w:rPr>
                <w:noProof/>
                <w:webHidden/>
              </w:rPr>
              <w:instrText xml:space="preserve"> PAGEREF _Toc90499939 \h </w:instrText>
            </w:r>
            <w:r w:rsidR="00474477">
              <w:rPr>
                <w:noProof/>
                <w:webHidden/>
              </w:rPr>
            </w:r>
            <w:r w:rsidR="00474477">
              <w:rPr>
                <w:noProof/>
                <w:webHidden/>
              </w:rPr>
              <w:fldChar w:fldCharType="separate"/>
            </w:r>
            <w:r w:rsidR="00474477">
              <w:rPr>
                <w:noProof/>
                <w:webHidden/>
              </w:rPr>
              <w:t>65</w:t>
            </w:r>
            <w:r w:rsidR="00474477">
              <w:rPr>
                <w:noProof/>
                <w:webHidden/>
              </w:rPr>
              <w:fldChar w:fldCharType="end"/>
            </w:r>
          </w:hyperlink>
        </w:p>
        <w:p w14:paraId="7ABB0C2F" w14:textId="1D6215EA"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0" w:history="1">
            <w:r w:rsidR="00474477" w:rsidRPr="00E76B00">
              <w:rPr>
                <w:rStyle w:val="Hyperlink"/>
                <w:noProof/>
              </w:rPr>
              <w:t>1.3.5 Autocorrelation and Partial Autocorrelation Functions (ACF and PACF)</w:t>
            </w:r>
            <w:r w:rsidR="00474477">
              <w:rPr>
                <w:noProof/>
                <w:webHidden/>
              </w:rPr>
              <w:tab/>
            </w:r>
            <w:r w:rsidR="00474477">
              <w:rPr>
                <w:noProof/>
                <w:webHidden/>
              </w:rPr>
              <w:fldChar w:fldCharType="begin"/>
            </w:r>
            <w:r w:rsidR="00474477">
              <w:rPr>
                <w:noProof/>
                <w:webHidden/>
              </w:rPr>
              <w:instrText xml:space="preserve"> PAGEREF _Toc90499940 \h </w:instrText>
            </w:r>
            <w:r w:rsidR="00474477">
              <w:rPr>
                <w:noProof/>
                <w:webHidden/>
              </w:rPr>
            </w:r>
            <w:r w:rsidR="00474477">
              <w:rPr>
                <w:noProof/>
                <w:webHidden/>
              </w:rPr>
              <w:fldChar w:fldCharType="separate"/>
            </w:r>
            <w:r w:rsidR="00474477">
              <w:rPr>
                <w:noProof/>
                <w:webHidden/>
              </w:rPr>
              <w:t>66</w:t>
            </w:r>
            <w:r w:rsidR="00474477">
              <w:rPr>
                <w:noProof/>
                <w:webHidden/>
              </w:rPr>
              <w:fldChar w:fldCharType="end"/>
            </w:r>
          </w:hyperlink>
        </w:p>
        <w:p w14:paraId="74CF628E" w14:textId="1EF40A2E"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1" w:history="1">
            <w:r w:rsidR="00474477" w:rsidRPr="00E76B00">
              <w:rPr>
                <w:rStyle w:val="Hyperlink"/>
                <w:noProof/>
              </w:rPr>
              <w:t>1.3.6 The Autoregressive Moving Average (ARMA) Models</w:t>
            </w:r>
            <w:r w:rsidR="00474477">
              <w:rPr>
                <w:noProof/>
                <w:webHidden/>
              </w:rPr>
              <w:tab/>
            </w:r>
            <w:r w:rsidR="00474477">
              <w:rPr>
                <w:noProof/>
                <w:webHidden/>
              </w:rPr>
              <w:fldChar w:fldCharType="begin"/>
            </w:r>
            <w:r w:rsidR="00474477">
              <w:rPr>
                <w:noProof/>
                <w:webHidden/>
              </w:rPr>
              <w:instrText xml:space="preserve"> PAGEREF _Toc90499941 \h </w:instrText>
            </w:r>
            <w:r w:rsidR="00474477">
              <w:rPr>
                <w:noProof/>
                <w:webHidden/>
              </w:rPr>
            </w:r>
            <w:r w:rsidR="00474477">
              <w:rPr>
                <w:noProof/>
                <w:webHidden/>
              </w:rPr>
              <w:fldChar w:fldCharType="separate"/>
            </w:r>
            <w:r w:rsidR="00474477">
              <w:rPr>
                <w:noProof/>
                <w:webHidden/>
              </w:rPr>
              <w:t>67</w:t>
            </w:r>
            <w:r w:rsidR="00474477">
              <w:rPr>
                <w:noProof/>
                <w:webHidden/>
              </w:rPr>
              <w:fldChar w:fldCharType="end"/>
            </w:r>
          </w:hyperlink>
        </w:p>
        <w:p w14:paraId="5304C89D" w14:textId="235D490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2" w:history="1">
            <w:r w:rsidR="00474477" w:rsidRPr="00E76B00">
              <w:rPr>
                <w:rStyle w:val="Hyperlink"/>
                <w:noProof/>
              </w:rPr>
              <w:t>1.3.7 Autoregressive Integrated Moving Average (ARIMA) Models</w:t>
            </w:r>
            <w:r w:rsidR="00474477">
              <w:rPr>
                <w:noProof/>
                <w:webHidden/>
              </w:rPr>
              <w:tab/>
            </w:r>
            <w:r w:rsidR="00474477">
              <w:rPr>
                <w:noProof/>
                <w:webHidden/>
              </w:rPr>
              <w:fldChar w:fldCharType="begin"/>
            </w:r>
            <w:r w:rsidR="00474477">
              <w:rPr>
                <w:noProof/>
                <w:webHidden/>
              </w:rPr>
              <w:instrText xml:space="preserve"> PAGEREF _Toc90499942 \h </w:instrText>
            </w:r>
            <w:r w:rsidR="00474477">
              <w:rPr>
                <w:noProof/>
                <w:webHidden/>
              </w:rPr>
            </w:r>
            <w:r w:rsidR="00474477">
              <w:rPr>
                <w:noProof/>
                <w:webHidden/>
              </w:rPr>
              <w:fldChar w:fldCharType="separate"/>
            </w:r>
            <w:r w:rsidR="00474477">
              <w:rPr>
                <w:noProof/>
                <w:webHidden/>
              </w:rPr>
              <w:t>68</w:t>
            </w:r>
            <w:r w:rsidR="00474477">
              <w:rPr>
                <w:noProof/>
                <w:webHidden/>
              </w:rPr>
              <w:fldChar w:fldCharType="end"/>
            </w:r>
          </w:hyperlink>
        </w:p>
        <w:p w14:paraId="7990FF94" w14:textId="3107F569"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3" w:history="1">
            <w:r w:rsidR="00474477" w:rsidRPr="00E76B00">
              <w:rPr>
                <w:rStyle w:val="Hyperlink"/>
                <w:noProof/>
              </w:rPr>
              <w:t>1.3.8 ARMA Filter</w:t>
            </w:r>
            <w:r w:rsidR="00474477">
              <w:rPr>
                <w:noProof/>
                <w:webHidden/>
              </w:rPr>
              <w:tab/>
            </w:r>
            <w:r w:rsidR="00474477">
              <w:rPr>
                <w:noProof/>
                <w:webHidden/>
              </w:rPr>
              <w:fldChar w:fldCharType="begin"/>
            </w:r>
            <w:r w:rsidR="00474477">
              <w:rPr>
                <w:noProof/>
                <w:webHidden/>
              </w:rPr>
              <w:instrText xml:space="preserve"> PAGEREF _Toc90499943 \h </w:instrText>
            </w:r>
            <w:r w:rsidR="00474477">
              <w:rPr>
                <w:noProof/>
                <w:webHidden/>
              </w:rPr>
            </w:r>
            <w:r w:rsidR="00474477">
              <w:rPr>
                <w:noProof/>
                <w:webHidden/>
              </w:rPr>
              <w:fldChar w:fldCharType="separate"/>
            </w:r>
            <w:r w:rsidR="00474477">
              <w:rPr>
                <w:noProof/>
                <w:webHidden/>
              </w:rPr>
              <w:t>69</w:t>
            </w:r>
            <w:r w:rsidR="00474477">
              <w:rPr>
                <w:noProof/>
                <w:webHidden/>
              </w:rPr>
              <w:fldChar w:fldCharType="end"/>
            </w:r>
          </w:hyperlink>
        </w:p>
        <w:p w14:paraId="4AA9DB15" w14:textId="4CDA6C56"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4" w:history="1">
            <w:r w:rsidR="00474477" w:rsidRPr="00E76B00">
              <w:rPr>
                <w:rStyle w:val="Hyperlink"/>
                <w:noProof/>
              </w:rPr>
              <w:t>1.3.9 Model Selection</w:t>
            </w:r>
            <w:r w:rsidR="00474477">
              <w:rPr>
                <w:noProof/>
                <w:webHidden/>
              </w:rPr>
              <w:tab/>
            </w:r>
            <w:r w:rsidR="00474477">
              <w:rPr>
                <w:noProof/>
                <w:webHidden/>
              </w:rPr>
              <w:fldChar w:fldCharType="begin"/>
            </w:r>
            <w:r w:rsidR="00474477">
              <w:rPr>
                <w:noProof/>
                <w:webHidden/>
              </w:rPr>
              <w:instrText xml:space="preserve"> PAGEREF _Toc90499944 \h </w:instrText>
            </w:r>
            <w:r w:rsidR="00474477">
              <w:rPr>
                <w:noProof/>
                <w:webHidden/>
              </w:rPr>
            </w:r>
            <w:r w:rsidR="00474477">
              <w:rPr>
                <w:noProof/>
                <w:webHidden/>
              </w:rPr>
              <w:fldChar w:fldCharType="separate"/>
            </w:r>
            <w:r w:rsidR="00474477">
              <w:rPr>
                <w:noProof/>
                <w:webHidden/>
              </w:rPr>
              <w:t>70</w:t>
            </w:r>
            <w:r w:rsidR="00474477">
              <w:rPr>
                <w:noProof/>
                <w:webHidden/>
              </w:rPr>
              <w:fldChar w:fldCharType="end"/>
            </w:r>
          </w:hyperlink>
        </w:p>
        <w:p w14:paraId="71469A74" w14:textId="3CCDBF1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5" w:history="1">
            <w:r w:rsidR="00474477" w:rsidRPr="00E76B00">
              <w:rPr>
                <w:rStyle w:val="Hyperlink"/>
                <w:noProof/>
              </w:rPr>
              <w:t>1.3.10 Introduction to GARCH model</w:t>
            </w:r>
            <w:r w:rsidR="00474477">
              <w:rPr>
                <w:noProof/>
                <w:webHidden/>
              </w:rPr>
              <w:tab/>
            </w:r>
            <w:r w:rsidR="00474477">
              <w:rPr>
                <w:noProof/>
                <w:webHidden/>
              </w:rPr>
              <w:fldChar w:fldCharType="begin"/>
            </w:r>
            <w:r w:rsidR="00474477">
              <w:rPr>
                <w:noProof/>
                <w:webHidden/>
              </w:rPr>
              <w:instrText xml:space="preserve"> PAGEREF _Toc90499945 \h </w:instrText>
            </w:r>
            <w:r w:rsidR="00474477">
              <w:rPr>
                <w:noProof/>
                <w:webHidden/>
              </w:rPr>
            </w:r>
            <w:r w:rsidR="00474477">
              <w:rPr>
                <w:noProof/>
                <w:webHidden/>
              </w:rPr>
              <w:fldChar w:fldCharType="separate"/>
            </w:r>
            <w:r w:rsidR="00474477">
              <w:rPr>
                <w:noProof/>
                <w:webHidden/>
              </w:rPr>
              <w:t>70</w:t>
            </w:r>
            <w:r w:rsidR="00474477">
              <w:rPr>
                <w:noProof/>
                <w:webHidden/>
              </w:rPr>
              <w:fldChar w:fldCharType="end"/>
            </w:r>
          </w:hyperlink>
        </w:p>
        <w:p w14:paraId="3CA04E93" w14:textId="4799437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6" w:history="1">
            <w:r w:rsidR="00474477" w:rsidRPr="00E76B00">
              <w:rPr>
                <w:rStyle w:val="Hyperlink"/>
                <w:noProof/>
              </w:rPr>
              <w:t>1.3.11 Symmetric GARCH model</w:t>
            </w:r>
            <w:r w:rsidR="00474477">
              <w:rPr>
                <w:noProof/>
                <w:webHidden/>
              </w:rPr>
              <w:tab/>
            </w:r>
            <w:r w:rsidR="00474477">
              <w:rPr>
                <w:noProof/>
                <w:webHidden/>
              </w:rPr>
              <w:fldChar w:fldCharType="begin"/>
            </w:r>
            <w:r w:rsidR="00474477">
              <w:rPr>
                <w:noProof/>
                <w:webHidden/>
              </w:rPr>
              <w:instrText xml:space="preserve"> PAGEREF _Toc90499946 \h </w:instrText>
            </w:r>
            <w:r w:rsidR="00474477">
              <w:rPr>
                <w:noProof/>
                <w:webHidden/>
              </w:rPr>
            </w:r>
            <w:r w:rsidR="00474477">
              <w:rPr>
                <w:noProof/>
                <w:webHidden/>
              </w:rPr>
              <w:fldChar w:fldCharType="separate"/>
            </w:r>
            <w:r w:rsidR="00474477">
              <w:rPr>
                <w:noProof/>
                <w:webHidden/>
              </w:rPr>
              <w:t>71</w:t>
            </w:r>
            <w:r w:rsidR="00474477">
              <w:rPr>
                <w:noProof/>
                <w:webHidden/>
              </w:rPr>
              <w:fldChar w:fldCharType="end"/>
            </w:r>
          </w:hyperlink>
        </w:p>
        <w:p w14:paraId="6CF32FBF" w14:textId="23B5C78E"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7" w:history="1">
            <w:r w:rsidR="00474477" w:rsidRPr="00E76B00">
              <w:rPr>
                <w:rStyle w:val="Hyperlink"/>
                <w:noProof/>
              </w:rPr>
              <w:t>1.3.12 Symmetric GARCH (1, 1) parameter estimation</w:t>
            </w:r>
            <w:r w:rsidR="00474477">
              <w:rPr>
                <w:noProof/>
                <w:webHidden/>
              </w:rPr>
              <w:tab/>
            </w:r>
            <w:r w:rsidR="00474477">
              <w:rPr>
                <w:noProof/>
                <w:webHidden/>
              </w:rPr>
              <w:fldChar w:fldCharType="begin"/>
            </w:r>
            <w:r w:rsidR="00474477">
              <w:rPr>
                <w:noProof/>
                <w:webHidden/>
              </w:rPr>
              <w:instrText xml:space="preserve"> PAGEREF _Toc90499947 \h </w:instrText>
            </w:r>
            <w:r w:rsidR="00474477">
              <w:rPr>
                <w:noProof/>
                <w:webHidden/>
              </w:rPr>
            </w:r>
            <w:r w:rsidR="00474477">
              <w:rPr>
                <w:noProof/>
                <w:webHidden/>
              </w:rPr>
              <w:fldChar w:fldCharType="separate"/>
            </w:r>
            <w:r w:rsidR="00474477">
              <w:rPr>
                <w:noProof/>
                <w:webHidden/>
              </w:rPr>
              <w:t>72</w:t>
            </w:r>
            <w:r w:rsidR="00474477">
              <w:rPr>
                <w:noProof/>
                <w:webHidden/>
              </w:rPr>
              <w:fldChar w:fldCharType="end"/>
            </w:r>
          </w:hyperlink>
        </w:p>
        <w:p w14:paraId="487BA421" w14:textId="4438A97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8" w:history="1">
            <w:r w:rsidR="00474477" w:rsidRPr="00E76B00">
              <w:rPr>
                <w:rStyle w:val="Hyperlink"/>
                <w:noProof/>
              </w:rPr>
              <w:t>1.3.13 Symmetric GARCH volatility forecasts</w:t>
            </w:r>
            <w:r w:rsidR="00474477">
              <w:rPr>
                <w:noProof/>
                <w:webHidden/>
              </w:rPr>
              <w:tab/>
            </w:r>
            <w:r w:rsidR="00474477">
              <w:rPr>
                <w:noProof/>
                <w:webHidden/>
              </w:rPr>
              <w:fldChar w:fldCharType="begin"/>
            </w:r>
            <w:r w:rsidR="00474477">
              <w:rPr>
                <w:noProof/>
                <w:webHidden/>
              </w:rPr>
              <w:instrText xml:space="preserve"> PAGEREF _Toc90499948 \h </w:instrText>
            </w:r>
            <w:r w:rsidR="00474477">
              <w:rPr>
                <w:noProof/>
                <w:webHidden/>
              </w:rPr>
            </w:r>
            <w:r w:rsidR="00474477">
              <w:rPr>
                <w:noProof/>
                <w:webHidden/>
              </w:rPr>
              <w:fldChar w:fldCharType="separate"/>
            </w:r>
            <w:r w:rsidR="00474477">
              <w:rPr>
                <w:noProof/>
                <w:webHidden/>
              </w:rPr>
              <w:t>73</w:t>
            </w:r>
            <w:r w:rsidR="00474477">
              <w:rPr>
                <w:noProof/>
                <w:webHidden/>
              </w:rPr>
              <w:fldChar w:fldCharType="end"/>
            </w:r>
          </w:hyperlink>
        </w:p>
        <w:p w14:paraId="4A5455A3" w14:textId="5B5F912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49" w:history="1">
            <w:r w:rsidR="00474477" w:rsidRPr="00E76B00">
              <w:rPr>
                <w:rStyle w:val="Hyperlink"/>
                <w:noProof/>
              </w:rPr>
              <w:t>1.3.14 Asymmetric GARCH models</w:t>
            </w:r>
            <w:r w:rsidR="00474477">
              <w:rPr>
                <w:noProof/>
                <w:webHidden/>
              </w:rPr>
              <w:tab/>
            </w:r>
            <w:r w:rsidR="00474477">
              <w:rPr>
                <w:noProof/>
                <w:webHidden/>
              </w:rPr>
              <w:fldChar w:fldCharType="begin"/>
            </w:r>
            <w:r w:rsidR="00474477">
              <w:rPr>
                <w:noProof/>
                <w:webHidden/>
              </w:rPr>
              <w:instrText xml:space="preserve"> PAGEREF _Toc90499949 \h </w:instrText>
            </w:r>
            <w:r w:rsidR="00474477">
              <w:rPr>
                <w:noProof/>
                <w:webHidden/>
              </w:rPr>
            </w:r>
            <w:r w:rsidR="00474477">
              <w:rPr>
                <w:noProof/>
                <w:webHidden/>
              </w:rPr>
              <w:fldChar w:fldCharType="separate"/>
            </w:r>
            <w:r w:rsidR="00474477">
              <w:rPr>
                <w:noProof/>
                <w:webHidden/>
              </w:rPr>
              <w:t>74</w:t>
            </w:r>
            <w:r w:rsidR="00474477">
              <w:rPr>
                <w:noProof/>
                <w:webHidden/>
              </w:rPr>
              <w:fldChar w:fldCharType="end"/>
            </w:r>
          </w:hyperlink>
        </w:p>
        <w:p w14:paraId="20662B47" w14:textId="475CF51A"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0" w:history="1">
            <w:r w:rsidR="00474477" w:rsidRPr="00E76B00">
              <w:rPr>
                <w:rStyle w:val="Hyperlink"/>
                <w:noProof/>
              </w:rPr>
              <w:t>1.3.15 Asymmetric GARCH model or A-GARCH</w:t>
            </w:r>
            <w:r w:rsidR="00474477">
              <w:rPr>
                <w:noProof/>
                <w:webHidden/>
              </w:rPr>
              <w:tab/>
            </w:r>
            <w:r w:rsidR="00474477">
              <w:rPr>
                <w:noProof/>
                <w:webHidden/>
              </w:rPr>
              <w:fldChar w:fldCharType="begin"/>
            </w:r>
            <w:r w:rsidR="00474477">
              <w:rPr>
                <w:noProof/>
                <w:webHidden/>
              </w:rPr>
              <w:instrText xml:space="preserve"> PAGEREF _Toc90499950 \h </w:instrText>
            </w:r>
            <w:r w:rsidR="00474477">
              <w:rPr>
                <w:noProof/>
                <w:webHidden/>
              </w:rPr>
            </w:r>
            <w:r w:rsidR="00474477">
              <w:rPr>
                <w:noProof/>
                <w:webHidden/>
              </w:rPr>
              <w:fldChar w:fldCharType="separate"/>
            </w:r>
            <w:r w:rsidR="00474477">
              <w:rPr>
                <w:noProof/>
                <w:webHidden/>
              </w:rPr>
              <w:t>75</w:t>
            </w:r>
            <w:r w:rsidR="00474477">
              <w:rPr>
                <w:noProof/>
                <w:webHidden/>
              </w:rPr>
              <w:fldChar w:fldCharType="end"/>
            </w:r>
          </w:hyperlink>
        </w:p>
        <w:p w14:paraId="0A970D33" w14:textId="2611896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1" w:history="1">
            <w:r w:rsidR="00474477" w:rsidRPr="00E76B00">
              <w:rPr>
                <w:rStyle w:val="Hyperlink"/>
                <w:noProof/>
              </w:rPr>
              <w:t>1.3.16 Multivariate GARCH Model</w:t>
            </w:r>
            <w:r w:rsidR="00474477">
              <w:rPr>
                <w:noProof/>
                <w:webHidden/>
              </w:rPr>
              <w:tab/>
            </w:r>
            <w:r w:rsidR="00474477">
              <w:rPr>
                <w:noProof/>
                <w:webHidden/>
              </w:rPr>
              <w:fldChar w:fldCharType="begin"/>
            </w:r>
            <w:r w:rsidR="00474477">
              <w:rPr>
                <w:noProof/>
                <w:webHidden/>
              </w:rPr>
              <w:instrText xml:space="preserve"> PAGEREF _Toc90499951 \h </w:instrText>
            </w:r>
            <w:r w:rsidR="00474477">
              <w:rPr>
                <w:noProof/>
                <w:webHidden/>
              </w:rPr>
            </w:r>
            <w:r w:rsidR="00474477">
              <w:rPr>
                <w:noProof/>
                <w:webHidden/>
              </w:rPr>
              <w:fldChar w:fldCharType="separate"/>
            </w:r>
            <w:r w:rsidR="00474477">
              <w:rPr>
                <w:noProof/>
                <w:webHidden/>
              </w:rPr>
              <w:t>77</w:t>
            </w:r>
            <w:r w:rsidR="00474477">
              <w:rPr>
                <w:noProof/>
                <w:webHidden/>
              </w:rPr>
              <w:fldChar w:fldCharType="end"/>
            </w:r>
          </w:hyperlink>
        </w:p>
        <w:p w14:paraId="5FE21F2A" w14:textId="0AF2F896"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2" w:history="1">
            <w:r w:rsidR="00474477" w:rsidRPr="00E76B00">
              <w:rPr>
                <w:rStyle w:val="Hyperlink"/>
                <w:noProof/>
              </w:rPr>
              <w:t>1.3.17 ARMA (p, q) and the BEKK-GARCH Approach</w:t>
            </w:r>
            <w:r w:rsidR="00474477">
              <w:rPr>
                <w:noProof/>
                <w:webHidden/>
              </w:rPr>
              <w:tab/>
            </w:r>
            <w:r w:rsidR="00474477">
              <w:rPr>
                <w:noProof/>
                <w:webHidden/>
              </w:rPr>
              <w:fldChar w:fldCharType="begin"/>
            </w:r>
            <w:r w:rsidR="00474477">
              <w:rPr>
                <w:noProof/>
                <w:webHidden/>
              </w:rPr>
              <w:instrText xml:space="preserve"> PAGEREF _Toc90499952 \h </w:instrText>
            </w:r>
            <w:r w:rsidR="00474477">
              <w:rPr>
                <w:noProof/>
                <w:webHidden/>
              </w:rPr>
            </w:r>
            <w:r w:rsidR="00474477">
              <w:rPr>
                <w:noProof/>
                <w:webHidden/>
              </w:rPr>
              <w:fldChar w:fldCharType="separate"/>
            </w:r>
            <w:r w:rsidR="00474477">
              <w:rPr>
                <w:noProof/>
                <w:webHidden/>
              </w:rPr>
              <w:t>78</w:t>
            </w:r>
            <w:r w:rsidR="00474477">
              <w:rPr>
                <w:noProof/>
                <w:webHidden/>
              </w:rPr>
              <w:fldChar w:fldCharType="end"/>
            </w:r>
          </w:hyperlink>
        </w:p>
        <w:p w14:paraId="00D26C99" w14:textId="6026ED86"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3" w:history="1">
            <w:r w:rsidR="00474477" w:rsidRPr="00E76B00">
              <w:rPr>
                <w:rStyle w:val="Hyperlink"/>
                <w:noProof/>
              </w:rPr>
              <w:t>1.3.18 ARMA-DCC</w:t>
            </w:r>
            <w:r w:rsidR="00474477">
              <w:rPr>
                <w:noProof/>
                <w:webHidden/>
              </w:rPr>
              <w:tab/>
            </w:r>
            <w:r w:rsidR="00474477">
              <w:rPr>
                <w:noProof/>
                <w:webHidden/>
              </w:rPr>
              <w:fldChar w:fldCharType="begin"/>
            </w:r>
            <w:r w:rsidR="00474477">
              <w:rPr>
                <w:noProof/>
                <w:webHidden/>
              </w:rPr>
              <w:instrText xml:space="preserve"> PAGEREF _Toc90499953 \h </w:instrText>
            </w:r>
            <w:r w:rsidR="00474477">
              <w:rPr>
                <w:noProof/>
                <w:webHidden/>
              </w:rPr>
            </w:r>
            <w:r w:rsidR="00474477">
              <w:rPr>
                <w:noProof/>
                <w:webHidden/>
              </w:rPr>
              <w:fldChar w:fldCharType="separate"/>
            </w:r>
            <w:r w:rsidR="00474477">
              <w:rPr>
                <w:noProof/>
                <w:webHidden/>
              </w:rPr>
              <w:t>82</w:t>
            </w:r>
            <w:r w:rsidR="00474477">
              <w:rPr>
                <w:noProof/>
                <w:webHidden/>
              </w:rPr>
              <w:fldChar w:fldCharType="end"/>
            </w:r>
          </w:hyperlink>
        </w:p>
        <w:p w14:paraId="239CD0FF" w14:textId="08612760"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54" w:history="1">
            <w:r w:rsidR="00474477" w:rsidRPr="00E76B00">
              <w:rPr>
                <w:rStyle w:val="Hyperlink"/>
                <w:noProof/>
              </w:rPr>
              <w:t>1.4 Data and Preliminary Analysis</w:t>
            </w:r>
            <w:r w:rsidR="00474477">
              <w:rPr>
                <w:noProof/>
                <w:webHidden/>
              </w:rPr>
              <w:tab/>
            </w:r>
            <w:r w:rsidR="00474477">
              <w:rPr>
                <w:noProof/>
                <w:webHidden/>
              </w:rPr>
              <w:fldChar w:fldCharType="begin"/>
            </w:r>
            <w:r w:rsidR="00474477">
              <w:rPr>
                <w:noProof/>
                <w:webHidden/>
              </w:rPr>
              <w:instrText xml:space="preserve"> PAGEREF _Toc90499954 \h </w:instrText>
            </w:r>
            <w:r w:rsidR="00474477">
              <w:rPr>
                <w:noProof/>
                <w:webHidden/>
              </w:rPr>
            </w:r>
            <w:r w:rsidR="00474477">
              <w:rPr>
                <w:noProof/>
                <w:webHidden/>
              </w:rPr>
              <w:fldChar w:fldCharType="separate"/>
            </w:r>
            <w:r w:rsidR="00474477">
              <w:rPr>
                <w:noProof/>
                <w:webHidden/>
              </w:rPr>
              <w:t>84</w:t>
            </w:r>
            <w:r w:rsidR="00474477">
              <w:rPr>
                <w:noProof/>
                <w:webHidden/>
              </w:rPr>
              <w:fldChar w:fldCharType="end"/>
            </w:r>
          </w:hyperlink>
        </w:p>
        <w:p w14:paraId="520A8EF1" w14:textId="5246BDC8"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5" w:history="1">
            <w:r w:rsidR="00474477" w:rsidRPr="00E76B00">
              <w:rPr>
                <w:rStyle w:val="Hyperlink"/>
                <w:noProof/>
              </w:rPr>
              <w:t>Data rationale (Discrete or continuous)</w:t>
            </w:r>
            <w:r w:rsidR="00474477">
              <w:rPr>
                <w:noProof/>
                <w:webHidden/>
              </w:rPr>
              <w:tab/>
            </w:r>
            <w:r w:rsidR="00474477">
              <w:rPr>
                <w:noProof/>
                <w:webHidden/>
              </w:rPr>
              <w:fldChar w:fldCharType="begin"/>
            </w:r>
            <w:r w:rsidR="00474477">
              <w:rPr>
                <w:noProof/>
                <w:webHidden/>
              </w:rPr>
              <w:instrText xml:space="preserve"> PAGEREF _Toc90499955 \h </w:instrText>
            </w:r>
            <w:r w:rsidR="00474477">
              <w:rPr>
                <w:noProof/>
                <w:webHidden/>
              </w:rPr>
            </w:r>
            <w:r w:rsidR="00474477">
              <w:rPr>
                <w:noProof/>
                <w:webHidden/>
              </w:rPr>
              <w:fldChar w:fldCharType="separate"/>
            </w:r>
            <w:r w:rsidR="00474477">
              <w:rPr>
                <w:noProof/>
                <w:webHidden/>
              </w:rPr>
              <w:t>85</w:t>
            </w:r>
            <w:r w:rsidR="00474477">
              <w:rPr>
                <w:noProof/>
                <w:webHidden/>
              </w:rPr>
              <w:fldChar w:fldCharType="end"/>
            </w:r>
          </w:hyperlink>
        </w:p>
        <w:p w14:paraId="7A1AA3C1" w14:textId="5915941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6" w:history="1">
            <w:r w:rsidR="00474477" w:rsidRPr="00E76B00">
              <w:rPr>
                <w:rStyle w:val="Hyperlink"/>
                <w:rFonts w:eastAsia="Times New Roman"/>
                <w:noProof/>
                <w:lang w:eastAsia="en-GB"/>
              </w:rPr>
              <w:t>Step by step procedure of the (liquidity transmission mechanism)</w:t>
            </w:r>
            <w:r w:rsidR="00474477">
              <w:rPr>
                <w:noProof/>
                <w:webHidden/>
              </w:rPr>
              <w:tab/>
            </w:r>
            <w:r w:rsidR="00474477">
              <w:rPr>
                <w:noProof/>
                <w:webHidden/>
              </w:rPr>
              <w:fldChar w:fldCharType="begin"/>
            </w:r>
            <w:r w:rsidR="00474477">
              <w:rPr>
                <w:noProof/>
                <w:webHidden/>
              </w:rPr>
              <w:instrText xml:space="preserve"> PAGEREF _Toc90499956 \h </w:instrText>
            </w:r>
            <w:r w:rsidR="00474477">
              <w:rPr>
                <w:noProof/>
                <w:webHidden/>
              </w:rPr>
            </w:r>
            <w:r w:rsidR="00474477">
              <w:rPr>
                <w:noProof/>
                <w:webHidden/>
              </w:rPr>
              <w:fldChar w:fldCharType="separate"/>
            </w:r>
            <w:r w:rsidR="00474477">
              <w:rPr>
                <w:noProof/>
                <w:webHidden/>
              </w:rPr>
              <w:t>90</w:t>
            </w:r>
            <w:r w:rsidR="00474477">
              <w:rPr>
                <w:noProof/>
                <w:webHidden/>
              </w:rPr>
              <w:fldChar w:fldCharType="end"/>
            </w:r>
          </w:hyperlink>
        </w:p>
        <w:p w14:paraId="6B09105B" w14:textId="4A5B18CA"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7" w:history="1">
            <w:r w:rsidR="00474477" w:rsidRPr="00E76B00">
              <w:rPr>
                <w:rStyle w:val="Hyperlink"/>
                <w:noProof/>
              </w:rPr>
              <w:t>1.4.1 Data description</w:t>
            </w:r>
            <w:r w:rsidR="00474477">
              <w:rPr>
                <w:noProof/>
                <w:webHidden/>
              </w:rPr>
              <w:tab/>
            </w:r>
            <w:r w:rsidR="00474477">
              <w:rPr>
                <w:noProof/>
                <w:webHidden/>
              </w:rPr>
              <w:fldChar w:fldCharType="begin"/>
            </w:r>
            <w:r w:rsidR="00474477">
              <w:rPr>
                <w:noProof/>
                <w:webHidden/>
              </w:rPr>
              <w:instrText xml:space="preserve"> PAGEREF _Toc90499957 \h </w:instrText>
            </w:r>
            <w:r w:rsidR="00474477">
              <w:rPr>
                <w:noProof/>
                <w:webHidden/>
              </w:rPr>
            </w:r>
            <w:r w:rsidR="00474477">
              <w:rPr>
                <w:noProof/>
                <w:webHidden/>
              </w:rPr>
              <w:fldChar w:fldCharType="separate"/>
            </w:r>
            <w:r w:rsidR="00474477">
              <w:rPr>
                <w:noProof/>
                <w:webHidden/>
              </w:rPr>
              <w:t>91</w:t>
            </w:r>
            <w:r w:rsidR="00474477">
              <w:rPr>
                <w:noProof/>
                <w:webHidden/>
              </w:rPr>
              <w:fldChar w:fldCharType="end"/>
            </w:r>
          </w:hyperlink>
        </w:p>
        <w:p w14:paraId="55C56CF7" w14:textId="7B81769C"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8" w:history="1">
            <w:r w:rsidR="00474477" w:rsidRPr="00E76B00">
              <w:rPr>
                <w:rStyle w:val="Hyperlink"/>
                <w:noProof/>
              </w:rPr>
              <w:t>1.4.2 Summary Statistics</w:t>
            </w:r>
            <w:r w:rsidR="00474477">
              <w:rPr>
                <w:noProof/>
                <w:webHidden/>
              </w:rPr>
              <w:tab/>
            </w:r>
            <w:r w:rsidR="00474477">
              <w:rPr>
                <w:noProof/>
                <w:webHidden/>
              </w:rPr>
              <w:fldChar w:fldCharType="begin"/>
            </w:r>
            <w:r w:rsidR="00474477">
              <w:rPr>
                <w:noProof/>
                <w:webHidden/>
              </w:rPr>
              <w:instrText xml:space="preserve"> PAGEREF _Toc90499958 \h </w:instrText>
            </w:r>
            <w:r w:rsidR="00474477">
              <w:rPr>
                <w:noProof/>
                <w:webHidden/>
              </w:rPr>
            </w:r>
            <w:r w:rsidR="00474477">
              <w:rPr>
                <w:noProof/>
                <w:webHidden/>
              </w:rPr>
              <w:fldChar w:fldCharType="separate"/>
            </w:r>
            <w:r w:rsidR="00474477">
              <w:rPr>
                <w:noProof/>
                <w:webHidden/>
              </w:rPr>
              <w:t>96</w:t>
            </w:r>
            <w:r w:rsidR="00474477">
              <w:rPr>
                <w:noProof/>
                <w:webHidden/>
              </w:rPr>
              <w:fldChar w:fldCharType="end"/>
            </w:r>
          </w:hyperlink>
        </w:p>
        <w:p w14:paraId="11F22DF4" w14:textId="7263298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59" w:history="1">
            <w:r w:rsidR="00474477" w:rsidRPr="00E76B00">
              <w:rPr>
                <w:rStyle w:val="Hyperlink"/>
                <w:noProof/>
              </w:rPr>
              <w:t>1.4.3 Normality</w:t>
            </w:r>
            <w:r w:rsidR="00474477">
              <w:rPr>
                <w:noProof/>
                <w:webHidden/>
              </w:rPr>
              <w:tab/>
            </w:r>
            <w:r w:rsidR="00474477">
              <w:rPr>
                <w:noProof/>
                <w:webHidden/>
              </w:rPr>
              <w:fldChar w:fldCharType="begin"/>
            </w:r>
            <w:r w:rsidR="00474477">
              <w:rPr>
                <w:noProof/>
                <w:webHidden/>
              </w:rPr>
              <w:instrText xml:space="preserve"> PAGEREF _Toc90499959 \h </w:instrText>
            </w:r>
            <w:r w:rsidR="00474477">
              <w:rPr>
                <w:noProof/>
                <w:webHidden/>
              </w:rPr>
            </w:r>
            <w:r w:rsidR="00474477">
              <w:rPr>
                <w:noProof/>
                <w:webHidden/>
              </w:rPr>
              <w:fldChar w:fldCharType="separate"/>
            </w:r>
            <w:r w:rsidR="00474477">
              <w:rPr>
                <w:noProof/>
                <w:webHidden/>
              </w:rPr>
              <w:t>97</w:t>
            </w:r>
            <w:r w:rsidR="00474477">
              <w:rPr>
                <w:noProof/>
                <w:webHidden/>
              </w:rPr>
              <w:fldChar w:fldCharType="end"/>
            </w:r>
          </w:hyperlink>
        </w:p>
        <w:p w14:paraId="12D9A48A" w14:textId="6F32EE3A"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60" w:history="1">
            <w:r w:rsidR="00474477" w:rsidRPr="00E76B00">
              <w:rPr>
                <w:rStyle w:val="Hyperlink"/>
                <w:noProof/>
              </w:rPr>
              <w:t>1.4.4 Stationarity test</w:t>
            </w:r>
            <w:r w:rsidR="00474477">
              <w:rPr>
                <w:noProof/>
                <w:webHidden/>
              </w:rPr>
              <w:tab/>
            </w:r>
            <w:r w:rsidR="00474477">
              <w:rPr>
                <w:noProof/>
                <w:webHidden/>
              </w:rPr>
              <w:fldChar w:fldCharType="begin"/>
            </w:r>
            <w:r w:rsidR="00474477">
              <w:rPr>
                <w:noProof/>
                <w:webHidden/>
              </w:rPr>
              <w:instrText xml:space="preserve"> PAGEREF _Toc90499960 \h </w:instrText>
            </w:r>
            <w:r w:rsidR="00474477">
              <w:rPr>
                <w:noProof/>
                <w:webHidden/>
              </w:rPr>
            </w:r>
            <w:r w:rsidR="00474477">
              <w:rPr>
                <w:noProof/>
                <w:webHidden/>
              </w:rPr>
              <w:fldChar w:fldCharType="separate"/>
            </w:r>
            <w:r w:rsidR="00474477">
              <w:rPr>
                <w:noProof/>
                <w:webHidden/>
              </w:rPr>
              <w:t>99</w:t>
            </w:r>
            <w:r w:rsidR="00474477">
              <w:rPr>
                <w:noProof/>
                <w:webHidden/>
              </w:rPr>
              <w:fldChar w:fldCharType="end"/>
            </w:r>
          </w:hyperlink>
        </w:p>
        <w:p w14:paraId="4289ECC4" w14:textId="5C12ECBF"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1" w:history="1">
            <w:r w:rsidR="00474477" w:rsidRPr="00E76B00">
              <w:rPr>
                <w:rStyle w:val="Hyperlink"/>
                <w:noProof/>
              </w:rPr>
              <w:t>1.4.4.1 Phillips-Perron test for unit root</w:t>
            </w:r>
            <w:r w:rsidR="00474477">
              <w:rPr>
                <w:noProof/>
                <w:webHidden/>
              </w:rPr>
              <w:tab/>
            </w:r>
            <w:r w:rsidR="00474477">
              <w:rPr>
                <w:noProof/>
                <w:webHidden/>
              </w:rPr>
              <w:fldChar w:fldCharType="begin"/>
            </w:r>
            <w:r w:rsidR="00474477">
              <w:rPr>
                <w:noProof/>
                <w:webHidden/>
              </w:rPr>
              <w:instrText xml:space="preserve"> PAGEREF _Toc90499961 \h </w:instrText>
            </w:r>
            <w:r w:rsidR="00474477">
              <w:rPr>
                <w:noProof/>
                <w:webHidden/>
              </w:rPr>
            </w:r>
            <w:r w:rsidR="00474477">
              <w:rPr>
                <w:noProof/>
                <w:webHidden/>
              </w:rPr>
              <w:fldChar w:fldCharType="separate"/>
            </w:r>
            <w:r w:rsidR="00474477">
              <w:rPr>
                <w:noProof/>
                <w:webHidden/>
              </w:rPr>
              <w:t>99</w:t>
            </w:r>
            <w:r w:rsidR="00474477">
              <w:rPr>
                <w:noProof/>
                <w:webHidden/>
              </w:rPr>
              <w:fldChar w:fldCharType="end"/>
            </w:r>
          </w:hyperlink>
        </w:p>
        <w:p w14:paraId="404D029B" w14:textId="2BFEA469"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2" w:history="1">
            <w:r w:rsidR="00474477" w:rsidRPr="00E76B00">
              <w:rPr>
                <w:rStyle w:val="Hyperlink"/>
                <w:noProof/>
                <w:lang w:val="en-US"/>
              </w:rPr>
              <w:t>1.4.4.2 Dickey-Fuller test for unit root</w:t>
            </w:r>
            <w:r w:rsidR="00474477">
              <w:rPr>
                <w:noProof/>
                <w:webHidden/>
              </w:rPr>
              <w:tab/>
            </w:r>
            <w:r w:rsidR="00474477">
              <w:rPr>
                <w:noProof/>
                <w:webHidden/>
              </w:rPr>
              <w:fldChar w:fldCharType="begin"/>
            </w:r>
            <w:r w:rsidR="00474477">
              <w:rPr>
                <w:noProof/>
                <w:webHidden/>
              </w:rPr>
              <w:instrText xml:space="preserve"> PAGEREF _Toc90499962 \h </w:instrText>
            </w:r>
            <w:r w:rsidR="00474477">
              <w:rPr>
                <w:noProof/>
                <w:webHidden/>
              </w:rPr>
            </w:r>
            <w:r w:rsidR="00474477">
              <w:rPr>
                <w:noProof/>
                <w:webHidden/>
              </w:rPr>
              <w:fldChar w:fldCharType="separate"/>
            </w:r>
            <w:r w:rsidR="00474477">
              <w:rPr>
                <w:noProof/>
                <w:webHidden/>
              </w:rPr>
              <w:t>99</w:t>
            </w:r>
            <w:r w:rsidR="00474477">
              <w:rPr>
                <w:noProof/>
                <w:webHidden/>
              </w:rPr>
              <w:fldChar w:fldCharType="end"/>
            </w:r>
          </w:hyperlink>
        </w:p>
        <w:p w14:paraId="6569C142" w14:textId="5B803DFC"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63" w:history="1">
            <w:r w:rsidR="00474477" w:rsidRPr="00E76B00">
              <w:rPr>
                <w:rStyle w:val="Hyperlink"/>
                <w:noProof/>
              </w:rPr>
              <w:t>1.4.5 Heteroscedasticity test</w:t>
            </w:r>
            <w:r w:rsidR="00474477">
              <w:rPr>
                <w:noProof/>
                <w:webHidden/>
              </w:rPr>
              <w:tab/>
            </w:r>
            <w:r w:rsidR="00474477">
              <w:rPr>
                <w:noProof/>
                <w:webHidden/>
              </w:rPr>
              <w:fldChar w:fldCharType="begin"/>
            </w:r>
            <w:r w:rsidR="00474477">
              <w:rPr>
                <w:noProof/>
                <w:webHidden/>
              </w:rPr>
              <w:instrText xml:space="preserve"> PAGEREF _Toc90499963 \h </w:instrText>
            </w:r>
            <w:r w:rsidR="00474477">
              <w:rPr>
                <w:noProof/>
                <w:webHidden/>
              </w:rPr>
            </w:r>
            <w:r w:rsidR="00474477">
              <w:rPr>
                <w:noProof/>
                <w:webHidden/>
              </w:rPr>
              <w:fldChar w:fldCharType="separate"/>
            </w:r>
            <w:r w:rsidR="00474477">
              <w:rPr>
                <w:noProof/>
                <w:webHidden/>
              </w:rPr>
              <w:t>101</w:t>
            </w:r>
            <w:r w:rsidR="00474477">
              <w:rPr>
                <w:noProof/>
                <w:webHidden/>
              </w:rPr>
              <w:fldChar w:fldCharType="end"/>
            </w:r>
          </w:hyperlink>
        </w:p>
        <w:p w14:paraId="2527EFB9" w14:textId="4B056D18"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4" w:history="1">
            <w:r w:rsidR="00474477" w:rsidRPr="00E76B00">
              <w:rPr>
                <w:rStyle w:val="Hyperlink"/>
                <w:noProof/>
                <w:lang w:val="en-US"/>
              </w:rPr>
              <w:t>1.4.5.1 Breusch-Pegan Chi-squared ARCH LM test</w:t>
            </w:r>
            <w:r w:rsidR="00474477">
              <w:rPr>
                <w:noProof/>
                <w:webHidden/>
              </w:rPr>
              <w:tab/>
            </w:r>
            <w:r w:rsidR="00474477">
              <w:rPr>
                <w:noProof/>
                <w:webHidden/>
              </w:rPr>
              <w:fldChar w:fldCharType="begin"/>
            </w:r>
            <w:r w:rsidR="00474477">
              <w:rPr>
                <w:noProof/>
                <w:webHidden/>
              </w:rPr>
              <w:instrText xml:space="preserve"> PAGEREF _Toc90499964 \h </w:instrText>
            </w:r>
            <w:r w:rsidR="00474477">
              <w:rPr>
                <w:noProof/>
                <w:webHidden/>
              </w:rPr>
            </w:r>
            <w:r w:rsidR="00474477">
              <w:rPr>
                <w:noProof/>
                <w:webHidden/>
              </w:rPr>
              <w:fldChar w:fldCharType="separate"/>
            </w:r>
            <w:r w:rsidR="00474477">
              <w:rPr>
                <w:noProof/>
                <w:webHidden/>
              </w:rPr>
              <w:t>102</w:t>
            </w:r>
            <w:r w:rsidR="00474477">
              <w:rPr>
                <w:noProof/>
                <w:webHidden/>
              </w:rPr>
              <w:fldChar w:fldCharType="end"/>
            </w:r>
          </w:hyperlink>
        </w:p>
        <w:p w14:paraId="08245185" w14:textId="756C3ECC"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5" w:history="1">
            <w:r w:rsidR="00474477" w:rsidRPr="00E76B00">
              <w:rPr>
                <w:rStyle w:val="Hyperlink"/>
                <w:noProof/>
              </w:rPr>
              <w:t>1.4.5.2 Serial Autocorrelation</w:t>
            </w:r>
            <w:r w:rsidR="00474477">
              <w:rPr>
                <w:noProof/>
                <w:webHidden/>
              </w:rPr>
              <w:tab/>
            </w:r>
            <w:r w:rsidR="00474477">
              <w:rPr>
                <w:noProof/>
                <w:webHidden/>
              </w:rPr>
              <w:fldChar w:fldCharType="begin"/>
            </w:r>
            <w:r w:rsidR="00474477">
              <w:rPr>
                <w:noProof/>
                <w:webHidden/>
              </w:rPr>
              <w:instrText xml:space="preserve"> PAGEREF _Toc90499965 \h </w:instrText>
            </w:r>
            <w:r w:rsidR="00474477">
              <w:rPr>
                <w:noProof/>
                <w:webHidden/>
              </w:rPr>
            </w:r>
            <w:r w:rsidR="00474477">
              <w:rPr>
                <w:noProof/>
                <w:webHidden/>
              </w:rPr>
              <w:fldChar w:fldCharType="separate"/>
            </w:r>
            <w:r w:rsidR="00474477">
              <w:rPr>
                <w:noProof/>
                <w:webHidden/>
              </w:rPr>
              <w:t>105</w:t>
            </w:r>
            <w:r w:rsidR="00474477">
              <w:rPr>
                <w:noProof/>
                <w:webHidden/>
              </w:rPr>
              <w:fldChar w:fldCharType="end"/>
            </w:r>
          </w:hyperlink>
        </w:p>
        <w:p w14:paraId="74580F77" w14:textId="26EEB031"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6" w:history="1">
            <w:r w:rsidR="00474477" w:rsidRPr="00E76B00">
              <w:rPr>
                <w:rStyle w:val="Hyperlink"/>
                <w:noProof/>
                <w:lang w:eastAsia="hu-HU"/>
              </w:rPr>
              <w:t>1.4.5.3 Partial Serial Autocorrelation</w:t>
            </w:r>
            <w:r w:rsidR="00474477">
              <w:rPr>
                <w:noProof/>
                <w:webHidden/>
              </w:rPr>
              <w:tab/>
            </w:r>
            <w:r w:rsidR="00474477">
              <w:rPr>
                <w:noProof/>
                <w:webHidden/>
              </w:rPr>
              <w:fldChar w:fldCharType="begin"/>
            </w:r>
            <w:r w:rsidR="00474477">
              <w:rPr>
                <w:noProof/>
                <w:webHidden/>
              </w:rPr>
              <w:instrText xml:space="preserve"> PAGEREF _Toc90499966 \h </w:instrText>
            </w:r>
            <w:r w:rsidR="00474477">
              <w:rPr>
                <w:noProof/>
                <w:webHidden/>
              </w:rPr>
            </w:r>
            <w:r w:rsidR="00474477">
              <w:rPr>
                <w:noProof/>
                <w:webHidden/>
              </w:rPr>
              <w:fldChar w:fldCharType="separate"/>
            </w:r>
            <w:r w:rsidR="00474477">
              <w:rPr>
                <w:noProof/>
                <w:webHidden/>
              </w:rPr>
              <w:t>105</w:t>
            </w:r>
            <w:r w:rsidR="00474477">
              <w:rPr>
                <w:noProof/>
                <w:webHidden/>
              </w:rPr>
              <w:fldChar w:fldCharType="end"/>
            </w:r>
          </w:hyperlink>
        </w:p>
        <w:p w14:paraId="71563240" w14:textId="24B03F79"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67" w:history="1">
            <w:r w:rsidR="00474477" w:rsidRPr="00E76B00">
              <w:rPr>
                <w:rStyle w:val="Hyperlink"/>
                <w:noProof/>
              </w:rPr>
              <w:t>1.4.6 Model selection for optimal conditional mean order</w:t>
            </w:r>
            <w:r w:rsidR="00474477">
              <w:rPr>
                <w:noProof/>
                <w:webHidden/>
              </w:rPr>
              <w:tab/>
            </w:r>
            <w:r w:rsidR="00474477">
              <w:rPr>
                <w:noProof/>
                <w:webHidden/>
              </w:rPr>
              <w:fldChar w:fldCharType="begin"/>
            </w:r>
            <w:r w:rsidR="00474477">
              <w:rPr>
                <w:noProof/>
                <w:webHidden/>
              </w:rPr>
              <w:instrText xml:space="preserve"> PAGEREF _Toc90499967 \h </w:instrText>
            </w:r>
            <w:r w:rsidR="00474477">
              <w:rPr>
                <w:noProof/>
                <w:webHidden/>
              </w:rPr>
            </w:r>
            <w:r w:rsidR="00474477">
              <w:rPr>
                <w:noProof/>
                <w:webHidden/>
              </w:rPr>
              <w:fldChar w:fldCharType="separate"/>
            </w:r>
            <w:r w:rsidR="00474477">
              <w:rPr>
                <w:noProof/>
                <w:webHidden/>
              </w:rPr>
              <w:t>106</w:t>
            </w:r>
            <w:r w:rsidR="00474477">
              <w:rPr>
                <w:noProof/>
                <w:webHidden/>
              </w:rPr>
              <w:fldChar w:fldCharType="end"/>
            </w:r>
          </w:hyperlink>
        </w:p>
        <w:p w14:paraId="12D2C25B" w14:textId="39984F0A"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8" w:history="1">
            <w:r w:rsidR="00474477" w:rsidRPr="00E76B00">
              <w:rPr>
                <w:rStyle w:val="Hyperlink"/>
                <w:noProof/>
              </w:rPr>
              <w:t xml:space="preserve">1.4.6.1 </w:t>
            </w:r>
            <w:r w:rsidR="00474477" w:rsidRPr="00E76B00">
              <w:rPr>
                <w:rStyle w:val="Hyperlink"/>
                <w:noProof/>
                <w:lang w:eastAsia="hu-HU"/>
              </w:rPr>
              <w:t>Autocorrelation after best ARMA</w:t>
            </w:r>
            <w:r w:rsidR="00474477">
              <w:rPr>
                <w:noProof/>
                <w:webHidden/>
              </w:rPr>
              <w:tab/>
            </w:r>
            <w:r w:rsidR="00474477">
              <w:rPr>
                <w:noProof/>
                <w:webHidden/>
              </w:rPr>
              <w:fldChar w:fldCharType="begin"/>
            </w:r>
            <w:r w:rsidR="00474477">
              <w:rPr>
                <w:noProof/>
                <w:webHidden/>
              </w:rPr>
              <w:instrText xml:space="preserve"> PAGEREF _Toc90499968 \h </w:instrText>
            </w:r>
            <w:r w:rsidR="00474477">
              <w:rPr>
                <w:noProof/>
                <w:webHidden/>
              </w:rPr>
            </w:r>
            <w:r w:rsidR="00474477">
              <w:rPr>
                <w:noProof/>
                <w:webHidden/>
              </w:rPr>
              <w:fldChar w:fldCharType="separate"/>
            </w:r>
            <w:r w:rsidR="00474477">
              <w:rPr>
                <w:noProof/>
                <w:webHidden/>
              </w:rPr>
              <w:t>106</w:t>
            </w:r>
            <w:r w:rsidR="00474477">
              <w:rPr>
                <w:noProof/>
                <w:webHidden/>
              </w:rPr>
              <w:fldChar w:fldCharType="end"/>
            </w:r>
          </w:hyperlink>
        </w:p>
        <w:p w14:paraId="3A76CF56" w14:textId="00599D6A"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69" w:history="1">
            <w:r w:rsidR="00474477" w:rsidRPr="00E76B00">
              <w:rPr>
                <w:rStyle w:val="Hyperlink"/>
                <w:noProof/>
                <w:lang w:eastAsia="hu-HU"/>
              </w:rPr>
              <w:t>1.4.6.2 Partial Autocorrelation after best ARMA</w:t>
            </w:r>
            <w:r w:rsidR="00474477">
              <w:rPr>
                <w:noProof/>
                <w:webHidden/>
              </w:rPr>
              <w:tab/>
            </w:r>
            <w:r w:rsidR="00474477">
              <w:rPr>
                <w:noProof/>
                <w:webHidden/>
              </w:rPr>
              <w:fldChar w:fldCharType="begin"/>
            </w:r>
            <w:r w:rsidR="00474477">
              <w:rPr>
                <w:noProof/>
                <w:webHidden/>
              </w:rPr>
              <w:instrText xml:space="preserve"> PAGEREF _Toc90499969 \h </w:instrText>
            </w:r>
            <w:r w:rsidR="00474477">
              <w:rPr>
                <w:noProof/>
                <w:webHidden/>
              </w:rPr>
            </w:r>
            <w:r w:rsidR="00474477">
              <w:rPr>
                <w:noProof/>
                <w:webHidden/>
              </w:rPr>
              <w:fldChar w:fldCharType="separate"/>
            </w:r>
            <w:r w:rsidR="00474477">
              <w:rPr>
                <w:noProof/>
                <w:webHidden/>
              </w:rPr>
              <w:t>107</w:t>
            </w:r>
            <w:r w:rsidR="00474477">
              <w:rPr>
                <w:noProof/>
                <w:webHidden/>
              </w:rPr>
              <w:fldChar w:fldCharType="end"/>
            </w:r>
          </w:hyperlink>
        </w:p>
        <w:p w14:paraId="7AFCEB82" w14:textId="295D7A6A"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70" w:history="1">
            <w:r w:rsidR="00474477" w:rsidRPr="00E76B00">
              <w:rPr>
                <w:rStyle w:val="Hyperlink"/>
                <w:noProof/>
              </w:rPr>
              <w:t>1.4.7 Analysis and Interpretation of Liquidity Transmission Findings</w:t>
            </w:r>
            <w:r w:rsidR="00474477">
              <w:rPr>
                <w:noProof/>
                <w:webHidden/>
              </w:rPr>
              <w:tab/>
            </w:r>
            <w:r w:rsidR="00474477">
              <w:rPr>
                <w:noProof/>
                <w:webHidden/>
              </w:rPr>
              <w:fldChar w:fldCharType="begin"/>
            </w:r>
            <w:r w:rsidR="00474477">
              <w:rPr>
                <w:noProof/>
                <w:webHidden/>
              </w:rPr>
              <w:instrText xml:space="preserve"> PAGEREF _Toc90499970 \h </w:instrText>
            </w:r>
            <w:r w:rsidR="00474477">
              <w:rPr>
                <w:noProof/>
                <w:webHidden/>
              </w:rPr>
            </w:r>
            <w:r w:rsidR="00474477">
              <w:rPr>
                <w:noProof/>
                <w:webHidden/>
              </w:rPr>
              <w:fldChar w:fldCharType="separate"/>
            </w:r>
            <w:r w:rsidR="00474477">
              <w:rPr>
                <w:noProof/>
                <w:webHidden/>
              </w:rPr>
              <w:t>107</w:t>
            </w:r>
            <w:r w:rsidR="00474477">
              <w:rPr>
                <w:noProof/>
                <w:webHidden/>
              </w:rPr>
              <w:fldChar w:fldCharType="end"/>
            </w:r>
          </w:hyperlink>
        </w:p>
        <w:p w14:paraId="53E3CF30" w14:textId="7D8C482B"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71" w:history="1">
            <w:r w:rsidR="00474477" w:rsidRPr="00E76B00">
              <w:rPr>
                <w:rStyle w:val="Hyperlink"/>
                <w:noProof/>
              </w:rPr>
              <w:t>1.4.7.1 Pre-crisis Period BEKK-GARCH</w:t>
            </w:r>
            <w:r w:rsidR="00474477">
              <w:rPr>
                <w:noProof/>
                <w:webHidden/>
              </w:rPr>
              <w:tab/>
            </w:r>
            <w:r w:rsidR="00474477">
              <w:rPr>
                <w:noProof/>
                <w:webHidden/>
              </w:rPr>
              <w:fldChar w:fldCharType="begin"/>
            </w:r>
            <w:r w:rsidR="00474477">
              <w:rPr>
                <w:noProof/>
                <w:webHidden/>
              </w:rPr>
              <w:instrText xml:space="preserve"> PAGEREF _Toc90499971 \h </w:instrText>
            </w:r>
            <w:r w:rsidR="00474477">
              <w:rPr>
                <w:noProof/>
                <w:webHidden/>
              </w:rPr>
            </w:r>
            <w:r w:rsidR="00474477">
              <w:rPr>
                <w:noProof/>
                <w:webHidden/>
              </w:rPr>
              <w:fldChar w:fldCharType="separate"/>
            </w:r>
            <w:r w:rsidR="00474477">
              <w:rPr>
                <w:noProof/>
                <w:webHidden/>
              </w:rPr>
              <w:t>112</w:t>
            </w:r>
            <w:r w:rsidR="00474477">
              <w:rPr>
                <w:noProof/>
                <w:webHidden/>
              </w:rPr>
              <w:fldChar w:fldCharType="end"/>
            </w:r>
          </w:hyperlink>
        </w:p>
        <w:p w14:paraId="6590531B" w14:textId="6FA44E40"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72" w:history="1">
            <w:r w:rsidR="00474477" w:rsidRPr="00E76B00">
              <w:rPr>
                <w:rStyle w:val="Hyperlink"/>
                <w:noProof/>
              </w:rPr>
              <w:t>1.4.7.2 During Crisis Period BEKK-GARCH</w:t>
            </w:r>
            <w:r w:rsidR="00474477">
              <w:rPr>
                <w:noProof/>
                <w:webHidden/>
              </w:rPr>
              <w:tab/>
            </w:r>
            <w:r w:rsidR="00474477">
              <w:rPr>
                <w:noProof/>
                <w:webHidden/>
              </w:rPr>
              <w:fldChar w:fldCharType="begin"/>
            </w:r>
            <w:r w:rsidR="00474477">
              <w:rPr>
                <w:noProof/>
                <w:webHidden/>
              </w:rPr>
              <w:instrText xml:space="preserve"> PAGEREF _Toc90499972 \h </w:instrText>
            </w:r>
            <w:r w:rsidR="00474477">
              <w:rPr>
                <w:noProof/>
                <w:webHidden/>
              </w:rPr>
            </w:r>
            <w:r w:rsidR="00474477">
              <w:rPr>
                <w:noProof/>
                <w:webHidden/>
              </w:rPr>
              <w:fldChar w:fldCharType="separate"/>
            </w:r>
            <w:r w:rsidR="00474477">
              <w:rPr>
                <w:noProof/>
                <w:webHidden/>
              </w:rPr>
              <w:t>113</w:t>
            </w:r>
            <w:r w:rsidR="00474477">
              <w:rPr>
                <w:noProof/>
                <w:webHidden/>
              </w:rPr>
              <w:fldChar w:fldCharType="end"/>
            </w:r>
          </w:hyperlink>
        </w:p>
        <w:p w14:paraId="6CD11783" w14:textId="29A81D14"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73" w:history="1">
            <w:r w:rsidR="00474477" w:rsidRPr="00E76B00">
              <w:rPr>
                <w:rStyle w:val="Hyperlink"/>
                <w:noProof/>
                <w:lang w:eastAsia="hu-HU"/>
              </w:rPr>
              <w:t xml:space="preserve">1.4.7.3 Post Crisis Period </w:t>
            </w:r>
            <w:r w:rsidR="00474477" w:rsidRPr="00E76B00">
              <w:rPr>
                <w:rStyle w:val="Hyperlink"/>
                <w:noProof/>
              </w:rPr>
              <w:t>BEKK-GARCH</w:t>
            </w:r>
            <w:r w:rsidR="00474477">
              <w:rPr>
                <w:noProof/>
                <w:webHidden/>
              </w:rPr>
              <w:tab/>
            </w:r>
            <w:r w:rsidR="00474477">
              <w:rPr>
                <w:noProof/>
                <w:webHidden/>
              </w:rPr>
              <w:fldChar w:fldCharType="begin"/>
            </w:r>
            <w:r w:rsidR="00474477">
              <w:rPr>
                <w:noProof/>
                <w:webHidden/>
              </w:rPr>
              <w:instrText xml:space="preserve"> PAGEREF _Toc90499973 \h </w:instrText>
            </w:r>
            <w:r w:rsidR="00474477">
              <w:rPr>
                <w:noProof/>
                <w:webHidden/>
              </w:rPr>
            </w:r>
            <w:r w:rsidR="00474477">
              <w:rPr>
                <w:noProof/>
                <w:webHidden/>
              </w:rPr>
              <w:fldChar w:fldCharType="separate"/>
            </w:r>
            <w:r w:rsidR="00474477">
              <w:rPr>
                <w:noProof/>
                <w:webHidden/>
              </w:rPr>
              <w:t>114</w:t>
            </w:r>
            <w:r w:rsidR="00474477">
              <w:rPr>
                <w:noProof/>
                <w:webHidden/>
              </w:rPr>
              <w:fldChar w:fldCharType="end"/>
            </w:r>
          </w:hyperlink>
        </w:p>
        <w:p w14:paraId="2C7FDB3A" w14:textId="3532501B"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74" w:history="1">
            <w:r w:rsidR="00474477" w:rsidRPr="00E76B00">
              <w:rPr>
                <w:rStyle w:val="Hyperlink"/>
                <w:noProof/>
              </w:rPr>
              <w:t>1.4.7.4 Liquidity Transmission Implied in bivariate BEKK model (pre, during and post crisis)</w:t>
            </w:r>
            <w:r w:rsidR="00474477">
              <w:rPr>
                <w:noProof/>
                <w:webHidden/>
              </w:rPr>
              <w:tab/>
            </w:r>
            <w:r w:rsidR="00474477">
              <w:rPr>
                <w:noProof/>
                <w:webHidden/>
              </w:rPr>
              <w:fldChar w:fldCharType="begin"/>
            </w:r>
            <w:r w:rsidR="00474477">
              <w:rPr>
                <w:noProof/>
                <w:webHidden/>
              </w:rPr>
              <w:instrText xml:space="preserve"> PAGEREF _Toc90499974 \h </w:instrText>
            </w:r>
            <w:r w:rsidR="00474477">
              <w:rPr>
                <w:noProof/>
                <w:webHidden/>
              </w:rPr>
            </w:r>
            <w:r w:rsidR="00474477">
              <w:rPr>
                <w:noProof/>
                <w:webHidden/>
              </w:rPr>
              <w:fldChar w:fldCharType="separate"/>
            </w:r>
            <w:r w:rsidR="00474477">
              <w:rPr>
                <w:noProof/>
                <w:webHidden/>
              </w:rPr>
              <w:t>115</w:t>
            </w:r>
            <w:r w:rsidR="00474477">
              <w:rPr>
                <w:noProof/>
                <w:webHidden/>
              </w:rPr>
              <w:fldChar w:fldCharType="end"/>
            </w:r>
          </w:hyperlink>
        </w:p>
        <w:p w14:paraId="400A036E" w14:textId="429A9486"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499975" w:history="1">
            <w:r w:rsidR="00474477" w:rsidRPr="00E76B00">
              <w:rPr>
                <w:rStyle w:val="Hyperlink"/>
                <w:noProof/>
              </w:rPr>
              <w:t>1.4.7.5 Graphic representation of   ARMA-GJR-DCC (1, 1)</w:t>
            </w:r>
            <w:r w:rsidR="00474477">
              <w:rPr>
                <w:noProof/>
                <w:webHidden/>
              </w:rPr>
              <w:tab/>
            </w:r>
            <w:r w:rsidR="00474477">
              <w:rPr>
                <w:noProof/>
                <w:webHidden/>
              </w:rPr>
              <w:fldChar w:fldCharType="begin"/>
            </w:r>
            <w:r w:rsidR="00474477">
              <w:rPr>
                <w:noProof/>
                <w:webHidden/>
              </w:rPr>
              <w:instrText xml:space="preserve"> PAGEREF _Toc90499975 \h </w:instrText>
            </w:r>
            <w:r w:rsidR="00474477">
              <w:rPr>
                <w:noProof/>
                <w:webHidden/>
              </w:rPr>
            </w:r>
            <w:r w:rsidR="00474477">
              <w:rPr>
                <w:noProof/>
                <w:webHidden/>
              </w:rPr>
              <w:fldChar w:fldCharType="separate"/>
            </w:r>
            <w:r w:rsidR="00474477">
              <w:rPr>
                <w:noProof/>
                <w:webHidden/>
              </w:rPr>
              <w:t>119</w:t>
            </w:r>
            <w:r w:rsidR="00474477">
              <w:rPr>
                <w:noProof/>
                <w:webHidden/>
              </w:rPr>
              <w:fldChar w:fldCharType="end"/>
            </w:r>
          </w:hyperlink>
        </w:p>
        <w:p w14:paraId="5B32781D" w14:textId="3DE89502"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76" w:history="1">
            <w:r w:rsidR="00474477" w:rsidRPr="00E76B00">
              <w:rPr>
                <w:rStyle w:val="Hyperlink"/>
                <w:noProof/>
                <w:lang w:val="en-US" w:eastAsia="hu-HU"/>
              </w:rPr>
              <w:t>1.5 Conclusions</w:t>
            </w:r>
            <w:r w:rsidR="00474477">
              <w:rPr>
                <w:noProof/>
                <w:webHidden/>
              </w:rPr>
              <w:tab/>
            </w:r>
            <w:r w:rsidR="00474477">
              <w:rPr>
                <w:noProof/>
                <w:webHidden/>
              </w:rPr>
              <w:fldChar w:fldCharType="begin"/>
            </w:r>
            <w:r w:rsidR="00474477">
              <w:rPr>
                <w:noProof/>
                <w:webHidden/>
              </w:rPr>
              <w:instrText xml:space="preserve"> PAGEREF _Toc90499976 \h </w:instrText>
            </w:r>
            <w:r w:rsidR="00474477">
              <w:rPr>
                <w:noProof/>
                <w:webHidden/>
              </w:rPr>
            </w:r>
            <w:r w:rsidR="00474477">
              <w:rPr>
                <w:noProof/>
                <w:webHidden/>
              </w:rPr>
              <w:fldChar w:fldCharType="separate"/>
            </w:r>
            <w:r w:rsidR="00474477">
              <w:rPr>
                <w:noProof/>
                <w:webHidden/>
              </w:rPr>
              <w:t>121</w:t>
            </w:r>
            <w:r w:rsidR="00474477">
              <w:rPr>
                <w:noProof/>
                <w:webHidden/>
              </w:rPr>
              <w:fldChar w:fldCharType="end"/>
            </w:r>
          </w:hyperlink>
        </w:p>
        <w:p w14:paraId="3A36D29E" w14:textId="7721406F"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77" w:history="1">
            <w:r w:rsidR="00474477" w:rsidRPr="00E76B00">
              <w:rPr>
                <w:rStyle w:val="Hyperlink"/>
                <w:noProof/>
              </w:rPr>
              <w:t>1.5.1 Contribution to knowledge</w:t>
            </w:r>
            <w:r w:rsidR="00474477">
              <w:rPr>
                <w:noProof/>
                <w:webHidden/>
              </w:rPr>
              <w:tab/>
            </w:r>
            <w:r w:rsidR="00474477">
              <w:rPr>
                <w:noProof/>
                <w:webHidden/>
              </w:rPr>
              <w:fldChar w:fldCharType="begin"/>
            </w:r>
            <w:r w:rsidR="00474477">
              <w:rPr>
                <w:noProof/>
                <w:webHidden/>
              </w:rPr>
              <w:instrText xml:space="preserve"> PAGEREF _Toc90499977 \h </w:instrText>
            </w:r>
            <w:r w:rsidR="00474477">
              <w:rPr>
                <w:noProof/>
                <w:webHidden/>
              </w:rPr>
            </w:r>
            <w:r w:rsidR="00474477">
              <w:rPr>
                <w:noProof/>
                <w:webHidden/>
              </w:rPr>
              <w:fldChar w:fldCharType="separate"/>
            </w:r>
            <w:r w:rsidR="00474477">
              <w:rPr>
                <w:noProof/>
                <w:webHidden/>
              </w:rPr>
              <w:t>124</w:t>
            </w:r>
            <w:r w:rsidR="00474477">
              <w:rPr>
                <w:noProof/>
                <w:webHidden/>
              </w:rPr>
              <w:fldChar w:fldCharType="end"/>
            </w:r>
          </w:hyperlink>
        </w:p>
        <w:p w14:paraId="643AC852" w14:textId="61A5AB06"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78" w:history="1">
            <w:r w:rsidR="00474477" w:rsidRPr="00E76B00">
              <w:rPr>
                <w:rStyle w:val="Hyperlink"/>
                <w:noProof/>
                <w:w w:val="105"/>
              </w:rPr>
              <w:t>References</w:t>
            </w:r>
            <w:r w:rsidR="00474477">
              <w:rPr>
                <w:noProof/>
                <w:webHidden/>
              </w:rPr>
              <w:tab/>
            </w:r>
            <w:r w:rsidR="00474477">
              <w:rPr>
                <w:noProof/>
                <w:webHidden/>
              </w:rPr>
              <w:fldChar w:fldCharType="begin"/>
            </w:r>
            <w:r w:rsidR="00474477">
              <w:rPr>
                <w:noProof/>
                <w:webHidden/>
              </w:rPr>
              <w:instrText xml:space="preserve"> PAGEREF _Toc90499978 \h </w:instrText>
            </w:r>
            <w:r w:rsidR="00474477">
              <w:rPr>
                <w:noProof/>
                <w:webHidden/>
              </w:rPr>
            </w:r>
            <w:r w:rsidR="00474477">
              <w:rPr>
                <w:noProof/>
                <w:webHidden/>
              </w:rPr>
              <w:fldChar w:fldCharType="separate"/>
            </w:r>
            <w:r w:rsidR="00474477">
              <w:rPr>
                <w:noProof/>
                <w:webHidden/>
              </w:rPr>
              <w:t>125</w:t>
            </w:r>
            <w:r w:rsidR="00474477">
              <w:rPr>
                <w:noProof/>
                <w:webHidden/>
              </w:rPr>
              <w:fldChar w:fldCharType="end"/>
            </w:r>
          </w:hyperlink>
        </w:p>
        <w:p w14:paraId="3E23D239" w14:textId="7281AE10"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79" w:history="1">
            <w:r w:rsidR="00474477" w:rsidRPr="00E76B00">
              <w:rPr>
                <w:rStyle w:val="Hyperlink"/>
                <w:noProof/>
              </w:rPr>
              <w:t>Part 2: Benford's laws tests on the volume of S&amp;P500 minutes data.</w:t>
            </w:r>
            <w:r w:rsidR="00474477">
              <w:rPr>
                <w:noProof/>
                <w:webHidden/>
              </w:rPr>
              <w:tab/>
            </w:r>
            <w:r w:rsidR="00474477">
              <w:rPr>
                <w:noProof/>
                <w:webHidden/>
              </w:rPr>
              <w:fldChar w:fldCharType="begin"/>
            </w:r>
            <w:r w:rsidR="00474477">
              <w:rPr>
                <w:noProof/>
                <w:webHidden/>
              </w:rPr>
              <w:instrText xml:space="preserve"> PAGEREF _Toc90499979 \h </w:instrText>
            </w:r>
            <w:r w:rsidR="00474477">
              <w:rPr>
                <w:noProof/>
                <w:webHidden/>
              </w:rPr>
            </w:r>
            <w:r w:rsidR="00474477">
              <w:rPr>
                <w:noProof/>
                <w:webHidden/>
              </w:rPr>
              <w:fldChar w:fldCharType="separate"/>
            </w:r>
            <w:r w:rsidR="00474477">
              <w:rPr>
                <w:noProof/>
                <w:webHidden/>
              </w:rPr>
              <w:t>138</w:t>
            </w:r>
            <w:r w:rsidR="00474477">
              <w:rPr>
                <w:noProof/>
                <w:webHidden/>
              </w:rPr>
              <w:fldChar w:fldCharType="end"/>
            </w:r>
          </w:hyperlink>
        </w:p>
        <w:p w14:paraId="7F44A5C7" w14:textId="44DAFD87"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0" w:history="1">
            <w:r w:rsidR="00474477" w:rsidRPr="00E76B00">
              <w:rPr>
                <w:rStyle w:val="Hyperlink"/>
                <w:noProof/>
              </w:rPr>
              <w:t>Abstract: Part 2</w:t>
            </w:r>
            <w:r w:rsidR="00474477">
              <w:rPr>
                <w:noProof/>
                <w:webHidden/>
              </w:rPr>
              <w:tab/>
            </w:r>
            <w:r w:rsidR="00474477">
              <w:rPr>
                <w:noProof/>
                <w:webHidden/>
              </w:rPr>
              <w:fldChar w:fldCharType="begin"/>
            </w:r>
            <w:r w:rsidR="00474477">
              <w:rPr>
                <w:noProof/>
                <w:webHidden/>
              </w:rPr>
              <w:instrText xml:space="preserve"> PAGEREF _Toc90499980 \h </w:instrText>
            </w:r>
            <w:r w:rsidR="00474477">
              <w:rPr>
                <w:noProof/>
                <w:webHidden/>
              </w:rPr>
            </w:r>
            <w:r w:rsidR="00474477">
              <w:rPr>
                <w:noProof/>
                <w:webHidden/>
              </w:rPr>
              <w:fldChar w:fldCharType="separate"/>
            </w:r>
            <w:r w:rsidR="00474477">
              <w:rPr>
                <w:noProof/>
                <w:webHidden/>
              </w:rPr>
              <w:t>138</w:t>
            </w:r>
            <w:r w:rsidR="00474477">
              <w:rPr>
                <w:noProof/>
                <w:webHidden/>
              </w:rPr>
              <w:fldChar w:fldCharType="end"/>
            </w:r>
          </w:hyperlink>
        </w:p>
        <w:p w14:paraId="0798B1AB" w14:textId="2C013581"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1" w:history="1">
            <w:r w:rsidR="00474477" w:rsidRPr="00E76B00">
              <w:rPr>
                <w:rStyle w:val="Hyperlink"/>
                <w:noProof/>
              </w:rPr>
              <w:t>2.1 Introduction</w:t>
            </w:r>
            <w:r w:rsidR="00474477">
              <w:rPr>
                <w:noProof/>
                <w:webHidden/>
              </w:rPr>
              <w:tab/>
            </w:r>
            <w:r w:rsidR="00474477">
              <w:rPr>
                <w:noProof/>
                <w:webHidden/>
              </w:rPr>
              <w:fldChar w:fldCharType="begin"/>
            </w:r>
            <w:r w:rsidR="00474477">
              <w:rPr>
                <w:noProof/>
                <w:webHidden/>
              </w:rPr>
              <w:instrText xml:space="preserve"> PAGEREF _Toc90499981 \h </w:instrText>
            </w:r>
            <w:r w:rsidR="00474477">
              <w:rPr>
                <w:noProof/>
                <w:webHidden/>
              </w:rPr>
            </w:r>
            <w:r w:rsidR="00474477">
              <w:rPr>
                <w:noProof/>
                <w:webHidden/>
              </w:rPr>
              <w:fldChar w:fldCharType="separate"/>
            </w:r>
            <w:r w:rsidR="00474477">
              <w:rPr>
                <w:noProof/>
                <w:webHidden/>
              </w:rPr>
              <w:t>139</w:t>
            </w:r>
            <w:r w:rsidR="00474477">
              <w:rPr>
                <w:noProof/>
                <w:webHidden/>
              </w:rPr>
              <w:fldChar w:fldCharType="end"/>
            </w:r>
          </w:hyperlink>
        </w:p>
        <w:p w14:paraId="07E48FAB" w14:textId="53D6CED4"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2" w:history="1">
            <w:r w:rsidR="00474477" w:rsidRPr="00E76B00">
              <w:rPr>
                <w:rStyle w:val="Hyperlink"/>
                <w:noProof/>
              </w:rPr>
              <w:t>2.2 Literature Review</w:t>
            </w:r>
            <w:r w:rsidR="00474477">
              <w:rPr>
                <w:noProof/>
                <w:webHidden/>
              </w:rPr>
              <w:tab/>
            </w:r>
            <w:r w:rsidR="00474477">
              <w:rPr>
                <w:noProof/>
                <w:webHidden/>
              </w:rPr>
              <w:fldChar w:fldCharType="begin"/>
            </w:r>
            <w:r w:rsidR="00474477">
              <w:rPr>
                <w:noProof/>
                <w:webHidden/>
              </w:rPr>
              <w:instrText xml:space="preserve"> PAGEREF _Toc90499982 \h </w:instrText>
            </w:r>
            <w:r w:rsidR="00474477">
              <w:rPr>
                <w:noProof/>
                <w:webHidden/>
              </w:rPr>
            </w:r>
            <w:r w:rsidR="00474477">
              <w:rPr>
                <w:noProof/>
                <w:webHidden/>
              </w:rPr>
              <w:fldChar w:fldCharType="separate"/>
            </w:r>
            <w:r w:rsidR="00474477">
              <w:rPr>
                <w:noProof/>
                <w:webHidden/>
              </w:rPr>
              <w:t>141</w:t>
            </w:r>
            <w:r w:rsidR="00474477">
              <w:rPr>
                <w:noProof/>
                <w:webHidden/>
              </w:rPr>
              <w:fldChar w:fldCharType="end"/>
            </w:r>
          </w:hyperlink>
        </w:p>
        <w:p w14:paraId="66683C7B" w14:textId="0E3D17F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83" w:history="1">
            <w:r w:rsidR="00474477" w:rsidRPr="00E76B00">
              <w:rPr>
                <w:rStyle w:val="Hyperlink"/>
                <w:noProof/>
              </w:rPr>
              <w:t>2.2.1 STATEMENT OF BENFORD’S LAW</w:t>
            </w:r>
            <w:r w:rsidR="00474477">
              <w:rPr>
                <w:noProof/>
                <w:webHidden/>
              </w:rPr>
              <w:tab/>
            </w:r>
            <w:r w:rsidR="00474477">
              <w:rPr>
                <w:noProof/>
                <w:webHidden/>
              </w:rPr>
              <w:fldChar w:fldCharType="begin"/>
            </w:r>
            <w:r w:rsidR="00474477">
              <w:rPr>
                <w:noProof/>
                <w:webHidden/>
              </w:rPr>
              <w:instrText xml:space="preserve"> PAGEREF _Toc90499983 \h </w:instrText>
            </w:r>
            <w:r w:rsidR="00474477">
              <w:rPr>
                <w:noProof/>
                <w:webHidden/>
              </w:rPr>
            </w:r>
            <w:r w:rsidR="00474477">
              <w:rPr>
                <w:noProof/>
                <w:webHidden/>
              </w:rPr>
              <w:fldChar w:fldCharType="separate"/>
            </w:r>
            <w:r w:rsidR="00474477">
              <w:rPr>
                <w:noProof/>
                <w:webHidden/>
              </w:rPr>
              <w:t>142</w:t>
            </w:r>
            <w:r w:rsidR="00474477">
              <w:rPr>
                <w:noProof/>
                <w:webHidden/>
              </w:rPr>
              <w:fldChar w:fldCharType="end"/>
            </w:r>
          </w:hyperlink>
        </w:p>
        <w:p w14:paraId="47E51EB6" w14:textId="5D3FC9AA"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4" w:history="1">
            <w:r w:rsidR="00474477" w:rsidRPr="00E76B00">
              <w:rPr>
                <w:rStyle w:val="Hyperlink"/>
                <w:rFonts w:eastAsia="Times New Roman"/>
                <w:noProof/>
                <w:lang w:eastAsia="en-GB"/>
              </w:rPr>
              <w:t>2.3 Methodology</w:t>
            </w:r>
            <w:r w:rsidR="00474477">
              <w:rPr>
                <w:noProof/>
                <w:webHidden/>
              </w:rPr>
              <w:tab/>
            </w:r>
            <w:r w:rsidR="00474477">
              <w:rPr>
                <w:noProof/>
                <w:webHidden/>
              </w:rPr>
              <w:fldChar w:fldCharType="begin"/>
            </w:r>
            <w:r w:rsidR="00474477">
              <w:rPr>
                <w:noProof/>
                <w:webHidden/>
              </w:rPr>
              <w:instrText xml:space="preserve"> PAGEREF _Toc90499984 \h </w:instrText>
            </w:r>
            <w:r w:rsidR="00474477">
              <w:rPr>
                <w:noProof/>
                <w:webHidden/>
              </w:rPr>
            </w:r>
            <w:r w:rsidR="00474477">
              <w:rPr>
                <w:noProof/>
                <w:webHidden/>
              </w:rPr>
              <w:fldChar w:fldCharType="separate"/>
            </w:r>
            <w:r w:rsidR="00474477">
              <w:rPr>
                <w:noProof/>
                <w:webHidden/>
              </w:rPr>
              <w:t>145</w:t>
            </w:r>
            <w:r w:rsidR="00474477">
              <w:rPr>
                <w:noProof/>
                <w:webHidden/>
              </w:rPr>
              <w:fldChar w:fldCharType="end"/>
            </w:r>
          </w:hyperlink>
        </w:p>
        <w:p w14:paraId="3BD818C4" w14:textId="01FE0DD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85" w:history="1">
            <w:r w:rsidR="00474477" w:rsidRPr="00E76B00">
              <w:rPr>
                <w:rStyle w:val="Hyperlink"/>
                <w:noProof/>
              </w:rPr>
              <w:t>2.3.1 State of the Art</w:t>
            </w:r>
            <w:r w:rsidR="00474477">
              <w:rPr>
                <w:noProof/>
                <w:webHidden/>
              </w:rPr>
              <w:tab/>
            </w:r>
            <w:r w:rsidR="00474477">
              <w:rPr>
                <w:noProof/>
                <w:webHidden/>
              </w:rPr>
              <w:fldChar w:fldCharType="begin"/>
            </w:r>
            <w:r w:rsidR="00474477">
              <w:rPr>
                <w:noProof/>
                <w:webHidden/>
              </w:rPr>
              <w:instrText xml:space="preserve"> PAGEREF _Toc90499985 \h </w:instrText>
            </w:r>
            <w:r w:rsidR="00474477">
              <w:rPr>
                <w:noProof/>
                <w:webHidden/>
              </w:rPr>
            </w:r>
            <w:r w:rsidR="00474477">
              <w:rPr>
                <w:noProof/>
                <w:webHidden/>
              </w:rPr>
              <w:fldChar w:fldCharType="separate"/>
            </w:r>
            <w:r w:rsidR="00474477">
              <w:rPr>
                <w:noProof/>
                <w:webHidden/>
              </w:rPr>
              <w:t>148</w:t>
            </w:r>
            <w:r w:rsidR="00474477">
              <w:rPr>
                <w:noProof/>
                <w:webHidden/>
              </w:rPr>
              <w:fldChar w:fldCharType="end"/>
            </w:r>
          </w:hyperlink>
        </w:p>
        <w:p w14:paraId="6C3AD936" w14:textId="09B4CE2B"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6" w:history="1">
            <w:r w:rsidR="00474477" w:rsidRPr="00E76B00">
              <w:rPr>
                <w:rStyle w:val="Hyperlink"/>
                <w:noProof/>
              </w:rPr>
              <w:t>2.4 Data and data analysis</w:t>
            </w:r>
            <w:r w:rsidR="00474477">
              <w:rPr>
                <w:noProof/>
                <w:webHidden/>
              </w:rPr>
              <w:tab/>
            </w:r>
            <w:r w:rsidR="00474477">
              <w:rPr>
                <w:noProof/>
                <w:webHidden/>
              </w:rPr>
              <w:fldChar w:fldCharType="begin"/>
            </w:r>
            <w:r w:rsidR="00474477">
              <w:rPr>
                <w:noProof/>
                <w:webHidden/>
              </w:rPr>
              <w:instrText xml:space="preserve"> PAGEREF _Toc90499986 \h </w:instrText>
            </w:r>
            <w:r w:rsidR="00474477">
              <w:rPr>
                <w:noProof/>
                <w:webHidden/>
              </w:rPr>
            </w:r>
            <w:r w:rsidR="00474477">
              <w:rPr>
                <w:noProof/>
                <w:webHidden/>
              </w:rPr>
              <w:fldChar w:fldCharType="separate"/>
            </w:r>
            <w:r w:rsidR="00474477">
              <w:rPr>
                <w:noProof/>
                <w:webHidden/>
              </w:rPr>
              <w:t>149</w:t>
            </w:r>
            <w:r w:rsidR="00474477">
              <w:rPr>
                <w:noProof/>
                <w:webHidden/>
              </w:rPr>
              <w:fldChar w:fldCharType="end"/>
            </w:r>
          </w:hyperlink>
        </w:p>
        <w:p w14:paraId="28ABEDCC" w14:textId="3E5F3520"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7" w:history="1">
            <w:r w:rsidR="00474477" w:rsidRPr="00E76B00">
              <w:rPr>
                <w:rStyle w:val="Hyperlink"/>
                <w:noProof/>
              </w:rPr>
              <w:t>2.5 Conclusions</w:t>
            </w:r>
            <w:r w:rsidR="00474477">
              <w:rPr>
                <w:noProof/>
                <w:webHidden/>
              </w:rPr>
              <w:tab/>
            </w:r>
            <w:r w:rsidR="00474477">
              <w:rPr>
                <w:noProof/>
                <w:webHidden/>
              </w:rPr>
              <w:fldChar w:fldCharType="begin"/>
            </w:r>
            <w:r w:rsidR="00474477">
              <w:rPr>
                <w:noProof/>
                <w:webHidden/>
              </w:rPr>
              <w:instrText xml:space="preserve"> PAGEREF _Toc90499987 \h </w:instrText>
            </w:r>
            <w:r w:rsidR="00474477">
              <w:rPr>
                <w:noProof/>
                <w:webHidden/>
              </w:rPr>
            </w:r>
            <w:r w:rsidR="00474477">
              <w:rPr>
                <w:noProof/>
                <w:webHidden/>
              </w:rPr>
              <w:fldChar w:fldCharType="separate"/>
            </w:r>
            <w:r w:rsidR="00474477">
              <w:rPr>
                <w:noProof/>
                <w:webHidden/>
              </w:rPr>
              <w:t>161</w:t>
            </w:r>
            <w:r w:rsidR="00474477">
              <w:rPr>
                <w:noProof/>
                <w:webHidden/>
              </w:rPr>
              <w:fldChar w:fldCharType="end"/>
            </w:r>
          </w:hyperlink>
        </w:p>
        <w:p w14:paraId="66CE6447" w14:textId="6AEA46A5"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88" w:history="1">
            <w:r w:rsidR="00474477" w:rsidRPr="00E76B00">
              <w:rPr>
                <w:rStyle w:val="Hyperlink"/>
                <w:noProof/>
              </w:rPr>
              <w:t>2.6 Contribution To knowledge</w:t>
            </w:r>
            <w:r w:rsidR="00474477">
              <w:rPr>
                <w:noProof/>
                <w:webHidden/>
              </w:rPr>
              <w:tab/>
            </w:r>
            <w:r w:rsidR="00474477">
              <w:rPr>
                <w:noProof/>
                <w:webHidden/>
              </w:rPr>
              <w:fldChar w:fldCharType="begin"/>
            </w:r>
            <w:r w:rsidR="00474477">
              <w:rPr>
                <w:noProof/>
                <w:webHidden/>
              </w:rPr>
              <w:instrText xml:space="preserve"> PAGEREF _Toc90499988 \h </w:instrText>
            </w:r>
            <w:r w:rsidR="00474477">
              <w:rPr>
                <w:noProof/>
                <w:webHidden/>
              </w:rPr>
            </w:r>
            <w:r w:rsidR="00474477">
              <w:rPr>
                <w:noProof/>
                <w:webHidden/>
              </w:rPr>
              <w:fldChar w:fldCharType="separate"/>
            </w:r>
            <w:r w:rsidR="00474477">
              <w:rPr>
                <w:noProof/>
                <w:webHidden/>
              </w:rPr>
              <w:t>164</w:t>
            </w:r>
            <w:r w:rsidR="00474477">
              <w:rPr>
                <w:noProof/>
                <w:webHidden/>
              </w:rPr>
              <w:fldChar w:fldCharType="end"/>
            </w:r>
          </w:hyperlink>
        </w:p>
        <w:p w14:paraId="16E9E857" w14:textId="5629372A"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89" w:history="1">
            <w:r w:rsidR="00474477" w:rsidRPr="00E76B00">
              <w:rPr>
                <w:rStyle w:val="Hyperlink"/>
                <w:noProof/>
                <w:lang w:val="es-AR"/>
              </w:rPr>
              <w:t>References</w:t>
            </w:r>
            <w:r w:rsidR="00474477">
              <w:rPr>
                <w:noProof/>
                <w:webHidden/>
              </w:rPr>
              <w:tab/>
            </w:r>
            <w:r w:rsidR="00474477">
              <w:rPr>
                <w:noProof/>
                <w:webHidden/>
              </w:rPr>
              <w:fldChar w:fldCharType="begin"/>
            </w:r>
            <w:r w:rsidR="00474477">
              <w:rPr>
                <w:noProof/>
                <w:webHidden/>
              </w:rPr>
              <w:instrText xml:space="preserve"> PAGEREF _Toc90499989 \h </w:instrText>
            </w:r>
            <w:r w:rsidR="00474477">
              <w:rPr>
                <w:noProof/>
                <w:webHidden/>
              </w:rPr>
            </w:r>
            <w:r w:rsidR="00474477">
              <w:rPr>
                <w:noProof/>
                <w:webHidden/>
              </w:rPr>
              <w:fldChar w:fldCharType="separate"/>
            </w:r>
            <w:r w:rsidR="00474477">
              <w:rPr>
                <w:noProof/>
                <w:webHidden/>
              </w:rPr>
              <w:t>166</w:t>
            </w:r>
            <w:r w:rsidR="00474477">
              <w:rPr>
                <w:noProof/>
                <w:webHidden/>
              </w:rPr>
              <w:fldChar w:fldCharType="end"/>
            </w:r>
          </w:hyperlink>
        </w:p>
        <w:p w14:paraId="2682FE57" w14:textId="6A3038DE"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90" w:history="1">
            <w:r w:rsidR="00474477" w:rsidRPr="00E76B00">
              <w:rPr>
                <w:rStyle w:val="Hyperlink"/>
                <w:noProof/>
              </w:rPr>
              <w:t>Part 3: Model and application: Irrational Fractional Brownian Motion GARCH</w:t>
            </w:r>
            <w:r w:rsidR="00474477">
              <w:rPr>
                <w:noProof/>
                <w:webHidden/>
              </w:rPr>
              <w:tab/>
            </w:r>
            <w:r w:rsidR="00474477">
              <w:rPr>
                <w:noProof/>
                <w:webHidden/>
              </w:rPr>
              <w:fldChar w:fldCharType="begin"/>
            </w:r>
            <w:r w:rsidR="00474477">
              <w:rPr>
                <w:noProof/>
                <w:webHidden/>
              </w:rPr>
              <w:instrText xml:space="preserve"> PAGEREF _Toc90499990 \h </w:instrText>
            </w:r>
            <w:r w:rsidR="00474477">
              <w:rPr>
                <w:noProof/>
                <w:webHidden/>
              </w:rPr>
            </w:r>
            <w:r w:rsidR="00474477">
              <w:rPr>
                <w:noProof/>
                <w:webHidden/>
              </w:rPr>
              <w:fldChar w:fldCharType="separate"/>
            </w:r>
            <w:r w:rsidR="00474477">
              <w:rPr>
                <w:noProof/>
                <w:webHidden/>
              </w:rPr>
              <w:t>169</w:t>
            </w:r>
            <w:r w:rsidR="00474477">
              <w:rPr>
                <w:noProof/>
                <w:webHidden/>
              </w:rPr>
              <w:fldChar w:fldCharType="end"/>
            </w:r>
          </w:hyperlink>
        </w:p>
        <w:p w14:paraId="0A6413F2" w14:textId="78C5CBE5"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91" w:history="1">
            <w:r w:rsidR="00474477" w:rsidRPr="00E76B00">
              <w:rPr>
                <w:rStyle w:val="Hyperlink"/>
                <w:rFonts w:eastAsia="Times New Roman"/>
                <w:noProof/>
              </w:rPr>
              <w:t>Abstract: part 3</w:t>
            </w:r>
            <w:r w:rsidR="00474477">
              <w:rPr>
                <w:noProof/>
                <w:webHidden/>
              </w:rPr>
              <w:tab/>
            </w:r>
            <w:r w:rsidR="00474477">
              <w:rPr>
                <w:noProof/>
                <w:webHidden/>
              </w:rPr>
              <w:fldChar w:fldCharType="begin"/>
            </w:r>
            <w:r w:rsidR="00474477">
              <w:rPr>
                <w:noProof/>
                <w:webHidden/>
              </w:rPr>
              <w:instrText xml:space="preserve"> PAGEREF _Toc90499991 \h </w:instrText>
            </w:r>
            <w:r w:rsidR="00474477">
              <w:rPr>
                <w:noProof/>
                <w:webHidden/>
              </w:rPr>
            </w:r>
            <w:r w:rsidR="00474477">
              <w:rPr>
                <w:noProof/>
                <w:webHidden/>
              </w:rPr>
              <w:fldChar w:fldCharType="separate"/>
            </w:r>
            <w:r w:rsidR="00474477">
              <w:rPr>
                <w:noProof/>
                <w:webHidden/>
              </w:rPr>
              <w:t>169</w:t>
            </w:r>
            <w:r w:rsidR="00474477">
              <w:rPr>
                <w:noProof/>
                <w:webHidden/>
              </w:rPr>
              <w:fldChar w:fldCharType="end"/>
            </w:r>
          </w:hyperlink>
        </w:p>
        <w:p w14:paraId="3C5DD134" w14:textId="0C2D8036"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92" w:history="1">
            <w:r w:rsidR="00474477" w:rsidRPr="00E76B00">
              <w:rPr>
                <w:rStyle w:val="Hyperlink"/>
                <w:noProof/>
              </w:rPr>
              <w:t>3.1 Introduction</w:t>
            </w:r>
            <w:r w:rsidR="00474477">
              <w:rPr>
                <w:noProof/>
                <w:webHidden/>
              </w:rPr>
              <w:tab/>
            </w:r>
            <w:r w:rsidR="00474477">
              <w:rPr>
                <w:noProof/>
                <w:webHidden/>
              </w:rPr>
              <w:fldChar w:fldCharType="begin"/>
            </w:r>
            <w:r w:rsidR="00474477">
              <w:rPr>
                <w:noProof/>
                <w:webHidden/>
              </w:rPr>
              <w:instrText xml:space="preserve"> PAGEREF _Toc90499992 \h </w:instrText>
            </w:r>
            <w:r w:rsidR="00474477">
              <w:rPr>
                <w:noProof/>
                <w:webHidden/>
              </w:rPr>
            </w:r>
            <w:r w:rsidR="00474477">
              <w:rPr>
                <w:noProof/>
                <w:webHidden/>
              </w:rPr>
              <w:fldChar w:fldCharType="separate"/>
            </w:r>
            <w:r w:rsidR="00474477">
              <w:rPr>
                <w:noProof/>
                <w:webHidden/>
              </w:rPr>
              <w:t>170</w:t>
            </w:r>
            <w:r w:rsidR="00474477">
              <w:rPr>
                <w:noProof/>
                <w:webHidden/>
              </w:rPr>
              <w:fldChar w:fldCharType="end"/>
            </w:r>
          </w:hyperlink>
        </w:p>
        <w:p w14:paraId="762F8AC2" w14:textId="1E8C772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3" w:history="1">
            <w:r w:rsidR="00474477" w:rsidRPr="00E76B00">
              <w:rPr>
                <w:rStyle w:val="Hyperlink"/>
                <w:noProof/>
              </w:rPr>
              <w:t>3.1.1 Background</w:t>
            </w:r>
            <w:r w:rsidR="00474477">
              <w:rPr>
                <w:noProof/>
                <w:webHidden/>
              </w:rPr>
              <w:tab/>
            </w:r>
            <w:r w:rsidR="00474477">
              <w:rPr>
                <w:noProof/>
                <w:webHidden/>
              </w:rPr>
              <w:fldChar w:fldCharType="begin"/>
            </w:r>
            <w:r w:rsidR="00474477">
              <w:rPr>
                <w:noProof/>
                <w:webHidden/>
              </w:rPr>
              <w:instrText xml:space="preserve"> PAGEREF _Toc90499993 \h </w:instrText>
            </w:r>
            <w:r w:rsidR="00474477">
              <w:rPr>
                <w:noProof/>
                <w:webHidden/>
              </w:rPr>
            </w:r>
            <w:r w:rsidR="00474477">
              <w:rPr>
                <w:noProof/>
                <w:webHidden/>
              </w:rPr>
              <w:fldChar w:fldCharType="separate"/>
            </w:r>
            <w:r w:rsidR="00474477">
              <w:rPr>
                <w:noProof/>
                <w:webHidden/>
              </w:rPr>
              <w:t>170</w:t>
            </w:r>
            <w:r w:rsidR="00474477">
              <w:rPr>
                <w:noProof/>
                <w:webHidden/>
              </w:rPr>
              <w:fldChar w:fldCharType="end"/>
            </w:r>
          </w:hyperlink>
        </w:p>
        <w:p w14:paraId="18EB30A3" w14:textId="02A689FB"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4" w:history="1">
            <w:r w:rsidR="00474477" w:rsidRPr="00E76B00">
              <w:rPr>
                <w:rStyle w:val="Hyperlink"/>
                <w:noProof/>
              </w:rPr>
              <w:t>3.1.2 Rational of study</w:t>
            </w:r>
            <w:r w:rsidR="00474477">
              <w:rPr>
                <w:noProof/>
                <w:webHidden/>
              </w:rPr>
              <w:tab/>
            </w:r>
            <w:r w:rsidR="00474477">
              <w:rPr>
                <w:noProof/>
                <w:webHidden/>
              </w:rPr>
              <w:fldChar w:fldCharType="begin"/>
            </w:r>
            <w:r w:rsidR="00474477">
              <w:rPr>
                <w:noProof/>
                <w:webHidden/>
              </w:rPr>
              <w:instrText xml:space="preserve"> PAGEREF _Toc90499994 \h </w:instrText>
            </w:r>
            <w:r w:rsidR="00474477">
              <w:rPr>
                <w:noProof/>
                <w:webHidden/>
              </w:rPr>
            </w:r>
            <w:r w:rsidR="00474477">
              <w:rPr>
                <w:noProof/>
                <w:webHidden/>
              </w:rPr>
              <w:fldChar w:fldCharType="separate"/>
            </w:r>
            <w:r w:rsidR="00474477">
              <w:rPr>
                <w:noProof/>
                <w:webHidden/>
              </w:rPr>
              <w:t>172</w:t>
            </w:r>
            <w:r w:rsidR="00474477">
              <w:rPr>
                <w:noProof/>
                <w:webHidden/>
              </w:rPr>
              <w:fldChar w:fldCharType="end"/>
            </w:r>
          </w:hyperlink>
        </w:p>
        <w:p w14:paraId="11B58FF2" w14:textId="59B36B2B"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499995" w:history="1">
            <w:r w:rsidR="00474477" w:rsidRPr="00E76B00">
              <w:rPr>
                <w:rStyle w:val="Hyperlink"/>
                <w:noProof/>
              </w:rPr>
              <w:t>3.2 Literature Review</w:t>
            </w:r>
            <w:r w:rsidR="00474477">
              <w:rPr>
                <w:noProof/>
                <w:webHidden/>
              </w:rPr>
              <w:tab/>
            </w:r>
            <w:r w:rsidR="00474477">
              <w:rPr>
                <w:noProof/>
                <w:webHidden/>
              </w:rPr>
              <w:fldChar w:fldCharType="begin"/>
            </w:r>
            <w:r w:rsidR="00474477">
              <w:rPr>
                <w:noProof/>
                <w:webHidden/>
              </w:rPr>
              <w:instrText xml:space="preserve"> PAGEREF _Toc90499995 \h </w:instrText>
            </w:r>
            <w:r w:rsidR="00474477">
              <w:rPr>
                <w:noProof/>
                <w:webHidden/>
              </w:rPr>
            </w:r>
            <w:r w:rsidR="00474477">
              <w:rPr>
                <w:noProof/>
                <w:webHidden/>
              </w:rPr>
              <w:fldChar w:fldCharType="separate"/>
            </w:r>
            <w:r w:rsidR="00474477">
              <w:rPr>
                <w:noProof/>
                <w:webHidden/>
              </w:rPr>
              <w:t>177</w:t>
            </w:r>
            <w:r w:rsidR="00474477">
              <w:rPr>
                <w:noProof/>
                <w:webHidden/>
              </w:rPr>
              <w:fldChar w:fldCharType="end"/>
            </w:r>
          </w:hyperlink>
        </w:p>
        <w:p w14:paraId="7D5FE943" w14:textId="6A961A1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6" w:history="1">
            <w:r w:rsidR="00474477" w:rsidRPr="00E76B00">
              <w:rPr>
                <w:rStyle w:val="Hyperlink"/>
                <w:noProof/>
              </w:rPr>
              <w:t>3.2.1 Bachelier’s Model:</w:t>
            </w:r>
            <w:r w:rsidR="00474477">
              <w:rPr>
                <w:noProof/>
                <w:webHidden/>
              </w:rPr>
              <w:tab/>
            </w:r>
            <w:r w:rsidR="00474477">
              <w:rPr>
                <w:noProof/>
                <w:webHidden/>
              </w:rPr>
              <w:fldChar w:fldCharType="begin"/>
            </w:r>
            <w:r w:rsidR="00474477">
              <w:rPr>
                <w:noProof/>
                <w:webHidden/>
              </w:rPr>
              <w:instrText xml:space="preserve"> PAGEREF _Toc90499996 \h </w:instrText>
            </w:r>
            <w:r w:rsidR="00474477">
              <w:rPr>
                <w:noProof/>
                <w:webHidden/>
              </w:rPr>
            </w:r>
            <w:r w:rsidR="00474477">
              <w:rPr>
                <w:noProof/>
                <w:webHidden/>
              </w:rPr>
              <w:fldChar w:fldCharType="separate"/>
            </w:r>
            <w:r w:rsidR="00474477">
              <w:rPr>
                <w:noProof/>
                <w:webHidden/>
              </w:rPr>
              <w:t>177</w:t>
            </w:r>
            <w:r w:rsidR="00474477">
              <w:rPr>
                <w:noProof/>
                <w:webHidden/>
              </w:rPr>
              <w:fldChar w:fldCharType="end"/>
            </w:r>
          </w:hyperlink>
        </w:p>
        <w:p w14:paraId="6384B1F0" w14:textId="4EE7A82B"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7" w:history="1">
            <w:r w:rsidR="00474477" w:rsidRPr="00E76B00">
              <w:rPr>
                <w:rStyle w:val="Hyperlink"/>
                <w:noProof/>
              </w:rPr>
              <w:t>3.2.2 Geometric Brownian Motion:</w:t>
            </w:r>
            <w:r w:rsidR="00474477">
              <w:rPr>
                <w:noProof/>
                <w:webHidden/>
              </w:rPr>
              <w:tab/>
            </w:r>
            <w:r w:rsidR="00474477">
              <w:rPr>
                <w:noProof/>
                <w:webHidden/>
              </w:rPr>
              <w:fldChar w:fldCharType="begin"/>
            </w:r>
            <w:r w:rsidR="00474477">
              <w:rPr>
                <w:noProof/>
                <w:webHidden/>
              </w:rPr>
              <w:instrText xml:space="preserve"> PAGEREF _Toc90499997 \h </w:instrText>
            </w:r>
            <w:r w:rsidR="00474477">
              <w:rPr>
                <w:noProof/>
                <w:webHidden/>
              </w:rPr>
            </w:r>
            <w:r w:rsidR="00474477">
              <w:rPr>
                <w:noProof/>
                <w:webHidden/>
              </w:rPr>
              <w:fldChar w:fldCharType="separate"/>
            </w:r>
            <w:r w:rsidR="00474477">
              <w:rPr>
                <w:noProof/>
                <w:webHidden/>
              </w:rPr>
              <w:t>178</w:t>
            </w:r>
            <w:r w:rsidR="00474477">
              <w:rPr>
                <w:noProof/>
                <w:webHidden/>
              </w:rPr>
              <w:fldChar w:fldCharType="end"/>
            </w:r>
          </w:hyperlink>
        </w:p>
        <w:p w14:paraId="74AB351A" w14:textId="47BC44EE"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8" w:history="1">
            <w:r w:rsidR="00474477" w:rsidRPr="00E76B00">
              <w:rPr>
                <w:rStyle w:val="Hyperlink"/>
                <w:noProof/>
              </w:rPr>
              <w:t>3.2.3 Variations of Brownian Motion:</w:t>
            </w:r>
            <w:r w:rsidR="00474477">
              <w:rPr>
                <w:noProof/>
                <w:webHidden/>
              </w:rPr>
              <w:tab/>
            </w:r>
            <w:r w:rsidR="00474477">
              <w:rPr>
                <w:noProof/>
                <w:webHidden/>
              </w:rPr>
              <w:fldChar w:fldCharType="begin"/>
            </w:r>
            <w:r w:rsidR="00474477">
              <w:rPr>
                <w:noProof/>
                <w:webHidden/>
              </w:rPr>
              <w:instrText xml:space="preserve"> PAGEREF _Toc90499998 \h </w:instrText>
            </w:r>
            <w:r w:rsidR="00474477">
              <w:rPr>
                <w:noProof/>
                <w:webHidden/>
              </w:rPr>
            </w:r>
            <w:r w:rsidR="00474477">
              <w:rPr>
                <w:noProof/>
                <w:webHidden/>
              </w:rPr>
              <w:fldChar w:fldCharType="separate"/>
            </w:r>
            <w:r w:rsidR="00474477">
              <w:rPr>
                <w:noProof/>
                <w:webHidden/>
              </w:rPr>
              <w:t>179</w:t>
            </w:r>
            <w:r w:rsidR="00474477">
              <w:rPr>
                <w:noProof/>
                <w:webHidden/>
              </w:rPr>
              <w:fldChar w:fldCharType="end"/>
            </w:r>
          </w:hyperlink>
        </w:p>
        <w:p w14:paraId="67211C61" w14:textId="49AC144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499999" w:history="1">
            <w:r w:rsidR="00474477" w:rsidRPr="00E76B00">
              <w:rPr>
                <w:rStyle w:val="Hyperlink"/>
                <w:noProof/>
              </w:rPr>
              <w:t>3.2.4 Standard Brownian Motion:</w:t>
            </w:r>
            <w:r w:rsidR="00474477">
              <w:rPr>
                <w:noProof/>
                <w:webHidden/>
              </w:rPr>
              <w:tab/>
            </w:r>
            <w:r w:rsidR="00474477">
              <w:rPr>
                <w:noProof/>
                <w:webHidden/>
              </w:rPr>
              <w:fldChar w:fldCharType="begin"/>
            </w:r>
            <w:r w:rsidR="00474477">
              <w:rPr>
                <w:noProof/>
                <w:webHidden/>
              </w:rPr>
              <w:instrText xml:space="preserve"> PAGEREF _Toc90499999 \h </w:instrText>
            </w:r>
            <w:r w:rsidR="00474477">
              <w:rPr>
                <w:noProof/>
                <w:webHidden/>
              </w:rPr>
            </w:r>
            <w:r w:rsidR="00474477">
              <w:rPr>
                <w:noProof/>
                <w:webHidden/>
              </w:rPr>
              <w:fldChar w:fldCharType="separate"/>
            </w:r>
            <w:r w:rsidR="00474477">
              <w:rPr>
                <w:noProof/>
                <w:webHidden/>
              </w:rPr>
              <w:t>182</w:t>
            </w:r>
            <w:r w:rsidR="00474477">
              <w:rPr>
                <w:noProof/>
                <w:webHidden/>
              </w:rPr>
              <w:fldChar w:fldCharType="end"/>
            </w:r>
          </w:hyperlink>
        </w:p>
        <w:p w14:paraId="7C4AB1D7" w14:textId="3AD918B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0" w:history="1">
            <w:r w:rsidR="00474477" w:rsidRPr="00E76B00">
              <w:rPr>
                <w:rStyle w:val="Hyperlink"/>
                <w:noProof/>
              </w:rPr>
              <w:t xml:space="preserve">3.2.5 Towards the </w:t>
            </w:r>
            <m:oMath>
              <m:r>
                <m:rPr>
                  <m:sty m:val="bi"/>
                </m:rPr>
                <w:rPr>
                  <w:rStyle w:val="Hyperlink"/>
                  <w:rFonts w:ascii="Cambria Math" w:hAnsi="Cambria Math"/>
                  <w:noProof/>
                </w:rPr>
                <m:t>f</m:t>
              </m:r>
              <m:r>
                <w:rPr>
                  <w:rStyle w:val="Hyperlink"/>
                  <w:rFonts w:ascii="Cambria Math" w:hAnsi="Cambria Math"/>
                  <w:noProof/>
                </w:rPr>
                <m:t>(</m:t>
              </m:r>
              <m:r>
                <m:rPr>
                  <m:sty m:val="bi"/>
                </m:rPr>
                <w:rPr>
                  <w:rStyle w:val="Hyperlink"/>
                  <w:rFonts w:ascii="Cambria Math" w:hAnsi="Cambria Math"/>
                  <w:noProof/>
                </w:rPr>
                <m:t>Z</m:t>
              </m:r>
              <m:r>
                <w:rPr>
                  <w:rStyle w:val="Hyperlink"/>
                  <w:rFonts w:ascii="Cambria Math" w:hAnsi="Cambria Math"/>
                  <w:noProof/>
                </w:rPr>
                <m:t>)</m:t>
              </m:r>
            </m:oMath>
            <w:r w:rsidR="00474477" w:rsidRPr="00E76B00">
              <w:rPr>
                <w:rStyle w:val="Hyperlink"/>
                <w:noProof/>
              </w:rPr>
              <w:t xml:space="preserve"> function:</w:t>
            </w:r>
            <w:r w:rsidR="00474477">
              <w:rPr>
                <w:noProof/>
                <w:webHidden/>
              </w:rPr>
              <w:tab/>
            </w:r>
            <w:r w:rsidR="00474477">
              <w:rPr>
                <w:noProof/>
                <w:webHidden/>
              </w:rPr>
              <w:fldChar w:fldCharType="begin"/>
            </w:r>
            <w:r w:rsidR="00474477">
              <w:rPr>
                <w:noProof/>
                <w:webHidden/>
              </w:rPr>
              <w:instrText xml:space="preserve"> PAGEREF _Toc90500000 \h </w:instrText>
            </w:r>
            <w:r w:rsidR="00474477">
              <w:rPr>
                <w:noProof/>
                <w:webHidden/>
              </w:rPr>
            </w:r>
            <w:r w:rsidR="00474477">
              <w:rPr>
                <w:noProof/>
                <w:webHidden/>
              </w:rPr>
              <w:fldChar w:fldCharType="separate"/>
            </w:r>
            <w:r w:rsidR="00474477">
              <w:rPr>
                <w:noProof/>
                <w:webHidden/>
              </w:rPr>
              <w:t>185</w:t>
            </w:r>
            <w:r w:rsidR="00474477">
              <w:rPr>
                <w:noProof/>
                <w:webHidden/>
              </w:rPr>
              <w:fldChar w:fldCharType="end"/>
            </w:r>
          </w:hyperlink>
        </w:p>
        <w:p w14:paraId="589587EE" w14:textId="26739BE4"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1" w:history="1">
            <w:r w:rsidR="00474477" w:rsidRPr="00E76B00">
              <w:rPr>
                <w:rStyle w:val="Hyperlink"/>
                <w:noProof/>
              </w:rPr>
              <w:t>3.2.6 The Modified Model:</w:t>
            </w:r>
            <w:r w:rsidR="00474477">
              <w:rPr>
                <w:noProof/>
                <w:webHidden/>
              </w:rPr>
              <w:tab/>
            </w:r>
            <w:r w:rsidR="00474477">
              <w:rPr>
                <w:noProof/>
                <w:webHidden/>
              </w:rPr>
              <w:fldChar w:fldCharType="begin"/>
            </w:r>
            <w:r w:rsidR="00474477">
              <w:rPr>
                <w:noProof/>
                <w:webHidden/>
              </w:rPr>
              <w:instrText xml:space="preserve"> PAGEREF _Toc90500001 \h </w:instrText>
            </w:r>
            <w:r w:rsidR="00474477">
              <w:rPr>
                <w:noProof/>
                <w:webHidden/>
              </w:rPr>
            </w:r>
            <w:r w:rsidR="00474477">
              <w:rPr>
                <w:noProof/>
                <w:webHidden/>
              </w:rPr>
              <w:fldChar w:fldCharType="separate"/>
            </w:r>
            <w:r w:rsidR="00474477">
              <w:rPr>
                <w:noProof/>
                <w:webHidden/>
              </w:rPr>
              <w:t>186</w:t>
            </w:r>
            <w:r w:rsidR="00474477">
              <w:rPr>
                <w:noProof/>
                <w:webHidden/>
              </w:rPr>
              <w:fldChar w:fldCharType="end"/>
            </w:r>
          </w:hyperlink>
        </w:p>
        <w:p w14:paraId="7B8C94FE" w14:textId="7C8BFF21"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2" w:history="1">
            <w:r w:rsidR="00474477" w:rsidRPr="00E76B00">
              <w:rPr>
                <w:rStyle w:val="Hyperlink"/>
                <w:noProof/>
              </w:rPr>
              <w:t>3.2.7 Irrational Fractional Brownian Motion model</w:t>
            </w:r>
            <w:r w:rsidR="00474477">
              <w:rPr>
                <w:noProof/>
                <w:webHidden/>
              </w:rPr>
              <w:tab/>
            </w:r>
            <w:r w:rsidR="00474477">
              <w:rPr>
                <w:noProof/>
                <w:webHidden/>
              </w:rPr>
              <w:fldChar w:fldCharType="begin"/>
            </w:r>
            <w:r w:rsidR="00474477">
              <w:rPr>
                <w:noProof/>
                <w:webHidden/>
              </w:rPr>
              <w:instrText xml:space="preserve"> PAGEREF _Toc90500002 \h </w:instrText>
            </w:r>
            <w:r w:rsidR="00474477">
              <w:rPr>
                <w:noProof/>
                <w:webHidden/>
              </w:rPr>
            </w:r>
            <w:r w:rsidR="00474477">
              <w:rPr>
                <w:noProof/>
                <w:webHidden/>
              </w:rPr>
              <w:fldChar w:fldCharType="separate"/>
            </w:r>
            <w:r w:rsidR="00474477">
              <w:rPr>
                <w:noProof/>
                <w:webHidden/>
              </w:rPr>
              <w:t>186</w:t>
            </w:r>
            <w:r w:rsidR="00474477">
              <w:rPr>
                <w:noProof/>
                <w:webHidden/>
              </w:rPr>
              <w:fldChar w:fldCharType="end"/>
            </w:r>
          </w:hyperlink>
        </w:p>
        <w:p w14:paraId="5B3CC4D0" w14:textId="5C747A9E"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03" w:history="1">
            <w:r w:rsidR="00474477" w:rsidRPr="00E76B00">
              <w:rPr>
                <w:rStyle w:val="Hyperlink"/>
                <w:noProof/>
              </w:rPr>
              <w:t>3.3 Methodology</w:t>
            </w:r>
            <w:r w:rsidR="00474477">
              <w:rPr>
                <w:noProof/>
                <w:webHidden/>
              </w:rPr>
              <w:tab/>
            </w:r>
            <w:r w:rsidR="00474477">
              <w:rPr>
                <w:noProof/>
                <w:webHidden/>
              </w:rPr>
              <w:fldChar w:fldCharType="begin"/>
            </w:r>
            <w:r w:rsidR="00474477">
              <w:rPr>
                <w:noProof/>
                <w:webHidden/>
              </w:rPr>
              <w:instrText xml:space="preserve"> PAGEREF _Toc90500003 \h </w:instrText>
            </w:r>
            <w:r w:rsidR="00474477">
              <w:rPr>
                <w:noProof/>
                <w:webHidden/>
              </w:rPr>
            </w:r>
            <w:r w:rsidR="00474477">
              <w:rPr>
                <w:noProof/>
                <w:webHidden/>
              </w:rPr>
              <w:fldChar w:fldCharType="separate"/>
            </w:r>
            <w:r w:rsidR="00474477">
              <w:rPr>
                <w:noProof/>
                <w:webHidden/>
              </w:rPr>
              <w:t>188</w:t>
            </w:r>
            <w:r w:rsidR="00474477">
              <w:rPr>
                <w:noProof/>
                <w:webHidden/>
              </w:rPr>
              <w:fldChar w:fldCharType="end"/>
            </w:r>
          </w:hyperlink>
        </w:p>
        <w:p w14:paraId="4557592C" w14:textId="12537195"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4" w:history="1">
            <w:r w:rsidR="00474477" w:rsidRPr="00E76B00">
              <w:rPr>
                <w:rStyle w:val="Hyperlink"/>
                <w:noProof/>
              </w:rPr>
              <w:t>3.3.1 GARCH (p, q)</w:t>
            </w:r>
            <w:r w:rsidR="00474477">
              <w:rPr>
                <w:noProof/>
                <w:webHidden/>
              </w:rPr>
              <w:tab/>
            </w:r>
            <w:r w:rsidR="00474477">
              <w:rPr>
                <w:noProof/>
                <w:webHidden/>
              </w:rPr>
              <w:fldChar w:fldCharType="begin"/>
            </w:r>
            <w:r w:rsidR="00474477">
              <w:rPr>
                <w:noProof/>
                <w:webHidden/>
              </w:rPr>
              <w:instrText xml:space="preserve"> PAGEREF _Toc90500004 \h </w:instrText>
            </w:r>
            <w:r w:rsidR="00474477">
              <w:rPr>
                <w:noProof/>
                <w:webHidden/>
              </w:rPr>
            </w:r>
            <w:r w:rsidR="00474477">
              <w:rPr>
                <w:noProof/>
                <w:webHidden/>
              </w:rPr>
              <w:fldChar w:fldCharType="separate"/>
            </w:r>
            <w:r w:rsidR="00474477">
              <w:rPr>
                <w:noProof/>
                <w:webHidden/>
              </w:rPr>
              <w:t>188</w:t>
            </w:r>
            <w:r w:rsidR="00474477">
              <w:rPr>
                <w:noProof/>
                <w:webHidden/>
              </w:rPr>
              <w:fldChar w:fldCharType="end"/>
            </w:r>
          </w:hyperlink>
        </w:p>
        <w:p w14:paraId="4304BF41" w14:textId="467D14D4"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5" w:history="1">
            <w:r w:rsidR="00474477" w:rsidRPr="00E76B00">
              <w:rPr>
                <w:rStyle w:val="Hyperlink"/>
                <w:noProof/>
              </w:rPr>
              <w:t>3.3.2 Development of IFBM GARCH Process:</w:t>
            </w:r>
            <w:r w:rsidR="00474477">
              <w:rPr>
                <w:noProof/>
                <w:webHidden/>
              </w:rPr>
              <w:tab/>
            </w:r>
            <w:r w:rsidR="00474477">
              <w:rPr>
                <w:noProof/>
                <w:webHidden/>
              </w:rPr>
              <w:fldChar w:fldCharType="begin"/>
            </w:r>
            <w:r w:rsidR="00474477">
              <w:rPr>
                <w:noProof/>
                <w:webHidden/>
              </w:rPr>
              <w:instrText xml:space="preserve"> PAGEREF _Toc90500005 \h </w:instrText>
            </w:r>
            <w:r w:rsidR="00474477">
              <w:rPr>
                <w:noProof/>
                <w:webHidden/>
              </w:rPr>
            </w:r>
            <w:r w:rsidR="00474477">
              <w:rPr>
                <w:noProof/>
                <w:webHidden/>
              </w:rPr>
              <w:fldChar w:fldCharType="separate"/>
            </w:r>
            <w:r w:rsidR="00474477">
              <w:rPr>
                <w:noProof/>
                <w:webHidden/>
              </w:rPr>
              <w:t>189</w:t>
            </w:r>
            <w:r w:rsidR="00474477">
              <w:rPr>
                <w:noProof/>
                <w:webHidden/>
              </w:rPr>
              <w:fldChar w:fldCharType="end"/>
            </w:r>
          </w:hyperlink>
        </w:p>
        <w:p w14:paraId="282A0B63" w14:textId="064E6B6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6" w:history="1">
            <w:r w:rsidR="00474477" w:rsidRPr="00E76B00">
              <w:rPr>
                <w:rStyle w:val="Hyperlink"/>
                <w:noProof/>
              </w:rPr>
              <w:t>3.3.3 IFBM GARCH process:</w:t>
            </w:r>
            <w:r w:rsidR="00474477">
              <w:rPr>
                <w:noProof/>
                <w:webHidden/>
              </w:rPr>
              <w:tab/>
            </w:r>
            <w:r w:rsidR="00474477">
              <w:rPr>
                <w:noProof/>
                <w:webHidden/>
              </w:rPr>
              <w:fldChar w:fldCharType="begin"/>
            </w:r>
            <w:r w:rsidR="00474477">
              <w:rPr>
                <w:noProof/>
                <w:webHidden/>
              </w:rPr>
              <w:instrText xml:space="preserve"> PAGEREF _Toc90500006 \h </w:instrText>
            </w:r>
            <w:r w:rsidR="00474477">
              <w:rPr>
                <w:noProof/>
                <w:webHidden/>
              </w:rPr>
            </w:r>
            <w:r w:rsidR="00474477">
              <w:rPr>
                <w:noProof/>
                <w:webHidden/>
              </w:rPr>
              <w:fldChar w:fldCharType="separate"/>
            </w:r>
            <w:r w:rsidR="00474477">
              <w:rPr>
                <w:noProof/>
                <w:webHidden/>
              </w:rPr>
              <w:t>190</w:t>
            </w:r>
            <w:r w:rsidR="00474477">
              <w:rPr>
                <w:noProof/>
                <w:webHidden/>
              </w:rPr>
              <w:fldChar w:fldCharType="end"/>
            </w:r>
          </w:hyperlink>
        </w:p>
        <w:p w14:paraId="7003A895" w14:textId="2F6AA8A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7" w:history="1">
            <w:r w:rsidR="00474477" w:rsidRPr="00E76B00">
              <w:rPr>
                <w:rStyle w:val="Hyperlink"/>
                <w:noProof/>
              </w:rPr>
              <w:t>3.3.4 Exponential GARCH (EGARCH (p, q))</w:t>
            </w:r>
            <w:r w:rsidR="00474477">
              <w:rPr>
                <w:noProof/>
                <w:webHidden/>
              </w:rPr>
              <w:tab/>
            </w:r>
            <w:r w:rsidR="00474477">
              <w:rPr>
                <w:noProof/>
                <w:webHidden/>
              </w:rPr>
              <w:fldChar w:fldCharType="begin"/>
            </w:r>
            <w:r w:rsidR="00474477">
              <w:rPr>
                <w:noProof/>
                <w:webHidden/>
              </w:rPr>
              <w:instrText xml:space="preserve"> PAGEREF _Toc90500007 \h </w:instrText>
            </w:r>
            <w:r w:rsidR="00474477">
              <w:rPr>
                <w:noProof/>
                <w:webHidden/>
              </w:rPr>
            </w:r>
            <w:r w:rsidR="00474477">
              <w:rPr>
                <w:noProof/>
                <w:webHidden/>
              </w:rPr>
              <w:fldChar w:fldCharType="separate"/>
            </w:r>
            <w:r w:rsidR="00474477">
              <w:rPr>
                <w:noProof/>
                <w:webHidden/>
              </w:rPr>
              <w:t>191</w:t>
            </w:r>
            <w:r w:rsidR="00474477">
              <w:rPr>
                <w:noProof/>
                <w:webHidden/>
              </w:rPr>
              <w:fldChar w:fldCharType="end"/>
            </w:r>
          </w:hyperlink>
        </w:p>
        <w:p w14:paraId="5767513E" w14:textId="20A528CC"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8" w:history="1">
            <w:r w:rsidR="00474477" w:rsidRPr="00E76B00">
              <w:rPr>
                <w:rStyle w:val="Hyperlink"/>
                <w:noProof/>
              </w:rPr>
              <w:t>3.3.5 Asymmetric GARCH model or A-GARCH</w:t>
            </w:r>
            <w:r w:rsidR="00474477">
              <w:rPr>
                <w:noProof/>
                <w:webHidden/>
              </w:rPr>
              <w:tab/>
            </w:r>
            <w:r w:rsidR="00474477">
              <w:rPr>
                <w:noProof/>
                <w:webHidden/>
              </w:rPr>
              <w:fldChar w:fldCharType="begin"/>
            </w:r>
            <w:r w:rsidR="00474477">
              <w:rPr>
                <w:noProof/>
                <w:webHidden/>
              </w:rPr>
              <w:instrText xml:space="preserve"> PAGEREF _Toc90500008 \h </w:instrText>
            </w:r>
            <w:r w:rsidR="00474477">
              <w:rPr>
                <w:noProof/>
                <w:webHidden/>
              </w:rPr>
            </w:r>
            <w:r w:rsidR="00474477">
              <w:rPr>
                <w:noProof/>
                <w:webHidden/>
              </w:rPr>
              <w:fldChar w:fldCharType="separate"/>
            </w:r>
            <w:r w:rsidR="00474477">
              <w:rPr>
                <w:noProof/>
                <w:webHidden/>
              </w:rPr>
              <w:t>192</w:t>
            </w:r>
            <w:r w:rsidR="00474477">
              <w:rPr>
                <w:noProof/>
                <w:webHidden/>
              </w:rPr>
              <w:fldChar w:fldCharType="end"/>
            </w:r>
          </w:hyperlink>
        </w:p>
        <w:p w14:paraId="31A48DC4" w14:textId="16FE920C"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09" w:history="1">
            <w:r w:rsidR="00474477" w:rsidRPr="00E76B00">
              <w:rPr>
                <w:rStyle w:val="Hyperlink"/>
                <w:noProof/>
              </w:rPr>
              <w:t>3.3.6 A-GARCH Volatility forecasts</w:t>
            </w:r>
            <w:r w:rsidR="00474477">
              <w:rPr>
                <w:noProof/>
                <w:webHidden/>
              </w:rPr>
              <w:tab/>
            </w:r>
            <w:r w:rsidR="00474477">
              <w:rPr>
                <w:noProof/>
                <w:webHidden/>
              </w:rPr>
              <w:fldChar w:fldCharType="begin"/>
            </w:r>
            <w:r w:rsidR="00474477">
              <w:rPr>
                <w:noProof/>
                <w:webHidden/>
              </w:rPr>
              <w:instrText xml:space="preserve"> PAGEREF _Toc90500009 \h </w:instrText>
            </w:r>
            <w:r w:rsidR="00474477">
              <w:rPr>
                <w:noProof/>
                <w:webHidden/>
              </w:rPr>
            </w:r>
            <w:r w:rsidR="00474477">
              <w:rPr>
                <w:noProof/>
                <w:webHidden/>
              </w:rPr>
              <w:fldChar w:fldCharType="separate"/>
            </w:r>
            <w:r w:rsidR="00474477">
              <w:rPr>
                <w:noProof/>
                <w:webHidden/>
              </w:rPr>
              <w:t>193</w:t>
            </w:r>
            <w:r w:rsidR="00474477">
              <w:rPr>
                <w:noProof/>
                <w:webHidden/>
              </w:rPr>
              <w:fldChar w:fldCharType="end"/>
            </w:r>
          </w:hyperlink>
        </w:p>
        <w:p w14:paraId="10DF74AB" w14:textId="2514009D"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10" w:history="1">
            <w:r w:rsidR="00474477" w:rsidRPr="00E76B00">
              <w:rPr>
                <w:rStyle w:val="Hyperlink"/>
                <w:noProof/>
              </w:rPr>
              <w:t>3.3.7 GJR- GARCH:</w:t>
            </w:r>
            <w:r w:rsidR="00474477">
              <w:rPr>
                <w:noProof/>
                <w:webHidden/>
              </w:rPr>
              <w:tab/>
            </w:r>
            <w:r w:rsidR="00474477">
              <w:rPr>
                <w:noProof/>
                <w:webHidden/>
              </w:rPr>
              <w:fldChar w:fldCharType="begin"/>
            </w:r>
            <w:r w:rsidR="00474477">
              <w:rPr>
                <w:noProof/>
                <w:webHidden/>
              </w:rPr>
              <w:instrText xml:space="preserve"> PAGEREF _Toc90500010 \h </w:instrText>
            </w:r>
            <w:r w:rsidR="00474477">
              <w:rPr>
                <w:noProof/>
                <w:webHidden/>
              </w:rPr>
            </w:r>
            <w:r w:rsidR="00474477">
              <w:rPr>
                <w:noProof/>
                <w:webHidden/>
              </w:rPr>
              <w:fldChar w:fldCharType="separate"/>
            </w:r>
            <w:r w:rsidR="00474477">
              <w:rPr>
                <w:noProof/>
                <w:webHidden/>
              </w:rPr>
              <w:t>194</w:t>
            </w:r>
            <w:r w:rsidR="00474477">
              <w:rPr>
                <w:noProof/>
                <w:webHidden/>
              </w:rPr>
              <w:fldChar w:fldCharType="end"/>
            </w:r>
          </w:hyperlink>
        </w:p>
        <w:p w14:paraId="678B7D24" w14:textId="75A2502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11" w:history="1">
            <w:r w:rsidR="00474477" w:rsidRPr="00E76B00">
              <w:rPr>
                <w:rStyle w:val="Hyperlink"/>
                <w:noProof/>
              </w:rPr>
              <w:t>3.3.8 Model Selection</w:t>
            </w:r>
            <w:r w:rsidR="00474477">
              <w:rPr>
                <w:noProof/>
                <w:webHidden/>
              </w:rPr>
              <w:tab/>
            </w:r>
            <w:r w:rsidR="00474477">
              <w:rPr>
                <w:noProof/>
                <w:webHidden/>
              </w:rPr>
              <w:fldChar w:fldCharType="begin"/>
            </w:r>
            <w:r w:rsidR="00474477">
              <w:rPr>
                <w:noProof/>
                <w:webHidden/>
              </w:rPr>
              <w:instrText xml:space="preserve"> PAGEREF _Toc90500011 \h </w:instrText>
            </w:r>
            <w:r w:rsidR="00474477">
              <w:rPr>
                <w:noProof/>
                <w:webHidden/>
              </w:rPr>
            </w:r>
            <w:r w:rsidR="00474477">
              <w:rPr>
                <w:noProof/>
                <w:webHidden/>
              </w:rPr>
              <w:fldChar w:fldCharType="separate"/>
            </w:r>
            <w:r w:rsidR="00474477">
              <w:rPr>
                <w:noProof/>
                <w:webHidden/>
              </w:rPr>
              <w:t>197</w:t>
            </w:r>
            <w:r w:rsidR="00474477">
              <w:rPr>
                <w:noProof/>
                <w:webHidden/>
              </w:rPr>
              <w:fldChar w:fldCharType="end"/>
            </w:r>
          </w:hyperlink>
        </w:p>
        <w:p w14:paraId="6D4CB0AE" w14:textId="47A9DC19"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12" w:history="1">
            <w:r w:rsidR="00474477" w:rsidRPr="00E76B00">
              <w:rPr>
                <w:rStyle w:val="Hyperlink"/>
                <w:noProof/>
              </w:rPr>
              <w:t>3.4 Data and Preliminary Analysis</w:t>
            </w:r>
            <w:r w:rsidR="00474477">
              <w:rPr>
                <w:noProof/>
                <w:webHidden/>
              </w:rPr>
              <w:tab/>
            </w:r>
            <w:r w:rsidR="00474477">
              <w:rPr>
                <w:noProof/>
                <w:webHidden/>
              </w:rPr>
              <w:fldChar w:fldCharType="begin"/>
            </w:r>
            <w:r w:rsidR="00474477">
              <w:rPr>
                <w:noProof/>
                <w:webHidden/>
              </w:rPr>
              <w:instrText xml:space="preserve"> PAGEREF _Toc90500012 \h </w:instrText>
            </w:r>
            <w:r w:rsidR="00474477">
              <w:rPr>
                <w:noProof/>
                <w:webHidden/>
              </w:rPr>
            </w:r>
            <w:r w:rsidR="00474477">
              <w:rPr>
                <w:noProof/>
                <w:webHidden/>
              </w:rPr>
              <w:fldChar w:fldCharType="separate"/>
            </w:r>
            <w:r w:rsidR="00474477">
              <w:rPr>
                <w:noProof/>
                <w:webHidden/>
              </w:rPr>
              <w:t>200</w:t>
            </w:r>
            <w:r w:rsidR="00474477">
              <w:rPr>
                <w:noProof/>
                <w:webHidden/>
              </w:rPr>
              <w:fldChar w:fldCharType="end"/>
            </w:r>
          </w:hyperlink>
        </w:p>
        <w:p w14:paraId="322304EA" w14:textId="488380B4"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13" w:history="1">
            <w:r w:rsidR="00474477" w:rsidRPr="00E76B00">
              <w:rPr>
                <w:rStyle w:val="Hyperlink"/>
                <w:noProof/>
              </w:rPr>
              <w:t>3.4.1 Data description</w:t>
            </w:r>
            <w:r w:rsidR="00474477">
              <w:rPr>
                <w:noProof/>
                <w:webHidden/>
              </w:rPr>
              <w:tab/>
            </w:r>
            <w:r w:rsidR="00474477">
              <w:rPr>
                <w:noProof/>
                <w:webHidden/>
              </w:rPr>
              <w:fldChar w:fldCharType="begin"/>
            </w:r>
            <w:r w:rsidR="00474477">
              <w:rPr>
                <w:noProof/>
                <w:webHidden/>
              </w:rPr>
              <w:instrText xml:space="preserve"> PAGEREF _Toc90500013 \h </w:instrText>
            </w:r>
            <w:r w:rsidR="00474477">
              <w:rPr>
                <w:noProof/>
                <w:webHidden/>
              </w:rPr>
            </w:r>
            <w:r w:rsidR="00474477">
              <w:rPr>
                <w:noProof/>
                <w:webHidden/>
              </w:rPr>
              <w:fldChar w:fldCharType="separate"/>
            </w:r>
            <w:r w:rsidR="00474477">
              <w:rPr>
                <w:noProof/>
                <w:webHidden/>
              </w:rPr>
              <w:t>200</w:t>
            </w:r>
            <w:r w:rsidR="00474477">
              <w:rPr>
                <w:noProof/>
                <w:webHidden/>
              </w:rPr>
              <w:fldChar w:fldCharType="end"/>
            </w:r>
          </w:hyperlink>
        </w:p>
        <w:p w14:paraId="048048AC" w14:textId="15B0700B"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14" w:history="1">
            <w:r w:rsidR="00474477" w:rsidRPr="00E76B00">
              <w:rPr>
                <w:rStyle w:val="Hyperlink"/>
                <w:rFonts w:eastAsia="Times New Roman"/>
                <w:noProof/>
              </w:rPr>
              <w:t>3.5 Conclusion</w:t>
            </w:r>
            <w:r w:rsidR="00474477">
              <w:rPr>
                <w:noProof/>
                <w:webHidden/>
              </w:rPr>
              <w:tab/>
            </w:r>
            <w:r w:rsidR="00474477">
              <w:rPr>
                <w:noProof/>
                <w:webHidden/>
              </w:rPr>
              <w:fldChar w:fldCharType="begin"/>
            </w:r>
            <w:r w:rsidR="00474477">
              <w:rPr>
                <w:noProof/>
                <w:webHidden/>
              </w:rPr>
              <w:instrText xml:space="preserve"> PAGEREF _Toc90500014 \h </w:instrText>
            </w:r>
            <w:r w:rsidR="00474477">
              <w:rPr>
                <w:noProof/>
                <w:webHidden/>
              </w:rPr>
            </w:r>
            <w:r w:rsidR="00474477">
              <w:rPr>
                <w:noProof/>
                <w:webHidden/>
              </w:rPr>
              <w:fldChar w:fldCharType="separate"/>
            </w:r>
            <w:r w:rsidR="00474477">
              <w:rPr>
                <w:noProof/>
                <w:webHidden/>
              </w:rPr>
              <w:t>212</w:t>
            </w:r>
            <w:r w:rsidR="00474477">
              <w:rPr>
                <w:noProof/>
                <w:webHidden/>
              </w:rPr>
              <w:fldChar w:fldCharType="end"/>
            </w:r>
          </w:hyperlink>
        </w:p>
        <w:p w14:paraId="4870A2C9" w14:textId="3D9EB68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15" w:history="1">
            <w:r w:rsidR="00474477" w:rsidRPr="00E76B00">
              <w:rPr>
                <w:rStyle w:val="Hyperlink"/>
                <w:rFonts w:eastAsia="Times New Roman"/>
                <w:noProof/>
              </w:rPr>
              <w:t>3.6 Contribution to knowledge</w:t>
            </w:r>
            <w:r w:rsidR="00474477">
              <w:rPr>
                <w:noProof/>
                <w:webHidden/>
              </w:rPr>
              <w:tab/>
            </w:r>
            <w:r w:rsidR="00474477">
              <w:rPr>
                <w:noProof/>
                <w:webHidden/>
              </w:rPr>
              <w:fldChar w:fldCharType="begin"/>
            </w:r>
            <w:r w:rsidR="00474477">
              <w:rPr>
                <w:noProof/>
                <w:webHidden/>
              </w:rPr>
              <w:instrText xml:space="preserve"> PAGEREF _Toc90500015 \h </w:instrText>
            </w:r>
            <w:r w:rsidR="00474477">
              <w:rPr>
                <w:noProof/>
                <w:webHidden/>
              </w:rPr>
            </w:r>
            <w:r w:rsidR="00474477">
              <w:rPr>
                <w:noProof/>
                <w:webHidden/>
              </w:rPr>
              <w:fldChar w:fldCharType="separate"/>
            </w:r>
            <w:r w:rsidR="00474477">
              <w:rPr>
                <w:noProof/>
                <w:webHidden/>
              </w:rPr>
              <w:t>214</w:t>
            </w:r>
            <w:r w:rsidR="00474477">
              <w:rPr>
                <w:noProof/>
                <w:webHidden/>
              </w:rPr>
              <w:fldChar w:fldCharType="end"/>
            </w:r>
          </w:hyperlink>
        </w:p>
        <w:p w14:paraId="2421CA9E" w14:textId="2638EB9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16" w:history="1">
            <w:r w:rsidR="00474477" w:rsidRPr="00E76B00">
              <w:rPr>
                <w:rStyle w:val="Hyperlink"/>
                <w:noProof/>
              </w:rPr>
              <w:t>Future Research</w:t>
            </w:r>
            <w:r w:rsidR="00474477">
              <w:rPr>
                <w:noProof/>
                <w:webHidden/>
              </w:rPr>
              <w:tab/>
            </w:r>
            <w:r w:rsidR="00474477">
              <w:rPr>
                <w:noProof/>
                <w:webHidden/>
              </w:rPr>
              <w:fldChar w:fldCharType="begin"/>
            </w:r>
            <w:r w:rsidR="00474477">
              <w:rPr>
                <w:noProof/>
                <w:webHidden/>
              </w:rPr>
              <w:instrText xml:space="preserve"> PAGEREF _Toc90500016 \h </w:instrText>
            </w:r>
            <w:r w:rsidR="00474477">
              <w:rPr>
                <w:noProof/>
                <w:webHidden/>
              </w:rPr>
            </w:r>
            <w:r w:rsidR="00474477">
              <w:rPr>
                <w:noProof/>
                <w:webHidden/>
              </w:rPr>
              <w:fldChar w:fldCharType="separate"/>
            </w:r>
            <w:r w:rsidR="00474477">
              <w:rPr>
                <w:noProof/>
                <w:webHidden/>
              </w:rPr>
              <w:t>216</w:t>
            </w:r>
            <w:r w:rsidR="00474477">
              <w:rPr>
                <w:noProof/>
                <w:webHidden/>
              </w:rPr>
              <w:fldChar w:fldCharType="end"/>
            </w:r>
          </w:hyperlink>
        </w:p>
        <w:p w14:paraId="3F66E1D2" w14:textId="188A70E5"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17" w:history="1">
            <w:r w:rsidR="00474477" w:rsidRPr="00E76B00">
              <w:rPr>
                <w:rStyle w:val="Hyperlink"/>
                <w:noProof/>
              </w:rPr>
              <w:t>References</w:t>
            </w:r>
            <w:r w:rsidR="00474477">
              <w:rPr>
                <w:noProof/>
                <w:webHidden/>
              </w:rPr>
              <w:tab/>
            </w:r>
            <w:r w:rsidR="00474477">
              <w:rPr>
                <w:noProof/>
                <w:webHidden/>
              </w:rPr>
              <w:fldChar w:fldCharType="begin"/>
            </w:r>
            <w:r w:rsidR="00474477">
              <w:rPr>
                <w:noProof/>
                <w:webHidden/>
              </w:rPr>
              <w:instrText xml:space="preserve"> PAGEREF _Toc90500017 \h </w:instrText>
            </w:r>
            <w:r w:rsidR="00474477">
              <w:rPr>
                <w:noProof/>
                <w:webHidden/>
              </w:rPr>
            </w:r>
            <w:r w:rsidR="00474477">
              <w:rPr>
                <w:noProof/>
                <w:webHidden/>
              </w:rPr>
              <w:fldChar w:fldCharType="separate"/>
            </w:r>
            <w:r w:rsidR="00474477">
              <w:rPr>
                <w:noProof/>
                <w:webHidden/>
              </w:rPr>
              <w:t>217</w:t>
            </w:r>
            <w:r w:rsidR="00474477">
              <w:rPr>
                <w:noProof/>
                <w:webHidden/>
              </w:rPr>
              <w:fldChar w:fldCharType="end"/>
            </w:r>
          </w:hyperlink>
        </w:p>
        <w:p w14:paraId="68F207A2" w14:textId="6E1DEE0B"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18" w:history="1">
            <w:r w:rsidR="00474477" w:rsidRPr="00E76B00">
              <w:rPr>
                <w:rStyle w:val="Hyperlink"/>
                <w:noProof/>
                <w:w w:val="105"/>
              </w:rPr>
              <w:t>References (Part 1,2 and 3 together)</w:t>
            </w:r>
            <w:r w:rsidR="00474477">
              <w:rPr>
                <w:noProof/>
                <w:webHidden/>
              </w:rPr>
              <w:tab/>
            </w:r>
            <w:r w:rsidR="00474477">
              <w:rPr>
                <w:noProof/>
                <w:webHidden/>
              </w:rPr>
              <w:fldChar w:fldCharType="begin"/>
            </w:r>
            <w:r w:rsidR="00474477">
              <w:rPr>
                <w:noProof/>
                <w:webHidden/>
              </w:rPr>
              <w:instrText xml:space="preserve"> PAGEREF _Toc90500018 \h </w:instrText>
            </w:r>
            <w:r w:rsidR="00474477">
              <w:rPr>
                <w:noProof/>
                <w:webHidden/>
              </w:rPr>
            </w:r>
            <w:r w:rsidR="00474477">
              <w:rPr>
                <w:noProof/>
                <w:webHidden/>
              </w:rPr>
              <w:fldChar w:fldCharType="separate"/>
            </w:r>
            <w:r w:rsidR="00474477">
              <w:rPr>
                <w:noProof/>
                <w:webHidden/>
              </w:rPr>
              <w:t>225</w:t>
            </w:r>
            <w:r w:rsidR="00474477">
              <w:rPr>
                <w:noProof/>
                <w:webHidden/>
              </w:rPr>
              <w:fldChar w:fldCharType="end"/>
            </w:r>
          </w:hyperlink>
        </w:p>
        <w:p w14:paraId="281BC398" w14:textId="4FF70755"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19" w:history="1">
            <w:r w:rsidR="00474477" w:rsidRPr="00E76B00">
              <w:rPr>
                <w:rStyle w:val="Hyperlink"/>
                <w:noProof/>
                <w:w w:val="105"/>
              </w:rPr>
              <w:t>Appendix 1.1(Part1: Results output)</w:t>
            </w:r>
            <w:r w:rsidR="00474477">
              <w:rPr>
                <w:noProof/>
                <w:webHidden/>
              </w:rPr>
              <w:tab/>
            </w:r>
            <w:r w:rsidR="00474477">
              <w:rPr>
                <w:noProof/>
                <w:webHidden/>
              </w:rPr>
              <w:fldChar w:fldCharType="begin"/>
            </w:r>
            <w:r w:rsidR="00474477">
              <w:rPr>
                <w:noProof/>
                <w:webHidden/>
              </w:rPr>
              <w:instrText xml:space="preserve"> PAGEREF _Toc90500019 \h </w:instrText>
            </w:r>
            <w:r w:rsidR="00474477">
              <w:rPr>
                <w:noProof/>
                <w:webHidden/>
              </w:rPr>
            </w:r>
            <w:r w:rsidR="00474477">
              <w:rPr>
                <w:noProof/>
                <w:webHidden/>
              </w:rPr>
              <w:fldChar w:fldCharType="separate"/>
            </w:r>
            <w:r w:rsidR="00474477">
              <w:rPr>
                <w:noProof/>
                <w:webHidden/>
              </w:rPr>
              <w:t>246</w:t>
            </w:r>
            <w:r w:rsidR="00474477">
              <w:rPr>
                <w:noProof/>
                <w:webHidden/>
              </w:rPr>
              <w:fldChar w:fldCharType="end"/>
            </w:r>
          </w:hyperlink>
        </w:p>
        <w:p w14:paraId="4C2B6DB8" w14:textId="431394A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0" w:history="1">
            <w:r w:rsidR="00474477" w:rsidRPr="00E76B00">
              <w:rPr>
                <w:rStyle w:val="Hyperlink"/>
                <w:noProof/>
                <w:w w:val="105"/>
              </w:rPr>
              <w:t>Descriptive Statistics</w:t>
            </w:r>
            <w:r w:rsidR="00474477">
              <w:rPr>
                <w:noProof/>
                <w:webHidden/>
              </w:rPr>
              <w:tab/>
            </w:r>
            <w:r w:rsidR="00474477">
              <w:rPr>
                <w:noProof/>
                <w:webHidden/>
              </w:rPr>
              <w:fldChar w:fldCharType="begin"/>
            </w:r>
            <w:r w:rsidR="00474477">
              <w:rPr>
                <w:noProof/>
                <w:webHidden/>
              </w:rPr>
              <w:instrText xml:space="preserve"> PAGEREF _Toc90500020 \h </w:instrText>
            </w:r>
            <w:r w:rsidR="00474477">
              <w:rPr>
                <w:noProof/>
                <w:webHidden/>
              </w:rPr>
            </w:r>
            <w:r w:rsidR="00474477">
              <w:rPr>
                <w:noProof/>
                <w:webHidden/>
              </w:rPr>
              <w:fldChar w:fldCharType="separate"/>
            </w:r>
            <w:r w:rsidR="00474477">
              <w:rPr>
                <w:noProof/>
                <w:webHidden/>
              </w:rPr>
              <w:t>246</w:t>
            </w:r>
            <w:r w:rsidR="00474477">
              <w:rPr>
                <w:noProof/>
                <w:webHidden/>
              </w:rPr>
              <w:fldChar w:fldCharType="end"/>
            </w:r>
          </w:hyperlink>
        </w:p>
        <w:p w14:paraId="391CFAF8" w14:textId="7C104A67"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1" w:history="1">
            <w:r w:rsidR="00474477" w:rsidRPr="00E76B00">
              <w:rPr>
                <w:rStyle w:val="Hyperlink"/>
                <w:noProof/>
                <w:lang w:val="en-US"/>
              </w:rPr>
              <w:t>Pre-Crisis period</w:t>
            </w:r>
            <w:r w:rsidR="00474477">
              <w:rPr>
                <w:noProof/>
                <w:webHidden/>
              </w:rPr>
              <w:tab/>
            </w:r>
            <w:r w:rsidR="00474477">
              <w:rPr>
                <w:noProof/>
                <w:webHidden/>
              </w:rPr>
              <w:fldChar w:fldCharType="begin"/>
            </w:r>
            <w:r w:rsidR="00474477">
              <w:rPr>
                <w:noProof/>
                <w:webHidden/>
              </w:rPr>
              <w:instrText xml:space="preserve"> PAGEREF _Toc90500021 \h </w:instrText>
            </w:r>
            <w:r w:rsidR="00474477">
              <w:rPr>
                <w:noProof/>
                <w:webHidden/>
              </w:rPr>
            </w:r>
            <w:r w:rsidR="00474477">
              <w:rPr>
                <w:noProof/>
                <w:webHidden/>
              </w:rPr>
              <w:fldChar w:fldCharType="separate"/>
            </w:r>
            <w:r w:rsidR="00474477">
              <w:rPr>
                <w:noProof/>
                <w:webHidden/>
              </w:rPr>
              <w:t>248</w:t>
            </w:r>
            <w:r w:rsidR="00474477">
              <w:rPr>
                <w:noProof/>
                <w:webHidden/>
              </w:rPr>
              <w:fldChar w:fldCharType="end"/>
            </w:r>
          </w:hyperlink>
        </w:p>
        <w:p w14:paraId="27D4CEBE" w14:textId="79AA051F"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2" w:history="1">
            <w:r w:rsidR="00474477" w:rsidRPr="00E76B00">
              <w:rPr>
                <w:rStyle w:val="Hyperlink"/>
                <w:noProof/>
                <w:lang w:val="en-US"/>
              </w:rPr>
              <w:t>During Crisis period</w:t>
            </w:r>
            <w:r w:rsidR="00474477">
              <w:rPr>
                <w:noProof/>
                <w:webHidden/>
              </w:rPr>
              <w:tab/>
            </w:r>
            <w:r w:rsidR="00474477">
              <w:rPr>
                <w:noProof/>
                <w:webHidden/>
              </w:rPr>
              <w:fldChar w:fldCharType="begin"/>
            </w:r>
            <w:r w:rsidR="00474477">
              <w:rPr>
                <w:noProof/>
                <w:webHidden/>
              </w:rPr>
              <w:instrText xml:space="preserve"> PAGEREF _Toc90500022 \h </w:instrText>
            </w:r>
            <w:r w:rsidR="00474477">
              <w:rPr>
                <w:noProof/>
                <w:webHidden/>
              </w:rPr>
            </w:r>
            <w:r w:rsidR="00474477">
              <w:rPr>
                <w:noProof/>
                <w:webHidden/>
              </w:rPr>
              <w:fldChar w:fldCharType="separate"/>
            </w:r>
            <w:r w:rsidR="00474477">
              <w:rPr>
                <w:noProof/>
                <w:webHidden/>
              </w:rPr>
              <w:t>249</w:t>
            </w:r>
            <w:r w:rsidR="00474477">
              <w:rPr>
                <w:noProof/>
                <w:webHidden/>
              </w:rPr>
              <w:fldChar w:fldCharType="end"/>
            </w:r>
          </w:hyperlink>
        </w:p>
        <w:p w14:paraId="2A0C0FEA" w14:textId="6F60D915"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3" w:history="1">
            <w:r w:rsidR="00474477" w:rsidRPr="00E76B00">
              <w:rPr>
                <w:rStyle w:val="Hyperlink"/>
                <w:noProof/>
                <w:lang w:val="en-US"/>
              </w:rPr>
              <w:t>Post-Crisis period</w:t>
            </w:r>
            <w:r w:rsidR="00474477">
              <w:rPr>
                <w:noProof/>
                <w:webHidden/>
              </w:rPr>
              <w:tab/>
            </w:r>
            <w:r w:rsidR="00474477">
              <w:rPr>
                <w:noProof/>
                <w:webHidden/>
              </w:rPr>
              <w:fldChar w:fldCharType="begin"/>
            </w:r>
            <w:r w:rsidR="00474477">
              <w:rPr>
                <w:noProof/>
                <w:webHidden/>
              </w:rPr>
              <w:instrText xml:space="preserve"> PAGEREF _Toc90500023 \h </w:instrText>
            </w:r>
            <w:r w:rsidR="00474477">
              <w:rPr>
                <w:noProof/>
                <w:webHidden/>
              </w:rPr>
            </w:r>
            <w:r w:rsidR="00474477">
              <w:rPr>
                <w:noProof/>
                <w:webHidden/>
              </w:rPr>
              <w:fldChar w:fldCharType="separate"/>
            </w:r>
            <w:r w:rsidR="00474477">
              <w:rPr>
                <w:noProof/>
                <w:webHidden/>
              </w:rPr>
              <w:t>250</w:t>
            </w:r>
            <w:r w:rsidR="00474477">
              <w:rPr>
                <w:noProof/>
                <w:webHidden/>
              </w:rPr>
              <w:fldChar w:fldCharType="end"/>
            </w:r>
          </w:hyperlink>
        </w:p>
        <w:p w14:paraId="2BCB4306" w14:textId="2A249EDF"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4" w:history="1">
            <w:r w:rsidR="00474477" w:rsidRPr="00E76B00">
              <w:rPr>
                <w:rStyle w:val="Hyperlink"/>
                <w:noProof/>
                <w:lang w:val="en-US"/>
              </w:rPr>
              <w:t>Testing normality</w:t>
            </w:r>
            <w:r w:rsidR="00474477">
              <w:rPr>
                <w:noProof/>
                <w:webHidden/>
              </w:rPr>
              <w:tab/>
            </w:r>
            <w:r w:rsidR="00474477">
              <w:rPr>
                <w:noProof/>
                <w:webHidden/>
              </w:rPr>
              <w:fldChar w:fldCharType="begin"/>
            </w:r>
            <w:r w:rsidR="00474477">
              <w:rPr>
                <w:noProof/>
                <w:webHidden/>
              </w:rPr>
              <w:instrText xml:space="preserve"> PAGEREF _Toc90500024 \h </w:instrText>
            </w:r>
            <w:r w:rsidR="00474477">
              <w:rPr>
                <w:noProof/>
                <w:webHidden/>
              </w:rPr>
            </w:r>
            <w:r w:rsidR="00474477">
              <w:rPr>
                <w:noProof/>
                <w:webHidden/>
              </w:rPr>
              <w:fldChar w:fldCharType="separate"/>
            </w:r>
            <w:r w:rsidR="00474477">
              <w:rPr>
                <w:noProof/>
                <w:webHidden/>
              </w:rPr>
              <w:t>251</w:t>
            </w:r>
            <w:r w:rsidR="00474477">
              <w:rPr>
                <w:noProof/>
                <w:webHidden/>
              </w:rPr>
              <w:fldChar w:fldCharType="end"/>
            </w:r>
          </w:hyperlink>
        </w:p>
        <w:p w14:paraId="2FD70DCE" w14:textId="2CA87FB0"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5" w:history="1">
            <w:r w:rsidR="00474477" w:rsidRPr="00E76B00">
              <w:rPr>
                <w:rStyle w:val="Hyperlink"/>
                <w:noProof/>
                <w:lang w:val="en-US"/>
              </w:rPr>
              <w:t>Stationarity test</w:t>
            </w:r>
            <w:r w:rsidR="00474477">
              <w:rPr>
                <w:noProof/>
                <w:webHidden/>
              </w:rPr>
              <w:tab/>
            </w:r>
            <w:r w:rsidR="00474477">
              <w:rPr>
                <w:noProof/>
                <w:webHidden/>
              </w:rPr>
              <w:fldChar w:fldCharType="begin"/>
            </w:r>
            <w:r w:rsidR="00474477">
              <w:rPr>
                <w:noProof/>
                <w:webHidden/>
              </w:rPr>
              <w:instrText xml:space="preserve"> PAGEREF _Toc90500025 \h </w:instrText>
            </w:r>
            <w:r w:rsidR="00474477">
              <w:rPr>
                <w:noProof/>
                <w:webHidden/>
              </w:rPr>
            </w:r>
            <w:r w:rsidR="00474477">
              <w:rPr>
                <w:noProof/>
                <w:webHidden/>
              </w:rPr>
              <w:fldChar w:fldCharType="separate"/>
            </w:r>
            <w:r w:rsidR="00474477">
              <w:rPr>
                <w:noProof/>
                <w:webHidden/>
              </w:rPr>
              <w:t>252</w:t>
            </w:r>
            <w:r w:rsidR="00474477">
              <w:rPr>
                <w:noProof/>
                <w:webHidden/>
              </w:rPr>
              <w:fldChar w:fldCharType="end"/>
            </w:r>
          </w:hyperlink>
        </w:p>
        <w:p w14:paraId="68395C65" w14:textId="1E170053"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26" w:history="1">
            <w:r w:rsidR="00474477" w:rsidRPr="00E76B00">
              <w:rPr>
                <w:rStyle w:val="Hyperlink"/>
                <w:noProof/>
                <w:lang w:val="en-US"/>
              </w:rPr>
              <w:t>Phillips-Perron</w:t>
            </w:r>
            <w:r w:rsidR="00474477">
              <w:rPr>
                <w:noProof/>
                <w:webHidden/>
              </w:rPr>
              <w:tab/>
            </w:r>
            <w:r w:rsidR="00474477">
              <w:rPr>
                <w:noProof/>
                <w:webHidden/>
              </w:rPr>
              <w:fldChar w:fldCharType="begin"/>
            </w:r>
            <w:r w:rsidR="00474477">
              <w:rPr>
                <w:noProof/>
                <w:webHidden/>
              </w:rPr>
              <w:instrText xml:space="preserve"> PAGEREF _Toc90500026 \h </w:instrText>
            </w:r>
            <w:r w:rsidR="00474477">
              <w:rPr>
                <w:noProof/>
                <w:webHidden/>
              </w:rPr>
            </w:r>
            <w:r w:rsidR="00474477">
              <w:rPr>
                <w:noProof/>
                <w:webHidden/>
              </w:rPr>
              <w:fldChar w:fldCharType="separate"/>
            </w:r>
            <w:r w:rsidR="00474477">
              <w:rPr>
                <w:noProof/>
                <w:webHidden/>
              </w:rPr>
              <w:t>252</w:t>
            </w:r>
            <w:r w:rsidR="00474477">
              <w:rPr>
                <w:noProof/>
                <w:webHidden/>
              </w:rPr>
              <w:fldChar w:fldCharType="end"/>
            </w:r>
          </w:hyperlink>
        </w:p>
        <w:p w14:paraId="7B9A703F" w14:textId="11A771A3"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27" w:history="1">
            <w:r w:rsidR="00474477" w:rsidRPr="00E76B00">
              <w:rPr>
                <w:rStyle w:val="Hyperlink"/>
                <w:noProof/>
                <w:lang w:val="en-US"/>
              </w:rPr>
              <w:t>Agumented Dicky Fuller</w:t>
            </w:r>
            <w:r w:rsidR="00474477">
              <w:rPr>
                <w:noProof/>
                <w:webHidden/>
              </w:rPr>
              <w:tab/>
            </w:r>
            <w:r w:rsidR="00474477">
              <w:rPr>
                <w:noProof/>
                <w:webHidden/>
              </w:rPr>
              <w:fldChar w:fldCharType="begin"/>
            </w:r>
            <w:r w:rsidR="00474477">
              <w:rPr>
                <w:noProof/>
                <w:webHidden/>
              </w:rPr>
              <w:instrText xml:space="preserve"> PAGEREF _Toc90500027 \h </w:instrText>
            </w:r>
            <w:r w:rsidR="00474477">
              <w:rPr>
                <w:noProof/>
                <w:webHidden/>
              </w:rPr>
            </w:r>
            <w:r w:rsidR="00474477">
              <w:rPr>
                <w:noProof/>
                <w:webHidden/>
              </w:rPr>
              <w:fldChar w:fldCharType="separate"/>
            </w:r>
            <w:r w:rsidR="00474477">
              <w:rPr>
                <w:noProof/>
                <w:webHidden/>
              </w:rPr>
              <w:t>253</w:t>
            </w:r>
            <w:r w:rsidR="00474477">
              <w:rPr>
                <w:noProof/>
                <w:webHidden/>
              </w:rPr>
              <w:fldChar w:fldCharType="end"/>
            </w:r>
          </w:hyperlink>
        </w:p>
        <w:p w14:paraId="6ED10DC1" w14:textId="3558F09B"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8" w:history="1">
            <w:r w:rsidR="00474477" w:rsidRPr="00E76B00">
              <w:rPr>
                <w:rStyle w:val="Hyperlink"/>
                <w:noProof/>
                <w:lang w:val="en-US"/>
              </w:rPr>
              <w:t>Autocorrelation and Partial Autocorrelation</w:t>
            </w:r>
            <w:r w:rsidR="00474477">
              <w:rPr>
                <w:noProof/>
                <w:webHidden/>
              </w:rPr>
              <w:tab/>
            </w:r>
            <w:r w:rsidR="00474477">
              <w:rPr>
                <w:noProof/>
                <w:webHidden/>
              </w:rPr>
              <w:fldChar w:fldCharType="begin"/>
            </w:r>
            <w:r w:rsidR="00474477">
              <w:rPr>
                <w:noProof/>
                <w:webHidden/>
              </w:rPr>
              <w:instrText xml:space="preserve"> PAGEREF _Toc90500028 \h </w:instrText>
            </w:r>
            <w:r w:rsidR="00474477">
              <w:rPr>
                <w:noProof/>
                <w:webHidden/>
              </w:rPr>
            </w:r>
            <w:r w:rsidR="00474477">
              <w:rPr>
                <w:noProof/>
                <w:webHidden/>
              </w:rPr>
              <w:fldChar w:fldCharType="separate"/>
            </w:r>
            <w:r w:rsidR="00474477">
              <w:rPr>
                <w:noProof/>
                <w:webHidden/>
              </w:rPr>
              <w:t>257</w:t>
            </w:r>
            <w:r w:rsidR="00474477">
              <w:rPr>
                <w:noProof/>
                <w:webHidden/>
              </w:rPr>
              <w:fldChar w:fldCharType="end"/>
            </w:r>
          </w:hyperlink>
        </w:p>
        <w:p w14:paraId="6509A277" w14:textId="67514C7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29" w:history="1">
            <w:r w:rsidR="00474477" w:rsidRPr="00E76B00">
              <w:rPr>
                <w:rStyle w:val="Hyperlink"/>
                <w:noProof/>
                <w:lang w:val="en-US"/>
              </w:rPr>
              <w:t>Heteroskedasticity</w:t>
            </w:r>
            <w:r w:rsidR="00474477">
              <w:rPr>
                <w:noProof/>
                <w:webHidden/>
              </w:rPr>
              <w:tab/>
            </w:r>
            <w:r w:rsidR="00474477">
              <w:rPr>
                <w:noProof/>
                <w:webHidden/>
              </w:rPr>
              <w:fldChar w:fldCharType="begin"/>
            </w:r>
            <w:r w:rsidR="00474477">
              <w:rPr>
                <w:noProof/>
                <w:webHidden/>
              </w:rPr>
              <w:instrText xml:space="preserve"> PAGEREF _Toc90500029 \h </w:instrText>
            </w:r>
            <w:r w:rsidR="00474477">
              <w:rPr>
                <w:noProof/>
                <w:webHidden/>
              </w:rPr>
            </w:r>
            <w:r w:rsidR="00474477">
              <w:rPr>
                <w:noProof/>
                <w:webHidden/>
              </w:rPr>
              <w:fldChar w:fldCharType="separate"/>
            </w:r>
            <w:r w:rsidR="00474477">
              <w:rPr>
                <w:noProof/>
                <w:webHidden/>
              </w:rPr>
              <w:t>257</w:t>
            </w:r>
            <w:r w:rsidR="00474477">
              <w:rPr>
                <w:noProof/>
                <w:webHidden/>
              </w:rPr>
              <w:fldChar w:fldCharType="end"/>
            </w:r>
          </w:hyperlink>
        </w:p>
        <w:p w14:paraId="3DAAAB16" w14:textId="6FCF16CB"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30" w:history="1">
            <w:r w:rsidR="00474477" w:rsidRPr="00E76B00">
              <w:rPr>
                <w:rStyle w:val="Hyperlink"/>
                <w:noProof/>
                <w:lang w:val="en-US"/>
              </w:rPr>
              <w:t>ARCH Effects</w:t>
            </w:r>
            <w:r w:rsidR="00474477">
              <w:rPr>
                <w:noProof/>
                <w:webHidden/>
              </w:rPr>
              <w:tab/>
            </w:r>
            <w:r w:rsidR="00474477">
              <w:rPr>
                <w:noProof/>
                <w:webHidden/>
              </w:rPr>
              <w:fldChar w:fldCharType="begin"/>
            </w:r>
            <w:r w:rsidR="00474477">
              <w:rPr>
                <w:noProof/>
                <w:webHidden/>
              </w:rPr>
              <w:instrText xml:space="preserve"> PAGEREF _Toc90500030 \h </w:instrText>
            </w:r>
            <w:r w:rsidR="00474477">
              <w:rPr>
                <w:noProof/>
                <w:webHidden/>
              </w:rPr>
            </w:r>
            <w:r w:rsidR="00474477">
              <w:rPr>
                <w:noProof/>
                <w:webHidden/>
              </w:rPr>
              <w:fldChar w:fldCharType="separate"/>
            </w:r>
            <w:r w:rsidR="00474477">
              <w:rPr>
                <w:noProof/>
                <w:webHidden/>
              </w:rPr>
              <w:t>258</w:t>
            </w:r>
            <w:r w:rsidR="00474477">
              <w:rPr>
                <w:noProof/>
                <w:webHidden/>
              </w:rPr>
              <w:fldChar w:fldCharType="end"/>
            </w:r>
          </w:hyperlink>
        </w:p>
        <w:p w14:paraId="57724E7F" w14:textId="7551D183"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1" w:history="1">
            <w:r w:rsidR="00474477" w:rsidRPr="00E76B00">
              <w:rPr>
                <w:rStyle w:val="Hyperlink"/>
                <w:noProof/>
                <w:lang w:val="en-US"/>
              </w:rPr>
              <w:t>ARCHLM</w:t>
            </w:r>
            <w:r w:rsidR="00474477">
              <w:rPr>
                <w:noProof/>
                <w:webHidden/>
              </w:rPr>
              <w:tab/>
            </w:r>
            <w:r w:rsidR="00474477">
              <w:rPr>
                <w:noProof/>
                <w:webHidden/>
              </w:rPr>
              <w:fldChar w:fldCharType="begin"/>
            </w:r>
            <w:r w:rsidR="00474477">
              <w:rPr>
                <w:noProof/>
                <w:webHidden/>
              </w:rPr>
              <w:instrText xml:space="preserve"> PAGEREF _Toc90500031 \h </w:instrText>
            </w:r>
            <w:r w:rsidR="00474477">
              <w:rPr>
                <w:noProof/>
                <w:webHidden/>
              </w:rPr>
            </w:r>
            <w:r w:rsidR="00474477">
              <w:rPr>
                <w:noProof/>
                <w:webHidden/>
              </w:rPr>
              <w:fldChar w:fldCharType="separate"/>
            </w:r>
            <w:r w:rsidR="00474477">
              <w:rPr>
                <w:noProof/>
                <w:webHidden/>
              </w:rPr>
              <w:t>258</w:t>
            </w:r>
            <w:r w:rsidR="00474477">
              <w:rPr>
                <w:noProof/>
                <w:webHidden/>
              </w:rPr>
              <w:fldChar w:fldCharType="end"/>
            </w:r>
          </w:hyperlink>
        </w:p>
        <w:p w14:paraId="573A405E" w14:textId="29B2D36B"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32" w:history="1">
            <w:r w:rsidR="00474477" w:rsidRPr="00E76B00">
              <w:rPr>
                <w:rStyle w:val="Hyperlink"/>
                <w:noProof/>
                <w:lang w:val="en-US"/>
              </w:rPr>
              <w:t>ARMA FILTTER</w:t>
            </w:r>
            <w:r w:rsidR="00474477">
              <w:rPr>
                <w:noProof/>
                <w:webHidden/>
              </w:rPr>
              <w:tab/>
            </w:r>
            <w:r w:rsidR="00474477">
              <w:rPr>
                <w:noProof/>
                <w:webHidden/>
              </w:rPr>
              <w:fldChar w:fldCharType="begin"/>
            </w:r>
            <w:r w:rsidR="00474477">
              <w:rPr>
                <w:noProof/>
                <w:webHidden/>
              </w:rPr>
              <w:instrText xml:space="preserve"> PAGEREF _Toc90500032 \h </w:instrText>
            </w:r>
            <w:r w:rsidR="00474477">
              <w:rPr>
                <w:noProof/>
                <w:webHidden/>
              </w:rPr>
            </w:r>
            <w:r w:rsidR="00474477">
              <w:rPr>
                <w:noProof/>
                <w:webHidden/>
              </w:rPr>
              <w:fldChar w:fldCharType="separate"/>
            </w:r>
            <w:r w:rsidR="00474477">
              <w:rPr>
                <w:noProof/>
                <w:webHidden/>
              </w:rPr>
              <w:t>260</w:t>
            </w:r>
            <w:r w:rsidR="00474477">
              <w:rPr>
                <w:noProof/>
                <w:webHidden/>
              </w:rPr>
              <w:fldChar w:fldCharType="end"/>
            </w:r>
          </w:hyperlink>
        </w:p>
        <w:p w14:paraId="70C43501" w14:textId="6D41909C"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3" w:history="1">
            <w:r w:rsidR="00474477" w:rsidRPr="00E76B00">
              <w:rPr>
                <w:rStyle w:val="Hyperlink"/>
                <w:noProof/>
                <w:lang w:val="en-US"/>
              </w:rPr>
              <w:t>S&amp;P 500</w:t>
            </w:r>
            <w:r w:rsidR="00474477">
              <w:rPr>
                <w:noProof/>
                <w:webHidden/>
              </w:rPr>
              <w:tab/>
            </w:r>
            <w:r w:rsidR="00474477">
              <w:rPr>
                <w:noProof/>
                <w:webHidden/>
              </w:rPr>
              <w:fldChar w:fldCharType="begin"/>
            </w:r>
            <w:r w:rsidR="00474477">
              <w:rPr>
                <w:noProof/>
                <w:webHidden/>
              </w:rPr>
              <w:instrText xml:space="preserve"> PAGEREF _Toc90500033 \h </w:instrText>
            </w:r>
            <w:r w:rsidR="00474477">
              <w:rPr>
                <w:noProof/>
                <w:webHidden/>
              </w:rPr>
            </w:r>
            <w:r w:rsidR="00474477">
              <w:rPr>
                <w:noProof/>
                <w:webHidden/>
              </w:rPr>
              <w:fldChar w:fldCharType="separate"/>
            </w:r>
            <w:r w:rsidR="00474477">
              <w:rPr>
                <w:noProof/>
                <w:webHidden/>
              </w:rPr>
              <w:t>260</w:t>
            </w:r>
            <w:r w:rsidR="00474477">
              <w:rPr>
                <w:noProof/>
                <w:webHidden/>
              </w:rPr>
              <w:fldChar w:fldCharType="end"/>
            </w:r>
          </w:hyperlink>
        </w:p>
        <w:p w14:paraId="323265EB" w14:textId="75D972CC"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4" w:history="1">
            <w:r w:rsidR="00474477" w:rsidRPr="00E76B00">
              <w:rPr>
                <w:rStyle w:val="Hyperlink"/>
                <w:noProof/>
                <w:lang w:val="en-US"/>
              </w:rPr>
              <w:t>ABCP</w:t>
            </w:r>
            <w:r w:rsidR="00474477">
              <w:rPr>
                <w:noProof/>
                <w:webHidden/>
              </w:rPr>
              <w:tab/>
            </w:r>
            <w:r w:rsidR="00474477">
              <w:rPr>
                <w:noProof/>
                <w:webHidden/>
              </w:rPr>
              <w:fldChar w:fldCharType="begin"/>
            </w:r>
            <w:r w:rsidR="00474477">
              <w:rPr>
                <w:noProof/>
                <w:webHidden/>
              </w:rPr>
              <w:instrText xml:space="preserve"> PAGEREF _Toc90500034 \h </w:instrText>
            </w:r>
            <w:r w:rsidR="00474477">
              <w:rPr>
                <w:noProof/>
                <w:webHidden/>
              </w:rPr>
            </w:r>
            <w:r w:rsidR="00474477">
              <w:rPr>
                <w:noProof/>
                <w:webHidden/>
              </w:rPr>
              <w:fldChar w:fldCharType="separate"/>
            </w:r>
            <w:r w:rsidR="00474477">
              <w:rPr>
                <w:noProof/>
                <w:webHidden/>
              </w:rPr>
              <w:t>265</w:t>
            </w:r>
            <w:r w:rsidR="00474477">
              <w:rPr>
                <w:noProof/>
                <w:webHidden/>
              </w:rPr>
              <w:fldChar w:fldCharType="end"/>
            </w:r>
          </w:hyperlink>
        </w:p>
        <w:p w14:paraId="527CBA44" w14:textId="6FC52A2E"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5" w:history="1">
            <w:r w:rsidR="00474477" w:rsidRPr="00E76B00">
              <w:rPr>
                <w:rStyle w:val="Hyperlink"/>
                <w:noProof/>
                <w:lang w:val="en-US"/>
              </w:rPr>
              <w:t>OIS</w:t>
            </w:r>
            <w:r w:rsidR="00474477">
              <w:rPr>
                <w:noProof/>
                <w:webHidden/>
              </w:rPr>
              <w:tab/>
            </w:r>
            <w:r w:rsidR="00474477">
              <w:rPr>
                <w:noProof/>
                <w:webHidden/>
              </w:rPr>
              <w:fldChar w:fldCharType="begin"/>
            </w:r>
            <w:r w:rsidR="00474477">
              <w:rPr>
                <w:noProof/>
                <w:webHidden/>
              </w:rPr>
              <w:instrText xml:space="preserve"> PAGEREF _Toc90500035 \h </w:instrText>
            </w:r>
            <w:r w:rsidR="00474477">
              <w:rPr>
                <w:noProof/>
                <w:webHidden/>
              </w:rPr>
            </w:r>
            <w:r w:rsidR="00474477">
              <w:rPr>
                <w:noProof/>
                <w:webHidden/>
              </w:rPr>
              <w:fldChar w:fldCharType="separate"/>
            </w:r>
            <w:r w:rsidR="00474477">
              <w:rPr>
                <w:noProof/>
                <w:webHidden/>
              </w:rPr>
              <w:t>266</w:t>
            </w:r>
            <w:r w:rsidR="00474477">
              <w:rPr>
                <w:noProof/>
                <w:webHidden/>
              </w:rPr>
              <w:fldChar w:fldCharType="end"/>
            </w:r>
          </w:hyperlink>
        </w:p>
        <w:p w14:paraId="1602B100" w14:textId="53A77D6F"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6" w:history="1">
            <w:r w:rsidR="00474477" w:rsidRPr="00E76B00">
              <w:rPr>
                <w:rStyle w:val="Hyperlink"/>
                <w:noProof/>
                <w:lang w:val="en-US"/>
              </w:rPr>
              <w:t>TED</w:t>
            </w:r>
            <w:r w:rsidR="00474477">
              <w:rPr>
                <w:noProof/>
                <w:webHidden/>
              </w:rPr>
              <w:tab/>
            </w:r>
            <w:r w:rsidR="00474477">
              <w:rPr>
                <w:noProof/>
                <w:webHidden/>
              </w:rPr>
              <w:fldChar w:fldCharType="begin"/>
            </w:r>
            <w:r w:rsidR="00474477">
              <w:rPr>
                <w:noProof/>
                <w:webHidden/>
              </w:rPr>
              <w:instrText xml:space="preserve"> PAGEREF _Toc90500036 \h </w:instrText>
            </w:r>
            <w:r w:rsidR="00474477">
              <w:rPr>
                <w:noProof/>
                <w:webHidden/>
              </w:rPr>
            </w:r>
            <w:r w:rsidR="00474477">
              <w:rPr>
                <w:noProof/>
                <w:webHidden/>
              </w:rPr>
              <w:fldChar w:fldCharType="separate"/>
            </w:r>
            <w:r w:rsidR="00474477">
              <w:rPr>
                <w:noProof/>
                <w:webHidden/>
              </w:rPr>
              <w:t>266</w:t>
            </w:r>
            <w:r w:rsidR="00474477">
              <w:rPr>
                <w:noProof/>
                <w:webHidden/>
              </w:rPr>
              <w:fldChar w:fldCharType="end"/>
            </w:r>
          </w:hyperlink>
        </w:p>
        <w:p w14:paraId="004D0EDE" w14:textId="4B2F2376"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37" w:history="1">
            <w:r w:rsidR="00474477" w:rsidRPr="00E76B00">
              <w:rPr>
                <w:rStyle w:val="Hyperlink"/>
                <w:noProof/>
                <w:lang w:val="en-US"/>
              </w:rPr>
              <w:t>GARCH Filter</w:t>
            </w:r>
            <w:r w:rsidR="00474477">
              <w:rPr>
                <w:noProof/>
                <w:webHidden/>
              </w:rPr>
              <w:tab/>
            </w:r>
            <w:r w:rsidR="00474477">
              <w:rPr>
                <w:noProof/>
                <w:webHidden/>
              </w:rPr>
              <w:fldChar w:fldCharType="begin"/>
            </w:r>
            <w:r w:rsidR="00474477">
              <w:rPr>
                <w:noProof/>
                <w:webHidden/>
              </w:rPr>
              <w:instrText xml:space="preserve"> PAGEREF _Toc90500037 \h </w:instrText>
            </w:r>
            <w:r w:rsidR="00474477">
              <w:rPr>
                <w:noProof/>
                <w:webHidden/>
              </w:rPr>
            </w:r>
            <w:r w:rsidR="00474477">
              <w:rPr>
                <w:noProof/>
                <w:webHidden/>
              </w:rPr>
              <w:fldChar w:fldCharType="separate"/>
            </w:r>
            <w:r w:rsidR="00474477">
              <w:rPr>
                <w:noProof/>
                <w:webHidden/>
              </w:rPr>
              <w:t>266</w:t>
            </w:r>
            <w:r w:rsidR="00474477">
              <w:rPr>
                <w:noProof/>
                <w:webHidden/>
              </w:rPr>
              <w:fldChar w:fldCharType="end"/>
            </w:r>
          </w:hyperlink>
        </w:p>
        <w:p w14:paraId="2740012A" w14:textId="2FD6A327"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8" w:history="1">
            <w:r w:rsidR="00474477" w:rsidRPr="00E76B00">
              <w:rPr>
                <w:rStyle w:val="Hyperlink"/>
                <w:noProof/>
                <w:lang w:val="en-US"/>
              </w:rPr>
              <w:t>S&amp;P500</w:t>
            </w:r>
            <w:r w:rsidR="00474477">
              <w:rPr>
                <w:noProof/>
                <w:webHidden/>
              </w:rPr>
              <w:tab/>
            </w:r>
            <w:r w:rsidR="00474477">
              <w:rPr>
                <w:noProof/>
                <w:webHidden/>
              </w:rPr>
              <w:fldChar w:fldCharType="begin"/>
            </w:r>
            <w:r w:rsidR="00474477">
              <w:rPr>
                <w:noProof/>
                <w:webHidden/>
              </w:rPr>
              <w:instrText xml:space="preserve"> PAGEREF _Toc90500038 \h </w:instrText>
            </w:r>
            <w:r w:rsidR="00474477">
              <w:rPr>
                <w:noProof/>
                <w:webHidden/>
              </w:rPr>
            </w:r>
            <w:r w:rsidR="00474477">
              <w:rPr>
                <w:noProof/>
                <w:webHidden/>
              </w:rPr>
              <w:fldChar w:fldCharType="separate"/>
            </w:r>
            <w:r w:rsidR="00474477">
              <w:rPr>
                <w:noProof/>
                <w:webHidden/>
              </w:rPr>
              <w:t>266</w:t>
            </w:r>
            <w:r w:rsidR="00474477">
              <w:rPr>
                <w:noProof/>
                <w:webHidden/>
              </w:rPr>
              <w:fldChar w:fldCharType="end"/>
            </w:r>
          </w:hyperlink>
        </w:p>
        <w:p w14:paraId="5D7969AC" w14:textId="17414DE0"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39" w:history="1">
            <w:r w:rsidR="00474477" w:rsidRPr="00E76B00">
              <w:rPr>
                <w:rStyle w:val="Hyperlink"/>
                <w:noProof/>
                <w:lang w:val="en-US"/>
              </w:rPr>
              <w:t>ABCP</w:t>
            </w:r>
            <w:r w:rsidR="00474477">
              <w:rPr>
                <w:noProof/>
                <w:webHidden/>
              </w:rPr>
              <w:tab/>
            </w:r>
            <w:r w:rsidR="00474477">
              <w:rPr>
                <w:noProof/>
                <w:webHidden/>
              </w:rPr>
              <w:fldChar w:fldCharType="begin"/>
            </w:r>
            <w:r w:rsidR="00474477">
              <w:rPr>
                <w:noProof/>
                <w:webHidden/>
              </w:rPr>
              <w:instrText xml:space="preserve"> PAGEREF _Toc90500039 \h </w:instrText>
            </w:r>
            <w:r w:rsidR="00474477">
              <w:rPr>
                <w:noProof/>
                <w:webHidden/>
              </w:rPr>
            </w:r>
            <w:r w:rsidR="00474477">
              <w:rPr>
                <w:noProof/>
                <w:webHidden/>
              </w:rPr>
              <w:fldChar w:fldCharType="separate"/>
            </w:r>
            <w:r w:rsidR="00474477">
              <w:rPr>
                <w:noProof/>
                <w:webHidden/>
              </w:rPr>
              <w:t>267</w:t>
            </w:r>
            <w:r w:rsidR="00474477">
              <w:rPr>
                <w:noProof/>
                <w:webHidden/>
              </w:rPr>
              <w:fldChar w:fldCharType="end"/>
            </w:r>
          </w:hyperlink>
        </w:p>
        <w:p w14:paraId="15D7C34E" w14:textId="1D5CB904"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40" w:history="1">
            <w:r w:rsidR="00474477" w:rsidRPr="00E76B00">
              <w:rPr>
                <w:rStyle w:val="Hyperlink"/>
                <w:noProof/>
                <w:lang w:val="en-US"/>
              </w:rPr>
              <w:t>OIS</w:t>
            </w:r>
            <w:r w:rsidR="00474477">
              <w:rPr>
                <w:noProof/>
                <w:webHidden/>
              </w:rPr>
              <w:tab/>
            </w:r>
            <w:r w:rsidR="00474477">
              <w:rPr>
                <w:noProof/>
                <w:webHidden/>
              </w:rPr>
              <w:fldChar w:fldCharType="begin"/>
            </w:r>
            <w:r w:rsidR="00474477">
              <w:rPr>
                <w:noProof/>
                <w:webHidden/>
              </w:rPr>
              <w:instrText xml:space="preserve"> PAGEREF _Toc90500040 \h </w:instrText>
            </w:r>
            <w:r w:rsidR="00474477">
              <w:rPr>
                <w:noProof/>
                <w:webHidden/>
              </w:rPr>
            </w:r>
            <w:r w:rsidR="00474477">
              <w:rPr>
                <w:noProof/>
                <w:webHidden/>
              </w:rPr>
              <w:fldChar w:fldCharType="separate"/>
            </w:r>
            <w:r w:rsidR="00474477">
              <w:rPr>
                <w:noProof/>
                <w:webHidden/>
              </w:rPr>
              <w:t>267</w:t>
            </w:r>
            <w:r w:rsidR="00474477">
              <w:rPr>
                <w:noProof/>
                <w:webHidden/>
              </w:rPr>
              <w:fldChar w:fldCharType="end"/>
            </w:r>
          </w:hyperlink>
        </w:p>
        <w:p w14:paraId="116C3652" w14:textId="26D17A46"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41" w:history="1">
            <w:r w:rsidR="00474477" w:rsidRPr="00E76B00">
              <w:rPr>
                <w:rStyle w:val="Hyperlink"/>
                <w:noProof/>
                <w:lang w:val="en-US"/>
              </w:rPr>
              <w:t>TED</w:t>
            </w:r>
            <w:r w:rsidR="00474477">
              <w:rPr>
                <w:noProof/>
                <w:webHidden/>
              </w:rPr>
              <w:tab/>
            </w:r>
            <w:r w:rsidR="00474477">
              <w:rPr>
                <w:noProof/>
                <w:webHidden/>
              </w:rPr>
              <w:fldChar w:fldCharType="begin"/>
            </w:r>
            <w:r w:rsidR="00474477">
              <w:rPr>
                <w:noProof/>
                <w:webHidden/>
              </w:rPr>
              <w:instrText xml:space="preserve"> PAGEREF _Toc90500041 \h </w:instrText>
            </w:r>
            <w:r w:rsidR="00474477">
              <w:rPr>
                <w:noProof/>
                <w:webHidden/>
              </w:rPr>
            </w:r>
            <w:r w:rsidR="00474477">
              <w:rPr>
                <w:noProof/>
                <w:webHidden/>
              </w:rPr>
              <w:fldChar w:fldCharType="separate"/>
            </w:r>
            <w:r w:rsidR="00474477">
              <w:rPr>
                <w:noProof/>
                <w:webHidden/>
              </w:rPr>
              <w:t>267</w:t>
            </w:r>
            <w:r w:rsidR="00474477">
              <w:rPr>
                <w:noProof/>
                <w:webHidden/>
              </w:rPr>
              <w:fldChar w:fldCharType="end"/>
            </w:r>
          </w:hyperlink>
        </w:p>
        <w:p w14:paraId="7F6C96FE" w14:textId="0DA741B4"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42" w:history="1">
            <w:r w:rsidR="00474477" w:rsidRPr="00E76B00">
              <w:rPr>
                <w:rStyle w:val="Hyperlink"/>
                <w:noProof/>
                <w:lang w:val="en-US"/>
              </w:rPr>
              <w:t>Multivariat GARCH</w:t>
            </w:r>
            <w:r w:rsidR="00474477">
              <w:rPr>
                <w:noProof/>
                <w:webHidden/>
              </w:rPr>
              <w:tab/>
            </w:r>
            <w:r w:rsidR="00474477">
              <w:rPr>
                <w:noProof/>
                <w:webHidden/>
              </w:rPr>
              <w:fldChar w:fldCharType="begin"/>
            </w:r>
            <w:r w:rsidR="00474477">
              <w:rPr>
                <w:noProof/>
                <w:webHidden/>
              </w:rPr>
              <w:instrText xml:space="preserve"> PAGEREF _Toc90500042 \h </w:instrText>
            </w:r>
            <w:r w:rsidR="00474477">
              <w:rPr>
                <w:noProof/>
                <w:webHidden/>
              </w:rPr>
            </w:r>
            <w:r w:rsidR="00474477">
              <w:rPr>
                <w:noProof/>
                <w:webHidden/>
              </w:rPr>
              <w:fldChar w:fldCharType="separate"/>
            </w:r>
            <w:r w:rsidR="00474477">
              <w:rPr>
                <w:noProof/>
                <w:webHidden/>
              </w:rPr>
              <w:t>268</w:t>
            </w:r>
            <w:r w:rsidR="00474477">
              <w:rPr>
                <w:noProof/>
                <w:webHidden/>
              </w:rPr>
              <w:fldChar w:fldCharType="end"/>
            </w:r>
          </w:hyperlink>
        </w:p>
        <w:p w14:paraId="03E978C0" w14:textId="26058D7A"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43" w:history="1">
            <w:r w:rsidR="00474477" w:rsidRPr="00E76B00">
              <w:rPr>
                <w:rStyle w:val="Hyperlink"/>
                <w:noProof/>
                <w:lang w:val="en-US"/>
              </w:rPr>
              <w:t>Dynamic Conditional Correlation (DCC)</w:t>
            </w:r>
            <w:r w:rsidR="00474477">
              <w:rPr>
                <w:noProof/>
                <w:webHidden/>
              </w:rPr>
              <w:tab/>
            </w:r>
            <w:r w:rsidR="00474477">
              <w:rPr>
                <w:noProof/>
                <w:webHidden/>
              </w:rPr>
              <w:fldChar w:fldCharType="begin"/>
            </w:r>
            <w:r w:rsidR="00474477">
              <w:rPr>
                <w:noProof/>
                <w:webHidden/>
              </w:rPr>
              <w:instrText xml:space="preserve"> PAGEREF _Toc90500043 \h </w:instrText>
            </w:r>
            <w:r w:rsidR="00474477">
              <w:rPr>
                <w:noProof/>
                <w:webHidden/>
              </w:rPr>
            </w:r>
            <w:r w:rsidR="00474477">
              <w:rPr>
                <w:noProof/>
                <w:webHidden/>
              </w:rPr>
              <w:fldChar w:fldCharType="separate"/>
            </w:r>
            <w:r w:rsidR="00474477">
              <w:rPr>
                <w:noProof/>
                <w:webHidden/>
              </w:rPr>
              <w:t>268</w:t>
            </w:r>
            <w:r w:rsidR="00474477">
              <w:rPr>
                <w:noProof/>
                <w:webHidden/>
              </w:rPr>
              <w:fldChar w:fldCharType="end"/>
            </w:r>
          </w:hyperlink>
        </w:p>
        <w:p w14:paraId="2ECA1593" w14:textId="03DD5F75"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44" w:history="1">
            <w:r w:rsidR="00474477" w:rsidRPr="00E76B00">
              <w:rPr>
                <w:rStyle w:val="Hyperlink"/>
                <w:noProof/>
                <w:lang w:val="en-US"/>
              </w:rPr>
              <w:t>Appendix 1.2 (Stata and Matlab programing codes)</w:t>
            </w:r>
            <w:r w:rsidR="00474477">
              <w:rPr>
                <w:noProof/>
                <w:webHidden/>
              </w:rPr>
              <w:tab/>
            </w:r>
            <w:r w:rsidR="00474477">
              <w:rPr>
                <w:noProof/>
                <w:webHidden/>
              </w:rPr>
              <w:fldChar w:fldCharType="begin"/>
            </w:r>
            <w:r w:rsidR="00474477">
              <w:rPr>
                <w:noProof/>
                <w:webHidden/>
              </w:rPr>
              <w:instrText xml:space="preserve"> PAGEREF _Toc90500044 \h </w:instrText>
            </w:r>
            <w:r w:rsidR="00474477">
              <w:rPr>
                <w:noProof/>
                <w:webHidden/>
              </w:rPr>
            </w:r>
            <w:r w:rsidR="00474477">
              <w:rPr>
                <w:noProof/>
                <w:webHidden/>
              </w:rPr>
              <w:fldChar w:fldCharType="separate"/>
            </w:r>
            <w:r w:rsidR="00474477">
              <w:rPr>
                <w:noProof/>
                <w:webHidden/>
              </w:rPr>
              <w:t>270</w:t>
            </w:r>
            <w:r w:rsidR="00474477">
              <w:rPr>
                <w:noProof/>
                <w:webHidden/>
              </w:rPr>
              <w:fldChar w:fldCharType="end"/>
            </w:r>
          </w:hyperlink>
        </w:p>
        <w:p w14:paraId="19AA683E" w14:textId="72E5D5E3" w:rsidR="00474477" w:rsidRDefault="002C15FD">
          <w:pPr>
            <w:pStyle w:val="TOC1"/>
            <w:tabs>
              <w:tab w:val="right" w:leader="dot" w:pos="9016"/>
            </w:tabs>
            <w:rPr>
              <w:rFonts w:asciiTheme="minorHAnsi" w:eastAsiaTheme="minorEastAsia" w:hAnsiTheme="minorHAnsi" w:cstheme="minorBidi"/>
              <w:noProof/>
              <w:sz w:val="22"/>
              <w:szCs w:val="22"/>
              <w:lang w:eastAsia="en-GB"/>
            </w:rPr>
          </w:pPr>
          <w:hyperlink w:anchor="_Toc90500045" w:history="1">
            <w:r w:rsidR="00474477" w:rsidRPr="00E76B00">
              <w:rPr>
                <w:rStyle w:val="Hyperlink"/>
                <w:noProof/>
              </w:rPr>
              <w:t>Appendix 3.1 (Part 3 Results output)</w:t>
            </w:r>
            <w:r w:rsidR="00474477">
              <w:rPr>
                <w:noProof/>
                <w:webHidden/>
              </w:rPr>
              <w:tab/>
            </w:r>
            <w:r w:rsidR="00474477">
              <w:rPr>
                <w:noProof/>
                <w:webHidden/>
              </w:rPr>
              <w:fldChar w:fldCharType="begin"/>
            </w:r>
            <w:r w:rsidR="00474477">
              <w:rPr>
                <w:noProof/>
                <w:webHidden/>
              </w:rPr>
              <w:instrText xml:space="preserve"> PAGEREF _Toc90500045 \h </w:instrText>
            </w:r>
            <w:r w:rsidR="00474477">
              <w:rPr>
                <w:noProof/>
                <w:webHidden/>
              </w:rPr>
            </w:r>
            <w:r w:rsidR="00474477">
              <w:rPr>
                <w:noProof/>
                <w:webHidden/>
              </w:rPr>
              <w:fldChar w:fldCharType="separate"/>
            </w:r>
            <w:r w:rsidR="00474477">
              <w:rPr>
                <w:noProof/>
                <w:webHidden/>
              </w:rPr>
              <w:t>282</w:t>
            </w:r>
            <w:r w:rsidR="00474477">
              <w:rPr>
                <w:noProof/>
                <w:webHidden/>
              </w:rPr>
              <w:fldChar w:fldCharType="end"/>
            </w:r>
          </w:hyperlink>
        </w:p>
        <w:p w14:paraId="396DE312" w14:textId="79869883"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46" w:history="1">
            <w:r w:rsidR="00474477" w:rsidRPr="00E76B00">
              <w:rPr>
                <w:rStyle w:val="Hyperlink"/>
                <w:noProof/>
                <w:lang w:val="en-US"/>
              </w:rPr>
              <w:t>Descriptive statistics (1990-1991)</w:t>
            </w:r>
            <w:r w:rsidR="00474477">
              <w:rPr>
                <w:noProof/>
                <w:webHidden/>
              </w:rPr>
              <w:tab/>
            </w:r>
            <w:r w:rsidR="00474477">
              <w:rPr>
                <w:noProof/>
                <w:webHidden/>
              </w:rPr>
              <w:fldChar w:fldCharType="begin"/>
            </w:r>
            <w:r w:rsidR="00474477">
              <w:rPr>
                <w:noProof/>
                <w:webHidden/>
              </w:rPr>
              <w:instrText xml:space="preserve"> PAGEREF _Toc90500046 \h </w:instrText>
            </w:r>
            <w:r w:rsidR="00474477">
              <w:rPr>
                <w:noProof/>
                <w:webHidden/>
              </w:rPr>
            </w:r>
            <w:r w:rsidR="00474477">
              <w:rPr>
                <w:noProof/>
                <w:webHidden/>
              </w:rPr>
              <w:fldChar w:fldCharType="separate"/>
            </w:r>
            <w:r w:rsidR="00474477">
              <w:rPr>
                <w:noProof/>
                <w:webHidden/>
              </w:rPr>
              <w:t>282</w:t>
            </w:r>
            <w:r w:rsidR="00474477">
              <w:rPr>
                <w:noProof/>
                <w:webHidden/>
              </w:rPr>
              <w:fldChar w:fldCharType="end"/>
            </w:r>
          </w:hyperlink>
        </w:p>
        <w:p w14:paraId="47AD0D7E" w14:textId="49C1AE12" w:rsidR="00474477" w:rsidRDefault="002C15FD">
          <w:pPr>
            <w:pStyle w:val="TOC2"/>
            <w:tabs>
              <w:tab w:val="right" w:leader="dot" w:pos="9016"/>
            </w:tabs>
            <w:rPr>
              <w:rFonts w:asciiTheme="minorHAnsi" w:eastAsiaTheme="minorEastAsia" w:hAnsiTheme="minorHAnsi" w:cstheme="minorBidi"/>
              <w:noProof/>
              <w:sz w:val="22"/>
              <w:szCs w:val="22"/>
              <w:lang w:eastAsia="en-GB"/>
            </w:rPr>
          </w:pPr>
          <w:hyperlink w:anchor="_Toc90500047" w:history="1">
            <w:r w:rsidR="00474477" w:rsidRPr="00E76B00">
              <w:rPr>
                <w:rStyle w:val="Hyperlink"/>
                <w:noProof/>
                <w:lang w:val="en-US"/>
              </w:rPr>
              <w:t>GARCH models (1990-1991)</w:t>
            </w:r>
            <w:r w:rsidR="00474477">
              <w:rPr>
                <w:noProof/>
                <w:webHidden/>
              </w:rPr>
              <w:tab/>
            </w:r>
            <w:r w:rsidR="00474477">
              <w:rPr>
                <w:noProof/>
                <w:webHidden/>
              </w:rPr>
              <w:fldChar w:fldCharType="begin"/>
            </w:r>
            <w:r w:rsidR="00474477">
              <w:rPr>
                <w:noProof/>
                <w:webHidden/>
              </w:rPr>
              <w:instrText xml:space="preserve"> PAGEREF _Toc90500047 \h </w:instrText>
            </w:r>
            <w:r w:rsidR="00474477">
              <w:rPr>
                <w:noProof/>
                <w:webHidden/>
              </w:rPr>
            </w:r>
            <w:r w:rsidR="00474477">
              <w:rPr>
                <w:noProof/>
                <w:webHidden/>
              </w:rPr>
              <w:fldChar w:fldCharType="separate"/>
            </w:r>
            <w:r w:rsidR="00474477">
              <w:rPr>
                <w:noProof/>
                <w:webHidden/>
              </w:rPr>
              <w:t>282</w:t>
            </w:r>
            <w:r w:rsidR="00474477">
              <w:rPr>
                <w:noProof/>
                <w:webHidden/>
              </w:rPr>
              <w:fldChar w:fldCharType="end"/>
            </w:r>
          </w:hyperlink>
        </w:p>
        <w:p w14:paraId="54EB8073" w14:textId="28EDFFAF"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48" w:history="1">
            <w:r w:rsidR="00474477" w:rsidRPr="00E76B00">
              <w:rPr>
                <w:rStyle w:val="Hyperlink"/>
                <w:noProof/>
                <w:lang w:val="en-US"/>
              </w:rPr>
              <w:t>Historic returns</w:t>
            </w:r>
            <w:r w:rsidR="00474477">
              <w:rPr>
                <w:noProof/>
                <w:webHidden/>
              </w:rPr>
              <w:tab/>
            </w:r>
            <w:r w:rsidR="00474477">
              <w:rPr>
                <w:noProof/>
                <w:webHidden/>
              </w:rPr>
              <w:fldChar w:fldCharType="begin"/>
            </w:r>
            <w:r w:rsidR="00474477">
              <w:rPr>
                <w:noProof/>
                <w:webHidden/>
              </w:rPr>
              <w:instrText xml:space="preserve"> PAGEREF _Toc90500048 \h </w:instrText>
            </w:r>
            <w:r w:rsidR="00474477">
              <w:rPr>
                <w:noProof/>
                <w:webHidden/>
              </w:rPr>
            </w:r>
            <w:r w:rsidR="00474477">
              <w:rPr>
                <w:noProof/>
                <w:webHidden/>
              </w:rPr>
              <w:fldChar w:fldCharType="separate"/>
            </w:r>
            <w:r w:rsidR="00474477">
              <w:rPr>
                <w:noProof/>
                <w:webHidden/>
              </w:rPr>
              <w:t>282</w:t>
            </w:r>
            <w:r w:rsidR="00474477">
              <w:rPr>
                <w:noProof/>
                <w:webHidden/>
              </w:rPr>
              <w:fldChar w:fldCharType="end"/>
            </w:r>
          </w:hyperlink>
        </w:p>
        <w:p w14:paraId="69ABA845" w14:textId="4F677E8A"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49" w:history="1">
            <w:r w:rsidR="00474477" w:rsidRPr="00E76B00">
              <w:rPr>
                <w:rStyle w:val="Hyperlink"/>
                <w:noProof/>
                <w:lang w:val="en-US"/>
              </w:rPr>
              <w:t>GARCH</w:t>
            </w:r>
            <w:r w:rsidR="00474477">
              <w:rPr>
                <w:noProof/>
                <w:webHidden/>
              </w:rPr>
              <w:tab/>
            </w:r>
            <w:r w:rsidR="00474477">
              <w:rPr>
                <w:noProof/>
                <w:webHidden/>
              </w:rPr>
              <w:fldChar w:fldCharType="begin"/>
            </w:r>
            <w:r w:rsidR="00474477">
              <w:rPr>
                <w:noProof/>
                <w:webHidden/>
              </w:rPr>
              <w:instrText xml:space="preserve"> PAGEREF _Toc90500049 \h </w:instrText>
            </w:r>
            <w:r w:rsidR="00474477">
              <w:rPr>
                <w:noProof/>
                <w:webHidden/>
              </w:rPr>
            </w:r>
            <w:r w:rsidR="00474477">
              <w:rPr>
                <w:noProof/>
                <w:webHidden/>
              </w:rPr>
              <w:fldChar w:fldCharType="separate"/>
            </w:r>
            <w:r w:rsidR="00474477">
              <w:rPr>
                <w:noProof/>
                <w:webHidden/>
              </w:rPr>
              <w:t>283</w:t>
            </w:r>
            <w:r w:rsidR="00474477">
              <w:rPr>
                <w:noProof/>
                <w:webHidden/>
              </w:rPr>
              <w:fldChar w:fldCharType="end"/>
            </w:r>
          </w:hyperlink>
        </w:p>
        <w:p w14:paraId="79635FDD" w14:textId="37DEB7D0" w:rsidR="00474477" w:rsidRDefault="002C15FD">
          <w:pPr>
            <w:pStyle w:val="TOC3"/>
            <w:tabs>
              <w:tab w:val="right" w:leader="dot" w:pos="9016"/>
            </w:tabs>
            <w:rPr>
              <w:rFonts w:asciiTheme="minorHAnsi" w:eastAsiaTheme="minorEastAsia" w:hAnsiTheme="minorHAnsi" w:cstheme="minorBidi"/>
              <w:noProof/>
              <w:sz w:val="22"/>
              <w:szCs w:val="22"/>
              <w:lang w:eastAsia="en-GB"/>
            </w:rPr>
          </w:pPr>
          <w:hyperlink w:anchor="_Toc90500050" w:history="1">
            <w:r w:rsidR="00474477" w:rsidRPr="00E76B00">
              <w:rPr>
                <w:rStyle w:val="Hyperlink"/>
                <w:noProof/>
                <w:lang w:val="en-US"/>
              </w:rPr>
              <w:t>IFBM GARCH</w:t>
            </w:r>
            <w:r w:rsidR="00474477">
              <w:rPr>
                <w:noProof/>
                <w:webHidden/>
              </w:rPr>
              <w:tab/>
            </w:r>
            <w:r w:rsidR="00474477">
              <w:rPr>
                <w:noProof/>
                <w:webHidden/>
              </w:rPr>
              <w:fldChar w:fldCharType="begin"/>
            </w:r>
            <w:r w:rsidR="00474477">
              <w:rPr>
                <w:noProof/>
                <w:webHidden/>
              </w:rPr>
              <w:instrText xml:space="preserve"> PAGEREF _Toc90500050 \h </w:instrText>
            </w:r>
            <w:r w:rsidR="00474477">
              <w:rPr>
                <w:noProof/>
                <w:webHidden/>
              </w:rPr>
            </w:r>
            <w:r w:rsidR="00474477">
              <w:rPr>
                <w:noProof/>
                <w:webHidden/>
              </w:rPr>
              <w:fldChar w:fldCharType="separate"/>
            </w:r>
            <w:r w:rsidR="00474477">
              <w:rPr>
                <w:noProof/>
                <w:webHidden/>
              </w:rPr>
              <w:t>284</w:t>
            </w:r>
            <w:r w:rsidR="00474477">
              <w:rPr>
                <w:noProof/>
                <w:webHidden/>
              </w:rPr>
              <w:fldChar w:fldCharType="end"/>
            </w:r>
          </w:hyperlink>
        </w:p>
        <w:p w14:paraId="1D37780D" w14:textId="7461AAB3" w:rsidR="00561654" w:rsidRDefault="00561654">
          <w:r>
            <w:rPr>
              <w:b/>
              <w:bCs/>
              <w:noProof/>
            </w:rPr>
            <w:fldChar w:fldCharType="end"/>
          </w:r>
        </w:p>
      </w:sdtContent>
    </w:sdt>
    <w:p w14:paraId="0995C73B" w14:textId="4927052F" w:rsidR="000D388A" w:rsidRDefault="00177885" w:rsidP="00177885">
      <w:pPr>
        <w:pStyle w:val="Heading1"/>
      </w:pPr>
      <w:bookmarkStart w:id="7" w:name="_Toc90499920"/>
      <w:r>
        <w:t>Tables of figures</w:t>
      </w:r>
      <w:bookmarkEnd w:id="7"/>
    </w:p>
    <w:p w14:paraId="1681ED5F" w14:textId="3B51BD4E" w:rsidR="000D388A" w:rsidRPr="00387EE5" w:rsidRDefault="008128CD" w:rsidP="00BF3A39">
      <w:pPr>
        <w:pStyle w:val="TableofFigures"/>
        <w:tabs>
          <w:tab w:val="right" w:leader="dot" w:pos="9016"/>
        </w:tabs>
        <w:spacing w:line="360" w:lineRule="auto"/>
        <w:rPr>
          <w:rFonts w:ascii="Times New Roman" w:eastAsiaTheme="minorEastAsia" w:hAnsi="Times New Roman" w:cs="Times New Roman"/>
          <w:noProof/>
          <w:sz w:val="24"/>
          <w:szCs w:val="24"/>
        </w:rPr>
      </w:pPr>
      <w:r>
        <w:fldChar w:fldCharType="begin"/>
      </w:r>
      <w:r>
        <w:instrText xml:space="preserve"> TOC \h \z \c "Figure" </w:instrText>
      </w:r>
      <w:r>
        <w:fldChar w:fldCharType="separate"/>
      </w:r>
      <w:hyperlink w:anchor="_Toc78498666" w:history="1">
        <w:r w:rsidR="000D388A" w:rsidRPr="00387EE5">
          <w:rPr>
            <w:rStyle w:val="Hyperlink"/>
            <w:rFonts w:ascii="Times New Roman" w:hAnsi="Times New Roman" w:cs="Times New Roman"/>
            <w:noProof/>
            <w:sz w:val="24"/>
            <w:szCs w:val="24"/>
          </w:rPr>
          <w:t>Figure 1.2.1 Securitization Process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_Toc78498666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26</w:t>
        </w:r>
        <w:r w:rsidR="000D388A" w:rsidRPr="00387EE5">
          <w:rPr>
            <w:rFonts w:ascii="Times New Roman" w:hAnsi="Times New Roman" w:cs="Times New Roman"/>
            <w:noProof/>
            <w:webHidden/>
            <w:sz w:val="24"/>
            <w:szCs w:val="24"/>
          </w:rPr>
          <w:fldChar w:fldCharType="end"/>
        </w:r>
      </w:hyperlink>
    </w:p>
    <w:p w14:paraId="117C017F" w14:textId="166D2976"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67" w:history="1">
        <w:r w:rsidR="000D388A" w:rsidRPr="00387EE5">
          <w:rPr>
            <w:rStyle w:val="Hyperlink"/>
            <w:rFonts w:ascii="Times New Roman" w:hAnsi="Times New Roman" w:cs="Times New Roman"/>
            <w:noProof/>
            <w:sz w:val="24"/>
            <w:szCs w:val="24"/>
          </w:rPr>
          <w:t>Figure1.2.2 Repo market size in U.S., EA and U.K</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_Toc78498667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28</w:t>
        </w:r>
        <w:r w:rsidR="000D388A" w:rsidRPr="00387EE5">
          <w:rPr>
            <w:rFonts w:ascii="Times New Roman" w:hAnsi="Times New Roman" w:cs="Times New Roman"/>
            <w:noProof/>
            <w:webHidden/>
            <w:sz w:val="24"/>
            <w:szCs w:val="24"/>
          </w:rPr>
          <w:fldChar w:fldCharType="end"/>
        </w:r>
      </w:hyperlink>
    </w:p>
    <w:p w14:paraId="5D523083" w14:textId="0E023B3C"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68" w:history="1">
        <w:r w:rsidR="000D388A" w:rsidRPr="00387EE5">
          <w:rPr>
            <w:rStyle w:val="Hyperlink"/>
            <w:rFonts w:ascii="Times New Roman" w:hAnsi="Times New Roman" w:cs="Times New Roman"/>
            <w:noProof/>
            <w:sz w:val="24"/>
            <w:szCs w:val="24"/>
          </w:rPr>
          <w:t>Figure 1.2.3 On and Off-Balance-Sheet Financing</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_Toc78498668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35</w:t>
        </w:r>
        <w:r w:rsidR="000D388A" w:rsidRPr="00387EE5">
          <w:rPr>
            <w:rFonts w:ascii="Times New Roman" w:hAnsi="Times New Roman" w:cs="Times New Roman"/>
            <w:noProof/>
            <w:webHidden/>
            <w:sz w:val="24"/>
            <w:szCs w:val="24"/>
          </w:rPr>
          <w:fldChar w:fldCharType="end"/>
        </w:r>
      </w:hyperlink>
    </w:p>
    <w:p w14:paraId="351C0774" w14:textId="4AEE308E"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69" w:history="1">
        <w:r w:rsidR="000D388A" w:rsidRPr="00387EE5">
          <w:rPr>
            <w:rStyle w:val="Hyperlink"/>
            <w:rFonts w:ascii="Times New Roman" w:hAnsi="Times New Roman" w:cs="Times New Roman"/>
            <w:noProof/>
            <w:sz w:val="24"/>
            <w:szCs w:val="24"/>
          </w:rPr>
          <w:t>Figure 1.2.4 Ratio of Total Private Securitization to Total Bank Loans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_Toc78498669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36</w:t>
        </w:r>
        <w:r w:rsidR="000D388A" w:rsidRPr="00387EE5">
          <w:rPr>
            <w:rFonts w:ascii="Times New Roman" w:hAnsi="Times New Roman" w:cs="Times New Roman"/>
            <w:noProof/>
            <w:webHidden/>
            <w:sz w:val="24"/>
            <w:szCs w:val="24"/>
          </w:rPr>
          <w:fldChar w:fldCharType="end"/>
        </w:r>
      </w:hyperlink>
    </w:p>
    <w:p w14:paraId="0F56BC45" w14:textId="05487284"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0" w:history="1">
        <w:r w:rsidR="000D388A" w:rsidRPr="00387EE5">
          <w:rPr>
            <w:rStyle w:val="Hyperlink"/>
            <w:rFonts w:ascii="Times New Roman" w:hAnsi="Times New Roman" w:cs="Times New Roman"/>
            <w:noProof/>
            <w:sz w:val="24"/>
            <w:szCs w:val="24"/>
          </w:rPr>
          <w:t>Figure 1.2.5 Collateral Received (Permitted to be pledged at Large U.S. Banks)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_Toc78498670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38</w:t>
        </w:r>
        <w:r w:rsidR="000D388A" w:rsidRPr="00387EE5">
          <w:rPr>
            <w:rFonts w:ascii="Times New Roman" w:hAnsi="Times New Roman" w:cs="Times New Roman"/>
            <w:noProof/>
            <w:webHidden/>
            <w:sz w:val="24"/>
            <w:szCs w:val="24"/>
          </w:rPr>
          <w:fldChar w:fldCharType="end"/>
        </w:r>
      </w:hyperlink>
    </w:p>
    <w:p w14:paraId="0D814F5A" w14:textId="5D90CFDA"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1" w:history="1">
        <w:r w:rsidR="000D388A" w:rsidRPr="00387EE5">
          <w:rPr>
            <w:rStyle w:val="Hyperlink"/>
            <w:rFonts w:ascii="Times New Roman" w:hAnsi="Times New Roman" w:cs="Times New Roman"/>
            <w:noProof/>
            <w:sz w:val="24"/>
            <w:szCs w:val="24"/>
          </w:rPr>
          <w:t>Figure 1.2.6 Collateral Received (Permitted to be pledged at Large European Banks)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_Toc78498671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38</w:t>
        </w:r>
        <w:r w:rsidR="000D388A" w:rsidRPr="00387EE5">
          <w:rPr>
            <w:rFonts w:ascii="Times New Roman" w:hAnsi="Times New Roman" w:cs="Times New Roman"/>
            <w:noProof/>
            <w:webHidden/>
            <w:sz w:val="24"/>
            <w:szCs w:val="24"/>
          </w:rPr>
          <w:fldChar w:fldCharType="end"/>
        </w:r>
      </w:hyperlink>
    </w:p>
    <w:p w14:paraId="34CDF096" w14:textId="33180528"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2" w:history="1">
        <w:r w:rsidR="000D388A" w:rsidRPr="00387EE5">
          <w:rPr>
            <w:rStyle w:val="Hyperlink"/>
            <w:rFonts w:ascii="Times New Roman" w:hAnsi="Times New Roman" w:cs="Times New Roman"/>
            <w:noProof/>
            <w:sz w:val="24"/>
            <w:szCs w:val="24"/>
          </w:rPr>
          <w:t>Figure 1.2.7 Re-pledge collateral – Aggregate Market Size</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_Toc78498672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41</w:t>
        </w:r>
        <w:r w:rsidR="000D388A" w:rsidRPr="00387EE5">
          <w:rPr>
            <w:rFonts w:ascii="Times New Roman" w:hAnsi="Times New Roman" w:cs="Times New Roman"/>
            <w:noProof/>
            <w:webHidden/>
            <w:sz w:val="24"/>
            <w:szCs w:val="24"/>
          </w:rPr>
          <w:fldChar w:fldCharType="end"/>
        </w:r>
      </w:hyperlink>
    </w:p>
    <w:p w14:paraId="5B936981" w14:textId="5A1D22C4"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3" w:history="1">
        <w:r w:rsidR="000D388A" w:rsidRPr="00387EE5">
          <w:rPr>
            <w:rStyle w:val="Hyperlink"/>
            <w:rFonts w:ascii="Times New Roman" w:hAnsi="Times New Roman" w:cs="Times New Roman"/>
            <w:noProof/>
            <w:sz w:val="24"/>
            <w:szCs w:val="24"/>
          </w:rPr>
          <w:t>Figure 1.4.1 Asset Backed Commercial Paper (ABCP) Spread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_Toc78498673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77</w:t>
        </w:r>
        <w:r w:rsidR="000D388A" w:rsidRPr="00387EE5">
          <w:rPr>
            <w:rFonts w:ascii="Times New Roman" w:hAnsi="Times New Roman" w:cs="Times New Roman"/>
            <w:noProof/>
            <w:webHidden/>
            <w:sz w:val="24"/>
            <w:szCs w:val="24"/>
          </w:rPr>
          <w:fldChar w:fldCharType="end"/>
        </w:r>
      </w:hyperlink>
    </w:p>
    <w:p w14:paraId="414370DA" w14:textId="206AB43B"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4" w:history="1">
        <w:r w:rsidR="000D388A" w:rsidRPr="00387EE5">
          <w:rPr>
            <w:rStyle w:val="Hyperlink"/>
            <w:rFonts w:ascii="Times New Roman" w:hAnsi="Times New Roman" w:cs="Times New Roman"/>
            <w:noProof/>
            <w:sz w:val="24"/>
            <w:szCs w:val="24"/>
          </w:rPr>
          <w:t>Figure 1.4.2 Overnight Index Swap Spread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_Toc78498674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78</w:t>
        </w:r>
        <w:r w:rsidR="000D388A" w:rsidRPr="00387EE5">
          <w:rPr>
            <w:rFonts w:ascii="Times New Roman" w:hAnsi="Times New Roman" w:cs="Times New Roman"/>
            <w:noProof/>
            <w:webHidden/>
            <w:sz w:val="24"/>
            <w:szCs w:val="24"/>
          </w:rPr>
          <w:fldChar w:fldCharType="end"/>
        </w:r>
      </w:hyperlink>
    </w:p>
    <w:p w14:paraId="534D1FC1" w14:textId="744C2E1C"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5" w:history="1">
        <w:r w:rsidR="000D388A" w:rsidRPr="00387EE5">
          <w:rPr>
            <w:rStyle w:val="Hyperlink"/>
            <w:rFonts w:ascii="Times New Roman" w:hAnsi="Times New Roman" w:cs="Times New Roman"/>
            <w:noProof/>
            <w:sz w:val="24"/>
            <w:szCs w:val="24"/>
          </w:rPr>
          <w:t>Figure 1.4.3 TED Spread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_Toc78498675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79</w:t>
        </w:r>
        <w:r w:rsidR="000D388A" w:rsidRPr="00387EE5">
          <w:rPr>
            <w:rFonts w:ascii="Times New Roman" w:hAnsi="Times New Roman" w:cs="Times New Roman"/>
            <w:noProof/>
            <w:webHidden/>
            <w:sz w:val="24"/>
            <w:szCs w:val="24"/>
          </w:rPr>
          <w:fldChar w:fldCharType="end"/>
        </w:r>
      </w:hyperlink>
    </w:p>
    <w:p w14:paraId="50C810AB" w14:textId="399F65A3"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6" w:history="1">
        <w:r w:rsidR="000D388A" w:rsidRPr="00387EE5">
          <w:rPr>
            <w:rStyle w:val="Hyperlink"/>
            <w:rFonts w:ascii="Times New Roman" w:hAnsi="Times New Roman" w:cs="Times New Roman"/>
            <w:noProof/>
            <w:sz w:val="24"/>
            <w:szCs w:val="24"/>
          </w:rPr>
          <w:t>Figure 1.4.4  S&amp;P 500 returns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_Toc78498676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80</w:t>
        </w:r>
        <w:r w:rsidR="000D388A" w:rsidRPr="00387EE5">
          <w:rPr>
            <w:rFonts w:ascii="Times New Roman" w:hAnsi="Times New Roman" w:cs="Times New Roman"/>
            <w:noProof/>
            <w:webHidden/>
            <w:sz w:val="24"/>
            <w:szCs w:val="24"/>
          </w:rPr>
          <w:fldChar w:fldCharType="end"/>
        </w:r>
      </w:hyperlink>
    </w:p>
    <w:p w14:paraId="26345CFE" w14:textId="79C580D5"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7" w:history="1">
        <w:r w:rsidR="000D388A" w:rsidRPr="00387EE5">
          <w:rPr>
            <w:rStyle w:val="Hyperlink"/>
            <w:rFonts w:ascii="Times New Roman" w:hAnsi="Times New Roman" w:cs="Times New Roman"/>
            <w:noProof/>
            <w:sz w:val="24"/>
            <w:szCs w:val="24"/>
          </w:rPr>
          <w:t>Figure 1.4.5 S&amp;P 500 returns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_Toc78498677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81</w:t>
        </w:r>
        <w:r w:rsidR="000D388A" w:rsidRPr="00387EE5">
          <w:rPr>
            <w:rFonts w:ascii="Times New Roman" w:hAnsi="Times New Roman" w:cs="Times New Roman"/>
            <w:noProof/>
            <w:webHidden/>
            <w:sz w:val="24"/>
            <w:szCs w:val="24"/>
          </w:rPr>
          <w:fldChar w:fldCharType="end"/>
        </w:r>
      </w:hyperlink>
    </w:p>
    <w:p w14:paraId="41E05331" w14:textId="72C9D2AB"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8" w:history="1">
        <w:r w:rsidR="000D388A" w:rsidRPr="00387EE5">
          <w:rPr>
            <w:rStyle w:val="Hyperlink"/>
            <w:rFonts w:ascii="Times New Roman" w:hAnsi="Times New Roman" w:cs="Times New Roman"/>
            <w:noProof/>
            <w:sz w:val="24"/>
            <w:szCs w:val="24"/>
          </w:rPr>
          <w:t>Figure 1.4.6 Quantile-Quantile plots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_Toc78498678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82</w:t>
        </w:r>
        <w:r w:rsidR="000D388A" w:rsidRPr="00387EE5">
          <w:rPr>
            <w:rFonts w:ascii="Times New Roman" w:hAnsi="Times New Roman" w:cs="Times New Roman"/>
            <w:noProof/>
            <w:webHidden/>
            <w:sz w:val="24"/>
            <w:szCs w:val="24"/>
          </w:rPr>
          <w:fldChar w:fldCharType="end"/>
        </w:r>
      </w:hyperlink>
    </w:p>
    <w:p w14:paraId="55E44D40" w14:textId="186B4C01"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79" w:history="1">
        <w:r w:rsidR="000D388A" w:rsidRPr="00387EE5">
          <w:rPr>
            <w:rStyle w:val="Hyperlink"/>
            <w:rFonts w:ascii="Times New Roman" w:hAnsi="Times New Roman" w:cs="Times New Roman"/>
            <w:noProof/>
            <w:sz w:val="24"/>
            <w:szCs w:val="24"/>
          </w:rPr>
          <w:t>Figure 1.4.7 Marginal Density Distribution</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_Toc78498679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82</w:t>
        </w:r>
        <w:r w:rsidR="000D388A" w:rsidRPr="00387EE5">
          <w:rPr>
            <w:rFonts w:ascii="Times New Roman" w:hAnsi="Times New Roman" w:cs="Times New Roman"/>
            <w:noProof/>
            <w:webHidden/>
            <w:sz w:val="24"/>
            <w:szCs w:val="24"/>
          </w:rPr>
          <w:fldChar w:fldCharType="end"/>
        </w:r>
      </w:hyperlink>
    </w:p>
    <w:p w14:paraId="327470E9" w14:textId="6CA825E4"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0" w:history="1">
        <w:r w:rsidR="000D388A" w:rsidRPr="00387EE5">
          <w:rPr>
            <w:rStyle w:val="Hyperlink"/>
            <w:rFonts w:ascii="Times New Roman" w:hAnsi="Times New Roman" w:cs="Times New Roman"/>
            <w:noProof/>
            <w:sz w:val="24"/>
            <w:szCs w:val="24"/>
          </w:rPr>
          <w:t>Figure 1.4.8 Marginal Density Distribution for pre, during and post crisis period.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_Toc78498680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83</w:t>
        </w:r>
        <w:r w:rsidR="000D388A" w:rsidRPr="00387EE5">
          <w:rPr>
            <w:rFonts w:ascii="Times New Roman" w:hAnsi="Times New Roman" w:cs="Times New Roman"/>
            <w:noProof/>
            <w:webHidden/>
            <w:sz w:val="24"/>
            <w:szCs w:val="24"/>
          </w:rPr>
          <w:fldChar w:fldCharType="end"/>
        </w:r>
      </w:hyperlink>
    </w:p>
    <w:p w14:paraId="381C5A42" w14:textId="20785619"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1" w:history="1">
        <w:r w:rsidR="000D388A" w:rsidRPr="00387EE5">
          <w:rPr>
            <w:rStyle w:val="Hyperlink"/>
            <w:rFonts w:ascii="Times New Roman" w:hAnsi="Times New Roman" w:cs="Times New Roman"/>
            <w:noProof/>
            <w:sz w:val="24"/>
            <w:szCs w:val="24"/>
          </w:rPr>
          <w:t>Figure 1.4.9 Graphical Evidence of Volatility</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_Toc78498681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89</w:t>
        </w:r>
        <w:r w:rsidR="000D388A" w:rsidRPr="00387EE5">
          <w:rPr>
            <w:rFonts w:ascii="Times New Roman" w:hAnsi="Times New Roman" w:cs="Times New Roman"/>
            <w:noProof/>
            <w:webHidden/>
            <w:sz w:val="24"/>
            <w:szCs w:val="24"/>
          </w:rPr>
          <w:fldChar w:fldCharType="end"/>
        </w:r>
      </w:hyperlink>
    </w:p>
    <w:p w14:paraId="32BF77FC" w14:textId="7192E500"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2" w:history="1">
        <w:r w:rsidR="000D388A" w:rsidRPr="00387EE5">
          <w:rPr>
            <w:rStyle w:val="Hyperlink"/>
            <w:rFonts w:ascii="Times New Roman" w:hAnsi="Times New Roman" w:cs="Times New Roman"/>
            <w:noProof/>
            <w:sz w:val="24"/>
            <w:szCs w:val="24"/>
          </w:rPr>
          <w:t>Figure 1.4.13 Partial Autocorrelation after best ARMA</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_Toc78498682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92</w:t>
        </w:r>
        <w:r w:rsidR="000D388A" w:rsidRPr="00387EE5">
          <w:rPr>
            <w:rFonts w:ascii="Times New Roman" w:hAnsi="Times New Roman" w:cs="Times New Roman"/>
            <w:noProof/>
            <w:webHidden/>
            <w:sz w:val="24"/>
            <w:szCs w:val="24"/>
          </w:rPr>
          <w:fldChar w:fldCharType="end"/>
        </w:r>
      </w:hyperlink>
    </w:p>
    <w:p w14:paraId="766AC880" w14:textId="1735C502"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3" w:history="1">
        <w:r w:rsidR="000D388A" w:rsidRPr="00387EE5">
          <w:rPr>
            <w:rStyle w:val="Hyperlink"/>
            <w:rFonts w:ascii="Times New Roman" w:hAnsi="Times New Roman" w:cs="Times New Roman"/>
            <w:noProof/>
            <w:sz w:val="24"/>
            <w:szCs w:val="24"/>
          </w:rPr>
          <w:t>Figure 1.4.14 Conditional correlation implied in DCC Pre-Crisis period.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_Toc78498683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94</w:t>
        </w:r>
        <w:r w:rsidR="000D388A" w:rsidRPr="00387EE5">
          <w:rPr>
            <w:rFonts w:ascii="Times New Roman" w:hAnsi="Times New Roman" w:cs="Times New Roman"/>
            <w:noProof/>
            <w:webHidden/>
            <w:sz w:val="24"/>
            <w:szCs w:val="24"/>
          </w:rPr>
          <w:fldChar w:fldCharType="end"/>
        </w:r>
      </w:hyperlink>
    </w:p>
    <w:p w14:paraId="799ABB0D" w14:textId="558A9988"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4" w:history="1">
        <w:r w:rsidR="000D388A" w:rsidRPr="00387EE5">
          <w:rPr>
            <w:rStyle w:val="Hyperlink"/>
            <w:rFonts w:ascii="Times New Roman" w:hAnsi="Times New Roman" w:cs="Times New Roman"/>
            <w:noProof/>
            <w:sz w:val="24"/>
            <w:szCs w:val="24"/>
          </w:rPr>
          <w:t>Figure 1.4.15 Conditional correlation implied in DCC During-Crisis period.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_Toc78498684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94</w:t>
        </w:r>
        <w:r w:rsidR="000D388A" w:rsidRPr="00387EE5">
          <w:rPr>
            <w:rFonts w:ascii="Times New Roman" w:hAnsi="Times New Roman" w:cs="Times New Roman"/>
            <w:noProof/>
            <w:webHidden/>
            <w:sz w:val="24"/>
            <w:szCs w:val="24"/>
          </w:rPr>
          <w:fldChar w:fldCharType="end"/>
        </w:r>
      </w:hyperlink>
    </w:p>
    <w:p w14:paraId="4006D8EF" w14:textId="2D0B1493"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5" w:history="1">
        <w:r w:rsidR="000D388A" w:rsidRPr="00387EE5">
          <w:rPr>
            <w:rStyle w:val="Hyperlink"/>
            <w:rFonts w:ascii="Times New Roman" w:hAnsi="Times New Roman" w:cs="Times New Roman"/>
            <w:noProof/>
            <w:sz w:val="24"/>
            <w:szCs w:val="24"/>
          </w:rPr>
          <w:t>Figure 1.4.16 Conditional correlation implied in DCC Post-Crisis period.</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_Toc78498685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95</w:t>
        </w:r>
        <w:r w:rsidR="000D388A" w:rsidRPr="00387EE5">
          <w:rPr>
            <w:rFonts w:ascii="Times New Roman" w:hAnsi="Times New Roman" w:cs="Times New Roman"/>
            <w:noProof/>
            <w:webHidden/>
            <w:sz w:val="24"/>
            <w:szCs w:val="24"/>
          </w:rPr>
          <w:fldChar w:fldCharType="end"/>
        </w:r>
      </w:hyperlink>
    </w:p>
    <w:p w14:paraId="61BD225D" w14:textId="25A9BCDA"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6" w:history="1">
        <w:r w:rsidR="000D388A" w:rsidRPr="00387EE5">
          <w:rPr>
            <w:rStyle w:val="Hyperlink"/>
            <w:rFonts w:ascii="Times New Roman" w:hAnsi="Times New Roman" w:cs="Times New Roman"/>
            <w:noProof/>
            <w:sz w:val="24"/>
            <w:szCs w:val="24"/>
          </w:rPr>
          <w:t>Figure 1.4.</w:t>
        </w:r>
        <w:r w:rsidR="00AC4E4E" w:rsidRPr="00387EE5">
          <w:rPr>
            <w:rStyle w:val="Hyperlink"/>
            <w:rFonts w:ascii="Times New Roman" w:hAnsi="Times New Roman" w:cs="Times New Roman"/>
            <w:noProof/>
            <w:sz w:val="24"/>
            <w:szCs w:val="24"/>
          </w:rPr>
          <w:t>1</w:t>
        </w:r>
        <w:r w:rsidR="000D388A" w:rsidRPr="00387EE5">
          <w:rPr>
            <w:rStyle w:val="Hyperlink"/>
            <w:rFonts w:ascii="Times New Roman" w:hAnsi="Times New Roman" w:cs="Times New Roman"/>
            <w:noProof/>
            <w:sz w:val="24"/>
            <w:szCs w:val="24"/>
          </w:rPr>
          <w:t>7 Time-varying Conditional Correlations</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_Toc78498686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102</w:t>
        </w:r>
        <w:r w:rsidR="000D388A" w:rsidRPr="00387EE5">
          <w:rPr>
            <w:rFonts w:ascii="Times New Roman" w:hAnsi="Times New Roman" w:cs="Times New Roman"/>
            <w:noProof/>
            <w:webHidden/>
            <w:sz w:val="24"/>
            <w:szCs w:val="24"/>
          </w:rPr>
          <w:fldChar w:fldCharType="end"/>
        </w:r>
      </w:hyperlink>
    </w:p>
    <w:p w14:paraId="2FDC25F3" w14:textId="0EE558AA"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7" w:history="1">
        <w:r w:rsidR="000D388A" w:rsidRPr="00387EE5">
          <w:rPr>
            <w:rStyle w:val="Hyperlink"/>
            <w:rFonts w:ascii="Times New Roman" w:hAnsi="Times New Roman" w:cs="Times New Roman"/>
            <w:noProof/>
            <w:sz w:val="24"/>
            <w:szCs w:val="24"/>
          </w:rPr>
          <w:t>Figure 2.4.1 (bottom) S&amp;P500 daily minute volume, (Top) corresponding daily log returns, between 01/05/2013 and 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_Toc78498687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136</w:t>
        </w:r>
        <w:r w:rsidR="000D388A" w:rsidRPr="00387EE5">
          <w:rPr>
            <w:rFonts w:ascii="Times New Roman" w:hAnsi="Times New Roman" w:cs="Times New Roman"/>
            <w:noProof/>
            <w:webHidden/>
            <w:sz w:val="24"/>
            <w:szCs w:val="24"/>
          </w:rPr>
          <w:fldChar w:fldCharType="end"/>
        </w:r>
      </w:hyperlink>
    </w:p>
    <w:p w14:paraId="2BA89ECA" w14:textId="1185A02C"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8" w:history="1">
        <w:r w:rsidR="000D388A" w:rsidRPr="00387EE5">
          <w:rPr>
            <w:rStyle w:val="Hyperlink"/>
            <w:rFonts w:ascii="Times New Roman" w:hAnsi="Times New Roman" w:cs="Times New Roman"/>
            <w:noProof/>
            <w:sz w:val="24"/>
            <w:szCs w:val="24"/>
          </w:rPr>
          <w:t>Figure 2.4.2 Test of BL1 on S&amp;P500 closing minute volume between 01/05/2013 and 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_Toc78498688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138</w:t>
        </w:r>
        <w:r w:rsidR="000D388A" w:rsidRPr="00387EE5">
          <w:rPr>
            <w:rFonts w:ascii="Times New Roman" w:hAnsi="Times New Roman" w:cs="Times New Roman"/>
            <w:noProof/>
            <w:webHidden/>
            <w:sz w:val="24"/>
            <w:szCs w:val="24"/>
          </w:rPr>
          <w:fldChar w:fldCharType="end"/>
        </w:r>
      </w:hyperlink>
    </w:p>
    <w:p w14:paraId="7EE0781B" w14:textId="754DE67C"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89" w:history="1">
        <w:r w:rsidR="000D388A" w:rsidRPr="00387EE5">
          <w:rPr>
            <w:rStyle w:val="Hyperlink"/>
            <w:rFonts w:ascii="Times New Roman" w:hAnsi="Times New Roman" w:cs="Times New Roman"/>
            <w:noProof/>
            <w:sz w:val="24"/>
            <w:szCs w:val="24"/>
          </w:rPr>
          <w:t>Figure 2.4.3 Test of BL1 on S&amp;P500 minute volume returns (01/05/2013- 29/12/2017).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_Toc78498689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138</w:t>
        </w:r>
        <w:r w:rsidR="000D388A" w:rsidRPr="00387EE5">
          <w:rPr>
            <w:rFonts w:ascii="Times New Roman" w:hAnsi="Times New Roman" w:cs="Times New Roman"/>
            <w:noProof/>
            <w:webHidden/>
            <w:sz w:val="24"/>
            <w:szCs w:val="24"/>
          </w:rPr>
          <w:fldChar w:fldCharType="end"/>
        </w:r>
      </w:hyperlink>
    </w:p>
    <w:p w14:paraId="046CA404" w14:textId="34617A2B"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0" w:history="1">
        <w:r w:rsidR="000D388A" w:rsidRPr="00387EE5">
          <w:rPr>
            <w:rStyle w:val="Hyperlink"/>
            <w:rFonts w:ascii="Times New Roman" w:hAnsi="Times New Roman" w:cs="Times New Roman"/>
            <w:noProof/>
            <w:sz w:val="24"/>
            <w:szCs w:val="24"/>
          </w:rPr>
          <w:t>Figure 2.4.4 Test of BL2 on S&amp;P500 closing minute volume between 01/05/2013 and 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_Toc78498690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139</w:t>
        </w:r>
        <w:r w:rsidR="000D388A" w:rsidRPr="00387EE5">
          <w:rPr>
            <w:rFonts w:ascii="Times New Roman" w:hAnsi="Times New Roman" w:cs="Times New Roman"/>
            <w:noProof/>
            <w:webHidden/>
            <w:sz w:val="24"/>
            <w:szCs w:val="24"/>
          </w:rPr>
          <w:fldChar w:fldCharType="end"/>
        </w:r>
      </w:hyperlink>
    </w:p>
    <w:p w14:paraId="56DCD8D6" w14:textId="6D10F0DB"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1" w:history="1">
        <w:r w:rsidR="000D388A" w:rsidRPr="00387EE5">
          <w:rPr>
            <w:rStyle w:val="Hyperlink"/>
            <w:rFonts w:ascii="Times New Roman" w:hAnsi="Times New Roman" w:cs="Times New Roman"/>
            <w:noProof/>
            <w:sz w:val="24"/>
            <w:szCs w:val="24"/>
          </w:rPr>
          <w:t>Figure 2.4.5 Test of BL2 on S&amp;P500 minute volume returns (01/05/2013-29/12/2017)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_Toc78498691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140</w:t>
        </w:r>
        <w:r w:rsidR="000D388A" w:rsidRPr="00387EE5">
          <w:rPr>
            <w:rFonts w:ascii="Times New Roman" w:hAnsi="Times New Roman" w:cs="Times New Roman"/>
            <w:noProof/>
            <w:webHidden/>
            <w:sz w:val="24"/>
            <w:szCs w:val="24"/>
          </w:rPr>
          <w:fldChar w:fldCharType="end"/>
        </w:r>
      </w:hyperlink>
    </w:p>
    <w:p w14:paraId="71776A19" w14:textId="03DAFAAF"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2" w:history="1">
        <w:r w:rsidR="000D388A" w:rsidRPr="00387EE5">
          <w:rPr>
            <w:rStyle w:val="Hyperlink"/>
            <w:rFonts w:ascii="Times New Roman" w:hAnsi="Times New Roman" w:cs="Times New Roman"/>
            <w:noProof/>
            <w:sz w:val="24"/>
            <w:szCs w:val="24"/>
          </w:rPr>
          <w:t>Figure 2.4.6 Test of BL12 on S&amp;P500 minute volume between 01/05/2013 and 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_Toc78498692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140</w:t>
        </w:r>
        <w:r w:rsidR="000D388A" w:rsidRPr="00387EE5">
          <w:rPr>
            <w:rFonts w:ascii="Times New Roman" w:hAnsi="Times New Roman" w:cs="Times New Roman"/>
            <w:noProof/>
            <w:webHidden/>
            <w:sz w:val="24"/>
            <w:szCs w:val="24"/>
          </w:rPr>
          <w:fldChar w:fldCharType="end"/>
        </w:r>
      </w:hyperlink>
    </w:p>
    <w:p w14:paraId="0D2E318E" w14:textId="138D797E"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3" w:history="1">
        <w:r w:rsidR="000D388A" w:rsidRPr="00387EE5">
          <w:rPr>
            <w:rStyle w:val="Hyperlink"/>
            <w:rFonts w:ascii="Times New Roman" w:hAnsi="Times New Roman" w:cs="Times New Roman"/>
            <w:noProof/>
            <w:sz w:val="24"/>
            <w:szCs w:val="24"/>
          </w:rPr>
          <w:t>Figure 2.4.7 Test of BL12 on S&amp;P500 minute volume returns (01/05/2013-29/12/2017)</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_Toc78498693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141</w:t>
        </w:r>
        <w:r w:rsidR="000D388A" w:rsidRPr="00387EE5">
          <w:rPr>
            <w:rFonts w:ascii="Times New Roman" w:hAnsi="Times New Roman" w:cs="Times New Roman"/>
            <w:noProof/>
            <w:webHidden/>
            <w:sz w:val="24"/>
            <w:szCs w:val="24"/>
          </w:rPr>
          <w:fldChar w:fldCharType="end"/>
        </w:r>
      </w:hyperlink>
    </w:p>
    <w:p w14:paraId="402FBA6D" w14:textId="504C32FB"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4" w:history="1">
        <w:r w:rsidR="000D388A" w:rsidRPr="00387EE5">
          <w:rPr>
            <w:rStyle w:val="Hyperlink"/>
            <w:rFonts w:ascii="Times New Roman" w:hAnsi="Times New Roman" w:cs="Times New Roman"/>
            <w:noProof/>
            <w:sz w:val="24"/>
            <w:szCs w:val="24"/>
          </w:rPr>
          <w:t>Figure 2.4.8 S&amp;P500 closing minute volume log scale of 11 windows between 01/05/2013 and 29/12/2013</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_Toc78498694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141</w:t>
        </w:r>
        <w:r w:rsidR="000D388A" w:rsidRPr="00387EE5">
          <w:rPr>
            <w:rFonts w:ascii="Times New Roman" w:hAnsi="Times New Roman" w:cs="Times New Roman"/>
            <w:noProof/>
            <w:webHidden/>
            <w:sz w:val="24"/>
            <w:szCs w:val="24"/>
          </w:rPr>
          <w:fldChar w:fldCharType="end"/>
        </w:r>
      </w:hyperlink>
    </w:p>
    <w:p w14:paraId="020FB707" w14:textId="1B48BA01"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5" w:history="1">
        <w:r w:rsidR="000D388A" w:rsidRPr="00387EE5">
          <w:rPr>
            <w:rStyle w:val="Hyperlink"/>
            <w:rFonts w:ascii="Times New Roman" w:hAnsi="Times New Roman" w:cs="Times New Roman"/>
            <w:noProof/>
            <w:sz w:val="24"/>
            <w:szCs w:val="24"/>
          </w:rPr>
          <w:t>Figure 3.1.1 A road map on studies of time series prediction</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_Toc78498695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156</w:t>
        </w:r>
        <w:r w:rsidR="000D388A" w:rsidRPr="00387EE5">
          <w:rPr>
            <w:rFonts w:ascii="Times New Roman" w:hAnsi="Times New Roman" w:cs="Times New Roman"/>
            <w:noProof/>
            <w:webHidden/>
            <w:sz w:val="24"/>
            <w:szCs w:val="24"/>
          </w:rPr>
          <w:fldChar w:fldCharType="end"/>
        </w:r>
      </w:hyperlink>
    </w:p>
    <w:p w14:paraId="2FED2956" w14:textId="47A57107"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6" w:history="1">
        <w:r w:rsidR="000D388A" w:rsidRPr="00387EE5">
          <w:rPr>
            <w:rStyle w:val="Hyperlink"/>
            <w:rFonts w:ascii="Times New Roman" w:hAnsi="Times New Roman" w:cs="Times New Roman"/>
            <w:noProof/>
            <w:sz w:val="24"/>
            <w:szCs w:val="24"/>
          </w:rPr>
          <w:t>Figure 3.4.1 three different examples of daily S&amp;P 500 return series (1990-2013)</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_Toc78498696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191</w:t>
        </w:r>
        <w:r w:rsidR="000D388A" w:rsidRPr="00387EE5">
          <w:rPr>
            <w:rFonts w:ascii="Times New Roman" w:hAnsi="Times New Roman" w:cs="Times New Roman"/>
            <w:noProof/>
            <w:webHidden/>
            <w:sz w:val="24"/>
            <w:szCs w:val="24"/>
          </w:rPr>
          <w:fldChar w:fldCharType="end"/>
        </w:r>
      </w:hyperlink>
    </w:p>
    <w:p w14:paraId="38579F03" w14:textId="0A344BCF" w:rsidR="000D388A" w:rsidRPr="00387EE5" w:rsidRDefault="002C15FD" w:rsidP="00BF3A39">
      <w:pPr>
        <w:pStyle w:val="TableofFigures"/>
        <w:tabs>
          <w:tab w:val="right" w:leader="dot" w:pos="9016"/>
        </w:tabs>
        <w:spacing w:line="360" w:lineRule="auto"/>
        <w:rPr>
          <w:rFonts w:ascii="Times New Roman" w:eastAsiaTheme="minorEastAsia" w:hAnsi="Times New Roman" w:cs="Times New Roman"/>
          <w:noProof/>
          <w:sz w:val="24"/>
          <w:szCs w:val="24"/>
        </w:rPr>
      </w:pPr>
      <w:hyperlink w:anchor="_Toc78498697" w:history="1">
        <w:r w:rsidR="000D388A" w:rsidRPr="00387EE5">
          <w:rPr>
            <w:rStyle w:val="Hyperlink"/>
            <w:rFonts w:ascii="Times New Roman" w:hAnsi="Times New Roman" w:cs="Times New Roman"/>
            <w:noProof/>
            <w:sz w:val="24"/>
            <w:szCs w:val="24"/>
          </w:rPr>
          <w:t>Figure 3.4.2 three different examples of daily S&amp;P 500 residuals (1990-2013)</w:t>
        </w:r>
        <w:r w:rsidR="000D388A" w:rsidRPr="00387EE5">
          <w:rPr>
            <w:rFonts w:ascii="Times New Roman" w:hAnsi="Times New Roman" w:cs="Times New Roman"/>
            <w:noProof/>
            <w:webHidden/>
            <w:sz w:val="24"/>
            <w:szCs w:val="24"/>
          </w:rPr>
          <w:tab/>
        </w:r>
        <w:r w:rsidR="000D388A" w:rsidRPr="00387EE5">
          <w:rPr>
            <w:rFonts w:ascii="Times New Roman" w:hAnsi="Times New Roman" w:cs="Times New Roman"/>
            <w:noProof/>
            <w:webHidden/>
            <w:sz w:val="24"/>
            <w:szCs w:val="24"/>
          </w:rPr>
          <w:fldChar w:fldCharType="begin"/>
        </w:r>
        <w:r w:rsidR="000D388A" w:rsidRPr="00387EE5">
          <w:rPr>
            <w:rFonts w:ascii="Times New Roman" w:hAnsi="Times New Roman" w:cs="Times New Roman"/>
            <w:noProof/>
            <w:webHidden/>
            <w:sz w:val="24"/>
            <w:szCs w:val="24"/>
          </w:rPr>
          <w:instrText xml:space="preserve"> PAGEREF _Toc78498697 \h </w:instrText>
        </w:r>
        <w:r w:rsidR="000D388A" w:rsidRPr="00387EE5">
          <w:rPr>
            <w:rFonts w:ascii="Times New Roman" w:hAnsi="Times New Roman" w:cs="Times New Roman"/>
            <w:noProof/>
            <w:webHidden/>
            <w:sz w:val="24"/>
            <w:szCs w:val="24"/>
          </w:rPr>
        </w:r>
        <w:r w:rsidR="000D388A" w:rsidRPr="00387EE5">
          <w:rPr>
            <w:rFonts w:ascii="Times New Roman" w:hAnsi="Times New Roman" w:cs="Times New Roman"/>
            <w:noProof/>
            <w:webHidden/>
            <w:sz w:val="24"/>
            <w:szCs w:val="24"/>
          </w:rPr>
          <w:fldChar w:fldCharType="separate"/>
        </w:r>
        <w:r w:rsidR="000D388A" w:rsidRPr="00387EE5">
          <w:rPr>
            <w:rFonts w:ascii="Times New Roman" w:hAnsi="Times New Roman" w:cs="Times New Roman"/>
            <w:noProof/>
            <w:webHidden/>
            <w:sz w:val="24"/>
            <w:szCs w:val="24"/>
          </w:rPr>
          <w:t>193</w:t>
        </w:r>
        <w:r w:rsidR="000D388A" w:rsidRPr="00387EE5">
          <w:rPr>
            <w:rFonts w:ascii="Times New Roman" w:hAnsi="Times New Roman" w:cs="Times New Roman"/>
            <w:noProof/>
            <w:webHidden/>
            <w:sz w:val="24"/>
            <w:szCs w:val="24"/>
          </w:rPr>
          <w:fldChar w:fldCharType="end"/>
        </w:r>
      </w:hyperlink>
    </w:p>
    <w:p w14:paraId="74E81707" w14:textId="43586E43" w:rsidR="00221745" w:rsidRDefault="008128CD" w:rsidP="00BF3A39">
      <w:pPr>
        <w:spacing w:line="360" w:lineRule="auto"/>
      </w:pPr>
      <w:r>
        <w:fldChar w:fldCharType="end"/>
      </w:r>
    </w:p>
    <w:p w14:paraId="504F66FF" w14:textId="77777777" w:rsidR="00221745" w:rsidRDefault="00221745"/>
    <w:p w14:paraId="58CD9330" w14:textId="77777777" w:rsidR="00221745" w:rsidRDefault="00221745"/>
    <w:p w14:paraId="18F9280F" w14:textId="77777777" w:rsidR="00221745" w:rsidRDefault="00221745"/>
    <w:p w14:paraId="10D4A3B1" w14:textId="77777777" w:rsidR="00221745" w:rsidRDefault="00221745"/>
    <w:p w14:paraId="3F4BEB0A" w14:textId="505CBCD9" w:rsidR="00221745" w:rsidRDefault="00221745"/>
    <w:p w14:paraId="10C5B444" w14:textId="794C0AE9" w:rsidR="00BF3A39" w:rsidRDefault="00BF3A39"/>
    <w:p w14:paraId="754B8859" w14:textId="6DBABA56" w:rsidR="00BF3A39" w:rsidRDefault="00BF3A39"/>
    <w:p w14:paraId="2F8B66C3" w14:textId="11F20183" w:rsidR="00BF3A39" w:rsidRDefault="00BF3A39"/>
    <w:p w14:paraId="0C30BAB0" w14:textId="447698FA" w:rsidR="00BF3A39" w:rsidRDefault="00BF3A39"/>
    <w:p w14:paraId="14D77AA7" w14:textId="29890541" w:rsidR="00BF3A39" w:rsidRDefault="00BF3A39"/>
    <w:p w14:paraId="089B4504" w14:textId="47B358FC" w:rsidR="00BF3A39" w:rsidRDefault="00BF3A39"/>
    <w:p w14:paraId="46698DAB" w14:textId="5A6CB5F5" w:rsidR="00BF3A39" w:rsidRDefault="00BF3A39"/>
    <w:p w14:paraId="178D53DE" w14:textId="23D739A7" w:rsidR="00BF3A39" w:rsidRDefault="00BF3A39"/>
    <w:p w14:paraId="12CB7285" w14:textId="21F50A4C" w:rsidR="00BF3A39" w:rsidRDefault="00BF3A39"/>
    <w:p w14:paraId="5098BF01" w14:textId="0EE46873" w:rsidR="00BF3A39" w:rsidRDefault="00BF3A39"/>
    <w:p w14:paraId="6B87CA82" w14:textId="5370C90C" w:rsidR="00BF3A39" w:rsidRDefault="00BF3A39"/>
    <w:p w14:paraId="28DDB9E3" w14:textId="5D30FBDA" w:rsidR="00BF3A39" w:rsidRDefault="00BF3A39"/>
    <w:p w14:paraId="3B3AB17D" w14:textId="55B7D356" w:rsidR="00BF3A39" w:rsidRDefault="00BF3A39"/>
    <w:p w14:paraId="08337CA9" w14:textId="3A4220E2" w:rsidR="00BF3A39" w:rsidRDefault="00BF3A39"/>
    <w:p w14:paraId="116FABAA" w14:textId="6A7E27CB" w:rsidR="00431692" w:rsidRDefault="00425DA0" w:rsidP="00425DA0">
      <w:pPr>
        <w:pStyle w:val="Heading1"/>
        <w:jc w:val="center"/>
      </w:pPr>
      <w:bookmarkStart w:id="8" w:name="_Toc90499921"/>
      <w:r>
        <w:lastRenderedPageBreak/>
        <w:t>Preamble</w:t>
      </w:r>
      <w:bookmarkEnd w:id="8"/>
    </w:p>
    <w:p w14:paraId="68C528AB" w14:textId="77777777" w:rsidR="00E5342E" w:rsidRPr="00E5342E" w:rsidRDefault="00E5342E" w:rsidP="00E5342E">
      <w:pPr>
        <w:shd w:val="clear" w:color="auto" w:fill="FFFFFF"/>
        <w:spacing w:after="0" w:line="240" w:lineRule="auto"/>
        <w:textAlignment w:val="baseline"/>
        <w:rPr>
          <w:rFonts w:ascii="Arial" w:eastAsia="Times New Roman" w:hAnsi="Arial" w:cs="Arial"/>
          <w:color w:val="000000"/>
          <w:sz w:val="20"/>
          <w:szCs w:val="20"/>
          <w:lang w:eastAsia="en-GB"/>
        </w:rPr>
      </w:pPr>
    </w:p>
    <w:p w14:paraId="6EB60C13" w14:textId="144671A4" w:rsidR="00E5342E" w:rsidRPr="00B06DC4" w:rsidRDefault="00E5342E" w:rsidP="00E5342E">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B06DC4">
        <w:rPr>
          <w:rFonts w:ascii="Times New Roman" w:eastAsia="Times New Roman" w:hAnsi="Times New Roman" w:cs="Times New Roman"/>
          <w:i/>
          <w:iCs/>
          <w:color w:val="000000"/>
          <w:sz w:val="24"/>
          <w:szCs w:val="24"/>
          <w:lang w:eastAsia="en-GB"/>
        </w:rPr>
        <w:t>" The many rewards of financial econometrics come at a price. A solid background in mathematics, probability and statistics and finance theory is necessary for the practicing of financial econometrician, for precisely the reasons that make financial econometricians such an engaging endeavour</w:t>
      </w:r>
      <w:r w:rsidRPr="00B06DC4">
        <w:rPr>
          <w:rFonts w:ascii="Times New Roman" w:eastAsia="Times New Roman" w:hAnsi="Times New Roman" w:cs="Times New Roman"/>
          <w:color w:val="000000"/>
          <w:sz w:val="24"/>
          <w:szCs w:val="24"/>
          <w:lang w:eastAsia="en-GB"/>
        </w:rPr>
        <w:t>” Campbell, Lo and Mackinlay (1997) in their seminal book " The Econometrics of Financial Markets.</w:t>
      </w:r>
    </w:p>
    <w:p w14:paraId="58FA1A94" w14:textId="77777777" w:rsidR="00E5342E" w:rsidRPr="00B06DC4" w:rsidRDefault="00E5342E" w:rsidP="007F19E5">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GB"/>
        </w:rPr>
      </w:pPr>
    </w:p>
    <w:p w14:paraId="748DDF3C" w14:textId="57B96413" w:rsidR="00E5342E" w:rsidRPr="00B06DC4" w:rsidRDefault="00E5342E" w:rsidP="007F19E5">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GB"/>
        </w:rPr>
      </w:pPr>
      <w:r w:rsidRPr="00B06DC4">
        <w:rPr>
          <w:rFonts w:ascii="Times New Roman" w:eastAsia="Times New Roman" w:hAnsi="Times New Roman" w:cs="Times New Roman"/>
          <w:color w:val="000000"/>
          <w:sz w:val="24"/>
          <w:szCs w:val="24"/>
          <w:lang w:eastAsia="en-GB"/>
        </w:rPr>
        <w:t>The above quote was mentioned to me by my supervisor when I first joined the PhD programme, furthermore of course it was also pointed that computational and software skills are a must.</w:t>
      </w:r>
      <w:r w:rsidR="007F19E5" w:rsidRPr="00B06DC4">
        <w:rPr>
          <w:rFonts w:ascii="Times New Roman" w:eastAsia="Times New Roman" w:hAnsi="Times New Roman" w:cs="Times New Roman"/>
          <w:color w:val="000000"/>
          <w:sz w:val="24"/>
          <w:szCs w:val="24"/>
          <w:lang w:eastAsia="en-GB"/>
        </w:rPr>
        <w:t xml:space="preserve"> </w:t>
      </w:r>
      <w:r w:rsidRPr="00B06DC4">
        <w:rPr>
          <w:rFonts w:ascii="Times New Roman" w:eastAsia="Times New Roman" w:hAnsi="Times New Roman" w:cs="Times New Roman"/>
          <w:color w:val="000000"/>
          <w:sz w:val="24"/>
          <w:szCs w:val="24"/>
          <w:lang w:eastAsia="en-GB"/>
        </w:rPr>
        <w:t>This PhD is a very much secondary data driven investigation and furthermore what connects the three main topics in this PhD </w:t>
      </w:r>
      <w:r w:rsidRPr="00B06DC4">
        <w:rPr>
          <w:rFonts w:ascii="Times New Roman" w:eastAsia="Times New Roman" w:hAnsi="Times New Roman" w:cs="Times New Roman"/>
          <w:i/>
          <w:iCs/>
          <w:color w:val="000000"/>
          <w:sz w:val="24"/>
          <w:szCs w:val="24"/>
          <w:lang w:eastAsia="en-GB"/>
        </w:rPr>
        <w:t>(by showing a solid background in above mentioned fields</w:t>
      </w:r>
      <w:r w:rsidRPr="00B06DC4">
        <w:rPr>
          <w:rFonts w:ascii="Times New Roman" w:eastAsia="Times New Roman" w:hAnsi="Times New Roman" w:cs="Times New Roman"/>
          <w:color w:val="000000"/>
          <w:sz w:val="24"/>
          <w:szCs w:val="24"/>
          <w:lang w:eastAsia="en-GB"/>
        </w:rPr>
        <w:t>) is the comprehensive application of techniques, skills, and methods of financial econometrics.</w:t>
      </w:r>
    </w:p>
    <w:p w14:paraId="1465434E" w14:textId="77777777" w:rsidR="007F19E5" w:rsidRPr="00B06DC4" w:rsidRDefault="007F19E5" w:rsidP="007F19E5">
      <w:pPr>
        <w:spacing w:line="240" w:lineRule="auto"/>
        <w:jc w:val="both"/>
        <w:rPr>
          <w:rFonts w:ascii="Times New Roman" w:hAnsi="Times New Roman" w:cs="Times New Roman"/>
          <w:sz w:val="24"/>
          <w:szCs w:val="24"/>
        </w:rPr>
      </w:pPr>
    </w:p>
    <w:p w14:paraId="733A0103" w14:textId="7B410F36" w:rsidR="00E5342E" w:rsidRPr="00B06DC4" w:rsidRDefault="00E5342E" w:rsidP="007F19E5">
      <w:pPr>
        <w:spacing w:line="240" w:lineRule="auto"/>
        <w:jc w:val="both"/>
        <w:rPr>
          <w:rFonts w:ascii="Times New Roman" w:hAnsi="Times New Roman" w:cs="Times New Roman"/>
          <w:sz w:val="24"/>
          <w:szCs w:val="24"/>
        </w:rPr>
      </w:pPr>
      <w:r w:rsidRPr="00B06DC4">
        <w:rPr>
          <w:rFonts w:ascii="Times New Roman" w:hAnsi="Times New Roman" w:cs="Times New Roman"/>
          <w:sz w:val="24"/>
          <w:szCs w:val="24"/>
        </w:rPr>
        <w:t>In detail</w:t>
      </w:r>
    </w:p>
    <w:p w14:paraId="6FAC854B" w14:textId="3A32A4B3" w:rsidR="00E5342E" w:rsidRPr="00B06DC4" w:rsidRDefault="00E5342E" w:rsidP="007F19E5">
      <w:pPr>
        <w:spacing w:line="24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Humbly in this PhD I provided this evidence that I on the path to becoming a financial econometrician by skill set; </w:t>
      </w:r>
      <w:r w:rsidR="007B3C20" w:rsidRPr="00B06DC4">
        <w:rPr>
          <w:rFonts w:ascii="Times New Roman" w:hAnsi="Times New Roman" w:cs="Times New Roman"/>
          <w:sz w:val="24"/>
          <w:szCs w:val="24"/>
        </w:rPr>
        <w:t xml:space="preserve">Chapter 1: </w:t>
      </w:r>
      <w:r w:rsidRPr="00B06DC4">
        <w:rPr>
          <w:rFonts w:ascii="Times New Roman" w:hAnsi="Times New Roman" w:cs="Times New Roman"/>
          <w:sz w:val="24"/>
          <w:szCs w:val="24"/>
        </w:rPr>
        <w:t>fully updated traditional financial econometric model of second moment i.e. volatility of the multivariate data</w:t>
      </w:r>
      <w:r w:rsidR="007B3C20" w:rsidRPr="00B06DC4">
        <w:rPr>
          <w:rFonts w:ascii="Times New Roman" w:hAnsi="Times New Roman" w:cs="Times New Roman"/>
          <w:sz w:val="24"/>
          <w:szCs w:val="24"/>
        </w:rPr>
        <w:t xml:space="preserve"> by showing expertise, probability statistics and financial theory. Chapter 2: A theoretical</w:t>
      </w:r>
      <w:r w:rsidR="007F19E5" w:rsidRPr="00B06DC4">
        <w:rPr>
          <w:rFonts w:ascii="Times New Roman" w:hAnsi="Times New Roman" w:cs="Times New Roman"/>
          <w:sz w:val="24"/>
          <w:szCs w:val="24"/>
        </w:rPr>
        <w:t xml:space="preserve"> </w:t>
      </w:r>
      <w:r w:rsidR="007B3C20" w:rsidRPr="00B06DC4">
        <w:rPr>
          <w:rFonts w:ascii="Times New Roman" w:hAnsi="Times New Roman" w:cs="Times New Roman"/>
          <w:sz w:val="24"/>
          <w:szCs w:val="24"/>
        </w:rPr>
        <w:t xml:space="preserve">of </w:t>
      </w:r>
      <w:proofErr w:type="spellStart"/>
      <w:r w:rsidR="007B3C20" w:rsidRPr="00B06DC4">
        <w:rPr>
          <w:rFonts w:ascii="Times New Roman" w:hAnsi="Times New Roman" w:cs="Times New Roman"/>
          <w:sz w:val="24"/>
          <w:szCs w:val="24"/>
        </w:rPr>
        <w:t>Benford’s</w:t>
      </w:r>
      <w:proofErr w:type="spellEnd"/>
      <w:r w:rsidR="007B3C20" w:rsidRPr="00B06DC4">
        <w:rPr>
          <w:rFonts w:ascii="Times New Roman" w:hAnsi="Times New Roman" w:cs="Times New Roman"/>
          <w:sz w:val="24"/>
          <w:szCs w:val="24"/>
        </w:rPr>
        <w:t xml:space="preserve"> distribution showing probability statistics, financial theory and computational skills. Chapter 3: Mathematical finance, financial theory and simulation study of second and fourth moment </w:t>
      </w:r>
      <w:r w:rsidR="007F19E5" w:rsidRPr="00B06DC4">
        <w:rPr>
          <w:rFonts w:ascii="Times New Roman" w:hAnsi="Times New Roman" w:cs="Times New Roman"/>
          <w:sz w:val="24"/>
          <w:szCs w:val="24"/>
        </w:rPr>
        <w:t>through IFBM-GARCH.</w:t>
      </w:r>
    </w:p>
    <w:p w14:paraId="53A475AE" w14:textId="5DEC3882" w:rsidR="00431692" w:rsidRPr="00B06DC4" w:rsidRDefault="00431692" w:rsidP="007F19E5">
      <w:pPr>
        <w:spacing w:line="24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Two of the fastest growing frontiers in econometrics and quantitative finance are time series and financial econometrics. Significant theoretical contributions to financial econometrics have been made by </w:t>
      </w:r>
      <w:r w:rsidR="007F19E5" w:rsidRPr="00B06DC4">
        <w:rPr>
          <w:rFonts w:ascii="Times New Roman" w:hAnsi="Times New Roman" w:cs="Times New Roman"/>
          <w:sz w:val="24"/>
          <w:szCs w:val="24"/>
        </w:rPr>
        <w:t>showing expertise</w:t>
      </w:r>
      <w:r w:rsidRPr="00B06DC4">
        <w:rPr>
          <w:rFonts w:ascii="Times New Roman" w:hAnsi="Times New Roman" w:cs="Times New Roman"/>
          <w:sz w:val="24"/>
          <w:szCs w:val="24"/>
        </w:rPr>
        <w:t xml:space="preserve"> in statistics, econometrics, mathematics, and time series analysis. The purpose of this research of the financial analysis to </w:t>
      </w:r>
      <w:r w:rsidRPr="00B06DC4">
        <w:rPr>
          <w:rFonts w:ascii="Times New Roman" w:hAnsi="Times New Roman" w:cs="Times New Roman"/>
          <w:sz w:val="24"/>
          <w:szCs w:val="24"/>
          <w:shd w:val="clear" w:color="auto" w:fill="FFFFFF"/>
        </w:rPr>
        <w:t xml:space="preserve">enrich the information investors use to make financial decisions on the stock markets. Firstly, liquidity has immediate consequences for a trader’s movements, this risk is an attractive area of interest for both academics and those who participate in the financial markets. Secondly, emphasizing common challenges and techniques across the disciplines, how </w:t>
      </w:r>
      <w:proofErr w:type="spellStart"/>
      <w:r w:rsidRPr="00B06DC4">
        <w:rPr>
          <w:rFonts w:ascii="Times New Roman" w:hAnsi="Times New Roman" w:cs="Times New Roman"/>
          <w:sz w:val="24"/>
          <w:szCs w:val="24"/>
          <w:shd w:val="clear" w:color="auto" w:fill="FFFFFF"/>
        </w:rPr>
        <w:t>Benford’s</w:t>
      </w:r>
      <w:proofErr w:type="spellEnd"/>
      <w:r w:rsidRPr="00B06DC4">
        <w:rPr>
          <w:rFonts w:ascii="Times New Roman" w:hAnsi="Times New Roman" w:cs="Times New Roman"/>
          <w:sz w:val="24"/>
          <w:szCs w:val="24"/>
          <w:shd w:val="clear" w:color="auto" w:fill="FFFFFF"/>
        </w:rPr>
        <w:t xml:space="preserve"> law can serve as a productive meeting ground for researchers and practitioners in diverse fields. Specifically, study examined the nature of complex financial market, and whether there is a sort of ‘regularity’ in available time series associated with the stock volume. The application of the </w:t>
      </w:r>
      <w:proofErr w:type="spellStart"/>
      <w:r w:rsidRPr="00B06DC4">
        <w:rPr>
          <w:rFonts w:ascii="Times New Roman" w:hAnsi="Times New Roman" w:cs="Times New Roman"/>
          <w:sz w:val="24"/>
          <w:szCs w:val="24"/>
          <w:shd w:val="clear" w:color="auto" w:fill="FFFFFF"/>
        </w:rPr>
        <w:t>Benford’s</w:t>
      </w:r>
      <w:proofErr w:type="spellEnd"/>
      <w:r w:rsidRPr="00B06DC4">
        <w:rPr>
          <w:rFonts w:ascii="Times New Roman" w:hAnsi="Times New Roman" w:cs="Times New Roman"/>
          <w:sz w:val="24"/>
          <w:szCs w:val="24"/>
          <w:shd w:val="clear" w:color="auto" w:fill="FFFFFF"/>
        </w:rPr>
        <w:t xml:space="preserve"> law shown the complexity of the financial market. Thirdly, </w:t>
      </w:r>
      <w:r w:rsidRPr="00B06DC4">
        <w:rPr>
          <w:rFonts w:ascii="Times New Roman" w:hAnsi="Times New Roman" w:cs="Times New Roman"/>
          <w:color w:val="282624"/>
          <w:spacing w:val="-10"/>
          <w:sz w:val="24"/>
          <w:szCs w:val="24"/>
          <w:shd w:val="clear" w:color="auto" w:fill="FFFFFF"/>
        </w:rPr>
        <w:t>research results confirm the role and importance of the modified/IFBM GARCH methodology for effective investment risk quantification in developed financial markets.</w:t>
      </w:r>
    </w:p>
    <w:p w14:paraId="674377A4" w14:textId="5EE6E57D" w:rsidR="00431692" w:rsidRPr="007F19E5" w:rsidRDefault="00431692" w:rsidP="007F19E5">
      <w:pPr>
        <w:spacing w:line="24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This research is organized as follows. In the first chapter </w:t>
      </w:r>
      <w:r w:rsidRPr="00B06DC4">
        <w:rPr>
          <w:rFonts w:ascii="Times New Roman" w:hAnsi="Times New Roman" w:cs="Times New Roman"/>
          <w:iCs/>
          <w:color w:val="0D0D0D" w:themeColor="text1" w:themeTint="F2"/>
          <w:sz w:val="24"/>
          <w:szCs w:val="24"/>
        </w:rPr>
        <w:t>research examines the linkages between market and funding liquidity pressures, as well as their interaction with solvency issues surrounding key financial institutions between pre/during and post crisis.</w:t>
      </w:r>
      <w:r w:rsidRPr="00B06DC4">
        <w:rPr>
          <w:rFonts w:ascii="Times New Roman" w:hAnsi="Times New Roman" w:cs="Times New Roman"/>
          <w:sz w:val="24"/>
          <w:szCs w:val="24"/>
        </w:rPr>
        <w:t xml:space="preserve"> In the second chapter </w:t>
      </w:r>
      <w:r w:rsidRPr="00B06DC4">
        <w:rPr>
          <w:rFonts w:ascii="Times New Roman" w:hAnsi="Times New Roman" w:cs="Times New Roman"/>
          <w:iCs/>
          <w:sz w:val="24"/>
          <w:szCs w:val="24"/>
        </w:rPr>
        <w:t xml:space="preserve">research addresses the frequencies of the first, second, and first two significant digits counts and explore the conformance to </w:t>
      </w:r>
      <w:proofErr w:type="spellStart"/>
      <w:r w:rsidRPr="00B06DC4">
        <w:rPr>
          <w:rFonts w:ascii="Times New Roman" w:hAnsi="Times New Roman" w:cs="Times New Roman"/>
          <w:iCs/>
          <w:sz w:val="24"/>
          <w:szCs w:val="24"/>
        </w:rPr>
        <w:t>Benford's</w:t>
      </w:r>
      <w:proofErr w:type="spellEnd"/>
      <w:r w:rsidRPr="00B06DC4">
        <w:rPr>
          <w:rFonts w:ascii="Times New Roman" w:hAnsi="Times New Roman" w:cs="Times New Roman"/>
          <w:iCs/>
          <w:sz w:val="24"/>
          <w:szCs w:val="24"/>
        </w:rPr>
        <w:t xml:space="preserve"> laws of these </w:t>
      </w:r>
      <w:r w:rsidRPr="00B06DC4">
        <w:rPr>
          <w:rFonts w:ascii="Times New Roman" w:hAnsi="Times New Roman" w:cs="Times New Roman"/>
          <w:iCs/>
          <w:color w:val="000000" w:themeColor="text1"/>
          <w:sz w:val="24"/>
          <w:szCs w:val="24"/>
        </w:rPr>
        <w:t xml:space="preserve">distributions at eleven different (117 days minute data points) </w:t>
      </w:r>
      <w:r w:rsidRPr="00B06DC4">
        <w:rPr>
          <w:rFonts w:ascii="Times New Roman" w:hAnsi="Times New Roman" w:cs="Times New Roman"/>
          <w:iCs/>
          <w:sz w:val="24"/>
          <w:szCs w:val="24"/>
        </w:rPr>
        <w:t xml:space="preserve">levels of disaggregation of mathematical model of processes that might account for such a leading digit distribution have also been </w:t>
      </w:r>
      <w:r w:rsidR="007F19E5" w:rsidRPr="00B06DC4">
        <w:rPr>
          <w:rFonts w:ascii="Times New Roman" w:hAnsi="Times New Roman" w:cs="Times New Roman"/>
          <w:iCs/>
          <w:sz w:val="24"/>
          <w:szCs w:val="24"/>
        </w:rPr>
        <w:t xml:space="preserve">investigated, using </w:t>
      </w:r>
      <w:r w:rsidRPr="00B06DC4">
        <w:rPr>
          <w:rFonts w:ascii="Times New Roman" w:hAnsi="Times New Roman" w:cs="Times New Roman"/>
          <w:iCs/>
          <w:sz w:val="24"/>
          <w:szCs w:val="24"/>
        </w:rPr>
        <w:t>S&amp;P500 minute volume data.</w:t>
      </w:r>
      <w:r w:rsidRPr="00B06DC4">
        <w:rPr>
          <w:rFonts w:ascii="Times New Roman" w:hAnsi="Times New Roman" w:cs="Times New Roman"/>
          <w:sz w:val="24"/>
          <w:szCs w:val="24"/>
        </w:rPr>
        <w:t xml:space="preserve"> In the third chapter </w:t>
      </w:r>
      <w:r w:rsidRPr="00B06DC4">
        <w:rPr>
          <w:rFonts w:ascii="Times New Roman" w:eastAsia="Times New Roman" w:hAnsi="Times New Roman" w:cs="Times New Roman"/>
          <w:iCs/>
          <w:sz w:val="24"/>
          <w:szCs w:val="24"/>
        </w:rPr>
        <w:t>research, i.e., a special focus in the research, is to develop the modified GARCH methodology in the observed financial markets and to compare the obtained results between the variation of Modified GARCH models as well.</w:t>
      </w:r>
    </w:p>
    <w:p w14:paraId="73A04873" w14:textId="5EDC5312" w:rsidR="00387EE5" w:rsidRDefault="00387EE5" w:rsidP="00387EE5">
      <w:pPr>
        <w:pStyle w:val="Heading1"/>
      </w:pPr>
      <w:bookmarkStart w:id="9" w:name="_Toc90499922"/>
      <w:r>
        <w:lastRenderedPageBreak/>
        <w:t>Abstract</w:t>
      </w:r>
      <w:bookmarkEnd w:id="9"/>
      <w:r>
        <w:t xml:space="preserve"> </w:t>
      </w:r>
    </w:p>
    <w:p w14:paraId="4589419B" w14:textId="3DA6B738" w:rsidR="00387EE5" w:rsidRDefault="00387EE5"/>
    <w:p w14:paraId="07BA321E" w14:textId="1D6608F8" w:rsidR="00BF3A39" w:rsidRPr="00E67F8F" w:rsidRDefault="00BF3A39" w:rsidP="00BF3A39">
      <w:pPr>
        <w:spacing w:line="360" w:lineRule="auto"/>
        <w:jc w:val="both"/>
        <w:rPr>
          <w:rFonts w:ascii="Times New Roman" w:hAnsi="Times New Roman" w:cs="Times New Roman"/>
          <w:i/>
          <w:iCs/>
          <w:color w:val="0D0D0D" w:themeColor="text1" w:themeTint="F2"/>
          <w:sz w:val="24"/>
          <w:szCs w:val="24"/>
        </w:rPr>
      </w:pPr>
      <w:r>
        <w:rPr>
          <w:rFonts w:ascii="Times New Roman" w:hAnsi="Times New Roman" w:cs="Times New Roman"/>
          <w:i/>
          <w:iCs/>
          <w:color w:val="0D0D0D" w:themeColor="text1" w:themeTint="F2"/>
          <w:sz w:val="24"/>
          <w:szCs w:val="24"/>
        </w:rPr>
        <w:t>This doctoral research consists of three parts; first part, discusses a</w:t>
      </w:r>
      <w:r w:rsidRPr="00E67F8F">
        <w:rPr>
          <w:rFonts w:ascii="Times New Roman" w:hAnsi="Times New Roman" w:cs="Times New Roman"/>
          <w:i/>
          <w:iCs/>
          <w:color w:val="0D0D0D" w:themeColor="text1" w:themeTint="F2"/>
          <w:sz w:val="24"/>
          <w:szCs w:val="24"/>
        </w:rPr>
        <w:t>ctivities of international banks have been at the core of discussions on the causes and effects of the international financial crisis. Yet we know little about the actual magnitudes and mechanisms for transmission of liquidity shocks through international banks, including the reasons for heterogeneity in transmission across banks. The International Banking Research Network, established in 2012, brings together researchers from around the world with access to micro-level data on individual banks to analyse issues pertaining to global banks. This</w:t>
      </w:r>
      <w:r>
        <w:rPr>
          <w:rFonts w:ascii="Times New Roman" w:hAnsi="Times New Roman" w:cs="Times New Roman"/>
          <w:i/>
          <w:iCs/>
          <w:color w:val="0D0D0D" w:themeColor="text1" w:themeTint="F2"/>
          <w:sz w:val="24"/>
          <w:szCs w:val="24"/>
        </w:rPr>
        <w:t xml:space="preserve"> of</w:t>
      </w:r>
      <w:r w:rsidRPr="00E67F8F">
        <w:rPr>
          <w:rFonts w:ascii="Times New Roman" w:hAnsi="Times New Roman" w:cs="Times New Roman"/>
          <w:i/>
          <w:iCs/>
          <w:color w:val="0D0D0D" w:themeColor="text1" w:themeTint="F2"/>
          <w:sz w:val="24"/>
          <w:szCs w:val="24"/>
        </w:rPr>
        <w:t xml:space="preserve"> research examines the linkages between market and funding liquidity pressures, as well as their interaction with solvency issues surrounding key financial institutions between pre/during and post crisis. This</w:t>
      </w:r>
      <w:r>
        <w:rPr>
          <w:rFonts w:ascii="Times New Roman" w:hAnsi="Times New Roman" w:cs="Times New Roman"/>
          <w:i/>
          <w:iCs/>
          <w:color w:val="0D0D0D" w:themeColor="text1" w:themeTint="F2"/>
          <w:sz w:val="24"/>
          <w:szCs w:val="24"/>
        </w:rPr>
        <w:t xml:space="preserve"> part of</w:t>
      </w:r>
      <w:r w:rsidRPr="00E67F8F">
        <w:rPr>
          <w:rFonts w:ascii="Times New Roman" w:hAnsi="Times New Roman" w:cs="Times New Roman"/>
          <w:i/>
          <w:iCs/>
          <w:color w:val="0D0D0D" w:themeColor="text1" w:themeTint="F2"/>
          <w:sz w:val="24"/>
          <w:szCs w:val="24"/>
        </w:rPr>
        <w:t xml:space="preserve"> </w:t>
      </w:r>
      <w:r w:rsidRPr="00E24698">
        <w:rPr>
          <w:rFonts w:ascii="Times New Roman" w:hAnsi="Times New Roman" w:cs="Times New Roman"/>
          <w:i/>
          <w:iCs/>
          <w:color w:val="0D0D0D" w:themeColor="text1" w:themeTint="F2"/>
          <w:sz w:val="24"/>
          <w:szCs w:val="24"/>
        </w:rPr>
        <w:t>will undergo</w:t>
      </w:r>
      <w:r w:rsidRPr="00E67F8F">
        <w:rPr>
          <w:rFonts w:ascii="Times New Roman" w:hAnsi="Times New Roman" w:cs="Times New Roman"/>
          <w:i/>
          <w:iCs/>
          <w:color w:val="0D0D0D" w:themeColor="text1" w:themeTint="F2"/>
          <w:sz w:val="24"/>
          <w:szCs w:val="24"/>
        </w:rPr>
        <w:t xml:space="preserve"> with </w:t>
      </w:r>
      <w:r>
        <w:rPr>
          <w:rFonts w:ascii="Times New Roman" w:hAnsi="Times New Roman" w:cs="Times New Roman"/>
          <w:i/>
          <w:iCs/>
          <w:color w:val="0D0D0D" w:themeColor="text1" w:themeTint="F2"/>
          <w:sz w:val="24"/>
          <w:szCs w:val="24"/>
        </w:rPr>
        <w:t xml:space="preserve">the </w:t>
      </w:r>
      <w:r w:rsidRPr="00E67F8F">
        <w:rPr>
          <w:rFonts w:ascii="Times New Roman" w:hAnsi="Times New Roman" w:cs="Times New Roman"/>
          <w:i/>
          <w:iCs/>
          <w:color w:val="0D0D0D" w:themeColor="text1" w:themeTint="F2"/>
          <w:sz w:val="24"/>
          <w:szCs w:val="24"/>
        </w:rPr>
        <w:t>following steps: Step#1: test the significance of chosen data, analyse data feature, if series is non-stationary series, stabilize it by log difference or periodical difference. Step#2: ARMA model identification and parameter estimation: Identify the model and estimate parameter(s) according to series autocorrelation and partial correlation plot after stabilizing. Step#3: ARMA model test: Test model by statistical hypothesis testing method, if model is effective, then go to the fourth step, otherwise come back to the second step to adjust the model’s order and establish the model again. Step#4: ARCH effect test, model identification and parameter estimation: Do GARCH effect test for residual series, identify the model’s order, estimate the parameter, establish the ARMAGARCH model. Step#5: ARMA-GARCH model test: Test model by statistical hypothesis testing method, if model is effective, go to the sixth step, otherwise come back to the fourth step to adjust GARCH model’ order again. To select the order of GARCH model finally, we will also check the performance of that model on the validation set. Step#6:</w:t>
      </w:r>
      <w:r w:rsidR="002149D9" w:rsidRPr="002149D9">
        <w:rPr>
          <w:rFonts w:ascii="Times New Roman" w:hAnsi="Times New Roman" w:cs="Times New Roman"/>
          <w:sz w:val="24"/>
          <w:szCs w:val="24"/>
        </w:rPr>
        <w:t xml:space="preserve"> </w:t>
      </w:r>
      <w:r w:rsidR="002149D9" w:rsidRPr="002149D9">
        <w:rPr>
          <w:rFonts w:ascii="Times New Roman" w:hAnsi="Times New Roman" w:cs="Times New Roman"/>
          <w:i/>
          <w:sz w:val="24"/>
          <w:szCs w:val="24"/>
        </w:rPr>
        <w:t xml:space="preserve">According to the established ARMA-GARCH model from steps 1-5 and integration to DCC-GARCH and BEKK-GARCH. Multivariate GARCH models have evolved from the optimal univariate GARCH model. The DCC specification will then allow the capture of possible structural breaks in the unconditional correlation amongst the variables. Finally, </w:t>
      </w:r>
      <w:r w:rsidR="002149D9" w:rsidRPr="002149D9">
        <w:rPr>
          <w:rFonts w:ascii="Times New Roman" w:hAnsi="Times New Roman"/>
          <w:i/>
          <w:sz w:val="24"/>
          <w:szCs w:val="24"/>
        </w:rPr>
        <w:t>the BEKK-GARCH model will also be able to provide more detailed transmission information, apart from the conditional correlation.</w:t>
      </w:r>
      <w:r w:rsidRPr="002149D9">
        <w:rPr>
          <w:rFonts w:ascii="Times New Roman" w:hAnsi="Times New Roman" w:cs="Times New Roman"/>
          <w:i/>
          <w:iCs/>
          <w:color w:val="0D0D0D" w:themeColor="text1" w:themeTint="F2"/>
          <w:sz w:val="24"/>
          <w:szCs w:val="24"/>
        </w:rPr>
        <w:t xml:space="preserve"> </w:t>
      </w:r>
      <w:r w:rsidRPr="00E67F8F">
        <w:rPr>
          <w:rFonts w:ascii="Times New Roman" w:hAnsi="Times New Roman" w:cs="Times New Roman"/>
          <w:i/>
          <w:iCs/>
          <w:color w:val="0D0D0D" w:themeColor="text1" w:themeTint="F2"/>
          <w:sz w:val="24"/>
          <w:szCs w:val="24"/>
        </w:rPr>
        <w:t>A multivariate GARCH model is estimated in order to test for the transmission of liquidity shocks across U.S. financial markets. It is found that the interaction between market and funding illiquidity increases/swerves sharply during the period of financial turbulence, and that bank solvency becomes important.</w:t>
      </w:r>
    </w:p>
    <w:p w14:paraId="0D215F86" w14:textId="77777777" w:rsidR="00BF3A39" w:rsidRPr="00400EA9" w:rsidRDefault="00BF3A39" w:rsidP="00BF3A39">
      <w:pPr>
        <w:spacing w:line="360" w:lineRule="auto"/>
        <w:jc w:val="both"/>
        <w:rPr>
          <w:rFonts w:ascii="Times New Roman" w:hAnsi="Times New Roman" w:cs="Times New Roman"/>
          <w:i/>
          <w:iCs/>
        </w:rPr>
      </w:pPr>
      <w:r>
        <w:rPr>
          <w:rFonts w:ascii="Times New Roman" w:hAnsi="Times New Roman" w:cs="Times New Roman"/>
          <w:i/>
          <w:iCs/>
        </w:rPr>
        <w:lastRenderedPageBreak/>
        <w:t>Second part</w:t>
      </w:r>
      <w:r w:rsidRPr="00F26EA2">
        <w:rPr>
          <w:rFonts w:ascii="Times New Roman" w:hAnsi="Times New Roman" w:cs="Times New Roman"/>
          <w:i/>
          <w:iCs/>
        </w:rPr>
        <w:t xml:space="preserve"> describes an investigation into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 for the distribution of leading digits in real data sets of S&amp;P500 minutes volume and the corresponding log-returns over a long-time interval, [</w:t>
      </w:r>
      <w:r>
        <w:rPr>
          <w:rFonts w:ascii="Times New Roman" w:hAnsi="Times New Roman" w:cs="Times New Roman"/>
          <w:i/>
          <w:iCs/>
        </w:rPr>
        <w:t>01</w:t>
      </w:r>
      <w:r w:rsidRPr="00F26EA2">
        <w:rPr>
          <w:rFonts w:ascii="Times New Roman" w:hAnsi="Times New Roman" w:cs="Times New Roman"/>
          <w:i/>
          <w:iCs/>
        </w:rPr>
        <w:t>/0</w:t>
      </w:r>
      <w:r>
        <w:rPr>
          <w:rFonts w:ascii="Times New Roman" w:hAnsi="Times New Roman" w:cs="Times New Roman"/>
          <w:i/>
          <w:iCs/>
        </w:rPr>
        <w:t>5</w:t>
      </w:r>
      <w:r w:rsidRPr="00F26EA2">
        <w:rPr>
          <w:rFonts w:ascii="Times New Roman" w:hAnsi="Times New Roman" w:cs="Times New Roman"/>
          <w:i/>
          <w:iCs/>
        </w:rPr>
        <w:t xml:space="preserve">/2013 - </w:t>
      </w:r>
      <w:r>
        <w:rPr>
          <w:rFonts w:ascii="Times New Roman" w:hAnsi="Times New Roman" w:cs="Times New Roman"/>
          <w:i/>
          <w:iCs/>
        </w:rPr>
        <w:t>29</w:t>
      </w:r>
      <w:r w:rsidRPr="00F26EA2">
        <w:rPr>
          <w:rFonts w:ascii="Times New Roman" w:hAnsi="Times New Roman" w:cs="Times New Roman"/>
          <w:i/>
          <w:iCs/>
        </w:rPr>
        <w:t>/</w:t>
      </w:r>
      <w:r>
        <w:rPr>
          <w:rFonts w:ascii="Times New Roman" w:hAnsi="Times New Roman" w:cs="Times New Roman"/>
          <w:i/>
          <w:iCs/>
        </w:rPr>
        <w:t>12</w:t>
      </w:r>
      <w:r w:rsidRPr="00F26EA2">
        <w:rPr>
          <w:rFonts w:ascii="Times New Roman" w:hAnsi="Times New Roman" w:cs="Times New Roman"/>
          <w:i/>
          <w:iCs/>
        </w:rPr>
        <w:t>/201</w:t>
      </w:r>
      <w:r>
        <w:rPr>
          <w:rFonts w:ascii="Times New Roman" w:hAnsi="Times New Roman" w:cs="Times New Roman"/>
          <w:i/>
          <w:iCs/>
        </w:rPr>
        <w:t>7</w:t>
      </w:r>
      <w:r w:rsidRPr="00F26EA2">
        <w:rPr>
          <w:rFonts w:ascii="Times New Roman" w:hAnsi="Times New Roman" w:cs="Times New Roman"/>
          <w:i/>
          <w:iCs/>
        </w:rPr>
        <w:t>], amounting to 48</w:t>
      </w:r>
      <w:r>
        <w:rPr>
          <w:rFonts w:ascii="Times New Roman" w:hAnsi="Times New Roman" w:cs="Times New Roman"/>
          <w:i/>
          <w:iCs/>
        </w:rPr>
        <w:t>1769</w:t>
      </w:r>
      <w:r w:rsidRPr="00F26EA2">
        <w:rPr>
          <w:rFonts w:ascii="Times New Roman" w:hAnsi="Times New Roman" w:cs="Times New Roman"/>
          <w:i/>
          <w:iCs/>
        </w:rPr>
        <w:t xml:space="preserve"> data points. This </w:t>
      </w:r>
      <w:r>
        <w:rPr>
          <w:rFonts w:ascii="Times New Roman" w:hAnsi="Times New Roman" w:cs="Times New Roman"/>
          <w:i/>
          <w:iCs/>
        </w:rPr>
        <w:t>part of</w:t>
      </w:r>
      <w:r w:rsidRPr="00F26EA2">
        <w:rPr>
          <w:rFonts w:ascii="Times New Roman" w:hAnsi="Times New Roman" w:cs="Times New Roman"/>
          <w:i/>
          <w:iCs/>
        </w:rPr>
        <w:t xml:space="preserve"> </w:t>
      </w:r>
      <w:bookmarkStart w:id="10" w:name="_Hlk90244714"/>
      <w:r w:rsidRPr="00F26EA2">
        <w:rPr>
          <w:rFonts w:ascii="Times New Roman" w:hAnsi="Times New Roman" w:cs="Times New Roman"/>
          <w:i/>
          <w:iCs/>
        </w:rPr>
        <w:t xml:space="preserve">research addresses the frequencies of the first, second, and first two significant digits counts and explore the conformance to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of these </w:t>
      </w:r>
      <w:r w:rsidRPr="00884BDB">
        <w:rPr>
          <w:rFonts w:ascii="Times New Roman" w:hAnsi="Times New Roman" w:cs="Times New Roman"/>
          <w:i/>
          <w:iCs/>
          <w:color w:val="000000" w:themeColor="text1"/>
        </w:rPr>
        <w:t xml:space="preserve">distributions at eleven different (117 days minute data points) </w:t>
      </w:r>
      <w:r w:rsidRPr="00F26EA2">
        <w:rPr>
          <w:rFonts w:ascii="Times New Roman" w:hAnsi="Times New Roman" w:cs="Times New Roman"/>
          <w:i/>
          <w:iCs/>
        </w:rPr>
        <w:t>levels of disaggregation of mathematical model of processes that might account for such a leading digit distribution have also been investigated. The log-returns are studied for either positive or negative cases. The results for the S&amp;P500 minute volume data set are showing a huge lack of nonconformity.</w:t>
      </w:r>
      <w:bookmarkEnd w:id="10"/>
      <w:r w:rsidRPr="00F26EA2">
        <w:rPr>
          <w:rFonts w:ascii="Times New Roman" w:hAnsi="Times New Roman" w:cs="Times New Roman"/>
          <w:i/>
          <w:iCs/>
        </w:rPr>
        <w:t xml:space="preserve"> Such data sets have been examined and it was found that only a small fraction of them conform to the law. whatever the different levels of disaggregation. Some “first digits” and first two digits values are even missing. The causes of this non-conformity are discussed, pointing to the danger in taking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for granted in huge data bases, whence drawing “definite conclusions”.  Study found that based on the notion of taking the product of many random factors the most credible. This led to the identification of a class of lognormal distributions, those whose shape parameter exceeds 1, which satisfy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 This in turn led us to a novel explanation for the law: that it is fundamentally a consequence of the fact that many physical quantities cannot meaningfully take negative values. This enabled to develop a simple set of rules for determining whether a given data set is likely to conform to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 The agreements with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are much better for the log-returns. Such a disparity in agreements finds an explanation in the data set itself: the inherent trend in the index. To further validate this, daily returns have been simulated calibrating the simulations with the observed data averages and tested against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One finds that not only the trend but also the standard deviation </w:t>
      </w:r>
      <w:r w:rsidRPr="00400EA9">
        <w:rPr>
          <w:rFonts w:ascii="Times New Roman" w:hAnsi="Times New Roman" w:cs="Times New Roman"/>
          <w:i/>
          <w:iCs/>
        </w:rPr>
        <w:t xml:space="preserve">of the distributions are relevant parameters in concluding about conformity with </w:t>
      </w:r>
      <w:proofErr w:type="spellStart"/>
      <w:r w:rsidRPr="00400EA9">
        <w:rPr>
          <w:rFonts w:ascii="Times New Roman" w:hAnsi="Times New Roman" w:cs="Times New Roman"/>
          <w:i/>
          <w:iCs/>
        </w:rPr>
        <w:t>Benford's</w:t>
      </w:r>
      <w:proofErr w:type="spellEnd"/>
      <w:r w:rsidRPr="00400EA9">
        <w:rPr>
          <w:rFonts w:ascii="Times New Roman" w:hAnsi="Times New Roman" w:cs="Times New Roman"/>
          <w:i/>
          <w:iCs/>
        </w:rPr>
        <w:t xml:space="preserve"> laws.</w:t>
      </w:r>
    </w:p>
    <w:p w14:paraId="545A5B1D" w14:textId="77777777" w:rsidR="00BF3A39" w:rsidRPr="002268C9" w:rsidRDefault="00BF3A39" w:rsidP="00BF3A39">
      <w:pPr>
        <w:shd w:val="clear" w:color="auto" w:fill="FFFFFF"/>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Third part</w:t>
      </w:r>
      <w:r w:rsidRPr="00400EA9">
        <w:rPr>
          <w:rFonts w:ascii="Times New Roman" w:eastAsia="Times New Roman" w:hAnsi="Times New Roman" w:cs="Times New Roman"/>
          <w:i/>
          <w:iCs/>
          <w:sz w:val="24"/>
          <w:szCs w:val="24"/>
        </w:rPr>
        <w:t xml:space="preserve"> is to modify and test the IFBM GARCH methodology in terms of quantifying the impact of daily rates of return-on-investment activities in the observed S&amp;P 500 stock index. </w:t>
      </w:r>
      <w:bookmarkStart w:id="11" w:name="_Hlk90244777"/>
      <w:r w:rsidRPr="00400EA9">
        <w:rPr>
          <w:rFonts w:ascii="Times New Roman" w:eastAsia="Times New Roman" w:hAnsi="Times New Roman" w:cs="Times New Roman"/>
          <w:i/>
          <w:iCs/>
          <w:sz w:val="24"/>
          <w:szCs w:val="24"/>
        </w:rPr>
        <w:t>The aim of the research, i.e., a special focus in the research, is to develop the modified GARCH methodology in the observed financial markets and to compare the obtained results between the variation of Modified GARCH models as well.</w:t>
      </w:r>
      <w:bookmarkEnd w:id="11"/>
      <w:r w:rsidRPr="00400EA9">
        <w:rPr>
          <w:rStyle w:val="SubtleEmphasis"/>
          <w:rFonts w:ascii="Times New Roman" w:hAnsi="Times New Roman"/>
          <w:color w:val="auto"/>
          <w:sz w:val="24"/>
          <w:szCs w:val="24"/>
        </w:rPr>
        <w:t xml:space="preserve"> The </w:t>
      </w:r>
      <w:r>
        <w:rPr>
          <w:rStyle w:val="SubtleEmphasis"/>
          <w:rFonts w:ascii="Times New Roman" w:hAnsi="Times New Roman"/>
          <w:color w:val="auto"/>
          <w:sz w:val="24"/>
          <w:szCs w:val="24"/>
        </w:rPr>
        <w:t xml:space="preserve">part of </w:t>
      </w:r>
      <w:r w:rsidRPr="00400EA9">
        <w:rPr>
          <w:rStyle w:val="SubtleEmphasis"/>
          <w:rFonts w:ascii="Times New Roman" w:hAnsi="Times New Roman"/>
          <w:color w:val="auto"/>
          <w:sz w:val="24"/>
          <w:szCs w:val="24"/>
        </w:rPr>
        <w:t xml:space="preserve">research is also aimed to study the performance of Modified IFBM GARCH models. A comprehensive empirical analysis of returns and conditional variances of the US stock exchange (S&amp;P 500) index are conduct in order to estimate the GARCH models, and also the implementation of symmetric and asymmetric or (A-GARCH) models to observe the daily stock market volatility. </w:t>
      </w:r>
      <w:proofErr w:type="spellStart"/>
      <w:r w:rsidRPr="00400EA9">
        <w:rPr>
          <w:rStyle w:val="SubtleEmphasis"/>
          <w:rFonts w:ascii="Times New Roman" w:hAnsi="Times New Roman"/>
          <w:color w:val="auto"/>
          <w:sz w:val="24"/>
          <w:szCs w:val="24"/>
        </w:rPr>
        <w:t>Glosten</w:t>
      </w:r>
      <w:proofErr w:type="spellEnd"/>
      <w:r w:rsidRPr="00400EA9">
        <w:rPr>
          <w:rStyle w:val="SubtleEmphasis"/>
          <w:rFonts w:ascii="Times New Roman" w:hAnsi="Times New Roman"/>
          <w:color w:val="auto"/>
          <w:sz w:val="24"/>
          <w:szCs w:val="24"/>
        </w:rPr>
        <w:t xml:space="preserve"> (1993) GJR-GARCH model in term of an alternative edition of the asymmetric mode of Engel et al. (1990). For instance, it is often observed in GJR-GARCH model the asymmetric response is bounded by only the negative shocks of the market. Nelson’s (1991) E-GARCH for formulating </w:t>
      </w:r>
      <w:r w:rsidRPr="00400EA9">
        <w:rPr>
          <w:rStyle w:val="SubtleEmphasis"/>
          <w:rFonts w:ascii="Times New Roman" w:hAnsi="Times New Roman"/>
          <w:color w:val="auto"/>
          <w:sz w:val="24"/>
          <w:szCs w:val="24"/>
        </w:rPr>
        <w:lastRenderedPageBreak/>
        <w:t>the conditional variance equation to implement the method of ensuring, that the variance is positives.</w:t>
      </w:r>
      <w:r w:rsidRPr="00400EA9">
        <w:rPr>
          <w:rFonts w:ascii="Times New Roman" w:eastAsia="Times New Roman" w:hAnsi="Times New Roman" w:cs="Times New Roman"/>
          <w:sz w:val="24"/>
          <w:szCs w:val="24"/>
        </w:rPr>
        <w:t xml:space="preserve">, </w:t>
      </w:r>
      <w:r w:rsidRPr="00400EA9">
        <w:rPr>
          <w:rFonts w:ascii="Times New Roman" w:eastAsia="Times New Roman" w:hAnsi="Times New Roman" w:cs="Times New Roman"/>
          <w:i/>
          <w:iCs/>
          <w:sz w:val="24"/>
          <w:szCs w:val="24"/>
        </w:rPr>
        <w:t xml:space="preserve">where the width of the research time horizon allows testing the modified GARCH methodology in the different periods. In addition to the use of modified IFBM GARCH econometric models, </w:t>
      </w:r>
      <w:r w:rsidRPr="00400EA9">
        <w:rPr>
          <w:rFonts w:ascii="Times New Roman" w:hAnsi="Times New Roman" w:cs="Times New Roman"/>
          <w:i/>
          <w:iCs/>
          <w:sz w:val="24"/>
          <w:szCs w:val="24"/>
        </w:rPr>
        <w:t>the focus of this work is to make use of existing, well-known Information Criteria (IC) to identify the stock index data-generating-process whenever the GARCH effect is present. Akaike Information’s Criteria (AIC) and Bayesian Information Criteria (BIC) have used for this experiment. Research provides different models with different parameter values and observed the abilities of information criterion in choosing the correct model from a given pool of models</w:t>
      </w:r>
      <w:r w:rsidRPr="00400EA9">
        <w:rPr>
          <w:rFonts w:ascii="Times New Roman" w:eastAsia="Times New Roman" w:hAnsi="Times New Roman" w:cs="Times New Roman"/>
          <w:i/>
          <w:iCs/>
          <w:sz w:val="24"/>
          <w:szCs w:val="24"/>
        </w:rPr>
        <w:t xml:space="preserve">, as well as the appropriate tests that are suitable for and/or adapted to the </w:t>
      </w:r>
      <w:r w:rsidRPr="002268C9">
        <w:rPr>
          <w:rFonts w:ascii="Times New Roman" w:eastAsia="Times New Roman" w:hAnsi="Times New Roman" w:cs="Times New Roman"/>
          <w:i/>
          <w:iCs/>
          <w:sz w:val="24"/>
          <w:szCs w:val="24"/>
        </w:rPr>
        <w:t xml:space="preserve">specific characteristics of financial markets, </w:t>
      </w:r>
      <w:r w:rsidRPr="002268C9">
        <w:rPr>
          <w:rFonts w:ascii="Times New Roman" w:hAnsi="Times New Roman" w:cs="Times New Roman"/>
          <w:i/>
          <w:iCs/>
          <w:sz w:val="24"/>
          <w:szCs w:val="24"/>
        </w:rPr>
        <w:t>examine irrational agent behaviour reacting to time dependent news on the log-returns for modifying a financial market evolution.</w:t>
      </w:r>
      <w:r w:rsidRPr="002268C9">
        <w:rPr>
          <w:rFonts w:ascii="Times New Roman" w:eastAsia="Times New Roman" w:hAnsi="Times New Roman" w:cs="Times New Roman"/>
          <w:i/>
          <w:iCs/>
          <w:sz w:val="24"/>
          <w:szCs w:val="24"/>
        </w:rPr>
        <w:t xml:space="preserve"> The research results confirm the role and importance of the modified IFBM GARCH methodology for effective investment risk in financial markets, in this sense, the obtained research results will be useful to both the academic community and the professional public in the context of investment decision making.</w:t>
      </w:r>
    </w:p>
    <w:p w14:paraId="3FCFA600" w14:textId="1C2032DB" w:rsidR="00387EE5" w:rsidRDefault="00387EE5"/>
    <w:p w14:paraId="1A4BC1C5" w14:textId="67555D9C" w:rsidR="00387EE5" w:rsidRDefault="00387EE5"/>
    <w:p w14:paraId="50F5089B" w14:textId="63580177" w:rsidR="00387EE5" w:rsidRDefault="00387EE5"/>
    <w:p w14:paraId="423D264B" w14:textId="3EF2F2F2" w:rsidR="00387EE5" w:rsidRDefault="00387EE5"/>
    <w:p w14:paraId="095F16BE" w14:textId="5EA20EB5" w:rsidR="00387EE5" w:rsidRDefault="00387EE5"/>
    <w:p w14:paraId="0A1B0C86" w14:textId="4ABC3131" w:rsidR="00BF3A39" w:rsidRDefault="00BF3A39"/>
    <w:p w14:paraId="30B80DB4" w14:textId="1FF27142" w:rsidR="00BF3A39" w:rsidRDefault="00BF3A39"/>
    <w:p w14:paraId="32EFB3AA" w14:textId="30CC4D90" w:rsidR="00BF3A39" w:rsidRDefault="00BF3A39"/>
    <w:p w14:paraId="28C847C2" w14:textId="2675AB07" w:rsidR="00BF3A39" w:rsidRDefault="00BF3A39"/>
    <w:p w14:paraId="0B2F0550" w14:textId="25EB7268" w:rsidR="00BF3A39" w:rsidRDefault="00BF3A39"/>
    <w:p w14:paraId="5490B6ED" w14:textId="4EC69650" w:rsidR="00BF3A39" w:rsidRDefault="00BF3A39"/>
    <w:p w14:paraId="33814A56" w14:textId="020DA5D4" w:rsidR="00BF3A39" w:rsidRDefault="00BF3A39"/>
    <w:p w14:paraId="609F6EA9" w14:textId="5F652F86" w:rsidR="00BF3A39" w:rsidRDefault="00BF3A39"/>
    <w:p w14:paraId="47DD0843" w14:textId="0592D15A" w:rsidR="00BF3A39" w:rsidRDefault="00BF3A39"/>
    <w:p w14:paraId="6C762975" w14:textId="77777777" w:rsidR="00BF3A39" w:rsidRDefault="00BF3A39"/>
    <w:p w14:paraId="6B583581" w14:textId="2F83E4FA" w:rsidR="00E62031" w:rsidRDefault="00E62031" w:rsidP="00E62031">
      <w:pPr>
        <w:pStyle w:val="Heading1"/>
      </w:pPr>
      <w:bookmarkStart w:id="12" w:name="_Toc90499923"/>
      <w:r w:rsidRPr="00E62031">
        <w:lastRenderedPageBreak/>
        <w:t>Part 1: Liquidity Transmission mechanism: Evidence from pre, during and post 2007 subprime crisis.</w:t>
      </w:r>
      <w:bookmarkEnd w:id="12"/>
      <w:r w:rsidRPr="00E62031">
        <w:t xml:space="preserve"> </w:t>
      </w:r>
    </w:p>
    <w:p w14:paraId="7FD4B273" w14:textId="77777777" w:rsidR="00645577" w:rsidRDefault="00645577" w:rsidP="00645577">
      <w:pPr>
        <w:pStyle w:val="Heading1"/>
      </w:pPr>
      <w:bookmarkStart w:id="13" w:name="_Toc90499924"/>
      <w:r w:rsidRPr="00B44D0D">
        <w:t>Abstract</w:t>
      </w:r>
      <w:r>
        <w:t>: Part 1</w:t>
      </w:r>
      <w:bookmarkEnd w:id="13"/>
    </w:p>
    <w:p w14:paraId="22FDFB17" w14:textId="43BC0797" w:rsidR="00645577" w:rsidRPr="00E67F8F" w:rsidRDefault="00645577" w:rsidP="00645577">
      <w:pPr>
        <w:spacing w:line="360" w:lineRule="auto"/>
        <w:jc w:val="both"/>
        <w:rPr>
          <w:rFonts w:ascii="Times New Roman" w:hAnsi="Times New Roman" w:cs="Times New Roman"/>
          <w:i/>
          <w:iCs/>
          <w:color w:val="0D0D0D" w:themeColor="text1" w:themeTint="F2"/>
          <w:sz w:val="24"/>
          <w:szCs w:val="24"/>
        </w:rPr>
      </w:pPr>
      <w:bookmarkStart w:id="14" w:name="_Hlk78539444"/>
      <w:r w:rsidRPr="00E67F8F">
        <w:rPr>
          <w:rFonts w:ascii="Times New Roman" w:hAnsi="Times New Roman" w:cs="Times New Roman"/>
          <w:i/>
          <w:iCs/>
          <w:color w:val="0D0D0D" w:themeColor="text1" w:themeTint="F2"/>
          <w:sz w:val="24"/>
          <w:szCs w:val="24"/>
        </w:rPr>
        <w:t xml:space="preserve">Activities of international banks have been at the core of discussions on the causes and effects of the international financial crisis. Yet we know little about the actual magnitudes and mechanisms for transmission of liquidity shocks through international banks, including the reasons for heterogeneity in transmission across banks. The International Banking Research Network, established in 2012, brings together researchers from around the world with access to micro-level data on individual banks to analyse issues pertaining to global banks. This </w:t>
      </w:r>
      <w:bookmarkStart w:id="15" w:name="_Hlk90244644"/>
      <w:r w:rsidRPr="00E67F8F">
        <w:rPr>
          <w:rFonts w:ascii="Times New Roman" w:hAnsi="Times New Roman" w:cs="Times New Roman"/>
          <w:i/>
          <w:iCs/>
          <w:color w:val="0D0D0D" w:themeColor="text1" w:themeTint="F2"/>
          <w:sz w:val="24"/>
          <w:szCs w:val="24"/>
        </w:rPr>
        <w:t>research examines the linkages between market and funding liquidity pressures, as well as their interaction with solvency issues surrounding key financial institutions between pre/during and post crisis.</w:t>
      </w:r>
      <w:bookmarkEnd w:id="15"/>
      <w:r w:rsidRPr="00E67F8F">
        <w:rPr>
          <w:rFonts w:ascii="Times New Roman" w:hAnsi="Times New Roman" w:cs="Times New Roman"/>
          <w:i/>
          <w:iCs/>
          <w:color w:val="0D0D0D" w:themeColor="text1" w:themeTint="F2"/>
          <w:sz w:val="24"/>
          <w:szCs w:val="24"/>
        </w:rPr>
        <w:t xml:space="preserve"> This research </w:t>
      </w:r>
      <w:r w:rsidRPr="00E24698">
        <w:rPr>
          <w:rFonts w:ascii="Times New Roman" w:hAnsi="Times New Roman" w:cs="Times New Roman"/>
          <w:i/>
          <w:iCs/>
          <w:color w:val="0D0D0D" w:themeColor="text1" w:themeTint="F2"/>
          <w:sz w:val="24"/>
          <w:szCs w:val="24"/>
        </w:rPr>
        <w:t>will undergo</w:t>
      </w:r>
      <w:r w:rsidRPr="00E67F8F">
        <w:rPr>
          <w:rFonts w:ascii="Times New Roman" w:hAnsi="Times New Roman" w:cs="Times New Roman"/>
          <w:i/>
          <w:iCs/>
          <w:color w:val="0D0D0D" w:themeColor="text1" w:themeTint="F2"/>
          <w:sz w:val="24"/>
          <w:szCs w:val="24"/>
        </w:rPr>
        <w:t xml:space="preserve"> with </w:t>
      </w:r>
      <w:r>
        <w:rPr>
          <w:rFonts w:ascii="Times New Roman" w:hAnsi="Times New Roman" w:cs="Times New Roman"/>
          <w:i/>
          <w:iCs/>
          <w:color w:val="0D0D0D" w:themeColor="text1" w:themeTint="F2"/>
          <w:sz w:val="24"/>
          <w:szCs w:val="24"/>
        </w:rPr>
        <w:t xml:space="preserve">the </w:t>
      </w:r>
      <w:r w:rsidRPr="00E67F8F">
        <w:rPr>
          <w:rFonts w:ascii="Times New Roman" w:hAnsi="Times New Roman" w:cs="Times New Roman"/>
          <w:i/>
          <w:iCs/>
          <w:color w:val="0D0D0D" w:themeColor="text1" w:themeTint="F2"/>
          <w:sz w:val="24"/>
          <w:szCs w:val="24"/>
        </w:rPr>
        <w:t>following steps: Step#1: test the significance of chosen data, analyse data feature, if series is non-stationary series, stabilize it by log difference or periodical difference. Step#2: ARMA model identification and parameter estimation: Identify the model and estimate parameter(s) according to series autocorrelation and partial correlation plot after stabilizing. Step#3: ARMA model test: Test model by statistical hypothesis testing method, if model is effective, then go to the fourth step, otherwise come back to the second step to adjust the model’s order and establish the model again. Step#4: ARCH effect test, model identification and parameter estimation: Do GARCH effect test for residual series, identify the model’s order, estimate the parameter, establish the ARMAGARCH model. Step#5: ARMA-GARCH model test: Test model by statistical hypothesis testing method, if model is effective, go to the sixth step, otherwise come back to the fourth step to adjust GARCH model’ order again. To select the order of GARCH model finally, we will also check the performance of that model on the validation set. Step#6:</w:t>
      </w:r>
      <w:r w:rsidR="002149D9" w:rsidRPr="002149D9">
        <w:rPr>
          <w:rFonts w:ascii="Times New Roman" w:hAnsi="Times New Roman" w:cs="Times New Roman"/>
          <w:sz w:val="24"/>
          <w:szCs w:val="24"/>
        </w:rPr>
        <w:t xml:space="preserve"> </w:t>
      </w:r>
      <w:r w:rsidR="002149D9" w:rsidRPr="002149D9">
        <w:rPr>
          <w:rFonts w:ascii="Times New Roman" w:hAnsi="Times New Roman" w:cs="Times New Roman"/>
          <w:i/>
          <w:sz w:val="24"/>
          <w:szCs w:val="24"/>
        </w:rPr>
        <w:t xml:space="preserve">According to the established ARMA-GARCH model from steps 1-5 and integration to DCC-GARCH and BEKK-GARCH. Multivariate GARCH models have evolved from the optimal univariate GARCH model. The DCC specification will then allow the capture of possible structural breaks in the unconditional correlation amongst the variables. Finally, </w:t>
      </w:r>
      <w:r w:rsidR="002149D9" w:rsidRPr="002149D9">
        <w:rPr>
          <w:rFonts w:ascii="Times New Roman" w:hAnsi="Times New Roman"/>
          <w:i/>
          <w:sz w:val="24"/>
          <w:szCs w:val="24"/>
        </w:rPr>
        <w:t>the BEKK-GARCH model will also be able to provide more detailed transmission information, apart from the conditional correlation.</w:t>
      </w:r>
      <w:r w:rsidRPr="00E67F8F">
        <w:rPr>
          <w:rFonts w:ascii="Times New Roman" w:hAnsi="Times New Roman" w:cs="Times New Roman"/>
          <w:i/>
          <w:iCs/>
          <w:color w:val="0D0D0D" w:themeColor="text1" w:themeTint="F2"/>
          <w:sz w:val="24"/>
          <w:szCs w:val="24"/>
        </w:rPr>
        <w:t xml:space="preserve"> A multivariate GARCH model</w:t>
      </w:r>
      <w:r w:rsidR="001050FB">
        <w:rPr>
          <w:rFonts w:ascii="Times New Roman" w:hAnsi="Times New Roman" w:cs="Times New Roman"/>
          <w:i/>
          <w:iCs/>
          <w:color w:val="0D0D0D" w:themeColor="text1" w:themeTint="F2"/>
          <w:sz w:val="24"/>
          <w:szCs w:val="24"/>
        </w:rPr>
        <w:t>s</w:t>
      </w:r>
      <w:r w:rsidRPr="00E67F8F">
        <w:rPr>
          <w:rFonts w:ascii="Times New Roman" w:hAnsi="Times New Roman" w:cs="Times New Roman"/>
          <w:i/>
          <w:iCs/>
          <w:color w:val="0D0D0D" w:themeColor="text1" w:themeTint="F2"/>
          <w:sz w:val="24"/>
          <w:szCs w:val="24"/>
        </w:rPr>
        <w:t xml:space="preserve"> </w:t>
      </w:r>
      <w:r w:rsidR="001050FB">
        <w:rPr>
          <w:rFonts w:ascii="Times New Roman" w:hAnsi="Times New Roman" w:cs="Times New Roman"/>
          <w:i/>
          <w:iCs/>
          <w:color w:val="0D0D0D" w:themeColor="text1" w:themeTint="F2"/>
          <w:sz w:val="24"/>
          <w:szCs w:val="24"/>
        </w:rPr>
        <w:t>are</w:t>
      </w:r>
      <w:r w:rsidRPr="00E67F8F">
        <w:rPr>
          <w:rFonts w:ascii="Times New Roman" w:hAnsi="Times New Roman" w:cs="Times New Roman"/>
          <w:i/>
          <w:iCs/>
          <w:color w:val="0D0D0D" w:themeColor="text1" w:themeTint="F2"/>
          <w:sz w:val="24"/>
          <w:szCs w:val="24"/>
        </w:rPr>
        <w:t xml:space="preserve"> estimated in order to test for the transmission of liquidity shocks across U.S. financial markets. It is found that the interaction between market and funding illiquidity increases/swerves sharply during the period of financial turbulence, and that bank solvency becomes important.</w:t>
      </w:r>
    </w:p>
    <w:p w14:paraId="29ABC5B6" w14:textId="19A290BC" w:rsidR="009C44BB" w:rsidRPr="009C44BB" w:rsidRDefault="009C44BB" w:rsidP="009C44BB">
      <w:pPr>
        <w:pStyle w:val="Heading1"/>
      </w:pPr>
      <w:bookmarkStart w:id="16" w:name="_Toc90499925"/>
      <w:bookmarkEnd w:id="14"/>
      <w:r>
        <w:lastRenderedPageBreak/>
        <w:t>1.1 Introduction</w:t>
      </w:r>
      <w:bookmarkEnd w:id="16"/>
      <w:r>
        <w:t xml:space="preserve"> </w:t>
      </w:r>
    </w:p>
    <w:p w14:paraId="15AF39D1" w14:textId="06AB2A84" w:rsidR="00454904" w:rsidRPr="00B44D0D" w:rsidRDefault="00E62031" w:rsidP="009546FD">
      <w:pPr>
        <w:pStyle w:val="Heading2"/>
        <w:rPr>
          <w:color w:val="000000"/>
        </w:rPr>
      </w:pPr>
      <w:bookmarkStart w:id="17" w:name="_Toc90499926"/>
      <w:r>
        <w:t>1.1</w:t>
      </w:r>
      <w:r w:rsidR="006C0F17">
        <w:t>.1</w:t>
      </w:r>
      <w:r>
        <w:t xml:space="preserve"> </w:t>
      </w:r>
      <w:r w:rsidR="00454904" w:rsidRPr="00B44D0D">
        <w:t>Background</w:t>
      </w:r>
      <w:bookmarkEnd w:id="17"/>
    </w:p>
    <w:p w14:paraId="7E49BF0B" w14:textId="7C1E4689" w:rsidR="00454904" w:rsidRPr="00CB4C18" w:rsidRDefault="00454904" w:rsidP="00642BEB">
      <w:pPr>
        <w:spacing w:line="360" w:lineRule="auto"/>
        <w:jc w:val="both"/>
        <w:rPr>
          <w:rFonts w:ascii="Times New Roman" w:hAnsi="Times New Roman" w:cs="Times New Roman"/>
          <w:color w:val="0D0D0D" w:themeColor="text1" w:themeTint="F2"/>
          <w:sz w:val="24"/>
          <w:szCs w:val="24"/>
        </w:rPr>
      </w:pPr>
      <w:r w:rsidRPr="00CB4C18">
        <w:rPr>
          <w:rFonts w:ascii="Times New Roman" w:hAnsi="Times New Roman" w:cs="Times New Roman"/>
          <w:color w:val="0D0D0D" w:themeColor="text1" w:themeTint="F2"/>
          <w:sz w:val="24"/>
          <w:szCs w:val="24"/>
        </w:rPr>
        <w:t>Interbank markets play a key role in banks’ liquidity management and the transmission of monetary policy. They provide benchmark rates for the pricing of fixed-income securities throughout the economy (</w:t>
      </w:r>
      <w:r w:rsidR="00642BEB" w:rsidRPr="00CB4C18">
        <w:rPr>
          <w:rFonts w:ascii="Times New Roman" w:hAnsi="Times New Roman" w:cs="Times New Roman"/>
          <w:color w:val="0D0D0D" w:themeColor="text1" w:themeTint="F2"/>
          <w:sz w:val="24"/>
          <w:szCs w:val="24"/>
        </w:rPr>
        <w:t>e.g.,</w:t>
      </w:r>
      <w:r w:rsidRPr="00CB4C18">
        <w:rPr>
          <w:rFonts w:ascii="Times New Roman" w:hAnsi="Times New Roman" w:cs="Times New Roman"/>
          <w:color w:val="0D0D0D" w:themeColor="text1" w:themeTint="F2"/>
          <w:sz w:val="24"/>
          <w:szCs w:val="24"/>
        </w:rPr>
        <w:t xml:space="preserve"> LIBOR). In normal times, interbank markets are among the most liquid in the financial sector. Since August 2007, however, the functioning of interbank markets has become severely impaired around the world. As the financial crisis deepened in September 2008, liquidity in the interbank market has further dried up as banks preferred hoarding cash instead of lending it out even at short maturities. Central banks’ massive injections of liquidity did little to restart interbank lending. The failure of the interbank market to redistribute liquidity has become a key feature of the 2007-09 crisis (see, for example, Allen and </w:t>
      </w:r>
      <w:proofErr w:type="spellStart"/>
      <w:r w:rsidRPr="00CB4C18">
        <w:rPr>
          <w:rFonts w:ascii="Times New Roman" w:hAnsi="Times New Roman" w:cs="Times New Roman"/>
          <w:color w:val="0D0D0D" w:themeColor="text1" w:themeTint="F2"/>
          <w:sz w:val="24"/>
          <w:szCs w:val="24"/>
        </w:rPr>
        <w:t>Carletti</w:t>
      </w:r>
      <w:proofErr w:type="spellEnd"/>
      <w:r w:rsidRPr="00CB4C18">
        <w:rPr>
          <w:rFonts w:ascii="Times New Roman" w:hAnsi="Times New Roman" w:cs="Times New Roman"/>
          <w:color w:val="0D0D0D" w:themeColor="text1" w:themeTint="F2"/>
          <w:sz w:val="24"/>
          <w:szCs w:val="24"/>
        </w:rPr>
        <w:t xml:space="preserve">, 2008, and </w:t>
      </w:r>
      <w:proofErr w:type="spellStart"/>
      <w:r w:rsidRPr="00CB4C18">
        <w:rPr>
          <w:rFonts w:ascii="Times New Roman" w:hAnsi="Times New Roman" w:cs="Times New Roman"/>
          <w:color w:val="0D0D0D" w:themeColor="text1" w:themeTint="F2"/>
          <w:sz w:val="24"/>
          <w:szCs w:val="24"/>
        </w:rPr>
        <w:t>Brunnermeier</w:t>
      </w:r>
      <w:proofErr w:type="spellEnd"/>
      <w:r w:rsidRPr="00CB4C18">
        <w:rPr>
          <w:rFonts w:ascii="Times New Roman" w:hAnsi="Times New Roman" w:cs="Times New Roman"/>
          <w:color w:val="0D0D0D" w:themeColor="text1" w:themeTint="F2"/>
          <w:sz w:val="24"/>
          <w:szCs w:val="24"/>
        </w:rPr>
        <w:t>, 2009).</w:t>
      </w:r>
    </w:p>
    <w:p w14:paraId="6E330B12" w14:textId="77777777" w:rsidR="00454904" w:rsidRPr="00CB4C18" w:rsidRDefault="00454904" w:rsidP="00642BEB">
      <w:pPr>
        <w:spacing w:line="360" w:lineRule="auto"/>
        <w:jc w:val="both"/>
        <w:rPr>
          <w:rFonts w:ascii="Times New Roman" w:hAnsi="Times New Roman" w:cs="Times New Roman"/>
          <w:color w:val="0D0D0D" w:themeColor="text1" w:themeTint="F2"/>
          <w:sz w:val="24"/>
          <w:szCs w:val="24"/>
        </w:rPr>
      </w:pPr>
      <w:r w:rsidRPr="00CB4C18">
        <w:rPr>
          <w:rFonts w:ascii="Times New Roman" w:hAnsi="Times New Roman" w:cs="Times New Roman"/>
          <w:color w:val="0D0D0D" w:themeColor="text1" w:themeTint="F2"/>
          <w:sz w:val="24"/>
          <w:szCs w:val="24"/>
        </w:rPr>
        <w:t>Various interbank market regimes arise depending on the level and distribution of counterparty risk. First, when the level and dispersion of risk are low, the unsecured interbank market functions smoothly despite counterparty risk and asymmetric information. The interest rate for unsecured loans is low and all banks manage their liquidity using the interbank market. Riskier banks exert an externality on safer banks as the latter subsidize the liquidity of the former. But the cost is small compared to the cost of obtaining liquidity outside the unsecured market. Second, for higher levels of risk there can be adverse selection in the interbank market. The externality on safer banks is so costly that they leave the unsecured market. Liquidity is still traded but the interest rate rises to reflect the presence of riskier banks. Third, the interbank market may break down when the dispersion of risk is high. Liquidity rich banks prefer to hoard liquidity instead of lending it out to an adverse selection of borrowers. Finally, it is possible that even riskier borrowers find the unsecured interest rate too high and prefer to obtain liquidity elsewhere. Moreover, when the dispersion of risk is high, multiple equilibria are possible and which regime occurs depends on self-fulfilling expectations.</w:t>
      </w:r>
    </w:p>
    <w:p w14:paraId="373C97F8" w14:textId="77777777" w:rsidR="00454904" w:rsidRPr="00CB4C18" w:rsidRDefault="00A342F9" w:rsidP="00642BEB">
      <w:pPr>
        <w:spacing w:line="360" w:lineRule="auto"/>
        <w:jc w:val="both"/>
        <w:rPr>
          <w:rFonts w:ascii="Times New Roman" w:hAnsi="Times New Roman" w:cs="Times New Roman"/>
          <w:color w:val="0D0D0D" w:themeColor="text1" w:themeTint="F2"/>
          <w:sz w:val="24"/>
          <w:szCs w:val="24"/>
        </w:rPr>
      </w:pPr>
      <w:r w:rsidRPr="00CB4C18">
        <w:rPr>
          <w:rFonts w:ascii="Times New Roman" w:hAnsi="Times New Roman" w:cs="Times New Roman"/>
          <w:color w:val="0D0D0D" w:themeColor="text1" w:themeTint="F2"/>
          <w:sz w:val="24"/>
          <w:szCs w:val="24"/>
        </w:rPr>
        <w:t xml:space="preserve">The rapid growth of the subprime mortgage market in the late 1990s contributed to a significant proportion of the world's economy boom. Most developed and developing countries enjoyed explosive growth during this period. However, it has come at a price. The inherently lax monetary policy stimulated speculation and resulted in greater supply of debt to the global financial market. Under this economic environment, lending practices within the banking system have shifted from risk-neutral to risk-taking. Financial innovation enabled financial </w:t>
      </w:r>
      <w:r w:rsidRPr="00CB4C18">
        <w:rPr>
          <w:rFonts w:ascii="Times New Roman" w:hAnsi="Times New Roman" w:cs="Times New Roman"/>
          <w:color w:val="0D0D0D" w:themeColor="text1" w:themeTint="F2"/>
          <w:sz w:val="24"/>
          <w:szCs w:val="24"/>
        </w:rPr>
        <w:lastRenderedPageBreak/>
        <w:t xml:space="preserve">institutions to convert their lending model to the </w:t>
      </w:r>
      <w:r w:rsidR="00FD001D" w:rsidRPr="00CB4C18">
        <w:rPr>
          <w:rFonts w:ascii="Times New Roman" w:hAnsi="Times New Roman"/>
          <w:color w:val="0D0D0D" w:themeColor="text1" w:themeTint="F2"/>
          <w:sz w:val="24"/>
          <w:szCs w:val="24"/>
        </w:rPr>
        <w:t>“Originate-to-Distribute” OTD</w:t>
      </w:r>
      <w:r w:rsidRPr="00CB4C18">
        <w:rPr>
          <w:rFonts w:ascii="Times New Roman" w:hAnsi="Times New Roman" w:cs="Times New Roman"/>
          <w:color w:val="0D0D0D" w:themeColor="text1" w:themeTint="F2"/>
          <w:sz w:val="24"/>
          <w:szCs w:val="24"/>
        </w:rPr>
        <w:t xml:space="preserve"> from a traditional </w:t>
      </w:r>
      <w:r w:rsidR="00FD001D" w:rsidRPr="00CB4C18">
        <w:rPr>
          <w:rFonts w:ascii="Times New Roman" w:hAnsi="Times New Roman" w:cs="Times New Roman"/>
          <w:color w:val="0D0D0D" w:themeColor="text1" w:themeTint="F2"/>
          <w:sz w:val="24"/>
          <w:szCs w:val="24"/>
        </w:rPr>
        <w:t>“</w:t>
      </w:r>
      <w:r w:rsidR="00FD001D" w:rsidRPr="00CB4C18">
        <w:rPr>
          <w:rFonts w:ascii="Times New Roman" w:hAnsi="Times New Roman"/>
          <w:color w:val="0D0D0D" w:themeColor="text1" w:themeTint="F2"/>
          <w:sz w:val="24"/>
          <w:szCs w:val="24"/>
        </w:rPr>
        <w:t xml:space="preserve">Originate-to-Hold” </w:t>
      </w:r>
      <w:r w:rsidRPr="00CB4C18">
        <w:rPr>
          <w:rFonts w:ascii="Times New Roman" w:hAnsi="Times New Roman" w:cs="Times New Roman"/>
          <w:color w:val="0D0D0D" w:themeColor="text1" w:themeTint="F2"/>
          <w:sz w:val="24"/>
          <w:szCs w:val="24"/>
        </w:rPr>
        <w:t>OTH perspective, whereby the loan originator sells it to various third parties. In the past, banks received money from depositors and lend to lenders.</w:t>
      </w:r>
    </w:p>
    <w:p w14:paraId="2A9EC443" w14:textId="468D24BD" w:rsidR="00F42D4B" w:rsidRDefault="00F42D4B" w:rsidP="00642BEB">
      <w:pPr>
        <w:spacing w:line="360" w:lineRule="auto"/>
        <w:jc w:val="both"/>
        <w:rPr>
          <w:rFonts w:ascii="Times New Roman" w:hAnsi="Times New Roman" w:cs="Times New Roman"/>
          <w:color w:val="000000"/>
          <w:sz w:val="24"/>
          <w:szCs w:val="24"/>
        </w:rPr>
      </w:pPr>
      <w:r w:rsidRPr="00CB4C18">
        <w:rPr>
          <w:rFonts w:ascii="Times New Roman" w:hAnsi="Times New Roman" w:cs="Times New Roman"/>
          <w:color w:val="0D0D0D" w:themeColor="text1" w:themeTint="F2"/>
          <w:sz w:val="24"/>
          <w:szCs w:val="24"/>
        </w:rPr>
        <w:t xml:space="preserve">The utility of intermediaries is based on various liquidity priorities and facilitates the smooth flow of funds into the banking system, which gives banks the opportunity to make profit. In addition, banks are now closely linked with the ability to transfer credit risk due to the inter-bank </w:t>
      </w:r>
      <w:r w:rsidR="00CB4C18" w:rsidRPr="00CB4C18">
        <w:rPr>
          <w:rFonts w:ascii="Times New Roman" w:hAnsi="Times New Roman" w:cs="Times New Roman"/>
          <w:color w:val="0D0D0D" w:themeColor="text1" w:themeTint="F2"/>
          <w:sz w:val="24"/>
          <w:szCs w:val="24"/>
        </w:rPr>
        <w:t>crossholding</w:t>
      </w:r>
      <w:r w:rsidRPr="00CB4C18">
        <w:rPr>
          <w:rFonts w:ascii="Times New Roman" w:hAnsi="Times New Roman" w:cs="Times New Roman"/>
          <w:color w:val="0D0D0D" w:themeColor="text1" w:themeTint="F2"/>
          <w:sz w:val="24"/>
          <w:szCs w:val="24"/>
        </w:rPr>
        <w:t xml:space="preserve"> and OTD business model. </w:t>
      </w:r>
      <w:r w:rsidR="00642BEB" w:rsidRPr="00CB4C18">
        <w:rPr>
          <w:rFonts w:ascii="Times New Roman" w:hAnsi="Times New Roman" w:cs="Times New Roman"/>
          <w:color w:val="0D0D0D" w:themeColor="text1" w:themeTint="F2"/>
          <w:sz w:val="24"/>
          <w:szCs w:val="24"/>
        </w:rPr>
        <w:t>Therefore,</w:t>
      </w:r>
      <w:r w:rsidR="00642BEB">
        <w:rPr>
          <w:rFonts w:ascii="Times New Roman" w:hAnsi="Times New Roman" w:cs="Times New Roman"/>
          <w:color w:val="0D0D0D" w:themeColor="text1" w:themeTint="F2"/>
          <w:sz w:val="24"/>
          <w:szCs w:val="24"/>
        </w:rPr>
        <w:t xml:space="preserve"> </w:t>
      </w:r>
      <w:r w:rsidRPr="00CB4C18">
        <w:rPr>
          <w:rFonts w:ascii="Times New Roman" w:hAnsi="Times New Roman" w:cs="Times New Roman"/>
          <w:color w:val="0D0D0D" w:themeColor="text1" w:themeTint="F2"/>
          <w:sz w:val="24"/>
          <w:szCs w:val="24"/>
        </w:rPr>
        <w:t xml:space="preserve">banks are tempted to borrow excessively without proper monitoring and screening process. </w:t>
      </w:r>
      <w:proofErr w:type="spellStart"/>
      <w:r w:rsidRPr="00CB4C18">
        <w:rPr>
          <w:rFonts w:ascii="Times New Roman" w:hAnsi="Times New Roman" w:cs="Times New Roman"/>
          <w:color w:val="0D0D0D" w:themeColor="text1" w:themeTint="F2"/>
          <w:sz w:val="24"/>
          <w:szCs w:val="24"/>
        </w:rPr>
        <w:t>Purnandam</w:t>
      </w:r>
      <w:proofErr w:type="spellEnd"/>
      <w:r w:rsidRPr="00CB4C18">
        <w:rPr>
          <w:rFonts w:ascii="Times New Roman" w:hAnsi="Times New Roman" w:cs="Times New Roman"/>
          <w:color w:val="0D0D0D" w:themeColor="text1" w:themeTint="F2"/>
          <w:sz w:val="24"/>
          <w:szCs w:val="24"/>
        </w:rPr>
        <w:t xml:space="preserve"> (2008) found that lack of incentive to screening due to separation from the ultimate risk taker is one of the most </w:t>
      </w:r>
      <w:r w:rsidRPr="00F42D4B">
        <w:rPr>
          <w:rFonts w:ascii="Times New Roman" w:hAnsi="Times New Roman" w:cs="Times New Roman"/>
          <w:color w:val="000000"/>
          <w:sz w:val="24"/>
          <w:szCs w:val="24"/>
        </w:rPr>
        <w:t>important factors in the US subprime mortgage crisis. During the crisis, the impact was mostly due to this trend. This can be exemplified by the numerous financial shocks found in various liquid channels of funding throughout the US market.</w:t>
      </w:r>
    </w:p>
    <w:p w14:paraId="27DBF68A" w14:textId="09DD4EDD" w:rsidR="00310DE2" w:rsidRDefault="00310DE2" w:rsidP="00642BEB">
      <w:pPr>
        <w:spacing w:line="360" w:lineRule="auto"/>
        <w:jc w:val="both"/>
        <w:rPr>
          <w:rFonts w:ascii="Times New Roman" w:hAnsi="Times New Roman" w:cs="Times New Roman"/>
          <w:color w:val="000000"/>
          <w:sz w:val="24"/>
          <w:szCs w:val="24"/>
        </w:rPr>
      </w:pPr>
      <w:r w:rsidRPr="00310DE2">
        <w:rPr>
          <w:rFonts w:ascii="Times New Roman" w:hAnsi="Times New Roman" w:cs="Times New Roman"/>
          <w:color w:val="000000"/>
          <w:sz w:val="24"/>
          <w:szCs w:val="24"/>
        </w:rPr>
        <w:t xml:space="preserve">Banks have a unique function in the economy, in that they act as intermediaries to meet different liquidity priorities. Banks </w:t>
      </w:r>
      <w:r w:rsidR="00642BEB" w:rsidRPr="00310DE2">
        <w:rPr>
          <w:rFonts w:ascii="Times New Roman" w:hAnsi="Times New Roman" w:cs="Times New Roman"/>
          <w:color w:val="000000"/>
          <w:sz w:val="24"/>
          <w:szCs w:val="24"/>
        </w:rPr>
        <w:t>can</w:t>
      </w:r>
      <w:r w:rsidRPr="00310DE2">
        <w:rPr>
          <w:rFonts w:ascii="Times New Roman" w:hAnsi="Times New Roman" w:cs="Times New Roman"/>
          <w:color w:val="000000"/>
          <w:sz w:val="24"/>
          <w:szCs w:val="24"/>
        </w:rPr>
        <w:t xml:space="preserve"> assess the creditworthiness of the borrower if they need a </w:t>
      </w:r>
      <w:r w:rsidR="009C44BB" w:rsidRPr="00310DE2">
        <w:rPr>
          <w:rFonts w:ascii="Times New Roman" w:hAnsi="Times New Roman" w:cs="Times New Roman"/>
          <w:color w:val="000000"/>
          <w:sz w:val="24"/>
          <w:szCs w:val="24"/>
        </w:rPr>
        <w:t>loan,</w:t>
      </w:r>
      <w:r w:rsidRPr="00310DE2">
        <w:rPr>
          <w:rFonts w:ascii="Times New Roman" w:hAnsi="Times New Roman" w:cs="Times New Roman"/>
          <w:color w:val="000000"/>
          <w:sz w:val="24"/>
          <w:szCs w:val="24"/>
        </w:rPr>
        <w:t xml:space="preserve"> and it is the responsibility of the banks to exercise due diligence before approving any loan. Screening and monitoring functions are also the standard procedure for banks for risk assessment. However, they do not always fully perform these functions. With the application of the OTD model, financial institutions can transfer credit risk to a third party by securitizing a mortgage pool while maintaining their profitability. This has led to a significant reduction in the incentive to diagnose efficacy and other risks. The standard of living has come from financial institutions that have adopted the OTD model extensively, as the screening work has not been performed poorly. Ashcraft and </w:t>
      </w:r>
      <w:proofErr w:type="spellStart"/>
      <w:r w:rsidRPr="00310DE2">
        <w:rPr>
          <w:rFonts w:ascii="Times New Roman" w:hAnsi="Times New Roman" w:cs="Times New Roman"/>
          <w:color w:val="000000"/>
          <w:sz w:val="24"/>
          <w:szCs w:val="24"/>
        </w:rPr>
        <w:t>Schumerman</w:t>
      </w:r>
      <w:proofErr w:type="spellEnd"/>
      <w:r w:rsidRPr="00310DE2">
        <w:rPr>
          <w:rFonts w:ascii="Times New Roman" w:hAnsi="Times New Roman" w:cs="Times New Roman"/>
          <w:color w:val="000000"/>
          <w:sz w:val="24"/>
          <w:szCs w:val="24"/>
        </w:rPr>
        <w:t xml:space="preserve"> (2008) provide an overview of the process of subprime mortgage securitization and the many key issues that arise from it. Ethical risk, predator lending, negative </w:t>
      </w:r>
      <w:r w:rsidR="00642BEB" w:rsidRPr="00310DE2">
        <w:rPr>
          <w:rFonts w:ascii="Times New Roman" w:hAnsi="Times New Roman" w:cs="Times New Roman"/>
          <w:color w:val="000000"/>
          <w:sz w:val="24"/>
          <w:szCs w:val="24"/>
        </w:rPr>
        <w:t>selection,</w:t>
      </w:r>
      <w:r w:rsidRPr="00310DE2">
        <w:rPr>
          <w:rFonts w:ascii="Times New Roman" w:hAnsi="Times New Roman" w:cs="Times New Roman"/>
          <w:color w:val="000000"/>
          <w:sz w:val="24"/>
          <w:szCs w:val="24"/>
        </w:rPr>
        <w:t xml:space="preserve"> and principal agent OTD are the basic issues between the banking </w:t>
      </w:r>
      <w:r w:rsidR="00642BEB" w:rsidRPr="00310DE2">
        <w:rPr>
          <w:rFonts w:ascii="Times New Roman" w:hAnsi="Times New Roman" w:cs="Times New Roman"/>
          <w:color w:val="000000"/>
          <w:sz w:val="24"/>
          <w:szCs w:val="24"/>
        </w:rPr>
        <w:t>model,</w:t>
      </w:r>
      <w:r w:rsidRPr="00310DE2">
        <w:rPr>
          <w:rFonts w:ascii="Times New Roman" w:hAnsi="Times New Roman" w:cs="Times New Roman"/>
          <w:color w:val="000000"/>
          <w:sz w:val="24"/>
          <w:szCs w:val="24"/>
        </w:rPr>
        <w:t xml:space="preserve"> and they arise at different stages of securitization. The final source of these tornadoes comes from the information asymmetry, where one party benefits from more information than the other party. Information received from one party may not fully reflect the true risks of the underlying product, as there is a significant amount of information lost during the transfer of the securitization process. In addition, due to the nature of the fee structure, </w:t>
      </w:r>
      <w:r w:rsidR="00642BEB" w:rsidRPr="00310DE2">
        <w:rPr>
          <w:rFonts w:ascii="Times New Roman" w:hAnsi="Times New Roman" w:cs="Times New Roman"/>
          <w:color w:val="000000"/>
          <w:sz w:val="24"/>
          <w:szCs w:val="24"/>
        </w:rPr>
        <w:t>start-ups</w:t>
      </w:r>
      <w:r w:rsidRPr="00310DE2">
        <w:rPr>
          <w:rFonts w:ascii="Times New Roman" w:hAnsi="Times New Roman" w:cs="Times New Roman"/>
          <w:color w:val="000000"/>
          <w:sz w:val="24"/>
          <w:szCs w:val="24"/>
        </w:rPr>
        <w:t xml:space="preserve"> and credit rating agencies may not work in the best interest of their principal.</w:t>
      </w:r>
    </w:p>
    <w:p w14:paraId="3C8DC873" w14:textId="77777777" w:rsidR="00310DE2" w:rsidRDefault="00310DE2" w:rsidP="00642BEB">
      <w:pPr>
        <w:spacing w:line="360" w:lineRule="auto"/>
        <w:jc w:val="both"/>
        <w:rPr>
          <w:rFonts w:ascii="Times New Roman" w:hAnsi="Times New Roman" w:cs="Times New Roman"/>
          <w:color w:val="000000"/>
          <w:sz w:val="24"/>
          <w:szCs w:val="24"/>
        </w:rPr>
      </w:pPr>
      <w:r w:rsidRPr="00310DE2">
        <w:rPr>
          <w:rFonts w:ascii="Times New Roman" w:hAnsi="Times New Roman" w:cs="Times New Roman"/>
          <w:color w:val="000000"/>
          <w:sz w:val="24"/>
          <w:szCs w:val="24"/>
        </w:rPr>
        <w:t>Financial inventions created by capital constraints (</w:t>
      </w:r>
      <w:proofErr w:type="spellStart"/>
      <w:r w:rsidRPr="00310DE2">
        <w:rPr>
          <w:rFonts w:ascii="Times New Roman" w:hAnsi="Times New Roman" w:cs="Times New Roman"/>
          <w:color w:val="000000"/>
          <w:sz w:val="24"/>
          <w:szCs w:val="24"/>
        </w:rPr>
        <w:t>Tofano</w:t>
      </w:r>
      <w:proofErr w:type="spellEnd"/>
      <w:r w:rsidRPr="00310DE2">
        <w:rPr>
          <w:rFonts w:ascii="Times New Roman" w:hAnsi="Times New Roman" w:cs="Times New Roman"/>
          <w:color w:val="000000"/>
          <w:sz w:val="24"/>
          <w:szCs w:val="24"/>
        </w:rPr>
        <w:t xml:space="preserve">, 2002) A bank functions as the most profitable institution in the economy. Based on different liquidity priorities, they act as a central </w:t>
      </w:r>
      <w:r w:rsidRPr="00310DE2">
        <w:rPr>
          <w:rFonts w:ascii="Times New Roman" w:hAnsi="Times New Roman" w:cs="Times New Roman"/>
          <w:color w:val="000000"/>
          <w:sz w:val="24"/>
          <w:szCs w:val="24"/>
        </w:rPr>
        <w:lastRenderedPageBreak/>
        <w:t>between different parties and manage various risks to generate profit. There are some government tools that regulate the banking business, such as monetary policy and capital requirements. Although interest rate movements can be predicted within banks, the requirements for capital ratios leave financial institutions in place of financial innovation. Through the OTD model securitization process, banks can sell their debt portfolio to third parties and free up capital on their balance sheet. Additionally, credit risk to the counterparty is eliminated by the sale of a portfolio of loans.</w:t>
      </w:r>
    </w:p>
    <w:p w14:paraId="264FC616" w14:textId="77777777" w:rsidR="00310DE2" w:rsidRPr="00310DE2" w:rsidRDefault="00310DE2" w:rsidP="00642BEB">
      <w:pPr>
        <w:spacing w:line="360" w:lineRule="auto"/>
        <w:jc w:val="both"/>
        <w:rPr>
          <w:rFonts w:ascii="Times New Roman" w:hAnsi="Times New Roman" w:cs="Times New Roman"/>
          <w:color w:val="000000"/>
          <w:sz w:val="24"/>
          <w:szCs w:val="24"/>
        </w:rPr>
      </w:pPr>
      <w:r w:rsidRPr="00310DE2">
        <w:rPr>
          <w:rFonts w:ascii="Times New Roman" w:hAnsi="Times New Roman" w:cs="Times New Roman"/>
          <w:color w:val="000000"/>
          <w:sz w:val="24"/>
          <w:szCs w:val="24"/>
        </w:rPr>
        <w:t>Thus, the OTD model of lending has its own strengths. The diversification of a bank's portfolio by employing the model allows banks to use maximum risk sharing and thus increase flexibility in possible financial shocks. It may also reduce the need for regulatory capital by removing its positions from the balance sheet. It is desirable to maximize profitability, which is always looking for efficiency and therefore increase profitability. However, it is the motivator of the OTD model, as well as the guarantee of information at various stages of the securitization process, which causes irresponsible investment behaviour and therefore the failure of the model. The traditional OTH lending model, where banks originate loans and hold them to maturity, has become less popular. That's because the opportunity cost of leaving a loan portfolio on the balance sheet is substantial. Securitization of a portfolio of loans can help banks reach maximum capital structure and risk sharing status.</w:t>
      </w:r>
    </w:p>
    <w:p w14:paraId="5D6EF974" w14:textId="77777777" w:rsidR="00310DE2" w:rsidRPr="00B44D0D" w:rsidRDefault="00310DE2" w:rsidP="00642BEB">
      <w:pPr>
        <w:spacing w:line="360" w:lineRule="auto"/>
        <w:jc w:val="both"/>
        <w:rPr>
          <w:rFonts w:ascii="Times New Roman" w:hAnsi="Times New Roman" w:cs="Times New Roman"/>
          <w:color w:val="000000"/>
          <w:sz w:val="24"/>
          <w:szCs w:val="24"/>
        </w:rPr>
      </w:pPr>
      <w:r w:rsidRPr="00310DE2">
        <w:rPr>
          <w:rFonts w:ascii="Times New Roman" w:hAnsi="Times New Roman" w:cs="Times New Roman"/>
          <w:color w:val="000000"/>
          <w:sz w:val="24"/>
          <w:szCs w:val="24"/>
        </w:rPr>
        <w:t>However, the benefit of the OTD model comes with a price. Financial institutions now rely more on each other in terms of their balance sheet. Large exposures by any bank can result in potential diseases and, in the worst case, create a financial risk to the financial market. That's what happened in the 2008 financial crisis.</w:t>
      </w:r>
    </w:p>
    <w:p w14:paraId="0564D194" w14:textId="1264A66E" w:rsidR="00454904" w:rsidRPr="00B44D0D" w:rsidRDefault="00222CC4" w:rsidP="00642BEB">
      <w:pPr>
        <w:spacing w:line="360" w:lineRule="auto"/>
        <w:jc w:val="both"/>
        <w:rPr>
          <w:rFonts w:ascii="Times New Roman" w:hAnsi="Times New Roman" w:cs="Times New Roman"/>
          <w:color w:val="000000"/>
          <w:sz w:val="24"/>
          <w:szCs w:val="24"/>
        </w:rPr>
      </w:pPr>
      <w:r w:rsidRPr="004072F6">
        <w:rPr>
          <w:rFonts w:ascii="Times New Roman" w:hAnsi="Times New Roman" w:cs="Times New Roman"/>
          <w:sz w:val="24"/>
          <w:szCs w:val="24"/>
        </w:rPr>
        <w:t>This re</w:t>
      </w:r>
      <w:r w:rsidR="004072F6" w:rsidRPr="004072F6">
        <w:rPr>
          <w:rFonts w:ascii="Times New Roman" w:hAnsi="Times New Roman" w:cs="Times New Roman"/>
          <w:sz w:val="24"/>
          <w:szCs w:val="24"/>
        </w:rPr>
        <w:t>search</w:t>
      </w:r>
      <w:r w:rsidRPr="004072F6">
        <w:rPr>
          <w:rFonts w:ascii="Times New Roman" w:hAnsi="Times New Roman" w:cs="Times New Roman"/>
          <w:sz w:val="24"/>
          <w:szCs w:val="24"/>
        </w:rPr>
        <w:t xml:space="preserve"> </w:t>
      </w:r>
      <w:r w:rsidR="00454904" w:rsidRPr="004072F6">
        <w:rPr>
          <w:rFonts w:ascii="Times New Roman" w:hAnsi="Times New Roman" w:cs="Times New Roman"/>
          <w:sz w:val="24"/>
          <w:szCs w:val="24"/>
        </w:rPr>
        <w:t>provide</w:t>
      </w:r>
      <w:r w:rsidRPr="004072F6">
        <w:rPr>
          <w:rFonts w:ascii="Times New Roman" w:hAnsi="Times New Roman" w:cs="Times New Roman"/>
          <w:sz w:val="24"/>
          <w:szCs w:val="24"/>
        </w:rPr>
        <w:t>s</w:t>
      </w:r>
      <w:r w:rsidR="00454904" w:rsidRPr="004072F6">
        <w:rPr>
          <w:rFonts w:ascii="Times New Roman" w:hAnsi="Times New Roman" w:cs="Times New Roman"/>
          <w:sz w:val="24"/>
          <w:szCs w:val="24"/>
        </w:rPr>
        <w:t xml:space="preserve"> an explanation for observed developments in the interbank market before</w:t>
      </w:r>
      <w:r w:rsidR="004072F6" w:rsidRPr="004072F6">
        <w:rPr>
          <w:rFonts w:ascii="Times New Roman" w:hAnsi="Times New Roman" w:cs="Times New Roman"/>
          <w:sz w:val="24"/>
          <w:szCs w:val="24"/>
        </w:rPr>
        <w:t xml:space="preserve">, </w:t>
      </w:r>
      <w:r w:rsidR="00454904" w:rsidRPr="004072F6">
        <w:rPr>
          <w:rFonts w:ascii="Times New Roman" w:hAnsi="Times New Roman" w:cs="Times New Roman"/>
          <w:sz w:val="24"/>
          <w:szCs w:val="24"/>
        </w:rPr>
        <w:t xml:space="preserve">during </w:t>
      </w:r>
      <w:r w:rsidR="004072F6" w:rsidRPr="004072F6">
        <w:rPr>
          <w:rFonts w:ascii="Times New Roman" w:hAnsi="Times New Roman" w:cs="Times New Roman"/>
          <w:sz w:val="24"/>
          <w:szCs w:val="24"/>
        </w:rPr>
        <w:t xml:space="preserve">and post of </w:t>
      </w:r>
      <w:r w:rsidR="00454904" w:rsidRPr="004072F6">
        <w:rPr>
          <w:rFonts w:ascii="Times New Roman" w:hAnsi="Times New Roman" w:cs="Times New Roman"/>
          <w:sz w:val="24"/>
          <w:szCs w:val="24"/>
        </w:rPr>
        <w:t xml:space="preserve">the 2007-09 </w:t>
      </w:r>
      <w:r w:rsidR="00454904" w:rsidRPr="00B44D0D">
        <w:rPr>
          <w:rFonts w:ascii="Times New Roman" w:hAnsi="Times New Roman" w:cs="Times New Roman"/>
          <w:color w:val="000000"/>
          <w:sz w:val="24"/>
          <w:szCs w:val="24"/>
        </w:rPr>
        <w:t xml:space="preserve">financial crisis, </w:t>
      </w:r>
      <w:r w:rsidR="00642BEB" w:rsidRPr="00B44D0D">
        <w:rPr>
          <w:rFonts w:ascii="Times New Roman" w:hAnsi="Times New Roman" w:cs="Times New Roman"/>
          <w:color w:val="000000"/>
          <w:sz w:val="24"/>
          <w:szCs w:val="24"/>
        </w:rPr>
        <w:t>for</w:t>
      </w:r>
      <w:r w:rsidR="00454904" w:rsidRPr="00B44D0D">
        <w:rPr>
          <w:rFonts w:ascii="Times New Roman" w:hAnsi="Times New Roman" w:cs="Times New Roman"/>
          <w:color w:val="000000"/>
          <w:sz w:val="24"/>
          <w:szCs w:val="24"/>
        </w:rPr>
        <w:t xml:space="preserve"> dramatic increases of unsecured interest rates and excess reserves banks hold. Interbank interest rates suddenly increased in August 2007. At that time, subprime-</w:t>
      </w:r>
      <w:r w:rsidR="00642BEB" w:rsidRPr="00B44D0D">
        <w:rPr>
          <w:rFonts w:ascii="Times New Roman" w:hAnsi="Times New Roman" w:cs="Times New Roman"/>
          <w:color w:val="000000"/>
          <w:sz w:val="24"/>
          <w:szCs w:val="24"/>
        </w:rPr>
        <w:t>mortgage-backed</w:t>
      </w:r>
      <w:r w:rsidR="00454904" w:rsidRPr="00B44D0D">
        <w:rPr>
          <w:rFonts w:ascii="Times New Roman" w:hAnsi="Times New Roman" w:cs="Times New Roman"/>
          <w:color w:val="000000"/>
          <w:sz w:val="24"/>
          <w:szCs w:val="24"/>
        </w:rPr>
        <w:t xml:space="preserve"> securities were discovered in portfolios of banks and bank-sponsored conduits </w:t>
      </w:r>
      <w:r w:rsidR="007C10A4" w:rsidRPr="00B44D0D">
        <w:rPr>
          <w:rFonts w:ascii="Times New Roman" w:hAnsi="Times New Roman" w:cs="Times New Roman"/>
          <w:color w:val="000000"/>
          <w:sz w:val="24"/>
          <w:szCs w:val="24"/>
        </w:rPr>
        <w:t xml:space="preserve">Structure investment vehicles </w:t>
      </w:r>
      <w:r w:rsidR="00454904" w:rsidRPr="00B44D0D">
        <w:rPr>
          <w:rFonts w:ascii="Times New Roman" w:hAnsi="Times New Roman" w:cs="Times New Roman"/>
          <w:color w:val="000000"/>
          <w:sz w:val="24"/>
          <w:szCs w:val="24"/>
        </w:rPr>
        <w:t xml:space="preserve">(SIVs) leading to a reassessment of risk. The extent of exposures was </w:t>
      </w:r>
      <w:r w:rsidR="00EB7B48" w:rsidRPr="00B44D0D">
        <w:rPr>
          <w:rFonts w:ascii="Times New Roman" w:hAnsi="Times New Roman" w:cs="Times New Roman"/>
          <w:color w:val="000000"/>
          <w:sz w:val="24"/>
          <w:szCs w:val="24"/>
        </w:rPr>
        <w:t>unknown,</w:t>
      </w:r>
      <w:r w:rsidR="00454904" w:rsidRPr="00B44D0D">
        <w:rPr>
          <w:rFonts w:ascii="Times New Roman" w:hAnsi="Times New Roman" w:cs="Times New Roman"/>
          <w:color w:val="000000"/>
          <w:sz w:val="24"/>
          <w:szCs w:val="24"/>
        </w:rPr>
        <w:t xml:space="preserve"> and counterparties could not distinguish safe from risky banks. In the context of our model, the rise in the interest rate can be attributed either to an increase in the perceived dispersion of risk, or to a deterioration in the underlying level of risk, or a combination of the two. Interbank rates rose to record-high levels and trading activity declined significantly following the dramatic events surrounding the last </w:t>
      </w:r>
      <w:r w:rsidR="00454904" w:rsidRPr="00B44D0D">
        <w:rPr>
          <w:rFonts w:ascii="Times New Roman" w:hAnsi="Times New Roman" w:cs="Times New Roman"/>
          <w:color w:val="000000"/>
          <w:sz w:val="24"/>
          <w:szCs w:val="24"/>
        </w:rPr>
        <w:lastRenderedPageBreak/>
        <w:t>weekend of September 2008, when the financial crisis spread outside the realm of investment banking and into the global financial system. These events can be interpreted as a further increase in the level and, importantly, in the dispersion of counterparty risk that could lead to liquidity hoarding by banks. Asymmetric information as an underlying friction can also rationalize the prolonged nature of interbank market tensions despite unprecedented interventions by public authorities designed to relieve them.</w:t>
      </w:r>
    </w:p>
    <w:p w14:paraId="4B4BB5CE" w14:textId="023D9D8C" w:rsidR="00A43035" w:rsidRDefault="004072F6" w:rsidP="00642BEB">
      <w:pPr>
        <w:spacing w:line="360" w:lineRule="auto"/>
        <w:rPr>
          <w:rFonts w:ascii="Times New Roman" w:hAnsi="Times New Roman" w:cs="Times New Roman"/>
          <w:color w:val="000000" w:themeColor="text1"/>
          <w:sz w:val="24"/>
          <w:szCs w:val="24"/>
        </w:rPr>
      </w:pPr>
      <w:r w:rsidRPr="00914C57">
        <w:rPr>
          <w:rFonts w:ascii="Times New Roman" w:hAnsi="Times New Roman" w:cs="Times New Roman"/>
          <w:color w:val="000000" w:themeColor="text1"/>
          <w:sz w:val="24"/>
          <w:szCs w:val="24"/>
        </w:rPr>
        <w:t>T</w:t>
      </w:r>
      <w:r w:rsidR="006957FC" w:rsidRPr="00914C57">
        <w:rPr>
          <w:rFonts w:ascii="Times New Roman" w:hAnsi="Times New Roman" w:cs="Times New Roman"/>
          <w:color w:val="000000" w:themeColor="text1"/>
          <w:sz w:val="24"/>
          <w:szCs w:val="24"/>
        </w:rPr>
        <w:t>o</w:t>
      </w:r>
      <w:r w:rsidRPr="00914C57">
        <w:rPr>
          <w:rFonts w:ascii="Times New Roman" w:hAnsi="Times New Roman" w:cs="Times New Roman"/>
          <w:color w:val="000000" w:themeColor="text1"/>
          <w:sz w:val="24"/>
          <w:szCs w:val="24"/>
        </w:rPr>
        <w:t xml:space="preserve"> understand the above phenomena following questions</w:t>
      </w:r>
      <w:r w:rsidR="006957FC" w:rsidRPr="00914C57">
        <w:rPr>
          <w:rFonts w:ascii="Times New Roman" w:hAnsi="Times New Roman" w:cs="Times New Roman"/>
          <w:color w:val="000000" w:themeColor="text1"/>
          <w:sz w:val="24"/>
          <w:szCs w:val="24"/>
        </w:rPr>
        <w:t xml:space="preserve"> </w:t>
      </w:r>
      <w:r w:rsidR="001F6F0C">
        <w:rPr>
          <w:rFonts w:ascii="Times New Roman" w:hAnsi="Times New Roman" w:cs="Times New Roman"/>
          <w:color w:val="000000" w:themeColor="text1"/>
          <w:sz w:val="24"/>
          <w:szCs w:val="24"/>
        </w:rPr>
        <w:t xml:space="preserve">are </w:t>
      </w:r>
      <w:r w:rsidR="00A43035">
        <w:rPr>
          <w:rFonts w:ascii="Times New Roman" w:hAnsi="Times New Roman" w:cs="Times New Roman"/>
          <w:color w:val="000000" w:themeColor="text1"/>
          <w:sz w:val="24"/>
          <w:szCs w:val="24"/>
        </w:rPr>
        <w:t>discussed:</w:t>
      </w:r>
      <w:r w:rsidRPr="00914C57">
        <w:rPr>
          <w:rFonts w:ascii="Times New Roman" w:hAnsi="Times New Roman" w:cs="Times New Roman"/>
          <w:color w:val="000000" w:themeColor="text1"/>
          <w:sz w:val="24"/>
          <w:szCs w:val="24"/>
        </w:rPr>
        <w:t xml:space="preserve"> </w:t>
      </w:r>
    </w:p>
    <w:p w14:paraId="053F4B99" w14:textId="33A2FB7F" w:rsidR="00A43035" w:rsidRPr="009546FD" w:rsidRDefault="00A342F9" w:rsidP="00990265">
      <w:pPr>
        <w:pStyle w:val="ListParagraph"/>
        <w:numPr>
          <w:ilvl w:val="0"/>
          <w:numId w:val="3"/>
        </w:numPr>
        <w:spacing w:line="360" w:lineRule="auto"/>
        <w:rPr>
          <w:rFonts w:ascii="Times New Roman" w:hAnsi="Times New Roman" w:cs="Times New Roman"/>
          <w:color w:val="000000" w:themeColor="text1"/>
          <w:sz w:val="24"/>
          <w:szCs w:val="24"/>
        </w:rPr>
      </w:pPr>
      <w:r w:rsidRPr="009546FD">
        <w:rPr>
          <w:rFonts w:ascii="Times New Roman" w:hAnsi="Times New Roman" w:cs="Times New Roman"/>
          <w:color w:val="000000" w:themeColor="text1"/>
          <w:sz w:val="24"/>
          <w:szCs w:val="24"/>
        </w:rPr>
        <w:t xml:space="preserve">What </w:t>
      </w:r>
      <w:r w:rsidR="00A43035" w:rsidRPr="009546FD">
        <w:rPr>
          <w:rFonts w:ascii="Times New Roman" w:hAnsi="Times New Roman" w:cs="Times New Roman"/>
          <w:color w:val="000000" w:themeColor="text1"/>
          <w:sz w:val="24"/>
          <w:szCs w:val="24"/>
        </w:rPr>
        <w:t>initiated</w:t>
      </w:r>
      <w:r w:rsidRPr="009546FD">
        <w:rPr>
          <w:rFonts w:ascii="Times New Roman" w:hAnsi="Times New Roman" w:cs="Times New Roman"/>
          <w:color w:val="000000" w:themeColor="text1"/>
          <w:sz w:val="24"/>
          <w:szCs w:val="24"/>
        </w:rPr>
        <w:t xml:space="preserve"> the interbank market to seize up? </w:t>
      </w:r>
    </w:p>
    <w:p w14:paraId="0EF77120" w14:textId="77777777" w:rsidR="00A43035" w:rsidRPr="009546FD" w:rsidRDefault="00A342F9" w:rsidP="00990265">
      <w:pPr>
        <w:pStyle w:val="ListParagraph"/>
        <w:numPr>
          <w:ilvl w:val="0"/>
          <w:numId w:val="3"/>
        </w:numPr>
        <w:spacing w:line="360" w:lineRule="auto"/>
        <w:rPr>
          <w:rFonts w:ascii="Times New Roman" w:hAnsi="Times New Roman" w:cs="Times New Roman"/>
          <w:color w:val="000000" w:themeColor="text1"/>
          <w:sz w:val="24"/>
          <w:szCs w:val="24"/>
        </w:rPr>
      </w:pPr>
      <w:r w:rsidRPr="009546FD">
        <w:rPr>
          <w:rFonts w:ascii="Times New Roman" w:hAnsi="Times New Roman" w:cs="Times New Roman"/>
          <w:color w:val="000000" w:themeColor="text1"/>
          <w:sz w:val="24"/>
          <w:szCs w:val="24"/>
        </w:rPr>
        <w:t xml:space="preserve">Why has the market been dysfunctional for so long despite interventions by public authorities? </w:t>
      </w:r>
    </w:p>
    <w:p w14:paraId="46E953E5" w14:textId="48263E06" w:rsidR="00A43035" w:rsidRPr="009546FD" w:rsidRDefault="00A342F9" w:rsidP="00990265">
      <w:pPr>
        <w:pStyle w:val="ListParagraph"/>
        <w:numPr>
          <w:ilvl w:val="0"/>
          <w:numId w:val="3"/>
        </w:numPr>
        <w:spacing w:line="360" w:lineRule="auto"/>
        <w:rPr>
          <w:rFonts w:ascii="Times New Roman" w:hAnsi="Times New Roman" w:cs="Times New Roman"/>
          <w:color w:val="000000" w:themeColor="text1"/>
          <w:sz w:val="24"/>
          <w:szCs w:val="24"/>
        </w:rPr>
      </w:pPr>
      <w:r w:rsidRPr="009546FD">
        <w:rPr>
          <w:rFonts w:ascii="Times New Roman" w:hAnsi="Times New Roman" w:cs="Times New Roman"/>
          <w:color w:val="000000" w:themeColor="text1"/>
          <w:sz w:val="24"/>
          <w:szCs w:val="24"/>
        </w:rPr>
        <w:t xml:space="preserve">What frictions can explain these developments and how do they relate to the broader roots of the financial crisis? </w:t>
      </w:r>
    </w:p>
    <w:p w14:paraId="07C8C69A" w14:textId="1C000F03" w:rsidR="00A342F9" w:rsidRPr="009546FD" w:rsidRDefault="00A43035" w:rsidP="00990265">
      <w:pPr>
        <w:pStyle w:val="ListParagraph"/>
        <w:numPr>
          <w:ilvl w:val="0"/>
          <w:numId w:val="3"/>
        </w:numPr>
        <w:spacing w:line="360" w:lineRule="auto"/>
        <w:rPr>
          <w:rFonts w:ascii="Times New Roman" w:hAnsi="Times New Roman" w:cs="Times New Roman"/>
          <w:color w:val="000000" w:themeColor="text1"/>
          <w:sz w:val="24"/>
          <w:szCs w:val="24"/>
        </w:rPr>
      </w:pPr>
      <w:r w:rsidRPr="009546FD">
        <w:rPr>
          <w:rFonts w:ascii="Times New Roman" w:hAnsi="Times New Roman" w:cs="Times New Roman"/>
          <w:color w:val="000000" w:themeColor="text1"/>
          <w:sz w:val="24"/>
          <w:szCs w:val="24"/>
        </w:rPr>
        <w:t>H</w:t>
      </w:r>
      <w:r w:rsidR="00A342F9" w:rsidRPr="009546FD">
        <w:rPr>
          <w:rFonts w:ascii="Times New Roman" w:hAnsi="Times New Roman" w:cs="Times New Roman"/>
          <w:color w:val="000000" w:themeColor="text1"/>
          <w:sz w:val="24"/>
          <w:szCs w:val="24"/>
        </w:rPr>
        <w:t>ow do the policy responses that were discussed or implemented around the world hold up against these frictions?</w:t>
      </w:r>
    </w:p>
    <w:p w14:paraId="58F610B4" w14:textId="2A6211E3" w:rsidR="00454904" w:rsidRPr="00B44D0D" w:rsidRDefault="00E62031" w:rsidP="009546FD">
      <w:pPr>
        <w:pStyle w:val="Heading2"/>
      </w:pPr>
      <w:bookmarkStart w:id="18" w:name="_Toc90499927"/>
      <w:r>
        <w:t>1.</w:t>
      </w:r>
      <w:r w:rsidR="006C0F17">
        <w:t>1.</w:t>
      </w:r>
      <w:r>
        <w:t xml:space="preserve">2 </w:t>
      </w:r>
      <w:r w:rsidR="00454904" w:rsidRPr="00B44D0D">
        <w:t>Research Motivation</w:t>
      </w:r>
      <w:bookmarkEnd w:id="18"/>
    </w:p>
    <w:p w14:paraId="58E9D1AD" w14:textId="05745E79" w:rsidR="00454904" w:rsidRPr="006957FC" w:rsidRDefault="00454904"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rPr>
        <w:t xml:space="preserve">The role of global banks as vehicle of international shock transmission has been clearly highlighted during the Great Recession. A crisis that started affecting a specific subset of banks, all from predominantly developed countries, spread across the globe in good part </w:t>
      </w:r>
      <w:r w:rsidR="00642BEB" w:rsidRPr="006957FC">
        <w:rPr>
          <w:rFonts w:ascii="Times New Roman" w:hAnsi="Times New Roman" w:cs="Times New Roman"/>
          <w:sz w:val="24"/>
          <w:szCs w:val="24"/>
        </w:rPr>
        <w:t>because of</w:t>
      </w:r>
      <w:r w:rsidRPr="006957FC">
        <w:rPr>
          <w:rFonts w:ascii="Times New Roman" w:hAnsi="Times New Roman" w:cs="Times New Roman"/>
          <w:sz w:val="24"/>
          <w:szCs w:val="24"/>
        </w:rPr>
        <w:t xml:space="preserve"> significant cross-border balance sheet adjustments of such banks (e.g., Acharya and </w:t>
      </w:r>
      <w:proofErr w:type="spellStart"/>
      <w:r w:rsidRPr="006957FC">
        <w:rPr>
          <w:rFonts w:ascii="Times New Roman" w:hAnsi="Times New Roman" w:cs="Times New Roman"/>
          <w:sz w:val="24"/>
          <w:szCs w:val="24"/>
        </w:rPr>
        <w:t>Schnabl</w:t>
      </w:r>
      <w:proofErr w:type="spellEnd"/>
      <w:r w:rsidRPr="006957FC">
        <w:rPr>
          <w:rFonts w:ascii="Times New Roman" w:hAnsi="Times New Roman" w:cs="Times New Roman"/>
          <w:sz w:val="24"/>
          <w:szCs w:val="24"/>
        </w:rPr>
        <w:t xml:space="preserve">, 2010; </w:t>
      </w:r>
      <w:proofErr w:type="spellStart"/>
      <w:r w:rsidRPr="006957FC">
        <w:rPr>
          <w:rFonts w:ascii="Times New Roman" w:hAnsi="Times New Roman" w:cs="Times New Roman"/>
          <w:sz w:val="24"/>
          <w:szCs w:val="24"/>
        </w:rPr>
        <w:t>Cetorelli</w:t>
      </w:r>
      <w:proofErr w:type="spellEnd"/>
      <w:r w:rsidRPr="006957FC">
        <w:rPr>
          <w:rFonts w:ascii="Times New Roman" w:hAnsi="Times New Roman" w:cs="Times New Roman"/>
          <w:sz w:val="24"/>
          <w:szCs w:val="24"/>
        </w:rPr>
        <w:t xml:space="preserve"> and Goldberg, 2011; Shin, 2011).</w:t>
      </w:r>
    </w:p>
    <w:p w14:paraId="1D1DC406" w14:textId="236A0FDA" w:rsidR="00454904" w:rsidRPr="006957FC" w:rsidRDefault="00454904"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rPr>
        <w:t xml:space="preserve">Basic evidence attesting their role goes back at least as far as Peek and Rosengren (1997, 2000). However, there have been at least two important developments since those contributions. The first is that the scale and scope of the consequences of global banking activity is an order of magnitude greater today than it was in the 1990s. </w:t>
      </w:r>
      <w:r w:rsidR="007C10A4" w:rsidRPr="006957FC">
        <w:rPr>
          <w:rFonts w:ascii="Times New Roman" w:hAnsi="Times New Roman" w:cs="Times New Roman"/>
          <w:sz w:val="24"/>
          <w:szCs w:val="24"/>
        </w:rPr>
        <w:t>The international</w:t>
      </w:r>
      <w:r w:rsidRPr="006957FC">
        <w:rPr>
          <w:rFonts w:ascii="Times New Roman" w:hAnsi="Times New Roman" w:cs="Times New Roman"/>
          <w:sz w:val="24"/>
          <w:szCs w:val="24"/>
        </w:rPr>
        <w:t xml:space="preserve"> claims of global banks from BIS reporting countries (highly representative of the universe) have grown ten-fold over the last twenty years, peaking at about $25 trillion in 2007. Second, we have developed a better understanding of the specific mechanics of international transmission associated with global banking. In other words, not only do we know that global banks contribute to international shock transmission, but we know better how that happens. Traditional channels of transmission through cross border lending are well-documented. Yet, recent decades have increasingly been characterized by banks setting up and serving clients through branches and subsidiaries established in foreign locations (</w:t>
      </w:r>
      <w:proofErr w:type="spellStart"/>
      <w:r w:rsidRPr="006957FC">
        <w:rPr>
          <w:rFonts w:ascii="Times New Roman" w:hAnsi="Times New Roman" w:cs="Times New Roman"/>
          <w:sz w:val="24"/>
          <w:szCs w:val="24"/>
        </w:rPr>
        <w:t>Claessens</w:t>
      </w:r>
      <w:proofErr w:type="spellEnd"/>
      <w:r w:rsidRPr="006957FC">
        <w:rPr>
          <w:rFonts w:ascii="Times New Roman" w:hAnsi="Times New Roman" w:cs="Times New Roman"/>
          <w:sz w:val="24"/>
          <w:szCs w:val="24"/>
        </w:rPr>
        <w:t xml:space="preserve"> and van </w:t>
      </w:r>
      <w:proofErr w:type="spellStart"/>
      <w:r w:rsidRPr="006957FC">
        <w:rPr>
          <w:rFonts w:ascii="Times New Roman" w:hAnsi="Times New Roman" w:cs="Times New Roman"/>
          <w:sz w:val="24"/>
          <w:szCs w:val="24"/>
        </w:rPr>
        <w:t>Horen</w:t>
      </w:r>
      <w:proofErr w:type="spellEnd"/>
      <w:r w:rsidRPr="006957FC">
        <w:rPr>
          <w:rFonts w:ascii="Times New Roman" w:hAnsi="Times New Roman" w:cs="Times New Roman"/>
          <w:sz w:val="24"/>
          <w:szCs w:val="24"/>
        </w:rPr>
        <w:t xml:space="preserve">, 2012). Applying basic corporate </w:t>
      </w:r>
      <w:r w:rsidRPr="006957FC">
        <w:rPr>
          <w:rFonts w:ascii="Times New Roman" w:hAnsi="Times New Roman" w:cs="Times New Roman"/>
          <w:sz w:val="24"/>
          <w:szCs w:val="24"/>
        </w:rPr>
        <w:lastRenderedPageBreak/>
        <w:t xml:space="preserve">finance principles, it has been conjectured </w:t>
      </w:r>
      <w:r w:rsidR="00642BEB" w:rsidRPr="006957FC">
        <w:rPr>
          <w:rFonts w:ascii="Times New Roman" w:hAnsi="Times New Roman" w:cs="Times New Roman"/>
          <w:sz w:val="24"/>
          <w:szCs w:val="24"/>
        </w:rPr>
        <w:t>that global bank</w:t>
      </w:r>
      <w:r w:rsidRPr="006957FC">
        <w:rPr>
          <w:rFonts w:ascii="Times New Roman" w:hAnsi="Times New Roman" w:cs="Times New Roman"/>
          <w:sz w:val="24"/>
          <w:szCs w:val="24"/>
        </w:rPr>
        <w:t xml:space="preserve"> can respond to a funding shock by activating capital markets internal to the organization, reallocating funds across locations in response to their relative needs. </w:t>
      </w:r>
      <w:proofErr w:type="spellStart"/>
      <w:r w:rsidRPr="006957FC">
        <w:rPr>
          <w:rFonts w:ascii="Times New Roman" w:hAnsi="Times New Roman" w:cs="Times New Roman"/>
          <w:sz w:val="24"/>
          <w:szCs w:val="24"/>
        </w:rPr>
        <w:t>Cetorelli</w:t>
      </w:r>
      <w:proofErr w:type="spellEnd"/>
      <w:r w:rsidRPr="006957FC">
        <w:rPr>
          <w:rFonts w:ascii="Times New Roman" w:hAnsi="Times New Roman" w:cs="Times New Roman"/>
          <w:sz w:val="24"/>
          <w:szCs w:val="24"/>
        </w:rPr>
        <w:t xml:space="preserve"> and Goldberg (Forthcoming) have documented such dynamics, providing evidence of actual cross border, intra-bank funding flows between global banks' head offices and their foreign operations in response to domestic shocks. This internal funding reallocation can lead to adjustments in the external investments (</w:t>
      </w:r>
      <w:r w:rsidR="00A43035" w:rsidRPr="006957FC">
        <w:rPr>
          <w:rFonts w:ascii="Times New Roman" w:hAnsi="Times New Roman" w:cs="Times New Roman"/>
          <w:sz w:val="24"/>
          <w:szCs w:val="24"/>
        </w:rPr>
        <w:t>e.g.,</w:t>
      </w:r>
      <w:r w:rsidRPr="006957FC">
        <w:rPr>
          <w:rFonts w:ascii="Times New Roman" w:hAnsi="Times New Roman" w:cs="Times New Roman"/>
          <w:sz w:val="24"/>
          <w:szCs w:val="24"/>
        </w:rPr>
        <w:t xml:space="preserve"> lending and securities holdings) of their foreign operations, thus establishing another specific channel of international transmission. Importantly, this feature of internal funding allocation has been shown to be a common characteristic of global banks' conduct, observable in “normal” times and not just in times of crisis. </w:t>
      </w:r>
    </w:p>
    <w:p w14:paraId="19F5DC6B" w14:textId="69FB14ED" w:rsidR="00454904" w:rsidRPr="006957FC" w:rsidRDefault="00454904"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rPr>
        <w:t xml:space="preserve">Hence, global banks manage liquidity on a global scale, and this liquidity management aspect is at the heart of the contribution of global banks to international shock transmission. But how is this done exactly? What are the main drivers behind the choice of internal funding reallocation? And does it make a difference when we think of the global implications associated with global banking? </w:t>
      </w:r>
      <w:r w:rsidR="0036768D">
        <w:rPr>
          <w:rFonts w:ascii="Times New Roman" w:hAnsi="Times New Roman" w:cs="Times New Roman"/>
          <w:sz w:val="24"/>
          <w:szCs w:val="24"/>
        </w:rPr>
        <w:t>This study</w:t>
      </w:r>
      <w:r w:rsidRPr="006957FC">
        <w:rPr>
          <w:rFonts w:ascii="Times New Roman" w:hAnsi="Times New Roman" w:cs="Times New Roman"/>
          <w:sz w:val="24"/>
          <w:szCs w:val="24"/>
        </w:rPr>
        <w:t xml:space="preserve"> </w:t>
      </w:r>
      <w:r w:rsidR="0036768D" w:rsidRPr="006957FC">
        <w:rPr>
          <w:rFonts w:ascii="Times New Roman" w:hAnsi="Times New Roman" w:cs="Times New Roman"/>
          <w:sz w:val="24"/>
          <w:szCs w:val="24"/>
        </w:rPr>
        <w:t>digs</w:t>
      </w:r>
      <w:r w:rsidRPr="006957FC">
        <w:rPr>
          <w:rFonts w:ascii="Times New Roman" w:hAnsi="Times New Roman" w:cs="Times New Roman"/>
          <w:sz w:val="24"/>
          <w:szCs w:val="24"/>
        </w:rPr>
        <w:t xml:space="preserve"> deeper on the subject of global banks liquidity management by exploring alternative conjectures regarding the decision rules driving cross-locations, and internal funding dynamics. </w:t>
      </w:r>
      <w:r w:rsidR="0036768D">
        <w:rPr>
          <w:rFonts w:ascii="Times New Roman" w:hAnsi="Times New Roman" w:cs="Times New Roman"/>
          <w:sz w:val="24"/>
          <w:szCs w:val="24"/>
        </w:rPr>
        <w:t>It</w:t>
      </w:r>
      <w:r w:rsidRPr="006957FC">
        <w:rPr>
          <w:rFonts w:ascii="Times New Roman" w:hAnsi="Times New Roman" w:cs="Times New Roman"/>
          <w:sz w:val="24"/>
          <w:szCs w:val="24"/>
        </w:rPr>
        <w:t xml:space="preserve"> </w:t>
      </w:r>
      <w:r w:rsidR="001C0BBF" w:rsidRPr="006957FC">
        <w:rPr>
          <w:rFonts w:ascii="Times New Roman" w:hAnsi="Times New Roman" w:cs="Times New Roman"/>
          <w:sz w:val="24"/>
          <w:szCs w:val="24"/>
        </w:rPr>
        <w:t>argues</w:t>
      </w:r>
      <w:r w:rsidRPr="006957FC">
        <w:rPr>
          <w:rFonts w:ascii="Times New Roman" w:hAnsi="Times New Roman" w:cs="Times New Roman"/>
          <w:sz w:val="24"/>
          <w:szCs w:val="24"/>
        </w:rPr>
        <w:t xml:space="preserve"> that an understanding of the liquidity management of global banks is of first order importance for refining our predictions on the consequences of global banking</w:t>
      </w:r>
      <w:r w:rsidR="00CB4C18" w:rsidRPr="006957FC">
        <w:rPr>
          <w:rFonts w:ascii="Times New Roman" w:hAnsi="Times New Roman" w:cs="Times New Roman"/>
          <w:sz w:val="24"/>
          <w:szCs w:val="24"/>
        </w:rPr>
        <w:t>.</w:t>
      </w:r>
    </w:p>
    <w:p w14:paraId="406A0536" w14:textId="77777777"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The crisis that started in the summer of 2007 is one of the most dramatic and important crises of last decades. Its causes and unfolding have highlighted a number of new concerns and issues for policy makers, practitioners as well as academics interested in financial and monetary issues</w:t>
      </w:r>
      <w:r w:rsidRPr="00B44D0D">
        <w:rPr>
          <w:rFonts w:ascii="Times New Roman" w:hAnsi="Times New Roman" w:cs="Times New Roman"/>
          <w:color w:val="FF0000"/>
          <w:sz w:val="24"/>
          <w:szCs w:val="24"/>
        </w:rPr>
        <w:t xml:space="preserve">. </w:t>
      </w:r>
      <w:r w:rsidRPr="00B44D0D">
        <w:rPr>
          <w:rFonts w:ascii="Times New Roman" w:hAnsi="Times New Roman" w:cs="Times New Roman"/>
          <w:sz w:val="24"/>
          <w:szCs w:val="24"/>
        </w:rPr>
        <w:t>The crisis started in the first half of 2007 when the credit quality of subprime residential mortgages, in particular adjustable-rate ones, started to deteriorate. Mortgage companies specializing in subprime products experienced funding pressures and many failed. Although problems were initially confined to the subprime mortgage markets, further deterioration of credit quality and increases in the delinquency rates led to a spread of the crisis to other markets and products.</w:t>
      </w:r>
    </w:p>
    <w:p w14:paraId="3E56ADDA" w14:textId="18C495DB"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By mid-2007 investors started to retreat from structured credit products and risky assets more generally, as rating agencies started downgrading many mortgage-backed securities. The securitization market for subprime mortgages simply broke down in July 2007 there was a tremendous jump in the co-movement of AAA-rated tranches of subprime </w:t>
      </w:r>
      <w:r w:rsidR="00A43035" w:rsidRPr="00B44D0D">
        <w:rPr>
          <w:rFonts w:ascii="Times New Roman" w:hAnsi="Times New Roman" w:cs="Times New Roman"/>
          <w:sz w:val="24"/>
          <w:szCs w:val="24"/>
        </w:rPr>
        <w:t>mortgage-backed</w:t>
      </w:r>
      <w:r w:rsidRPr="00B44D0D">
        <w:rPr>
          <w:rFonts w:ascii="Times New Roman" w:hAnsi="Times New Roman" w:cs="Times New Roman"/>
          <w:sz w:val="24"/>
          <w:szCs w:val="24"/>
        </w:rPr>
        <w:t xml:space="preserve"> </w:t>
      </w:r>
      <w:r w:rsidRPr="00B44D0D">
        <w:rPr>
          <w:rFonts w:ascii="Times New Roman" w:hAnsi="Times New Roman" w:cs="Times New Roman"/>
          <w:sz w:val="24"/>
          <w:szCs w:val="24"/>
        </w:rPr>
        <w:lastRenderedPageBreak/>
        <w:t xml:space="preserve">securities, commercial </w:t>
      </w:r>
      <w:r w:rsidR="00A43035" w:rsidRPr="00B44D0D">
        <w:rPr>
          <w:rFonts w:ascii="Times New Roman" w:hAnsi="Times New Roman" w:cs="Times New Roman"/>
          <w:sz w:val="24"/>
          <w:szCs w:val="24"/>
        </w:rPr>
        <w:t>mortgage-backed</w:t>
      </w:r>
      <w:r w:rsidRPr="00B44D0D">
        <w:rPr>
          <w:rFonts w:ascii="Times New Roman" w:hAnsi="Times New Roman" w:cs="Times New Roman"/>
          <w:sz w:val="24"/>
          <w:szCs w:val="24"/>
        </w:rPr>
        <w:t xml:space="preserve"> securities, and securities linked to corporate credit quality. A general loss of confidence started to become pervasive. Signs of strain appeared in the leveraged syndicated loan market and in other leveraged lending markets in late June 2007, in the asset-backed commercial paper (ABCP) and in the term bank funding markets in August 2007. Spreads of collateralized loan obligations (CLOs) increased while the issuance of such debt reduced significantly, thus also reducing leveraged lending. Spreads on US ABCP widened significantly in mid-August, while the volume of ABCP outstanding dropped significantly. </w:t>
      </w:r>
    </w:p>
    <w:p w14:paraId="1E5857BE" w14:textId="77777777"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This put substantial pressure on the structured investment vehicles (SIVs) that had heavily invested in structured financial products. Many had to activate the contingent liquidity support from their sponsor banks. At the same time, problems arose in the term interbank funding markets in the US, Europe and the UK. Banks suddenly became much more unwilling to provide liquidity to other banks, especially for maturities longer than a few days. Reflecting that, Libor spreads rose significantly. The apparent reason for this liquidity hoarding was twofold. On the one hand, banks wanted to protect themselves against potential larger-than-anticipated liquidity needs deriving from the disruptions in the mortgage, syndicated loans and commercial paper markets. </w:t>
      </w:r>
    </w:p>
    <w:p w14:paraId="3E2ADBCE" w14:textId="4BE71A99"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On the other hand, uncertainty about the counterparty risk increased as banks could not precisely assess their counterparties’ exposure to the subprime related securities and also to the other disrupted markets. After a relief of the tensions in September and October following a </w:t>
      </w:r>
      <w:r w:rsidR="00A43035" w:rsidRPr="00B44D0D">
        <w:rPr>
          <w:rFonts w:ascii="Times New Roman" w:hAnsi="Times New Roman" w:cs="Times New Roman"/>
          <w:sz w:val="24"/>
          <w:szCs w:val="24"/>
        </w:rPr>
        <w:t>50-basis</w:t>
      </w:r>
      <w:r w:rsidRPr="00B44D0D">
        <w:rPr>
          <w:rFonts w:ascii="Times New Roman" w:hAnsi="Times New Roman" w:cs="Times New Roman"/>
          <w:sz w:val="24"/>
          <w:szCs w:val="24"/>
        </w:rPr>
        <w:t xml:space="preserve"> point reduction in the Federal Funds rate, tensions mounted again in November and December when end-of-the-year considerations became an additional element </w:t>
      </w:r>
      <w:r w:rsidR="00A43035" w:rsidRPr="00B44D0D">
        <w:rPr>
          <w:rFonts w:ascii="Times New Roman" w:hAnsi="Times New Roman" w:cs="Times New Roman"/>
          <w:sz w:val="24"/>
          <w:szCs w:val="24"/>
        </w:rPr>
        <w:t>fuelling</w:t>
      </w:r>
      <w:r w:rsidRPr="00B44D0D">
        <w:rPr>
          <w:rFonts w:ascii="Times New Roman" w:hAnsi="Times New Roman" w:cs="Times New Roman"/>
          <w:sz w:val="24"/>
          <w:szCs w:val="24"/>
        </w:rPr>
        <w:t xml:space="preserve"> the uncertainty deriving from the subprime market crisis. </w:t>
      </w:r>
    </w:p>
    <w:p w14:paraId="0D3F4821" w14:textId="77777777"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Spreads widened significantly again in all affected markets and a flight to quality led to a strong demand for safe assets and a sharp drop in Treasury bill yields. Problems mounted again in March 2008 when the release of news of further losses and write-downs due to the use of mark-to-market accounting increased concerns about the creditworthiness and the capital position of several institutions. Financial markets continued to be under great stress, particularly the markets for short-term uncollateralized and collateralized funding. Tensions culminated in mid-March 2008 when a sudden wholesale run on Bear Stearns impeded the investment bank obtaining funding on both unsecured and collateralized short-term financing markets. Indicators of counterparty risk started being more significantly affected. Central banks around </w:t>
      </w:r>
      <w:r w:rsidRPr="00B44D0D">
        <w:rPr>
          <w:rFonts w:ascii="Times New Roman" w:hAnsi="Times New Roman" w:cs="Times New Roman"/>
          <w:sz w:val="24"/>
          <w:szCs w:val="24"/>
        </w:rPr>
        <w:lastRenderedPageBreak/>
        <w:t xml:space="preserve">the world accompanied the unfolding of the crisis with numerous interventions. Some of these interventions concerned reductions in policy rates (but the Fed also reduced the discount window rate in September 2007) as well as liquidity injections into the system. </w:t>
      </w:r>
    </w:p>
    <w:p w14:paraId="4FBEC8BE" w14:textId="77777777"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Other interventions concerned changes in the standard operational frameworks or the creation of more unusual, innovative forms of special liquidity schemes. Changes involved extensions in the maturity of central bank lending (in the US both with respect to the discount window loans in September 2007 and the open market operations in March 2008) and widening of the collateral accepted. Special liquidity schemes introduced during the crisis include the Term Auction Facility in December 2007 through which credit is auctioned to depository institutions against Discount Window collateral, the Term Securities Lending Facility in March 2008 which allows primary dealers to swap less-liquid mortgage and other asset backed securities for Treasury securities, and, after the collapse of Bear Stearns, the Primary Dealer Credit Facility through which the discount window was extended to primary dealers. Similarly, a special liquidity scheme was introduced in the UK in April 2008 according to which institutions eligible for the standing facilities can swap collateral with Treasury Bills.</w:t>
      </w:r>
    </w:p>
    <w:p w14:paraId="6528080C" w14:textId="061EE461" w:rsidR="00B74FA6" w:rsidRPr="00B44D0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 Furthermore, both the Bank of England and the Federal Reserve were directly involved in managing and orchestrating the rescue, respectively, of Northern Rock and Bear Stearns; and the Federal Reserve recently established a temporary arrangement to provide emergency liquidity to Fannie Mae and Freddie Mac, should it become necessary. More recently, the US Treasury has been given the power, though on a temporary basis, to extend unlimited credit to (and invest in the equity of) the two Government Sponsored Enterprises. Although the real effects of the crisis have so far been contained to some extent, initial signs of propagation seem to be emerging. Credit standards and terms on both commercial and industrial (C&amp;I) loans and commercial real estate loans tightened and the yields on corporate bonds increased significantly over the first half of 2008 (see Federal Reserve Bank 2008, p. 12), indicating increasing pressures and risks for the nonfinancial corporate sector. </w:t>
      </w:r>
    </w:p>
    <w:p w14:paraId="145ADCBB" w14:textId="77777777" w:rsidR="009546FD" w:rsidRDefault="00B74FA6" w:rsidP="00A43035">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Similar changes are occurring in the UK and Europe. The exchange rate of the dollar fluctuated during the crisis with a general trend towards depreciation against most currencies. Private payroll employment started falling substantially in February 2008, and inflation started also to be a source of concern. Economic growth remained slow in the first half of 2008, and the persistent weaknesses in the housing markets together with the tightened conditions for credit to businesses and households also weakened the projections for the second half of the year.</w:t>
      </w:r>
    </w:p>
    <w:p w14:paraId="452F8A3E" w14:textId="16A35E06" w:rsidR="00454904" w:rsidRPr="006957FC" w:rsidRDefault="00757676"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rPr>
        <w:lastRenderedPageBreak/>
        <w:t xml:space="preserve">The mechanism of volatility </w:t>
      </w:r>
      <w:proofErr w:type="spellStart"/>
      <w:r w:rsidRPr="006957FC">
        <w:rPr>
          <w:rFonts w:ascii="Times New Roman" w:hAnsi="Times New Roman" w:cs="Times New Roman"/>
          <w:sz w:val="24"/>
          <w:szCs w:val="24"/>
        </w:rPr>
        <w:t>spillover</w:t>
      </w:r>
      <w:proofErr w:type="spellEnd"/>
      <w:r w:rsidRPr="006957FC">
        <w:rPr>
          <w:rFonts w:ascii="Times New Roman" w:hAnsi="Times New Roman" w:cs="Times New Roman"/>
          <w:sz w:val="24"/>
          <w:szCs w:val="24"/>
        </w:rPr>
        <w:t xml:space="preserve"> and liquidity shock transmission is important in terms of financial crisis and risk management</w:t>
      </w:r>
      <w:r w:rsidR="00310DE2" w:rsidRPr="006957FC">
        <w:rPr>
          <w:rFonts w:ascii="Times New Roman" w:hAnsi="Times New Roman" w:cs="Times New Roman"/>
          <w:sz w:val="24"/>
          <w:szCs w:val="24"/>
        </w:rPr>
        <w:t>. The traditional method of linear correlation in measurement dependence does not capture the full dynamics of financial shock transfer, as nonlinearity can be exhibited by some asset classes. The most intuitive way to detect infinity is to plot the scattered graphs. The literature suggests that the return of financial assets reflects the return of significant resources. That is, the return series is not linear. The generalized autoregressive conditional heteroskedasticity (G</w:t>
      </w:r>
      <w:r w:rsidRPr="006957FC">
        <w:rPr>
          <w:rFonts w:ascii="Times New Roman" w:hAnsi="Times New Roman" w:cs="Times New Roman"/>
          <w:sz w:val="24"/>
          <w:szCs w:val="24"/>
        </w:rPr>
        <w:t>ARCH</w:t>
      </w:r>
      <w:r w:rsidR="00310DE2" w:rsidRPr="006957FC">
        <w:rPr>
          <w:rFonts w:ascii="Times New Roman" w:hAnsi="Times New Roman" w:cs="Times New Roman"/>
          <w:sz w:val="24"/>
          <w:szCs w:val="24"/>
        </w:rPr>
        <w:t xml:space="preserve">), proposed by </w:t>
      </w:r>
      <w:proofErr w:type="spellStart"/>
      <w:r w:rsidR="00310DE2" w:rsidRPr="006957FC">
        <w:rPr>
          <w:rFonts w:ascii="Times New Roman" w:hAnsi="Times New Roman" w:cs="Times New Roman"/>
          <w:sz w:val="24"/>
          <w:szCs w:val="24"/>
        </w:rPr>
        <w:t>Bollerslev</w:t>
      </w:r>
      <w:proofErr w:type="spellEnd"/>
      <w:r w:rsidR="00310DE2" w:rsidRPr="006957FC">
        <w:rPr>
          <w:rFonts w:ascii="Times New Roman" w:hAnsi="Times New Roman" w:cs="Times New Roman"/>
          <w:sz w:val="24"/>
          <w:szCs w:val="24"/>
        </w:rPr>
        <w:t xml:space="preserve"> (1990), is popular in </w:t>
      </w:r>
      <w:r w:rsidR="00A43035" w:rsidRPr="006957FC">
        <w:rPr>
          <w:rFonts w:ascii="Times New Roman" w:hAnsi="Times New Roman" w:cs="Times New Roman"/>
          <w:sz w:val="24"/>
          <w:szCs w:val="24"/>
        </w:rPr>
        <w:t>modelling</w:t>
      </w:r>
      <w:r w:rsidR="00310DE2" w:rsidRPr="006957FC">
        <w:rPr>
          <w:rFonts w:ascii="Times New Roman" w:hAnsi="Times New Roman" w:cs="Times New Roman"/>
          <w:sz w:val="24"/>
          <w:szCs w:val="24"/>
        </w:rPr>
        <w:t xml:space="preserve"> financial shock transfer dynamics. The G</w:t>
      </w:r>
      <w:r w:rsidRPr="006957FC">
        <w:rPr>
          <w:rFonts w:ascii="Times New Roman" w:hAnsi="Times New Roman" w:cs="Times New Roman"/>
          <w:sz w:val="24"/>
          <w:szCs w:val="24"/>
        </w:rPr>
        <w:t>ARCH</w:t>
      </w:r>
      <w:r w:rsidR="00310DE2" w:rsidRPr="006957FC">
        <w:rPr>
          <w:rFonts w:ascii="Times New Roman" w:hAnsi="Times New Roman" w:cs="Times New Roman"/>
          <w:sz w:val="24"/>
          <w:szCs w:val="24"/>
        </w:rPr>
        <w:t xml:space="preserve"> model has an average weight of measured square</w:t>
      </w:r>
      <w:r w:rsidRPr="006957FC">
        <w:rPr>
          <w:rFonts w:ascii="Times New Roman" w:hAnsi="Times New Roman" w:cs="Times New Roman"/>
          <w:sz w:val="24"/>
          <w:szCs w:val="24"/>
        </w:rPr>
        <w:t>d residuals</w:t>
      </w:r>
      <w:r w:rsidR="00310DE2" w:rsidRPr="006957FC">
        <w:rPr>
          <w:rFonts w:ascii="Times New Roman" w:hAnsi="Times New Roman" w:cs="Times New Roman"/>
          <w:sz w:val="24"/>
          <w:szCs w:val="24"/>
        </w:rPr>
        <w:t>, but it has decreasing weights that never reach zero.</w:t>
      </w:r>
    </w:p>
    <w:p w14:paraId="4BD737D3" w14:textId="6DBC920E" w:rsidR="00757676" w:rsidRPr="006957FC" w:rsidRDefault="00757676"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lang w:eastAsia="hu-HU"/>
        </w:rPr>
        <w:t xml:space="preserve">Conditional correlations are based on known information from previous periods, which do reflect the true, but not all, of the risks. </w:t>
      </w:r>
      <w:proofErr w:type="spellStart"/>
      <w:r w:rsidRPr="006957FC">
        <w:rPr>
          <w:rFonts w:ascii="Times New Roman" w:hAnsi="Times New Roman" w:cs="Times New Roman"/>
          <w:sz w:val="24"/>
          <w:szCs w:val="24"/>
          <w:lang w:eastAsia="hu-HU"/>
        </w:rPr>
        <w:t>Bollerslev</w:t>
      </w:r>
      <w:proofErr w:type="spellEnd"/>
      <w:r w:rsidRPr="006957FC">
        <w:rPr>
          <w:rFonts w:ascii="Times New Roman" w:hAnsi="Times New Roman" w:cs="Times New Roman"/>
          <w:sz w:val="24"/>
          <w:szCs w:val="24"/>
          <w:lang w:eastAsia="hu-HU"/>
        </w:rPr>
        <w:t xml:space="preserve"> (1990) proposed the Constitutional Correlation (CC) model. Although this model still allows different fluctuations over time</w:t>
      </w:r>
      <w:r w:rsidR="00A43035">
        <w:rPr>
          <w:rFonts w:ascii="Times New Roman" w:hAnsi="Times New Roman" w:cs="Times New Roman"/>
          <w:sz w:val="24"/>
          <w:szCs w:val="24"/>
          <w:lang w:eastAsia="hu-HU"/>
        </w:rPr>
        <w:t xml:space="preserve"> </w:t>
      </w:r>
      <w:r w:rsidRPr="006957FC">
        <w:rPr>
          <w:rFonts w:ascii="Times New Roman" w:hAnsi="Times New Roman" w:cs="Times New Roman"/>
          <w:sz w:val="24"/>
          <w:szCs w:val="24"/>
          <w:lang w:eastAsia="hu-HU"/>
        </w:rPr>
        <w:t xml:space="preserve">(time -varying volatility), however, the conditional correlations are limited to the time invasion. Engel (2002) supports a new specification of a multivariate GARCH model called dynamic conditional correlation (DCC). The DCC model maintains the refinement of the CC model, while also allowing for different conditional relationships over time. Sheppard (2001) has improved the process of estimating the DCC model by reducing the multivariate GARCH estimation to a series of univariate GARCH processes with several additional correlation estimates. The specification </w:t>
      </w:r>
      <w:r w:rsidR="00B036F1" w:rsidRPr="006957FC">
        <w:rPr>
          <w:rFonts w:ascii="Times New Roman" w:hAnsi="Times New Roman" w:cs="Times New Roman"/>
          <w:sz w:val="24"/>
          <w:szCs w:val="24"/>
          <w:lang w:eastAsia="hu-HU"/>
        </w:rPr>
        <w:t xml:space="preserve">of univariate GARCH </w:t>
      </w:r>
      <w:r w:rsidRPr="006957FC">
        <w:rPr>
          <w:rFonts w:ascii="Times New Roman" w:hAnsi="Times New Roman" w:cs="Times New Roman"/>
          <w:sz w:val="24"/>
          <w:szCs w:val="24"/>
          <w:lang w:eastAsia="hu-HU"/>
        </w:rPr>
        <w:t>for any given process is generous with normally distributed errors that satisfy non-negative constraints and stationary conditions. The question now is where and what the financial shocks are and how far they are moving from one channel to another.</w:t>
      </w:r>
      <w:r w:rsidR="006957FC" w:rsidRPr="006957FC">
        <w:rPr>
          <w:rFonts w:ascii="Times New Roman" w:hAnsi="Times New Roman" w:cs="Times New Roman"/>
          <w:sz w:val="24"/>
          <w:szCs w:val="24"/>
        </w:rPr>
        <w:t xml:space="preserve"> Furthermore, the multivariate BEKK model (Baba </w:t>
      </w:r>
      <w:r w:rsidR="006957FC" w:rsidRPr="006957FC">
        <w:rPr>
          <w:rFonts w:ascii="Times New Roman" w:hAnsi="Times New Roman" w:cs="Times New Roman"/>
          <w:i/>
          <w:sz w:val="24"/>
          <w:szCs w:val="24"/>
        </w:rPr>
        <w:t>et al</w:t>
      </w:r>
      <w:r w:rsidR="006957FC" w:rsidRPr="006957FC">
        <w:rPr>
          <w:rFonts w:ascii="Times New Roman" w:hAnsi="Times New Roman" w:cs="Times New Roman"/>
          <w:sz w:val="24"/>
          <w:szCs w:val="24"/>
        </w:rPr>
        <w:t>., 1995) is employed to investigate the pair-wise transmissions between the liquidity measures. In particular, the off-diagonal elements in the conditional variance-covariance matrix implied in the BEKK offer the quantities and directions of the transmission across liquidity measurements.</w:t>
      </w:r>
    </w:p>
    <w:p w14:paraId="1A85888C" w14:textId="169052F7" w:rsidR="00B44D0D" w:rsidRPr="006957FC" w:rsidRDefault="00B036F1" w:rsidP="00A43035">
      <w:pPr>
        <w:spacing w:line="360" w:lineRule="auto"/>
        <w:jc w:val="both"/>
        <w:rPr>
          <w:rFonts w:ascii="Times New Roman" w:hAnsi="Times New Roman" w:cs="Times New Roman"/>
          <w:sz w:val="24"/>
          <w:szCs w:val="24"/>
        </w:rPr>
      </w:pPr>
      <w:r w:rsidRPr="006957FC">
        <w:rPr>
          <w:rFonts w:ascii="Times New Roman" w:hAnsi="Times New Roman" w:cs="Times New Roman"/>
          <w:sz w:val="24"/>
          <w:szCs w:val="24"/>
        </w:rPr>
        <w:t xml:space="preserve">To summarize, the motivation for this research was first motivated by the question that the collapse of a domestic mortgage market in the United States almost led to the destruction of the global financial market. The investigation begins with an analysis of the economic background of the period 2001 to 2008. The US government adopted aggressive monetary policy and provided accessible credit to prevent the economy from recession after the dot-com bubble. These include predatory lending, negative selection, principal and agent issues and motivational issues. The above analysis can answer the question in terms of the first part of the collapse of a single domestic mortgage market. How it spread to other markets, however, </w:t>
      </w:r>
      <w:r w:rsidRPr="006957FC">
        <w:rPr>
          <w:rFonts w:ascii="Times New Roman" w:hAnsi="Times New Roman" w:cs="Times New Roman"/>
          <w:sz w:val="24"/>
          <w:szCs w:val="24"/>
        </w:rPr>
        <w:lastRenderedPageBreak/>
        <w:t xml:space="preserve">remains unclear. This further investigates the inter-bank exposure and </w:t>
      </w:r>
      <w:r w:rsidR="00EF2884" w:rsidRPr="006957FC">
        <w:rPr>
          <w:rFonts w:ascii="Times New Roman" w:hAnsi="Times New Roman" w:cs="Times New Roman"/>
          <w:sz w:val="24"/>
          <w:szCs w:val="24"/>
        </w:rPr>
        <w:t>crossholding</w:t>
      </w:r>
      <w:r w:rsidRPr="006957FC">
        <w:rPr>
          <w:rFonts w:ascii="Times New Roman" w:hAnsi="Times New Roman" w:cs="Times New Roman"/>
          <w:sz w:val="24"/>
          <w:szCs w:val="24"/>
        </w:rPr>
        <w:t xml:space="preserve"> between banks. The interconnection of the financial market plays an important role in the liquidity shock transmission mechanism. If a bank has a large number of exhibits in front of a single institution, the primary bank is at risk of significant loss if its counterpart is predetermined. </w:t>
      </w:r>
    </w:p>
    <w:p w14:paraId="54FC177F" w14:textId="2C3854EE" w:rsidR="003D12EC" w:rsidRPr="00B44D0D" w:rsidRDefault="003D12EC" w:rsidP="002E153E">
      <w:pPr>
        <w:spacing w:line="360" w:lineRule="auto"/>
        <w:jc w:val="both"/>
        <w:rPr>
          <w:rFonts w:ascii="Times New Roman" w:hAnsi="Times New Roman" w:cs="Times New Roman"/>
          <w:sz w:val="24"/>
          <w:szCs w:val="24"/>
        </w:rPr>
      </w:pPr>
      <w:r w:rsidRPr="003D12EC">
        <w:rPr>
          <w:rFonts w:ascii="Times New Roman" w:hAnsi="Times New Roman" w:cs="Times New Roman"/>
          <w:sz w:val="24"/>
          <w:szCs w:val="24"/>
        </w:rPr>
        <w:t>The precise trans</w:t>
      </w:r>
      <w:r>
        <w:rPr>
          <w:rFonts w:ascii="Times New Roman" w:hAnsi="Times New Roman" w:cs="Times New Roman"/>
          <w:sz w:val="24"/>
          <w:szCs w:val="24"/>
        </w:rPr>
        <w:t>mission</w:t>
      </w:r>
      <w:r w:rsidRPr="003D12EC">
        <w:rPr>
          <w:rFonts w:ascii="Times New Roman" w:hAnsi="Times New Roman" w:cs="Times New Roman"/>
          <w:sz w:val="24"/>
          <w:szCs w:val="24"/>
        </w:rPr>
        <w:t xml:space="preserve"> of U</w:t>
      </w:r>
      <w:r>
        <w:rPr>
          <w:rFonts w:ascii="Times New Roman" w:hAnsi="Times New Roman" w:cs="Times New Roman"/>
          <w:sz w:val="24"/>
          <w:szCs w:val="24"/>
        </w:rPr>
        <w:t>.</w:t>
      </w:r>
      <w:r w:rsidRPr="003D12EC">
        <w:rPr>
          <w:rFonts w:ascii="Times New Roman" w:hAnsi="Times New Roman" w:cs="Times New Roman"/>
          <w:sz w:val="24"/>
          <w:szCs w:val="24"/>
        </w:rPr>
        <w:t>S</w:t>
      </w:r>
      <w:r>
        <w:rPr>
          <w:rFonts w:ascii="Times New Roman" w:hAnsi="Times New Roman" w:cs="Times New Roman"/>
          <w:sz w:val="24"/>
          <w:szCs w:val="24"/>
        </w:rPr>
        <w:t>.</w:t>
      </w:r>
      <w:r w:rsidRPr="003D12EC">
        <w:rPr>
          <w:rFonts w:ascii="Times New Roman" w:hAnsi="Times New Roman" w:cs="Times New Roman"/>
          <w:sz w:val="24"/>
          <w:szCs w:val="24"/>
        </w:rPr>
        <w:t xml:space="preserve"> subprime mortgages </w:t>
      </w:r>
      <w:r>
        <w:rPr>
          <w:rFonts w:ascii="Times New Roman" w:hAnsi="Times New Roman" w:cs="Times New Roman"/>
          <w:sz w:val="24"/>
          <w:szCs w:val="24"/>
        </w:rPr>
        <w:t xml:space="preserve">crises </w:t>
      </w:r>
      <w:r w:rsidRPr="003D12EC">
        <w:rPr>
          <w:rFonts w:ascii="Times New Roman" w:hAnsi="Times New Roman" w:cs="Times New Roman"/>
          <w:sz w:val="24"/>
          <w:szCs w:val="24"/>
        </w:rPr>
        <w:t xml:space="preserve">to other financial markets in the United States and abroad during the second half of 2007 has raised some important questions. In particular, during this period, which mechanism triggered </w:t>
      </w:r>
      <w:r>
        <w:rPr>
          <w:rFonts w:ascii="Times New Roman" w:hAnsi="Times New Roman" w:cs="Times New Roman"/>
          <w:sz w:val="24"/>
          <w:szCs w:val="24"/>
        </w:rPr>
        <w:t xml:space="preserve">the </w:t>
      </w:r>
      <w:r w:rsidRPr="003D12EC">
        <w:rPr>
          <w:rFonts w:ascii="Times New Roman" w:hAnsi="Times New Roman" w:cs="Times New Roman"/>
          <w:sz w:val="24"/>
          <w:szCs w:val="24"/>
        </w:rPr>
        <w:t>liquidity shocks</w:t>
      </w:r>
      <w:r>
        <w:rPr>
          <w:rFonts w:ascii="Times New Roman" w:hAnsi="Times New Roman" w:cs="Times New Roman"/>
          <w:sz w:val="24"/>
          <w:szCs w:val="24"/>
        </w:rPr>
        <w:t xml:space="preserve"> to</w:t>
      </w:r>
      <w:r w:rsidRPr="003D12EC">
        <w:rPr>
          <w:rFonts w:ascii="Times New Roman" w:hAnsi="Times New Roman" w:cs="Times New Roman"/>
          <w:sz w:val="24"/>
          <w:szCs w:val="24"/>
        </w:rPr>
        <w:t xml:space="preserve"> </w:t>
      </w:r>
      <w:r>
        <w:rPr>
          <w:rFonts w:ascii="Times New Roman" w:hAnsi="Times New Roman" w:cs="Times New Roman"/>
          <w:sz w:val="24"/>
          <w:szCs w:val="24"/>
        </w:rPr>
        <w:t>transmitted across</w:t>
      </w:r>
      <w:r w:rsidRPr="003D12EC">
        <w:rPr>
          <w:rFonts w:ascii="Times New Roman" w:hAnsi="Times New Roman" w:cs="Times New Roman"/>
          <w:sz w:val="24"/>
          <w:szCs w:val="24"/>
        </w:rPr>
        <w:t xml:space="preserve"> the US financial markets? </w:t>
      </w:r>
      <w:r w:rsidR="001A6071">
        <w:rPr>
          <w:rFonts w:ascii="Times New Roman" w:hAnsi="Times New Roman" w:cs="Times New Roman"/>
          <w:sz w:val="24"/>
          <w:szCs w:val="24"/>
        </w:rPr>
        <w:t xml:space="preserve">What </w:t>
      </w:r>
      <w:r w:rsidRPr="00B44D0D">
        <w:rPr>
          <w:rFonts w:ascii="Times New Roman" w:hAnsi="Times New Roman" w:cs="Times New Roman"/>
          <w:sz w:val="24"/>
          <w:szCs w:val="24"/>
        </w:rPr>
        <w:t>was the relative strength of these potential linkages?</w:t>
      </w:r>
      <w:r w:rsidRPr="003D12EC">
        <w:rPr>
          <w:rFonts w:ascii="Times New Roman" w:hAnsi="Times New Roman" w:cs="Times New Roman"/>
          <w:sz w:val="24"/>
          <w:szCs w:val="24"/>
        </w:rPr>
        <w:t xml:space="preserve"> </w:t>
      </w:r>
      <w:r w:rsidR="001A6071" w:rsidRPr="00B44D0D">
        <w:rPr>
          <w:rFonts w:ascii="Times New Roman" w:hAnsi="Times New Roman" w:cs="Times New Roman"/>
          <w:sz w:val="24"/>
          <w:szCs w:val="24"/>
        </w:rPr>
        <w:t xml:space="preserve">Did the episode of funding illiquidity in structured investment vehicles (SIVs) and conduits turn into an issue of bank insolvency? </w:t>
      </w:r>
      <w:r w:rsidRPr="003D12EC">
        <w:rPr>
          <w:rFonts w:ascii="Times New Roman" w:hAnsi="Times New Roman" w:cs="Times New Roman"/>
          <w:sz w:val="24"/>
          <w:szCs w:val="24"/>
        </w:rPr>
        <w:t xml:space="preserve"> Conceivably, during the recent period of turmoil, multiple </w:t>
      </w:r>
      <w:r w:rsidR="001A6071">
        <w:rPr>
          <w:rFonts w:ascii="Times New Roman" w:hAnsi="Times New Roman" w:cs="Times New Roman"/>
          <w:sz w:val="24"/>
          <w:szCs w:val="24"/>
        </w:rPr>
        <w:t xml:space="preserve">transmission </w:t>
      </w:r>
      <w:r w:rsidRPr="003D12EC">
        <w:rPr>
          <w:rFonts w:ascii="Times New Roman" w:hAnsi="Times New Roman" w:cs="Times New Roman"/>
          <w:sz w:val="24"/>
          <w:szCs w:val="24"/>
        </w:rPr>
        <w:t xml:space="preserve">mechanisms are likely to be established, either in terms of </w:t>
      </w:r>
      <w:r w:rsidR="001A6071">
        <w:rPr>
          <w:rFonts w:ascii="Times New Roman" w:hAnsi="Times New Roman" w:cs="Times New Roman"/>
          <w:sz w:val="24"/>
          <w:szCs w:val="24"/>
        </w:rPr>
        <w:t xml:space="preserve">increased </w:t>
      </w:r>
      <w:r w:rsidRPr="003D12EC">
        <w:rPr>
          <w:rFonts w:ascii="Times New Roman" w:hAnsi="Times New Roman" w:cs="Times New Roman"/>
          <w:sz w:val="24"/>
          <w:szCs w:val="24"/>
        </w:rPr>
        <w:t xml:space="preserve">market </w:t>
      </w:r>
      <w:r w:rsidR="001A6071">
        <w:rPr>
          <w:rFonts w:ascii="Times New Roman" w:hAnsi="Times New Roman" w:cs="Times New Roman"/>
          <w:sz w:val="24"/>
          <w:szCs w:val="24"/>
        </w:rPr>
        <w:t>illiquidity</w:t>
      </w:r>
      <w:r w:rsidRPr="003D12EC">
        <w:rPr>
          <w:rFonts w:ascii="Times New Roman" w:hAnsi="Times New Roman" w:cs="Times New Roman"/>
          <w:sz w:val="24"/>
          <w:szCs w:val="24"/>
        </w:rPr>
        <w:t>, or even predetermined</w:t>
      </w:r>
      <w:r w:rsidR="001A6071">
        <w:rPr>
          <w:rFonts w:ascii="Times New Roman" w:hAnsi="Times New Roman" w:cs="Times New Roman"/>
          <w:sz w:val="24"/>
          <w:szCs w:val="24"/>
        </w:rPr>
        <w:t xml:space="preserve"> (default)</w:t>
      </w:r>
      <w:r w:rsidRPr="003D12EC">
        <w:rPr>
          <w:rFonts w:ascii="Times New Roman" w:hAnsi="Times New Roman" w:cs="Times New Roman"/>
          <w:sz w:val="24"/>
          <w:szCs w:val="24"/>
        </w:rPr>
        <w:t xml:space="preserve"> risks. The relative strength of these factors during the 2007 sub</w:t>
      </w:r>
      <w:r w:rsidR="001A6071">
        <w:rPr>
          <w:rFonts w:ascii="Times New Roman" w:hAnsi="Times New Roman" w:cs="Times New Roman"/>
          <w:sz w:val="24"/>
          <w:szCs w:val="24"/>
        </w:rPr>
        <w:t xml:space="preserve">prime </w:t>
      </w:r>
      <w:r w:rsidRPr="003D12EC">
        <w:rPr>
          <w:rFonts w:ascii="Times New Roman" w:hAnsi="Times New Roman" w:cs="Times New Roman"/>
          <w:sz w:val="24"/>
          <w:szCs w:val="24"/>
        </w:rPr>
        <w:t xml:space="preserve">crisis is an empirical question, which is </w:t>
      </w:r>
      <w:r w:rsidR="006957FC" w:rsidRPr="003D12EC">
        <w:rPr>
          <w:rFonts w:ascii="Times New Roman" w:hAnsi="Times New Roman" w:cs="Times New Roman"/>
          <w:sz w:val="24"/>
          <w:szCs w:val="24"/>
        </w:rPr>
        <w:t>analysed</w:t>
      </w:r>
      <w:r w:rsidRPr="003D12EC">
        <w:rPr>
          <w:rFonts w:ascii="Times New Roman" w:hAnsi="Times New Roman" w:cs="Times New Roman"/>
          <w:sz w:val="24"/>
          <w:szCs w:val="24"/>
        </w:rPr>
        <w:t xml:space="preserve"> below.</w:t>
      </w:r>
    </w:p>
    <w:p w14:paraId="661E4F1B" w14:textId="77777777" w:rsidR="001A6071" w:rsidRPr="00B44D0D" w:rsidRDefault="001A6071" w:rsidP="002E153E">
      <w:pPr>
        <w:spacing w:line="360" w:lineRule="auto"/>
        <w:jc w:val="both"/>
        <w:rPr>
          <w:rFonts w:ascii="Times New Roman" w:hAnsi="Times New Roman" w:cs="Times New Roman"/>
          <w:sz w:val="24"/>
          <w:szCs w:val="24"/>
        </w:rPr>
      </w:pPr>
      <w:r w:rsidRPr="001A6071">
        <w:rPr>
          <w:rFonts w:ascii="Times New Roman" w:hAnsi="Times New Roman" w:cs="Times New Roman"/>
          <w:sz w:val="24"/>
          <w:szCs w:val="24"/>
        </w:rPr>
        <w:t xml:space="preserve">Overall, the mechanisms through which liquidity shocks affect different markets can often work through different channels in the normal course of time, rather than the events of financial stress. During calm periods, market </w:t>
      </w:r>
      <w:r w:rsidR="00602C2A">
        <w:rPr>
          <w:rFonts w:ascii="Times New Roman" w:hAnsi="Times New Roman" w:cs="Times New Roman"/>
          <w:sz w:val="24"/>
          <w:szCs w:val="24"/>
        </w:rPr>
        <w:t xml:space="preserve">illiquidity </w:t>
      </w:r>
      <w:r w:rsidRPr="001A6071">
        <w:rPr>
          <w:rFonts w:ascii="Times New Roman" w:hAnsi="Times New Roman" w:cs="Times New Roman"/>
          <w:sz w:val="24"/>
          <w:szCs w:val="24"/>
        </w:rPr>
        <w:t xml:space="preserve">shocks are generally short-lived, as they create opportunities for traders to profit and, in doing so, provide liquidity and contribute to the </w:t>
      </w:r>
      <w:r w:rsidR="00602C2A">
        <w:rPr>
          <w:rFonts w:ascii="Times New Roman" w:hAnsi="Times New Roman" w:cs="Times New Roman"/>
          <w:sz w:val="24"/>
          <w:szCs w:val="24"/>
        </w:rPr>
        <w:t xml:space="preserve">price </w:t>
      </w:r>
      <w:r w:rsidR="00602C2A" w:rsidRPr="001A6071">
        <w:rPr>
          <w:rFonts w:ascii="Times New Roman" w:hAnsi="Times New Roman" w:cs="Times New Roman"/>
          <w:sz w:val="24"/>
          <w:szCs w:val="24"/>
        </w:rPr>
        <w:t>discovery</w:t>
      </w:r>
      <w:r w:rsidRPr="001A6071">
        <w:rPr>
          <w:rFonts w:ascii="Times New Roman" w:hAnsi="Times New Roman" w:cs="Times New Roman"/>
          <w:sz w:val="24"/>
          <w:szCs w:val="24"/>
        </w:rPr>
        <w:t xml:space="preserve"> process. ۔ However, during </w:t>
      </w:r>
      <w:r w:rsidR="00602C2A">
        <w:rPr>
          <w:rFonts w:ascii="Times New Roman" w:hAnsi="Times New Roman" w:cs="Times New Roman"/>
          <w:sz w:val="24"/>
          <w:szCs w:val="24"/>
        </w:rPr>
        <w:t>the period</w:t>
      </w:r>
      <w:r w:rsidRPr="001A6071">
        <w:rPr>
          <w:rFonts w:ascii="Times New Roman" w:hAnsi="Times New Roman" w:cs="Times New Roman"/>
          <w:sz w:val="24"/>
          <w:szCs w:val="24"/>
        </w:rPr>
        <w:t xml:space="preserve"> of crisis, </w:t>
      </w:r>
      <w:r w:rsidR="00602C2A" w:rsidRPr="001A6071">
        <w:rPr>
          <w:rFonts w:ascii="Times New Roman" w:hAnsi="Times New Roman" w:cs="Times New Roman"/>
          <w:sz w:val="24"/>
          <w:szCs w:val="24"/>
        </w:rPr>
        <w:t>several</w:t>
      </w:r>
      <w:r w:rsidRPr="001A6071">
        <w:rPr>
          <w:rFonts w:ascii="Times New Roman" w:hAnsi="Times New Roman" w:cs="Times New Roman"/>
          <w:sz w:val="24"/>
          <w:szCs w:val="24"/>
        </w:rPr>
        <w:t xml:space="preserve"> mechanisms exacerbate and spread liquidity shocks </w:t>
      </w:r>
      <w:r w:rsidR="00602C2A">
        <w:rPr>
          <w:rFonts w:ascii="Times New Roman" w:hAnsi="Times New Roman" w:cs="Times New Roman"/>
          <w:sz w:val="24"/>
          <w:szCs w:val="24"/>
        </w:rPr>
        <w:t>across</w:t>
      </w:r>
      <w:r w:rsidRPr="001A6071">
        <w:rPr>
          <w:rFonts w:ascii="Times New Roman" w:hAnsi="Times New Roman" w:cs="Times New Roman"/>
          <w:sz w:val="24"/>
          <w:szCs w:val="24"/>
        </w:rPr>
        <w:t xml:space="preserve"> the financial markets, creating systemic risks. These mechanisms can operate through direct links between financial institutions' balance sheets, but also indirectly through asset prices. Existing literature examining these contacts includes Adrian and Shin (2007), </w:t>
      </w:r>
      <w:r w:rsidR="00602C2A" w:rsidRPr="00B44D0D">
        <w:rPr>
          <w:rFonts w:ascii="Times New Roman" w:hAnsi="Times New Roman" w:cs="Times New Roman"/>
          <w:sz w:val="24"/>
          <w:szCs w:val="24"/>
        </w:rPr>
        <w:t xml:space="preserve">Cifuentes, </w:t>
      </w:r>
      <w:proofErr w:type="spellStart"/>
      <w:r w:rsidR="00602C2A" w:rsidRPr="00B44D0D">
        <w:rPr>
          <w:rFonts w:ascii="Times New Roman" w:hAnsi="Times New Roman" w:cs="Times New Roman"/>
          <w:sz w:val="24"/>
          <w:szCs w:val="24"/>
        </w:rPr>
        <w:t>Ferrucci</w:t>
      </w:r>
      <w:proofErr w:type="spellEnd"/>
      <w:r w:rsidR="00602C2A" w:rsidRPr="00B44D0D">
        <w:rPr>
          <w:rFonts w:ascii="Times New Roman" w:hAnsi="Times New Roman" w:cs="Times New Roman"/>
          <w:sz w:val="24"/>
          <w:szCs w:val="24"/>
        </w:rPr>
        <w:t xml:space="preserve">, and Shin (2005), </w:t>
      </w:r>
      <w:r w:rsidRPr="001A6071">
        <w:rPr>
          <w:rFonts w:ascii="Times New Roman" w:hAnsi="Times New Roman" w:cs="Times New Roman"/>
          <w:sz w:val="24"/>
          <w:szCs w:val="24"/>
        </w:rPr>
        <w:t xml:space="preserve">and </w:t>
      </w:r>
      <w:proofErr w:type="spellStart"/>
      <w:r w:rsidR="00602C2A" w:rsidRPr="00B44D0D">
        <w:rPr>
          <w:rFonts w:ascii="Times New Roman" w:hAnsi="Times New Roman" w:cs="Times New Roman"/>
          <w:sz w:val="24"/>
          <w:szCs w:val="24"/>
        </w:rPr>
        <w:t>Brunnermeier</w:t>
      </w:r>
      <w:proofErr w:type="spellEnd"/>
      <w:r w:rsidR="00602C2A" w:rsidRPr="00B44D0D">
        <w:rPr>
          <w:rFonts w:ascii="Times New Roman" w:hAnsi="Times New Roman" w:cs="Times New Roman"/>
          <w:sz w:val="24"/>
          <w:szCs w:val="24"/>
        </w:rPr>
        <w:t xml:space="preserve"> and Pedersen (2008). </w:t>
      </w:r>
      <w:r w:rsidR="00BE5D6B" w:rsidRPr="00B44D0D">
        <w:rPr>
          <w:rFonts w:ascii="Times New Roman" w:hAnsi="Times New Roman" w:cs="Times New Roman"/>
          <w:sz w:val="24"/>
          <w:szCs w:val="24"/>
        </w:rPr>
        <w:t>Leverage in the models presented in these studies is procyclical and can amplify the financial cycle. Specifically, asset price movements are set in motion when financial institutions face marked-to-market price declines.</w:t>
      </w:r>
      <w:r w:rsidRPr="001A6071">
        <w:rPr>
          <w:rFonts w:ascii="Times New Roman" w:hAnsi="Times New Roman" w:cs="Times New Roman"/>
          <w:sz w:val="24"/>
          <w:szCs w:val="24"/>
        </w:rPr>
        <w:t xml:space="preserve"> As a result, positions are terminated, and if the value of the assets associated with them is significantly impacted, the increased risk of default may result in the loss of credibility of the respective entities.</w:t>
      </w:r>
    </w:p>
    <w:p w14:paraId="33CDB532" w14:textId="6960F7C3" w:rsidR="00454904" w:rsidRPr="00B44D0D" w:rsidRDefault="00454904" w:rsidP="002E153E">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Global Financial Stability Report (2008). In particular, some methodological refinements are introduced, which produce more accurate estimates of the transmission of liquidity shocks during the subprime crisis in 2007. The estimation is conducted by applying a multivariate GARCH specification, whereby the Dynamic Conditional Correlation (DCC) model developed by Engle (2002) is adopted. This allows us to evaluate the transmission of the liquidity shocks </w:t>
      </w:r>
      <w:r w:rsidRPr="00B44D0D">
        <w:rPr>
          <w:rFonts w:ascii="Times New Roman" w:hAnsi="Times New Roman" w:cs="Times New Roman"/>
          <w:sz w:val="24"/>
          <w:szCs w:val="24"/>
        </w:rPr>
        <w:lastRenderedPageBreak/>
        <w:t xml:space="preserve">that spread from U.S. conduits and banks’ off-balance sheet SIVs to other credit and equity markets in the United States. Furthermore, this GARCH framework allows for the </w:t>
      </w:r>
      <w:r w:rsidR="007E47B7" w:rsidRPr="00B44D0D">
        <w:rPr>
          <w:rFonts w:ascii="Times New Roman" w:hAnsi="Times New Roman" w:cs="Times New Roman"/>
          <w:sz w:val="24"/>
          <w:szCs w:val="24"/>
        </w:rPr>
        <w:t>modelling</w:t>
      </w:r>
      <w:r w:rsidRPr="00B44D0D">
        <w:rPr>
          <w:rFonts w:ascii="Times New Roman" w:hAnsi="Times New Roman" w:cs="Times New Roman"/>
          <w:sz w:val="24"/>
          <w:szCs w:val="24"/>
        </w:rPr>
        <w:t xml:space="preserve"> of the heteroscedasticity exhibited by the data, in addition to interpreting the conditional variance as a time-varying risk measure. Following </w:t>
      </w:r>
      <w:proofErr w:type="spellStart"/>
      <w:r w:rsidRPr="00B44D0D">
        <w:rPr>
          <w:rFonts w:ascii="Times New Roman" w:hAnsi="Times New Roman" w:cs="Times New Roman"/>
          <w:sz w:val="24"/>
          <w:szCs w:val="24"/>
        </w:rPr>
        <w:t>Cappiello</w:t>
      </w:r>
      <w:proofErr w:type="spellEnd"/>
      <w:r w:rsidRPr="00B44D0D">
        <w:rPr>
          <w:rFonts w:ascii="Times New Roman" w:hAnsi="Times New Roman" w:cs="Times New Roman"/>
          <w:sz w:val="24"/>
          <w:szCs w:val="24"/>
        </w:rPr>
        <w:t>, Engle and</w:t>
      </w:r>
    </w:p>
    <w:p w14:paraId="75AD18B3" w14:textId="77777777" w:rsidR="00454904" w:rsidRPr="00B44D0D" w:rsidRDefault="00454904" w:rsidP="002E153E">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Sheppard (2006), the DCC specification is modified to account for possible structural breaks in the unconditional correlations amongst the variables. The </w:t>
      </w:r>
      <w:proofErr w:type="spellStart"/>
      <w:r w:rsidRPr="00B44D0D">
        <w:rPr>
          <w:rFonts w:ascii="Times New Roman" w:hAnsi="Times New Roman" w:cs="Times New Roman"/>
          <w:sz w:val="24"/>
          <w:szCs w:val="24"/>
        </w:rPr>
        <w:t>spillovers</w:t>
      </w:r>
      <w:proofErr w:type="spellEnd"/>
      <w:r w:rsidRPr="00B44D0D">
        <w:rPr>
          <w:rFonts w:ascii="Times New Roman" w:hAnsi="Times New Roman" w:cs="Times New Roman"/>
          <w:sz w:val="24"/>
          <w:szCs w:val="24"/>
        </w:rPr>
        <w:t xml:space="preserve"> of U.S. liquidity shocks to international money markets and emerging market countries, using the same techniques, is discussed in Frank, González –Hermosillo and Hesse (2008).</w:t>
      </w:r>
    </w:p>
    <w:p w14:paraId="0C998D8E" w14:textId="76743CEB" w:rsidR="00454904" w:rsidRPr="00B44D0D" w:rsidRDefault="00454904" w:rsidP="002E153E">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findings suggest that during the recent crisis period the interaction between market and funding liquidity sharply increases in U.S. markets while a proxy for bank solvency issues become important. In contrast, these transmission mechanisms were largely absent before the onset of financial turbulences in July 2007. The introduction of the structural break in the </w:t>
      </w:r>
      <w:r w:rsidR="00CC0C49" w:rsidRPr="00B44D0D">
        <w:rPr>
          <w:rFonts w:ascii="Times New Roman" w:hAnsi="Times New Roman" w:cs="Times New Roman"/>
          <w:sz w:val="24"/>
          <w:szCs w:val="24"/>
        </w:rPr>
        <w:t>long run</w:t>
      </w:r>
      <w:r w:rsidRPr="00B44D0D">
        <w:rPr>
          <w:rFonts w:ascii="Times New Roman" w:hAnsi="Times New Roman" w:cs="Times New Roman"/>
          <w:sz w:val="24"/>
          <w:szCs w:val="24"/>
        </w:rPr>
        <w:t xml:space="preserve"> mean of the conditional correlations between the liquidity and other financial market variables is statistically significant and further strengthens these conclusions. Finally, we quantify the estimation uncertainty surrounding the correlation processes by providing estimates of their respective confidence intervals.</w:t>
      </w:r>
    </w:p>
    <w:p w14:paraId="78BEFF8C" w14:textId="1E440830" w:rsidR="00454904" w:rsidRPr="00B44D0D" w:rsidRDefault="00454904" w:rsidP="002E153E">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Indeed, the subsequent write-downs and losses emanating from structured financial products, required that banks raised significant amounts of new capital from other investors such as sovereign wealth funds. Third, we argue that the DCC model by Engle (2002) can potentially lead to an understatement of the duration and severity of the period of market stress. This is because the autoregressive model parameterization implies that the conditional correlations are mean reverting to their constant long-run unconditional average. Using the DCC specification by </w:t>
      </w:r>
      <w:proofErr w:type="spellStart"/>
      <w:r w:rsidRPr="00B44D0D">
        <w:rPr>
          <w:rFonts w:ascii="Times New Roman" w:hAnsi="Times New Roman" w:cs="Times New Roman"/>
          <w:sz w:val="24"/>
          <w:szCs w:val="24"/>
        </w:rPr>
        <w:t>Cappiello</w:t>
      </w:r>
      <w:proofErr w:type="spellEnd"/>
      <w:r w:rsidRPr="00B44D0D">
        <w:rPr>
          <w:rFonts w:ascii="Times New Roman" w:hAnsi="Times New Roman" w:cs="Times New Roman"/>
          <w:sz w:val="24"/>
          <w:szCs w:val="24"/>
        </w:rPr>
        <w:t xml:space="preserve">, Engle and Sheppard (2006) </w:t>
      </w:r>
      <w:r w:rsidR="007E47B7" w:rsidRPr="00B44D0D">
        <w:rPr>
          <w:rFonts w:ascii="Times New Roman" w:hAnsi="Times New Roman" w:cs="Times New Roman"/>
          <w:sz w:val="24"/>
          <w:szCs w:val="24"/>
        </w:rPr>
        <w:t>allow</w:t>
      </w:r>
      <w:r w:rsidRPr="00B44D0D">
        <w:rPr>
          <w:rFonts w:ascii="Times New Roman" w:hAnsi="Times New Roman" w:cs="Times New Roman"/>
          <w:sz w:val="24"/>
          <w:szCs w:val="24"/>
        </w:rPr>
        <w:t xml:space="preserve"> us to explicitly model the subprime crisis as </w:t>
      </w:r>
      <w:r w:rsidRPr="00CC0C49">
        <w:rPr>
          <w:rFonts w:ascii="Times New Roman" w:hAnsi="Times New Roman" w:cs="Times New Roman"/>
          <w:sz w:val="24"/>
          <w:szCs w:val="24"/>
        </w:rPr>
        <w:t>a structural break in the data generating processes, rather than a transitory shock.</w:t>
      </w:r>
      <w:r w:rsidR="00CC0C49" w:rsidRPr="00CC0C49">
        <w:rPr>
          <w:rFonts w:ascii="Times New Roman" w:hAnsi="Times New Roman" w:cs="Times New Roman"/>
          <w:sz w:val="24"/>
          <w:szCs w:val="24"/>
        </w:rPr>
        <w:t xml:space="preserve"> This paper will contribute to the existing SMC and liquidity risk literatures in three main aspects. The dataset (2005-2015) covers all period; pre-crisis (05.01.2004 to 01.06.2007) (04.06.2007 to 09.03.2009) and post-crisis (10.03.2009 to 20.10.2010) periods of the financial crisis of 2007–2008. This assists us to scrutiny a broader picture of the financial crisis. The empirical analysis uses the DCC model and provides evidence of structural breaks. Furthermore, we employ the bivariate BEKK estimation to measure pairwise </w:t>
      </w:r>
      <w:r w:rsidR="001C0BBF">
        <w:rPr>
          <w:rFonts w:ascii="Times New Roman" w:hAnsi="Times New Roman" w:cs="Times New Roman"/>
          <w:sz w:val="24"/>
          <w:szCs w:val="24"/>
        </w:rPr>
        <w:t>liquidity transmission (</w:t>
      </w:r>
      <w:r w:rsidR="00CC0C49" w:rsidRPr="00CC0C49">
        <w:rPr>
          <w:rFonts w:ascii="Times New Roman" w:hAnsi="Times New Roman" w:cs="Times New Roman"/>
          <w:sz w:val="24"/>
          <w:szCs w:val="24"/>
        </w:rPr>
        <w:t>LT</w:t>
      </w:r>
      <w:r w:rsidR="001C0BBF">
        <w:rPr>
          <w:rFonts w:ascii="Times New Roman" w:hAnsi="Times New Roman" w:cs="Times New Roman"/>
          <w:sz w:val="24"/>
          <w:szCs w:val="24"/>
        </w:rPr>
        <w:t xml:space="preserve">) </w:t>
      </w:r>
      <w:r w:rsidR="00CC0C49" w:rsidRPr="00CC0C49">
        <w:rPr>
          <w:rFonts w:ascii="Times New Roman" w:hAnsi="Times New Roman" w:cs="Times New Roman"/>
          <w:sz w:val="24"/>
          <w:szCs w:val="24"/>
        </w:rPr>
        <w:t>across the four liquidity measurements.</w:t>
      </w:r>
    </w:p>
    <w:p w14:paraId="525E95F8" w14:textId="77777777" w:rsidR="001B36DE" w:rsidRPr="00B44D0D" w:rsidRDefault="001B36DE" w:rsidP="00454904">
      <w:pPr>
        <w:rPr>
          <w:rFonts w:ascii="Times New Roman" w:hAnsi="Times New Roman" w:cs="Times New Roman"/>
          <w:sz w:val="24"/>
          <w:szCs w:val="24"/>
        </w:rPr>
      </w:pPr>
    </w:p>
    <w:p w14:paraId="28A75A62" w14:textId="1040A759" w:rsidR="001B36DE" w:rsidRPr="00CB4C18" w:rsidRDefault="006C6F9C" w:rsidP="007E47B7">
      <w:pPr>
        <w:pStyle w:val="Heading1"/>
      </w:pPr>
      <w:bookmarkStart w:id="19" w:name="_Toc90499928"/>
      <w:r>
        <w:lastRenderedPageBreak/>
        <w:t>1.2</w:t>
      </w:r>
      <w:r w:rsidR="007E47B7">
        <w:t xml:space="preserve"> </w:t>
      </w:r>
      <w:r w:rsidR="001B36DE" w:rsidRPr="00CB4C18">
        <w:t>Literature Review</w:t>
      </w:r>
      <w:bookmarkEnd w:id="19"/>
      <w:r w:rsidR="001B36DE" w:rsidRPr="00CB4C18">
        <w:t xml:space="preserve"> </w:t>
      </w:r>
    </w:p>
    <w:p w14:paraId="37433C57" w14:textId="2A33AF00" w:rsidR="00AE0D3A" w:rsidRPr="00CC0C49" w:rsidRDefault="006C0F17" w:rsidP="007E47B7">
      <w:pPr>
        <w:pStyle w:val="Heading2"/>
      </w:pPr>
      <w:bookmarkStart w:id="20" w:name="_Toc90499929"/>
      <w:r>
        <w:t>1.2.1</w:t>
      </w:r>
      <w:r w:rsidR="00E62031">
        <w:t xml:space="preserve"> </w:t>
      </w:r>
      <w:r w:rsidR="001B3418" w:rsidRPr="00CC0C49">
        <w:t>The Recent Financial Crisis</w:t>
      </w:r>
      <w:bookmarkEnd w:id="20"/>
      <w:r w:rsidR="001B3418" w:rsidRPr="00CC0C49">
        <w:t xml:space="preserve"> </w:t>
      </w:r>
    </w:p>
    <w:p w14:paraId="296EAE2C" w14:textId="37085F11"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“The panic in 2007 was not observed by anyone other than those trading or otherwise involved in the capital markets because the repo market does not involve regular people, but firms and institutional investors.” (Gorton, 2010)</w:t>
      </w:r>
      <w:r w:rsidR="00D94FFE">
        <w:rPr>
          <w:rFonts w:ascii="Times New Roman" w:hAnsi="Times New Roman" w:cs="Times New Roman"/>
          <w:sz w:val="24"/>
          <w:szCs w:val="24"/>
        </w:rPr>
        <w:t>.</w:t>
      </w:r>
      <w:r w:rsidRPr="00B44D0D">
        <w:rPr>
          <w:rFonts w:ascii="Times New Roman" w:hAnsi="Times New Roman" w:cs="Times New Roman"/>
          <w:sz w:val="24"/>
          <w:szCs w:val="24"/>
        </w:rPr>
        <w:t xml:space="preserve"> </w:t>
      </w:r>
    </w:p>
    <w:p w14:paraId="161C9C4A" w14:textId="2B9C5FE7"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Gorton (2009 and 2010),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and Bernanke’s speech in 2009 suggests agreement that in the crises of the last century, banks were insolvent, that is, the depositor demand for withdrawing was not able to be </w:t>
      </w:r>
      <w:r w:rsidR="00E24698" w:rsidRPr="00B44D0D">
        <w:rPr>
          <w:rFonts w:ascii="Times New Roman" w:hAnsi="Times New Roman" w:cs="Times New Roman"/>
          <w:sz w:val="24"/>
          <w:szCs w:val="24"/>
        </w:rPr>
        <w:t>honoured</w:t>
      </w:r>
      <w:r w:rsidRPr="00B44D0D">
        <w:rPr>
          <w:rFonts w:ascii="Times New Roman" w:hAnsi="Times New Roman" w:cs="Times New Roman"/>
          <w:sz w:val="24"/>
          <w:szCs w:val="24"/>
        </w:rPr>
        <w:t xml:space="preserve"> by them. </w:t>
      </w:r>
      <w:r w:rsidR="00AE0D3A" w:rsidRPr="00B44D0D">
        <w:rPr>
          <w:rFonts w:ascii="Times New Roman" w:hAnsi="Times New Roman" w:cs="Times New Roman"/>
          <w:sz w:val="24"/>
          <w:szCs w:val="24"/>
        </w:rPr>
        <w:t>However,</w:t>
      </w:r>
      <w:r w:rsidRPr="00B44D0D">
        <w:rPr>
          <w:rFonts w:ascii="Times New Roman" w:hAnsi="Times New Roman" w:cs="Times New Roman"/>
          <w:sz w:val="24"/>
          <w:szCs w:val="24"/>
        </w:rPr>
        <w:t xml:space="preserve"> in the recent crisis, the withdrawals did not happen on banks (deposits) but in the repo market (repurchase agreements</w:t>
      </w:r>
      <w:r w:rsidR="006352FF" w:rsidRPr="00B44D0D">
        <w:rPr>
          <w:rStyle w:val="FootnoteReference"/>
          <w:rFonts w:ascii="Times New Roman" w:hAnsi="Times New Roman" w:cs="Times New Roman"/>
          <w:sz w:val="24"/>
          <w:szCs w:val="24"/>
        </w:rPr>
        <w:footnoteReference w:id="1"/>
      </w:r>
      <w:r w:rsidRPr="00B44D0D">
        <w:rPr>
          <w:rFonts w:ascii="Times New Roman" w:hAnsi="Times New Roman" w:cs="Times New Roman"/>
          <w:sz w:val="24"/>
          <w:szCs w:val="24"/>
        </w:rPr>
        <w:t xml:space="preserve"> by increasing repo haircuts and decreasing the repo lending on many forms of collateral). This time, the run did not occur in the traditional banking system, it took place in the securitized banking system.</w:t>
      </w:r>
      <w:r w:rsidR="00AE0D3A" w:rsidRPr="00B44D0D">
        <w:rPr>
          <w:rStyle w:val="FootnoteReference"/>
          <w:rFonts w:ascii="Times New Roman" w:hAnsi="Times New Roman" w:cs="Times New Roman"/>
          <w:sz w:val="24"/>
          <w:szCs w:val="24"/>
        </w:rPr>
        <w:footnoteReference w:id="2"/>
      </w:r>
    </w:p>
    <w:p w14:paraId="62A46F3D" w14:textId="7B7F0F71"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At the beginning of the recent financial crisis, the thought that the U.S. subprime mortgages triggered the crisis was widespread, because of the lack of understanding of the magnitude and architecture of the whole banking system crisis (regulated and unregulated</w:t>
      </w:r>
      <w:r w:rsidR="00AE0D3A" w:rsidRPr="00B44D0D">
        <w:rPr>
          <w:rFonts w:ascii="Times New Roman" w:hAnsi="Times New Roman" w:cs="Times New Roman"/>
          <w:sz w:val="24"/>
          <w:szCs w:val="24"/>
        </w:rPr>
        <w:t xml:space="preserve"> </w:t>
      </w:r>
      <w:r w:rsidRPr="00B44D0D">
        <w:rPr>
          <w:rFonts w:ascii="Times New Roman" w:hAnsi="Times New Roman" w:cs="Times New Roman"/>
          <w:sz w:val="24"/>
          <w:szCs w:val="24"/>
        </w:rPr>
        <w:t xml:space="preserve">side or traditional and shadow). And effectively, the subprime mortgages were related to the crisis, but they were not the core cause, thus can be </w:t>
      </w:r>
      <w:r w:rsidR="00F12273" w:rsidRPr="00B44D0D">
        <w:rPr>
          <w:rFonts w:ascii="Times New Roman" w:hAnsi="Times New Roman" w:cs="Times New Roman"/>
          <w:sz w:val="24"/>
          <w:szCs w:val="24"/>
        </w:rPr>
        <w:t>analysed</w:t>
      </w:r>
      <w:r w:rsidRPr="00B44D0D">
        <w:rPr>
          <w:rFonts w:ascii="Times New Roman" w:hAnsi="Times New Roman" w:cs="Times New Roman"/>
          <w:sz w:val="24"/>
          <w:szCs w:val="24"/>
        </w:rPr>
        <w:t xml:space="preserve"> by the ABX. HE </w:t>
      </w:r>
      <w:proofErr w:type="gramStart"/>
      <w:r w:rsidRPr="00B44D0D">
        <w:rPr>
          <w:rFonts w:ascii="Times New Roman" w:hAnsi="Times New Roman" w:cs="Times New Roman"/>
          <w:sz w:val="24"/>
          <w:szCs w:val="24"/>
        </w:rPr>
        <w:t>index</w:t>
      </w:r>
      <w:proofErr w:type="gramEnd"/>
      <w:r w:rsidR="006352FF" w:rsidRPr="00B44D0D">
        <w:rPr>
          <w:rStyle w:val="FootnoteReference"/>
          <w:rFonts w:ascii="Times New Roman" w:hAnsi="Times New Roman" w:cs="Times New Roman"/>
          <w:sz w:val="24"/>
          <w:szCs w:val="24"/>
        </w:rPr>
        <w:footnoteReference w:id="3"/>
      </w:r>
      <w:r w:rsidRPr="00B44D0D">
        <w:rPr>
          <w:rFonts w:ascii="Times New Roman" w:hAnsi="Times New Roman" w:cs="Times New Roman"/>
          <w:sz w:val="24"/>
          <w:szCs w:val="24"/>
        </w:rPr>
        <w:t xml:space="preserve">, created in early 2007.  Also,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(2009) present that in the years 2001-2006, about $2.5 trillion in subprime mortgages were originated, from which $1.2 trillion were originated in 2005-2006 mostly by the refinancing of previous mortgages. </w:t>
      </w:r>
    </w:p>
    <w:p w14:paraId="594C6561" w14:textId="77777777"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another of Gorton’s work (2010) an important point is discussed, why (if the subprime was not the core) did the prices of bonds, completely unrelated with them, fell dramatically? Because different asset classes were packaged in tranches of bonds, which were backed by </w:t>
      </w:r>
      <w:r w:rsidRPr="00B44D0D">
        <w:rPr>
          <w:rFonts w:ascii="Times New Roman" w:hAnsi="Times New Roman" w:cs="Times New Roman"/>
          <w:sz w:val="24"/>
          <w:szCs w:val="24"/>
        </w:rPr>
        <w:lastRenderedPageBreak/>
        <w:t xml:space="preserve">subprime, student loans, credit card receivables and auto loans. Subprime securitization was not the main core of the crisis, neither large enough to have caused the losses in August 2007. </w:t>
      </w:r>
    </w:p>
    <w:p w14:paraId="62DA1B7E" w14:textId="6284ED53"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securitization of the loans was a good idea to reduce volatility of the financial </w:t>
      </w:r>
      <w:r w:rsidR="007E47B7" w:rsidRPr="00B44D0D">
        <w:rPr>
          <w:rFonts w:ascii="Times New Roman" w:hAnsi="Times New Roman" w:cs="Times New Roman"/>
          <w:sz w:val="24"/>
          <w:szCs w:val="24"/>
        </w:rPr>
        <w:t>system, besides</w:t>
      </w:r>
      <w:r w:rsidRPr="00B44D0D">
        <w:rPr>
          <w:rFonts w:ascii="Times New Roman" w:hAnsi="Times New Roman" w:cs="Times New Roman"/>
          <w:sz w:val="24"/>
          <w:szCs w:val="24"/>
        </w:rPr>
        <w:t xml:space="preserve"> lowering the cost of credit and improving its availability.  </w:t>
      </w:r>
      <w:proofErr w:type="spellStart"/>
      <w:r w:rsidRPr="00B44D0D">
        <w:rPr>
          <w:rFonts w:ascii="Times New Roman" w:hAnsi="Times New Roman" w:cs="Times New Roman"/>
          <w:sz w:val="24"/>
          <w:szCs w:val="24"/>
        </w:rPr>
        <w:t>Pozsar</w:t>
      </w:r>
      <w:proofErr w:type="spellEnd"/>
      <w:r w:rsidRPr="00B44D0D">
        <w:rPr>
          <w:rFonts w:ascii="Times New Roman" w:hAnsi="Times New Roman" w:cs="Times New Roman"/>
          <w:sz w:val="24"/>
          <w:szCs w:val="24"/>
        </w:rPr>
        <w:t xml:space="preserve"> et al. (2010) list some important and positive aspects of the securitization: </w:t>
      </w:r>
    </w:p>
    <w:p w14:paraId="645DA822" w14:textId="68FE4125"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“First”, securitization involving real credit risk transfer is an important way for an issuer to limit concentrations to certain borrowers, loan types and geographies on its balance sheet. “Second”, term asset-backed securitization (ABS) markets are valuable not only as a means for a lender to diversify its sources of funding, but also to raise long-term, maturity-matched funding to better manage its asset-liability mismatch than it could by funding term loans with short-term deposits. “Third”, securitization permits lenders to realize economies of scale from their loan origination platforms, branches, call </w:t>
      </w:r>
      <w:r w:rsidR="00F12273" w:rsidRPr="00B44D0D">
        <w:rPr>
          <w:rFonts w:ascii="Times New Roman" w:hAnsi="Times New Roman" w:cs="Times New Roman"/>
          <w:sz w:val="24"/>
          <w:szCs w:val="24"/>
        </w:rPr>
        <w:t>centres</w:t>
      </w:r>
      <w:r w:rsidRPr="00B44D0D">
        <w:rPr>
          <w:rFonts w:ascii="Times New Roman" w:hAnsi="Times New Roman" w:cs="Times New Roman"/>
          <w:sz w:val="24"/>
          <w:szCs w:val="24"/>
        </w:rPr>
        <w:t xml:space="preserve"> and servicing operations that are not possible when required to retain loans on-balance sheet. “Fourth”, securitization is a potentially promising way to involve the market in the supervision of banks, by providing </w:t>
      </w:r>
      <w:r w:rsidR="00F12273" w:rsidRPr="00B44D0D">
        <w:rPr>
          <w:rFonts w:ascii="Times New Roman" w:hAnsi="Times New Roman" w:cs="Times New Roman"/>
          <w:sz w:val="24"/>
          <w:szCs w:val="24"/>
        </w:rPr>
        <w:t>third-party</w:t>
      </w:r>
      <w:r w:rsidRPr="00B44D0D">
        <w:rPr>
          <w:rFonts w:ascii="Times New Roman" w:hAnsi="Times New Roman" w:cs="Times New Roman"/>
          <w:sz w:val="24"/>
          <w:szCs w:val="24"/>
        </w:rPr>
        <w:t xml:space="preserve"> discipline and market pricing of assets that would be opaque if left on the banks’ balance sheets. </w:t>
      </w:r>
    </w:p>
    <w:p w14:paraId="780807C0" w14:textId="77777777"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However, as the appetite and risk were together seeking for more returns, the idea became, on one side a way to reduce the risk by diversifying geographically, by type and </w:t>
      </w:r>
      <w:r w:rsidR="00AE0D3A" w:rsidRPr="00B44D0D">
        <w:rPr>
          <w:rFonts w:ascii="Times New Roman" w:hAnsi="Times New Roman" w:cs="Times New Roman"/>
          <w:sz w:val="24"/>
          <w:szCs w:val="24"/>
        </w:rPr>
        <w:t xml:space="preserve">tranches, and on the other side, an easy way to reach high returns without </w:t>
      </w:r>
      <w:proofErr w:type="gramStart"/>
      <w:r w:rsidR="00AE0D3A" w:rsidRPr="00B44D0D">
        <w:rPr>
          <w:rFonts w:ascii="Times New Roman" w:hAnsi="Times New Roman" w:cs="Times New Roman"/>
          <w:sz w:val="24"/>
          <w:szCs w:val="24"/>
        </w:rPr>
        <w:t>taking into account</w:t>
      </w:r>
      <w:proofErr w:type="gramEnd"/>
      <w:r w:rsidR="00AE0D3A" w:rsidRPr="00B44D0D">
        <w:rPr>
          <w:rFonts w:ascii="Times New Roman" w:hAnsi="Times New Roman" w:cs="Times New Roman"/>
          <w:sz w:val="24"/>
          <w:szCs w:val="24"/>
        </w:rPr>
        <w:t xml:space="preserve"> the consequences or a short-termism view. </w:t>
      </w:r>
    </w:p>
    <w:p w14:paraId="671E4410" w14:textId="1435B035"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hook of the securitization was its potential of generating an unlimited </w:t>
      </w:r>
      <w:r w:rsidR="00061E35" w:rsidRPr="00B44D0D">
        <w:rPr>
          <w:rFonts w:ascii="Times New Roman" w:hAnsi="Times New Roman" w:cs="Times New Roman"/>
          <w:sz w:val="24"/>
          <w:szCs w:val="24"/>
        </w:rPr>
        <w:t>number</w:t>
      </w:r>
      <w:r w:rsidRPr="00B44D0D">
        <w:rPr>
          <w:rFonts w:ascii="Times New Roman" w:hAnsi="Times New Roman" w:cs="Times New Roman"/>
          <w:sz w:val="24"/>
          <w:szCs w:val="24"/>
        </w:rPr>
        <w:t xml:space="preserve"> of marketable securities out of risky loans, which can be posted (and re-posted) as collateral for short-term funding. In a compact way, </w:t>
      </w:r>
      <w:proofErr w:type="spellStart"/>
      <w:r w:rsidRPr="00B44D0D">
        <w:rPr>
          <w:rFonts w:ascii="Times New Roman" w:hAnsi="Times New Roman" w:cs="Times New Roman"/>
          <w:sz w:val="24"/>
          <w:szCs w:val="24"/>
        </w:rPr>
        <w:t>Pacces</w:t>
      </w:r>
      <w:proofErr w:type="spellEnd"/>
      <w:r w:rsidRPr="00B44D0D">
        <w:rPr>
          <w:rFonts w:ascii="Times New Roman" w:hAnsi="Times New Roman" w:cs="Times New Roman"/>
          <w:sz w:val="24"/>
          <w:szCs w:val="24"/>
        </w:rPr>
        <w:t xml:space="preserve"> (2010) concludes that it was a manner to take advantage of the spread between long-term and short-term funds. </w:t>
      </w:r>
    </w:p>
    <w:p w14:paraId="0F2608A2" w14:textId="76BAA010" w:rsidR="001B3418" w:rsidRPr="00B44D0D" w:rsidRDefault="001B3418" w:rsidP="007E47B7">
      <w:pPr>
        <w:spacing w:line="360" w:lineRule="auto"/>
        <w:jc w:val="both"/>
        <w:rPr>
          <w:rFonts w:ascii="Times New Roman" w:hAnsi="Times New Roman" w:cs="Times New Roman"/>
          <w:sz w:val="24"/>
          <w:szCs w:val="24"/>
        </w:rPr>
      </w:pPr>
      <w:proofErr w:type="spellStart"/>
      <w:r w:rsidRPr="00B44D0D">
        <w:rPr>
          <w:rFonts w:ascii="Times New Roman" w:hAnsi="Times New Roman" w:cs="Times New Roman"/>
          <w:sz w:val="24"/>
          <w:szCs w:val="24"/>
        </w:rPr>
        <w:t>Nersisyan</w:t>
      </w:r>
      <w:proofErr w:type="spellEnd"/>
      <w:r w:rsidRPr="00B44D0D">
        <w:rPr>
          <w:rFonts w:ascii="Times New Roman" w:hAnsi="Times New Roman" w:cs="Times New Roman"/>
          <w:sz w:val="24"/>
          <w:szCs w:val="24"/>
        </w:rPr>
        <w:t xml:space="preserve"> &amp; Wray (2010) express the deterioration of loan quality due to the divorce between risk and responsibility, which is related to the evolution of the financial system that attracts institutions thirsty of high levered profits at any cost.  Regarding this, Bengtsson (2011) confirms that the deterioration in the credit quality of ABS had been limited to collateralized debt obligations (CDOs)</w:t>
      </w:r>
      <w:r w:rsidR="006352FF" w:rsidRPr="00B44D0D">
        <w:rPr>
          <w:rStyle w:val="FootnoteReference"/>
          <w:rFonts w:ascii="Times New Roman" w:hAnsi="Times New Roman" w:cs="Times New Roman"/>
          <w:sz w:val="24"/>
          <w:szCs w:val="24"/>
        </w:rPr>
        <w:footnoteReference w:id="4"/>
      </w:r>
      <w:r w:rsidRPr="00B44D0D">
        <w:rPr>
          <w:rFonts w:ascii="Times New Roman" w:hAnsi="Times New Roman" w:cs="Times New Roman"/>
          <w:sz w:val="24"/>
          <w:szCs w:val="24"/>
        </w:rPr>
        <w:t xml:space="preserve"> of ABSs. Very few ABS tranches had been downgraded, and the </w:t>
      </w:r>
      <w:r w:rsidRPr="00B44D0D">
        <w:rPr>
          <w:rFonts w:ascii="Times New Roman" w:hAnsi="Times New Roman" w:cs="Times New Roman"/>
          <w:sz w:val="24"/>
          <w:szCs w:val="24"/>
        </w:rPr>
        <w:lastRenderedPageBreak/>
        <w:t xml:space="preserve">rating agencies had been silent on the increasing losses </w:t>
      </w:r>
      <w:r w:rsidR="00F12273" w:rsidRPr="00B44D0D">
        <w:rPr>
          <w:rFonts w:ascii="Times New Roman" w:hAnsi="Times New Roman" w:cs="Times New Roman"/>
          <w:sz w:val="24"/>
          <w:szCs w:val="24"/>
        </w:rPr>
        <w:t>with the</w:t>
      </w:r>
      <w:r w:rsidRPr="00B44D0D">
        <w:rPr>
          <w:rFonts w:ascii="Times New Roman" w:hAnsi="Times New Roman" w:cs="Times New Roman"/>
          <w:sz w:val="24"/>
          <w:szCs w:val="24"/>
        </w:rPr>
        <w:t xml:space="preserve"> 2006 vintages. But that all changed in July 2007, when the market for more senior tranches ABSs declined sharply. In July, the index for the first vintage of 2007 fell by around 10% for AAA rated and 26% for BBB-. </w:t>
      </w:r>
    </w:p>
    <w:p w14:paraId="4125FB21" w14:textId="77777777"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If there was a divorce between risk and responsibility, what allowed the growth of the securitization banking system? It was this time different? (Reinhart &amp; Rogoff, 2009)</w:t>
      </w:r>
      <w:r w:rsidR="006352FF" w:rsidRPr="00B44D0D">
        <w:rPr>
          <w:rStyle w:val="FootnoteReference"/>
          <w:rFonts w:ascii="Times New Roman" w:hAnsi="Times New Roman" w:cs="Times New Roman"/>
          <w:sz w:val="24"/>
          <w:szCs w:val="24"/>
        </w:rPr>
        <w:footnoteReference w:id="5"/>
      </w:r>
      <w:r w:rsidRPr="00B44D0D">
        <w:rPr>
          <w:rFonts w:ascii="Times New Roman" w:hAnsi="Times New Roman" w:cs="Times New Roman"/>
          <w:sz w:val="24"/>
          <w:szCs w:val="24"/>
        </w:rPr>
        <w:t xml:space="preserve"> Could the agents have recognized the quality of the securitization debt? Gorton (2009) describes the features that gave the notion about the potential immunity of the securitization debt from adverse selection: </w:t>
      </w:r>
    </w:p>
    <w:p w14:paraId="691FF761" w14:textId="45567784"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Several features make securitization debt potentially immune from adverse selection. First, most of the debt is senior and investment-grade. Second, with securitization, the debt is backed by portfolios. …Third, a by-product of many structured products is that they are complex. Complexity raises the cost of producing private information. Finally, securitization does not involve traded equity; this is important because there is no information leakage or externalities</w:t>
      </w:r>
      <w:r w:rsidR="006352FF" w:rsidRPr="00B44D0D">
        <w:rPr>
          <w:rFonts w:ascii="Times New Roman" w:hAnsi="Times New Roman" w:cs="Times New Roman"/>
          <w:sz w:val="24"/>
          <w:szCs w:val="24"/>
        </w:rPr>
        <w:t xml:space="preserve"> </w:t>
      </w:r>
      <w:r w:rsidRPr="00B44D0D">
        <w:rPr>
          <w:rFonts w:ascii="Times New Roman" w:hAnsi="Times New Roman" w:cs="Times New Roman"/>
          <w:sz w:val="24"/>
          <w:szCs w:val="24"/>
        </w:rPr>
        <w:t xml:space="preserve">from the equity market, as with corporate bonds. … The most senior tranches of securitization transactions have never experienced defaults. </w:t>
      </w:r>
    </w:p>
    <w:p w14:paraId="0A622EA4" w14:textId="77777777"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On the other hand, </w:t>
      </w:r>
      <w:proofErr w:type="spellStart"/>
      <w:r w:rsidRPr="00B44D0D">
        <w:rPr>
          <w:rFonts w:ascii="Times New Roman" w:hAnsi="Times New Roman" w:cs="Times New Roman"/>
          <w:sz w:val="24"/>
          <w:szCs w:val="24"/>
        </w:rPr>
        <w:t>Pacces</w:t>
      </w:r>
      <w:proofErr w:type="spellEnd"/>
      <w:r w:rsidRPr="00B44D0D">
        <w:rPr>
          <w:rFonts w:ascii="Times New Roman" w:hAnsi="Times New Roman" w:cs="Times New Roman"/>
          <w:sz w:val="24"/>
          <w:szCs w:val="24"/>
        </w:rPr>
        <w:t xml:space="preserve"> (2010) explains that the problem with the securitization is to tend to support low-quality loans, and not only poor mortgages. There was an originate-to</w:t>
      </w:r>
      <w:r w:rsidR="00F06FDF">
        <w:rPr>
          <w:rFonts w:ascii="Times New Roman" w:hAnsi="Times New Roman" w:cs="Times New Roman"/>
          <w:sz w:val="24"/>
          <w:szCs w:val="24"/>
        </w:rPr>
        <w:t xml:space="preserve"> </w:t>
      </w:r>
      <w:r w:rsidRPr="00B44D0D">
        <w:rPr>
          <w:rFonts w:ascii="Times New Roman" w:hAnsi="Times New Roman" w:cs="Times New Roman"/>
          <w:sz w:val="24"/>
          <w:szCs w:val="24"/>
        </w:rPr>
        <w:t>distribute model.</w:t>
      </w:r>
      <w:r w:rsidR="00931EC4">
        <w:rPr>
          <w:rStyle w:val="FootnoteReference"/>
          <w:rFonts w:ascii="Times New Roman" w:hAnsi="Times New Roman" w:cs="Times New Roman"/>
          <w:sz w:val="24"/>
          <w:szCs w:val="24"/>
        </w:rPr>
        <w:footnoteReference w:id="6"/>
      </w:r>
    </w:p>
    <w:p w14:paraId="73A3FA5B" w14:textId="75EFBAF0"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According to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w:t>
      </w:r>
      <w:r w:rsidR="00CA7AAA">
        <w:rPr>
          <w:rFonts w:ascii="Times New Roman" w:hAnsi="Times New Roman" w:cs="Times New Roman"/>
          <w:sz w:val="24"/>
          <w:szCs w:val="24"/>
        </w:rPr>
        <w:t xml:space="preserve"> </w:t>
      </w:r>
      <w:r w:rsidR="00CA7AAA" w:rsidRPr="00CA7AAA">
        <w:rPr>
          <w:rFonts w:ascii="Times New Roman" w:hAnsi="Times New Roman" w:cs="Times New Roman"/>
          <w:sz w:val="24"/>
          <w:szCs w:val="24"/>
        </w:rPr>
        <w:t xml:space="preserve">and </w:t>
      </w:r>
      <w:proofErr w:type="spellStart"/>
      <w:r w:rsidR="00CA7AAA" w:rsidRPr="00CA7AAA">
        <w:rPr>
          <w:rFonts w:ascii="Times New Roman" w:hAnsi="Times New Roman" w:cs="Times New Roman"/>
          <w:color w:val="000000"/>
          <w:sz w:val="24"/>
          <w:szCs w:val="24"/>
          <w:shd w:val="clear" w:color="auto" w:fill="FFFFFF"/>
        </w:rPr>
        <w:t>Taskinsoy</w:t>
      </w:r>
      <w:proofErr w:type="spellEnd"/>
      <w:r w:rsidR="00CA7AAA" w:rsidRPr="00CA7AAA">
        <w:rPr>
          <w:rFonts w:ascii="Times New Roman" w:hAnsi="Times New Roman" w:cs="Times New Roman"/>
          <w:color w:val="000000"/>
          <w:sz w:val="24"/>
          <w:szCs w:val="24"/>
          <w:shd w:val="clear" w:color="auto" w:fill="FFFFFF"/>
        </w:rPr>
        <w:t xml:space="preserve"> (2020)</w:t>
      </w:r>
      <w:r w:rsidRPr="00CA7AAA">
        <w:rPr>
          <w:rFonts w:ascii="Times New Roman" w:hAnsi="Times New Roman" w:cs="Times New Roman"/>
          <w:sz w:val="24"/>
          <w:szCs w:val="24"/>
        </w:rPr>
        <w:t>,</w:t>
      </w:r>
      <w:r w:rsidRPr="00B44D0D">
        <w:rPr>
          <w:rFonts w:ascii="Times New Roman" w:hAnsi="Times New Roman" w:cs="Times New Roman"/>
          <w:sz w:val="24"/>
          <w:szCs w:val="24"/>
        </w:rPr>
        <w:t xml:space="preserve"> about 80 percent of the subprime mortgages were financed via securitization.  They explain this fact: </w:t>
      </w:r>
    </w:p>
    <w:p w14:paraId="74C85869" w14:textId="3F35909B" w:rsidR="001B3418" w:rsidRPr="00B44D0D" w:rsidRDefault="001B3418" w:rsidP="007E47B7">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Mortgages were sold in residential mortgage-backed securities (RMBS), which involves pooling thousands of mortgages together, selling the pool to a special purpose vehicle (SPV) which finances their purchase by issuing investment-grade securities (i.e., bonds with ratings in the categories of AAA, AA, A, BBB) with different seniority (called “tranches”) in the capital markets. Securitization does not involve public issuance of equity in the SPV. </w:t>
      </w:r>
    </w:p>
    <w:p w14:paraId="64BA8847" w14:textId="11736502" w:rsidR="002E143B" w:rsidRDefault="001B3418" w:rsidP="002E143B">
      <w:pPr>
        <w:keepNext/>
        <w:jc w:val="both"/>
      </w:pPr>
      <w:r w:rsidRPr="00B44D0D">
        <w:rPr>
          <w:rFonts w:ascii="Times New Roman" w:hAnsi="Times New Roman" w:cs="Times New Roman"/>
          <w:sz w:val="24"/>
          <w:szCs w:val="24"/>
        </w:rPr>
        <w:lastRenderedPageBreak/>
        <w:t xml:space="preserve"> </w:t>
      </w:r>
      <w:r w:rsidR="00D94FFE">
        <w:rPr>
          <w:noProof/>
        </w:rPr>
        <w:drawing>
          <wp:inline distT="0" distB="0" distL="0" distR="0" wp14:anchorId="2F1E2E8C" wp14:editId="0DE843BC">
            <wp:extent cx="5730875" cy="43053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0">
                      <a:extLst>
                        <a:ext uri="{28A0092B-C50C-407E-A947-70E740481C1C}">
                          <a14:useLocalDpi xmlns:a14="http://schemas.microsoft.com/office/drawing/2010/main" val="0"/>
                        </a:ext>
                      </a:extLst>
                    </a:blip>
                    <a:srcRect b="2893"/>
                    <a:stretch/>
                  </pic:blipFill>
                  <pic:spPr bwMode="auto">
                    <a:xfrm>
                      <a:off x="0" y="0"/>
                      <a:ext cx="5731515" cy="4305781"/>
                    </a:xfrm>
                    <a:prstGeom prst="rect">
                      <a:avLst/>
                    </a:prstGeom>
                    <a:noFill/>
                    <a:ln>
                      <a:noFill/>
                    </a:ln>
                    <a:extLst>
                      <a:ext uri="{53640926-AAD7-44D8-BBD7-CCE9431645EC}">
                        <a14:shadowObscured xmlns:a14="http://schemas.microsoft.com/office/drawing/2010/main"/>
                      </a:ext>
                    </a:extLst>
                  </pic:spPr>
                </pic:pic>
              </a:graphicData>
            </a:graphic>
          </wp:inline>
        </w:drawing>
      </w:r>
    </w:p>
    <w:p w14:paraId="37167CFB" w14:textId="690A70DB" w:rsidR="002E143B" w:rsidRPr="002E143B" w:rsidRDefault="002E143B" w:rsidP="002E143B">
      <w:pPr>
        <w:pStyle w:val="Caption"/>
        <w:jc w:val="center"/>
        <w:rPr>
          <w:rFonts w:ascii="Times New Roman" w:hAnsi="Times New Roman" w:cs="Times New Roman"/>
          <w:color w:val="auto"/>
          <w:sz w:val="24"/>
          <w:szCs w:val="24"/>
        </w:rPr>
      </w:pPr>
      <w:bookmarkStart w:id="21" w:name="_Toc78498666"/>
      <w:r w:rsidRPr="002E143B">
        <w:rPr>
          <w:rFonts w:ascii="Times New Roman" w:hAnsi="Times New Roman" w:cs="Times New Roman"/>
          <w:color w:val="auto"/>
          <w:sz w:val="24"/>
          <w:szCs w:val="24"/>
        </w:rPr>
        <w:t xml:space="preserve">Figure </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AF7FD4">
        <w:rPr>
          <w:rFonts w:ascii="Times New Roman" w:hAnsi="Times New Roman" w:cs="Times New Roman"/>
          <w:color w:val="auto"/>
          <w:sz w:val="24"/>
          <w:szCs w:val="24"/>
        </w:rPr>
        <w:fldChar w:fldCharType="end"/>
      </w:r>
      <w:r w:rsidR="00D238B8">
        <w:rPr>
          <w:rFonts w:ascii="Times New Roman" w:hAnsi="Times New Roman" w:cs="Times New Roman"/>
          <w:color w:val="auto"/>
          <w:sz w:val="24"/>
          <w:szCs w:val="24"/>
        </w:rPr>
        <w:t>.2</w:t>
      </w:r>
      <w:r w:rsidR="008128CD">
        <w:rPr>
          <w:rFonts w:ascii="Times New Roman" w:hAnsi="Times New Roman" w:cs="Times New Roman"/>
          <w:color w:val="auto"/>
          <w:sz w:val="24"/>
          <w:szCs w:val="24"/>
        </w:rPr>
        <w:t>.</w:t>
      </w:r>
      <w:r w:rsidR="00D238B8">
        <w:rPr>
          <w:rFonts w:ascii="Times New Roman" w:hAnsi="Times New Roman" w:cs="Times New Roman"/>
          <w:color w:val="auto"/>
          <w:sz w:val="24"/>
          <w:szCs w:val="24"/>
        </w:rPr>
        <w:t>1</w:t>
      </w:r>
      <w:r w:rsidRPr="002E143B">
        <w:rPr>
          <w:rFonts w:ascii="Times New Roman" w:hAnsi="Times New Roman" w:cs="Times New Roman"/>
          <w:color w:val="auto"/>
          <w:sz w:val="24"/>
          <w:szCs w:val="24"/>
        </w:rPr>
        <w:t xml:space="preserve"> Securitization Process</w:t>
      </w:r>
      <w:bookmarkEnd w:id="21"/>
    </w:p>
    <w:p w14:paraId="1C41214A" w14:textId="10060A66" w:rsidR="001B3418" w:rsidRPr="00B44D0D" w:rsidRDefault="001B3418" w:rsidP="0024332D">
      <w:pPr>
        <w:jc w:val="center"/>
        <w:rPr>
          <w:rFonts w:ascii="Times New Roman" w:hAnsi="Times New Roman" w:cs="Times New Roman"/>
          <w:sz w:val="24"/>
          <w:szCs w:val="24"/>
        </w:rPr>
      </w:pPr>
      <w:r w:rsidRPr="00B44D0D">
        <w:rPr>
          <w:rFonts w:ascii="Times New Roman" w:hAnsi="Times New Roman" w:cs="Times New Roman"/>
          <w:sz w:val="24"/>
          <w:szCs w:val="24"/>
        </w:rPr>
        <w:t xml:space="preserve">Source: </w:t>
      </w:r>
      <w:r w:rsidR="00CA7AAA" w:rsidRPr="00CA7AAA">
        <w:rPr>
          <w:rFonts w:ascii="Times New Roman" w:hAnsi="Times New Roman" w:cs="Times New Roman"/>
          <w:color w:val="000000"/>
          <w:sz w:val="24"/>
          <w:szCs w:val="24"/>
          <w:shd w:val="clear" w:color="auto" w:fill="FFFFFF"/>
        </w:rPr>
        <w:t>(</w:t>
      </w:r>
      <w:proofErr w:type="spellStart"/>
      <w:r w:rsidR="00CA7AAA" w:rsidRPr="00CA7AAA">
        <w:rPr>
          <w:rFonts w:ascii="Times New Roman" w:hAnsi="Times New Roman" w:cs="Times New Roman"/>
          <w:color w:val="000000"/>
          <w:sz w:val="24"/>
          <w:szCs w:val="24"/>
          <w:shd w:val="clear" w:color="auto" w:fill="FFFFFF"/>
        </w:rPr>
        <w:t>Taskinsoy</w:t>
      </w:r>
      <w:proofErr w:type="spellEnd"/>
      <w:r w:rsidR="00CA7AAA" w:rsidRPr="00CA7AAA">
        <w:rPr>
          <w:rFonts w:ascii="Times New Roman" w:hAnsi="Times New Roman" w:cs="Times New Roman"/>
          <w:color w:val="000000"/>
          <w:sz w:val="24"/>
          <w:szCs w:val="24"/>
          <w:shd w:val="clear" w:color="auto" w:fill="FFFFFF"/>
        </w:rPr>
        <w:t>, 2020)</w:t>
      </w:r>
    </w:p>
    <w:p w14:paraId="09A6CD22" w14:textId="46C11840"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other words, the process of securitization implies a combination of the higher-rated (AAA and AA) with lower-rated (BBB and BBB-), as the figure </w:t>
      </w:r>
      <w:r w:rsidR="008A1E55">
        <w:rPr>
          <w:rFonts w:ascii="Times New Roman" w:hAnsi="Times New Roman" w:cs="Times New Roman"/>
          <w:sz w:val="24"/>
          <w:szCs w:val="24"/>
        </w:rPr>
        <w:t>1.2</w:t>
      </w:r>
      <w:r w:rsidRPr="00B44D0D">
        <w:rPr>
          <w:rFonts w:ascii="Times New Roman" w:hAnsi="Times New Roman" w:cs="Times New Roman"/>
          <w:sz w:val="24"/>
          <w:szCs w:val="24"/>
        </w:rPr>
        <w:t xml:space="preserve">.1 shows. Nonetheless, there is not enough AAA debt to satisfy the strong demand and therefore the supply was manufactured. The complexity of this process overshadowed the securitization of different assets. </w:t>
      </w:r>
    </w:p>
    <w:p w14:paraId="5F183C22" w14:textId="77777777"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As mentioned above, the securitization products, neither the subprime related to, are not traded on the secondary markets, so the traded RMBSs and CDOs were not public, only in the shadow. </w:t>
      </w:r>
    </w:p>
    <w:p w14:paraId="3FC7D9B1" w14:textId="77777777"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Before beginning the description of the “shadow” part on the recent financial crisis, it will be explained, </w:t>
      </w:r>
      <w:r w:rsidR="00931EC4" w:rsidRPr="00B44D0D">
        <w:rPr>
          <w:rFonts w:ascii="Times New Roman" w:hAnsi="Times New Roman" w:cs="Times New Roman"/>
          <w:sz w:val="24"/>
          <w:szCs w:val="24"/>
        </w:rPr>
        <w:t>in a</w:t>
      </w:r>
      <w:r w:rsidRPr="00B44D0D">
        <w:rPr>
          <w:rFonts w:ascii="Times New Roman" w:hAnsi="Times New Roman" w:cs="Times New Roman"/>
          <w:sz w:val="24"/>
          <w:szCs w:val="24"/>
        </w:rPr>
        <w:t xml:space="preserve"> simple manner, some important points about the type of “run” occurred and the implication to the SBS. </w:t>
      </w:r>
    </w:p>
    <w:p w14:paraId="70F72002" w14:textId="6BA890F8" w:rsidR="001B3418" w:rsidRPr="00B44D0D" w:rsidRDefault="006C6F9C" w:rsidP="00DB497D">
      <w:pPr>
        <w:pStyle w:val="Heading2"/>
      </w:pPr>
      <w:bookmarkStart w:id="22" w:name="_Toc90499930"/>
      <w:r>
        <w:t>1.</w:t>
      </w:r>
      <w:r w:rsidR="00E62031">
        <w:t xml:space="preserve">2.2 </w:t>
      </w:r>
      <w:r w:rsidR="001B3418" w:rsidRPr="00B44D0D">
        <w:t>Tracking down the traces of the recent crisis: Empirical Data</w:t>
      </w:r>
      <w:bookmarkEnd w:id="22"/>
      <w:r w:rsidR="001B3418" w:rsidRPr="00B44D0D">
        <w:t xml:space="preserve">   </w:t>
      </w:r>
    </w:p>
    <w:p w14:paraId="5393DC38" w14:textId="3973744D"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the current crisis the bank run occurred in the repo market, which is a financial contract economically equivalent to a demand deposit. A demand deposit is a contract under which </w:t>
      </w:r>
      <w:r w:rsidRPr="00B44D0D">
        <w:rPr>
          <w:rFonts w:ascii="Times New Roman" w:hAnsi="Times New Roman" w:cs="Times New Roman"/>
          <w:sz w:val="24"/>
          <w:szCs w:val="24"/>
        </w:rPr>
        <w:lastRenderedPageBreak/>
        <w:t xml:space="preserve">money is placed in a bank, with the right to ask for cash to be returned on demand. In principle, there is no maturity. </w:t>
      </w:r>
      <w:r w:rsidR="00DB497D" w:rsidRPr="00B44D0D">
        <w:rPr>
          <w:rFonts w:ascii="Times New Roman" w:hAnsi="Times New Roman" w:cs="Times New Roman"/>
          <w:sz w:val="24"/>
          <w:szCs w:val="24"/>
        </w:rPr>
        <w:t>Depositor’s</w:t>
      </w:r>
      <w:r w:rsidRPr="00B44D0D">
        <w:rPr>
          <w:rFonts w:ascii="Times New Roman" w:hAnsi="Times New Roman" w:cs="Times New Roman"/>
          <w:sz w:val="24"/>
          <w:szCs w:val="24"/>
        </w:rPr>
        <w:t xml:space="preserve"> “roll” their deposits as long as they do not need the cash and as long as they view the bank as being solvent.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2009)</w:t>
      </w:r>
      <w:r w:rsidR="00CA7AAA">
        <w:rPr>
          <w:rFonts w:ascii="Times New Roman" w:hAnsi="Times New Roman" w:cs="Times New Roman"/>
          <w:sz w:val="24"/>
          <w:szCs w:val="24"/>
        </w:rPr>
        <w:t>.</w:t>
      </w:r>
      <w:r w:rsidRPr="00B44D0D">
        <w:rPr>
          <w:rFonts w:ascii="Times New Roman" w:hAnsi="Times New Roman" w:cs="Times New Roman"/>
          <w:sz w:val="24"/>
          <w:szCs w:val="24"/>
        </w:rPr>
        <w:t xml:space="preserve"> </w:t>
      </w:r>
    </w:p>
    <w:p w14:paraId="6A7434F8" w14:textId="50C56C22"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Theoretically, as it was explained above, this time, the “run” happened on the sale and repurchase market (repo market), and not on banks.  But how can be this proved, if a part of the securitization process, which is a vital part of the repo market, is located (issued) in a shadow infrastructure?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(2009) affirm that securitization, by definition, does not reside on-balance sheet until maturity, and there even it </w:t>
      </w:r>
      <w:r w:rsidR="00931EC4" w:rsidRPr="00B44D0D">
        <w:rPr>
          <w:rFonts w:ascii="Times New Roman" w:hAnsi="Times New Roman" w:cs="Times New Roman"/>
          <w:sz w:val="24"/>
          <w:szCs w:val="24"/>
        </w:rPr>
        <w:t>does</w:t>
      </w:r>
      <w:r w:rsidRPr="00B44D0D">
        <w:rPr>
          <w:rFonts w:ascii="Times New Roman" w:hAnsi="Times New Roman" w:cs="Times New Roman"/>
          <w:sz w:val="24"/>
          <w:szCs w:val="24"/>
        </w:rPr>
        <w:t xml:space="preserve"> not exist official statistics on the overall size of the repo market, how can it be proved that this time there was a </w:t>
      </w:r>
      <w:r w:rsidR="009A3D7B"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  </w:t>
      </w:r>
    </w:p>
    <w:p w14:paraId="07210C20" w14:textId="77777777" w:rsidR="001B3418"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order to answer those questions, empirical results and some features of the repo market are presented. </w:t>
      </w:r>
    </w:p>
    <w:p w14:paraId="19DAEF09" w14:textId="2133CF3B"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According to </w:t>
      </w:r>
      <w:proofErr w:type="spellStart"/>
      <w:r w:rsidRPr="00B44D0D">
        <w:rPr>
          <w:rFonts w:ascii="Times New Roman" w:hAnsi="Times New Roman" w:cs="Times New Roman"/>
          <w:sz w:val="24"/>
          <w:szCs w:val="24"/>
        </w:rPr>
        <w:t>Hördahl</w:t>
      </w:r>
      <w:proofErr w:type="spellEnd"/>
      <w:r w:rsidRPr="00B44D0D">
        <w:rPr>
          <w:rFonts w:ascii="Times New Roman" w:hAnsi="Times New Roman" w:cs="Times New Roman"/>
          <w:sz w:val="24"/>
          <w:szCs w:val="24"/>
        </w:rPr>
        <w:t>, P. &amp; King, R. M. (2008), the repo market was promoted by monetary authorities at different moments in time, in 1920s in the United States (U.S.), in 1970s in Europe, and in 1990s in the United Kingdom (U.K.). It was created as a monetary policy tool.  But at the same time, the repo market (like other financial markets) is subject to counterparty credit risk, market risk (price volatility) and operational risk.</w:t>
      </w:r>
      <w:r w:rsidR="00931EC4">
        <w:rPr>
          <w:rStyle w:val="FootnoteReference"/>
          <w:rFonts w:ascii="Times New Roman" w:hAnsi="Times New Roman" w:cs="Times New Roman"/>
          <w:sz w:val="24"/>
          <w:szCs w:val="24"/>
        </w:rPr>
        <w:footnoteReference w:id="7"/>
      </w:r>
    </w:p>
    <w:p w14:paraId="7F10E3B7" w14:textId="60DFA7F0"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During the last decades the repo market has grown significantly in size, but also in opacity. Some studies tried to measure the repo market, in spite of the lack of data and other problems (Krishnamurthy, Nagel &amp; </w:t>
      </w:r>
      <w:proofErr w:type="spellStart"/>
      <w:r w:rsidRPr="00B44D0D">
        <w:rPr>
          <w:rFonts w:ascii="Times New Roman" w:hAnsi="Times New Roman" w:cs="Times New Roman"/>
          <w:sz w:val="24"/>
          <w:szCs w:val="24"/>
        </w:rPr>
        <w:t>Orlov</w:t>
      </w:r>
      <w:proofErr w:type="spellEnd"/>
      <w:r w:rsidRPr="00B44D0D">
        <w:rPr>
          <w:rFonts w:ascii="Times New Roman" w:hAnsi="Times New Roman" w:cs="Times New Roman"/>
          <w:sz w:val="24"/>
          <w:szCs w:val="24"/>
        </w:rPr>
        <w:t xml:space="preserve"> (2011), Singh, M. &amp; Aitken, J. (2010) and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the overestimation due to the reverse repo or </w:t>
      </w:r>
      <w:r w:rsidR="00DB497D" w:rsidRPr="00B44D0D">
        <w:rPr>
          <w:rFonts w:ascii="Times New Roman" w:hAnsi="Times New Roman" w:cs="Times New Roman"/>
          <w:sz w:val="24"/>
          <w:szCs w:val="24"/>
        </w:rPr>
        <w:t>double counting</w:t>
      </w:r>
      <w:r w:rsidRPr="00B44D0D">
        <w:rPr>
          <w:rFonts w:ascii="Times New Roman" w:hAnsi="Times New Roman" w:cs="Times New Roman"/>
          <w:sz w:val="24"/>
          <w:szCs w:val="24"/>
        </w:rPr>
        <w:t xml:space="preserve"> of the dealer bank repo data, and the extensive re-hypothecation of collateral, which produce uninformative data about the net size of the repo market.  And consequently, the re-hypothecation (re-use) of </w:t>
      </w:r>
      <w:r w:rsidRPr="00B44D0D">
        <w:rPr>
          <w:rFonts w:ascii="Times New Roman" w:hAnsi="Times New Roman" w:cs="Times New Roman"/>
          <w:sz w:val="24"/>
          <w:szCs w:val="24"/>
        </w:rPr>
        <w:lastRenderedPageBreak/>
        <w:t xml:space="preserve">collateral has implications for measurement of financial and monetary aggregates and for the analysis of financial institutions’ balance sheets, so state </w:t>
      </w:r>
      <w:proofErr w:type="spellStart"/>
      <w:r w:rsidRPr="00B44D0D">
        <w:rPr>
          <w:rFonts w:ascii="Times New Roman" w:hAnsi="Times New Roman" w:cs="Times New Roman"/>
          <w:sz w:val="24"/>
          <w:szCs w:val="24"/>
        </w:rPr>
        <w:t>Pozsar</w:t>
      </w:r>
      <w:proofErr w:type="spellEnd"/>
      <w:r w:rsidRPr="00B44D0D">
        <w:rPr>
          <w:rFonts w:ascii="Times New Roman" w:hAnsi="Times New Roman" w:cs="Times New Roman"/>
          <w:sz w:val="24"/>
          <w:szCs w:val="24"/>
        </w:rPr>
        <w:t xml:space="preserve">, Z. &amp; Singh, M. (2011). </w:t>
      </w:r>
    </w:p>
    <w:p w14:paraId="45FCCD34" w14:textId="4278049E" w:rsidR="00931EC4"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Until this day, there is not official data about the size of repo, neither data of the participation in repo from nonfinancial firms.</w:t>
      </w:r>
      <w:r w:rsidR="00931EC4">
        <w:rPr>
          <w:rStyle w:val="FootnoteReference"/>
          <w:rFonts w:ascii="Times New Roman" w:hAnsi="Times New Roman" w:cs="Times New Roman"/>
          <w:sz w:val="24"/>
          <w:szCs w:val="24"/>
        </w:rPr>
        <w:footnoteReference w:id="8"/>
      </w:r>
      <w:r w:rsidR="00931EC4">
        <w:rPr>
          <w:rFonts w:ascii="Times New Roman" w:hAnsi="Times New Roman" w:cs="Times New Roman"/>
          <w:sz w:val="24"/>
          <w:szCs w:val="24"/>
        </w:rPr>
        <w:t xml:space="preserve"> </w:t>
      </w:r>
      <w:r w:rsidRPr="00B44D0D">
        <w:rPr>
          <w:rFonts w:ascii="Times New Roman" w:hAnsi="Times New Roman" w:cs="Times New Roman"/>
          <w:sz w:val="24"/>
          <w:szCs w:val="24"/>
        </w:rPr>
        <w:t xml:space="preserve">Below, it is presented a description of some studies about the repo’s size and other features, by </w:t>
      </w:r>
      <w:r w:rsidR="00F12273" w:rsidRPr="00B44D0D">
        <w:rPr>
          <w:rFonts w:ascii="Times New Roman" w:hAnsi="Times New Roman" w:cs="Times New Roman"/>
          <w:sz w:val="24"/>
          <w:szCs w:val="24"/>
        </w:rPr>
        <w:t>analysing</w:t>
      </w:r>
      <w:r w:rsidRPr="00B44D0D">
        <w:rPr>
          <w:rFonts w:ascii="Times New Roman" w:hAnsi="Times New Roman" w:cs="Times New Roman"/>
          <w:sz w:val="24"/>
          <w:szCs w:val="24"/>
        </w:rPr>
        <w:t xml:space="preserve"> different sources, variables and models in order to cope with these data’s inconveniences.    </w:t>
      </w:r>
    </w:p>
    <w:p w14:paraId="0E59291F" w14:textId="17D64BC9" w:rsidR="001B3418" w:rsidRPr="00B44D0D" w:rsidRDefault="001B3418" w:rsidP="00DB497D">
      <w:pPr>
        <w:spacing w:line="360" w:lineRule="auto"/>
        <w:jc w:val="both"/>
        <w:rPr>
          <w:rFonts w:ascii="Times New Roman" w:hAnsi="Times New Roman" w:cs="Times New Roman"/>
          <w:sz w:val="24"/>
          <w:szCs w:val="24"/>
        </w:rPr>
      </w:pPr>
      <w:proofErr w:type="spellStart"/>
      <w:r w:rsidRPr="00B44D0D">
        <w:rPr>
          <w:rFonts w:ascii="Times New Roman" w:hAnsi="Times New Roman" w:cs="Times New Roman"/>
          <w:sz w:val="24"/>
          <w:szCs w:val="24"/>
        </w:rPr>
        <w:t>Hördahl</w:t>
      </w:r>
      <w:proofErr w:type="spellEnd"/>
      <w:r w:rsidRPr="00B44D0D">
        <w:rPr>
          <w:rFonts w:ascii="Times New Roman" w:hAnsi="Times New Roman" w:cs="Times New Roman"/>
          <w:sz w:val="24"/>
          <w:szCs w:val="24"/>
        </w:rPr>
        <w:t xml:space="preserve"> &amp; King (2008) indicate that the “repo markets have doubled in size since 2002, with gross amounts outstanding at year-end 2007 of roughly $10 trillion in each of the U.S. and Euro repo markets, and another $1 trillion in the U.K. repo market.”   </w:t>
      </w:r>
    </w:p>
    <w:p w14:paraId="05AC0A3C" w14:textId="77777777" w:rsidR="002E143B" w:rsidRDefault="001B3418" w:rsidP="002E143B">
      <w:pPr>
        <w:keepNext/>
        <w:jc w:val="both"/>
      </w:pPr>
      <w:r w:rsidRPr="00B44D0D">
        <w:rPr>
          <w:rFonts w:ascii="Times New Roman" w:hAnsi="Times New Roman" w:cs="Times New Roman"/>
          <w:sz w:val="24"/>
          <w:szCs w:val="24"/>
        </w:rPr>
        <w:t xml:space="preserve"> </w:t>
      </w:r>
      <w:r w:rsidR="00931EC4">
        <w:rPr>
          <w:rFonts w:ascii="Times New Roman" w:eastAsia="Times New Roman" w:hAnsi="Times New Roman" w:cs="Times New Roman"/>
          <w:noProof/>
          <w:sz w:val="20"/>
          <w:szCs w:val="20"/>
          <w:lang w:eastAsia="en-GB"/>
        </w:rPr>
        <w:drawing>
          <wp:inline distT="0" distB="0" distL="0" distR="0" wp14:anchorId="4C87C6DF" wp14:editId="0FE533C1">
            <wp:extent cx="5508664" cy="2703766"/>
            <wp:effectExtent l="0" t="0" r="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508664" cy="2703766"/>
                    </a:xfrm>
                    <a:prstGeom prst="rect">
                      <a:avLst/>
                    </a:prstGeom>
                  </pic:spPr>
                </pic:pic>
              </a:graphicData>
            </a:graphic>
          </wp:inline>
        </w:drawing>
      </w:r>
    </w:p>
    <w:p w14:paraId="086376B3" w14:textId="106D2F96" w:rsidR="0024332D" w:rsidRPr="002E143B" w:rsidRDefault="002E143B" w:rsidP="002E143B">
      <w:pPr>
        <w:pStyle w:val="Caption"/>
        <w:jc w:val="center"/>
        <w:rPr>
          <w:rFonts w:ascii="Times New Roman" w:hAnsi="Times New Roman" w:cs="Times New Roman"/>
          <w:color w:val="auto"/>
          <w:sz w:val="24"/>
          <w:szCs w:val="24"/>
        </w:rPr>
      </w:pPr>
      <w:bookmarkStart w:id="23" w:name="_Toc78498667"/>
      <w:r w:rsidRPr="002E143B">
        <w:rPr>
          <w:rFonts w:ascii="Times New Roman" w:hAnsi="Times New Roman" w:cs="Times New Roman"/>
          <w:color w:val="auto"/>
          <w:sz w:val="24"/>
          <w:szCs w:val="24"/>
        </w:rPr>
        <w:t>Figure</w:t>
      </w:r>
      <w:r w:rsidR="009730F8">
        <w:rPr>
          <w:rFonts w:ascii="Times New Roman" w:hAnsi="Times New Roman" w:cs="Times New Roman"/>
          <w:color w:val="auto"/>
          <w:sz w:val="24"/>
          <w:szCs w:val="24"/>
        </w:rPr>
        <w:t xml:space="preserv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2</w:t>
      </w:r>
      <w:r w:rsidR="00AF7FD4">
        <w:rPr>
          <w:rFonts w:ascii="Times New Roman" w:hAnsi="Times New Roman" w:cs="Times New Roman"/>
          <w:color w:val="auto"/>
          <w:sz w:val="24"/>
          <w:szCs w:val="24"/>
        </w:rPr>
        <w:fldChar w:fldCharType="end"/>
      </w:r>
      <w:r w:rsidRPr="002E143B">
        <w:rPr>
          <w:rFonts w:ascii="Times New Roman" w:hAnsi="Times New Roman" w:cs="Times New Roman"/>
          <w:color w:val="auto"/>
          <w:sz w:val="24"/>
          <w:szCs w:val="24"/>
        </w:rPr>
        <w:t xml:space="preserve"> Repo market size in U.S., E</w:t>
      </w:r>
      <w:r w:rsidR="00CA7AAA">
        <w:rPr>
          <w:rFonts w:ascii="Times New Roman" w:hAnsi="Times New Roman" w:cs="Times New Roman"/>
          <w:color w:val="auto"/>
          <w:sz w:val="24"/>
          <w:szCs w:val="24"/>
        </w:rPr>
        <w:t>U</w:t>
      </w:r>
      <w:r w:rsidRPr="002E143B">
        <w:rPr>
          <w:rFonts w:ascii="Times New Roman" w:hAnsi="Times New Roman" w:cs="Times New Roman"/>
          <w:color w:val="auto"/>
          <w:sz w:val="24"/>
          <w:szCs w:val="24"/>
        </w:rPr>
        <w:t xml:space="preserve"> and U.K</w:t>
      </w:r>
      <w:bookmarkEnd w:id="23"/>
    </w:p>
    <w:p w14:paraId="77958712" w14:textId="05C56B3B" w:rsidR="001B3418" w:rsidRPr="00B44D0D" w:rsidRDefault="001B3418" w:rsidP="0024332D">
      <w:pPr>
        <w:jc w:val="center"/>
        <w:rPr>
          <w:rFonts w:ascii="Times New Roman" w:hAnsi="Times New Roman" w:cs="Times New Roman"/>
          <w:sz w:val="24"/>
          <w:szCs w:val="24"/>
        </w:rPr>
      </w:pPr>
      <w:r w:rsidRPr="00B44D0D">
        <w:rPr>
          <w:rFonts w:ascii="Times New Roman" w:hAnsi="Times New Roman" w:cs="Times New Roman"/>
          <w:sz w:val="24"/>
          <w:szCs w:val="24"/>
        </w:rPr>
        <w:t xml:space="preserve">Source: </w:t>
      </w:r>
      <w:proofErr w:type="spellStart"/>
      <w:r w:rsidRPr="00B44D0D">
        <w:rPr>
          <w:rFonts w:ascii="Times New Roman" w:hAnsi="Times New Roman" w:cs="Times New Roman"/>
          <w:sz w:val="24"/>
          <w:szCs w:val="24"/>
        </w:rPr>
        <w:t>Hördahl</w:t>
      </w:r>
      <w:proofErr w:type="spellEnd"/>
      <w:r w:rsidRPr="00B44D0D">
        <w:rPr>
          <w:rFonts w:ascii="Times New Roman" w:hAnsi="Times New Roman" w:cs="Times New Roman"/>
          <w:sz w:val="24"/>
          <w:szCs w:val="24"/>
        </w:rPr>
        <w:t xml:space="preserve"> &amp; King (2008)</w:t>
      </w:r>
    </w:p>
    <w:p w14:paraId="3E6BB174" w14:textId="77777777" w:rsidR="001B3418" w:rsidRPr="00B44D0D" w:rsidRDefault="001B3418" w:rsidP="00377F27">
      <w:pPr>
        <w:jc w:val="both"/>
        <w:rPr>
          <w:rFonts w:ascii="Times New Roman" w:hAnsi="Times New Roman" w:cs="Times New Roman"/>
          <w:sz w:val="24"/>
          <w:szCs w:val="24"/>
        </w:rPr>
      </w:pPr>
      <w:r w:rsidRPr="00B44D0D">
        <w:rPr>
          <w:rFonts w:ascii="Times New Roman" w:hAnsi="Times New Roman" w:cs="Times New Roman"/>
          <w:sz w:val="24"/>
          <w:szCs w:val="24"/>
        </w:rPr>
        <w:t xml:space="preserve"> </w:t>
      </w:r>
    </w:p>
    <w:p w14:paraId="448388FB" w14:textId="6A86C888"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They also detail, in figure 3.2, that by mid-2008 the gross market capitalization of the U.S. repo market exceeded $10 trillion, around 70% of U.S. GDP. As well as, in the euro area (EA), the repo market reached €6 trillion outstanding (doubled in size over the last six years), around 65% of Euro area (EA) GDP. And in the U.K., a peak of £662 billion was reached in mid-2007, that is around 50% of its GDP. Furthermore,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(2009 and 2010b) studied two state variables: the ABX.HE index, which captures the state of the subprime market directly, </w:t>
      </w:r>
      <w:r w:rsidRPr="00B44D0D">
        <w:rPr>
          <w:rFonts w:ascii="Times New Roman" w:hAnsi="Times New Roman" w:cs="Times New Roman"/>
          <w:sz w:val="24"/>
          <w:szCs w:val="24"/>
        </w:rPr>
        <w:lastRenderedPageBreak/>
        <w:t>and another which captures the breakdown in the repo market, LIBOR-OIS. The stud</w:t>
      </w:r>
      <w:r w:rsidR="00665791">
        <w:rPr>
          <w:rFonts w:ascii="Times New Roman" w:hAnsi="Times New Roman" w:cs="Times New Roman"/>
          <w:sz w:val="24"/>
          <w:szCs w:val="24"/>
        </w:rPr>
        <w:t>y</w:t>
      </w:r>
      <w:r w:rsidRPr="00B44D0D">
        <w:rPr>
          <w:rFonts w:ascii="Times New Roman" w:hAnsi="Times New Roman" w:cs="Times New Roman"/>
          <w:sz w:val="24"/>
          <w:szCs w:val="24"/>
        </w:rPr>
        <w:t xml:space="preserve"> showed both indexes moved significantly, which means that repo </w:t>
      </w:r>
      <w:r w:rsidR="00931EC4" w:rsidRPr="00B44D0D">
        <w:rPr>
          <w:rFonts w:ascii="Times New Roman" w:hAnsi="Times New Roman" w:cs="Times New Roman"/>
          <w:sz w:val="24"/>
          <w:szCs w:val="24"/>
        </w:rPr>
        <w:t>spread,</w:t>
      </w:r>
      <w:r w:rsidRPr="00B44D0D">
        <w:rPr>
          <w:rFonts w:ascii="Times New Roman" w:hAnsi="Times New Roman" w:cs="Times New Roman"/>
          <w:sz w:val="24"/>
          <w:szCs w:val="24"/>
        </w:rPr>
        <w:t xml:space="preserve"> and repo haircuts rose during the crisis, fostering the </w:t>
      </w:r>
      <w:r w:rsidR="00DB497D"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w:t>
      </w:r>
      <w:r w:rsidR="00931EC4">
        <w:rPr>
          <w:rStyle w:val="FootnoteReference"/>
          <w:rFonts w:ascii="Times New Roman" w:hAnsi="Times New Roman" w:cs="Times New Roman"/>
          <w:sz w:val="24"/>
          <w:szCs w:val="24"/>
        </w:rPr>
        <w:footnoteReference w:id="9"/>
      </w:r>
      <w:r w:rsidRPr="00B44D0D">
        <w:rPr>
          <w:rFonts w:ascii="Times New Roman" w:hAnsi="Times New Roman" w:cs="Times New Roman"/>
          <w:sz w:val="24"/>
          <w:szCs w:val="24"/>
        </w:rPr>
        <w:t xml:space="preserve"> The first study, in 2009, was a pioneer in </w:t>
      </w:r>
      <w:r w:rsidR="00F12273" w:rsidRPr="00B44D0D">
        <w:rPr>
          <w:rFonts w:ascii="Times New Roman" w:hAnsi="Times New Roman" w:cs="Times New Roman"/>
          <w:sz w:val="24"/>
          <w:szCs w:val="24"/>
        </w:rPr>
        <w:t>analysing</w:t>
      </w:r>
      <w:r w:rsidRPr="00B44D0D">
        <w:rPr>
          <w:rFonts w:ascii="Times New Roman" w:hAnsi="Times New Roman" w:cs="Times New Roman"/>
          <w:sz w:val="24"/>
          <w:szCs w:val="24"/>
        </w:rPr>
        <w:t xml:space="preserve"> the spreads on securitized products with the aim of testing whether the asset classes, completely unrelated to subprime, were affected. This econometric model showed that the asset classes unrelated to subprime were affected in the recent </w:t>
      </w:r>
      <w:r w:rsidR="00DB497D"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 which means that the last crisis was a systemic event.</w:t>
      </w:r>
      <w:r w:rsidR="00931EC4">
        <w:rPr>
          <w:rStyle w:val="FootnoteReference"/>
          <w:rFonts w:ascii="Times New Roman" w:hAnsi="Times New Roman" w:cs="Times New Roman"/>
          <w:sz w:val="24"/>
          <w:szCs w:val="24"/>
        </w:rPr>
        <w:footnoteReference w:id="10"/>
      </w:r>
      <w:r w:rsidRPr="00B44D0D">
        <w:rPr>
          <w:rFonts w:ascii="Times New Roman" w:hAnsi="Times New Roman" w:cs="Times New Roman"/>
          <w:sz w:val="24"/>
          <w:szCs w:val="24"/>
        </w:rPr>
        <w:t xml:space="preserve"> </w:t>
      </w:r>
    </w:p>
    <w:p w14:paraId="052AD6DC" w14:textId="3B7B8856"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With these results they explain that the disruption in the interbank market is related with the fact that the repos do not roll or get reused anymore (unwind), which is equivalent to depositors withdrawing their money. With higher haircuts banks seek to raise money via repo (by using their equity). As soon as their equity finishes, they must sell assets, which lower the assets’ prices38 and (again) raise haircuts (due to the increment in uncertainty about collateral), bringing them to the end of the road. There was no way to become solvent, because the repo market dried up. </w:t>
      </w:r>
      <w:r w:rsidR="00DB497D" w:rsidRPr="00B44D0D">
        <w:rPr>
          <w:rFonts w:ascii="Times New Roman" w:hAnsi="Times New Roman" w:cs="Times New Roman"/>
          <w:sz w:val="24"/>
          <w:szCs w:val="24"/>
        </w:rPr>
        <w:t>Whereupon</w:t>
      </w:r>
      <w:r w:rsidRPr="00B44D0D">
        <w:rPr>
          <w:rFonts w:ascii="Times New Roman" w:hAnsi="Times New Roman" w:cs="Times New Roman"/>
          <w:sz w:val="24"/>
          <w:szCs w:val="24"/>
        </w:rPr>
        <w:t xml:space="preserve"> they argue that in this recent financial crisis the U.S. Treasury failed (settlement failure) in the repo market, because it was not possible to issue new securities or sell assets to raise funds and equity prices declined. The system was insolvent, especially the banking system, because it was the most active in the repo market.  On the contrary, as </w:t>
      </w:r>
      <w:proofErr w:type="spellStart"/>
      <w:r w:rsidRPr="00B44D0D">
        <w:rPr>
          <w:rFonts w:ascii="Times New Roman" w:hAnsi="Times New Roman" w:cs="Times New Roman"/>
          <w:sz w:val="24"/>
          <w:szCs w:val="24"/>
        </w:rPr>
        <w:t>Hördahl</w:t>
      </w:r>
      <w:proofErr w:type="spellEnd"/>
      <w:r w:rsidRPr="00B44D0D">
        <w:rPr>
          <w:rFonts w:ascii="Times New Roman" w:hAnsi="Times New Roman" w:cs="Times New Roman"/>
          <w:sz w:val="24"/>
          <w:szCs w:val="24"/>
        </w:rPr>
        <w:t xml:space="preserve"> &amp; King (2008) explain, the repo markets in the EA and U.K. did not appear to undergo severe scarcity of sovereign collateral or a persistent rise in settlement fails. </w:t>
      </w:r>
    </w:p>
    <w:p w14:paraId="578168F2" w14:textId="3EF7A511" w:rsidR="001B3418" w:rsidRPr="00931EC4"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 xml:space="preserve">Among the studies that tried to measure the repo market, it is possible to distinguish those who </w:t>
      </w:r>
      <w:r w:rsidR="00F12273" w:rsidRPr="00B44D0D">
        <w:rPr>
          <w:rFonts w:ascii="Times New Roman" w:hAnsi="Times New Roman" w:cs="Times New Roman"/>
          <w:sz w:val="24"/>
          <w:szCs w:val="24"/>
        </w:rPr>
        <w:t>analysed</w:t>
      </w:r>
      <w:r w:rsidRPr="00B44D0D">
        <w:rPr>
          <w:rFonts w:ascii="Times New Roman" w:hAnsi="Times New Roman" w:cs="Times New Roman"/>
          <w:sz w:val="24"/>
          <w:szCs w:val="24"/>
        </w:rPr>
        <w:t xml:space="preserve"> the bilateral repo market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(2009, 2010b) and </w:t>
      </w:r>
      <w:proofErr w:type="spellStart"/>
      <w:r w:rsidRPr="00B44D0D">
        <w:rPr>
          <w:rFonts w:ascii="Times New Roman" w:hAnsi="Times New Roman" w:cs="Times New Roman"/>
          <w:sz w:val="24"/>
          <w:szCs w:val="24"/>
        </w:rPr>
        <w:t>Hördahl</w:t>
      </w:r>
      <w:proofErr w:type="spellEnd"/>
      <w:r w:rsidRPr="00B44D0D">
        <w:rPr>
          <w:rFonts w:ascii="Times New Roman" w:hAnsi="Times New Roman" w:cs="Times New Roman"/>
          <w:sz w:val="24"/>
          <w:szCs w:val="24"/>
        </w:rPr>
        <w:t xml:space="preserve"> &amp; King (2008)) from the tri-party ones (Copeland, A., Martin, A. &amp; Walker, L. (2011), Krishnamurthy, Nagel &amp; </w:t>
      </w:r>
      <w:proofErr w:type="spellStart"/>
      <w:r w:rsidRPr="00B44D0D">
        <w:rPr>
          <w:rFonts w:ascii="Times New Roman" w:hAnsi="Times New Roman" w:cs="Times New Roman"/>
          <w:sz w:val="24"/>
          <w:szCs w:val="24"/>
        </w:rPr>
        <w:t>Orlov</w:t>
      </w:r>
      <w:proofErr w:type="spellEnd"/>
      <w:r w:rsidRPr="00B44D0D">
        <w:rPr>
          <w:rFonts w:ascii="Times New Roman" w:hAnsi="Times New Roman" w:cs="Times New Roman"/>
          <w:sz w:val="24"/>
          <w:szCs w:val="24"/>
        </w:rPr>
        <w:t xml:space="preserve"> (2011) and Martin, A., </w:t>
      </w:r>
      <w:proofErr w:type="spellStart"/>
      <w:r w:rsidRPr="00B44D0D">
        <w:rPr>
          <w:rFonts w:ascii="Times New Roman" w:hAnsi="Times New Roman" w:cs="Times New Roman"/>
          <w:sz w:val="24"/>
          <w:szCs w:val="24"/>
        </w:rPr>
        <w:t>Skeie</w:t>
      </w:r>
      <w:proofErr w:type="spellEnd"/>
      <w:r w:rsidRPr="00B44D0D">
        <w:rPr>
          <w:rFonts w:ascii="Times New Roman" w:hAnsi="Times New Roman" w:cs="Times New Roman"/>
          <w:sz w:val="24"/>
          <w:szCs w:val="24"/>
        </w:rPr>
        <w:t xml:space="preserve">, D. &amp; Von </w:t>
      </w:r>
      <w:proofErr w:type="spellStart"/>
      <w:r w:rsidRPr="00B44D0D">
        <w:rPr>
          <w:rFonts w:ascii="Times New Roman" w:hAnsi="Times New Roman" w:cs="Times New Roman"/>
          <w:sz w:val="24"/>
          <w:szCs w:val="24"/>
        </w:rPr>
        <w:t>Thadden</w:t>
      </w:r>
      <w:proofErr w:type="spellEnd"/>
      <w:r w:rsidRPr="00B44D0D">
        <w:rPr>
          <w:rFonts w:ascii="Times New Roman" w:hAnsi="Times New Roman" w:cs="Times New Roman"/>
          <w:sz w:val="24"/>
          <w:szCs w:val="24"/>
        </w:rPr>
        <w:t xml:space="preserve">, E. L. (2011)).  The results obtained among those who studied the bilateral and the tri-party repo are different, as it could be expected, and occasionally opposite. </w:t>
      </w:r>
    </w:p>
    <w:p w14:paraId="1AA40081" w14:textId="77777777"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For instance, by studying tri-party repo market, Copeland, Martin &amp; Walker (2011)</w:t>
      </w:r>
      <w:r w:rsidR="00AB51CA">
        <w:rPr>
          <w:rStyle w:val="FootnoteReference"/>
          <w:rFonts w:ascii="Times New Roman" w:hAnsi="Times New Roman" w:cs="Times New Roman"/>
          <w:sz w:val="24"/>
          <w:szCs w:val="24"/>
        </w:rPr>
        <w:footnoteReference w:id="11"/>
      </w:r>
      <w:r w:rsidRPr="00B44D0D">
        <w:rPr>
          <w:rFonts w:ascii="Times New Roman" w:hAnsi="Times New Roman" w:cs="Times New Roman"/>
          <w:sz w:val="24"/>
          <w:szCs w:val="24"/>
        </w:rPr>
        <w:t xml:space="preserve"> and Krishnamurthy, Nagel &amp; </w:t>
      </w:r>
      <w:proofErr w:type="spellStart"/>
      <w:r w:rsidRPr="00B44D0D">
        <w:rPr>
          <w:rFonts w:ascii="Times New Roman" w:hAnsi="Times New Roman" w:cs="Times New Roman"/>
          <w:sz w:val="24"/>
          <w:szCs w:val="24"/>
        </w:rPr>
        <w:t>Orlov</w:t>
      </w:r>
      <w:proofErr w:type="spellEnd"/>
      <w:r w:rsidRPr="00B44D0D">
        <w:rPr>
          <w:rFonts w:ascii="Times New Roman" w:hAnsi="Times New Roman" w:cs="Times New Roman"/>
          <w:sz w:val="24"/>
          <w:szCs w:val="24"/>
        </w:rPr>
        <w:t xml:space="preserve"> (2011) present similar results.</w:t>
      </w:r>
      <w:r w:rsidR="00AB51CA">
        <w:rPr>
          <w:rStyle w:val="FootnoteReference"/>
          <w:rFonts w:ascii="Times New Roman" w:hAnsi="Times New Roman" w:cs="Times New Roman"/>
          <w:sz w:val="24"/>
          <w:szCs w:val="24"/>
        </w:rPr>
        <w:footnoteReference w:id="12"/>
      </w:r>
      <w:r w:rsidRPr="00B44D0D">
        <w:rPr>
          <w:rFonts w:ascii="Times New Roman" w:hAnsi="Times New Roman" w:cs="Times New Roman"/>
          <w:sz w:val="24"/>
          <w:szCs w:val="24"/>
        </w:rPr>
        <w:t xml:space="preserve">  Both agree with the (small) quantity of non-agency MBS/ABS (mortgages-backed securities/asset-backed securities) in the repo; and with the bare movement of haircuts on Treasuries and Agency MBS across the crisis (ABX and LIBOR-OIS index).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by studying bilateral repo market, affirm the opposite, both indexes moved significantly.   </w:t>
      </w:r>
    </w:p>
    <w:p w14:paraId="20B4209E" w14:textId="77777777"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Among the mentioned studies, Krishnamurthy, Nagel &amp; </w:t>
      </w:r>
      <w:proofErr w:type="spellStart"/>
      <w:r w:rsidRPr="00B44D0D">
        <w:rPr>
          <w:rFonts w:ascii="Times New Roman" w:hAnsi="Times New Roman" w:cs="Times New Roman"/>
          <w:sz w:val="24"/>
          <w:szCs w:val="24"/>
        </w:rPr>
        <w:t>Orlov</w:t>
      </w:r>
      <w:proofErr w:type="spellEnd"/>
      <w:r w:rsidRPr="00B44D0D">
        <w:rPr>
          <w:rFonts w:ascii="Times New Roman" w:hAnsi="Times New Roman" w:cs="Times New Roman"/>
          <w:sz w:val="24"/>
          <w:szCs w:val="24"/>
        </w:rPr>
        <w:t xml:space="preserve"> (2011) present relevant findings: </w:t>
      </w:r>
    </w:p>
    <w:p w14:paraId="39541960" w14:textId="189DBF89"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 the contraction in repo, in the crisis, was small compared to the outstanding stock of </w:t>
      </w:r>
      <w:r w:rsidR="00F7280F" w:rsidRPr="00B44D0D">
        <w:rPr>
          <w:rFonts w:ascii="Times New Roman" w:hAnsi="Times New Roman" w:cs="Times New Roman"/>
          <w:sz w:val="24"/>
          <w:szCs w:val="24"/>
        </w:rPr>
        <w:t>nonagency</w:t>
      </w:r>
      <w:r w:rsidRPr="00B44D0D">
        <w:rPr>
          <w:rFonts w:ascii="Times New Roman" w:hAnsi="Times New Roman" w:cs="Times New Roman"/>
          <w:sz w:val="24"/>
          <w:szCs w:val="24"/>
        </w:rPr>
        <w:t xml:space="preserve"> MBS/ABS, (b) the ABCP played a more significant role than the repo market in supporting both the expansion and contraction of the shadow banking sector, (c) appears to have been a run on the repo backed by non-Agency MBS/ABS rather than a generalized run on certain financial intermediaries, (d) the repo contraction on non-Agency MBS/ABS played a more significant role for some dealer banks (Merrill Lynch, Goldman Sachs, Morgan Stanley and Citigroup) than for the SBS, and (e) Fed’s Programs (TSLF and PDCF) absorbed much of the contraction in repo funding of non-Agency MBS/ABS and corporate debt.  </w:t>
      </w:r>
    </w:p>
    <w:p w14:paraId="6A5E58C1" w14:textId="12B76736" w:rsidR="001B3418" w:rsidRPr="00B44D0D" w:rsidRDefault="001B3418" w:rsidP="00DB49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At the same time, they present the most controversial position about the “run on repo”, by </w:t>
      </w:r>
      <w:r w:rsidR="00F7280F" w:rsidRPr="00B44D0D">
        <w:rPr>
          <w:rFonts w:ascii="Times New Roman" w:hAnsi="Times New Roman" w:cs="Times New Roman"/>
          <w:sz w:val="24"/>
          <w:szCs w:val="24"/>
        </w:rPr>
        <w:t>analysing</w:t>
      </w:r>
      <w:r w:rsidRPr="00B44D0D">
        <w:rPr>
          <w:rFonts w:ascii="Times New Roman" w:hAnsi="Times New Roman" w:cs="Times New Roman"/>
          <w:sz w:val="24"/>
          <w:szCs w:val="24"/>
        </w:rPr>
        <w:t xml:space="preserve"> the importance of repo for shadow banking funding from cash lenders (MMF and securities lenders) outside the SBS, in order to avoid the double-counting problem.</w:t>
      </w:r>
      <w:r w:rsidR="00AB51CA">
        <w:rPr>
          <w:rStyle w:val="FootnoteReference"/>
          <w:rFonts w:ascii="Times New Roman" w:hAnsi="Times New Roman" w:cs="Times New Roman"/>
          <w:sz w:val="24"/>
          <w:szCs w:val="24"/>
        </w:rPr>
        <w:footnoteReference w:id="13"/>
      </w:r>
      <w:r w:rsidRPr="00B44D0D">
        <w:rPr>
          <w:rFonts w:ascii="Times New Roman" w:hAnsi="Times New Roman" w:cs="Times New Roman"/>
          <w:sz w:val="24"/>
          <w:szCs w:val="24"/>
        </w:rPr>
        <w:t xml:space="preserve">  They </w:t>
      </w:r>
      <w:r w:rsidRPr="00B44D0D">
        <w:rPr>
          <w:rFonts w:ascii="Times New Roman" w:hAnsi="Times New Roman" w:cs="Times New Roman"/>
          <w:sz w:val="24"/>
          <w:szCs w:val="24"/>
        </w:rPr>
        <w:lastRenderedPageBreak/>
        <w:t xml:space="preserve">assume there were a run on repo and a run in short-term debt, in which the first one was smaller, than the second one; therefore the run on repo was not the main cause of the SBS’s collapse.  The </w:t>
      </w:r>
      <w:r w:rsidR="00DB497D"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 was too small to foster the contraction of the whole shadow banking sector, contradicting Gorton (2009) and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The </w:t>
      </w:r>
      <w:r w:rsidR="00DB497D"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short-term debt occurred -significantly- on asset-backed commercial paper (ABCP): </w:t>
      </w:r>
    </w:p>
    <w:p w14:paraId="407FDEFF" w14:textId="0421576F"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short-term funding of securitized assets through ABCP and direct investments by money market investors are an order of magnitude larger than repo funding, and the contraction in ABCP is an order of magnitude larger than the </w:t>
      </w:r>
      <w:r w:rsidR="00DB497D"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 Troubles in funding securitized assets with repo may have been a major factor in the problems of some dealer banks that were most heavily exposed to these assets, but for the shadow banking system as a whole, the role of the repo market appears small. </w:t>
      </w:r>
    </w:p>
    <w:p w14:paraId="049AB249" w14:textId="47CB7938"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spite of the differences in the paper [the authors above] they agree with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in some basic happenings:  (a) the </w:t>
      </w:r>
      <w:r w:rsidR="00B8315B" w:rsidRPr="00B44D0D">
        <w:rPr>
          <w:rFonts w:ascii="Times New Roman" w:hAnsi="Times New Roman" w:cs="Times New Roman"/>
          <w:sz w:val="24"/>
          <w:szCs w:val="24"/>
        </w:rPr>
        <w:t>occurrence</w:t>
      </w:r>
      <w:r w:rsidRPr="00B44D0D">
        <w:rPr>
          <w:rFonts w:ascii="Times New Roman" w:hAnsi="Times New Roman" w:cs="Times New Roman"/>
          <w:sz w:val="24"/>
          <w:szCs w:val="24"/>
        </w:rPr>
        <w:t xml:space="preserve"> of a run on the short-term debt financing, which supported the shadow banking sector and led to its own demise in the crisis; (b) the dynamic of the inter-dealer in the repo market contributed to the systemic risk; and (c) that the engagement of dealer banks with other dealers, in interbank lending, pulled back much more dramatically on their credit extension (credit-crunch).   </w:t>
      </w:r>
    </w:p>
    <w:p w14:paraId="3DB63F3C" w14:textId="2A2C2938"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 recent and interesting analysis is presented by </w:t>
      </w:r>
      <w:proofErr w:type="spellStart"/>
      <w:r w:rsidRPr="00B44D0D">
        <w:rPr>
          <w:rFonts w:ascii="Times New Roman" w:hAnsi="Times New Roman" w:cs="Times New Roman"/>
          <w:sz w:val="24"/>
          <w:szCs w:val="24"/>
        </w:rPr>
        <w:t>Comotto</w:t>
      </w:r>
      <w:proofErr w:type="spellEnd"/>
      <w:r w:rsidRPr="00B44D0D">
        <w:rPr>
          <w:rFonts w:ascii="Times New Roman" w:hAnsi="Times New Roman" w:cs="Times New Roman"/>
          <w:sz w:val="24"/>
          <w:szCs w:val="24"/>
        </w:rPr>
        <w:t xml:space="preserve"> (2012),</w:t>
      </w:r>
      <w:r w:rsidR="00AB51CA">
        <w:rPr>
          <w:rStyle w:val="FootnoteReference"/>
          <w:rFonts w:ascii="Times New Roman" w:hAnsi="Times New Roman" w:cs="Times New Roman"/>
          <w:sz w:val="24"/>
          <w:szCs w:val="24"/>
        </w:rPr>
        <w:footnoteReference w:id="14"/>
      </w:r>
      <w:r w:rsidRPr="00B44D0D">
        <w:rPr>
          <w:rFonts w:ascii="Times New Roman" w:hAnsi="Times New Roman" w:cs="Times New Roman"/>
          <w:sz w:val="24"/>
          <w:szCs w:val="24"/>
        </w:rPr>
        <w:t xml:space="preserve">  affirming that Gorton &amp; </w:t>
      </w:r>
      <w:proofErr w:type="spellStart"/>
      <w:r w:rsidRPr="00B44D0D">
        <w:rPr>
          <w:rFonts w:ascii="Times New Roman" w:hAnsi="Times New Roman" w:cs="Times New Roman"/>
          <w:sz w:val="24"/>
          <w:szCs w:val="24"/>
        </w:rPr>
        <w:t>Metrick’s</w:t>
      </w:r>
      <w:proofErr w:type="spellEnd"/>
      <w:r w:rsidRPr="00B44D0D">
        <w:rPr>
          <w:rFonts w:ascii="Times New Roman" w:hAnsi="Times New Roman" w:cs="Times New Roman"/>
          <w:sz w:val="24"/>
          <w:szCs w:val="24"/>
        </w:rPr>
        <w:t xml:space="preserve"> (2010b) argument that changes in haircuts in (U.S.) repo </w:t>
      </w:r>
      <w:r w:rsidR="00F7280F" w:rsidRPr="00B44D0D">
        <w:rPr>
          <w:rFonts w:ascii="Times New Roman" w:hAnsi="Times New Roman" w:cs="Times New Roman"/>
          <w:sz w:val="24"/>
          <w:szCs w:val="24"/>
        </w:rPr>
        <w:t>was</w:t>
      </w:r>
      <w:r w:rsidRPr="00B44D0D">
        <w:rPr>
          <w:rFonts w:ascii="Times New Roman" w:hAnsi="Times New Roman" w:cs="Times New Roman"/>
          <w:sz w:val="24"/>
          <w:szCs w:val="24"/>
        </w:rPr>
        <w:t xml:space="preserve"> the main cause of the crisis. This paper does ignore the tri-party repo segment, and their database (provided by a U.S. broker-dealer) included only collateral in the form of structured securities (CDOs, CLOs, etc.); which was a modest proportion of the U.S. repo market even before the crisis.  </w:t>
      </w:r>
    </w:p>
    <w:p w14:paraId="13A4BACA" w14:textId="4AFDAEFC" w:rsidR="001B3418" w:rsidRPr="00B44D0D" w:rsidRDefault="001B3418" w:rsidP="00AA7711">
      <w:pPr>
        <w:spacing w:line="360" w:lineRule="auto"/>
        <w:jc w:val="both"/>
        <w:rPr>
          <w:rFonts w:ascii="Times New Roman" w:hAnsi="Times New Roman" w:cs="Times New Roman"/>
          <w:sz w:val="24"/>
          <w:szCs w:val="24"/>
        </w:rPr>
      </w:pPr>
      <w:proofErr w:type="spellStart"/>
      <w:r w:rsidRPr="00B44D0D">
        <w:rPr>
          <w:rFonts w:ascii="Times New Roman" w:hAnsi="Times New Roman" w:cs="Times New Roman"/>
          <w:sz w:val="24"/>
          <w:szCs w:val="24"/>
        </w:rPr>
        <w:t>Comotto</w:t>
      </w:r>
      <w:proofErr w:type="spellEnd"/>
      <w:r w:rsidRPr="00B44D0D">
        <w:rPr>
          <w:rFonts w:ascii="Times New Roman" w:hAnsi="Times New Roman" w:cs="Times New Roman"/>
          <w:sz w:val="24"/>
          <w:szCs w:val="24"/>
        </w:rPr>
        <w:t xml:space="preserve"> attempted to calibrate and apply the Gorton &amp; </w:t>
      </w:r>
      <w:proofErr w:type="spellStart"/>
      <w:r w:rsidRPr="00B44D0D">
        <w:rPr>
          <w:rFonts w:ascii="Times New Roman" w:hAnsi="Times New Roman" w:cs="Times New Roman"/>
          <w:sz w:val="24"/>
          <w:szCs w:val="24"/>
        </w:rPr>
        <w:t>Metrick’s</w:t>
      </w:r>
      <w:proofErr w:type="spellEnd"/>
      <w:r w:rsidRPr="00B44D0D">
        <w:rPr>
          <w:rFonts w:ascii="Times New Roman" w:hAnsi="Times New Roman" w:cs="Times New Roman"/>
          <w:sz w:val="24"/>
          <w:szCs w:val="24"/>
        </w:rPr>
        <w:t xml:space="preserve"> model in Europe by using a survey of haircuts in 2007 and 2009 from the Committee on the Global Financial System (CGFS). He demonstrated that changes in haircuts could explain less than 3 percent points of the 28% deleveraging of the repo market between 2007 and 2009.</w:t>
      </w:r>
      <w:r w:rsidR="00AB51CA">
        <w:rPr>
          <w:rStyle w:val="FootnoteReference"/>
          <w:rFonts w:ascii="Times New Roman" w:hAnsi="Times New Roman" w:cs="Times New Roman"/>
          <w:sz w:val="24"/>
          <w:szCs w:val="24"/>
        </w:rPr>
        <w:footnoteReference w:id="15"/>
      </w:r>
      <w:r w:rsidRPr="00B44D0D">
        <w:rPr>
          <w:rFonts w:ascii="Times New Roman" w:hAnsi="Times New Roman" w:cs="Times New Roman"/>
          <w:sz w:val="24"/>
          <w:szCs w:val="24"/>
        </w:rPr>
        <w:t xml:space="preserve"> Finally, this author </w:t>
      </w:r>
      <w:r w:rsidRPr="00B44D0D">
        <w:rPr>
          <w:rFonts w:ascii="Times New Roman" w:hAnsi="Times New Roman" w:cs="Times New Roman"/>
          <w:sz w:val="24"/>
          <w:szCs w:val="24"/>
        </w:rPr>
        <w:lastRenderedPageBreak/>
        <w:t xml:space="preserve">considers Krishnamurthy, Nagel &amp; </w:t>
      </w:r>
      <w:proofErr w:type="spellStart"/>
      <w:r w:rsidRPr="00B44D0D">
        <w:rPr>
          <w:rFonts w:ascii="Times New Roman" w:hAnsi="Times New Roman" w:cs="Times New Roman"/>
          <w:sz w:val="24"/>
          <w:szCs w:val="24"/>
        </w:rPr>
        <w:t>Orlov’s</w:t>
      </w:r>
      <w:proofErr w:type="spellEnd"/>
      <w:r w:rsidRPr="00B44D0D">
        <w:rPr>
          <w:rFonts w:ascii="Times New Roman" w:hAnsi="Times New Roman" w:cs="Times New Roman"/>
          <w:sz w:val="24"/>
          <w:szCs w:val="24"/>
        </w:rPr>
        <w:t xml:space="preserve"> (2011) work a </w:t>
      </w:r>
      <w:r w:rsidR="00AA7711" w:rsidRPr="00B44D0D">
        <w:rPr>
          <w:rFonts w:ascii="Times New Roman" w:hAnsi="Times New Roman" w:cs="Times New Roman"/>
          <w:sz w:val="24"/>
          <w:szCs w:val="24"/>
        </w:rPr>
        <w:t>masterpiece</w:t>
      </w:r>
      <w:r w:rsidRPr="00B44D0D">
        <w:rPr>
          <w:rFonts w:ascii="Times New Roman" w:hAnsi="Times New Roman" w:cs="Times New Roman"/>
          <w:sz w:val="24"/>
          <w:szCs w:val="24"/>
        </w:rPr>
        <w:t xml:space="preserve">, which showed that there was not a substantial variation in haircuts, and not a substantial variation of them as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argued.  On the contrary, Copeland, Martin and </w:t>
      </w:r>
    </w:p>
    <w:p w14:paraId="319E90A1" w14:textId="42B705E3"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Walker (2011), focused on the </w:t>
      </w:r>
      <w:r w:rsidR="00B8315B" w:rsidRPr="00B44D0D">
        <w:rPr>
          <w:rFonts w:ascii="Times New Roman" w:hAnsi="Times New Roman" w:cs="Times New Roman"/>
          <w:sz w:val="24"/>
          <w:szCs w:val="24"/>
        </w:rPr>
        <w:t>behaviour</w:t>
      </w:r>
      <w:r w:rsidRPr="00B44D0D">
        <w:rPr>
          <w:rFonts w:ascii="Times New Roman" w:hAnsi="Times New Roman" w:cs="Times New Roman"/>
          <w:sz w:val="24"/>
          <w:szCs w:val="24"/>
        </w:rPr>
        <w:t xml:space="preserve"> of haircuts and quantity of funding, examined the tri-party agents and found also a substantial variation in haircuts across counterparty. </w:t>
      </w:r>
    </w:p>
    <w:p w14:paraId="2B1F41A3" w14:textId="150FCBC6"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From another perspective Martin, </w:t>
      </w:r>
      <w:proofErr w:type="spellStart"/>
      <w:r w:rsidRPr="00B44D0D">
        <w:rPr>
          <w:rFonts w:ascii="Times New Roman" w:hAnsi="Times New Roman" w:cs="Times New Roman"/>
          <w:sz w:val="24"/>
          <w:szCs w:val="24"/>
        </w:rPr>
        <w:t>Skeie</w:t>
      </w:r>
      <w:proofErr w:type="spellEnd"/>
      <w:r w:rsidRPr="00B44D0D">
        <w:rPr>
          <w:rFonts w:ascii="Times New Roman" w:hAnsi="Times New Roman" w:cs="Times New Roman"/>
          <w:sz w:val="24"/>
          <w:szCs w:val="24"/>
        </w:rPr>
        <w:t xml:space="preserve"> &amp; Von </w:t>
      </w:r>
      <w:proofErr w:type="spellStart"/>
      <w:r w:rsidRPr="00B44D0D">
        <w:rPr>
          <w:rFonts w:ascii="Times New Roman" w:hAnsi="Times New Roman" w:cs="Times New Roman"/>
          <w:sz w:val="24"/>
          <w:szCs w:val="24"/>
        </w:rPr>
        <w:t>Thadden</w:t>
      </w:r>
      <w:proofErr w:type="spellEnd"/>
      <w:r w:rsidRPr="00B44D0D">
        <w:rPr>
          <w:rFonts w:ascii="Times New Roman" w:hAnsi="Times New Roman" w:cs="Times New Roman"/>
          <w:sz w:val="24"/>
          <w:szCs w:val="24"/>
        </w:rPr>
        <w:t xml:space="preserve"> (2011) developed an equilibrium model, which is supposed to be applied to various types of financial institutions</w:t>
      </w:r>
      <w:r w:rsidR="00AB51CA">
        <w:rPr>
          <w:rStyle w:val="FootnoteReference"/>
          <w:rFonts w:ascii="Times New Roman" w:hAnsi="Times New Roman" w:cs="Times New Roman"/>
          <w:sz w:val="24"/>
          <w:szCs w:val="24"/>
        </w:rPr>
        <w:footnoteReference w:id="16"/>
      </w:r>
      <w:r w:rsidRPr="00B44D0D">
        <w:rPr>
          <w:rFonts w:ascii="Times New Roman" w:hAnsi="Times New Roman" w:cs="Times New Roman"/>
          <w:sz w:val="24"/>
          <w:szCs w:val="24"/>
        </w:rPr>
        <w:t xml:space="preserve"> that suffered from losses in short-term funding during the financial crisis of 2007-09.</w:t>
      </w:r>
      <w:r w:rsidR="00AB51CA">
        <w:rPr>
          <w:rStyle w:val="FootnoteReference"/>
          <w:rFonts w:ascii="Times New Roman" w:hAnsi="Times New Roman" w:cs="Times New Roman"/>
          <w:sz w:val="24"/>
          <w:szCs w:val="24"/>
        </w:rPr>
        <w:footnoteReference w:id="17"/>
      </w:r>
      <w:r w:rsidRPr="00B44D0D">
        <w:rPr>
          <w:rFonts w:ascii="Times New Roman" w:hAnsi="Times New Roman" w:cs="Times New Roman"/>
          <w:sz w:val="24"/>
          <w:szCs w:val="24"/>
        </w:rPr>
        <w:t xml:space="preserve"> They applied this model to large securities dealers who use the tri-party repo market, as a mean source of financing.  The result showed that “Dealers’ borrowing in the tri-party repo market reached over $2.8 trillion outstanding in aggregate at its peak in 2008; individual dealer borrowing reached $400 billion, most of which with overnight maturity”.  </w:t>
      </w:r>
      <w:r w:rsidR="00BA5742" w:rsidRPr="00B44D0D">
        <w:rPr>
          <w:rFonts w:ascii="Times New Roman" w:hAnsi="Times New Roman" w:cs="Times New Roman"/>
          <w:sz w:val="24"/>
          <w:szCs w:val="24"/>
        </w:rPr>
        <w:t>Nevertheless,</w:t>
      </w:r>
      <w:r w:rsidRPr="00B44D0D">
        <w:rPr>
          <w:rFonts w:ascii="Times New Roman" w:hAnsi="Times New Roman" w:cs="Times New Roman"/>
          <w:sz w:val="24"/>
          <w:szCs w:val="24"/>
        </w:rPr>
        <w:t xml:space="preserve"> it is important to emphasize that this model does not pretend to measure the repo market, but rather the short-term collateralized borrowing and the conditions under which runs can occur.   </w:t>
      </w:r>
    </w:p>
    <w:p w14:paraId="6925D930" w14:textId="678EA1BD"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Finally, Bengtsson (2011) affirms that through the analysis of MMFs it is possible to measure the SBS, because, generally, they invest in short term commercial </w:t>
      </w:r>
      <w:r w:rsidR="00AA7711" w:rsidRPr="00B44D0D">
        <w:rPr>
          <w:rFonts w:ascii="Times New Roman" w:hAnsi="Times New Roman" w:cs="Times New Roman"/>
          <w:sz w:val="24"/>
          <w:szCs w:val="24"/>
        </w:rPr>
        <w:t>paper,</w:t>
      </w:r>
      <w:r w:rsidRPr="00B44D0D">
        <w:rPr>
          <w:rFonts w:ascii="Times New Roman" w:hAnsi="Times New Roman" w:cs="Times New Roman"/>
          <w:sz w:val="24"/>
          <w:szCs w:val="24"/>
        </w:rPr>
        <w:t xml:space="preserve"> which in turn is used to obtain working capital by corporations.</w:t>
      </w:r>
      <w:r w:rsidR="00AB51CA">
        <w:rPr>
          <w:rStyle w:val="FootnoteReference"/>
          <w:rFonts w:ascii="Times New Roman" w:hAnsi="Times New Roman" w:cs="Times New Roman"/>
          <w:sz w:val="24"/>
          <w:szCs w:val="24"/>
        </w:rPr>
        <w:footnoteReference w:id="18"/>
      </w:r>
      <w:r w:rsidRPr="00B44D0D">
        <w:rPr>
          <w:rFonts w:ascii="Times New Roman" w:hAnsi="Times New Roman" w:cs="Times New Roman"/>
          <w:sz w:val="24"/>
          <w:szCs w:val="24"/>
        </w:rPr>
        <w:t xml:space="preserve">  His results show that in the third and fourth quarter of 2007, Europe enhanced MMFs suffered an outflow of €45 billion. Luxembourg-Based AXA Investment Management, French asset manager ODDO, (German) Union Investment, HSBC Investments Deutschland, Sal Oppenheim and Frankfurter Trust, German </w:t>
      </w:r>
      <w:proofErr w:type="spellStart"/>
      <w:r w:rsidRPr="00B44D0D">
        <w:rPr>
          <w:rFonts w:ascii="Times New Roman" w:hAnsi="Times New Roman" w:cs="Times New Roman"/>
          <w:sz w:val="24"/>
          <w:szCs w:val="24"/>
        </w:rPr>
        <w:t>WestLB</w:t>
      </w:r>
      <w:proofErr w:type="spellEnd"/>
      <w:r w:rsidRPr="00B44D0D">
        <w:rPr>
          <w:rFonts w:ascii="Times New Roman" w:hAnsi="Times New Roman" w:cs="Times New Roman"/>
          <w:sz w:val="24"/>
          <w:szCs w:val="24"/>
        </w:rPr>
        <w:t xml:space="preserve"> Mellon, French BNP Paribas (MMFs: </w:t>
      </w:r>
      <w:proofErr w:type="spellStart"/>
      <w:r w:rsidRPr="00B44D0D">
        <w:rPr>
          <w:rFonts w:ascii="Times New Roman" w:hAnsi="Times New Roman" w:cs="Times New Roman"/>
          <w:sz w:val="24"/>
          <w:szCs w:val="24"/>
        </w:rPr>
        <w:t>Parvest</w:t>
      </w:r>
      <w:proofErr w:type="spellEnd"/>
      <w:r w:rsidRPr="00B44D0D">
        <w:rPr>
          <w:rFonts w:ascii="Times New Roman" w:hAnsi="Times New Roman" w:cs="Times New Roman"/>
          <w:sz w:val="24"/>
          <w:szCs w:val="24"/>
        </w:rPr>
        <w:t xml:space="preserve"> Dynamic ABS, BNP Paribas ABS Euribor and BNP Paribas </w:t>
      </w:r>
      <w:proofErr w:type="spellStart"/>
      <w:r w:rsidRPr="00B44D0D">
        <w:rPr>
          <w:rFonts w:ascii="Times New Roman" w:hAnsi="Times New Roman" w:cs="Times New Roman"/>
          <w:sz w:val="24"/>
          <w:szCs w:val="24"/>
        </w:rPr>
        <w:t>Paribas</w:t>
      </w:r>
      <w:proofErr w:type="spellEnd"/>
      <w:r w:rsidRPr="00B44D0D">
        <w:rPr>
          <w:rFonts w:ascii="Times New Roman" w:hAnsi="Times New Roman" w:cs="Times New Roman"/>
          <w:sz w:val="24"/>
          <w:szCs w:val="24"/>
        </w:rPr>
        <w:t xml:space="preserve"> ABS </w:t>
      </w:r>
      <w:proofErr w:type="spellStart"/>
      <w:r w:rsidRPr="00B44D0D">
        <w:rPr>
          <w:rFonts w:ascii="Times New Roman" w:hAnsi="Times New Roman" w:cs="Times New Roman"/>
          <w:sz w:val="24"/>
          <w:szCs w:val="24"/>
        </w:rPr>
        <w:t>Eonia</w:t>
      </w:r>
      <w:proofErr w:type="spellEnd"/>
      <w:r w:rsidRPr="00B44D0D">
        <w:rPr>
          <w:rFonts w:ascii="Times New Roman" w:hAnsi="Times New Roman" w:cs="Times New Roman"/>
          <w:sz w:val="24"/>
          <w:szCs w:val="24"/>
        </w:rPr>
        <w:t xml:space="preserve">) and German DWS revealed troubles with their redemptions and </w:t>
      </w:r>
      <w:r w:rsidRPr="00B44D0D">
        <w:rPr>
          <w:rFonts w:ascii="Times New Roman" w:hAnsi="Times New Roman" w:cs="Times New Roman"/>
          <w:sz w:val="24"/>
          <w:szCs w:val="24"/>
        </w:rPr>
        <w:lastRenderedPageBreak/>
        <w:t>their net asset value haircuts, in the respective order.</w:t>
      </w:r>
      <w:r w:rsidR="00AB51CA">
        <w:rPr>
          <w:rStyle w:val="FootnoteReference"/>
          <w:rFonts w:ascii="Times New Roman" w:hAnsi="Times New Roman" w:cs="Times New Roman"/>
          <w:sz w:val="24"/>
          <w:szCs w:val="24"/>
        </w:rPr>
        <w:footnoteReference w:id="19"/>
      </w:r>
      <w:r w:rsidRPr="00B44D0D">
        <w:rPr>
          <w:rFonts w:ascii="Times New Roman" w:hAnsi="Times New Roman" w:cs="Times New Roman"/>
          <w:sz w:val="24"/>
          <w:szCs w:val="24"/>
        </w:rPr>
        <w:t xml:space="preserve">   Also the FSB (2011b) states that the MMFs assets increased from $2.9 trillion in 2002 to $4.8 trillion in 2008, but declined to $3.9 trillion in 2010.</w:t>
      </w:r>
      <w:r w:rsidR="00AB51CA">
        <w:rPr>
          <w:rStyle w:val="FootnoteReference"/>
          <w:rFonts w:ascii="Times New Roman" w:hAnsi="Times New Roman" w:cs="Times New Roman"/>
          <w:sz w:val="24"/>
          <w:szCs w:val="24"/>
        </w:rPr>
        <w:footnoteReference w:id="20"/>
      </w:r>
      <w:r w:rsidRPr="00B44D0D">
        <w:rPr>
          <w:rFonts w:ascii="Times New Roman" w:hAnsi="Times New Roman" w:cs="Times New Roman"/>
          <w:sz w:val="24"/>
          <w:szCs w:val="24"/>
        </w:rPr>
        <w:t xml:space="preserve">  </w:t>
      </w:r>
    </w:p>
    <w:p w14:paraId="6C09F182" w14:textId="1AB7E525"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So </w:t>
      </w:r>
      <w:r w:rsidR="00FB2473" w:rsidRPr="00B44D0D">
        <w:rPr>
          <w:rFonts w:ascii="Times New Roman" w:hAnsi="Times New Roman" w:cs="Times New Roman"/>
          <w:sz w:val="24"/>
          <w:szCs w:val="24"/>
        </w:rPr>
        <w:t>far,</w:t>
      </w:r>
      <w:r w:rsidRPr="00B44D0D">
        <w:rPr>
          <w:rFonts w:ascii="Times New Roman" w:hAnsi="Times New Roman" w:cs="Times New Roman"/>
          <w:sz w:val="24"/>
          <w:szCs w:val="24"/>
        </w:rPr>
        <w:t xml:space="preserve"> the described studies about the measurement of the repo market depict some general conclusions about the type of run, and somehow glimpse the traces of the recent financial crisis. </w:t>
      </w:r>
    </w:p>
    <w:p w14:paraId="5482F7B8" w14:textId="7777777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a broad-spectrum it seems that authors who studied the bilateral repo market, concluded that the repo market was the core of the run in the recent crisis; and those who studied the tri-party repo market, found the run on the repo market was too small to trigger the whole crisis.  Instead, they affirm that the short-term borrowing or debt was considerably big to boost the SBS collapse, and hence the crisis.  </w:t>
      </w:r>
    </w:p>
    <w:p w14:paraId="16827889" w14:textId="5384FD6A" w:rsidR="001B3418" w:rsidRPr="00B44D0D" w:rsidRDefault="006C6F9C" w:rsidP="00AA7711">
      <w:pPr>
        <w:pStyle w:val="Heading2"/>
      </w:pPr>
      <w:bookmarkStart w:id="24" w:name="_Toc90499931"/>
      <w:r>
        <w:t>1.</w:t>
      </w:r>
      <w:r w:rsidR="00E62031">
        <w:t xml:space="preserve">2.3 </w:t>
      </w:r>
      <w:r w:rsidR="001B3418" w:rsidRPr="00B44D0D">
        <w:t>Following the Banking System’s traces in the Shadow</w:t>
      </w:r>
      <w:bookmarkEnd w:id="24"/>
      <w:r w:rsidR="001B3418" w:rsidRPr="00B44D0D">
        <w:t xml:space="preserve">  </w:t>
      </w:r>
    </w:p>
    <w:p w14:paraId="2656D738" w14:textId="381A0C70"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three main assumptions identified, in this </w:t>
      </w:r>
      <w:r w:rsidR="00B8315B">
        <w:rPr>
          <w:rFonts w:ascii="Times New Roman" w:hAnsi="Times New Roman" w:cs="Times New Roman"/>
          <w:sz w:val="24"/>
          <w:szCs w:val="24"/>
        </w:rPr>
        <w:t>research</w:t>
      </w:r>
      <w:r w:rsidRPr="00B44D0D">
        <w:rPr>
          <w:rFonts w:ascii="Times New Roman" w:hAnsi="Times New Roman" w:cs="Times New Roman"/>
          <w:sz w:val="24"/>
          <w:szCs w:val="24"/>
        </w:rPr>
        <w:t xml:space="preserve">, related to the cause of the recent financial crisis are the Subprime or Housing Bubble, the </w:t>
      </w:r>
      <w:r w:rsidR="00AA7711"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repo market, and the </w:t>
      </w:r>
      <w:r w:rsidR="00AA7711"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short-term debt (especially on the ABCP).  The first one seems to be just the tip of the iceberg; the second one was significant to some dealer banks that were most heavily exposed to these assets.</w:t>
      </w:r>
      <w:r w:rsidR="00AB51CA">
        <w:rPr>
          <w:rStyle w:val="FootnoteReference"/>
          <w:rFonts w:ascii="Times New Roman" w:hAnsi="Times New Roman" w:cs="Times New Roman"/>
          <w:sz w:val="24"/>
          <w:szCs w:val="24"/>
        </w:rPr>
        <w:footnoteReference w:id="21"/>
      </w:r>
      <w:r w:rsidRPr="00B44D0D">
        <w:rPr>
          <w:rFonts w:ascii="Times New Roman" w:hAnsi="Times New Roman" w:cs="Times New Roman"/>
          <w:sz w:val="24"/>
          <w:szCs w:val="24"/>
        </w:rPr>
        <w:t xml:space="preserve">  And the third one, the run on the short-term debt, appears to be the bigger on the whole financial ecosystem, due to the implication of financial intermediation (FI)</w:t>
      </w:r>
      <w:r w:rsidR="00AB51CA">
        <w:rPr>
          <w:rStyle w:val="FootnoteReference"/>
          <w:rFonts w:ascii="Times New Roman" w:hAnsi="Times New Roman" w:cs="Times New Roman"/>
          <w:sz w:val="24"/>
          <w:szCs w:val="24"/>
        </w:rPr>
        <w:footnoteReference w:id="22"/>
      </w:r>
      <w:r w:rsidRPr="00B44D0D">
        <w:rPr>
          <w:rFonts w:ascii="Times New Roman" w:hAnsi="Times New Roman" w:cs="Times New Roman"/>
          <w:sz w:val="24"/>
          <w:szCs w:val="24"/>
        </w:rPr>
        <w:t xml:space="preserve"> as diverse non-bank entities. </w:t>
      </w:r>
      <w:r w:rsidR="00DB7BDA" w:rsidRPr="00B44D0D">
        <w:rPr>
          <w:rFonts w:ascii="Times New Roman" w:hAnsi="Times New Roman" w:cs="Times New Roman"/>
          <w:sz w:val="24"/>
          <w:szCs w:val="24"/>
        </w:rPr>
        <w:t>Therefore,</w:t>
      </w:r>
      <w:r w:rsidRPr="00B44D0D">
        <w:rPr>
          <w:rFonts w:ascii="Times New Roman" w:hAnsi="Times New Roman" w:cs="Times New Roman"/>
          <w:sz w:val="24"/>
          <w:szCs w:val="24"/>
        </w:rPr>
        <w:t xml:space="preserve"> the last assumption is presumably at the core of the SBS’s collapse, and hence of the crisis.   </w:t>
      </w:r>
    </w:p>
    <w:p w14:paraId="6C8B42B4" w14:textId="24590335"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 xml:space="preserve">The run on the short-term debt, especially on the ABCP, is called by Chang (2011), as a </w:t>
      </w:r>
      <w:r w:rsidR="00AA7711"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money market mutual funds</w:t>
      </w:r>
      <w:r w:rsidR="00406E75">
        <w:rPr>
          <w:rStyle w:val="FootnoteReference"/>
          <w:rFonts w:ascii="Times New Roman" w:hAnsi="Times New Roman" w:cs="Times New Roman"/>
          <w:sz w:val="24"/>
          <w:szCs w:val="24"/>
        </w:rPr>
        <w:footnoteReference w:id="23"/>
      </w:r>
      <w:r w:rsidRPr="00B44D0D">
        <w:rPr>
          <w:rFonts w:ascii="Times New Roman" w:hAnsi="Times New Roman" w:cs="Times New Roman"/>
          <w:sz w:val="24"/>
          <w:szCs w:val="24"/>
        </w:rPr>
        <w:t xml:space="preserve">, because these funds typically invest in short term commercial paper.  It is also called a run on the Asset-Backed Commercial Paper (ABCP), which spread quickly to the interbank market. </w:t>
      </w:r>
    </w:p>
    <w:p w14:paraId="358AD88B" w14:textId="7777777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authors of tri-party repo market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(2010b), Copeland, Martin &amp;Walker (2011) and Krishnamurthy, Nagel &amp; </w:t>
      </w:r>
      <w:proofErr w:type="spellStart"/>
      <w:r w:rsidRPr="00B44D0D">
        <w:rPr>
          <w:rFonts w:ascii="Times New Roman" w:hAnsi="Times New Roman" w:cs="Times New Roman"/>
          <w:sz w:val="24"/>
          <w:szCs w:val="24"/>
        </w:rPr>
        <w:t>Orlov</w:t>
      </w:r>
      <w:proofErr w:type="spellEnd"/>
      <w:r w:rsidRPr="00B44D0D">
        <w:rPr>
          <w:rFonts w:ascii="Times New Roman" w:hAnsi="Times New Roman" w:cs="Times New Roman"/>
          <w:sz w:val="24"/>
          <w:szCs w:val="24"/>
        </w:rPr>
        <w:t xml:space="preserve"> (2011)), and the aftermath studies (Chang (2011) and </w:t>
      </w:r>
      <w:proofErr w:type="spellStart"/>
      <w:r w:rsidRPr="00B44D0D">
        <w:rPr>
          <w:rFonts w:ascii="Times New Roman" w:hAnsi="Times New Roman" w:cs="Times New Roman"/>
          <w:sz w:val="24"/>
          <w:szCs w:val="24"/>
        </w:rPr>
        <w:t>Bouveret</w:t>
      </w:r>
      <w:proofErr w:type="spellEnd"/>
      <w:r w:rsidRPr="00B44D0D">
        <w:rPr>
          <w:rFonts w:ascii="Times New Roman" w:hAnsi="Times New Roman" w:cs="Times New Roman"/>
          <w:sz w:val="24"/>
          <w:szCs w:val="24"/>
        </w:rPr>
        <w:t xml:space="preserve"> (2011)</w:t>
      </w:r>
      <w:r w:rsidR="00406E75">
        <w:rPr>
          <w:rStyle w:val="FootnoteReference"/>
          <w:rFonts w:ascii="Times New Roman" w:hAnsi="Times New Roman" w:cs="Times New Roman"/>
          <w:sz w:val="24"/>
          <w:szCs w:val="24"/>
        </w:rPr>
        <w:footnoteReference w:id="24"/>
      </w:r>
      <w:r w:rsidRPr="00B44D0D">
        <w:rPr>
          <w:rFonts w:ascii="Times New Roman" w:hAnsi="Times New Roman" w:cs="Times New Roman"/>
          <w:sz w:val="24"/>
          <w:szCs w:val="24"/>
        </w:rPr>
        <w:t xml:space="preserve">) agree that this type of run (on ABCP) triggered a chain of reactions. </w:t>
      </w:r>
    </w:p>
    <w:p w14:paraId="2AA22EBB" w14:textId="0ADD0FE8"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order to understand the </w:t>
      </w:r>
      <w:r w:rsidR="00AA7711" w:rsidRPr="00B44D0D">
        <w:rPr>
          <w:rFonts w:ascii="Times New Roman" w:hAnsi="Times New Roman" w:cs="Times New Roman"/>
          <w:sz w:val="24"/>
          <w:szCs w:val="24"/>
        </w:rPr>
        <w:t>run-on</w:t>
      </w:r>
      <w:r w:rsidRPr="00B44D0D">
        <w:rPr>
          <w:rFonts w:ascii="Times New Roman" w:hAnsi="Times New Roman" w:cs="Times New Roman"/>
          <w:sz w:val="24"/>
          <w:szCs w:val="24"/>
        </w:rPr>
        <w:t xml:space="preserve"> short-term debt, especially on the ABCP, it is presented below, in figure </w:t>
      </w:r>
      <w:r w:rsidR="00E6304B">
        <w:rPr>
          <w:rFonts w:ascii="Times New Roman" w:hAnsi="Times New Roman" w:cs="Times New Roman"/>
          <w:sz w:val="24"/>
          <w:szCs w:val="24"/>
        </w:rPr>
        <w:t>1.2.3</w:t>
      </w:r>
      <w:r w:rsidRPr="00B44D0D">
        <w:rPr>
          <w:rFonts w:ascii="Times New Roman" w:hAnsi="Times New Roman" w:cs="Times New Roman"/>
          <w:sz w:val="24"/>
          <w:szCs w:val="24"/>
        </w:rPr>
        <w:t xml:space="preserve">, the dynamic of the traditional on-balance-sheet </w:t>
      </w:r>
      <w:r w:rsidR="006E1E2F" w:rsidRPr="00B44D0D">
        <w:rPr>
          <w:rFonts w:ascii="Times New Roman" w:hAnsi="Times New Roman" w:cs="Times New Roman"/>
          <w:sz w:val="24"/>
          <w:szCs w:val="24"/>
        </w:rPr>
        <w:t>financing;</w:t>
      </w:r>
      <w:r w:rsidRPr="00B44D0D">
        <w:rPr>
          <w:rFonts w:ascii="Times New Roman" w:hAnsi="Times New Roman" w:cs="Times New Roman"/>
          <w:sz w:val="24"/>
          <w:szCs w:val="24"/>
        </w:rPr>
        <w:t xml:space="preserve"> and the SBS’s off-balance-sheet financing technique. </w:t>
      </w:r>
    </w:p>
    <w:p w14:paraId="2AE7746E" w14:textId="6369FC5A"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shadowy nature of the off-balance sheet technique represents a challenge to </w:t>
      </w:r>
      <w:r w:rsidR="00F7280F" w:rsidRPr="00B44D0D">
        <w:rPr>
          <w:rFonts w:ascii="Times New Roman" w:hAnsi="Times New Roman" w:cs="Times New Roman"/>
          <w:sz w:val="24"/>
          <w:szCs w:val="24"/>
        </w:rPr>
        <w:t>analyse</w:t>
      </w:r>
      <w:r w:rsidRPr="00B44D0D">
        <w:rPr>
          <w:rFonts w:ascii="Times New Roman" w:hAnsi="Times New Roman" w:cs="Times New Roman"/>
          <w:sz w:val="24"/>
          <w:szCs w:val="24"/>
        </w:rPr>
        <w:t xml:space="preserve"> the non-bank’s securities lending transaction (which is typically related with funding), besides the data problems, mentioned in the section above.  </w:t>
      </w:r>
    </w:p>
    <w:p w14:paraId="0C6A7828" w14:textId="27844D0E"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In step 4 of the figure</w:t>
      </w:r>
      <w:r w:rsidR="00E6304B">
        <w:rPr>
          <w:rFonts w:ascii="Times New Roman" w:hAnsi="Times New Roman" w:cs="Times New Roman"/>
          <w:sz w:val="24"/>
          <w:szCs w:val="24"/>
        </w:rPr>
        <w:t xml:space="preserve"> 1.2.3</w:t>
      </w:r>
      <w:r w:rsidRPr="00B44D0D">
        <w:rPr>
          <w:rFonts w:ascii="Times New Roman" w:hAnsi="Times New Roman" w:cs="Times New Roman"/>
          <w:sz w:val="24"/>
          <w:szCs w:val="24"/>
        </w:rPr>
        <w:t xml:space="preserve">, financing becomes off-balance sheet of the bank. Loans are pooled and securitized. Bonds created by securitization are often the main source of collateral that provides insurance for large depositors, because deposit insurance worked for retail investors. </w:t>
      </w:r>
    </w:p>
    <w:p w14:paraId="07B8E52E" w14:textId="222FABA0" w:rsidR="006E1E2F" w:rsidRDefault="006E1E2F" w:rsidP="006E1E2F">
      <w:pPr>
        <w:keepNext/>
        <w:jc w:val="center"/>
        <w:rPr>
          <w:rFonts w:ascii="Times New Roman" w:hAnsi="Times New Roman" w:cs="Times New Roman"/>
          <w:sz w:val="24"/>
          <w:szCs w:val="24"/>
        </w:rPr>
      </w:pPr>
      <w:r>
        <w:rPr>
          <w:noProof/>
        </w:rPr>
        <w:lastRenderedPageBreak/>
        <w:drawing>
          <wp:inline distT="0" distB="0" distL="0" distR="0" wp14:anchorId="2F508835" wp14:editId="2CED2EF8">
            <wp:extent cx="5594350" cy="2381250"/>
            <wp:effectExtent l="0" t="0" r="6350" b="0"/>
            <wp:docPr id="206" name="Picture 206" descr="primary &amp; secondary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imary &amp; secondary marke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604" cy="2381358"/>
                    </a:xfrm>
                    <a:prstGeom prst="rect">
                      <a:avLst/>
                    </a:prstGeom>
                    <a:noFill/>
                    <a:ln>
                      <a:noFill/>
                    </a:ln>
                  </pic:spPr>
                </pic:pic>
              </a:graphicData>
            </a:graphic>
          </wp:inline>
        </w:drawing>
      </w:r>
    </w:p>
    <w:p w14:paraId="459A6CA3" w14:textId="209B5DD8" w:rsidR="006E1E2F" w:rsidRDefault="006E1E2F" w:rsidP="006E1E2F">
      <w:pPr>
        <w:keepNext/>
        <w:jc w:val="center"/>
      </w:pPr>
      <w:r>
        <w:rPr>
          <w:rFonts w:ascii="Times New Roman" w:hAnsi="Times New Roman" w:cs="Times New Roman"/>
          <w:sz w:val="24"/>
          <w:szCs w:val="24"/>
        </w:rPr>
        <w:t>D</w:t>
      </w:r>
      <w:r w:rsidRPr="00B44D0D">
        <w:rPr>
          <w:rFonts w:ascii="Times New Roman" w:hAnsi="Times New Roman" w:cs="Times New Roman"/>
          <w:sz w:val="24"/>
          <w:szCs w:val="24"/>
        </w:rPr>
        <w:t>ynamic of the traditional on-balance-sheet financing</w:t>
      </w:r>
    </w:p>
    <w:p w14:paraId="3AABB271" w14:textId="20A11F89" w:rsidR="006E1E2F" w:rsidRDefault="006E1E2F" w:rsidP="006E1E2F">
      <w:pPr>
        <w:keepNext/>
        <w:jc w:val="center"/>
      </w:pPr>
      <w:r>
        <w:rPr>
          <w:noProof/>
        </w:rPr>
        <w:drawing>
          <wp:inline distT="0" distB="0" distL="0" distR="0" wp14:anchorId="60437DCB" wp14:editId="443CD30A">
            <wp:extent cx="5617210" cy="3295650"/>
            <wp:effectExtent l="0" t="0" r="2540" b="0"/>
            <wp:docPr id="116" name="Picture 116" descr="Assets, Liability and asset portfolio management, Money creation, Off-balance  sheet activities, Central bank money, Loans, Off-balance-sheet activities  that carry risk, Off-balance-sheet activities that carry no or little risk  - 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ts, Liability and asset portfolio management, Money creation, Off-balance  sheet activities, Central bank money, Loans, Off-balance-sheet activities  that carry risk, Off-balance-sheet activities that carry no or little risk  - Ban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210" cy="3295650"/>
                    </a:xfrm>
                    <a:prstGeom prst="rect">
                      <a:avLst/>
                    </a:prstGeom>
                    <a:noFill/>
                    <a:ln>
                      <a:noFill/>
                    </a:ln>
                  </pic:spPr>
                </pic:pic>
              </a:graphicData>
            </a:graphic>
          </wp:inline>
        </w:drawing>
      </w:r>
    </w:p>
    <w:p w14:paraId="1808D3D1" w14:textId="0790EC0A" w:rsidR="008128CD" w:rsidRDefault="006E1E2F" w:rsidP="006E1E2F">
      <w:pPr>
        <w:keepNext/>
        <w:jc w:val="center"/>
      </w:pPr>
      <w:r w:rsidRPr="00B44D0D">
        <w:rPr>
          <w:rFonts w:ascii="Times New Roman" w:hAnsi="Times New Roman" w:cs="Times New Roman"/>
          <w:sz w:val="24"/>
          <w:szCs w:val="24"/>
        </w:rPr>
        <w:t>SBS’s off-balance-sheet financing technique</w:t>
      </w:r>
    </w:p>
    <w:p w14:paraId="553A777B" w14:textId="20A440B0" w:rsidR="0024332D" w:rsidRPr="008128CD" w:rsidRDefault="008128CD" w:rsidP="008128CD">
      <w:pPr>
        <w:pStyle w:val="Caption"/>
        <w:jc w:val="center"/>
        <w:rPr>
          <w:rFonts w:ascii="Times New Roman" w:hAnsi="Times New Roman" w:cs="Times New Roman"/>
          <w:color w:val="auto"/>
          <w:sz w:val="24"/>
          <w:szCs w:val="24"/>
        </w:rPr>
      </w:pPr>
      <w:bookmarkStart w:id="25" w:name="_Toc78498668"/>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3</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On and Off-Balance-Sheet Financing</w:t>
      </w:r>
      <w:bookmarkEnd w:id="25"/>
    </w:p>
    <w:p w14:paraId="7AD1E037" w14:textId="06E40A24" w:rsidR="001B3418" w:rsidRPr="00B44D0D" w:rsidRDefault="001B3418" w:rsidP="0024332D">
      <w:pPr>
        <w:jc w:val="center"/>
        <w:rPr>
          <w:rFonts w:ascii="Times New Roman" w:hAnsi="Times New Roman" w:cs="Times New Roman"/>
          <w:sz w:val="24"/>
          <w:szCs w:val="24"/>
        </w:rPr>
      </w:pPr>
      <w:r w:rsidRPr="00B44D0D">
        <w:rPr>
          <w:rFonts w:ascii="Times New Roman" w:hAnsi="Times New Roman" w:cs="Times New Roman"/>
          <w:sz w:val="24"/>
          <w:szCs w:val="24"/>
        </w:rPr>
        <w:t xml:space="preserve">Source: Gorton &amp; </w:t>
      </w:r>
      <w:proofErr w:type="spellStart"/>
      <w:r w:rsidRPr="00B44D0D">
        <w:rPr>
          <w:rFonts w:ascii="Times New Roman" w:hAnsi="Times New Roman" w:cs="Times New Roman"/>
          <w:sz w:val="24"/>
          <w:szCs w:val="24"/>
        </w:rPr>
        <w:t>Metrick</w:t>
      </w:r>
      <w:proofErr w:type="spellEnd"/>
      <w:r w:rsidRPr="00B44D0D">
        <w:rPr>
          <w:rFonts w:ascii="Times New Roman" w:hAnsi="Times New Roman" w:cs="Times New Roman"/>
          <w:sz w:val="24"/>
          <w:szCs w:val="24"/>
        </w:rPr>
        <w:t xml:space="preserve"> (2010a)</w:t>
      </w:r>
    </w:p>
    <w:p w14:paraId="609397D0" w14:textId="6A0776F5" w:rsidR="001B3418"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Securitization is not the fairy tale villain. On the one hand, it has the potential to create an unlimited </w:t>
      </w:r>
      <w:r w:rsidR="00AA7711" w:rsidRPr="00B44D0D">
        <w:rPr>
          <w:rFonts w:ascii="Times New Roman" w:hAnsi="Times New Roman" w:cs="Times New Roman"/>
          <w:sz w:val="24"/>
          <w:szCs w:val="24"/>
        </w:rPr>
        <w:t>number</w:t>
      </w:r>
      <w:r w:rsidRPr="00B44D0D">
        <w:rPr>
          <w:rFonts w:ascii="Times New Roman" w:hAnsi="Times New Roman" w:cs="Times New Roman"/>
          <w:sz w:val="24"/>
          <w:szCs w:val="24"/>
        </w:rPr>
        <w:t xml:space="preserve"> of marketable securities; on the other hand, these marketable securities are </w:t>
      </w:r>
      <w:r w:rsidRPr="00B44D0D">
        <w:rPr>
          <w:rFonts w:ascii="Times New Roman" w:hAnsi="Times New Roman" w:cs="Times New Roman"/>
          <w:sz w:val="24"/>
          <w:szCs w:val="24"/>
        </w:rPr>
        <w:lastRenderedPageBreak/>
        <w:t xml:space="preserve">created out of risky loans. It is a mixed blessing for short-term funding.  As the following figure </w:t>
      </w:r>
      <w:r w:rsidR="00D238B8">
        <w:rPr>
          <w:rFonts w:ascii="Times New Roman" w:hAnsi="Times New Roman" w:cs="Times New Roman"/>
          <w:sz w:val="24"/>
          <w:szCs w:val="24"/>
        </w:rPr>
        <w:t>1</w:t>
      </w:r>
      <w:r w:rsidRPr="00B44D0D">
        <w:rPr>
          <w:rFonts w:ascii="Times New Roman" w:hAnsi="Times New Roman" w:cs="Times New Roman"/>
          <w:sz w:val="24"/>
          <w:szCs w:val="24"/>
        </w:rPr>
        <w:t>.4 shows securitization grew enormously.</w:t>
      </w:r>
      <w:r w:rsidR="00406E75">
        <w:rPr>
          <w:rStyle w:val="FootnoteReference"/>
          <w:rFonts w:ascii="Times New Roman" w:hAnsi="Times New Roman" w:cs="Times New Roman"/>
          <w:sz w:val="24"/>
          <w:szCs w:val="24"/>
        </w:rPr>
        <w:footnoteReference w:id="25"/>
      </w:r>
      <w:r w:rsidRPr="00B44D0D">
        <w:rPr>
          <w:rFonts w:ascii="Times New Roman" w:hAnsi="Times New Roman" w:cs="Times New Roman"/>
          <w:sz w:val="24"/>
          <w:szCs w:val="24"/>
        </w:rPr>
        <w:t xml:space="preserve"> </w:t>
      </w:r>
    </w:p>
    <w:p w14:paraId="6056CF43" w14:textId="445A9800" w:rsidR="008128CD" w:rsidRDefault="001B3418" w:rsidP="008128CD">
      <w:pPr>
        <w:keepNext/>
        <w:jc w:val="both"/>
      </w:pPr>
      <w:r w:rsidRPr="00B44D0D">
        <w:rPr>
          <w:rFonts w:ascii="Times New Roman" w:hAnsi="Times New Roman" w:cs="Times New Roman"/>
          <w:sz w:val="24"/>
          <w:szCs w:val="24"/>
        </w:rPr>
        <w:t xml:space="preserve"> </w:t>
      </w:r>
      <w:r w:rsidR="006E2D67">
        <w:rPr>
          <w:noProof/>
        </w:rPr>
        <w:drawing>
          <wp:inline distT="0" distB="0" distL="0" distR="0" wp14:anchorId="628614FC" wp14:editId="6221A943">
            <wp:extent cx="5427566" cy="3175000"/>
            <wp:effectExtent l="0" t="0" r="1905" b="6350"/>
            <wp:docPr id="97" name="Picture 97" descr="Securitization as a response to monetary policy - Zhang - 2019 -  International Journal of Finance &amp;amp;amp; Economic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curitization as a response to monetary policy - Zhang - 2019 -  International Journal of Finance &amp;amp;amp; Economics - Wiley Online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8501" cy="3181397"/>
                    </a:xfrm>
                    <a:prstGeom prst="rect">
                      <a:avLst/>
                    </a:prstGeom>
                    <a:noFill/>
                    <a:ln>
                      <a:noFill/>
                    </a:ln>
                  </pic:spPr>
                </pic:pic>
              </a:graphicData>
            </a:graphic>
          </wp:inline>
        </w:drawing>
      </w:r>
    </w:p>
    <w:p w14:paraId="69DEBF5B" w14:textId="6280C90A" w:rsidR="0024332D" w:rsidRPr="008128CD" w:rsidRDefault="008128CD" w:rsidP="008128CD">
      <w:pPr>
        <w:pStyle w:val="Caption"/>
        <w:jc w:val="both"/>
        <w:rPr>
          <w:rFonts w:ascii="Times New Roman" w:hAnsi="Times New Roman" w:cs="Times New Roman"/>
          <w:color w:val="auto"/>
          <w:sz w:val="24"/>
          <w:szCs w:val="24"/>
        </w:rPr>
      </w:pPr>
      <w:bookmarkStart w:id="26" w:name="_Toc78498669"/>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4</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Ratio of Total Private Securitization to Total Bank Loans</w:t>
      </w:r>
      <w:bookmarkEnd w:id="26"/>
    </w:p>
    <w:p w14:paraId="65973D10" w14:textId="3AE5C576" w:rsidR="001B3418" w:rsidRPr="006E2D67" w:rsidRDefault="001B3418" w:rsidP="00FD07CD">
      <w:pPr>
        <w:pStyle w:val="Caption"/>
        <w:rPr>
          <w:rFonts w:ascii="Times New Roman" w:hAnsi="Times New Roman" w:cs="Times New Roman"/>
          <w:color w:val="000000" w:themeColor="text1"/>
          <w:sz w:val="24"/>
          <w:szCs w:val="24"/>
        </w:rPr>
      </w:pPr>
      <w:r w:rsidRPr="006E2D67">
        <w:rPr>
          <w:rFonts w:ascii="Times New Roman" w:hAnsi="Times New Roman" w:cs="Times New Roman"/>
          <w:color w:val="000000" w:themeColor="text1"/>
          <w:sz w:val="24"/>
          <w:szCs w:val="24"/>
        </w:rPr>
        <w:t xml:space="preserve">Source: </w:t>
      </w:r>
      <w:r w:rsidR="006E2D67" w:rsidRPr="006E2D67">
        <w:rPr>
          <w:rFonts w:ascii="Times New Roman" w:hAnsi="Times New Roman" w:cs="Times New Roman"/>
          <w:color w:val="000000"/>
          <w:sz w:val="24"/>
          <w:szCs w:val="24"/>
          <w:shd w:val="clear" w:color="auto" w:fill="FFFFFF"/>
        </w:rPr>
        <w:t>Zhang and Xu (2019)</w:t>
      </w:r>
    </w:p>
    <w:p w14:paraId="24724214" w14:textId="7777777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securitization, as a form of banking and as a very important source of financing, allows the re-hypothecation (re-use) of the collateral in another transaction, potentially with a different counterparty. Consequently, securitization was able to knit together the housing bubble, the repo market and the short-term debt with the SBS because they are fertile soil to lay and trade “again and again” the collateral of a security for short-term funding, which does appear on-balance sheet not before maturity. </w:t>
      </w:r>
    </w:p>
    <w:p w14:paraId="4E5DCD69" w14:textId="2407EE2B" w:rsidR="001B3418" w:rsidRPr="00B44D0D" w:rsidRDefault="001B3418" w:rsidP="00AA7711">
      <w:pPr>
        <w:spacing w:line="360" w:lineRule="auto"/>
        <w:jc w:val="both"/>
        <w:rPr>
          <w:rFonts w:ascii="Times New Roman" w:hAnsi="Times New Roman" w:cs="Times New Roman"/>
          <w:sz w:val="24"/>
          <w:szCs w:val="24"/>
        </w:rPr>
      </w:pPr>
      <w:proofErr w:type="spellStart"/>
      <w:r w:rsidRPr="00B44D0D">
        <w:rPr>
          <w:rFonts w:ascii="Times New Roman" w:hAnsi="Times New Roman" w:cs="Times New Roman"/>
          <w:sz w:val="24"/>
          <w:szCs w:val="24"/>
        </w:rPr>
        <w:t>Pozsar</w:t>
      </w:r>
      <w:proofErr w:type="spellEnd"/>
      <w:r w:rsidRPr="00B44D0D">
        <w:rPr>
          <w:rFonts w:ascii="Times New Roman" w:hAnsi="Times New Roman" w:cs="Times New Roman"/>
          <w:sz w:val="24"/>
          <w:szCs w:val="24"/>
        </w:rPr>
        <w:t xml:space="preserve"> &amp; Singh (2011) and Singh &amp; Aitken (2010) confirm that the Flow of Funds (</w:t>
      </w:r>
      <w:proofErr w:type="spellStart"/>
      <w:r w:rsidRPr="00B44D0D">
        <w:rPr>
          <w:rFonts w:ascii="Times New Roman" w:hAnsi="Times New Roman" w:cs="Times New Roman"/>
          <w:sz w:val="24"/>
          <w:szCs w:val="24"/>
        </w:rPr>
        <w:t>FoF</w:t>
      </w:r>
      <w:proofErr w:type="spellEnd"/>
      <w:r w:rsidRPr="00B44D0D">
        <w:rPr>
          <w:rFonts w:ascii="Times New Roman" w:hAnsi="Times New Roman" w:cs="Times New Roman"/>
          <w:sz w:val="24"/>
          <w:szCs w:val="24"/>
        </w:rPr>
        <w:t xml:space="preserve">) data of the U.S. Federal Reserve captures only on-balance sheet funding.  There is not a specific instrument to capture the off-balance-sheet financing.  Notwithstanding, the last authors affirm “since the U.S. banks re-hypothecate collateral received that can be pledge” with European banks and vice versa, the source of off-balance sheet funding is higher (through the velocity of collateral)”. </w:t>
      </w:r>
    </w:p>
    <w:p w14:paraId="7F9E0E4E" w14:textId="01FF626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Singh &amp; Aitken (2010) examine the sizable role of re-hypothecation in the SBS (or non-bank institutions</w:t>
      </w:r>
      <w:r w:rsidR="00BA5742" w:rsidRPr="00B44D0D">
        <w:rPr>
          <w:rFonts w:ascii="Times New Roman" w:hAnsi="Times New Roman" w:cs="Times New Roman"/>
          <w:sz w:val="24"/>
          <w:szCs w:val="24"/>
        </w:rPr>
        <w:t>) and</w:t>
      </w:r>
      <w:r w:rsidRPr="00B44D0D">
        <w:rPr>
          <w:rFonts w:ascii="Times New Roman" w:hAnsi="Times New Roman" w:cs="Times New Roman"/>
          <w:sz w:val="24"/>
          <w:szCs w:val="24"/>
        </w:rPr>
        <w:t xml:space="preserve"> conclude that it is at least 50 percent bigger than documented so far. Their estimations “…suggest that about $1 trillion of the market value of securities of the global hedge fund industry was re-hypothecated, as of end-2007” (p.11). The next graphics show the re-hypothecation decline, by </w:t>
      </w:r>
      <w:r w:rsidR="00AA7711" w:rsidRPr="00B44D0D">
        <w:rPr>
          <w:rFonts w:ascii="Times New Roman" w:hAnsi="Times New Roman" w:cs="Times New Roman"/>
          <w:sz w:val="24"/>
          <w:szCs w:val="24"/>
        </w:rPr>
        <w:t>analysing</w:t>
      </w:r>
      <w:r w:rsidRPr="00B44D0D">
        <w:rPr>
          <w:rFonts w:ascii="Times New Roman" w:hAnsi="Times New Roman" w:cs="Times New Roman"/>
          <w:sz w:val="24"/>
          <w:szCs w:val="24"/>
        </w:rPr>
        <w:t xml:space="preserve"> the collateral received that is permitted to be pledged at Large U.S. Banks (figure </w:t>
      </w:r>
      <w:r w:rsidR="00E6304B">
        <w:rPr>
          <w:rFonts w:ascii="Times New Roman" w:hAnsi="Times New Roman" w:cs="Times New Roman"/>
          <w:sz w:val="24"/>
          <w:szCs w:val="24"/>
        </w:rPr>
        <w:t>1.2.5</w:t>
      </w:r>
      <w:r w:rsidRPr="00B44D0D">
        <w:rPr>
          <w:rFonts w:ascii="Times New Roman" w:hAnsi="Times New Roman" w:cs="Times New Roman"/>
          <w:sz w:val="24"/>
          <w:szCs w:val="24"/>
        </w:rPr>
        <w:t xml:space="preserve">) and at the large European banks (figure </w:t>
      </w:r>
      <w:r w:rsidR="00E6304B">
        <w:rPr>
          <w:rFonts w:ascii="Times New Roman" w:hAnsi="Times New Roman" w:cs="Times New Roman"/>
          <w:sz w:val="24"/>
          <w:szCs w:val="24"/>
        </w:rPr>
        <w:t>1.2.</w:t>
      </w:r>
      <w:r w:rsidR="00665791">
        <w:rPr>
          <w:rFonts w:ascii="Times New Roman" w:hAnsi="Times New Roman" w:cs="Times New Roman"/>
          <w:sz w:val="24"/>
          <w:szCs w:val="24"/>
        </w:rPr>
        <w:t>6</w:t>
      </w:r>
      <w:r w:rsidRPr="00B44D0D">
        <w:rPr>
          <w:rFonts w:ascii="Times New Roman" w:hAnsi="Times New Roman" w:cs="Times New Roman"/>
          <w:sz w:val="24"/>
          <w:szCs w:val="24"/>
        </w:rPr>
        <w:t xml:space="preserve">), from November 2007 to December 2009; in billions of U.S. dollar. </w:t>
      </w:r>
    </w:p>
    <w:p w14:paraId="6D97CC61" w14:textId="7777777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As the next two figures show, after the Lehman’s Bankruptcy, the re-hypothecation declined rapidly.  In the United State, it declined especially for the largest seven U.S. broker-dealers (Lehman, Bear Stearns, Morgan Stanley, Goldman, Merrill and JPMorgan) from about $4.5 trillion to $2.1 trillion; and in Europe, it declined approximately from $4 trillion to $1.7 trillion (Deutsche Bank, Credit Suisse, UBS, Barclays and RBS). </w:t>
      </w:r>
    </w:p>
    <w:p w14:paraId="7388A3CA" w14:textId="7777777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It is important to mention that despite the differences in the monetary system between the U.S. and Europe, the last one reached high levels of re-hypothecation too. These authors argue that the reduced or non-existence of a limitation of re-hypothecation and customer protection rules could be an explanation of the high levels of re-hypothecation reached in Europe. </w:t>
      </w:r>
    </w:p>
    <w:p w14:paraId="5C0074A4" w14:textId="77777777" w:rsidR="001B3418"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In the U.S., there is a customer protection regulation that establishes a quantitative cap or leverage’s limitation (via the 140 percent rule under Rule 15c3-3, Regulation T, Securities Investor Protection Corporation (SIPC))</w:t>
      </w:r>
      <w:r w:rsidR="00406E75">
        <w:rPr>
          <w:rStyle w:val="FootnoteReference"/>
          <w:rFonts w:ascii="Times New Roman" w:hAnsi="Times New Roman" w:cs="Times New Roman"/>
          <w:sz w:val="24"/>
          <w:szCs w:val="24"/>
        </w:rPr>
        <w:footnoteReference w:id="26"/>
      </w:r>
      <w:r w:rsidRPr="00B44D0D">
        <w:rPr>
          <w:rFonts w:ascii="Times New Roman" w:hAnsi="Times New Roman" w:cs="Times New Roman"/>
          <w:sz w:val="24"/>
          <w:szCs w:val="24"/>
        </w:rPr>
        <w:t xml:space="preserve">.  When the leverage’s limitation was reached, the hedge funds opted for funding in other countries where that leverage is not capped as in the U.S. They found a European path to carry on the process and pledge collaterals, especially in the U.K., where an unlimited amount of the customer’s assets can be re-hypothecated and where no customer protection rules exist.  </w:t>
      </w:r>
    </w:p>
    <w:p w14:paraId="4B27FA2C" w14:textId="77777777" w:rsidR="008128CD" w:rsidRDefault="0072733A" w:rsidP="008128CD">
      <w:pPr>
        <w:keepNext/>
        <w:jc w:val="both"/>
      </w:pPr>
      <w:r>
        <w:rPr>
          <w:rFonts w:ascii="Times New Roman" w:eastAsia="Times New Roman" w:hAnsi="Times New Roman" w:cs="Times New Roman"/>
          <w:noProof/>
          <w:sz w:val="20"/>
          <w:szCs w:val="20"/>
          <w:lang w:eastAsia="en-GB"/>
        </w:rPr>
        <w:lastRenderedPageBreak/>
        <w:drawing>
          <wp:inline distT="0" distB="0" distL="0" distR="0" wp14:anchorId="2C8F8A8F" wp14:editId="19C368BE">
            <wp:extent cx="5684520" cy="3028950"/>
            <wp:effectExtent l="0" t="0" r="0" b="0"/>
            <wp:docPr id="1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stretch>
                      <a:fillRect/>
                    </a:stretch>
                  </pic:blipFill>
                  <pic:spPr>
                    <a:xfrm>
                      <a:off x="0" y="0"/>
                      <a:ext cx="5689893" cy="3031813"/>
                    </a:xfrm>
                    <a:prstGeom prst="rect">
                      <a:avLst/>
                    </a:prstGeom>
                  </pic:spPr>
                </pic:pic>
              </a:graphicData>
            </a:graphic>
          </wp:inline>
        </w:drawing>
      </w:r>
    </w:p>
    <w:p w14:paraId="0D01D5C1" w14:textId="122B067E" w:rsidR="00FD07CD" w:rsidRPr="008128CD" w:rsidRDefault="008128CD" w:rsidP="008128CD">
      <w:pPr>
        <w:pStyle w:val="Caption"/>
        <w:jc w:val="both"/>
        <w:rPr>
          <w:rFonts w:ascii="Times New Roman" w:hAnsi="Times New Roman" w:cs="Times New Roman"/>
          <w:color w:val="auto"/>
          <w:sz w:val="24"/>
          <w:szCs w:val="24"/>
        </w:rPr>
      </w:pPr>
      <w:bookmarkStart w:id="27" w:name="_Toc78498670"/>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5</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Collateral Received (Permitted to be pledged at Large U.S. Banks)</w:t>
      </w:r>
      <w:bookmarkEnd w:id="27"/>
    </w:p>
    <w:p w14:paraId="358A9729" w14:textId="63642F27" w:rsidR="001B3418" w:rsidRDefault="001B3418" w:rsidP="00377F27">
      <w:pPr>
        <w:jc w:val="both"/>
        <w:rPr>
          <w:rFonts w:ascii="Times New Roman" w:hAnsi="Times New Roman" w:cs="Times New Roman"/>
          <w:sz w:val="24"/>
          <w:szCs w:val="24"/>
        </w:rPr>
      </w:pPr>
      <w:r w:rsidRPr="00B44D0D">
        <w:rPr>
          <w:rFonts w:ascii="Times New Roman" w:hAnsi="Times New Roman" w:cs="Times New Roman"/>
          <w:sz w:val="24"/>
          <w:szCs w:val="24"/>
        </w:rPr>
        <w:t>Source: Singh &amp; Aitken (2010)</w:t>
      </w:r>
      <w:r w:rsidR="00406E75">
        <w:rPr>
          <w:rFonts w:ascii="Times New Roman" w:hAnsi="Times New Roman" w:cs="Times New Roman"/>
          <w:sz w:val="24"/>
          <w:szCs w:val="24"/>
        </w:rPr>
        <w:t>.</w:t>
      </w:r>
    </w:p>
    <w:p w14:paraId="20D5C56E" w14:textId="6FF7CB20" w:rsidR="00406E75" w:rsidRPr="00406E75" w:rsidRDefault="0080322F" w:rsidP="00377F27">
      <w:pPr>
        <w:jc w:val="both"/>
        <w:rPr>
          <w:rFonts w:ascii="Times New Roman" w:hAnsi="Times New Roman" w:cs="Times New Roman"/>
          <w:sz w:val="24"/>
          <w:szCs w:val="24"/>
        </w:rPr>
      </w:pPr>
      <w:r>
        <w:rPr>
          <w:noProof/>
        </w:rPr>
        <w:drawing>
          <wp:inline distT="0" distB="0" distL="0" distR="0" wp14:anchorId="1038837D" wp14:editId="6E7E37A2">
            <wp:extent cx="5683066" cy="2546350"/>
            <wp:effectExtent l="0" t="0" r="0" b="6350"/>
            <wp:docPr id="98" name="Picture 9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8201"/>
                    <a:stretch/>
                  </pic:blipFill>
                  <pic:spPr bwMode="auto">
                    <a:xfrm>
                      <a:off x="0" y="0"/>
                      <a:ext cx="5752438" cy="2577433"/>
                    </a:xfrm>
                    <a:prstGeom prst="rect">
                      <a:avLst/>
                    </a:prstGeom>
                    <a:noFill/>
                    <a:ln>
                      <a:noFill/>
                    </a:ln>
                    <a:extLst>
                      <a:ext uri="{53640926-AAD7-44D8-BBD7-CCE9431645EC}">
                        <a14:shadowObscured xmlns:a14="http://schemas.microsoft.com/office/drawing/2010/main"/>
                      </a:ext>
                    </a:extLst>
                  </pic:spPr>
                </pic:pic>
              </a:graphicData>
            </a:graphic>
          </wp:inline>
        </w:drawing>
      </w:r>
    </w:p>
    <w:p w14:paraId="741D78E6" w14:textId="6AE97054" w:rsidR="008128CD" w:rsidRDefault="001B3418" w:rsidP="008128CD">
      <w:pPr>
        <w:keepNext/>
        <w:jc w:val="both"/>
      </w:pPr>
      <w:r w:rsidRPr="00B44D0D">
        <w:rPr>
          <w:rFonts w:ascii="Times New Roman" w:hAnsi="Times New Roman" w:cs="Times New Roman"/>
          <w:sz w:val="24"/>
          <w:szCs w:val="24"/>
        </w:rPr>
        <w:t xml:space="preserve"> </w:t>
      </w:r>
    </w:p>
    <w:p w14:paraId="1DECCE6D" w14:textId="50F41FDA" w:rsidR="00FD07CD" w:rsidRPr="008128CD" w:rsidRDefault="008128CD" w:rsidP="008128CD">
      <w:pPr>
        <w:pStyle w:val="Caption"/>
        <w:jc w:val="both"/>
        <w:rPr>
          <w:rFonts w:ascii="Times New Roman" w:hAnsi="Times New Roman" w:cs="Times New Roman"/>
          <w:color w:val="auto"/>
          <w:sz w:val="24"/>
          <w:szCs w:val="24"/>
        </w:rPr>
      </w:pPr>
      <w:bookmarkStart w:id="28" w:name="_Toc78498671"/>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6</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Collateral Received (Permitted to be pledged at Large European Banks)</w:t>
      </w:r>
      <w:bookmarkEnd w:id="28"/>
    </w:p>
    <w:p w14:paraId="6236351D" w14:textId="3EE35999" w:rsidR="001B3418" w:rsidRPr="00B44D0D" w:rsidRDefault="001B3418" w:rsidP="00377F27">
      <w:pPr>
        <w:jc w:val="both"/>
        <w:rPr>
          <w:rFonts w:ascii="Times New Roman" w:hAnsi="Times New Roman" w:cs="Times New Roman"/>
          <w:sz w:val="24"/>
          <w:szCs w:val="24"/>
        </w:rPr>
      </w:pPr>
      <w:r w:rsidRPr="00B44D0D">
        <w:rPr>
          <w:rFonts w:ascii="Times New Roman" w:hAnsi="Times New Roman" w:cs="Times New Roman"/>
          <w:sz w:val="24"/>
          <w:szCs w:val="24"/>
        </w:rPr>
        <w:t xml:space="preserve">Source: Singh &amp; Aitken (2010)  </w:t>
      </w:r>
    </w:p>
    <w:p w14:paraId="2AC1B830" w14:textId="1CAC1165"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When a </w:t>
      </w:r>
      <w:r w:rsidR="00FD07CD" w:rsidRPr="00B44D0D">
        <w:rPr>
          <w:rFonts w:ascii="Times New Roman" w:hAnsi="Times New Roman" w:cs="Times New Roman"/>
          <w:sz w:val="24"/>
          <w:szCs w:val="24"/>
        </w:rPr>
        <w:t>pledged collateral</w:t>
      </w:r>
      <w:r w:rsidRPr="00B44D0D">
        <w:rPr>
          <w:rFonts w:ascii="Times New Roman" w:hAnsi="Times New Roman" w:cs="Times New Roman"/>
          <w:sz w:val="24"/>
          <w:szCs w:val="24"/>
        </w:rPr>
        <w:t xml:space="preserve"> is permitted to be re-used (off-balance item), it means that “the pledged collateral is not owned by these firms, but due to re-hypothecation rights, these firms are legally allowed to use the collateral in their own name” (Singh &amp; Aitken, 2010, p.10).  In other words, a U.S. bank that pledges/re-uses a collateral with a European Bank is not the </w:t>
      </w:r>
      <w:r w:rsidRPr="00B44D0D">
        <w:rPr>
          <w:rFonts w:ascii="Times New Roman" w:hAnsi="Times New Roman" w:cs="Times New Roman"/>
          <w:sz w:val="24"/>
          <w:szCs w:val="24"/>
        </w:rPr>
        <w:lastRenderedPageBreak/>
        <w:t>owner of it, yet due to re-pledge rights,</w:t>
      </w:r>
      <w:r w:rsidR="00406E75">
        <w:rPr>
          <w:rStyle w:val="FootnoteReference"/>
          <w:rFonts w:ascii="Times New Roman" w:hAnsi="Times New Roman" w:cs="Times New Roman"/>
          <w:sz w:val="24"/>
          <w:szCs w:val="24"/>
        </w:rPr>
        <w:footnoteReference w:id="27"/>
      </w:r>
      <w:r w:rsidRPr="00B44D0D">
        <w:rPr>
          <w:rFonts w:ascii="Times New Roman" w:hAnsi="Times New Roman" w:cs="Times New Roman"/>
          <w:sz w:val="24"/>
          <w:szCs w:val="24"/>
        </w:rPr>
        <w:t xml:space="preserve"> this bank can use the collateral in its own name, and vice versa.</w:t>
      </w:r>
      <w:r w:rsidR="00406E75">
        <w:rPr>
          <w:rStyle w:val="FootnoteReference"/>
          <w:rFonts w:ascii="Times New Roman" w:hAnsi="Times New Roman" w:cs="Times New Roman"/>
          <w:sz w:val="24"/>
          <w:szCs w:val="24"/>
        </w:rPr>
        <w:footnoteReference w:id="28"/>
      </w:r>
      <w:r w:rsidRPr="00B44D0D">
        <w:rPr>
          <w:rFonts w:ascii="Times New Roman" w:hAnsi="Times New Roman" w:cs="Times New Roman"/>
          <w:sz w:val="24"/>
          <w:szCs w:val="24"/>
        </w:rPr>
        <w:t xml:space="preserve"> It is evident that the interest, of the banking sector, in the re-hypothecation and thus in pledging collateral, is justified by the opportunity to extract more funding out of the traditional system.  About this, </w:t>
      </w:r>
      <w:proofErr w:type="spellStart"/>
      <w:r w:rsidRPr="00B44D0D">
        <w:rPr>
          <w:rFonts w:ascii="Times New Roman" w:hAnsi="Times New Roman" w:cs="Times New Roman"/>
          <w:sz w:val="24"/>
          <w:szCs w:val="24"/>
        </w:rPr>
        <w:t>Pozsar</w:t>
      </w:r>
      <w:proofErr w:type="spellEnd"/>
      <w:r w:rsidRPr="00B44D0D">
        <w:rPr>
          <w:rFonts w:ascii="Times New Roman" w:hAnsi="Times New Roman" w:cs="Times New Roman"/>
          <w:sz w:val="24"/>
          <w:szCs w:val="24"/>
        </w:rPr>
        <w:t xml:space="preserve"> &amp; Singh (2011) assert that the banks’ funding straddles the traditional (by using M2</w:t>
      </w:r>
      <w:r w:rsidR="00B17D8B">
        <w:rPr>
          <w:rStyle w:val="FootnoteReference"/>
          <w:rFonts w:ascii="Times New Roman" w:hAnsi="Times New Roman" w:cs="Times New Roman"/>
          <w:sz w:val="24"/>
          <w:szCs w:val="24"/>
        </w:rPr>
        <w:footnoteReference w:id="29"/>
      </w:r>
      <w:r w:rsidRPr="00B44D0D">
        <w:rPr>
          <w:rFonts w:ascii="Times New Roman" w:hAnsi="Times New Roman" w:cs="Times New Roman"/>
          <w:sz w:val="24"/>
          <w:szCs w:val="24"/>
        </w:rPr>
        <w:t xml:space="preserve">, for households and some corporations) and the non-traditional banking system (by using market-based liabilities or non-M2).  As the non-M2 types of money were preferred by the asset managers, the funding’s instruments to banks are more asset-manager-to-bank than bank-to-bank claims (interbank). </w:t>
      </w:r>
      <w:r w:rsidR="00B17D8B" w:rsidRPr="00B44D0D">
        <w:rPr>
          <w:rFonts w:ascii="Times New Roman" w:hAnsi="Times New Roman" w:cs="Times New Roman"/>
          <w:sz w:val="24"/>
          <w:szCs w:val="24"/>
        </w:rPr>
        <w:t>Therefore,</w:t>
      </w:r>
      <w:r w:rsidRPr="00B44D0D">
        <w:rPr>
          <w:rFonts w:ascii="Times New Roman" w:hAnsi="Times New Roman" w:cs="Times New Roman"/>
          <w:sz w:val="24"/>
          <w:szCs w:val="24"/>
        </w:rPr>
        <w:t xml:space="preserve"> they state that the shadow banking is primarily an asset manager to bank phenomenon than an interbank phenomenon. They explain: </w:t>
      </w:r>
    </w:p>
    <w:p w14:paraId="64C3C467" w14:textId="17C5EF90"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In the U.S., as noted, the gross volume of funding from non-banks that was intermediated by banks may have been as high as $25 trillion and $18 trillion at year-end 2007 and 2010, respectively. In other words, nonbanks’ funding to banks involves much more than just household and their deposits. [It also involves], …asset managers (mutual funds, pension</w:t>
      </w:r>
      <w:r w:rsidR="00AA7711">
        <w:rPr>
          <w:rFonts w:ascii="Times New Roman" w:hAnsi="Times New Roman" w:cs="Times New Roman"/>
          <w:sz w:val="24"/>
          <w:szCs w:val="24"/>
        </w:rPr>
        <w:t xml:space="preserve"> </w:t>
      </w:r>
      <w:r w:rsidRPr="00B44D0D">
        <w:rPr>
          <w:rFonts w:ascii="Times New Roman" w:hAnsi="Times New Roman" w:cs="Times New Roman"/>
          <w:sz w:val="24"/>
          <w:szCs w:val="24"/>
        </w:rPr>
        <w:lastRenderedPageBreak/>
        <w:t>funds, insurance companies, etc.); which are the major source of demand for non-M2 types of money</w:t>
      </w:r>
      <w:r w:rsidR="00B17D8B">
        <w:rPr>
          <w:rStyle w:val="FootnoteReference"/>
          <w:rFonts w:ascii="Times New Roman" w:hAnsi="Times New Roman" w:cs="Times New Roman"/>
          <w:sz w:val="24"/>
          <w:szCs w:val="24"/>
        </w:rPr>
        <w:footnoteReference w:id="30"/>
      </w:r>
      <w:r w:rsidRPr="00B44D0D">
        <w:rPr>
          <w:rFonts w:ascii="Times New Roman" w:hAnsi="Times New Roman" w:cs="Times New Roman"/>
          <w:sz w:val="24"/>
          <w:szCs w:val="24"/>
        </w:rPr>
        <w:t xml:space="preserve"> and serve as source of collateral mines</w:t>
      </w:r>
      <w:r w:rsidR="00B17D8B">
        <w:rPr>
          <w:rStyle w:val="FootnoteReference"/>
          <w:rFonts w:ascii="Times New Roman" w:hAnsi="Times New Roman" w:cs="Times New Roman"/>
          <w:sz w:val="24"/>
          <w:szCs w:val="24"/>
        </w:rPr>
        <w:footnoteReference w:id="31"/>
      </w:r>
      <w:r w:rsidRPr="00B44D0D">
        <w:rPr>
          <w:rFonts w:ascii="Times New Roman" w:hAnsi="Times New Roman" w:cs="Times New Roman"/>
          <w:sz w:val="24"/>
          <w:szCs w:val="24"/>
        </w:rPr>
        <w:t xml:space="preserve"> for the shadow banking system. (p.13)   </w:t>
      </w:r>
    </w:p>
    <w:p w14:paraId="4552A1BF" w14:textId="7CF5B9C7"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They estimate that “the total volume of collateral mined from ultimate sources (that is, from asset managers) [arrived] at $3.3 trillion and $2.4 trillion at year-end 2007 and 2010, respectively. These totals reflect $1.6 and $1.3 trillion in hedge fund assets, and $1.7 and $ 1.1 trillion in real money assets at end-2007 and 2010, respectively.” (p.9</w:t>
      </w:r>
      <w:r w:rsidR="0072733A" w:rsidRPr="00B44D0D">
        <w:rPr>
          <w:rFonts w:ascii="Times New Roman" w:hAnsi="Times New Roman" w:cs="Times New Roman"/>
          <w:sz w:val="24"/>
          <w:szCs w:val="24"/>
        </w:rPr>
        <w:t>) This</w:t>
      </w:r>
      <w:r w:rsidRPr="00B44D0D">
        <w:rPr>
          <w:rFonts w:ascii="Times New Roman" w:hAnsi="Times New Roman" w:cs="Times New Roman"/>
          <w:sz w:val="24"/>
          <w:szCs w:val="24"/>
        </w:rPr>
        <w:t xml:space="preserve"> means the asset managers are miners of collateral and also the dominant sources of demand for nonM2 types of money for the SBS.</w:t>
      </w:r>
      <w:r w:rsidR="00B17D8B">
        <w:rPr>
          <w:rStyle w:val="FootnoteReference"/>
          <w:rFonts w:ascii="Times New Roman" w:hAnsi="Times New Roman" w:cs="Times New Roman"/>
          <w:sz w:val="24"/>
          <w:szCs w:val="24"/>
        </w:rPr>
        <w:footnoteReference w:id="32"/>
      </w:r>
    </w:p>
    <w:p w14:paraId="0E13FFAC" w14:textId="73E7A47D"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On the other hand, they also estimated the re-pledge collateral in the European banks (plus the Japanese Nomura bank) and the U.S. banks, finding that their volume and velocity (or re-use rate) of source collateral shows the cross-border interconnection (multiple jurisdictions). Their estimation showed: (See figure</w:t>
      </w:r>
      <w:r w:rsidR="00E6304B">
        <w:rPr>
          <w:rFonts w:ascii="Times New Roman" w:hAnsi="Times New Roman" w:cs="Times New Roman"/>
          <w:sz w:val="24"/>
          <w:szCs w:val="24"/>
        </w:rPr>
        <w:t xml:space="preserve"> 1.2.6</w:t>
      </w:r>
      <w:r w:rsidRPr="00B44D0D">
        <w:rPr>
          <w:rFonts w:ascii="Times New Roman" w:hAnsi="Times New Roman" w:cs="Times New Roman"/>
          <w:sz w:val="24"/>
          <w:szCs w:val="24"/>
        </w:rPr>
        <w:t xml:space="preserve">) </w:t>
      </w:r>
    </w:p>
    <w:p w14:paraId="30441073" w14:textId="734DF67E" w:rsidR="001B3418"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The volume of source collateral that was re-pledged (or re-used) gives a total of about $5.8 trillion in off balance sheet items at year-end 2010. While down from $10 trillion at end-2007, they are still sizable. This means that there are large volumes of source collateral accruing to global banks which they can freely recycle in financial markets.</w:t>
      </w:r>
    </w:p>
    <w:p w14:paraId="2044A162" w14:textId="77777777" w:rsidR="008128CD" w:rsidRDefault="00B17D8B" w:rsidP="008128CD">
      <w:pPr>
        <w:keepNext/>
        <w:jc w:val="both"/>
      </w:pPr>
      <w:r>
        <w:rPr>
          <w:rFonts w:ascii="Times New Roman" w:eastAsia="Times New Roman" w:hAnsi="Times New Roman" w:cs="Times New Roman"/>
          <w:noProof/>
          <w:sz w:val="20"/>
          <w:szCs w:val="20"/>
          <w:lang w:eastAsia="en-GB"/>
        </w:rPr>
        <w:lastRenderedPageBreak/>
        <w:drawing>
          <wp:inline distT="0" distB="0" distL="0" distR="0" wp14:anchorId="19060633" wp14:editId="1728833C">
            <wp:extent cx="4709893" cy="2103881"/>
            <wp:effectExtent l="0" t="0" r="0" b="0"/>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7" cstate="print"/>
                    <a:stretch>
                      <a:fillRect/>
                    </a:stretch>
                  </pic:blipFill>
                  <pic:spPr>
                    <a:xfrm>
                      <a:off x="0" y="0"/>
                      <a:ext cx="4709893" cy="2103881"/>
                    </a:xfrm>
                    <a:prstGeom prst="rect">
                      <a:avLst/>
                    </a:prstGeom>
                  </pic:spPr>
                </pic:pic>
              </a:graphicData>
            </a:graphic>
          </wp:inline>
        </w:drawing>
      </w:r>
    </w:p>
    <w:p w14:paraId="5944A58C" w14:textId="2644E5D6" w:rsidR="00FD07CD" w:rsidRPr="008128CD" w:rsidRDefault="008128CD" w:rsidP="008128CD">
      <w:pPr>
        <w:pStyle w:val="Caption"/>
        <w:jc w:val="both"/>
        <w:rPr>
          <w:rFonts w:ascii="Times New Roman" w:hAnsi="Times New Roman" w:cs="Times New Roman"/>
          <w:color w:val="auto"/>
          <w:sz w:val="24"/>
          <w:szCs w:val="24"/>
        </w:rPr>
      </w:pPr>
      <w:bookmarkStart w:id="29" w:name="_Toc78498672"/>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1.2.</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7</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Re-pledge collateral – Aggregate Market Size</w:t>
      </w:r>
      <w:bookmarkEnd w:id="29"/>
    </w:p>
    <w:p w14:paraId="7E4BD447" w14:textId="6740336C" w:rsidR="001B3418" w:rsidRPr="008128CD" w:rsidRDefault="001B3418" w:rsidP="008128CD">
      <w:pPr>
        <w:pStyle w:val="Caption"/>
        <w:jc w:val="both"/>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Source: </w:t>
      </w:r>
      <w:proofErr w:type="spellStart"/>
      <w:r w:rsidRPr="008128CD">
        <w:rPr>
          <w:rFonts w:ascii="Times New Roman" w:hAnsi="Times New Roman" w:cs="Times New Roman"/>
          <w:color w:val="auto"/>
          <w:sz w:val="24"/>
          <w:szCs w:val="24"/>
        </w:rPr>
        <w:t>Pozsar</w:t>
      </w:r>
      <w:proofErr w:type="spellEnd"/>
      <w:r w:rsidRPr="008128CD">
        <w:rPr>
          <w:rFonts w:ascii="Times New Roman" w:hAnsi="Times New Roman" w:cs="Times New Roman"/>
          <w:color w:val="auto"/>
          <w:sz w:val="24"/>
          <w:szCs w:val="24"/>
        </w:rPr>
        <w:t xml:space="preserve"> &amp; Singh (2011) </w:t>
      </w:r>
    </w:p>
    <w:p w14:paraId="466A6EFD" w14:textId="77777777" w:rsidR="002A319D" w:rsidRPr="00B44D0D" w:rsidRDefault="001B3418"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The re-pledge, or repeated use of source collateral, lubricates the system, but also creates leverage collateral chains between bank and asset managers. The leverage is not necessarily by increased interbank lending, but due to the portfolio choices of the asset management.  The re-pledge dynamic could cause a ripple effect, because of the various financial transactions, which interconnect different actors.  Due to its high complexity, the objective of the subsequent chapters is the description of the SBS structure and dynamic, as well as an analysis of the implication for the banking sector.</w:t>
      </w:r>
    </w:p>
    <w:p w14:paraId="1628EC6D" w14:textId="3E107438" w:rsidR="00454904" w:rsidRPr="00B44D0D" w:rsidRDefault="006C6F9C" w:rsidP="00AA7711">
      <w:pPr>
        <w:pStyle w:val="Heading2"/>
      </w:pPr>
      <w:bookmarkStart w:id="30" w:name="_Toc90499932"/>
      <w:r>
        <w:t>1.</w:t>
      </w:r>
      <w:r w:rsidR="00E62031">
        <w:t xml:space="preserve">2.4 </w:t>
      </w:r>
      <w:r w:rsidR="00454904" w:rsidRPr="00B44D0D">
        <w:t>TRANSMISSION OF SPILLOVERS DURING THE SUBPRIME CRISIS</w:t>
      </w:r>
      <w:bookmarkEnd w:id="30"/>
    </w:p>
    <w:p w14:paraId="3B02E12C" w14:textId="77777777" w:rsidR="00454904" w:rsidRPr="00AE1F37" w:rsidRDefault="00454904" w:rsidP="00AA7711">
      <w:pPr>
        <w:spacing w:line="360" w:lineRule="auto"/>
        <w:jc w:val="both"/>
        <w:rPr>
          <w:rFonts w:ascii="Times New Roman" w:hAnsi="Times New Roman" w:cs="Times New Roman"/>
          <w:sz w:val="24"/>
          <w:szCs w:val="24"/>
        </w:rPr>
      </w:pPr>
      <w:r w:rsidRPr="00AE1F37">
        <w:rPr>
          <w:rFonts w:ascii="Times New Roman" w:hAnsi="Times New Roman" w:cs="Times New Roman"/>
          <w:sz w:val="24"/>
          <w:szCs w:val="24"/>
        </w:rPr>
        <w:t xml:space="preserve">This section gives a brief overview how the U.S. financial market segments that are relevant for the empirical analysis of the transmission of </w:t>
      </w:r>
      <w:proofErr w:type="spellStart"/>
      <w:r w:rsidRPr="00AE1F37">
        <w:rPr>
          <w:rFonts w:ascii="Times New Roman" w:hAnsi="Times New Roman" w:cs="Times New Roman"/>
          <w:sz w:val="24"/>
          <w:szCs w:val="24"/>
        </w:rPr>
        <w:t>spillovers</w:t>
      </w:r>
      <w:proofErr w:type="spellEnd"/>
      <w:r w:rsidRPr="00AE1F37">
        <w:rPr>
          <w:rFonts w:ascii="Times New Roman" w:hAnsi="Times New Roman" w:cs="Times New Roman"/>
          <w:sz w:val="24"/>
          <w:szCs w:val="24"/>
        </w:rPr>
        <w:t xml:space="preserve"> were affected during the recent subprime crisis. But before focusing attention on the mechanisms through which liquidity shocks were actually transmitted, market and funding liquidity need to be defined. Consistent with the existing literature, market liquidity is an asset-specific characteristic measuring the ease with which positions may be traded without significantly affecting their corresponding asset price. In contrast, funding liquidity refers to the availability of funds such that a solvent agent is able to borrow in the market in order to service his obligations.</w:t>
      </w:r>
    </w:p>
    <w:p w14:paraId="78852B13" w14:textId="67C2EBFB"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An important determinant of market liquidity is the completeness and the symmetry of information with regard to the underlying asset. Other factors include the trading venue and the characteristics of the mechanisms for exchange. Thus, for example, securities traded in </w:t>
      </w:r>
      <w:r w:rsidR="00AE1F37" w:rsidRPr="00B44D0D">
        <w:rPr>
          <w:rFonts w:ascii="Times New Roman" w:hAnsi="Times New Roman" w:cs="Times New Roman"/>
          <w:sz w:val="24"/>
          <w:szCs w:val="24"/>
        </w:rPr>
        <w:t>over the counter</w:t>
      </w:r>
      <w:r w:rsidRPr="00B44D0D">
        <w:rPr>
          <w:rFonts w:ascii="Times New Roman" w:hAnsi="Times New Roman" w:cs="Times New Roman"/>
          <w:sz w:val="24"/>
          <w:szCs w:val="24"/>
        </w:rPr>
        <w:t xml:space="preserve"> (OTC) markets may be subject to market illiquidity because of the absence of market-makers and a central clearing house, potentially impairing the price discovery process by limiting the potential matching of buyers and sellers. Also important in this respect is the </w:t>
      </w:r>
      <w:r w:rsidRPr="00B44D0D">
        <w:rPr>
          <w:rFonts w:ascii="Times New Roman" w:hAnsi="Times New Roman" w:cs="Times New Roman"/>
          <w:sz w:val="24"/>
          <w:szCs w:val="24"/>
        </w:rPr>
        <w:lastRenderedPageBreak/>
        <w:t xml:space="preserve">absorptive capacity of market-makers, and the depth of secondary markets. In this context, many complex structured products are typically </w:t>
      </w:r>
      <w:r w:rsidR="00AE1F37" w:rsidRPr="00B44D0D">
        <w:rPr>
          <w:rFonts w:ascii="Times New Roman" w:hAnsi="Times New Roman" w:cs="Times New Roman"/>
          <w:sz w:val="24"/>
          <w:szCs w:val="24"/>
        </w:rPr>
        <w:t>custom designed</w:t>
      </w:r>
      <w:r w:rsidRPr="00B44D0D">
        <w:rPr>
          <w:rFonts w:ascii="Times New Roman" w:hAnsi="Times New Roman" w:cs="Times New Roman"/>
          <w:sz w:val="24"/>
          <w:szCs w:val="24"/>
        </w:rPr>
        <w:t xml:space="preserve">. Thus, high issuance of these heterogeneous OTC-traded assets does not necessarily imply abundant resale possibilities in secondary markets. Funding liquidity risk, as the risk that funds may not be available to a solvent agent, is implicitly embedded in many forms of financial intermediation, but is of limited relevance during times of </w:t>
      </w:r>
      <w:r w:rsidR="00AE1F37" w:rsidRPr="00B44D0D">
        <w:rPr>
          <w:rFonts w:ascii="Times New Roman" w:hAnsi="Times New Roman" w:cs="Times New Roman"/>
          <w:sz w:val="24"/>
          <w:szCs w:val="24"/>
        </w:rPr>
        <w:t>tranquillity</w:t>
      </w:r>
      <w:r w:rsidRPr="00B44D0D">
        <w:rPr>
          <w:rFonts w:ascii="Times New Roman" w:hAnsi="Times New Roman" w:cs="Times New Roman"/>
          <w:sz w:val="24"/>
          <w:szCs w:val="24"/>
        </w:rPr>
        <w:t>. In contrast, during periods of crisis, vulnerabilities to these risks increase significantly as outlined below. The most recent episode of turbulence, beginning in the summer of 2007, started with deteriorating quality of U.S. subprime mortgages, a credit, rather than a liquidity event. We argue that its propagation across different asset classes and financial markets is attributable to an amplification mechanism due to asymmetric information resulting from the complexity of the structured mortgage products and, subsequently, as a result of a more widespread repricing of risk which may have taken the form of a decrease in global investors’ risk appetite (see Gonzalez-Hermosillo (2008)). Increased delinquencies on subprime mortgages, driven by rising interest rates and falling house prices, resulted in uncertainty surrounding the value of a number of structured credit products which had these assets in their underlying portfolios. As a result, rating agencies downgraded many of the related securities and announced changes in their methodologies for rating such products, first in mid-July but then again in mid-August and in mid-October. Meanwhile, structured credit mortgage-backed instruments measured by the ABS indices (ABX) saw rapid declines, and the liquidity for initially tradable securities in their respective secondary markets evaporated. The losses, downgrades, and changes in methodologies shattered investors’ confidence in the rating agencies’ abilities to evaluate risks of complex securities, a result of which, investors pulled back from structured products in general.</w:t>
      </w:r>
    </w:p>
    <w:p w14:paraId="27D26CCB" w14:textId="7777777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It soon became apparent that a wide range of different financial institutions had exposures to many of these mortgage-backed securities, often off-balance sheet entities such as conduits or structured investment vehicles (SIVs). The SIVs or conduits were funded through the issuance of short-term asset-backed commercial paper (ABCP) in order to take advantage of a yield differential resulting in a maturity mismatch. Due to the increasing uncertainty with regard to their exposure to and the value of the underlying mortgage-backed securities, investors became unwilling to roll over the corresponding ABCP. </w:t>
      </w:r>
    </w:p>
    <w:p w14:paraId="4EA46902" w14:textId="7777777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As with most other OTC products, measures of market liquidity of these assets are difficult to obtain due to the lack of a centralized exchange which publishes prices and trading volumes. In this context, Caruana and </w:t>
      </w:r>
      <w:proofErr w:type="spellStart"/>
      <w:r w:rsidRPr="00B44D0D">
        <w:rPr>
          <w:rFonts w:ascii="Times New Roman" w:hAnsi="Times New Roman" w:cs="Times New Roman"/>
          <w:sz w:val="24"/>
          <w:szCs w:val="24"/>
        </w:rPr>
        <w:t>Kodres</w:t>
      </w:r>
      <w:proofErr w:type="spellEnd"/>
      <w:r w:rsidRPr="00B44D0D">
        <w:rPr>
          <w:rFonts w:ascii="Times New Roman" w:hAnsi="Times New Roman" w:cs="Times New Roman"/>
          <w:sz w:val="24"/>
          <w:szCs w:val="24"/>
        </w:rPr>
        <w:t xml:space="preserve"> (2008) point out that the average maturity of outstanding </w:t>
      </w:r>
      <w:r w:rsidRPr="00B44D0D">
        <w:rPr>
          <w:rFonts w:ascii="Times New Roman" w:hAnsi="Times New Roman" w:cs="Times New Roman"/>
          <w:sz w:val="24"/>
          <w:szCs w:val="24"/>
        </w:rPr>
        <w:lastRenderedPageBreak/>
        <w:t xml:space="preserve">ABCP shortened from 24 to 18 days during the summer of 2007, and that the amount of outstanding ABCP declined by approximately $300bn between early August and early November in the U.S. market alone, suggesting the ABCP market became less liquid. </w:t>
      </w:r>
    </w:p>
    <w:p w14:paraId="145D5396" w14:textId="5DCA2E96"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As the problems with SIVs and conduits deepened, banks came under increasing pressure to rescue those that they had sponsored by providing liquidity or by taking their respective assets onto their own balance sheets. As a result, the balance sheets of those financial institutions were particularly strained by this reabsorption, which in addition was amplified due to declining asset values. A further strain on banks’ balance sheets came from warehousing a </w:t>
      </w:r>
      <w:r w:rsidR="00AA7711" w:rsidRPr="00B44D0D">
        <w:rPr>
          <w:rFonts w:ascii="Times New Roman" w:hAnsi="Times New Roman" w:cs="Times New Roman"/>
          <w:sz w:val="24"/>
          <w:szCs w:val="24"/>
        </w:rPr>
        <w:t>higher-than-expected</w:t>
      </w:r>
      <w:r w:rsidRPr="00B44D0D">
        <w:rPr>
          <w:rFonts w:ascii="Times New Roman" w:hAnsi="Times New Roman" w:cs="Times New Roman"/>
          <w:sz w:val="24"/>
          <w:szCs w:val="24"/>
        </w:rPr>
        <w:t xml:space="preserve"> </w:t>
      </w:r>
      <w:r w:rsidR="0072733A" w:rsidRPr="00B44D0D">
        <w:rPr>
          <w:rFonts w:ascii="Times New Roman" w:hAnsi="Times New Roman" w:cs="Times New Roman"/>
          <w:sz w:val="24"/>
          <w:szCs w:val="24"/>
        </w:rPr>
        <w:t>number</w:t>
      </w:r>
      <w:r w:rsidRPr="00B44D0D">
        <w:rPr>
          <w:rFonts w:ascii="Times New Roman" w:hAnsi="Times New Roman" w:cs="Times New Roman"/>
          <w:sz w:val="24"/>
          <w:szCs w:val="24"/>
        </w:rPr>
        <w:t xml:space="preserve"> of mortgages and leveraged loans, the latter usually passed on to investors in order to fund the highly leveraged debt deals of private equity firms. Both the market for mortgages and leveraged loans dried up from the collapse of transactions in the mortgage-related securitization market and </w:t>
      </w:r>
      <w:r w:rsidR="00F7280F" w:rsidRPr="00B44D0D">
        <w:rPr>
          <w:rFonts w:ascii="Times New Roman" w:hAnsi="Times New Roman" w:cs="Times New Roman"/>
          <w:sz w:val="24"/>
          <w:szCs w:val="24"/>
        </w:rPr>
        <w:t>collagenized</w:t>
      </w:r>
      <w:r w:rsidRPr="00B44D0D">
        <w:rPr>
          <w:rFonts w:ascii="Times New Roman" w:hAnsi="Times New Roman" w:cs="Times New Roman"/>
          <w:sz w:val="24"/>
          <w:szCs w:val="24"/>
        </w:rPr>
        <w:t xml:space="preserve"> loan obligations (CLOs). Banks also felt obliged to </w:t>
      </w:r>
      <w:r w:rsidR="00F7280F" w:rsidRPr="00B44D0D">
        <w:rPr>
          <w:rFonts w:ascii="Times New Roman" w:hAnsi="Times New Roman" w:cs="Times New Roman"/>
          <w:sz w:val="24"/>
          <w:szCs w:val="24"/>
        </w:rPr>
        <w:t>honour</w:t>
      </w:r>
      <w:r w:rsidRPr="00B44D0D">
        <w:rPr>
          <w:rFonts w:ascii="Times New Roman" w:hAnsi="Times New Roman" w:cs="Times New Roman"/>
          <w:sz w:val="24"/>
          <w:szCs w:val="24"/>
        </w:rPr>
        <w:t xml:space="preserve"> liquidity commitments to alternative market participants, such as hedge funds and other financial institutions, that also suffered from the drain of liquidity. With regard to alternative channels of liquidity provision, stress in the FX swap markets and the negative reputational signal resulting from using the Fed discount window limited options further.</w:t>
      </w:r>
    </w:p>
    <w:p w14:paraId="5B5C5D82" w14:textId="7777777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Consequently, the level of interbank lending declined both for reasons of liquidity and credit risk. The former is based on a prudency motive whereby banks hoarded liquid assets in order to insure themselves again contingent liabilities. In contrast, the latter was due to uncertainty with regard to the mortgage exposure of counterparties and the inability to value their respective assets. Subsequently, money markets were affected especially in advanced countries in the form of a widening of the Libor–overnight index swap (OIS) spreads, which in turn led to increased funding costs.</w:t>
      </w:r>
    </w:p>
    <w:p w14:paraId="017C3107" w14:textId="5C1860E3"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As turbulence related to the U.S. subprime mortgages heightened, financial markets more generally showed signs of stress, as investor preference moved away from complex structured products in a flight to liquidity. Subsequently, positions were shifted in order to invest in only the safest and most liquid of all assets, such as U.S. Treasury bonds.  Furthermore, hedge funds that held asset backed securities and other structured products were burdened by increased margin requirements, driven in turn by greater market volatility. As a consequence, they attempted to offload the more liquid parts of their portfolios in order to meet these margin calls and also respond to redemptions by investors. As argued by </w:t>
      </w:r>
      <w:proofErr w:type="spellStart"/>
      <w:r w:rsidRPr="00B44D0D">
        <w:rPr>
          <w:rFonts w:ascii="Times New Roman" w:hAnsi="Times New Roman" w:cs="Times New Roman"/>
          <w:sz w:val="24"/>
          <w:szCs w:val="24"/>
        </w:rPr>
        <w:t>Khadani</w:t>
      </w:r>
      <w:proofErr w:type="spellEnd"/>
      <w:r w:rsidRPr="00B44D0D">
        <w:rPr>
          <w:rFonts w:ascii="Times New Roman" w:hAnsi="Times New Roman" w:cs="Times New Roman"/>
          <w:sz w:val="24"/>
          <w:szCs w:val="24"/>
        </w:rPr>
        <w:t xml:space="preserve"> and Lo (2007), quantitatively driven hedge funds were especially engaged in liquidation sales across different </w:t>
      </w:r>
      <w:r w:rsidRPr="00B44D0D">
        <w:rPr>
          <w:rFonts w:ascii="Times New Roman" w:hAnsi="Times New Roman" w:cs="Times New Roman"/>
          <w:sz w:val="24"/>
          <w:szCs w:val="24"/>
        </w:rPr>
        <w:lastRenderedPageBreak/>
        <w:t xml:space="preserve">asset classes, thus leading to a transmission of market stress </w:t>
      </w:r>
      <w:r w:rsidR="00AA7711" w:rsidRPr="00B44D0D">
        <w:rPr>
          <w:rFonts w:ascii="Times New Roman" w:hAnsi="Times New Roman" w:cs="Times New Roman"/>
          <w:sz w:val="24"/>
          <w:szCs w:val="24"/>
        </w:rPr>
        <w:t>as</w:t>
      </w:r>
      <w:r w:rsidRPr="00B44D0D">
        <w:rPr>
          <w:rFonts w:ascii="Times New Roman" w:hAnsi="Times New Roman" w:cs="Times New Roman"/>
          <w:sz w:val="24"/>
          <w:szCs w:val="24"/>
        </w:rPr>
        <w:t xml:space="preserve"> a result, trading volumes and numbers of trades in both the bond and the stock markets in the developed and emerging countries increased markedly, whilst the liquidity surrounding structured investments evaporated.</w:t>
      </w:r>
    </w:p>
    <w:p w14:paraId="14718322" w14:textId="7777777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Finally, the evident deterioration of market and funding liquidity conditions had implications with regard to the solvency position of banks for several reasons. First, financial institutions saw a decline in the values of the securitized mortgages and structured securities on their balance sheets, which in turn resulted in extensive write-downs. Second, funding liquidity pressures forced rapid deleveraging during this period, further depressing asset prices. Third, funding costs increased due to rising money market spreads, which was amplified by the fact that many financial institutions had become increasingly reliant on funding from wholesale money markets. Jointly, these pressures resulted in a decline in the capital ratios throughout the banking sector, and as a result of which credit default swap (CDS) spreads increased significantly across the industry during the crisis.</w:t>
      </w:r>
    </w:p>
    <w:p w14:paraId="61C05B8F" w14:textId="7777777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transmission mechanisms of liquidity shocks across differing U.S. financial markets outlined so far have been described as being unidirectional and sequential. But during periods of financial stress, as witnessed during the subprime crisis, re-enforcing </w:t>
      </w:r>
      <w:r w:rsidRPr="00B44D0D">
        <w:rPr>
          <w:rFonts w:ascii="Times New Roman" w:hAnsi="Times New Roman" w:cs="Times New Roman"/>
          <w:i/>
          <w:iCs/>
          <w:sz w:val="24"/>
          <w:szCs w:val="24"/>
        </w:rPr>
        <w:t xml:space="preserve">liquidity spirals </w:t>
      </w:r>
      <w:r w:rsidRPr="00B44D0D">
        <w:rPr>
          <w:rFonts w:ascii="Times New Roman" w:hAnsi="Times New Roman" w:cs="Times New Roman"/>
          <w:sz w:val="24"/>
          <w:szCs w:val="24"/>
        </w:rPr>
        <w:t>may be observed. As discussed above, market illiquidity can turn into funding illiquidity, as banks are forced to reabsorb their SIVs onto their balance sheets. Alternatively, infrequent trading and a limited price discovery process can cause increased volatility, which in turn will raise margins and needed collateral. Thus, this reduces the leverage and the funding possibilities which are open to traders. Furthermore, market illiquidity in complex structured products could lead to the inability of market participants to assess the fair value of assets, such as when the French bank BNP Paribas announced in August 2007 it would refuse to accept withdrawals from three of its investment funds.</w:t>
      </w:r>
    </w:p>
    <w:p w14:paraId="2B8568BC" w14:textId="61951B22"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Funding illiquidity can also lead to market illiquidity, whereby the former forces financial agents to sell securities at fire-sale prices, resulting in a sharp decline in asset prices and further deleveraging (Bernardo and Welch, 2004). Subsequently, the absorptive capacity and liquidity of secondary markets, especially if the assets are complex securities which are only sold </w:t>
      </w:r>
      <w:r w:rsidR="0072733A" w:rsidRPr="00B44D0D">
        <w:rPr>
          <w:rFonts w:ascii="Times New Roman" w:hAnsi="Times New Roman" w:cs="Times New Roman"/>
          <w:sz w:val="24"/>
          <w:szCs w:val="24"/>
        </w:rPr>
        <w:t>over the counter</w:t>
      </w:r>
      <w:r w:rsidRPr="00B44D0D">
        <w:rPr>
          <w:rFonts w:ascii="Times New Roman" w:hAnsi="Times New Roman" w:cs="Times New Roman"/>
          <w:sz w:val="24"/>
          <w:szCs w:val="24"/>
        </w:rPr>
        <w:t xml:space="preserve"> (OTC), may become exhausted. In addition, financial institutions that operate across multiple markets could be affected when stress in specific funding markets spills over to market illiquidity in related areas. One example is when European banks in late 2007 </w:t>
      </w:r>
      <w:r w:rsidRPr="00B44D0D">
        <w:rPr>
          <w:rFonts w:ascii="Times New Roman" w:hAnsi="Times New Roman" w:cs="Times New Roman"/>
          <w:sz w:val="24"/>
          <w:szCs w:val="24"/>
        </w:rPr>
        <w:lastRenderedPageBreak/>
        <w:t>required dollar funding through foreign exchange swaps, but due concerns over counterparty credit risk, liquidity, typically obtained in the underlying swap market dried up.</w:t>
      </w:r>
    </w:p>
    <w:p w14:paraId="380FC61F" w14:textId="2BC020B1"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It has been argued that these </w:t>
      </w:r>
      <w:proofErr w:type="spellStart"/>
      <w:r w:rsidRPr="00B44D0D">
        <w:rPr>
          <w:rFonts w:ascii="Times New Roman" w:hAnsi="Times New Roman" w:cs="Times New Roman"/>
          <w:sz w:val="24"/>
          <w:szCs w:val="24"/>
        </w:rPr>
        <w:t>spillovers</w:t>
      </w:r>
      <w:proofErr w:type="spellEnd"/>
      <w:r w:rsidRPr="00B44D0D">
        <w:rPr>
          <w:rFonts w:ascii="Times New Roman" w:hAnsi="Times New Roman" w:cs="Times New Roman"/>
          <w:sz w:val="24"/>
          <w:szCs w:val="24"/>
        </w:rPr>
        <w:t xml:space="preserve"> has been facilitated by recent structural changes in the financial markets and by financial innovation. In this context, banks have become increasingly reliant on wholesale funding and </w:t>
      </w:r>
      <w:r w:rsidR="0072733A" w:rsidRPr="00B44D0D">
        <w:rPr>
          <w:rFonts w:ascii="Times New Roman" w:hAnsi="Times New Roman" w:cs="Times New Roman"/>
          <w:sz w:val="24"/>
          <w:szCs w:val="24"/>
        </w:rPr>
        <w:t>short-term</w:t>
      </w:r>
      <w:r w:rsidRPr="00B44D0D">
        <w:rPr>
          <w:rFonts w:ascii="Times New Roman" w:hAnsi="Times New Roman" w:cs="Times New Roman"/>
          <w:sz w:val="24"/>
          <w:szCs w:val="24"/>
        </w:rPr>
        <w:t xml:space="preserve"> liquidity lines. Also, increased complexity of securities has led to great information asymmetries among market participants. </w:t>
      </w:r>
      <w:r w:rsidR="0072733A" w:rsidRPr="00B44D0D">
        <w:rPr>
          <w:rFonts w:ascii="Times New Roman" w:hAnsi="Times New Roman" w:cs="Times New Roman"/>
          <w:sz w:val="24"/>
          <w:szCs w:val="24"/>
        </w:rPr>
        <w:t>Favourable</w:t>
      </w:r>
      <w:r w:rsidRPr="00B44D0D">
        <w:rPr>
          <w:rFonts w:ascii="Times New Roman" w:hAnsi="Times New Roman" w:cs="Times New Roman"/>
          <w:sz w:val="24"/>
          <w:szCs w:val="24"/>
        </w:rPr>
        <w:t xml:space="preserve"> macroeconomic conditions, especially low interest rates in recent years, have increased investors’ risk appetite and the demand for high yield products in order to satisfy profit margins. Finally, increased correlations between returns of differing asset classes due to algorithmic trading, such as by quantitative hedge funds, has heightened the vulnerability with regard to the transmission of illiquidity.</w:t>
      </w:r>
    </w:p>
    <w:p w14:paraId="50305439" w14:textId="2A4B1437" w:rsidR="00454904" w:rsidRPr="00B44D0D" w:rsidRDefault="00454904"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possibility of re-enforcing liquidity spirals, in addition to the operation of </w:t>
      </w:r>
      <w:proofErr w:type="spellStart"/>
      <w:r w:rsidRPr="00B44D0D">
        <w:rPr>
          <w:rFonts w:ascii="Times New Roman" w:hAnsi="Times New Roman" w:cs="Times New Roman"/>
          <w:sz w:val="24"/>
          <w:szCs w:val="24"/>
        </w:rPr>
        <w:t>spillovers</w:t>
      </w:r>
      <w:proofErr w:type="spellEnd"/>
      <w:r w:rsidRPr="00B44D0D">
        <w:rPr>
          <w:rFonts w:ascii="Times New Roman" w:hAnsi="Times New Roman" w:cs="Times New Roman"/>
          <w:sz w:val="24"/>
          <w:szCs w:val="24"/>
        </w:rPr>
        <w:t xml:space="preserve"> across the five markets outlined above, is important for the model selection in the empirical analysis which is set out in section </w:t>
      </w:r>
      <w:r w:rsidR="0072733A">
        <w:rPr>
          <w:rFonts w:ascii="Times New Roman" w:hAnsi="Times New Roman" w:cs="Times New Roman"/>
          <w:sz w:val="24"/>
          <w:szCs w:val="24"/>
        </w:rPr>
        <w:t>3</w:t>
      </w:r>
      <w:r w:rsidRPr="00B44D0D">
        <w:rPr>
          <w:rFonts w:ascii="Times New Roman" w:hAnsi="Times New Roman" w:cs="Times New Roman"/>
          <w:sz w:val="24"/>
          <w:szCs w:val="24"/>
        </w:rPr>
        <w:t>. The presence of potential multi-directionality of the propagation motivates us to conduct estimation using a multivariate DCC GARCH specification. This allows us to model the correlation dynamics between asset classes such that we can evaluate whether different markets co-moved to a greater extent during the subprime crisis of 2007.</w:t>
      </w:r>
    </w:p>
    <w:p w14:paraId="32813A84" w14:textId="05A295D8" w:rsidR="00AE1F37" w:rsidRPr="00B44D0D" w:rsidRDefault="006C6F9C" w:rsidP="00AA7711">
      <w:pPr>
        <w:pStyle w:val="Heading2"/>
      </w:pPr>
      <w:bookmarkStart w:id="31" w:name="_Toc90499933"/>
      <w:r>
        <w:t>1.</w:t>
      </w:r>
      <w:r w:rsidR="00E62031">
        <w:t xml:space="preserve">2.5 </w:t>
      </w:r>
      <w:r w:rsidR="00AE1F37" w:rsidRPr="00B44D0D">
        <w:t>Liquidity shocks transmission and GARCH model</w:t>
      </w:r>
      <w:bookmarkEnd w:id="31"/>
    </w:p>
    <w:p w14:paraId="22AEAC4D" w14:textId="61E6CFDB" w:rsidR="00AE1F37" w:rsidRDefault="00AE1F37"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One of the most significant functions that a differentiate bank from other business entities is a financial intermediary. Maturity mismatch and uncertainty enables banks to act as an intermediary based on different liquidity preferences. Allen and </w:t>
      </w:r>
      <w:proofErr w:type="spellStart"/>
      <w:r w:rsidRPr="00B44D0D">
        <w:rPr>
          <w:rFonts w:ascii="Times New Roman" w:hAnsi="Times New Roman" w:cs="Times New Roman"/>
          <w:sz w:val="24"/>
          <w:szCs w:val="24"/>
        </w:rPr>
        <w:t>Carletti</w:t>
      </w:r>
      <w:proofErr w:type="spellEnd"/>
      <w:r w:rsidRPr="00B44D0D">
        <w:rPr>
          <w:rFonts w:ascii="Times New Roman" w:hAnsi="Times New Roman" w:cs="Times New Roman"/>
          <w:sz w:val="24"/>
          <w:szCs w:val="24"/>
        </w:rPr>
        <w:t xml:space="preserve"> (2008) define liquidity as the ability to purchase financial assets and real goods and services immediately. If banks could not meet their </w:t>
      </w:r>
      <w:r w:rsidR="00F7280F" w:rsidRPr="00B44D0D">
        <w:rPr>
          <w:rFonts w:ascii="Times New Roman" w:hAnsi="Times New Roman" w:cs="Times New Roman"/>
          <w:sz w:val="24"/>
          <w:szCs w:val="24"/>
        </w:rPr>
        <w:t>short-term</w:t>
      </w:r>
      <w:r w:rsidRPr="00B44D0D">
        <w:rPr>
          <w:rFonts w:ascii="Times New Roman" w:hAnsi="Times New Roman" w:cs="Times New Roman"/>
          <w:sz w:val="24"/>
          <w:szCs w:val="24"/>
        </w:rPr>
        <w:t xml:space="preserve"> liability, they would be forced to sell their assets at a discounted price, which is termed as a fire-sale. In the case of subprime mortgage crisis, some banks were solvent but illiquid; hence a fire-sale of their assets resulted. A series of fire-sales further intensify the fragile financial system which subsequently dried out the liquidity of the financial market and led to global financial distress. It is clear that inadequate liquidity management might induce a systematic financial crisis. Diamond and </w:t>
      </w:r>
      <w:proofErr w:type="spellStart"/>
      <w:r w:rsidRPr="00B44D0D">
        <w:rPr>
          <w:rFonts w:ascii="Times New Roman" w:hAnsi="Times New Roman" w:cs="Times New Roman"/>
          <w:sz w:val="24"/>
          <w:szCs w:val="24"/>
        </w:rPr>
        <w:t>Rajan</w:t>
      </w:r>
      <w:proofErr w:type="spellEnd"/>
      <w:r w:rsidRPr="00B44D0D">
        <w:rPr>
          <w:rFonts w:ascii="Times New Roman" w:hAnsi="Times New Roman" w:cs="Times New Roman"/>
          <w:sz w:val="24"/>
          <w:szCs w:val="24"/>
        </w:rPr>
        <w:t xml:space="preserve"> (2005) argue that bank failures can shrink the common pool of liquidity, creating or exacerbating aggregate liquidity shortages. This could lead to a contagion of failures and a total meltdown of the system. Further, they show how liquidity shortages and solvency problems in banks interact, and how each can cause the other. Berger and </w:t>
      </w:r>
      <w:proofErr w:type="spellStart"/>
      <w:r w:rsidRPr="00B44D0D">
        <w:rPr>
          <w:rFonts w:ascii="Times New Roman" w:hAnsi="Times New Roman" w:cs="Times New Roman"/>
          <w:sz w:val="24"/>
          <w:szCs w:val="24"/>
        </w:rPr>
        <w:t>Bouwman</w:t>
      </w:r>
      <w:proofErr w:type="spellEnd"/>
      <w:r w:rsidRPr="00B44D0D">
        <w:rPr>
          <w:rFonts w:ascii="Times New Roman" w:hAnsi="Times New Roman" w:cs="Times New Roman"/>
          <w:sz w:val="24"/>
          <w:szCs w:val="24"/>
        </w:rPr>
        <w:t xml:space="preserve"> (2009) examine aggregate liquidity creation of banks before, </w:t>
      </w:r>
      <w:r w:rsidRPr="00B44D0D">
        <w:rPr>
          <w:rFonts w:ascii="Times New Roman" w:hAnsi="Times New Roman" w:cs="Times New Roman"/>
          <w:sz w:val="24"/>
          <w:szCs w:val="24"/>
        </w:rPr>
        <w:lastRenderedPageBreak/>
        <w:t xml:space="preserve">during and after five major financial crises in the U.S. They found that there were patterns of behaviour such as a significant build-up or drop-off of abnormal liquidity creation before each crisis. They further identify that banking and market-related crises differ in two respects. The banking crises were preceded by abnormal positive liquidity creation by banks, while the market-related crises were generally preceded by abnormal negative liquidity creation. See </w:t>
      </w:r>
      <w:proofErr w:type="spellStart"/>
      <w:r w:rsidRPr="00B44D0D">
        <w:rPr>
          <w:rFonts w:ascii="Times New Roman" w:hAnsi="Times New Roman" w:cs="Times New Roman"/>
          <w:sz w:val="24"/>
          <w:szCs w:val="24"/>
        </w:rPr>
        <w:t>Bordo</w:t>
      </w:r>
      <w:proofErr w:type="spellEnd"/>
      <w:r w:rsidRPr="00B44D0D">
        <w:rPr>
          <w:rFonts w:ascii="Times New Roman" w:hAnsi="Times New Roman" w:cs="Times New Roman"/>
          <w:sz w:val="24"/>
          <w:szCs w:val="24"/>
        </w:rPr>
        <w:t xml:space="preserve"> et al (2001), </w:t>
      </w:r>
      <w:proofErr w:type="spellStart"/>
      <w:r w:rsidRPr="00B44D0D">
        <w:rPr>
          <w:rFonts w:ascii="Times New Roman" w:hAnsi="Times New Roman" w:cs="Times New Roman"/>
          <w:sz w:val="24"/>
          <w:szCs w:val="24"/>
        </w:rPr>
        <w:t>Demirguc-Kunt</w:t>
      </w:r>
      <w:proofErr w:type="spellEnd"/>
      <w:r w:rsidRPr="00B44D0D">
        <w:rPr>
          <w:rFonts w:ascii="Times New Roman" w:hAnsi="Times New Roman" w:cs="Times New Roman"/>
          <w:sz w:val="24"/>
          <w:szCs w:val="24"/>
        </w:rPr>
        <w:t xml:space="preserve"> et al (2006), </w:t>
      </w:r>
      <w:proofErr w:type="spellStart"/>
      <w:r w:rsidRPr="00B44D0D">
        <w:rPr>
          <w:rFonts w:ascii="Times New Roman" w:hAnsi="Times New Roman" w:cs="Times New Roman"/>
          <w:sz w:val="24"/>
          <w:szCs w:val="24"/>
        </w:rPr>
        <w:t>Lorenzoni</w:t>
      </w:r>
      <w:proofErr w:type="spellEnd"/>
      <w:r w:rsidRPr="00B44D0D">
        <w:rPr>
          <w:rFonts w:ascii="Times New Roman" w:hAnsi="Times New Roman" w:cs="Times New Roman"/>
          <w:sz w:val="24"/>
          <w:szCs w:val="24"/>
        </w:rPr>
        <w:t xml:space="preserve"> (2008), Strahan (2008), Adrian and Shin (2008) and </w:t>
      </w:r>
      <w:proofErr w:type="spellStart"/>
      <w:r w:rsidRPr="00B44D0D">
        <w:rPr>
          <w:rFonts w:ascii="Times New Roman" w:hAnsi="Times New Roman" w:cs="Times New Roman"/>
          <w:sz w:val="24"/>
          <w:szCs w:val="24"/>
        </w:rPr>
        <w:t>Dell’Ariccia</w:t>
      </w:r>
      <w:proofErr w:type="spellEnd"/>
      <w:r w:rsidRPr="00B44D0D">
        <w:rPr>
          <w:rFonts w:ascii="Times New Roman" w:hAnsi="Times New Roman" w:cs="Times New Roman"/>
          <w:sz w:val="24"/>
          <w:szCs w:val="24"/>
        </w:rPr>
        <w:t xml:space="preserve"> et al (2008) for bank liquidity in relation to financial crisis.   </w:t>
      </w:r>
    </w:p>
    <w:p w14:paraId="790F55FD" w14:textId="77777777" w:rsidR="00481BEB" w:rsidRPr="00B06DC4" w:rsidRDefault="00481BEB" w:rsidP="00481BEB">
      <w:pPr>
        <w:spacing w:line="360" w:lineRule="auto"/>
        <w:jc w:val="both"/>
        <w:rPr>
          <w:rFonts w:ascii="Times New Roman" w:hAnsi="Times New Roman" w:cs="Times New Roman"/>
          <w:sz w:val="24"/>
          <w:szCs w:val="24"/>
          <w:lang w:val="en-US"/>
        </w:rPr>
      </w:pPr>
      <w:r w:rsidRPr="00B06DC4">
        <w:rPr>
          <w:rFonts w:ascii="Times New Roman" w:hAnsi="Times New Roman" w:cs="Times New Roman"/>
          <w:sz w:val="24"/>
          <w:szCs w:val="24"/>
        </w:rPr>
        <w:t xml:space="preserve">Multivariate GARCH models have evolved from the standard univariate GARCH model.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AuthorYear="1"&gt;&lt;Author&gt;Bollerslev&lt;/Author&gt;&lt;Year&gt;1988&lt;/Year&gt;&lt;RecNum&gt;27&lt;/RecNum&gt;&lt;DisplayText&gt;Bollerslev et al. (1988)&lt;/DisplayText&gt;&lt;record&gt;&lt;rec-number&gt;27&lt;/rec-number&gt;&lt;foreign-keys&gt;&lt;key app="EN" db-id="r5w50r005x95eter9t4vwtxhf9pv50ssd2sr"&gt;27&lt;/key&gt;&lt;/foreign-keys&gt;&lt;ref-type name="Journal Article"&gt;17&lt;/ref-type&gt;&lt;contributors&gt;&lt;authors&gt;&lt;author&gt;Bollerslev, T&lt;/author&gt;&lt;author&gt;Engle, R.F&lt;/author&gt;&lt;author&gt;Wooldridge, J.M&lt;/author&gt;&lt;/authors&gt;&lt;/contributors&gt;&lt;titles&gt;&lt;title&gt;A capital asset pricing model with time varying covariance&lt;/title&gt;&lt;secondary-title&gt;Journal of Political Economy&lt;/secondary-title&gt;&lt;/titles&gt;&lt;periodical&gt;&lt;full-title&gt;Journal of Political Economy&lt;/full-title&gt;&lt;/periodical&gt;&lt;pages&gt;116-131 &lt;/pages&gt;&lt;volume&gt;96&lt;/volume&gt;&lt;number&gt;1&lt;/number&gt;&lt;dates&gt;&lt;year&gt;1988&lt;/year&gt;&lt;/dates&gt;&lt;urls&gt;&lt;/urls&gt;&lt;/record&gt;&lt;/Cite&gt;&lt;/EndNote&gt;</w:instrText>
      </w:r>
      <w:r w:rsidRPr="00B06DC4">
        <w:rPr>
          <w:rFonts w:ascii="Times New Roman" w:hAnsi="Times New Roman" w:cs="Times New Roman"/>
          <w:sz w:val="24"/>
          <w:szCs w:val="24"/>
        </w:rPr>
        <w:fldChar w:fldCharType="separate"/>
      </w:r>
      <w:hyperlink w:anchor="_ENREF_23" w:tooltip="Bollerslev, 1988 #27" w:history="1">
        <w:r w:rsidRPr="00B06DC4">
          <w:rPr>
            <w:rFonts w:ascii="Times New Roman" w:hAnsi="Times New Roman" w:cs="Times New Roman"/>
            <w:sz w:val="24"/>
            <w:szCs w:val="24"/>
          </w:rPr>
          <w:t>Bollerslev et al. (1988</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originally proposed the basic framework for the multivariate GARCH, which extends the univariate GARCH into a vectorized conditional-variance matrix. This VECH model involves a large number of parameter estimates</w:t>
      </w:r>
      <w:r w:rsidRPr="00B06DC4">
        <w:rPr>
          <w:rFonts w:ascii="Times New Roman" w:eastAsia="MS Gothic" w:hAnsi="Times New Roman" w:cs="Times New Roman"/>
          <w:sz w:val="24"/>
          <w:szCs w:val="24"/>
        </w:rPr>
        <w:t>（</w:t>
      </w:r>
      <w:r w:rsidRPr="00B06DC4">
        <w:rPr>
          <w:rFonts w:ascii="Times New Roman" w:hAnsi="Times New Roman" w:cs="Times New Roman"/>
          <w:sz w:val="24"/>
          <w:szCs w:val="24"/>
        </w:rPr>
        <w:t>No. of parameters: P = k</w:t>
      </w:r>
      <w:r w:rsidRPr="00B06DC4">
        <w:rPr>
          <w:rFonts w:ascii="Times New Roman" w:hAnsi="Times New Roman" w:cs="Times New Roman"/>
          <w:sz w:val="24"/>
          <w:szCs w:val="24"/>
          <w:vertAlign w:val="superscript"/>
        </w:rPr>
        <w:t>4</w:t>
      </w:r>
      <w:r w:rsidRPr="00B06DC4">
        <w:rPr>
          <w:rFonts w:ascii="Times New Roman" w:hAnsi="Times New Roman" w:cs="Times New Roman"/>
          <w:sz w:val="24"/>
          <w:szCs w:val="24"/>
        </w:rPr>
        <w:t>/2 + k</w:t>
      </w:r>
      <w:r w:rsidRPr="00B06DC4">
        <w:rPr>
          <w:rFonts w:ascii="Times New Roman" w:hAnsi="Times New Roman" w:cs="Times New Roman"/>
          <w:sz w:val="24"/>
          <w:szCs w:val="24"/>
          <w:vertAlign w:val="superscript"/>
        </w:rPr>
        <w:t>3</w:t>
      </w:r>
      <w:r w:rsidRPr="00B06DC4">
        <w:rPr>
          <w:rFonts w:ascii="Times New Roman" w:hAnsi="Times New Roman" w:cs="Times New Roman"/>
          <w:sz w:val="24"/>
          <w:szCs w:val="24"/>
        </w:rPr>
        <w:t xml:space="preserve"> + k</w:t>
      </w:r>
      <w:r w:rsidRPr="00B06DC4">
        <w:rPr>
          <w:rFonts w:ascii="Times New Roman" w:hAnsi="Times New Roman" w:cs="Times New Roman"/>
          <w:sz w:val="24"/>
          <w:szCs w:val="24"/>
          <w:vertAlign w:val="superscript"/>
        </w:rPr>
        <w:t>2</w:t>
      </w:r>
      <w:r w:rsidRPr="00B06DC4">
        <w:rPr>
          <w:rFonts w:ascii="Times New Roman" w:hAnsi="Times New Roman" w:cs="Times New Roman"/>
          <w:sz w:val="24"/>
          <w:szCs w:val="24"/>
        </w:rPr>
        <w:t xml:space="preserve"> + k/2 = O (k</w:t>
      </w:r>
      <w:r w:rsidRPr="00B06DC4">
        <w:rPr>
          <w:rFonts w:ascii="Times New Roman" w:hAnsi="Times New Roman" w:cs="Times New Roman"/>
          <w:sz w:val="24"/>
          <w:szCs w:val="24"/>
          <w:vertAlign w:val="superscript"/>
        </w:rPr>
        <w:t>4</w:t>
      </w:r>
      <w:r w:rsidRPr="00B06DC4">
        <w:rPr>
          <w:rFonts w:ascii="Times New Roman" w:hAnsi="Times New Roman" w:cs="Times New Roman"/>
          <w:sz w:val="24"/>
          <w:szCs w:val="24"/>
        </w:rPr>
        <w:t xml:space="preserve">), k is the number of dimensions). In order to make estimation more tractable, </w:t>
      </w:r>
      <w:proofErr w:type="spellStart"/>
      <w:r w:rsidRPr="00B06DC4">
        <w:rPr>
          <w:rFonts w:ascii="Times New Roman" w:hAnsi="Times New Roman" w:cs="Times New Roman"/>
          <w:sz w:val="24"/>
          <w:szCs w:val="24"/>
        </w:rPr>
        <w:t>Bollerslev</w:t>
      </w:r>
      <w:proofErr w:type="spellEnd"/>
      <w:r w:rsidRPr="00B06DC4">
        <w:rPr>
          <w:rFonts w:ascii="Times New Roman" w:hAnsi="Times New Roman" w:cs="Times New Roman"/>
          <w:sz w:val="24"/>
          <w:szCs w:val="24"/>
        </w:rPr>
        <w:t xml:space="preserve"> </w:t>
      </w:r>
      <w:r w:rsidRPr="00B06DC4">
        <w:rPr>
          <w:rFonts w:ascii="Times New Roman" w:hAnsi="Times New Roman" w:cs="Times New Roman"/>
          <w:i/>
          <w:sz w:val="24"/>
          <w:szCs w:val="24"/>
        </w:rPr>
        <w:t xml:space="preserve">et al. </w:t>
      </w:r>
      <w:r w:rsidRPr="00B06DC4">
        <w:rPr>
          <w:rFonts w:ascii="Times New Roman" w:hAnsi="Times New Roman" w:cs="Times New Roman"/>
          <w:sz w:val="24"/>
          <w:szCs w:val="24"/>
        </w:rPr>
        <w:t xml:space="preserve">(1988) propose the diagonal VECH model.  However, this type of MVGARCH model could not be used to examine </w:t>
      </w:r>
      <w:proofErr w:type="spellStart"/>
      <w:r w:rsidRPr="00B06DC4">
        <w:rPr>
          <w:rFonts w:ascii="Times New Roman" w:hAnsi="Times New Roman" w:cs="Times New Roman"/>
          <w:sz w:val="24"/>
          <w:szCs w:val="24"/>
        </w:rPr>
        <w:t>spillover</w:t>
      </w:r>
      <w:proofErr w:type="spellEnd"/>
      <w:r w:rsidRPr="00B06DC4">
        <w:rPr>
          <w:rFonts w:ascii="Times New Roman" w:hAnsi="Times New Roman" w:cs="Times New Roman"/>
          <w:sz w:val="24"/>
          <w:szCs w:val="24"/>
        </w:rPr>
        <w:t xml:space="preserve"> effects, since it simplifies the correlation between parameters. The factor GARCH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&lt;EndNote&gt;&lt;Cite&gt;&lt;Author&gt;Engle&lt;/Author&gt;&lt;Year&gt;1990&lt;/Year&gt;&lt;RecNum&gt;114&lt;/RecNum&gt;&lt;DisplayText&gt;(Engle et al., 1990)&lt;/DisplayText&gt;&lt;record&gt;&lt;rec-number&gt;114&lt;/rec-number&gt;&lt;foreign-keys&gt;&lt;key app="EN" db-id="r5w50r005x95eter9t4vwtxhf9pv50ssd2sr"&gt;114&lt;/key&gt;&lt;/foreign-keys&gt;&lt;ref-type name="Journal Article"&gt;17&lt;/ref-type&gt;&lt;contributors&gt;&lt;authors&gt;&lt;author&gt;Robert F. Engle&lt;/author&gt;&lt;author&gt;Victor K.NG&lt;/author&gt;&lt;author&gt;Michael Rothschild&lt;/author&gt;&lt;/authors&gt;&lt;/contributors&gt;&lt;titles&gt;&lt;title&gt;Asset Pricing with a Factor Arch Covariance Structure: Empirical Estimates for Treasury Bills&lt;/title&gt;&lt;secondary-title&gt;Journal of Econometrics&lt;/secondary-title&gt;&lt;/titles&gt;&lt;periodical&gt;&lt;full-title&gt;Journal of Econometrics&lt;/full-title&gt;&lt;/periodical&gt;&lt;pages&gt;213-237&lt;/pages&gt;&lt;volume&gt;45&lt;/volume&gt;&lt;number&gt;1/2&lt;/number&gt;&lt;dates&gt;&lt;year&gt;1990&lt;/year&gt;&lt;/dates&gt;&lt;urls&gt;&lt;/urls&gt;&lt;/record&gt;&lt;/Cite&gt;&lt;/EndNote&gt;</w:instrText>
      </w:r>
      <w:r w:rsidRPr="00B06DC4">
        <w:rPr>
          <w:rFonts w:ascii="Times New Roman" w:hAnsi="Times New Roman" w:cs="Times New Roman"/>
          <w:sz w:val="24"/>
          <w:szCs w:val="24"/>
        </w:rPr>
        <w:fldChar w:fldCharType="separate"/>
      </w:r>
      <w:r w:rsidRPr="00B06DC4">
        <w:rPr>
          <w:rFonts w:ascii="Times New Roman" w:hAnsi="Times New Roman" w:cs="Times New Roman"/>
          <w:noProof/>
          <w:sz w:val="24"/>
          <w:szCs w:val="24"/>
        </w:rPr>
        <w:t>(</w:t>
      </w:r>
      <w:hyperlink w:anchor="_ENREF_51" w:tooltip="Engle, 1990 #114" w:history="1">
        <w:r w:rsidRPr="00B06DC4">
          <w:rPr>
            <w:rFonts w:ascii="Times New Roman" w:hAnsi="Times New Roman" w:cs="Times New Roman"/>
            <w:noProof/>
            <w:sz w:val="24"/>
            <w:szCs w:val="24"/>
          </w:rPr>
          <w:t>Engle et al., 1990</w:t>
        </w:r>
      </w:hyperlink>
      <w:r w:rsidRPr="00B06DC4">
        <w:rPr>
          <w:rFonts w:ascii="Times New Roman" w:hAnsi="Times New Roman" w:cs="Times New Roman"/>
          <w:noProof/>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reduces the number of parameters to O(k</w:t>
      </w:r>
      <w:r w:rsidRPr="00B06DC4">
        <w:rPr>
          <w:rFonts w:ascii="Times New Roman" w:hAnsi="Times New Roman" w:cs="Times New Roman"/>
          <w:sz w:val="24"/>
          <w:szCs w:val="24"/>
          <w:vertAlign w:val="superscript"/>
        </w:rPr>
        <w:t>2</w:t>
      </w:r>
      <w:r w:rsidRPr="00B06DC4">
        <w:rPr>
          <w:rFonts w:ascii="Times New Roman" w:hAnsi="Times New Roman" w:cs="Times New Roman"/>
          <w:sz w:val="24"/>
          <w:szCs w:val="24"/>
        </w:rPr>
        <w:t xml:space="preserve">), but empirical studies reveal its poor performance on low and negative correlations.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AuthorYear="1"&gt;&lt;Author&gt;Bollerslev&lt;/Author&gt;&lt;Year&gt;1990&lt;/Year&gt;&lt;RecNum&gt;88&lt;/RecNum&gt;&lt;DisplayText&gt;Bollerslev (1990)&lt;/DisplayText&gt;&lt;record&gt;&lt;rec-number&gt;88&lt;/rec-number&gt;&lt;foreign-keys&gt;&lt;key app="EN" db-id="r5w50r005x95eter9t4vwtxhf9pv50ssd2sr"&gt;88&lt;/key&gt;&lt;/foreign-keys&gt;&lt;ref-type name="Journal Article"&gt;17&lt;/ref-type&gt;&lt;contributors&gt;&lt;authors&gt;&lt;author&gt;T. Bollerslev&lt;/author&gt;&lt;/authors&gt;&lt;/contributors&gt;&lt;titles&gt;&lt;title&gt;Modelling the coherence in short-term nominal exchange rates: A multivariate generalized ARCH approach&lt;/title&gt;&lt;secondary-title&gt;Review of Economics and Statistics&lt;/secondary-title&gt;&lt;/titles&gt;&lt;periodical&gt;&lt;full-title&gt;Review of Economics and Statistics&lt;/full-title&gt;&lt;/periodical&gt;&lt;pages&gt;498-505&lt;/pages&gt;&lt;volume&gt;72&lt;/volume&gt;&lt;dates&gt;&lt;year&gt;1990&lt;/year&gt;&lt;/dates&gt;&lt;urls&gt;&lt;/urls&gt;&lt;/record&gt;&lt;/Cite&gt;&lt;/EndNote&gt;</w:instrText>
      </w:r>
      <w:r w:rsidRPr="00B06DC4">
        <w:rPr>
          <w:rFonts w:ascii="Times New Roman" w:hAnsi="Times New Roman" w:cs="Times New Roman"/>
          <w:sz w:val="24"/>
          <w:szCs w:val="24"/>
        </w:rPr>
        <w:fldChar w:fldCharType="separate"/>
      </w:r>
      <w:hyperlink w:anchor="_ENREF_22" w:tooltip="Bollerslev, 1990 #88" w:history="1">
        <w:r w:rsidRPr="00B06DC4">
          <w:rPr>
            <w:rFonts w:ascii="Times New Roman" w:hAnsi="Times New Roman" w:cs="Times New Roman"/>
            <w:sz w:val="24"/>
            <w:szCs w:val="24"/>
          </w:rPr>
          <w:t>Bollerslev (1990</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proposes the constant correlation (CC) model, which still allows volatility to be time-varied but the conditional correlations are restricted to be time-invariant. </w:t>
      </w:r>
      <w:r w:rsidRPr="00B06DC4">
        <w:rPr>
          <w:rFonts w:ascii="Times New Roman" w:hAnsi="Times New Roman" w:cs="Times New Roman"/>
          <w:bCs/>
          <w:sz w:val="24"/>
          <w:szCs w:val="24"/>
          <w:lang w:val="en-US"/>
        </w:rPr>
        <w:t xml:space="preserve">However, </w:t>
      </w:r>
      <w:r w:rsidRPr="00B06DC4">
        <w:rPr>
          <w:rFonts w:ascii="Times New Roman" w:hAnsi="Times New Roman" w:cs="Times New Roman"/>
          <w:bCs/>
          <w:sz w:val="24"/>
          <w:szCs w:val="24"/>
          <w:lang w:val="en-US"/>
        </w:rPr>
        <w:fldChar w:fldCharType="begin"/>
      </w:r>
      <w:r w:rsidRPr="00B06DC4">
        <w:rPr>
          <w:rFonts w:ascii="Times New Roman" w:hAnsi="Times New Roman" w:cs="Times New Roman"/>
          <w:bCs/>
          <w:sz w:val="24"/>
          <w:szCs w:val="24"/>
          <w:lang w:val="en-US"/>
        </w:rPr>
        <w:instrText xml:space="preserve"> ADDIN EN.CITE &lt;EndNote&gt;&lt;Cite AuthorYear="1"&gt;&lt;Author&gt;Longin&lt;/Author&gt;&lt;Year&gt;1995&lt;/Year&gt;&lt;RecNum&gt;68&lt;/RecNum&gt;&lt;DisplayText&gt;Longin and Solnik (1995)&lt;/DisplayText&gt;&lt;record&gt;&lt;rec-number&gt;68&lt;/rec-number&gt;&lt;foreign-keys&gt;&lt;key app="EN" db-id="r5w50r005x95eter9t4vwtxhf9pv50ssd2sr"&gt;68&lt;/key&gt;&lt;/foreign-keys&gt;&lt;ref-type name="Journal Article"&gt;17&lt;/ref-type&gt;&lt;contributors&gt;&lt;authors&gt;&lt;author&gt;Longin,F&lt;/author&gt;&lt;author&gt;Solnik,B&lt;/author&gt;&lt;/authors&gt;&lt;/contributors&gt;&lt;titles&gt;&lt;title&gt;Is the correlation in international equity returns constant: 1960-1990? &lt;/title&gt;&lt;secondary-title&gt;Journal of International Money and Finance&lt;/secondary-title&gt;&lt;/titles&gt;&lt;periodical&gt;&lt;full-title&gt;Journal of International Money and Finance&lt;/full-title&gt;&lt;/periodical&gt;&lt;pages&gt;3-26&lt;/pages&gt;&lt;volume&gt;14(1)&lt;/volume&gt;&lt;dates&gt;&lt;year&gt;1995&lt;/year&gt;&lt;/dates&gt;&lt;urls&gt;&lt;/urls&gt;&lt;/record&gt;&lt;/Cite&gt;&lt;/EndNote&gt;</w:instrText>
      </w:r>
      <w:r w:rsidRPr="00B06DC4">
        <w:rPr>
          <w:rFonts w:ascii="Times New Roman" w:hAnsi="Times New Roman" w:cs="Times New Roman"/>
          <w:bCs/>
          <w:sz w:val="24"/>
          <w:szCs w:val="24"/>
          <w:lang w:val="en-US"/>
        </w:rPr>
        <w:fldChar w:fldCharType="separate"/>
      </w:r>
      <w:hyperlink w:anchor="_ENREF_101" w:tooltip="Longin, 1995 #68" w:history="1">
        <w:r w:rsidRPr="00B06DC4">
          <w:rPr>
            <w:rFonts w:ascii="Times New Roman" w:hAnsi="Times New Roman" w:cs="Times New Roman"/>
            <w:bCs/>
            <w:sz w:val="24"/>
            <w:szCs w:val="24"/>
            <w:lang w:val="en-US"/>
          </w:rPr>
          <w:t>Longin and Solnik (1995</w:t>
        </w:r>
      </w:hyperlink>
      <w:r w:rsidRPr="00B06DC4">
        <w:rPr>
          <w:rFonts w:ascii="Times New Roman" w:hAnsi="Times New Roman" w:cs="Times New Roman"/>
          <w:bCs/>
          <w:sz w:val="24"/>
          <w:szCs w:val="24"/>
          <w:lang w:val="en-US"/>
        </w:rPr>
        <w:t>)</w:t>
      </w:r>
      <w:r w:rsidRPr="00B06DC4">
        <w:rPr>
          <w:rFonts w:ascii="Times New Roman" w:hAnsi="Times New Roman" w:cs="Times New Roman"/>
          <w:bCs/>
          <w:sz w:val="24"/>
          <w:szCs w:val="24"/>
          <w:lang w:val="en-US"/>
        </w:rPr>
        <w:fldChar w:fldCharType="end"/>
      </w:r>
      <w:r w:rsidRPr="00B06DC4">
        <w:rPr>
          <w:rFonts w:ascii="Times New Roman" w:hAnsi="Times New Roman" w:cs="Times New Roman"/>
          <w:bCs/>
          <w:sz w:val="24"/>
          <w:szCs w:val="24"/>
          <w:lang w:val="en-US"/>
        </w:rPr>
        <w:t xml:space="preserve"> explore the correlation of monthly excess returns for seven major countries over the period 1960-1990 and conclude that the covariance matrices were not stable, but time-varying. </w:t>
      </w:r>
      <w:r w:rsidRPr="00B06DC4">
        <w:rPr>
          <w:rFonts w:ascii="Times New Roman" w:hAnsi="Times New Roman" w:cs="Times New Roman"/>
          <w:sz w:val="24"/>
          <w:szCs w:val="24"/>
          <w:lang w:val="en-US"/>
        </w:rPr>
        <w:fldChar w:fldCharType="begin"/>
      </w:r>
      <w:r w:rsidRPr="00B06DC4">
        <w:rPr>
          <w:rFonts w:ascii="Times New Roman" w:hAnsi="Times New Roman" w:cs="Times New Roman"/>
          <w:sz w:val="24"/>
          <w:szCs w:val="24"/>
          <w:lang w:val="en-US"/>
        </w:rPr>
        <w:instrText xml:space="preserve"> ADDIN EN.CITE &lt;EndNote&gt;&lt;Cite AuthorYear="1"&gt;&lt;Author&gt;Tse&lt;/Author&gt;&lt;Year&gt;2000&lt;/Year&gt;&lt;RecNum&gt;70&lt;/RecNum&gt;&lt;DisplayText&gt;Tse (2000)&lt;/DisplayText&gt;&lt;record&gt;&lt;rec-number&gt;70&lt;/rec-number&gt;&lt;foreign-keys&gt;&lt;key app="EN" db-id="r5w50r005x95eter9t4vwtxhf9pv50ssd2sr"&gt;70&lt;/key&gt;&lt;/foreign-keys&gt;&lt;ref-type name="Journal Article"&gt;17&lt;/ref-type&gt;&lt;contributors&gt;&lt;authors&gt;&lt;author&gt;Tse, Y. K.&lt;/author&gt;&lt;/authors&gt;&lt;/contributors&gt;&lt;auth-address&gt;Tse, YK&amp;#xD;Natl Univ Singapore, Dept Econ, Singapore 119260, Singapore&amp;#xD;Natl Univ Singapore, Dept Econ, Singapore 119260, Singapore&amp;#xD;Natl Univ Singapore, Dept Econ, Singapore 119260, Singapore&lt;/auth-address&gt;&lt;titles&gt;&lt;title&gt;A test for constant correlations in a multivariate GARCH model&lt;/title&gt;&lt;secondary-title&gt;Journal of Econometrics&lt;/secondary-title&gt;&lt;alt-title&gt;J Econometrics&lt;/alt-title&gt;&lt;/titles&gt;&lt;periodical&gt;&lt;full-title&gt;Journal of Econometrics&lt;/full-title&gt;&lt;/periodical&gt;&lt;pages&gt;107-127&lt;/pages&gt;&lt;volume&gt;98&lt;/volume&gt;&lt;number&gt;1&lt;/number&gt;&lt;keywords&gt;&lt;keyword&gt;constant correlation&lt;/keyword&gt;&lt;keyword&gt;information matrix test&lt;/keyword&gt;&lt;keyword&gt;lagrange multiplier test&lt;/keyword&gt;&lt;keyword&gt;monte carlo experiment&lt;/keyword&gt;&lt;keyword&gt;multivariate conditional heteroscedasticity&lt;/keyword&gt;&lt;keyword&gt;time-varying covariances&lt;/keyword&gt;&lt;keyword&gt;generalized arch&lt;/keyword&gt;&lt;keyword&gt;exchange-rate&lt;/keyword&gt;&lt;keyword&gt;futures&lt;/keyword&gt;&lt;keyword&gt;volatility&lt;/keyword&gt;&lt;keyword&gt;hedge&lt;/keyword&gt;&lt;/keywords&gt;&lt;dates&gt;&lt;year&gt;2000&lt;/year&gt;&lt;pub-dates&gt;&lt;date&gt;Sep&lt;/date&gt;&lt;/pub-dates&gt;&lt;/dates&gt;&lt;isbn&gt;0304-4076&lt;/isbn&gt;&lt;accession-num&gt;WOS:000088819200005&lt;/accession-num&gt;&lt;urls&gt;&lt;related-urls&gt;&lt;url&gt;&amp;lt;Go to ISI&amp;gt;://WOS:000088819200005&lt;/url&gt;&lt;/related-urls&gt;&lt;/urls&gt;&lt;electronic-resource-num&gt;Doi 10.1016/S0304-4076(99)00080-9&lt;/electronic-resource-num&gt;&lt;language&gt;English&lt;/language&gt;&lt;/record&gt;&lt;/Cite&gt;&lt;/EndNote&gt;</w:instrText>
      </w:r>
      <w:r w:rsidRPr="00B06DC4">
        <w:rPr>
          <w:rFonts w:ascii="Times New Roman" w:hAnsi="Times New Roman" w:cs="Times New Roman"/>
          <w:sz w:val="24"/>
          <w:szCs w:val="24"/>
          <w:lang w:val="en-US"/>
        </w:rPr>
        <w:fldChar w:fldCharType="separate"/>
      </w:r>
      <w:hyperlink w:anchor="_ENREF_152" w:tooltip="Tse, 2000 #70" w:history="1">
        <w:r w:rsidRPr="00B06DC4">
          <w:rPr>
            <w:rFonts w:ascii="Times New Roman" w:hAnsi="Times New Roman" w:cs="Times New Roman"/>
            <w:noProof/>
            <w:sz w:val="24"/>
            <w:szCs w:val="24"/>
            <w:lang w:val="en-US"/>
          </w:rPr>
          <w:t>Tse (2000</w:t>
        </w:r>
      </w:hyperlink>
      <w:r w:rsidRPr="00B06DC4">
        <w:rPr>
          <w:rFonts w:ascii="Times New Roman" w:hAnsi="Times New Roman" w:cs="Times New Roman"/>
          <w:noProof/>
          <w:sz w:val="24"/>
          <w:szCs w:val="24"/>
          <w:lang w:val="en-US"/>
        </w:rPr>
        <w:t>)</w:t>
      </w:r>
      <w:r w:rsidRPr="00B06DC4">
        <w:rPr>
          <w:rFonts w:ascii="Times New Roman" w:hAnsi="Times New Roman" w:cs="Times New Roman"/>
          <w:sz w:val="24"/>
          <w:szCs w:val="24"/>
          <w:lang w:val="en-US"/>
        </w:rPr>
        <w:fldChar w:fldCharType="end"/>
      </w:r>
      <w:r w:rsidRPr="00B06DC4">
        <w:rPr>
          <w:rFonts w:ascii="Times New Roman" w:hAnsi="Times New Roman" w:cs="Times New Roman"/>
          <w:sz w:val="24"/>
          <w:szCs w:val="24"/>
          <w:lang w:val="en-US"/>
        </w:rPr>
        <w:t xml:space="preserve"> introduces a Lagrange Multiplier (LM) test for the constant-correlation hypothesis in a multivariate GARCH model. The test examines the restrictions imposed on a model which encompasses the constant-correlation multivariate GARCH model. They test three different data sets, namely, spot-futures prices, foreign exchange rates and stock market returns. The results show that spot-futures and foreign exchange data display constant correlations, while the correlations across national stock market returns are time-varying. Therefore, the CC model may not be generous enough. </w:t>
      </w:r>
    </w:p>
    <w:p w14:paraId="5C62CDF5" w14:textId="77777777" w:rsidR="00481BEB" w:rsidRPr="00B06DC4" w:rsidRDefault="00481BEB" w:rsidP="00481BEB">
      <w:pPr>
        <w:spacing w:line="360" w:lineRule="auto"/>
        <w:jc w:val="both"/>
        <w:rPr>
          <w:rFonts w:ascii="Times New Roman" w:hAnsi="Times New Roman" w:cs="Times New Roman"/>
          <w:sz w:val="24"/>
          <w:szCs w:val="24"/>
          <w:lang w:val="en-US"/>
        </w:rPr>
      </w:pP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AuthorYear="1"&gt;&lt;Author&gt;Engle&lt;/Author&gt;&lt;Year&gt;1995&lt;/Year&gt;&lt;RecNum&gt;113&lt;/RecNum&gt;&lt;DisplayText&gt;Engle and Kroner (1995)&lt;/DisplayText&gt;&lt;record&gt;&lt;rec-number&gt;113&lt;/rec-number&gt;&lt;foreign-keys&gt;&lt;key app="EN" db-id="r5w50r005x95eter9t4vwtxhf9pv50ssd2sr"&gt;113&lt;/key&gt;&lt;/foreign-keys&gt;&lt;ref-type name="Journal Article"&gt;17&lt;/ref-type&gt;&lt;contributors&gt;&lt;authors&gt;&lt;author&gt;Robert F. Engle&lt;/author&gt;&lt;author&gt;Kenneth F. Kroner&lt;/author&gt;&lt;/authors&gt;&lt;/contributors&gt;&lt;titles&gt;&lt;title&gt;Multivariate Simultaneous Generalized Arch&lt;/title&gt;&lt;secondary-title&gt;Econometric Theory&lt;/secondary-title&gt;&lt;/titles&gt;&lt;periodical&gt;&lt;full-title&gt;Econometric Theory&lt;/full-title&gt;&lt;/periodical&gt;&lt;pages&gt;122-150&lt;/pages&gt;&lt;volume&gt;11&lt;/volume&gt;&lt;number&gt;1&lt;/number&gt;&lt;dates&gt;&lt;year&gt;1995&lt;/year&gt;&lt;/dates&gt;&lt;urls&gt;&lt;/urls&gt;&lt;/record&gt;&lt;/Cite&gt;&lt;/EndNote&gt;</w:instrText>
      </w:r>
      <w:r w:rsidRPr="00B06DC4">
        <w:rPr>
          <w:rFonts w:ascii="Times New Roman" w:hAnsi="Times New Roman" w:cs="Times New Roman"/>
          <w:sz w:val="24"/>
          <w:szCs w:val="24"/>
        </w:rPr>
        <w:fldChar w:fldCharType="separate"/>
      </w:r>
      <w:hyperlink w:anchor="_ENREF_52" w:tooltip="Engle, 1995 #113" w:history="1">
        <w:r w:rsidRPr="00B06DC4">
          <w:rPr>
            <w:rFonts w:ascii="Times New Roman" w:hAnsi="Times New Roman" w:cs="Times New Roman"/>
            <w:sz w:val="24"/>
            <w:szCs w:val="24"/>
          </w:rPr>
          <w:t>Engle and Kroner (1995</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considerably improve the work of Baba, Engle, Kraft and Kroner and create a general quadratic form for the covariance equation, which successfully eliminates the positive definiteness problem of the original VECH model. In the fully general BEKK model, the number of parameters that must be estimated is O(k</w:t>
      </w:r>
      <w:r w:rsidRPr="00B06DC4">
        <w:rPr>
          <w:rFonts w:ascii="Times New Roman" w:hAnsi="Times New Roman" w:cs="Times New Roman"/>
          <w:sz w:val="24"/>
          <w:szCs w:val="24"/>
          <w:vertAlign w:val="superscript"/>
        </w:rPr>
        <w:t>4</w:t>
      </w:r>
      <w:r w:rsidRPr="00B06DC4">
        <w:rPr>
          <w:rFonts w:ascii="Times New Roman" w:hAnsi="Times New Roman" w:cs="Times New Roman"/>
          <w:sz w:val="24"/>
          <w:szCs w:val="24"/>
        </w:rPr>
        <w:t>), the standard BEKK estimation will involve O (k</w:t>
      </w:r>
      <w:r w:rsidRPr="00B06DC4">
        <w:rPr>
          <w:rFonts w:ascii="Times New Roman" w:hAnsi="Times New Roman" w:cs="Times New Roman"/>
          <w:sz w:val="24"/>
          <w:szCs w:val="24"/>
          <w:vertAlign w:val="superscript"/>
        </w:rPr>
        <w:t>2</w:t>
      </w:r>
      <w:r w:rsidRPr="00B06DC4">
        <w:rPr>
          <w:rFonts w:ascii="Times New Roman" w:hAnsi="Times New Roman" w:cs="Times New Roman"/>
          <w:sz w:val="24"/>
          <w:szCs w:val="24"/>
        </w:rPr>
        <w:t xml:space="preserve">) parameters. Other, more plausible formulations of the BEKK model include </w:t>
      </w:r>
      <w:r w:rsidRPr="00B06DC4">
        <w:rPr>
          <w:rFonts w:ascii="Times New Roman" w:hAnsi="Times New Roman" w:cs="Times New Roman"/>
          <w:sz w:val="24"/>
          <w:szCs w:val="24"/>
        </w:rPr>
        <w:lastRenderedPageBreak/>
        <w:t xml:space="preserve">diagonal and scalar, where, as the name suggests, parameters are restricted to be either diagonal matrices or scalar. The most obvious shortcoming of those simplified BEKK models is that some information such as volatility </w:t>
      </w:r>
      <w:proofErr w:type="spellStart"/>
      <w:r w:rsidRPr="00B06DC4">
        <w:rPr>
          <w:rFonts w:ascii="Times New Roman" w:hAnsi="Times New Roman" w:cs="Times New Roman"/>
          <w:sz w:val="24"/>
          <w:szCs w:val="24"/>
        </w:rPr>
        <w:t>spillover</w:t>
      </w:r>
      <w:proofErr w:type="spellEnd"/>
      <w:r w:rsidRPr="00B06DC4">
        <w:rPr>
          <w:rFonts w:ascii="Times New Roman" w:hAnsi="Times New Roman" w:cs="Times New Roman"/>
          <w:sz w:val="24"/>
          <w:szCs w:val="24"/>
        </w:rPr>
        <w:t xml:space="preserve"> effects is missing from the variance-covariance matrix, since the parameters are reduced.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AuthorYear="1"&gt;&lt;Author&gt;Alexander&lt;/Author&gt;&lt;Year&gt;1999&lt;/Year&gt;&lt;RecNum&gt;56&lt;/RecNum&gt;&lt;DisplayText&gt;Alexander (1999)&lt;/DisplayText&gt;&lt;record&gt;&lt;rec-number&gt;56&lt;/rec-number&gt;&lt;foreign-keys&gt;&lt;key app="EN" db-id="r5w50r005x95eter9t4vwtxhf9pv50ssd2sr"&gt;56&lt;/key&gt;&lt;/foreign-keys&gt;&lt;ref-type name="Journal Article"&gt;17&lt;/ref-type&gt;&lt;contributors&gt;&lt;authors&gt;&lt;author&gt;Carlo Alexander &lt;/author&gt;&lt;/authors&gt;&lt;/contributors&gt;&lt;titles&gt;&lt;title&gt;A Primer on the Orthogonal GARCH Model&lt;/title&gt;&lt;secondary-title&gt;ISMA Center, University of Reading&lt;/secondary-title&gt;&lt;/titles&gt;&lt;periodical&gt;&lt;full-title&gt;ISMA Center, University of Reading&lt;/full-title&gt;&lt;/periodical&gt;&lt;dates&gt;&lt;year&gt;1999&lt;/year&gt;&lt;/dates&gt;&lt;urls&gt;&lt;/urls&gt;&lt;/record&gt;&lt;/Cite&gt;&lt;/EndNote&gt;</w:instrText>
      </w:r>
      <w:r w:rsidRPr="00B06DC4">
        <w:rPr>
          <w:rFonts w:ascii="Times New Roman" w:hAnsi="Times New Roman" w:cs="Times New Roman"/>
          <w:sz w:val="24"/>
          <w:szCs w:val="24"/>
        </w:rPr>
        <w:fldChar w:fldCharType="separate"/>
      </w:r>
      <w:hyperlink w:anchor="_ENREF_3" w:tooltip="Alexander, 1999 #56" w:history="1">
        <w:r w:rsidRPr="00B06DC4">
          <w:rPr>
            <w:rFonts w:ascii="Times New Roman" w:hAnsi="Times New Roman" w:cs="Times New Roman"/>
            <w:sz w:val="24"/>
            <w:szCs w:val="24"/>
          </w:rPr>
          <w:t>Alexander (1999</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demonstrates how to apply factor (or Orthogonal) GARCH models, which limit the factors accounting for the number of volatilities. The most attractive feature of this kind of MVGARCH model is that it is generous enough to provide a method for estimating any variance-covariance matrix using univariate GARCH models. However,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AuthorYear="1"&gt;&lt;Author&gt;Sheppard&lt;/Author&gt;&lt;Year&gt;2001&lt;/Year&gt;&lt;RecNum&gt;89&lt;/RecNum&gt;&lt;DisplayText&gt;Sheppard (2001)&lt;/DisplayText&gt;&lt;record&gt;&lt;rec-number&gt;89&lt;/rec-number&gt;&lt;foreign-keys&gt;&lt;key app="EN" db-id="r5w50r005x95eter9t4vwtxhf9pv50ssd2sr"&gt;89&lt;/key&gt;&lt;/foreign-keys&gt;&lt;ref-type name="Conference Proceedings"&gt;10&lt;/ref-type&gt;&lt;contributors&gt;&lt;authors&gt;&lt;author&gt;Kevin Sheppard&lt;/author&gt;&lt;/authors&gt;&lt;/contributors&gt;&lt;titles&gt;&lt;title&gt;Multi-step estimation of Multivariate GARCH models&lt;/title&gt;&lt;secondary-title&gt;Proceedings of International ICSC Symposium: Advanced Computing in Financial Markets&lt;/secondary-title&gt;&lt;/titles&gt;&lt;dates&gt;&lt;year&gt;2001&lt;/year&gt;&lt;pub-dates&gt;&lt;date&gt;June&lt;/date&gt;&lt;/pub-dates&gt;&lt;/dates&gt;&lt;urls&gt;&lt;/urls&gt;&lt;/record&gt;&lt;/Cite&gt;&lt;/EndNote&gt;</w:instrText>
      </w:r>
      <w:r w:rsidRPr="00B06DC4">
        <w:rPr>
          <w:rFonts w:ascii="Times New Roman" w:hAnsi="Times New Roman" w:cs="Times New Roman"/>
          <w:sz w:val="24"/>
          <w:szCs w:val="24"/>
        </w:rPr>
        <w:fldChar w:fldCharType="separate"/>
      </w:r>
      <w:hyperlink w:anchor="_ENREF_140" w:tooltip="Sheppard, 2001 #89" w:history="1">
        <w:r w:rsidRPr="00B06DC4">
          <w:rPr>
            <w:rFonts w:ascii="Times New Roman" w:hAnsi="Times New Roman" w:cs="Times New Roman"/>
            <w:sz w:val="24"/>
            <w:szCs w:val="24"/>
          </w:rPr>
          <w:t>Sheppard (2001</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criticises that this approach is hardly suitable to interpret the coefficients on the univariate GARCH model and performs poorly for less correlated systems such as individual equities, since it reduces the number of parameters to O(k). </w:t>
      </w:r>
    </w:p>
    <w:p w14:paraId="5584245E" w14:textId="77777777" w:rsidR="00481BEB" w:rsidRPr="00B06DC4" w:rsidRDefault="00481BEB" w:rsidP="00481BEB">
      <w:pPr>
        <w:spacing w:line="360" w:lineRule="auto"/>
        <w:jc w:val="both"/>
        <w:rPr>
          <w:rFonts w:ascii="Times New Roman" w:hAnsi="Times New Roman" w:cs="Times New Roman"/>
          <w:color w:val="0D0D0D" w:themeColor="text1" w:themeTint="F2"/>
          <w:sz w:val="24"/>
          <w:szCs w:val="24"/>
          <w:lang w:val="en-US"/>
        </w:rPr>
      </w:pPr>
      <w:r w:rsidRPr="00B06DC4">
        <w:rPr>
          <w:rFonts w:ascii="Times New Roman" w:hAnsi="Times New Roman" w:cs="Times New Roman"/>
          <w:sz w:val="24"/>
          <w:szCs w:val="24"/>
          <w:lang w:val="en-US"/>
        </w:rPr>
        <w:fldChar w:fldCharType="begin"/>
      </w:r>
      <w:r w:rsidRPr="00B06DC4">
        <w:rPr>
          <w:rFonts w:ascii="Times New Roman" w:hAnsi="Times New Roman" w:cs="Times New Roman"/>
          <w:sz w:val="24"/>
          <w:szCs w:val="24"/>
          <w:lang w:val="en-US"/>
        </w:rPr>
        <w:instrText xml:space="preserve"> ADDIN EN.CITE &lt;EndNote&gt;&lt;Cite AuthorYear="1"&gt;&lt;Author&gt;Sheppard&lt;/Author&gt;&lt;Year&gt;2001&lt;/Year&gt;&lt;RecNum&gt;89&lt;/RecNum&gt;&lt;DisplayText&gt;Sheppard (2001)&lt;/DisplayText&gt;&lt;record&gt;&lt;rec-number&gt;89&lt;/rec-number&gt;&lt;foreign-keys&gt;&lt;key app="EN" db-id="r5w50r005x95eter9t4vwtxhf9pv50ssd2sr"&gt;89&lt;/key&gt;&lt;/foreign-keys&gt;&lt;ref-type name="Conference Proceedings"&gt;10&lt;/ref-type&gt;&lt;contributors&gt;&lt;authors&gt;&lt;author&gt;Kevin Sheppard&lt;/author&gt;&lt;/authors&gt;&lt;/contributors&gt;&lt;titles&gt;&lt;title&gt;Multi-step estimation of Multivariate GARCH models&lt;/title&gt;&lt;secondary-title&gt;Proceedings of International ICSC Symposium: Advanced Computing in Financial Markets&lt;/secondary-title&gt;&lt;/titles&gt;&lt;dates&gt;&lt;year&gt;2001&lt;/year&gt;&lt;pub-dates&gt;&lt;date&gt;June&lt;/date&gt;&lt;/pub-dates&gt;&lt;/dates&gt;&lt;urls&gt;&lt;/urls&gt;&lt;/record&gt;&lt;/Cite&gt;&lt;/EndNote&gt;</w:instrText>
      </w:r>
      <w:r w:rsidRPr="00B06DC4">
        <w:rPr>
          <w:rFonts w:ascii="Times New Roman" w:hAnsi="Times New Roman" w:cs="Times New Roman"/>
          <w:sz w:val="24"/>
          <w:szCs w:val="24"/>
          <w:lang w:val="en-US"/>
        </w:rPr>
        <w:fldChar w:fldCharType="separate"/>
      </w:r>
      <w:hyperlink w:anchor="_ENREF_140" w:tooltip="Sheppard, 2001 #89" w:history="1">
        <w:r w:rsidRPr="00B06DC4">
          <w:rPr>
            <w:rFonts w:ascii="Times New Roman" w:hAnsi="Times New Roman" w:cs="Times New Roman"/>
            <w:sz w:val="24"/>
            <w:szCs w:val="24"/>
            <w:lang w:val="en-US"/>
          </w:rPr>
          <w:t>Sheppard (2001</w:t>
        </w:r>
      </w:hyperlink>
      <w:r w:rsidRPr="00B06DC4">
        <w:rPr>
          <w:rFonts w:ascii="Times New Roman" w:hAnsi="Times New Roman" w:cs="Times New Roman"/>
          <w:sz w:val="24"/>
          <w:szCs w:val="24"/>
          <w:lang w:val="en-US"/>
        </w:rPr>
        <w:t>)</w:t>
      </w:r>
      <w:r w:rsidRPr="00B06DC4">
        <w:rPr>
          <w:rFonts w:ascii="Times New Roman" w:hAnsi="Times New Roman" w:cs="Times New Roman"/>
          <w:sz w:val="24"/>
          <w:szCs w:val="24"/>
          <w:lang w:val="en-US"/>
        </w:rPr>
        <w:fldChar w:fldCharType="end"/>
      </w:r>
      <w:r w:rsidRPr="00B06DC4">
        <w:rPr>
          <w:rFonts w:ascii="Times New Roman" w:hAnsi="Times New Roman" w:cs="Times New Roman"/>
          <w:sz w:val="24"/>
          <w:szCs w:val="24"/>
          <w:lang w:val="en-US"/>
        </w:rPr>
        <w:t xml:space="preserve"> proposes a new type of multivariate GARCH model; namely, dynamic conditional correlation to deal with the difficulty of estimating large time-varying variance-covariance matrices. This new type multivariate GARCH model is distinguished from other specifications in that univariate GARCH models are estimated for each asset series, then use the standard residuals resulting from the first step, a time-varying correlation matrix is generated from the first step using a simple specification. This</w:t>
      </w:r>
      <w:r w:rsidRPr="00B06DC4">
        <w:rPr>
          <w:rFonts w:ascii="Times New Roman" w:hAnsi="Times New Roman" w:cs="Times New Roman"/>
          <w:sz w:val="24"/>
          <w:szCs w:val="24"/>
        </w:rPr>
        <w:t xml:space="preserve"> parameterization</w:t>
      </w:r>
      <w:r w:rsidRPr="00B06DC4">
        <w:rPr>
          <w:rFonts w:ascii="Times New Roman" w:hAnsi="Times New Roman" w:cs="Times New Roman"/>
          <w:sz w:val="24"/>
          <w:szCs w:val="24"/>
          <w:lang w:val="en-US"/>
        </w:rPr>
        <w:t xml:space="preserve"> preserves the simple interpretation of univariate GARCH models with an easy to compute correlation step. The sample empirical study shows the power and easy implementation of this new type of model.</w:t>
      </w:r>
      <w:r w:rsidRPr="00B06DC4">
        <w:rPr>
          <w:rFonts w:ascii="Times New Roman" w:hAnsi="Times New Roman" w:cs="Times New Roman"/>
          <w:sz w:val="24"/>
          <w:szCs w:val="24"/>
        </w:rPr>
        <w:t xml:space="preserve"> In line with Sheppard (2001), </w:t>
      </w:r>
      <w:r w:rsidRPr="00B06DC4">
        <w:rPr>
          <w:rFonts w:ascii="Times New Roman" w:hAnsi="Times New Roman" w:cs="Times New Roman"/>
          <w:sz w:val="24"/>
          <w:szCs w:val="24"/>
        </w:rPr>
        <w:fldChar w:fldCharType="begin"/>
      </w:r>
      <w:r w:rsidRPr="00B06DC4">
        <w:rPr>
          <w:rFonts w:ascii="Times New Roman" w:hAnsi="Times New Roman" w:cs="Times New Roman"/>
          <w:sz w:val="24"/>
          <w:szCs w:val="24"/>
        </w:rPr>
        <w:instrText xml:space="preserve"> ADDIN EN.CITE &lt;EndNote&gt;&lt;Cite AuthorYear="1"&gt;&lt;Author&gt;Engle&lt;/Author&gt;&lt;Year&gt;2002&lt;/Year&gt;&lt;RecNum&gt;26&lt;/RecNum&gt;&lt;DisplayText&gt;Engle (2002)&lt;/DisplayText&gt;&lt;record&gt;&lt;rec-number&gt;26&lt;/rec-number&gt;&lt;foreign-keys&gt;&lt;key app="EN" db-id="r5w50r005x95eter9t4vwtxhf9pv50ssd2sr"&gt;26&lt;/key&gt;&lt;/foreign-keys&gt;&lt;ref-type name="Journal Article"&gt;17&lt;/ref-type&gt;&lt;contributors&gt;&lt;authors&gt;&lt;author&gt;Engle, R.&lt;/author&gt;&lt;/authors&gt;&lt;/contributors&gt;&lt;auth-address&gt;Engle, R&amp;#xD;NYU, Leonard N Stern Sch Business, Dept Finance, New York, NY 10012 USA&amp;#xD;NYU, Leonard N Stern Sch Business, Dept Finance, New York, NY 10012 USA&amp;#xD;NYU, Leonard N Stern Sch Business, Dept Finance, New York, NY 10012 USA&amp;#xD;Univ Calif San Diego, Dept Econ, San Diego, CA 92103 USA&lt;/auth-address&gt;&lt;titles&gt;&lt;title&gt;Dynamic conditional correlation: A simple class of multivariate generalized autoregressive conditional heteroskedasticity models&lt;/title&gt;&lt;secondary-title&gt;Journal of Business &amp;amp; Economic Statistics&lt;/secondary-title&gt;&lt;alt-title&gt;J Bus Econ Stat&lt;/alt-title&gt;&lt;/titles&gt;&lt;periodical&gt;&lt;full-title&gt;Journal of Business &amp;amp; Economic Statistics&lt;/full-title&gt;&lt;abbr-1&gt;J Bus Econ Stat&lt;/abbr-1&gt;&lt;/periodical&gt;&lt;alt-periodical&gt;&lt;full-title&gt;Journal of Business &amp;amp; Economic Statistics&lt;/full-title&gt;&lt;abbr-1&gt;J Bus Econ Stat&lt;/abbr-1&gt;&lt;/alt-periodical&gt;&lt;pages&gt;339-350&lt;/pages&gt;&lt;volume&gt;20&lt;/volume&gt;&lt;number&gt;3&lt;/number&gt;&lt;keywords&gt;&lt;keyword&gt;arck&lt;/keyword&gt;&lt;keyword&gt;correlation&lt;/keyword&gt;&lt;keyword&gt;garch&lt;/keyword&gt;&lt;keyword&gt;multivariate garch&lt;/keyword&gt;&lt;keyword&gt;arch&lt;/keyword&gt;&lt;/keywords&gt;&lt;dates&gt;&lt;year&gt;2002&lt;/year&gt;&lt;pub-dates&gt;&lt;date&gt;Jul&lt;/date&gt;&lt;/pub-dates&gt;&lt;/dates&gt;&lt;isbn&gt;0735-0015&lt;/isbn&gt;&lt;accession-num&gt;WOS:000182731600010&lt;/accession-num&gt;&lt;urls&gt;&lt;related-urls&gt;&lt;url&gt;&amp;lt;Go to ISI&amp;gt;://WOS:000182731600010&lt;/url&gt;&lt;/related-urls&gt;&lt;/urls&gt;&lt;electronic-resource-num&gt;Doi 10.1198/073500102288618487&lt;/electronic-resource-num&gt;&lt;language&gt;English&lt;/language&gt;&lt;/record&gt;&lt;/Cite&gt;&lt;/EndNote&gt;</w:instrText>
      </w:r>
      <w:r w:rsidRPr="00B06DC4">
        <w:rPr>
          <w:rFonts w:ascii="Times New Roman" w:hAnsi="Times New Roman" w:cs="Times New Roman"/>
          <w:sz w:val="24"/>
          <w:szCs w:val="24"/>
        </w:rPr>
        <w:fldChar w:fldCharType="separate"/>
      </w:r>
      <w:hyperlink w:anchor="_ENREF_49" w:tooltip="Engle, 2002 #26" w:history="1">
        <w:r w:rsidRPr="00B06DC4">
          <w:rPr>
            <w:rFonts w:ascii="Times New Roman" w:hAnsi="Times New Roman" w:cs="Times New Roman"/>
            <w:sz w:val="24"/>
            <w:szCs w:val="24"/>
          </w:rPr>
          <w:t>Engle (2002</w:t>
        </w:r>
      </w:hyperlink>
      <w:r w:rsidRPr="00B06DC4">
        <w:rPr>
          <w:rFonts w:ascii="Times New Roman" w:hAnsi="Times New Roman" w:cs="Times New Roman"/>
          <w:sz w:val="24"/>
          <w:szCs w:val="24"/>
        </w:rPr>
        <w:t>)</w:t>
      </w:r>
      <w:r w:rsidRPr="00B06DC4">
        <w:rPr>
          <w:rFonts w:ascii="Times New Roman" w:hAnsi="Times New Roman" w:cs="Times New Roman"/>
          <w:sz w:val="24"/>
          <w:szCs w:val="24"/>
        </w:rPr>
        <w:fldChar w:fldCharType="end"/>
      </w:r>
      <w:r w:rsidRPr="00B06DC4">
        <w:rPr>
          <w:rFonts w:ascii="Times New Roman" w:hAnsi="Times New Roman" w:cs="Times New Roman"/>
          <w:sz w:val="24"/>
          <w:szCs w:val="24"/>
        </w:rPr>
        <w:t xml:space="preserve"> advocates a new class of MVARCH model which is named dynamic conditional correlation (DCC).  Intuitionally, the DCC model maintains the plausibility of the CC model and allows for time-varying conditional correlation. Sheppard (2001) makes a great contribution to DCC model estimation by reducing the approximation of MVGARCH to a series of univariate GARCH process plus an additional correlation estimator. The specification of the univariate GARCH is generous to any GARCH process with normally distributed errors that satisfies non-negative constraints and stationary conditions. </w:t>
      </w:r>
      <w:r w:rsidRPr="00B06DC4">
        <w:rPr>
          <w:rFonts w:ascii="Times New Roman" w:hAnsi="Times New Roman" w:cs="Times New Roman"/>
          <w:sz w:val="24"/>
          <w:szCs w:val="24"/>
          <w:lang w:val="en-US"/>
        </w:rPr>
        <w:fldChar w:fldCharType="begin">
          <w:fldData xml:space="preserve">PEVuZE5vdGU+PENpdGUgQXV0aG9yWWVhcj0iMSI+PEF1dGhvcj5Uc2U8L0F1dGhvcj48WWVhcj4y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</w:fldData>
        </w:fldChar>
      </w:r>
      <w:r w:rsidRPr="00B06DC4">
        <w:rPr>
          <w:rFonts w:ascii="Times New Roman" w:hAnsi="Times New Roman" w:cs="Times New Roman"/>
          <w:sz w:val="24"/>
          <w:szCs w:val="24"/>
          <w:lang w:val="en-US"/>
        </w:rPr>
        <w:instrText xml:space="preserve"> ADDIN EN.CITE </w:instrText>
      </w:r>
      <w:r w:rsidRPr="00B06DC4">
        <w:rPr>
          <w:rFonts w:ascii="Times New Roman" w:hAnsi="Times New Roman" w:cs="Times New Roman"/>
          <w:sz w:val="24"/>
          <w:szCs w:val="24"/>
          <w:lang w:val="en-US"/>
        </w:rPr>
        <w:fldChar w:fldCharType="begin">
          <w:fldData xml:space="preserve">PEVuZE5vdGU+PENpdGUgQXV0aG9yWWVhcj0iMSI+PEF1dGhvcj5Uc2U8L0F1dGhvcj48WWVhcj4y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</w:fldData>
        </w:fldChar>
      </w:r>
      <w:r w:rsidRPr="00B06DC4">
        <w:rPr>
          <w:rFonts w:ascii="Times New Roman" w:hAnsi="Times New Roman" w:cs="Times New Roman"/>
          <w:sz w:val="24"/>
          <w:szCs w:val="24"/>
          <w:lang w:val="en-US"/>
        </w:rPr>
        <w:instrText xml:space="preserve"> ADDIN EN.CITE.DATA </w:instrText>
      </w:r>
      <w:r w:rsidRPr="00B06DC4">
        <w:rPr>
          <w:rFonts w:ascii="Times New Roman" w:hAnsi="Times New Roman" w:cs="Times New Roman"/>
          <w:sz w:val="24"/>
          <w:szCs w:val="24"/>
          <w:lang w:val="en-US"/>
        </w:rPr>
      </w:r>
      <w:r w:rsidRPr="00B06DC4">
        <w:rPr>
          <w:rFonts w:ascii="Times New Roman" w:hAnsi="Times New Roman" w:cs="Times New Roman"/>
          <w:sz w:val="24"/>
          <w:szCs w:val="24"/>
          <w:lang w:val="en-US"/>
        </w:rPr>
        <w:fldChar w:fldCharType="end"/>
      </w:r>
      <w:r w:rsidRPr="00B06DC4">
        <w:rPr>
          <w:rFonts w:ascii="Times New Roman" w:hAnsi="Times New Roman" w:cs="Times New Roman"/>
          <w:sz w:val="24"/>
          <w:szCs w:val="24"/>
          <w:lang w:val="en-US"/>
        </w:rPr>
      </w:r>
      <w:r w:rsidRPr="00B06DC4">
        <w:rPr>
          <w:rFonts w:ascii="Times New Roman" w:hAnsi="Times New Roman" w:cs="Times New Roman"/>
          <w:sz w:val="24"/>
          <w:szCs w:val="24"/>
          <w:lang w:val="en-US"/>
        </w:rPr>
        <w:fldChar w:fldCharType="separate"/>
      </w:r>
      <w:hyperlink w:anchor="_ENREF_153" w:tooltip="Tse, 2002 #71" w:history="1">
        <w:r w:rsidRPr="00B06DC4">
          <w:rPr>
            <w:rFonts w:ascii="Times New Roman" w:hAnsi="Times New Roman" w:cs="Times New Roman"/>
            <w:noProof/>
            <w:sz w:val="24"/>
            <w:szCs w:val="24"/>
            <w:lang w:val="en-US"/>
          </w:rPr>
          <w:t>Tse and Tsui (2002</w:t>
        </w:r>
      </w:hyperlink>
      <w:r w:rsidRPr="00B06DC4">
        <w:rPr>
          <w:rFonts w:ascii="Times New Roman" w:hAnsi="Times New Roman" w:cs="Times New Roman"/>
          <w:noProof/>
          <w:sz w:val="24"/>
          <w:szCs w:val="24"/>
          <w:lang w:val="en-US"/>
        </w:rPr>
        <w:t>)</w:t>
      </w:r>
      <w:r w:rsidRPr="00B06DC4">
        <w:rPr>
          <w:rFonts w:ascii="Times New Roman" w:hAnsi="Times New Roman" w:cs="Times New Roman"/>
          <w:sz w:val="24"/>
          <w:szCs w:val="24"/>
          <w:lang w:val="en-US"/>
        </w:rPr>
        <w:fldChar w:fldCharType="end"/>
      </w:r>
      <w:r w:rsidRPr="00B06DC4">
        <w:rPr>
          <w:rFonts w:ascii="Times New Roman" w:hAnsi="Times New Roman" w:cs="Times New Roman"/>
          <w:sz w:val="24"/>
          <w:szCs w:val="24"/>
          <w:lang w:val="en-US"/>
        </w:rPr>
        <w:t xml:space="preserve"> propose a new MVGARCH with time-varying correlation, while adopting the </w:t>
      </w:r>
      <w:proofErr w:type="spellStart"/>
      <w:r w:rsidRPr="00B06DC4">
        <w:rPr>
          <w:rFonts w:ascii="Times New Roman" w:hAnsi="Times New Roman" w:cs="Times New Roman"/>
          <w:sz w:val="24"/>
          <w:szCs w:val="24"/>
          <w:lang w:val="en-US"/>
        </w:rPr>
        <w:t>vech</w:t>
      </w:r>
      <w:proofErr w:type="spellEnd"/>
      <w:r w:rsidRPr="00B06DC4">
        <w:rPr>
          <w:rFonts w:ascii="Times New Roman" w:hAnsi="Times New Roman" w:cs="Times New Roman"/>
          <w:sz w:val="24"/>
          <w:szCs w:val="24"/>
          <w:lang w:val="en-US"/>
        </w:rPr>
        <w:t xml:space="preserve"> presentation based on conditional variances and conditional correlations. Similar to DCC, each conditional-variance term is assumed to follow a univariate GARCH model and satisfies the positive-definite condition, as found in the constant-correlation and BEKK modes. </w:t>
      </w:r>
      <w:r w:rsidRPr="00B06DC4">
        <w:rPr>
          <w:rFonts w:ascii="Times New Roman" w:hAnsi="Times New Roman" w:cs="Times New Roman"/>
          <w:sz w:val="24"/>
          <w:szCs w:val="24"/>
        </w:rPr>
        <w:t xml:space="preserve">Compared with the BEKK model, the prominent strength of the DCC model is that it does not suffer dimension hindrance and could be applied to any dimension. This is because estimation can be decomposed into two steps: estimation of the </w:t>
      </w:r>
      <w:r w:rsidRPr="00B06DC4">
        <w:rPr>
          <w:rFonts w:ascii="Times New Roman" w:hAnsi="Times New Roman" w:cs="Times New Roman"/>
          <w:sz w:val="24"/>
          <w:szCs w:val="24"/>
        </w:rPr>
        <w:lastRenderedPageBreak/>
        <w:t xml:space="preserve">univariate GARCH and subsequent construction of a maximum likelihood function which has only two parameters (see details in section 3.2). However, the DCC model imposes more restrictions on the type of dynamic effects than the BEKK model. In particular, the conditional variance of returns only depends on past squared returns, such that volatility </w:t>
      </w:r>
      <w:proofErr w:type="spellStart"/>
      <w:r w:rsidRPr="00B06DC4">
        <w:rPr>
          <w:rFonts w:ascii="Times New Roman" w:hAnsi="Times New Roman" w:cs="Times New Roman"/>
          <w:sz w:val="24"/>
          <w:szCs w:val="24"/>
        </w:rPr>
        <w:t>spillovers</w:t>
      </w:r>
      <w:proofErr w:type="spellEnd"/>
      <w:r w:rsidRPr="00B06DC4">
        <w:rPr>
          <w:rFonts w:ascii="Times New Roman" w:hAnsi="Times New Roman" w:cs="Times New Roman"/>
          <w:sz w:val="24"/>
          <w:szCs w:val="24"/>
        </w:rPr>
        <w:t xml:space="preserve"> are excluded</w:t>
      </w:r>
      <w:r w:rsidRPr="00B06DC4">
        <w:rPr>
          <w:rFonts w:ascii="Times New Roman" w:hAnsi="Times New Roman" w:cs="Times New Roman"/>
          <w:color w:val="0D0D0D" w:themeColor="text1" w:themeTint="F2"/>
          <w:sz w:val="24"/>
          <w:szCs w:val="24"/>
        </w:rPr>
        <w:t>. Similarly, feedback from past volatilities or squared returns on correlations is severely limited in the DCC model.</w:t>
      </w:r>
    </w:p>
    <w:p w14:paraId="4974075C" w14:textId="77777777" w:rsidR="00481BEB" w:rsidRPr="00B06DC4" w:rsidRDefault="00481BEB" w:rsidP="00481BEB">
      <w:pPr>
        <w:spacing w:afterLines="100" w:after="240" w:line="360" w:lineRule="auto"/>
        <w:jc w:val="both"/>
        <w:rPr>
          <w:rFonts w:ascii="Times New Roman" w:hAnsi="Times New Roman" w:cs="Times New Roman"/>
          <w:bCs/>
          <w:color w:val="0D0D0D" w:themeColor="text1" w:themeTint="F2"/>
          <w:sz w:val="24"/>
          <w:szCs w:val="24"/>
          <w:lang w:val="en-US" w:eastAsia="zh-CN"/>
        </w:rPr>
      </w:pPr>
      <w:r w:rsidRPr="00B06DC4">
        <w:rPr>
          <w:rFonts w:ascii="Times New Roman" w:hAnsi="Times New Roman" w:cs="Times New Roman"/>
          <w:bCs/>
          <w:color w:val="0D0D0D" w:themeColor="text1" w:themeTint="F2"/>
          <w:sz w:val="24"/>
          <w:szCs w:val="24"/>
          <w:lang w:val="en-US" w:eastAsia="zh-CN"/>
        </w:rPr>
        <w:fldChar w:fldCharType="begin"/>
      </w:r>
      <w:r w:rsidRPr="00B06DC4">
        <w:rPr>
          <w:rFonts w:ascii="Times New Roman" w:hAnsi="Times New Roman" w:cs="Times New Roman"/>
          <w:bCs/>
          <w:color w:val="0D0D0D" w:themeColor="text1" w:themeTint="F2"/>
          <w:sz w:val="24"/>
          <w:szCs w:val="24"/>
          <w:lang w:val="en-US" w:eastAsia="zh-CN"/>
        </w:rPr>
        <w:instrText xml:space="preserve"> ADDIN EN.CITE &lt;EndNote&gt;&lt;Cite AuthorYear="1"&gt;&lt;Author&gt;Cappiello&lt;/Author&gt;&lt;Year&gt;2006&lt;/Year&gt;&lt;RecNum&gt;59&lt;/RecNum&gt;&lt;DisplayText&gt;Cappiello et al. (2006)&lt;/DisplayText&gt;&lt;record&gt;&lt;rec-number&gt;59&lt;/rec-number&gt;&lt;foreign-keys&gt;&lt;key app="EN" db-id="r5w50r005x95eter9t4vwtxhf9pv50ssd2sr"&gt;59&lt;/key&gt;&lt;/foreign-keys&gt;&lt;ref-type name="Journal Article"&gt;17&lt;/ref-type&gt;&lt;contributors&gt;&lt;authors&gt;&lt;author&gt;Lorenzo Cappiello&lt;/author&gt;&lt;author&gt;Robert F. Engle&lt;/author&gt;&lt;author&gt;Kevin Sheppard&lt;/author&gt;&lt;/authors&gt;&lt;/contributors&gt;&lt;titles&gt;&lt;title&gt;Asymmetric Dynamics in the Correlation of Global Equity and Bond Returns&lt;/title&gt;&lt;secondary-title&gt;Journal of Financial Econometrics&lt;/secondary-title&gt;&lt;/titles&gt;&lt;periodical&gt;&lt;full-title&gt;Journal of Financial Econometrics&lt;/full-title&gt;&lt;/periodical&gt;&lt;pages&gt;537-572&lt;/pages&gt;&lt;volume&gt;4&lt;/volume&gt;&lt;number&gt;4&lt;/number&gt;&lt;dates&gt;&lt;year&gt;2006&lt;/year&gt;&lt;/dates&gt;&lt;urls&gt;&lt;/urls&gt;&lt;/record&gt;&lt;/Cite&gt;&lt;/EndNote&gt;</w:instrText>
      </w:r>
      <w:r w:rsidRPr="00B06DC4">
        <w:rPr>
          <w:rFonts w:ascii="Times New Roman" w:hAnsi="Times New Roman" w:cs="Times New Roman"/>
          <w:bCs/>
          <w:color w:val="0D0D0D" w:themeColor="text1" w:themeTint="F2"/>
          <w:sz w:val="24"/>
          <w:szCs w:val="24"/>
          <w:lang w:val="en-US" w:eastAsia="zh-CN"/>
        </w:rPr>
        <w:fldChar w:fldCharType="separate"/>
      </w:r>
      <w:hyperlink w:anchor="_ENREF_29" w:tooltip="Cappiello, 2006 #59" w:history="1">
        <w:r w:rsidRPr="00B06DC4">
          <w:rPr>
            <w:rFonts w:ascii="Times New Roman" w:hAnsi="Times New Roman" w:cs="Times New Roman"/>
            <w:bCs/>
            <w:noProof/>
            <w:color w:val="0D0D0D" w:themeColor="text1" w:themeTint="F2"/>
            <w:sz w:val="24"/>
            <w:szCs w:val="24"/>
            <w:lang w:val="en-US" w:eastAsia="zh-CN"/>
          </w:rPr>
          <w:t>Cappiello et al. (2006</w:t>
        </w:r>
      </w:hyperlink>
      <w:r w:rsidRPr="00B06DC4">
        <w:rPr>
          <w:rFonts w:ascii="Times New Roman" w:hAnsi="Times New Roman" w:cs="Times New Roman"/>
          <w:bCs/>
          <w:noProof/>
          <w:color w:val="0D0D0D" w:themeColor="text1" w:themeTint="F2"/>
          <w:sz w:val="24"/>
          <w:szCs w:val="24"/>
          <w:lang w:val="en-US" w:eastAsia="zh-CN"/>
        </w:rPr>
        <w:t>)</w:t>
      </w:r>
      <w:r w:rsidRPr="00B06DC4">
        <w:rPr>
          <w:rFonts w:ascii="Times New Roman" w:hAnsi="Times New Roman" w:cs="Times New Roman"/>
          <w:bCs/>
          <w:color w:val="0D0D0D" w:themeColor="text1" w:themeTint="F2"/>
          <w:sz w:val="24"/>
          <w:szCs w:val="24"/>
          <w:lang w:val="en-US" w:eastAsia="zh-CN"/>
        </w:rPr>
        <w:fldChar w:fldCharType="end"/>
      </w:r>
      <w:r w:rsidRPr="00B06DC4">
        <w:rPr>
          <w:rFonts w:ascii="Times New Roman" w:hAnsi="Times New Roman" w:cs="Times New Roman"/>
          <w:bCs/>
          <w:color w:val="0D0D0D" w:themeColor="text1" w:themeTint="F2"/>
          <w:sz w:val="24"/>
          <w:szCs w:val="24"/>
          <w:lang w:val="en-US" w:eastAsia="zh-CN"/>
        </w:rPr>
        <w:t xml:space="preserve"> advocate a new type of multivariate GARCH model, named the asymmetric generalized dynamic conditional correlation (AG-DCC) model, to explore the asymmetric dynamic in the correlation between global bond and equity markets. The AG-DCC process extends previous specifications along two dimensions. It allows for series-specific news impact and smoothing parameters and permits conditional asymmetries in correlation dynamics. </w:t>
      </w:r>
      <w:r w:rsidRPr="00B06DC4">
        <w:rPr>
          <w:rFonts w:ascii="Times New Roman" w:hAnsi="Times New Roman" w:cs="Times New Roman"/>
          <w:bCs/>
          <w:color w:val="0D0D0D" w:themeColor="text1" w:themeTint="F2"/>
          <w:sz w:val="24"/>
          <w:szCs w:val="24"/>
          <w:lang w:val="en-US" w:eastAsia="zh-CN"/>
        </w:rPr>
        <w:fldChar w:fldCharType="begin"/>
      </w:r>
      <w:r w:rsidRPr="00B06DC4">
        <w:rPr>
          <w:rFonts w:ascii="Times New Roman" w:hAnsi="Times New Roman" w:cs="Times New Roman"/>
          <w:bCs/>
          <w:color w:val="0D0D0D" w:themeColor="text1" w:themeTint="F2"/>
          <w:sz w:val="24"/>
          <w:szCs w:val="24"/>
          <w:lang w:val="en-US" w:eastAsia="zh-CN"/>
        </w:rPr>
        <w:instrText xml:space="preserve"> ADDIN EN.CITE &lt;EndNote&gt;&lt;Cite AuthorYear="1"&gt;&lt;Author&gt;Cappiello&lt;/Author&gt;&lt;Year&gt;2006&lt;/Year&gt;&lt;RecNum&gt;59&lt;/RecNum&gt;&lt;DisplayText&gt;Cappiello et al. (2006)&lt;/DisplayText&gt;&lt;record&gt;&lt;rec-number&gt;59&lt;/rec-number&gt;&lt;foreign-keys&gt;&lt;key app="EN" db-id="r5w50r005x95eter9t4vwtxhf9pv50ssd2sr"&gt;59&lt;/key&gt;&lt;/foreign-keys&gt;&lt;ref-type name="Journal Article"&gt;17&lt;/ref-type&gt;&lt;contributors&gt;&lt;authors&gt;&lt;author&gt;Lorenzo Cappiello&lt;/author&gt;&lt;author&gt;Robert F. Engle&lt;/author&gt;&lt;author&gt;Kevin Sheppard&lt;/author&gt;&lt;/authors&gt;&lt;/contributors&gt;&lt;titles&gt;&lt;title&gt;Asymmetric Dynamics in the Correlation of Global Equity and Bond Returns&lt;/title&gt;&lt;secondary-title&gt;Journal of Financial Econometrics&lt;/secondary-title&gt;&lt;/titles&gt;&lt;periodical&gt;&lt;full-title&gt;Journal of Financial Econometrics&lt;/full-title&gt;&lt;/periodical&gt;&lt;pages&gt;537-572&lt;/pages&gt;&lt;volume&gt;4&lt;/volume&gt;&lt;number&gt;4&lt;/number&gt;&lt;dates&gt;&lt;year&gt;2006&lt;/year&gt;&lt;/dates&gt;&lt;urls&gt;&lt;/urls&gt;&lt;/record&gt;&lt;/Cite&gt;&lt;/EndNote&gt;</w:instrText>
      </w:r>
      <w:r w:rsidRPr="00B06DC4">
        <w:rPr>
          <w:rFonts w:ascii="Times New Roman" w:hAnsi="Times New Roman" w:cs="Times New Roman"/>
          <w:bCs/>
          <w:color w:val="0D0D0D" w:themeColor="text1" w:themeTint="F2"/>
          <w:sz w:val="24"/>
          <w:szCs w:val="24"/>
          <w:lang w:val="en-US" w:eastAsia="zh-CN"/>
        </w:rPr>
        <w:fldChar w:fldCharType="separate"/>
      </w:r>
      <w:hyperlink w:anchor="_ENREF_29" w:tooltip="Cappiello, 2006 #59" w:history="1">
        <w:r w:rsidRPr="00B06DC4">
          <w:rPr>
            <w:rFonts w:ascii="Times New Roman" w:hAnsi="Times New Roman" w:cs="Times New Roman"/>
            <w:bCs/>
            <w:noProof/>
            <w:color w:val="0D0D0D" w:themeColor="text1" w:themeTint="F2"/>
            <w:sz w:val="24"/>
            <w:szCs w:val="24"/>
            <w:lang w:val="en-US" w:eastAsia="zh-CN"/>
          </w:rPr>
          <w:t>Cappiello et al. (2006</w:t>
        </w:r>
      </w:hyperlink>
      <w:r w:rsidRPr="00B06DC4">
        <w:rPr>
          <w:rFonts w:ascii="Times New Roman" w:hAnsi="Times New Roman" w:cs="Times New Roman"/>
          <w:bCs/>
          <w:noProof/>
          <w:color w:val="0D0D0D" w:themeColor="text1" w:themeTint="F2"/>
          <w:sz w:val="24"/>
          <w:szCs w:val="24"/>
          <w:lang w:val="en-US" w:eastAsia="zh-CN"/>
        </w:rPr>
        <w:t>)</w:t>
      </w:r>
      <w:r w:rsidRPr="00B06DC4">
        <w:rPr>
          <w:rFonts w:ascii="Times New Roman" w:hAnsi="Times New Roman" w:cs="Times New Roman"/>
          <w:bCs/>
          <w:color w:val="0D0D0D" w:themeColor="text1" w:themeTint="F2"/>
          <w:sz w:val="24"/>
          <w:szCs w:val="24"/>
          <w:lang w:val="en-US" w:eastAsia="zh-CN"/>
        </w:rPr>
        <w:fldChar w:fldCharType="end"/>
      </w:r>
      <w:r w:rsidRPr="00B06DC4">
        <w:rPr>
          <w:rFonts w:ascii="Times New Roman" w:hAnsi="Times New Roman" w:cs="Times New Roman"/>
          <w:bCs/>
          <w:color w:val="0D0D0D" w:themeColor="text1" w:themeTint="F2"/>
          <w:sz w:val="24"/>
          <w:szCs w:val="24"/>
          <w:lang w:val="en-US" w:eastAsia="zh-CN"/>
        </w:rPr>
        <w:t xml:space="preserve"> employ the AG-DCC model to </w:t>
      </w:r>
      <w:r w:rsidRPr="00B06DC4">
        <w:rPr>
          <w:rFonts w:ascii="Times New Roman" w:hAnsi="Times New Roman" w:cs="Times New Roman"/>
          <w:bCs/>
          <w:color w:val="0D0D0D" w:themeColor="text1" w:themeTint="F2"/>
          <w:sz w:val="24"/>
          <w:szCs w:val="24"/>
          <w:lang w:eastAsia="zh-CN"/>
        </w:rPr>
        <w:t>analyse</w:t>
      </w:r>
      <w:r w:rsidRPr="00B06DC4">
        <w:rPr>
          <w:rFonts w:ascii="Times New Roman" w:hAnsi="Times New Roman" w:cs="Times New Roman"/>
          <w:bCs/>
          <w:color w:val="0D0D0D" w:themeColor="text1" w:themeTint="F2"/>
          <w:sz w:val="24"/>
          <w:szCs w:val="24"/>
          <w:lang w:val="en-US" w:eastAsia="zh-CN"/>
        </w:rPr>
        <w:t xml:space="preserve"> the </w:t>
      </w:r>
      <w:r w:rsidRPr="00B06DC4">
        <w:rPr>
          <w:rFonts w:ascii="Times New Roman" w:hAnsi="Times New Roman" w:cs="Times New Roman"/>
          <w:bCs/>
          <w:color w:val="0D0D0D" w:themeColor="text1" w:themeTint="F2"/>
          <w:sz w:val="24"/>
          <w:szCs w:val="24"/>
          <w:lang w:eastAsia="zh-CN"/>
        </w:rPr>
        <w:t>behaviour</w:t>
      </w:r>
      <w:r w:rsidRPr="00B06DC4">
        <w:rPr>
          <w:rFonts w:ascii="Times New Roman" w:hAnsi="Times New Roman" w:cs="Times New Roman"/>
          <w:bCs/>
          <w:color w:val="0D0D0D" w:themeColor="text1" w:themeTint="F2"/>
          <w:sz w:val="24"/>
          <w:szCs w:val="24"/>
          <w:lang w:val="en-US" w:eastAsia="zh-CN"/>
        </w:rPr>
        <w:t xml:space="preserve"> of international equities and government bonds. The results support the existence of asymmetries in conditional correlations for both equities and bonds, with equities responding more vigorously than bonds to joint bad news. The article also finds that, during periods of financial turmoil, equity market volatilities show important linkages, and conditional equity correlations among regional groups increase dramatically. </w:t>
      </w:r>
    </w:p>
    <w:p w14:paraId="6EC0E49D" w14:textId="034B2CC4" w:rsidR="00481BEB" w:rsidRPr="00B44D0D" w:rsidRDefault="00481BEB" w:rsidP="00481BEB">
      <w:pPr>
        <w:spacing w:line="360" w:lineRule="auto"/>
        <w:jc w:val="both"/>
        <w:rPr>
          <w:rFonts w:ascii="Times New Roman" w:hAnsi="Times New Roman" w:cs="Times New Roman"/>
          <w:sz w:val="24"/>
          <w:szCs w:val="24"/>
        </w:rPr>
      </w:pPr>
      <w:r w:rsidRPr="00B06DC4">
        <w:rPr>
          <w:rFonts w:ascii="Times New Roman" w:hAnsi="Times New Roman" w:cs="Times New Roman"/>
          <w:bCs/>
          <w:sz w:val="24"/>
          <w:szCs w:val="24"/>
          <w:lang w:val="en-US" w:eastAsia="zh-CN"/>
        </w:rPr>
        <w:fldChar w:fldCharType="begin"/>
      </w:r>
      <w:r w:rsidRPr="00B06DC4">
        <w:rPr>
          <w:rFonts w:ascii="Times New Roman" w:hAnsi="Times New Roman" w:cs="Times New Roman"/>
          <w:bCs/>
          <w:sz w:val="24"/>
          <w:szCs w:val="24"/>
          <w:lang w:val="en-US" w:eastAsia="zh-CN"/>
        </w:rPr>
        <w:instrText xml:space="preserve"> ADDIN EN.CITE &lt;EndNote&gt;&lt;Cite AuthorYear="1"&gt;&lt;Author&gt;Asamodis&lt;/Author&gt;&lt;Year&gt;2008&lt;/Year&gt;&lt;RecNum&gt;32&lt;/RecNum&gt;&lt;DisplayText&gt;Asamodis et al. (2008)&lt;/DisplayText&gt;&lt;record&gt;&lt;rec-number&gt;32&lt;/rec-number&gt;&lt;foreign-keys&gt;&lt;key app="EN" db-id="r5w50r005x95eter9t4vwtxhf9pv50ssd2sr"&gt;32&lt;/key&gt;&lt;/foreign-keys&gt;&lt;ref-type name="Journal Article"&gt;17&lt;/ref-type&gt;&lt;contributors&gt;&lt;authors&gt;&lt;author&gt;Asamodis, N.&lt;/author&gt;&lt;author&gt;Osborn, D,R. &lt;/author&gt;&lt;author&gt;Sensier. G &lt;/author&gt;&lt;/authors&gt;&lt;/contributors&gt;&lt;titles&gt;&lt;title&gt;Co-movments between US and UK stock prices: the roles of macroeconomic information and time-varying conditional correlations&lt;/title&gt;&lt;secondary-title&gt;Manchester University Discussion paper &lt;/secondary-title&gt;&lt;/titles&gt;&lt;periodical&gt;&lt;full-title&gt;Manchester University Discussion paper&lt;/full-title&gt;&lt;/periodical&gt;&lt;dates&gt;&lt;year&gt;2008&lt;/year&gt;&lt;/dates&gt;&lt;urls&gt;&lt;/urls&gt;&lt;/record&gt;&lt;/Cite&gt;&lt;/EndNote&gt;</w:instrText>
      </w:r>
      <w:r w:rsidRPr="00B06DC4">
        <w:rPr>
          <w:rFonts w:ascii="Times New Roman" w:hAnsi="Times New Roman" w:cs="Times New Roman"/>
          <w:bCs/>
          <w:sz w:val="24"/>
          <w:szCs w:val="24"/>
          <w:lang w:val="en-US" w:eastAsia="zh-CN"/>
        </w:rPr>
        <w:fldChar w:fldCharType="separate"/>
      </w:r>
      <w:hyperlink w:anchor="_ENREF_10" w:tooltip="Asamodis, 2008 #32" w:history="1">
        <w:r w:rsidRPr="00B06DC4">
          <w:rPr>
            <w:rFonts w:ascii="Times New Roman" w:hAnsi="Times New Roman" w:cs="Times New Roman"/>
            <w:bCs/>
            <w:sz w:val="24"/>
            <w:szCs w:val="24"/>
            <w:lang w:val="en-US" w:eastAsia="zh-CN"/>
          </w:rPr>
          <w:t>Asamodis et al. (2008</w:t>
        </w:r>
      </w:hyperlink>
      <w:r w:rsidRPr="00B06DC4">
        <w:rPr>
          <w:rFonts w:ascii="Times New Roman" w:hAnsi="Times New Roman" w:cs="Times New Roman"/>
          <w:bCs/>
          <w:sz w:val="24"/>
          <w:szCs w:val="24"/>
          <w:lang w:val="en-US" w:eastAsia="zh-CN"/>
        </w:rPr>
        <w:t>)</w:t>
      </w:r>
      <w:r w:rsidRPr="00B06DC4">
        <w:rPr>
          <w:rFonts w:ascii="Times New Roman" w:hAnsi="Times New Roman" w:cs="Times New Roman"/>
          <w:bCs/>
          <w:sz w:val="24"/>
          <w:szCs w:val="24"/>
          <w:lang w:val="en-US" w:eastAsia="zh-CN"/>
        </w:rPr>
        <w:fldChar w:fldCharType="end"/>
      </w:r>
      <w:r w:rsidRPr="00B06DC4">
        <w:rPr>
          <w:rFonts w:ascii="Times New Roman" w:hAnsi="Times New Roman" w:cs="Times New Roman"/>
          <w:bCs/>
          <w:sz w:val="24"/>
          <w:szCs w:val="24"/>
          <w:lang w:val="en-US" w:eastAsia="zh-CN"/>
        </w:rPr>
        <w:t xml:space="preserve"> apply three different types of MVGARCH: CCC, DCC and STCC to examine the co-movements between UK and US stock prices. The main innovation of this study is that it considers macroeconomic information together with time-varying conditional correlations. They find that correlation has increased from the year 2000, but no indication showing that it relates to the examined macroeconomic and financial variables. </w:t>
      </w:r>
      <w:r w:rsidRPr="00B06DC4">
        <w:rPr>
          <w:rFonts w:ascii="Times New Roman" w:hAnsi="Times New Roman" w:cs="Times New Roman"/>
          <w:bCs/>
          <w:sz w:val="24"/>
          <w:szCs w:val="24"/>
          <w:lang w:val="en-US" w:eastAsia="zh-CN"/>
        </w:rPr>
        <w:fldChar w:fldCharType="begin"/>
      </w:r>
      <w:r w:rsidRPr="00B06DC4">
        <w:rPr>
          <w:rFonts w:ascii="Times New Roman" w:hAnsi="Times New Roman" w:cs="Times New Roman"/>
          <w:bCs/>
          <w:sz w:val="24"/>
          <w:szCs w:val="24"/>
          <w:lang w:val="en-US" w:eastAsia="zh-CN"/>
        </w:rPr>
        <w:instrText xml:space="preserve"> ADDIN EN.CITE &lt;EndNote&gt;&lt;Cite AuthorYear="1"&gt;&lt;Author&gt;Evans&lt;/Author&gt;&lt;Year&gt;2009&lt;/Year&gt;&lt;RecNum&gt;112&lt;/RecNum&gt;&lt;DisplayText&gt;Evans and McMillan (2009)&lt;/DisplayText&gt;&lt;record&gt;&lt;rec-number&gt;112&lt;/rec-number&gt;&lt;foreign-keys&gt;&lt;key app="EN" db-id="r5w50r005x95eter9t4vwtxhf9pv50ssd2sr"&gt;112&lt;/key&gt;&lt;/foreign-keys&gt;&lt;ref-type name="Journal Article"&gt;17&lt;/ref-type&gt;&lt;contributors&gt;&lt;authors&gt;&lt;author&gt;Twm Evans&lt;/author&gt;&lt;author&gt;David G. McMillan&lt;/author&gt;&lt;/authors&gt;&lt;/contributors&gt;&lt;titles&gt;&lt;title&gt;Financial co-movement and correlation: evidence from 33 international stock market indices&lt;/title&gt;&lt;secondary-title&gt;International Journal of Banking, Accounting and Finance&lt;/secondary-title&gt;&lt;/titles&gt;&lt;periodical&gt;&lt;full-title&gt;International Journal of Banking, Accounting and Finance&lt;/full-title&gt;&lt;/periodical&gt;&lt;pages&gt;215-241&lt;/pages&gt;&lt;volume&gt;1(3)&lt;/volume&gt;&lt;dates&gt;&lt;year&gt;2009&lt;/year&gt;&lt;/dates&gt;&lt;urls&gt;&lt;/urls&gt;&lt;/record&gt;&lt;/Cite&gt;&lt;/EndNote&gt;</w:instrText>
      </w:r>
      <w:r w:rsidRPr="00B06DC4">
        <w:rPr>
          <w:rFonts w:ascii="Times New Roman" w:hAnsi="Times New Roman" w:cs="Times New Roman"/>
          <w:bCs/>
          <w:sz w:val="24"/>
          <w:szCs w:val="24"/>
          <w:lang w:val="en-US" w:eastAsia="zh-CN"/>
        </w:rPr>
        <w:fldChar w:fldCharType="separate"/>
      </w:r>
      <w:hyperlink w:anchor="_ENREF_54" w:tooltip="Evans, 2009 #112" w:history="1">
        <w:r w:rsidRPr="00B06DC4">
          <w:rPr>
            <w:rFonts w:ascii="Times New Roman" w:hAnsi="Times New Roman" w:cs="Times New Roman"/>
            <w:bCs/>
            <w:sz w:val="24"/>
            <w:szCs w:val="24"/>
            <w:lang w:val="en-US" w:eastAsia="zh-CN"/>
          </w:rPr>
          <w:t>Evans and McMillan (2009</w:t>
        </w:r>
      </w:hyperlink>
      <w:r w:rsidRPr="00B06DC4">
        <w:rPr>
          <w:rFonts w:ascii="Times New Roman" w:hAnsi="Times New Roman" w:cs="Times New Roman"/>
          <w:bCs/>
          <w:sz w:val="24"/>
          <w:szCs w:val="24"/>
          <w:lang w:val="en-US" w:eastAsia="zh-CN"/>
        </w:rPr>
        <w:t>)</w:t>
      </w:r>
      <w:r w:rsidRPr="00B06DC4">
        <w:rPr>
          <w:rFonts w:ascii="Times New Roman" w:hAnsi="Times New Roman" w:cs="Times New Roman"/>
          <w:bCs/>
          <w:sz w:val="24"/>
          <w:szCs w:val="24"/>
          <w:lang w:val="en-US" w:eastAsia="zh-CN"/>
        </w:rPr>
        <w:fldChar w:fldCharType="end"/>
      </w:r>
      <w:r w:rsidRPr="00B06DC4">
        <w:rPr>
          <w:rFonts w:ascii="Times New Roman" w:hAnsi="Times New Roman" w:cs="Times New Roman"/>
          <w:bCs/>
          <w:sz w:val="24"/>
          <w:szCs w:val="24"/>
          <w:lang w:val="en-US" w:eastAsia="zh-CN"/>
        </w:rPr>
        <w:t xml:space="preserve"> conduct comprehensive research on financial co-movements and </w:t>
      </w:r>
      <w:r w:rsidRPr="00B06DC4">
        <w:rPr>
          <w:rFonts w:ascii="Times New Roman" w:hAnsi="Times New Roman" w:cs="Times New Roman"/>
          <w:bCs/>
          <w:sz w:val="24"/>
          <w:szCs w:val="24"/>
          <w:lang w:eastAsia="zh-CN"/>
        </w:rPr>
        <w:t>correlations with regard to 33 international stock indices. They use Vector Error Correction Matrix (VECM) to test the cointegration and bivariate-GARCH (1,1) to examine the time-varying conditional correlation. They also compute realised correlations based upon realised variance methodology to construct international portfolios. Results suggest the portfolios weighted according to the realised correlations exhibit diversification benefits over equally weighted portfolios.</w:t>
      </w:r>
    </w:p>
    <w:p w14:paraId="2214D15A" w14:textId="5CF29910" w:rsidR="00AE1F37" w:rsidRPr="00B44D0D" w:rsidRDefault="00AE1F37"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transmission mechanisms of liquidity shocks in the subprime mortgage crisis demonstrate the fragility of the financial system under extreme circumstances. Short term market illiquidity shocks may pose opportunities for traders to take advantage and profit from them. However, under crisis periods, the liquidity shocks might be exaggerated or amplified via different </w:t>
      </w:r>
      <w:r w:rsidRPr="00B44D0D">
        <w:rPr>
          <w:rFonts w:ascii="Times New Roman" w:hAnsi="Times New Roman" w:cs="Times New Roman"/>
          <w:sz w:val="24"/>
          <w:szCs w:val="24"/>
        </w:rPr>
        <w:lastRenderedPageBreak/>
        <w:t>transmission mechanisms. Frank et al (2008) estimates the transmission of liquidity shocks by applying a multivariate GARCH model during the subprime mortgage crisis period.</w:t>
      </w:r>
      <w:r w:rsidRPr="00B44D0D">
        <w:rPr>
          <w:rFonts w:ascii="Times New Roman" w:eastAsia="PMingLiU" w:hAnsi="Times New Roman" w:cs="Times New Roman"/>
          <w:sz w:val="24"/>
          <w:szCs w:val="24"/>
        </w:rPr>
        <w:t xml:space="preserve"> The GARCH model allows </w:t>
      </w:r>
      <w:r w:rsidRPr="00B44D0D">
        <w:rPr>
          <w:rFonts w:ascii="Times New Roman" w:hAnsi="Times New Roman" w:cs="Times New Roman"/>
          <w:sz w:val="24"/>
          <w:szCs w:val="24"/>
        </w:rPr>
        <w:t>for the evaluation of</w:t>
      </w:r>
      <w:r w:rsidRPr="00B44D0D">
        <w:rPr>
          <w:rFonts w:ascii="Times New Roman" w:eastAsia="PMingLiU" w:hAnsi="Times New Roman" w:cs="Times New Roman"/>
          <w:sz w:val="24"/>
          <w:szCs w:val="24"/>
        </w:rPr>
        <w:t xml:space="preserve"> the transmission of the liquidity shock that spread from credit market to equity market as well as modelling the conditional heteroscedasticity exhibited by the data. In addition, the GARCH model explicitly address the links between market and funding liquidity effects and the dynamics of bank insolvency pressures among the largest fi</w:t>
      </w:r>
      <w:r w:rsidRPr="00B44D0D">
        <w:rPr>
          <w:rFonts w:ascii="Times New Roman" w:hAnsi="Times New Roman" w:cs="Times New Roman"/>
          <w:sz w:val="24"/>
          <w:szCs w:val="24"/>
        </w:rPr>
        <w:t xml:space="preserve">nancial institutions in the U.S. Further, the dynamic conditional correlation (DCC) model developed by Engle (2002) is also adopted.  The DCC specification is able to capture possible structural breaks in the unconditional correlation amongst the variables. The methodology will be discussed in detail in chapter three. The transmission mechanisms of liquidity shocks during subprime mortgage crisis have been described as reinforcing liquidity spirals, where it was perceived as a </w:t>
      </w:r>
      <w:r w:rsidR="00481BEB" w:rsidRPr="00B44D0D">
        <w:rPr>
          <w:rFonts w:ascii="Times New Roman" w:hAnsi="Times New Roman" w:cs="Times New Roman"/>
          <w:sz w:val="24"/>
          <w:szCs w:val="24"/>
        </w:rPr>
        <w:t>temporary liquidity shock</w:t>
      </w:r>
      <w:r w:rsidRPr="00B44D0D">
        <w:rPr>
          <w:rFonts w:ascii="Times New Roman" w:hAnsi="Times New Roman" w:cs="Times New Roman"/>
          <w:sz w:val="24"/>
          <w:szCs w:val="24"/>
        </w:rPr>
        <w:t xml:space="preserve"> in the beginning, eventually becoming severe financial distress.  These transmission mechanisms were not restricted to the U.S. financial market but were also observed across other advanced and emerging markets.</w:t>
      </w:r>
    </w:p>
    <w:p w14:paraId="691BFB0D" w14:textId="77777777" w:rsidR="00454904" w:rsidRDefault="00454904" w:rsidP="00454904">
      <w:pPr>
        <w:rPr>
          <w:rFonts w:ascii="Times New Roman" w:hAnsi="Times New Roman" w:cs="Times New Roman"/>
          <w:sz w:val="24"/>
          <w:szCs w:val="24"/>
        </w:rPr>
      </w:pPr>
    </w:p>
    <w:p w14:paraId="717B1496" w14:textId="77777777" w:rsidR="00533B6A" w:rsidRDefault="00533B6A" w:rsidP="00454904">
      <w:pPr>
        <w:rPr>
          <w:rFonts w:ascii="Times New Roman" w:hAnsi="Times New Roman" w:cs="Times New Roman"/>
          <w:sz w:val="24"/>
          <w:szCs w:val="24"/>
        </w:rPr>
      </w:pPr>
    </w:p>
    <w:p w14:paraId="19D1A9CB" w14:textId="77777777" w:rsidR="00533B6A" w:rsidRDefault="00533B6A" w:rsidP="00454904">
      <w:pPr>
        <w:rPr>
          <w:rFonts w:ascii="Times New Roman" w:hAnsi="Times New Roman" w:cs="Times New Roman"/>
          <w:sz w:val="24"/>
          <w:szCs w:val="24"/>
        </w:rPr>
      </w:pPr>
    </w:p>
    <w:p w14:paraId="1B6B886C" w14:textId="2E47FD12" w:rsidR="00533B6A" w:rsidRDefault="00533B6A" w:rsidP="00454904">
      <w:pPr>
        <w:rPr>
          <w:rFonts w:ascii="Times New Roman" w:hAnsi="Times New Roman" w:cs="Times New Roman"/>
          <w:sz w:val="24"/>
          <w:szCs w:val="24"/>
        </w:rPr>
      </w:pPr>
    </w:p>
    <w:p w14:paraId="1AC46858" w14:textId="76011498" w:rsidR="00AE1F37" w:rsidRDefault="00AE1F37" w:rsidP="00454904">
      <w:pPr>
        <w:rPr>
          <w:rFonts w:ascii="Times New Roman" w:hAnsi="Times New Roman" w:cs="Times New Roman"/>
          <w:sz w:val="24"/>
          <w:szCs w:val="24"/>
        </w:rPr>
      </w:pPr>
    </w:p>
    <w:p w14:paraId="228010AC" w14:textId="260C4DDC" w:rsidR="00481BEB" w:rsidRDefault="00481BEB" w:rsidP="00454904">
      <w:pPr>
        <w:rPr>
          <w:rFonts w:ascii="Times New Roman" w:hAnsi="Times New Roman" w:cs="Times New Roman"/>
          <w:sz w:val="24"/>
          <w:szCs w:val="24"/>
        </w:rPr>
      </w:pPr>
    </w:p>
    <w:p w14:paraId="4113AD50" w14:textId="2AECBF57" w:rsidR="00481BEB" w:rsidRDefault="00481BEB" w:rsidP="00454904">
      <w:pPr>
        <w:rPr>
          <w:rFonts w:ascii="Times New Roman" w:hAnsi="Times New Roman" w:cs="Times New Roman"/>
          <w:sz w:val="24"/>
          <w:szCs w:val="24"/>
        </w:rPr>
      </w:pPr>
    </w:p>
    <w:p w14:paraId="577527F3" w14:textId="448A69B9" w:rsidR="00481BEB" w:rsidRDefault="00481BEB" w:rsidP="00454904">
      <w:pPr>
        <w:rPr>
          <w:rFonts w:ascii="Times New Roman" w:hAnsi="Times New Roman" w:cs="Times New Roman"/>
          <w:sz w:val="24"/>
          <w:szCs w:val="24"/>
        </w:rPr>
      </w:pPr>
    </w:p>
    <w:p w14:paraId="0D06ACE3" w14:textId="5423294D" w:rsidR="00481BEB" w:rsidRDefault="00481BEB" w:rsidP="00454904">
      <w:pPr>
        <w:rPr>
          <w:rFonts w:ascii="Times New Roman" w:hAnsi="Times New Roman" w:cs="Times New Roman"/>
          <w:sz w:val="24"/>
          <w:szCs w:val="24"/>
        </w:rPr>
      </w:pPr>
    </w:p>
    <w:p w14:paraId="63F44896" w14:textId="2D9185A0" w:rsidR="00481BEB" w:rsidRDefault="00481BEB" w:rsidP="00454904">
      <w:pPr>
        <w:rPr>
          <w:rFonts w:ascii="Times New Roman" w:hAnsi="Times New Roman" w:cs="Times New Roman"/>
          <w:sz w:val="24"/>
          <w:szCs w:val="24"/>
        </w:rPr>
      </w:pPr>
    </w:p>
    <w:p w14:paraId="42C00A84" w14:textId="5C60370E" w:rsidR="00481BEB" w:rsidRDefault="00481BEB" w:rsidP="00454904">
      <w:pPr>
        <w:rPr>
          <w:rFonts w:ascii="Times New Roman" w:hAnsi="Times New Roman" w:cs="Times New Roman"/>
          <w:sz w:val="24"/>
          <w:szCs w:val="24"/>
        </w:rPr>
      </w:pPr>
    </w:p>
    <w:p w14:paraId="722CEA67" w14:textId="402954D9" w:rsidR="00481BEB" w:rsidRDefault="00481BEB" w:rsidP="00454904">
      <w:pPr>
        <w:rPr>
          <w:rFonts w:ascii="Times New Roman" w:hAnsi="Times New Roman" w:cs="Times New Roman"/>
          <w:sz w:val="24"/>
          <w:szCs w:val="24"/>
        </w:rPr>
      </w:pPr>
    </w:p>
    <w:p w14:paraId="0CA8E42C" w14:textId="77777777" w:rsidR="00481BEB" w:rsidRDefault="00481BEB" w:rsidP="00454904">
      <w:pPr>
        <w:rPr>
          <w:rFonts w:ascii="Times New Roman" w:hAnsi="Times New Roman" w:cs="Times New Roman"/>
          <w:sz w:val="24"/>
          <w:szCs w:val="24"/>
        </w:rPr>
      </w:pPr>
    </w:p>
    <w:p w14:paraId="075D4924" w14:textId="77777777" w:rsidR="00533B6A" w:rsidRDefault="00533B6A" w:rsidP="00454904">
      <w:pPr>
        <w:rPr>
          <w:rFonts w:ascii="Times New Roman" w:hAnsi="Times New Roman" w:cs="Times New Roman"/>
          <w:sz w:val="24"/>
          <w:szCs w:val="24"/>
        </w:rPr>
      </w:pPr>
    </w:p>
    <w:p w14:paraId="3E3FE412" w14:textId="0B0576BA" w:rsidR="00533B6A" w:rsidRPr="00EB7B48" w:rsidRDefault="006C6F9C" w:rsidP="00AA7711">
      <w:pPr>
        <w:pStyle w:val="Heading1"/>
      </w:pPr>
      <w:bookmarkStart w:id="32" w:name="_Toc90499934"/>
      <w:r>
        <w:lastRenderedPageBreak/>
        <w:t>1.3</w:t>
      </w:r>
      <w:r w:rsidR="00AA7711">
        <w:t xml:space="preserve"> </w:t>
      </w:r>
      <w:r w:rsidR="00533B6A" w:rsidRPr="00EB7B48">
        <w:t>Methodology</w:t>
      </w:r>
      <w:bookmarkEnd w:id="32"/>
      <w:r w:rsidR="00533B6A" w:rsidRPr="00EB7B48">
        <w:t xml:space="preserve"> </w:t>
      </w:r>
    </w:p>
    <w:p w14:paraId="341D4CE6" w14:textId="77777777" w:rsidR="00533B6A" w:rsidRDefault="00533B6A" w:rsidP="00AA7711">
      <w:pPr>
        <w:spacing w:line="360" w:lineRule="auto"/>
        <w:jc w:val="both"/>
        <w:rPr>
          <w:rFonts w:ascii="Times New Roman" w:hAnsi="Times New Roman" w:cs="Times New Roman"/>
          <w:sz w:val="24"/>
          <w:szCs w:val="24"/>
        </w:rPr>
      </w:pPr>
      <w:r w:rsidRPr="00533B6A">
        <w:rPr>
          <w:rFonts w:ascii="Times New Roman" w:hAnsi="Times New Roman" w:cs="Times New Roman"/>
          <w:sz w:val="24"/>
          <w:szCs w:val="24"/>
        </w:rPr>
        <w:t>This chapter argues that the solution to the problem of complex financial crises should not only consider what has happened at the crisis level, but also the ultimate reasons and reasons behind it. This is similar to investigating the causes of the tsunami. When a tsunami occurs, it waves at a level that causes significant damage, but the cause of such destruction is the activity of the tectonic plates squeezing together and producing a powerful force. Understanding the driving force beneath the surface is very important for a complex system problem. The standard use of eco</w:t>
      </w:r>
      <w:r>
        <w:rPr>
          <w:rFonts w:ascii="Times New Roman" w:hAnsi="Times New Roman" w:cs="Times New Roman"/>
          <w:sz w:val="24"/>
          <w:szCs w:val="24"/>
        </w:rPr>
        <w:t>no</w:t>
      </w:r>
      <w:r w:rsidRPr="00533B6A">
        <w:rPr>
          <w:rFonts w:ascii="Times New Roman" w:hAnsi="Times New Roman" w:cs="Times New Roman"/>
          <w:sz w:val="24"/>
          <w:szCs w:val="24"/>
        </w:rPr>
        <w:t>metric techniques is to associate a particular understanding of the nature (or ontology) of reality and the appropriate ways of obtaining information about aspects of that fact (or cognition). However, the use of eco</w:t>
      </w:r>
      <w:r>
        <w:rPr>
          <w:rFonts w:ascii="Times New Roman" w:hAnsi="Times New Roman" w:cs="Times New Roman"/>
          <w:sz w:val="24"/>
          <w:szCs w:val="24"/>
        </w:rPr>
        <w:t>no</w:t>
      </w:r>
      <w:r w:rsidRPr="00533B6A">
        <w:rPr>
          <w:rFonts w:ascii="Times New Roman" w:hAnsi="Times New Roman" w:cs="Times New Roman"/>
          <w:sz w:val="24"/>
          <w:szCs w:val="24"/>
        </w:rPr>
        <w:t>metric techniques in a standard fashion will not be sufficient to produce fruitful results for answering complex and interrelated issues. This thesis applies critical realistic methodology as the basis of research strategies and guidelines, along with the appropriate use of econometric techniques and statistical inference, but also uses other quantitative and standard methods of testing assumptions. Is. The result is an experimental investigation framework that addresses complex system issues.</w:t>
      </w:r>
    </w:p>
    <w:p w14:paraId="631BDC88" w14:textId="77777777" w:rsidR="00533B6A" w:rsidRDefault="00B83BB4" w:rsidP="00AA7711">
      <w:pPr>
        <w:spacing w:line="360" w:lineRule="auto"/>
        <w:jc w:val="both"/>
        <w:rPr>
          <w:rFonts w:ascii="Times New Roman" w:hAnsi="Times New Roman" w:cs="Times New Roman"/>
          <w:sz w:val="24"/>
          <w:szCs w:val="24"/>
        </w:rPr>
      </w:pPr>
      <w:r w:rsidRPr="00B83BB4">
        <w:rPr>
          <w:rFonts w:ascii="Times New Roman" w:hAnsi="Times New Roman" w:cs="Times New Roman"/>
          <w:sz w:val="24"/>
          <w:szCs w:val="24"/>
        </w:rPr>
        <w:t>The economic behaviour of assumptions about how to test the estimation of econometric methods on the use of intermediaries rarely interrogates itself. The main debate has been more methodical, in response to "Lucas criticism". This developed version that the econometric model must have "micro-base" behaviour which is generally assumed by the extension that such micro-foundations must be grounded in the individual optimizing behaviour. At the heart of econometrics and, indeed, the concept of any mathematical economic theory, functional relationships. The value depends on a function of the unique variable related to a set of independent variables, which is practiced almost always linearly and differentiated in terms of well-behaved. It is illustrated by the smooth process of differential calculation.</w:t>
      </w:r>
    </w:p>
    <w:p w14:paraId="3EE84A76" w14:textId="77777777" w:rsidR="00B83BB4" w:rsidRDefault="00B83BB4" w:rsidP="00AA7711">
      <w:pPr>
        <w:spacing w:line="360" w:lineRule="auto"/>
        <w:jc w:val="both"/>
        <w:rPr>
          <w:rFonts w:ascii="Times New Roman" w:hAnsi="Times New Roman" w:cs="Times New Roman"/>
          <w:sz w:val="24"/>
          <w:szCs w:val="24"/>
        </w:rPr>
      </w:pPr>
      <w:r w:rsidRPr="00B83BB4">
        <w:rPr>
          <w:rFonts w:ascii="Times New Roman" w:hAnsi="Times New Roman" w:cs="Times New Roman"/>
          <w:sz w:val="24"/>
          <w:szCs w:val="24"/>
        </w:rPr>
        <w:t xml:space="preserve">In a simultaneous system, there may be a function of the dependent variable, one or more other functions in an independent variable. It is usually observable in practice as a variable that usually has more than one role or function. The main difference between the theory and practical work is that in the latter case, the functions include a "white noise" random period. The occurrence of regular conjunctions of observations to lead to a view of the lies behind the functions that lead to the world is expected for such a mechanism. Such event regularities of sophistication require an overall level of consistency in three key terms. First, the external closure means that all relevant independent variables are included and correctly observed. Secondly, internal closure means that the relationship between the function is unique and </w:t>
      </w:r>
      <w:r w:rsidRPr="00B83BB4">
        <w:rPr>
          <w:rFonts w:ascii="Times New Roman" w:hAnsi="Times New Roman" w:cs="Times New Roman"/>
          <w:sz w:val="24"/>
          <w:szCs w:val="24"/>
        </w:rPr>
        <w:lastRenderedPageBreak/>
        <w:t>stable, represented by the probability ranges within the noise period. The third condition is that there exists a valid set of principles in the case where the underlying functional relationships exist to accumulate at the level of the observed variable. Together, these situations form a closed system. Given this ontological framework, epistemology is the standard econometrics of quantitative. This means that there is a question of the "functional assumptions" of structures derived from the reality of knowledge, the variable in the relationship between the functions about assumptions.</w:t>
      </w:r>
    </w:p>
    <w:p w14:paraId="707D70C6" w14:textId="3C29594B" w:rsidR="00B83BB4" w:rsidRDefault="00B83BB4" w:rsidP="00AA7711">
      <w:pPr>
        <w:spacing w:line="360" w:lineRule="auto"/>
        <w:jc w:val="both"/>
        <w:rPr>
          <w:rFonts w:ascii="Times New Roman" w:hAnsi="Times New Roman" w:cs="Times New Roman"/>
          <w:sz w:val="24"/>
          <w:szCs w:val="24"/>
        </w:rPr>
      </w:pPr>
      <w:r w:rsidRPr="00B83BB4">
        <w:rPr>
          <w:rFonts w:ascii="Times New Roman" w:hAnsi="Times New Roman" w:cs="Times New Roman"/>
          <w:sz w:val="24"/>
          <w:szCs w:val="24"/>
        </w:rPr>
        <w:t xml:space="preserve">Lucas (1976) argues that relying on the traditional macro-econometric models of parameters is unlikely to follow the agents' expectations of policy change as their </w:t>
      </w:r>
      <w:r w:rsidR="00AE1F37" w:rsidRPr="00B83BB4">
        <w:rPr>
          <w:rFonts w:ascii="Times New Roman" w:hAnsi="Times New Roman" w:cs="Times New Roman"/>
          <w:sz w:val="24"/>
          <w:szCs w:val="24"/>
        </w:rPr>
        <w:t>behaviour</w:t>
      </w:r>
      <w:r w:rsidRPr="00B83BB4">
        <w:rPr>
          <w:rFonts w:ascii="Times New Roman" w:hAnsi="Times New Roman" w:cs="Times New Roman"/>
          <w:sz w:val="24"/>
          <w:szCs w:val="24"/>
        </w:rPr>
        <w:t xml:space="preserve"> changes. This criticism is effective about two aspects. First, to help re-orient Orient's macroeconomic research model with clear expectations and "deep" parameters of taste and technology. These models include policy shifts to be unchangeable which were for the estimated first-order conditions and explicit optimization with the calibrated general balance model. Second, the focus of Lucas's critique of help is to change alternative policy considerations by evaluating change policies that allow for alternative policy rules that enable dynamic correction issues in the setting of individual agents. General Chat Lounge An important application of Lucas's critique (the micro-basis of the independent proposal) is that the correlation between the historical negative inflation and unemployment, known as the Philips curve, could break down if the monetary authorities tried to. Exploit it. Permanent inflation increases hopefully that it will permanently lower unemployment in the end due to firms' inflation forecasts, change their employment decisions.</w:t>
      </w:r>
    </w:p>
    <w:p w14:paraId="175C48F4" w14:textId="77777777" w:rsidR="00480DF2" w:rsidRDefault="00480DF2" w:rsidP="00AA7711">
      <w:pPr>
        <w:spacing w:line="360" w:lineRule="auto"/>
        <w:jc w:val="both"/>
        <w:rPr>
          <w:rFonts w:ascii="Times New Roman" w:hAnsi="Times New Roman" w:cs="Times New Roman"/>
          <w:sz w:val="24"/>
          <w:szCs w:val="24"/>
        </w:rPr>
      </w:pPr>
      <w:r w:rsidRPr="00480DF2">
        <w:rPr>
          <w:rFonts w:ascii="Times New Roman" w:hAnsi="Times New Roman" w:cs="Times New Roman"/>
          <w:sz w:val="24"/>
          <w:szCs w:val="24"/>
        </w:rPr>
        <w:t xml:space="preserve">The purpose of the objective is to develop and practice work so as to initially confirm the theory of relationship testing and ultimately to further discover where situations will not be as cheap as those relationships do not. The key subprime of identifying mortgages are between market participants and frictions in their initial research process. The reasoning of this model consists of explanation of prediction dependent variables in the initial conditions so there is no difference between the theory of past and future values ​​of the explanation. There is a practical difference to the extent that future values ​​marketing exogenous variables (models outside them) are unpredictable. Bulk-quality econometric work consists of structural assumptions in the form of functional assumptions, structured and less established equations, assumed these parameters to properly evaluate the structure of probabilistic features of data, and the formulation and application of diagnostic test data. Importance of Statistics. The combination of both models by means of understanding the econometric tools assisted in understanding not </w:t>
      </w:r>
      <w:r w:rsidRPr="00480DF2">
        <w:rPr>
          <w:rFonts w:ascii="Times New Roman" w:hAnsi="Times New Roman" w:cs="Times New Roman"/>
          <w:sz w:val="24"/>
          <w:szCs w:val="24"/>
        </w:rPr>
        <w:lastRenderedPageBreak/>
        <w:t>only the level of financial crisis, such as the liquidity reduction and elimination of the subprime lending market, but also the source crisis; This may be Keynesian's economical mindset for which there is a loose monetary policy through stimulus of consumption.</w:t>
      </w:r>
    </w:p>
    <w:p w14:paraId="7E54F96D" w14:textId="388CC4F4" w:rsidR="00480DF2" w:rsidRPr="00CB4C18" w:rsidRDefault="006C6F9C" w:rsidP="00AA7711">
      <w:pPr>
        <w:pStyle w:val="Heading2"/>
      </w:pPr>
      <w:bookmarkStart w:id="33" w:name="_Toc90499935"/>
      <w:r>
        <w:t>1.</w:t>
      </w:r>
      <w:r w:rsidR="00E62031">
        <w:t xml:space="preserve">3.1 </w:t>
      </w:r>
      <w:r w:rsidR="00480DF2" w:rsidRPr="00CB4C18">
        <w:t>Research Strategy and process</w:t>
      </w:r>
      <w:bookmarkEnd w:id="33"/>
      <w:r w:rsidR="00480DF2" w:rsidRPr="00CB4C18">
        <w:t xml:space="preserve"> </w:t>
      </w:r>
    </w:p>
    <w:p w14:paraId="1CF1CE40" w14:textId="77777777" w:rsidR="00480DF2" w:rsidRDefault="00480DF2" w:rsidP="00AA7711">
      <w:pPr>
        <w:spacing w:line="360" w:lineRule="auto"/>
        <w:jc w:val="both"/>
        <w:rPr>
          <w:rFonts w:ascii="Times New Roman" w:hAnsi="Times New Roman" w:cs="Times New Roman"/>
          <w:sz w:val="24"/>
          <w:szCs w:val="24"/>
        </w:rPr>
      </w:pPr>
      <w:r w:rsidRPr="00480DF2">
        <w:rPr>
          <w:rFonts w:ascii="Times New Roman" w:hAnsi="Times New Roman" w:cs="Times New Roman"/>
          <w:sz w:val="24"/>
          <w:szCs w:val="24"/>
        </w:rPr>
        <w:t>A research example is a philosophical framework that guides how scientific research should be conducted. Philosophy "uses reason and reason to search for truth and knowledge, especially final or general causes and principles of truth" (Oxford Compact Dictionary and Mojam, 1997). Describe the social phenomena and grounds that explain the Positivistic Focus Theories. Furthermore, they can be controlled to anticipate, anticipate, permit and therefore permit them. However, due to the nature of the reasons universal laws like to have very little scope. The second research position is the interpretivist view. Followers say that individuals and groups make sense based on a situation based on their individual experiences, memories and expectations. Through the construction and continuous re-creation of meaning and understanding, many different interpretations result from the experience. It is important to discover and understand the meaning and influence of relevant factors, determine and interpret those influences. This interpretivist approach is dynamic, as the knowledge of the learning process and construction is continually updated to receive new information, while the positivistic approach seeks to explain and apply current theories.</w:t>
      </w:r>
    </w:p>
    <w:p w14:paraId="03822646" w14:textId="71BA3A85" w:rsidR="00480DF2" w:rsidRDefault="00480DF2" w:rsidP="00AA7711">
      <w:pPr>
        <w:spacing w:line="360" w:lineRule="auto"/>
        <w:jc w:val="both"/>
        <w:rPr>
          <w:rFonts w:ascii="Times New Roman" w:hAnsi="Times New Roman" w:cs="Times New Roman"/>
          <w:sz w:val="24"/>
          <w:szCs w:val="24"/>
        </w:rPr>
      </w:pPr>
      <w:r w:rsidRPr="00480DF2">
        <w:rPr>
          <w:rFonts w:ascii="Times New Roman" w:hAnsi="Times New Roman" w:cs="Times New Roman"/>
          <w:sz w:val="24"/>
          <w:szCs w:val="24"/>
        </w:rPr>
        <w:t xml:space="preserve">The two extremes, representing the positivist view, are seen to be more rational, and interpretivist as relativist and highly relevant. This doctoral study adopts an important realistic approach from which aspects of both positivist and interpretivist positions. The key realist view is that the real structure exists independently of human consciousness, but the knowledge that is born socially and the result of the reality of knowledge is social conditioning. Reality The differences between faith in the real world and especially in their view of it and the different ideas for building effort are in relation to the fact that time and space are relative. This desire covers a set of responses to the development of realism research that many </w:t>
      </w:r>
      <w:r w:rsidR="00C83870" w:rsidRPr="00480DF2">
        <w:rPr>
          <w:rFonts w:ascii="Times New Roman" w:hAnsi="Times New Roman" w:cs="Times New Roman"/>
          <w:sz w:val="24"/>
          <w:szCs w:val="24"/>
        </w:rPr>
        <w:t>cohorts’</w:t>
      </w:r>
      <w:r w:rsidRPr="00480DF2">
        <w:rPr>
          <w:rFonts w:ascii="Times New Roman" w:hAnsi="Times New Roman" w:cs="Times New Roman"/>
          <w:sz w:val="24"/>
          <w:szCs w:val="24"/>
        </w:rPr>
        <w:t xml:space="preserve"> context and various reflective participants. Bhaskar (1975) is the pioneer of this school of thought. He argues that science has always been more concerned with explaining what will happen in world forecasts.</w:t>
      </w:r>
    </w:p>
    <w:p w14:paraId="164A2CD3" w14:textId="37E65B4F" w:rsidR="002E70DA" w:rsidRPr="002E70DA" w:rsidRDefault="002E70DA" w:rsidP="00AA7711">
      <w:pPr>
        <w:spacing w:line="360" w:lineRule="auto"/>
        <w:jc w:val="both"/>
        <w:rPr>
          <w:rFonts w:ascii="Times New Roman" w:hAnsi="Times New Roman" w:cs="Times New Roman"/>
          <w:sz w:val="24"/>
          <w:szCs w:val="24"/>
        </w:rPr>
      </w:pPr>
      <w:r w:rsidRPr="002E70DA">
        <w:rPr>
          <w:rFonts w:ascii="Times New Roman" w:hAnsi="Times New Roman" w:cs="Times New Roman"/>
          <w:sz w:val="24"/>
          <w:szCs w:val="24"/>
        </w:rPr>
        <w:t xml:space="preserve">This doctoral study employed in the method of scientific research includes advanced econometric approaches with historical research and quantitative </w:t>
      </w:r>
      <w:r w:rsidR="00AE1F37" w:rsidRPr="002E70DA">
        <w:rPr>
          <w:rFonts w:ascii="Times New Roman" w:hAnsi="Times New Roman" w:cs="Times New Roman"/>
          <w:sz w:val="24"/>
          <w:szCs w:val="24"/>
        </w:rPr>
        <w:t>modelling</w:t>
      </w:r>
      <w:r w:rsidRPr="002E70DA">
        <w:rPr>
          <w:rFonts w:ascii="Times New Roman" w:hAnsi="Times New Roman" w:cs="Times New Roman"/>
          <w:sz w:val="24"/>
          <w:szCs w:val="24"/>
        </w:rPr>
        <w:t xml:space="preserve"> of experimental </w:t>
      </w:r>
      <w:r w:rsidRPr="002E70DA">
        <w:rPr>
          <w:rFonts w:ascii="Times New Roman" w:hAnsi="Times New Roman" w:cs="Times New Roman"/>
          <w:sz w:val="24"/>
          <w:szCs w:val="24"/>
        </w:rPr>
        <w:lastRenderedPageBreak/>
        <w:t>investigations. The research methodology is further enhanced by the following research onion model (Sanders et al., 2007).</w:t>
      </w:r>
    </w:p>
    <w:p w14:paraId="36A65E3D" w14:textId="2DCB4336" w:rsidR="002E70DA" w:rsidRDefault="002E70DA" w:rsidP="00AA7711">
      <w:pPr>
        <w:spacing w:line="360" w:lineRule="auto"/>
        <w:jc w:val="both"/>
        <w:rPr>
          <w:rFonts w:ascii="Times New Roman" w:hAnsi="Times New Roman" w:cs="Times New Roman"/>
          <w:sz w:val="24"/>
          <w:szCs w:val="24"/>
        </w:rPr>
      </w:pPr>
      <w:r w:rsidRPr="002E70DA">
        <w:rPr>
          <w:rFonts w:ascii="Times New Roman" w:hAnsi="Times New Roman" w:cs="Times New Roman"/>
          <w:sz w:val="24"/>
          <w:szCs w:val="24"/>
        </w:rPr>
        <w:t xml:space="preserve">In a research philosophy an observable phenomenon about the path of faith should be investigated, customized and </w:t>
      </w:r>
      <w:r w:rsidR="00CB4C18" w:rsidRPr="002E70DA">
        <w:rPr>
          <w:rFonts w:ascii="Times New Roman" w:hAnsi="Times New Roman" w:cs="Times New Roman"/>
          <w:sz w:val="24"/>
          <w:szCs w:val="24"/>
        </w:rPr>
        <w:t>analysed</w:t>
      </w:r>
      <w:r w:rsidRPr="002E70DA">
        <w:rPr>
          <w:rFonts w:ascii="Times New Roman" w:hAnsi="Times New Roman" w:cs="Times New Roman"/>
          <w:sz w:val="24"/>
          <w:szCs w:val="24"/>
        </w:rPr>
        <w:t>. The main purpose of the logical positivistic researcher is to generalize the results to a larger population called the 'Positive Negative Approach'. To put it more simply, the logical positivistic approach means that the principle must be first created (positive) and then tested by empirical (inductive) observations. If the theory is flawed, it is to be rejected and to replace it to develop a new foundation. This research focuses on observational data from diverse financial markets and, by incorporating a series of practical experiments on theoretical advancement procedures to generate complex data, econometric and quantitative analysis results and</w:t>
      </w:r>
      <w:r>
        <w:rPr>
          <w:rFonts w:ascii="Times New Roman" w:hAnsi="Times New Roman" w:cs="Times New Roman"/>
          <w:sz w:val="24"/>
          <w:szCs w:val="24"/>
        </w:rPr>
        <w:t xml:space="preserve"> to</w:t>
      </w:r>
      <w:r w:rsidRPr="002E70DA">
        <w:rPr>
          <w:rFonts w:ascii="Times New Roman" w:hAnsi="Times New Roman" w:cs="Times New Roman"/>
          <w:sz w:val="24"/>
          <w:szCs w:val="24"/>
        </w:rPr>
        <w:t xml:space="preserve"> test</w:t>
      </w:r>
      <w:r w:rsidR="000C4890">
        <w:rPr>
          <w:rFonts w:ascii="Times New Roman" w:hAnsi="Times New Roman" w:cs="Times New Roman"/>
          <w:sz w:val="24"/>
          <w:szCs w:val="24"/>
        </w:rPr>
        <w:t xml:space="preserve"> r</w:t>
      </w:r>
      <w:r w:rsidRPr="002E70DA">
        <w:rPr>
          <w:rFonts w:ascii="Times New Roman" w:hAnsi="Times New Roman" w:cs="Times New Roman"/>
          <w:sz w:val="24"/>
          <w:szCs w:val="24"/>
        </w:rPr>
        <w:t>esearch questions.</w:t>
      </w:r>
    </w:p>
    <w:p w14:paraId="277A1DDB" w14:textId="467CD296" w:rsidR="0088768E" w:rsidRDefault="002E70DA" w:rsidP="00AA7711">
      <w:pPr>
        <w:spacing w:line="360" w:lineRule="auto"/>
        <w:jc w:val="both"/>
        <w:rPr>
          <w:rFonts w:ascii="Times New Roman" w:hAnsi="Times New Roman" w:cs="Times New Roman"/>
          <w:sz w:val="24"/>
          <w:szCs w:val="24"/>
        </w:rPr>
      </w:pPr>
      <w:r w:rsidRPr="00FB2473">
        <w:rPr>
          <w:rFonts w:ascii="Times New Roman" w:hAnsi="Times New Roman" w:cs="Times New Roman"/>
          <w:sz w:val="24"/>
          <w:szCs w:val="24"/>
        </w:rPr>
        <w:t>This econometric research methodology, which mainly requires the following logical positivistic approach, details the basic economic and financial phenomena of data, data recovery, unknown measurement values ​​and comprehensive post-diagnostic tests. Provided satisfactory test criteria are met, the researcher can take action to make accurate decisions and predictions. Also, of key importance is that this research method can be used to "characterize a relationship or phenomenon. It is the data in the packages that shows in a way that results in the relationship to become [ Advancing] principle ". In addition, "econometrics contains many purposes that have little or no testing theories. Even an econometrician such as Hendry (1980), who says that the three golden principles are econometrics" tests, tests</w:t>
      </w:r>
      <w:r w:rsidR="0088768E" w:rsidRPr="00FB2473">
        <w:rPr>
          <w:rFonts w:ascii="Times New Roman" w:hAnsi="Times New Roman" w:cs="Times New Roman"/>
          <w:sz w:val="24"/>
          <w:szCs w:val="24"/>
        </w:rPr>
        <w:t>, tests</w:t>
      </w:r>
      <w:r w:rsidRPr="00FB2473">
        <w:rPr>
          <w:rFonts w:ascii="Times New Roman" w:hAnsi="Times New Roman" w:cs="Times New Roman"/>
          <w:sz w:val="24"/>
          <w:szCs w:val="24"/>
        </w:rPr>
        <w:t>, "</w:t>
      </w:r>
      <w:r w:rsidR="0088768E" w:rsidRPr="00FB2473">
        <w:rPr>
          <w:rFonts w:ascii="Times New Roman" w:hAnsi="Times New Roman" w:cs="Times New Roman"/>
          <w:sz w:val="24"/>
          <w:szCs w:val="24"/>
        </w:rPr>
        <w:t xml:space="preserve"> is</w:t>
      </w:r>
      <w:r w:rsidRPr="00FB2473">
        <w:rPr>
          <w:rFonts w:ascii="Times New Roman" w:hAnsi="Times New Roman" w:cs="Times New Roman"/>
          <w:sz w:val="24"/>
          <w:szCs w:val="24"/>
        </w:rPr>
        <w:t xml:space="preserve"> not concerned with direct test theories with as much data gain as possible". In addition, "Econometrics operates in such a </w:t>
      </w:r>
      <w:proofErr w:type="spellStart"/>
      <w:r w:rsidRPr="00FB2473">
        <w:rPr>
          <w:rFonts w:ascii="Times New Roman" w:hAnsi="Times New Roman" w:cs="Times New Roman"/>
          <w:sz w:val="24"/>
          <w:szCs w:val="24"/>
        </w:rPr>
        <w:t>Lakatosian</w:t>
      </w:r>
      <w:proofErr w:type="spellEnd"/>
      <w:r w:rsidRPr="00FB2473">
        <w:rPr>
          <w:rFonts w:ascii="Times New Roman" w:hAnsi="Times New Roman" w:cs="Times New Roman"/>
          <w:sz w:val="24"/>
          <w:szCs w:val="24"/>
        </w:rPr>
        <w:t xml:space="preserve"> spirit as well, with no commitment to fine details of the Lakatos method" (Hoover, 2005)</w:t>
      </w:r>
      <w:r w:rsidR="00CB4C18" w:rsidRPr="00FB2473">
        <w:rPr>
          <w:rFonts w:ascii="Times New Roman" w:hAnsi="Times New Roman" w:cs="Times New Roman"/>
          <w:sz w:val="24"/>
          <w:szCs w:val="24"/>
        </w:rPr>
        <w:t>.)</w:t>
      </w:r>
      <w:r w:rsidR="0088768E" w:rsidRPr="00FB2473">
        <w:rPr>
          <w:rFonts w:ascii="Times New Roman" w:hAnsi="Times New Roman" w:cs="Times New Roman"/>
          <w:sz w:val="24"/>
          <w:szCs w:val="24"/>
        </w:rPr>
        <w:t xml:space="preserve">.  The </w:t>
      </w:r>
      <w:proofErr w:type="spellStart"/>
      <w:r w:rsidR="0088768E" w:rsidRPr="00FB2473">
        <w:rPr>
          <w:rFonts w:ascii="Times New Roman" w:hAnsi="Times New Roman" w:cs="Times New Roman"/>
          <w:sz w:val="24"/>
          <w:szCs w:val="24"/>
        </w:rPr>
        <w:t>Lakatosian</w:t>
      </w:r>
      <w:proofErr w:type="spellEnd"/>
      <w:r w:rsidR="0088768E" w:rsidRPr="00FB2473">
        <w:rPr>
          <w:rFonts w:ascii="Times New Roman" w:hAnsi="Times New Roman" w:cs="Times New Roman"/>
          <w:sz w:val="24"/>
          <w:szCs w:val="24"/>
        </w:rPr>
        <w:t xml:space="preserve"> spirit essentially embodies the concept of a “</w:t>
      </w:r>
      <w:r w:rsidR="0088768E" w:rsidRPr="00FB2473">
        <w:rPr>
          <w:rFonts w:ascii="Times New Roman" w:hAnsi="Times New Roman" w:cs="Times New Roman"/>
          <w:b/>
          <w:sz w:val="24"/>
          <w:szCs w:val="24"/>
        </w:rPr>
        <w:t>problem shift</w:t>
      </w:r>
      <w:r w:rsidR="0088768E" w:rsidRPr="00FB2473">
        <w:rPr>
          <w:rFonts w:ascii="Times New Roman" w:hAnsi="Times New Roman" w:cs="Times New Roman"/>
          <w:sz w:val="24"/>
          <w:szCs w:val="24"/>
        </w:rPr>
        <w:t>” which moves the researcher towards a new theoretical/empirical state in which achievements become possible beyond that which was most recently produced in the research domain (</w:t>
      </w:r>
      <w:proofErr w:type="spellStart"/>
      <w:r w:rsidR="0088768E" w:rsidRPr="00FB2473">
        <w:rPr>
          <w:rFonts w:ascii="Times New Roman" w:hAnsi="Times New Roman" w:cs="Times New Roman"/>
          <w:sz w:val="24"/>
          <w:szCs w:val="24"/>
        </w:rPr>
        <w:t>Folse</w:t>
      </w:r>
      <w:proofErr w:type="spellEnd"/>
      <w:r w:rsidR="0088768E" w:rsidRPr="00FB2473">
        <w:rPr>
          <w:rFonts w:ascii="Times New Roman" w:hAnsi="Times New Roman" w:cs="Times New Roman"/>
          <w:sz w:val="24"/>
          <w:szCs w:val="24"/>
        </w:rPr>
        <w:t xml:space="preserve">, 2005). </w:t>
      </w:r>
    </w:p>
    <w:p w14:paraId="54475A58" w14:textId="77777777" w:rsidR="00426109" w:rsidRPr="00F942B8" w:rsidRDefault="00426109" w:rsidP="00AA7711">
      <w:pPr>
        <w:spacing w:line="360" w:lineRule="auto"/>
        <w:jc w:val="both"/>
        <w:rPr>
          <w:rFonts w:ascii="Times New Roman" w:hAnsi="Times New Roman" w:cs="Times New Roman"/>
          <w:sz w:val="24"/>
          <w:szCs w:val="24"/>
        </w:rPr>
      </w:pPr>
      <w:r w:rsidRPr="00F942B8">
        <w:rPr>
          <w:rFonts w:ascii="Times New Roman" w:hAnsi="Times New Roman" w:cs="Times New Roman"/>
          <w:sz w:val="24"/>
          <w:szCs w:val="24"/>
        </w:rPr>
        <w:t xml:space="preserve">(1) Data analysis: Based on the historical stock market index or exchange rate data, analyse data feature, if series is non-stationary series, stabilize it by log difference or periodical difference. </w:t>
      </w:r>
    </w:p>
    <w:p w14:paraId="5061D07D" w14:textId="22D94B7D" w:rsidR="00426109" w:rsidRPr="00F942B8" w:rsidRDefault="00426109" w:rsidP="00AA7711">
      <w:pPr>
        <w:spacing w:line="360" w:lineRule="auto"/>
        <w:jc w:val="both"/>
        <w:rPr>
          <w:rFonts w:ascii="Times New Roman" w:hAnsi="Times New Roman" w:cs="Times New Roman"/>
          <w:sz w:val="24"/>
          <w:szCs w:val="24"/>
        </w:rPr>
      </w:pPr>
      <w:r w:rsidRPr="00F942B8">
        <w:rPr>
          <w:rFonts w:ascii="Times New Roman" w:hAnsi="Times New Roman" w:cs="Times New Roman"/>
          <w:sz w:val="24"/>
          <w:szCs w:val="24"/>
        </w:rPr>
        <w:t xml:space="preserve">(2) ARMA model identification and parameter estimation: Identify the model and estimate parameter(s) according to series autocorrelation and partial correlation plot after stabilizing. For the detailed theory of ARMA </w:t>
      </w:r>
      <w:r w:rsidR="00F942B8" w:rsidRPr="00F942B8">
        <w:rPr>
          <w:rFonts w:ascii="Times New Roman" w:hAnsi="Times New Roman" w:cs="Times New Roman"/>
          <w:sz w:val="24"/>
          <w:szCs w:val="24"/>
        </w:rPr>
        <w:t>modelling</w:t>
      </w:r>
      <w:r w:rsidRPr="00F942B8">
        <w:rPr>
          <w:rFonts w:ascii="Times New Roman" w:hAnsi="Times New Roman" w:cs="Times New Roman"/>
          <w:sz w:val="24"/>
          <w:szCs w:val="24"/>
        </w:rPr>
        <w:t xml:space="preserve">, see Box and Jenkins </w:t>
      </w:r>
      <w:r w:rsidR="003E3636">
        <w:rPr>
          <w:rFonts w:ascii="Times New Roman" w:hAnsi="Times New Roman" w:cs="Times New Roman"/>
          <w:sz w:val="24"/>
          <w:szCs w:val="24"/>
        </w:rPr>
        <w:t>(1970)</w:t>
      </w:r>
      <w:r w:rsidRPr="00F942B8">
        <w:rPr>
          <w:rFonts w:ascii="Times New Roman" w:hAnsi="Times New Roman" w:cs="Times New Roman"/>
          <w:sz w:val="24"/>
          <w:szCs w:val="24"/>
        </w:rPr>
        <w:t xml:space="preserve"> and </w:t>
      </w:r>
      <w:proofErr w:type="spellStart"/>
      <w:r w:rsidRPr="00F942B8">
        <w:rPr>
          <w:rFonts w:ascii="Times New Roman" w:hAnsi="Times New Roman" w:cs="Times New Roman"/>
          <w:sz w:val="24"/>
          <w:szCs w:val="24"/>
        </w:rPr>
        <w:t>Pankratz</w:t>
      </w:r>
      <w:proofErr w:type="spellEnd"/>
      <w:r w:rsidR="003E3636">
        <w:rPr>
          <w:rFonts w:ascii="Times New Roman" w:hAnsi="Times New Roman" w:cs="Times New Roman"/>
          <w:sz w:val="24"/>
          <w:szCs w:val="24"/>
        </w:rPr>
        <w:t xml:space="preserve"> (1983)</w:t>
      </w:r>
      <w:r w:rsidRPr="00F942B8">
        <w:rPr>
          <w:rFonts w:ascii="Times New Roman" w:hAnsi="Times New Roman" w:cs="Times New Roman"/>
          <w:sz w:val="24"/>
          <w:szCs w:val="24"/>
        </w:rPr>
        <w:t xml:space="preserve">. </w:t>
      </w:r>
    </w:p>
    <w:p w14:paraId="5388222D" w14:textId="77777777" w:rsidR="00426109" w:rsidRPr="00F942B8" w:rsidRDefault="00426109" w:rsidP="00AA7711">
      <w:pPr>
        <w:spacing w:line="360" w:lineRule="auto"/>
        <w:jc w:val="both"/>
        <w:rPr>
          <w:rFonts w:ascii="Times New Roman" w:hAnsi="Times New Roman" w:cs="Times New Roman"/>
          <w:sz w:val="24"/>
          <w:szCs w:val="24"/>
        </w:rPr>
      </w:pPr>
      <w:r w:rsidRPr="00F942B8">
        <w:rPr>
          <w:rFonts w:ascii="Times New Roman" w:hAnsi="Times New Roman" w:cs="Times New Roman"/>
          <w:sz w:val="24"/>
          <w:szCs w:val="24"/>
        </w:rPr>
        <w:lastRenderedPageBreak/>
        <w:t xml:space="preserve">(3) ARMA model test: Test model by statistical hypothesis testing method, if model is effective, then go to the fourth step, otherwise come back to the second step to adjust the model’s order and establish the model again. </w:t>
      </w:r>
    </w:p>
    <w:p w14:paraId="2893FF3A" w14:textId="77777777" w:rsidR="00426109" w:rsidRPr="00F942B8" w:rsidRDefault="00426109" w:rsidP="00AA7711">
      <w:pPr>
        <w:spacing w:line="360" w:lineRule="auto"/>
        <w:jc w:val="both"/>
        <w:rPr>
          <w:rFonts w:ascii="Times New Roman" w:hAnsi="Times New Roman" w:cs="Times New Roman"/>
          <w:sz w:val="24"/>
          <w:szCs w:val="24"/>
        </w:rPr>
      </w:pPr>
      <w:r w:rsidRPr="00F942B8">
        <w:rPr>
          <w:rFonts w:ascii="Times New Roman" w:hAnsi="Times New Roman" w:cs="Times New Roman"/>
          <w:sz w:val="24"/>
          <w:szCs w:val="24"/>
        </w:rPr>
        <w:t xml:space="preserve">(4) ARCH effect test, model identification and parameter estimation: Do GARCH effect test for residual series, identify the model’s order, estimate the parameter, establish the ARMAGARCH model. </w:t>
      </w:r>
    </w:p>
    <w:p w14:paraId="50B3169B" w14:textId="544D4136" w:rsidR="00426109" w:rsidRPr="00F942B8" w:rsidRDefault="00426109" w:rsidP="00AA7711">
      <w:pPr>
        <w:spacing w:line="360" w:lineRule="auto"/>
        <w:jc w:val="both"/>
        <w:rPr>
          <w:rFonts w:ascii="Times New Roman" w:hAnsi="Times New Roman" w:cs="Times New Roman"/>
          <w:sz w:val="24"/>
          <w:szCs w:val="24"/>
        </w:rPr>
      </w:pPr>
      <w:r w:rsidRPr="00F942B8">
        <w:rPr>
          <w:rFonts w:ascii="Times New Roman" w:hAnsi="Times New Roman" w:cs="Times New Roman"/>
          <w:sz w:val="24"/>
          <w:szCs w:val="24"/>
        </w:rPr>
        <w:t xml:space="preserve">(5) ARMA-GARCH model test: Test model by statistical hypothesis testing method, if model is effective, go to the sixth step, otherwise come back to the fourth step to adjust GARCH model’ order again. To select the order of GARCH model finally, will also check the performance of that model on the validation set, which is well illustrated </w:t>
      </w:r>
      <w:r w:rsidR="003E3636">
        <w:rPr>
          <w:rFonts w:ascii="Times New Roman" w:hAnsi="Times New Roman" w:cs="Times New Roman"/>
          <w:sz w:val="24"/>
          <w:szCs w:val="24"/>
        </w:rPr>
        <w:t>in above</w:t>
      </w:r>
      <w:r w:rsidRPr="00F942B8">
        <w:rPr>
          <w:rFonts w:ascii="Times New Roman" w:hAnsi="Times New Roman" w:cs="Times New Roman"/>
          <w:sz w:val="24"/>
          <w:szCs w:val="24"/>
        </w:rPr>
        <w:t xml:space="preserve">. </w:t>
      </w:r>
    </w:p>
    <w:p w14:paraId="6C60AFDB" w14:textId="6E8AC25F" w:rsidR="00426109" w:rsidRDefault="00426109" w:rsidP="00AA7711">
      <w:pPr>
        <w:spacing w:line="360" w:lineRule="auto"/>
        <w:rPr>
          <w:rFonts w:ascii="Times New Roman" w:hAnsi="Times New Roman"/>
          <w:sz w:val="24"/>
          <w:szCs w:val="24"/>
        </w:rPr>
      </w:pPr>
      <w:r w:rsidRPr="00F942B8">
        <w:rPr>
          <w:rFonts w:ascii="Times New Roman" w:hAnsi="Times New Roman" w:cs="Times New Roman"/>
          <w:sz w:val="24"/>
          <w:szCs w:val="24"/>
        </w:rPr>
        <w:t xml:space="preserve">(6) </w:t>
      </w:r>
      <w:r w:rsidR="003E3636">
        <w:rPr>
          <w:rFonts w:ascii="Times New Roman" w:hAnsi="Times New Roman" w:cs="Times New Roman"/>
          <w:sz w:val="24"/>
          <w:szCs w:val="24"/>
        </w:rPr>
        <w:t>A</w:t>
      </w:r>
      <w:r w:rsidRPr="00F942B8">
        <w:rPr>
          <w:rFonts w:ascii="Times New Roman" w:hAnsi="Times New Roman" w:cs="Times New Roman"/>
          <w:sz w:val="24"/>
          <w:szCs w:val="24"/>
        </w:rPr>
        <w:t>ccording to the established ARMA-GARCH model</w:t>
      </w:r>
      <w:r w:rsidR="003E3636">
        <w:rPr>
          <w:rFonts w:ascii="Times New Roman" w:hAnsi="Times New Roman" w:cs="Times New Roman"/>
          <w:sz w:val="24"/>
          <w:szCs w:val="24"/>
        </w:rPr>
        <w:t xml:space="preserve"> from steps 1-5 and integration to DCC-GARCH and BEKK-GARCH</w:t>
      </w:r>
      <w:r w:rsidR="00181137">
        <w:rPr>
          <w:rFonts w:ascii="Times New Roman" w:hAnsi="Times New Roman" w:cs="Times New Roman"/>
          <w:sz w:val="24"/>
          <w:szCs w:val="24"/>
        </w:rPr>
        <w:t xml:space="preserve">. </w:t>
      </w:r>
      <w:r w:rsidR="00181137" w:rsidRPr="007B76F9">
        <w:rPr>
          <w:rFonts w:ascii="Times New Roman" w:hAnsi="Times New Roman" w:cs="Times New Roman"/>
          <w:sz w:val="24"/>
          <w:szCs w:val="24"/>
        </w:rPr>
        <w:t xml:space="preserve">Multivariate GARCH models have evolved from the </w:t>
      </w:r>
      <w:r w:rsidR="003E3636">
        <w:rPr>
          <w:rFonts w:ascii="Times New Roman" w:hAnsi="Times New Roman" w:cs="Times New Roman"/>
          <w:sz w:val="24"/>
          <w:szCs w:val="24"/>
        </w:rPr>
        <w:t xml:space="preserve">optimal </w:t>
      </w:r>
      <w:r w:rsidR="00181137" w:rsidRPr="007B76F9">
        <w:rPr>
          <w:rFonts w:ascii="Times New Roman" w:hAnsi="Times New Roman" w:cs="Times New Roman"/>
          <w:sz w:val="24"/>
          <w:szCs w:val="24"/>
        </w:rPr>
        <w:t>univariate GARCH model</w:t>
      </w:r>
      <w:r w:rsidR="00181137">
        <w:rPr>
          <w:rFonts w:ascii="Times New Roman" w:hAnsi="Times New Roman" w:cs="Times New Roman"/>
          <w:sz w:val="24"/>
          <w:szCs w:val="24"/>
        </w:rPr>
        <w:t xml:space="preserve">. </w:t>
      </w:r>
      <w:r w:rsidR="00181137" w:rsidRPr="007C6747">
        <w:rPr>
          <w:rFonts w:ascii="Times New Roman" w:hAnsi="Times New Roman" w:cs="Times New Roman"/>
          <w:sz w:val="24"/>
          <w:szCs w:val="24"/>
        </w:rPr>
        <w:t xml:space="preserve">The DCC specification </w:t>
      </w:r>
      <w:r w:rsidR="003E3636">
        <w:rPr>
          <w:rFonts w:ascii="Times New Roman" w:hAnsi="Times New Roman" w:cs="Times New Roman"/>
          <w:sz w:val="24"/>
          <w:szCs w:val="24"/>
        </w:rPr>
        <w:t xml:space="preserve">will then </w:t>
      </w:r>
      <w:r w:rsidR="003E3636" w:rsidRPr="007C6747">
        <w:rPr>
          <w:rFonts w:ascii="Times New Roman" w:hAnsi="Times New Roman" w:cs="Times New Roman"/>
          <w:sz w:val="24"/>
          <w:szCs w:val="24"/>
        </w:rPr>
        <w:t>allow</w:t>
      </w:r>
      <w:r w:rsidR="00181137" w:rsidRPr="007C6747">
        <w:rPr>
          <w:rFonts w:ascii="Times New Roman" w:hAnsi="Times New Roman" w:cs="Times New Roman"/>
          <w:sz w:val="24"/>
          <w:szCs w:val="24"/>
        </w:rPr>
        <w:t xml:space="preserve"> the capture of possible structural breaks in the unconditional correlation amongst the variables.</w:t>
      </w:r>
      <w:r w:rsidR="00181137">
        <w:rPr>
          <w:rFonts w:ascii="Times New Roman" w:hAnsi="Times New Roman" w:cs="Times New Roman"/>
          <w:sz w:val="24"/>
          <w:szCs w:val="24"/>
        </w:rPr>
        <w:t xml:space="preserve"> Finally, </w:t>
      </w:r>
      <w:r w:rsidR="00181137" w:rsidRPr="00B44D0D">
        <w:rPr>
          <w:rFonts w:ascii="Times New Roman" w:hAnsi="Times New Roman"/>
          <w:sz w:val="24"/>
          <w:szCs w:val="24"/>
        </w:rPr>
        <w:t>the BEKK</w:t>
      </w:r>
      <w:r w:rsidR="00181137">
        <w:rPr>
          <w:rFonts w:ascii="Times New Roman" w:hAnsi="Times New Roman"/>
          <w:sz w:val="24"/>
          <w:szCs w:val="24"/>
        </w:rPr>
        <w:t>-GARCH</w:t>
      </w:r>
      <w:r w:rsidR="00181137" w:rsidRPr="00B44D0D">
        <w:rPr>
          <w:rFonts w:ascii="Times New Roman" w:hAnsi="Times New Roman"/>
          <w:sz w:val="24"/>
          <w:szCs w:val="24"/>
        </w:rPr>
        <w:t xml:space="preserve"> model </w:t>
      </w:r>
      <w:r w:rsidR="003E3636">
        <w:rPr>
          <w:rFonts w:ascii="Times New Roman" w:hAnsi="Times New Roman"/>
          <w:sz w:val="24"/>
          <w:szCs w:val="24"/>
        </w:rPr>
        <w:t>will also be</w:t>
      </w:r>
      <w:r w:rsidR="00181137" w:rsidRPr="00B44D0D">
        <w:rPr>
          <w:rFonts w:ascii="Times New Roman" w:hAnsi="Times New Roman"/>
          <w:sz w:val="24"/>
          <w:szCs w:val="24"/>
        </w:rPr>
        <w:t xml:space="preserve"> able to provide more detailed transmission information, apart from the conditional correlation</w:t>
      </w:r>
      <w:r w:rsidR="00730E73">
        <w:rPr>
          <w:rFonts w:ascii="Times New Roman" w:hAnsi="Times New Roman"/>
          <w:sz w:val="24"/>
          <w:szCs w:val="24"/>
        </w:rPr>
        <w:t>.</w:t>
      </w:r>
    </w:p>
    <w:p w14:paraId="5C4FB42A" w14:textId="15B79F21" w:rsidR="00232801" w:rsidRDefault="00533263" w:rsidP="00533263">
      <w:pPr>
        <w:pStyle w:val="Heading3"/>
      </w:pPr>
      <w:bookmarkStart w:id="34" w:name="_Toc90499936"/>
      <w:r>
        <w:t>1.3.1.1</w:t>
      </w:r>
      <w:bookmarkStart w:id="35" w:name="_Hlk90322536"/>
      <w:r>
        <w:t>Stationarity methods for de-trending the data</w:t>
      </w:r>
      <w:bookmarkEnd w:id="35"/>
      <w:bookmarkEnd w:id="34"/>
    </w:p>
    <w:p w14:paraId="4CF65604" w14:textId="2FBD8B59"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Financial time series are continually brought to our attention. Daily news reports in newspapers, on television and radio inform us for instance of the latest stock market index values, currency exchange rates, electricity prices, and interest rates. It is often desirable to monitor price behaviour frequently and to try to understand the probable development of the prices in the future. Private and corporate investors, businessmen, anyone involved in international trade and the brokers and analysts who advice these people can all benefit from a deeper understanding of price behaviour. Many traders deal with the risks associated with changes in prices. These risks can frequently be summarised by the variances of future returns, directly, or by their relationship with relevant covariances in a portfolio context. Forecasts of future standard deviations can provide up-to-date indications of risk, which might be used to avoid unacceptable risks perhaps by hedging. There are two main objectives of investigating financial time series. First, it is important to understand how prices behave. The variance of the time series is particularly relevant. Tomorrow’s price is uncertain, and it must therefore be described by a probability distribution. This means that statistical methods are the natural way to investigate prices. Usually one builds a model, which is a detailed description of how </w:t>
      </w:r>
      <w:r w:rsidRPr="00B06DC4">
        <w:rPr>
          <w:rFonts w:ascii="Times New Roman" w:hAnsi="Times New Roman" w:cs="Times New Roman"/>
          <w:sz w:val="24"/>
          <w:szCs w:val="24"/>
        </w:rPr>
        <w:lastRenderedPageBreak/>
        <w:t>successive prices are determined. Th</w:t>
      </w:r>
      <w:r w:rsidR="00425DA0" w:rsidRPr="00B06DC4">
        <w:rPr>
          <w:rFonts w:ascii="Times New Roman" w:hAnsi="Times New Roman" w:cs="Times New Roman"/>
          <w:sz w:val="24"/>
          <w:szCs w:val="24"/>
        </w:rPr>
        <w:t xml:space="preserve">e second objective is to use </w:t>
      </w:r>
      <w:r w:rsidRPr="00B06DC4">
        <w:rPr>
          <w:rFonts w:ascii="Times New Roman" w:hAnsi="Times New Roman" w:cs="Times New Roman"/>
          <w:sz w:val="24"/>
          <w:szCs w:val="24"/>
        </w:rPr>
        <w:t>knowledge of price behaviour to reduce risk or take better decisions. Time series models may for instance be used for forecasting, option pricing and risk management.</w:t>
      </w:r>
    </w:p>
    <w:p w14:paraId="214EAD53"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Direct statistical analysis of financial prices is difficult, because consecutive prices are highly correlated, and the variances of prices often increase with time. This makes it usually more convenient to analyse changes in prices. Results for changes can easily be used to give appropriate results for prices. Two main types of price changes are used: arithmetic and geometric returns (</w:t>
      </w:r>
      <w:proofErr w:type="spellStart"/>
      <w:r w:rsidRPr="00B06DC4">
        <w:rPr>
          <w:rFonts w:ascii="Times New Roman" w:hAnsi="Times New Roman" w:cs="Times New Roman"/>
          <w:sz w:val="24"/>
          <w:szCs w:val="24"/>
        </w:rPr>
        <w:t>Jorion</w:t>
      </w:r>
      <w:proofErr w:type="spellEnd"/>
      <w:r w:rsidRPr="00B06DC4">
        <w:rPr>
          <w:rFonts w:ascii="Times New Roman" w:hAnsi="Times New Roman" w:cs="Times New Roman"/>
          <w:sz w:val="24"/>
          <w:szCs w:val="24"/>
        </w:rPr>
        <w:t>, 1997). There seems to be some confusion about the two terms, in the literature as well as among practitioners.</w:t>
      </w:r>
    </w:p>
    <w:p w14:paraId="625C02C5"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Compounded geometric returns are given as sums of geometric returns, there is another advantage of working with the log-scale. If the geometric returns are normally distributed, the prices will never be negative. In contrast, assuming that arithmetic returns are normally distributed may lead to negative prices, which is economically meaningless.</w:t>
      </w:r>
    </w:p>
    <w:p w14:paraId="7EE3338D"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The relationship between geometric and arithmetic returns is given by </w:t>
      </w:r>
    </w:p>
    <w:p w14:paraId="6D3DAF51" w14:textId="77777777" w:rsidR="00533263" w:rsidRPr="00B06DC4" w:rsidRDefault="00533263" w:rsidP="00533263">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D = log(1 + R). </m:t>
          </m:r>
        </m:oMath>
      </m:oMathPara>
    </w:p>
    <w:p w14:paraId="727BA372"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Hence, D can be decomposed into a Taylor series as </w:t>
      </w:r>
    </w:p>
    <w:p w14:paraId="0C3A3159" w14:textId="77777777" w:rsidR="00533263" w:rsidRPr="00B06DC4" w:rsidRDefault="00533263" w:rsidP="00533263">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D = R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 · · · ,</m:t>
          </m:r>
        </m:oMath>
      </m:oMathPara>
    </w:p>
    <w:p w14:paraId="2F83CA39"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which simplifies to R if R is small. Thus, when arithmetic returns are small, there will be little difference between geometric and arithmetic returns. In practice, this means that if the volatility of a price series is small-, and the-time resolution is high, geometric and arithmetic returns are quite similar, but when volatility increases and the time resolution decreases, the difference grows larger.</w:t>
      </w:r>
    </w:p>
    <w:p w14:paraId="6DF1AA98"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In practice, financial models will be influenced by time, both by time resolution and time horizon. The concept of resolution signifies how densely data are recorded. In applications in the finance industry, this might vary from seconds to years. The finer the resolution, the heavier the tails of the return distribution are likely to be. For intra-daily, daily or weekly data, failure to account for the heavy-tailed characteristics of the financial time series will undoubtedly lead to an underestimation of portfolio Value-at-Risk (</w:t>
      </w:r>
      <w:proofErr w:type="spellStart"/>
      <w:r w:rsidRPr="00B06DC4">
        <w:rPr>
          <w:rFonts w:ascii="Times New Roman" w:hAnsi="Times New Roman" w:cs="Times New Roman"/>
          <w:sz w:val="24"/>
          <w:szCs w:val="24"/>
        </w:rPr>
        <w:t>VaR</w:t>
      </w:r>
      <w:proofErr w:type="spellEnd"/>
      <w:r w:rsidRPr="00B06DC4">
        <w:rPr>
          <w:rFonts w:ascii="Times New Roman" w:hAnsi="Times New Roman" w:cs="Times New Roman"/>
          <w:sz w:val="24"/>
          <w:szCs w:val="24"/>
        </w:rPr>
        <w:t xml:space="preserve">). Hence, market risk analysis over short horizons should consider heavy-tailed distributions of market returns. For longer time periods, </w:t>
      </w:r>
      <w:r w:rsidRPr="00B06DC4">
        <w:rPr>
          <w:rFonts w:ascii="Times New Roman" w:hAnsi="Times New Roman" w:cs="Times New Roman"/>
          <w:sz w:val="24"/>
          <w:szCs w:val="24"/>
        </w:rPr>
        <w:lastRenderedPageBreak/>
        <w:t>however, many smaller contributions would average out and approach the normal as the lag ahead expands.</w:t>
      </w:r>
    </w:p>
    <w:p w14:paraId="6B2A8AC4"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It is also important to employ a statistical volatility or correlation model that is consistent with the horizon of the forecast/risk analysis. To forecast a long-term average volatility, it makes little sense (it may actually give misleading results) to use a high frequency time varying volatility model. On the other hand, little information about short-term variations in daily volatility would be forthcoming from a long-term moving average volatility model. As the time horizon increases, however, one encounters a problem with too few historical observations for estimating the model. One then might have to estimate the model using data with a higher resolution and aggregate this model to the correct resolution.</w:t>
      </w:r>
    </w:p>
    <w:p w14:paraId="5A1A83A7" w14:textId="73370A0C"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Financial prices are determined by many political, corporate, and individual decisions. A model for prices is a detailed description of how successive prices are determined. A good model is capable of providing simulated prices that behave like real prices. Thus, it should describe the most important of the known properties of recorded prices. In this course </w:t>
      </w:r>
      <w:r w:rsidR="00425DA0" w:rsidRPr="00B06DC4">
        <w:rPr>
          <w:rFonts w:ascii="Times New Roman" w:hAnsi="Times New Roman" w:cs="Times New Roman"/>
          <w:sz w:val="24"/>
          <w:szCs w:val="24"/>
        </w:rPr>
        <w:t>study</w:t>
      </w:r>
      <w:r w:rsidRPr="00B06DC4">
        <w:rPr>
          <w:rFonts w:ascii="Times New Roman" w:hAnsi="Times New Roman" w:cs="Times New Roman"/>
          <w:sz w:val="24"/>
          <w:szCs w:val="24"/>
        </w:rPr>
        <w:t xml:space="preserve"> will discuss two very common models, the random walk model and the autoregressive model.</w:t>
      </w:r>
    </w:p>
    <w:p w14:paraId="463980A6" w14:textId="77777777" w:rsidR="00533263" w:rsidRPr="00B06DC4" w:rsidRDefault="00533263" w:rsidP="00533263">
      <w:pPr>
        <w:spacing w:line="360" w:lineRule="auto"/>
        <w:jc w:val="both"/>
        <w:rPr>
          <w:rFonts w:ascii="Times New Roman" w:hAnsi="Times New Roman" w:cs="Times New Roman"/>
          <w:b/>
          <w:bCs/>
          <w:sz w:val="24"/>
          <w:szCs w:val="24"/>
        </w:rPr>
      </w:pPr>
      <w:r w:rsidRPr="00B06DC4">
        <w:rPr>
          <w:rFonts w:ascii="Times New Roman" w:hAnsi="Times New Roman" w:cs="Times New Roman"/>
          <w:b/>
          <w:bCs/>
          <w:sz w:val="24"/>
          <w:szCs w:val="24"/>
        </w:rPr>
        <w:t>Random walk model</w:t>
      </w:r>
    </w:p>
    <w:p w14:paraId="2709381F"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A commonly used model in finance is the random walk, defined through </w:t>
      </w:r>
    </w:p>
    <w:p w14:paraId="27BAD29B" w14:textId="77777777" w:rsidR="00533263" w:rsidRPr="00B06DC4" w:rsidRDefault="002C15FD" w:rsidP="00533263">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μ+ α</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m:oMathPara>
    </w:p>
    <w:p w14:paraId="452E59E0"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where µ is the drift of the process and the increments,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m:t>
            </m:r>
          </m:sub>
        </m:sSub>
      </m:oMath>
      <w:r w:rsidRPr="00B06DC4">
        <w:rPr>
          <w:rFonts w:ascii="Times New Roman" w:hAnsi="Times New Roman" w:cs="Times New Roman"/>
          <w:sz w:val="24"/>
          <w:szCs w:val="24"/>
        </w:rPr>
        <w:t>.. are serially independent random variables. Usually one requires that the sequence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B06DC4">
        <w:rPr>
          <w:rFonts w:ascii="Times New Roman" w:hAnsi="Times New Roman" w:cs="Times New Roman"/>
          <w:sz w:val="24"/>
          <w:szCs w:val="24"/>
        </w:rPr>
        <w:t>} is id</w:t>
      </w:r>
      <w:proofErr w:type="spellStart"/>
      <w:r w:rsidRPr="00B06DC4">
        <w:rPr>
          <w:rFonts w:ascii="Times New Roman" w:hAnsi="Times New Roman" w:cs="Times New Roman"/>
          <w:sz w:val="24"/>
          <w:szCs w:val="24"/>
        </w:rPr>
        <w:t>entically</w:t>
      </w:r>
      <w:proofErr w:type="spellEnd"/>
      <w:r w:rsidRPr="00B06DC4">
        <w:rPr>
          <w:rFonts w:ascii="Times New Roman" w:hAnsi="Times New Roman" w:cs="Times New Roman"/>
          <w:sz w:val="24"/>
          <w:szCs w:val="24"/>
        </w:rPr>
        <w:t xml:space="preserve"> distributed with mean zero and variance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B06DC4">
        <w:rPr>
          <w:rFonts w:ascii="Times New Roman" w:hAnsi="Times New Roman" w:cs="Times New Roman"/>
          <w:sz w:val="24"/>
          <w:szCs w:val="24"/>
        </w:rPr>
        <w:t xml:space="preserve">, but this is not a necessary assumption. The variance of the process at time t is given by </w:t>
      </w:r>
    </w:p>
    <w:p w14:paraId="1E3AD0DA" w14:textId="77777777" w:rsidR="00533263" w:rsidRPr="00B06DC4" w:rsidRDefault="00533263" w:rsidP="00533263">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Var(</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 t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 , </m:t>
          </m:r>
        </m:oMath>
      </m:oMathPara>
    </w:p>
    <w:p w14:paraId="516AF2F1"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i.e., it increases linearly with time. In finance, the random walk model is commonly used for equities, and it is usually assumed that it is the geometric returns of the time series that follows this model.</w:t>
      </w:r>
    </w:p>
    <w:p w14:paraId="0EF6E6CA"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the variance σ might be dependent of the time t. The assumption of serially independent increments of the series can be motivated as follows. If there were correlation between different epochs, smart investors could bet on it and beat the market. However, in the process they would </w:t>
      </w:r>
      <w:r w:rsidRPr="00B06DC4">
        <w:rPr>
          <w:rFonts w:ascii="Times New Roman" w:hAnsi="Times New Roman" w:cs="Times New Roman"/>
          <w:sz w:val="24"/>
          <w:szCs w:val="24"/>
        </w:rPr>
        <w:lastRenderedPageBreak/>
        <w:t>then destroy the basis for their own investment strategy and drive the correlations they utilised back to zero. Hence, the (geometric) random walk model assumes that it at a given moment is impossible to estimate where in the business cycle the economy is and utilise such knowledge for investment purposes.</w:t>
      </w:r>
    </w:p>
    <w:p w14:paraId="310081B1" w14:textId="77777777" w:rsidR="00533263" w:rsidRPr="00B06DC4" w:rsidRDefault="00533263" w:rsidP="00533263">
      <w:pPr>
        <w:spacing w:line="360" w:lineRule="auto"/>
        <w:jc w:val="both"/>
        <w:rPr>
          <w:rFonts w:ascii="Times New Roman" w:hAnsi="Times New Roman" w:cs="Times New Roman"/>
          <w:b/>
          <w:bCs/>
          <w:sz w:val="24"/>
          <w:szCs w:val="24"/>
        </w:rPr>
      </w:pPr>
      <w:r w:rsidRPr="00B06DC4">
        <w:rPr>
          <w:rFonts w:ascii="Times New Roman" w:hAnsi="Times New Roman" w:cs="Times New Roman"/>
          <w:b/>
          <w:bCs/>
          <w:sz w:val="24"/>
          <w:szCs w:val="24"/>
        </w:rPr>
        <w:t>Autoregressive models</w:t>
      </w:r>
    </w:p>
    <w:p w14:paraId="7B7C2084"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Random walk models cannot be used for all financial time series. Interest rates, for instance, are influenced by complicated political factors that make them difficult to describe mathematically. However, if a description is called for, the class of autoregressive models is a useful candidate. We shall only discuss the simplest first order case, the AR (1)-model:</w:t>
      </w:r>
    </w:p>
    <w:p w14:paraId="63F85127" w14:textId="77777777" w:rsidR="00533263" w:rsidRPr="00B06DC4" w:rsidRDefault="002C15FD" w:rsidP="00533263">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μ+ α</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m:oMathPara>
    </w:p>
    <w:p w14:paraId="484E1FE8"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where |α| &lt; 1 is a parameter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m:t>
            </m:r>
          </m:sub>
        </m:sSub>
      </m:oMath>
      <w:r w:rsidRPr="00B06DC4">
        <w:rPr>
          <w:rFonts w:ascii="Times New Roman" w:hAnsi="Times New Roman" w:cs="Times New Roman"/>
          <w:sz w:val="24"/>
          <w:szCs w:val="24"/>
        </w:rPr>
        <w:t xml:space="preserve">.. are serially independent random variables. As for the random walk model we assume that the random terms have mean 0 and variance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B06DC4">
        <w:rPr>
          <w:rFonts w:ascii="Times New Roman" w:hAnsi="Times New Roman" w:cs="Times New Roman"/>
          <w:sz w:val="24"/>
          <w:szCs w:val="24"/>
        </w:rPr>
        <w:t>. We are back to the random walk model if α = 1. This autoregressive process is important, because it provides a simple d</w:t>
      </w:r>
      <w:proofErr w:type="spellStart"/>
      <w:r w:rsidRPr="00B06DC4">
        <w:rPr>
          <w:rFonts w:ascii="Times New Roman" w:hAnsi="Times New Roman" w:cs="Times New Roman"/>
          <w:sz w:val="24"/>
          <w:szCs w:val="24"/>
        </w:rPr>
        <w:t>escription</w:t>
      </w:r>
      <w:proofErr w:type="spellEnd"/>
      <w:r w:rsidRPr="00B06DC4">
        <w:rPr>
          <w:rFonts w:ascii="Times New Roman" w:hAnsi="Times New Roman" w:cs="Times New Roman"/>
          <w:sz w:val="24"/>
          <w:szCs w:val="24"/>
        </w:rPr>
        <w:t xml:space="preserve"> of the stochastic nature of interest rates that is consistent with the empirical observation that interest rates tend to be mean reverting. The parameter α determines the speed of mean-reversion towards the stationary value </w:t>
      </w:r>
      <m:oMath>
        <m:r>
          <w:rPr>
            <w:rFonts w:ascii="Cambria Math" w:hAnsi="Cambria Math" w:cs="Times New Roman"/>
            <w:sz w:val="24"/>
            <w:szCs w:val="24"/>
          </w:rPr>
          <m:t xml:space="preserve">µ/(1 - α). </m:t>
        </m:r>
      </m:oMath>
      <w:r w:rsidRPr="00B06DC4">
        <w:rPr>
          <w:rFonts w:ascii="Times New Roman" w:hAnsi="Times New Roman" w:cs="Times New Roman"/>
          <w:sz w:val="24"/>
          <w:szCs w:val="24"/>
        </w:rPr>
        <w:t xml:space="preserve">Situations where current interest rates are high, imply a negative drift, until rates revert to the long-run value, and low current rates are associated with positive expected drift. The stationary variance of the process is given by </w:t>
      </w:r>
    </w:p>
    <w:p w14:paraId="782ADFD8" w14:textId="77777777" w:rsidR="00533263" w:rsidRPr="00B06DC4" w:rsidRDefault="00533263" w:rsidP="00533263">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Var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den>
          </m:f>
        </m:oMath>
      </m:oMathPara>
    </w:p>
    <w:p w14:paraId="1FDA5622"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To avoid negative interest rates, one usually models the logarithm of the rate rather than the original value. As in the random walk model, it is possible to let the volatility σ depend on time. A very common assumption for interest rates is to parameterise the volatility as a function of interest rate level (see Chan et al. (1992)), i.e.</w:t>
      </w:r>
    </w:p>
    <w:p w14:paraId="16272926" w14:textId="77777777" w:rsidR="00533263" w:rsidRPr="00B06DC4" w:rsidRDefault="002C15FD" w:rsidP="00533263">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r>
            <w:rPr>
              <w:rFonts w:ascii="Cambria Math" w:hAnsi="Cambria Math" w:cs="Times New Roman"/>
              <w:sz w:val="24"/>
              <w:szCs w:val="24"/>
            </w:rPr>
            <m:t>=k</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t-1</m:t>
              </m:r>
            </m:sub>
            <m:sup>
              <m:r>
                <w:rPr>
                  <w:rFonts w:ascii="Cambria Math" w:hAnsi="Cambria Math" w:cs="Times New Roman"/>
                  <w:sz w:val="24"/>
                  <w:szCs w:val="24"/>
                </w:rPr>
                <m:t>γ</m:t>
              </m:r>
            </m:sup>
          </m:sSubSup>
        </m:oMath>
      </m:oMathPara>
    </w:p>
    <w:p w14:paraId="776265A0"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where κ is a parameter. If one sets γ = 0, one is back to the </w:t>
      </w:r>
      <m:oMath>
        <m:r>
          <w:rPr>
            <w:rFonts w:ascii="Cambria Math" w:hAnsi="Cambria Math" w:cs="Times New Roman"/>
            <w:sz w:val="24"/>
            <w:szCs w:val="24"/>
          </w:rPr>
          <m:t>AR</m:t>
        </m:r>
        <m:d>
          <m:dPr>
            <m:ctrlPr>
              <w:rPr>
                <w:rFonts w:ascii="Cambria Math" w:hAnsi="Cambria Math" w:cs="Times New Roman"/>
                <w:i/>
                <w:sz w:val="24"/>
                <w:szCs w:val="24"/>
              </w:rPr>
            </m:ctrlPr>
          </m:dPr>
          <m:e>
            <m:r>
              <w:rPr>
                <w:rFonts w:ascii="Cambria Math" w:hAnsi="Cambria Math" w:cs="Times New Roman"/>
                <w:sz w:val="24"/>
                <w:szCs w:val="24"/>
              </w:rPr>
              <m:t>1</m:t>
            </m:r>
          </m:e>
        </m:d>
      </m:oMath>
      <w:r w:rsidRPr="00B06DC4">
        <w:rPr>
          <w:rFonts w:ascii="Times New Roman" w:eastAsiaTheme="minorEastAsia" w:hAnsi="Times New Roman" w:cs="Times New Roman"/>
          <w:sz w:val="24"/>
          <w:szCs w:val="24"/>
        </w:rPr>
        <w:t xml:space="preserve"> </w:t>
      </w:r>
      <w:r w:rsidRPr="00B06DC4">
        <w:rPr>
          <w:rFonts w:ascii="Times New Roman" w:hAnsi="Times New Roman" w:cs="Times New Roman"/>
          <w:sz w:val="24"/>
          <w:szCs w:val="24"/>
        </w:rPr>
        <w:t xml:space="preserve">model, or the Ornstein </w:t>
      </w:r>
      <w:proofErr w:type="spellStart"/>
      <w:r w:rsidRPr="00B06DC4">
        <w:rPr>
          <w:rFonts w:ascii="Times New Roman" w:hAnsi="Times New Roman" w:cs="Times New Roman"/>
          <w:sz w:val="24"/>
          <w:szCs w:val="24"/>
        </w:rPr>
        <w:t>Uhlenbeck</w:t>
      </w:r>
      <w:proofErr w:type="spellEnd"/>
      <w:r w:rsidRPr="00B06DC4">
        <w:rPr>
          <w:rFonts w:ascii="Times New Roman" w:hAnsi="Times New Roman" w:cs="Times New Roman"/>
          <w:sz w:val="24"/>
          <w:szCs w:val="24"/>
        </w:rPr>
        <w:t xml:space="preserve"> process (</w:t>
      </w:r>
      <w:proofErr w:type="spellStart"/>
      <w:r w:rsidRPr="00B06DC4">
        <w:rPr>
          <w:rFonts w:ascii="Times New Roman" w:hAnsi="Times New Roman" w:cs="Times New Roman"/>
          <w:sz w:val="24"/>
          <w:szCs w:val="24"/>
        </w:rPr>
        <w:t>Vasicek</w:t>
      </w:r>
      <w:proofErr w:type="spellEnd"/>
      <w:r w:rsidRPr="00B06DC4">
        <w:rPr>
          <w:rFonts w:ascii="Times New Roman" w:hAnsi="Times New Roman" w:cs="Times New Roman"/>
          <w:sz w:val="24"/>
          <w:szCs w:val="24"/>
        </w:rPr>
        <w:t xml:space="preserve">, 1977) in the continuous case. Setting </w:t>
      </w:r>
      <m:oMath>
        <m:r>
          <w:rPr>
            <w:rFonts w:ascii="Cambria Math" w:hAnsi="Cambria Math" w:cs="Times New Roman"/>
            <w:sz w:val="24"/>
            <w:szCs w:val="24"/>
          </w:rPr>
          <m:t>γ</m:t>
        </m:r>
      </m:oMath>
      <w:r w:rsidRPr="00B06DC4">
        <w:rPr>
          <w:rFonts w:ascii="Times New Roman" w:hAnsi="Times New Roman" w:cs="Times New Roman"/>
          <w:sz w:val="24"/>
          <w:szCs w:val="24"/>
        </w:rPr>
        <w:t xml:space="preserve"> = 1/2 gives the </w:t>
      </w:r>
      <w:proofErr w:type="spellStart"/>
      <w:r w:rsidRPr="00B06DC4">
        <w:rPr>
          <w:rFonts w:ascii="Times New Roman" w:hAnsi="Times New Roman" w:cs="Times New Roman"/>
          <w:sz w:val="24"/>
          <w:szCs w:val="24"/>
        </w:rPr>
        <w:t>wellknown</w:t>
      </w:r>
      <w:proofErr w:type="spellEnd"/>
      <w:r w:rsidRPr="00B06DC4">
        <w:rPr>
          <w:rFonts w:ascii="Times New Roman" w:hAnsi="Times New Roman" w:cs="Times New Roman"/>
          <w:sz w:val="24"/>
          <w:szCs w:val="24"/>
        </w:rPr>
        <w:t xml:space="preserve"> CIR-model (Cox et al., 1985). A different class of models to capture volatility dynamics is the family of GARCH-models.</w:t>
      </w:r>
    </w:p>
    <w:p w14:paraId="14E1AEA1" w14:textId="77777777" w:rsidR="00533263" w:rsidRPr="00B06DC4" w:rsidRDefault="00533263" w:rsidP="00533263">
      <w:pPr>
        <w:spacing w:line="360" w:lineRule="auto"/>
        <w:jc w:val="both"/>
        <w:rPr>
          <w:rFonts w:ascii="Times New Roman" w:hAnsi="Times New Roman" w:cs="Times New Roman"/>
          <w:sz w:val="24"/>
          <w:szCs w:val="24"/>
        </w:rPr>
      </w:pPr>
    </w:p>
    <w:p w14:paraId="30F50193"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Returns from financial market variables measured over short time intervals (i.e., intra-daily, daily, or weekly) are uncorrelated, but not independent. In particular, it has been observed that although the signs of successive price movements seem to be independent, their magnitude, as represented by the absolute value or square of the price increments, is correlated in time. This phenomenon is denoted volatility clustering and indicates that the volatility of the series is time varying. Small changes in the price tend to be followed by small changes, and large changes by large ones. </w:t>
      </w:r>
    </w:p>
    <w:p w14:paraId="424A28E3" w14:textId="77777777" w:rsidR="00533263" w:rsidRPr="00B06DC4"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Since volatility clustering implies a strong autocorrelation in the absolute values of returns, a simple method for detecting volatility clustering is calculating the autocorrelation function of the absolute values of returns. If the volatility is clustered, the autocorrelation function will have positive values for a relatively large number of lags.</w:t>
      </w:r>
    </w:p>
    <w:p w14:paraId="320F670E" w14:textId="77777777" w:rsidR="00533263" w:rsidRPr="00533263" w:rsidRDefault="00533263" w:rsidP="0053326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The issue of modelling returns accounting for time-varying volatility has been widely analysed in financial econometrics literature. Two main types of techniques have been used: Generalised Autoregressive Conditional Heteroscedasticity (GARCH)-models (</w:t>
      </w:r>
      <w:proofErr w:type="spellStart"/>
      <w:r w:rsidRPr="00B06DC4">
        <w:rPr>
          <w:rFonts w:ascii="Times New Roman" w:hAnsi="Times New Roman" w:cs="Times New Roman"/>
          <w:sz w:val="24"/>
          <w:szCs w:val="24"/>
        </w:rPr>
        <w:t>Bollerslev</w:t>
      </w:r>
      <w:proofErr w:type="spellEnd"/>
      <w:r w:rsidRPr="00B06DC4">
        <w:rPr>
          <w:rFonts w:ascii="Times New Roman" w:hAnsi="Times New Roman" w:cs="Times New Roman"/>
          <w:sz w:val="24"/>
          <w:szCs w:val="24"/>
        </w:rPr>
        <w:t>, 1986) and stochastic volatility models (</w:t>
      </w:r>
      <w:proofErr w:type="spellStart"/>
      <w:r w:rsidRPr="00B06DC4">
        <w:rPr>
          <w:rFonts w:ascii="Times New Roman" w:hAnsi="Times New Roman" w:cs="Times New Roman"/>
          <w:sz w:val="24"/>
          <w:szCs w:val="24"/>
        </w:rPr>
        <w:t>Aquilar</w:t>
      </w:r>
      <w:proofErr w:type="spellEnd"/>
      <w:r w:rsidRPr="00B06DC4">
        <w:rPr>
          <w:rFonts w:ascii="Times New Roman" w:hAnsi="Times New Roman" w:cs="Times New Roman"/>
          <w:sz w:val="24"/>
          <w:szCs w:val="24"/>
        </w:rPr>
        <w:t xml:space="preserve"> and West, 2000; Kim et al., 1998). The success of the GARCH-models at capturing volatility clustering in financial markets is extensively documented in the literature. Recent surveys are given in Ghysels et al. (1996) and Shepard (1996). Stochastic volatility models are more sophisticated than the GARCH-models, and from a theoretical point of view they might be more appropriate to represent the behaviour of the returns in financial markets. The main drawback of the stochastic volatility models is, however, that estimating them is a statistically and computationally demanding task. This has prevented their wide-spread use in empirical applications, and they are little used in the industry compared to the GARCH-models. In this course we will therefore concentrate on the GARCH-models.</w:t>
      </w:r>
    </w:p>
    <w:p w14:paraId="3631C732" w14:textId="60B26A3C" w:rsidR="000C4890" w:rsidRPr="000C4890" w:rsidRDefault="006C6F9C" w:rsidP="00AA7711">
      <w:pPr>
        <w:pStyle w:val="Heading2"/>
      </w:pPr>
      <w:bookmarkStart w:id="36" w:name="_Toc90499937"/>
      <w:r>
        <w:t>1.</w:t>
      </w:r>
      <w:r w:rsidR="00E62031">
        <w:t xml:space="preserve">3.2 </w:t>
      </w:r>
      <w:r w:rsidR="000C4890" w:rsidRPr="000C4890">
        <w:t>Stationarity Analysis</w:t>
      </w:r>
      <w:bookmarkEnd w:id="36"/>
    </w:p>
    <w:p w14:paraId="2EB38C14" w14:textId="77777777" w:rsidR="000C4890" w:rsidRPr="00B44D0D"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A stationarity process has the property that the mean, variance and autocorrelation structure do not change over time. Stationarity can be defined in precise mathematical terms, but for financial econometric purpose it means a flat looking series, without trend, constant variance over time, a constant autocorrelation structure over time and no periodic fluctuations.</w:t>
      </w:r>
    </w:p>
    <w:p w14:paraId="3911969C" w14:textId="283F6696" w:rsidR="000C4890" w:rsidRPr="00B44D0D"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To formally establish whether a time series is stationary or non-</w:t>
      </w:r>
      <w:r w:rsidR="001C758D" w:rsidRPr="00B44D0D">
        <w:rPr>
          <w:rFonts w:ascii="Times New Roman" w:hAnsi="Times New Roman" w:cs="Times New Roman"/>
          <w:sz w:val="24"/>
          <w:szCs w:val="24"/>
        </w:rPr>
        <w:t xml:space="preserve">stationary, </w:t>
      </w:r>
      <w:r w:rsidR="001C758D">
        <w:rPr>
          <w:rFonts w:ascii="Times New Roman" w:hAnsi="Times New Roman" w:cs="Times New Roman"/>
          <w:sz w:val="24"/>
          <w:szCs w:val="24"/>
        </w:rPr>
        <w:t>s</w:t>
      </w:r>
      <w:r w:rsidR="001C758D" w:rsidRPr="00B44D0D">
        <w:rPr>
          <w:rFonts w:ascii="Times New Roman" w:hAnsi="Times New Roman" w:cs="Times New Roman"/>
          <w:sz w:val="24"/>
          <w:szCs w:val="24"/>
        </w:rPr>
        <w:t>tudy</w:t>
      </w:r>
      <w:r w:rsidR="001C758D">
        <w:rPr>
          <w:rFonts w:ascii="Times New Roman" w:hAnsi="Times New Roman" w:cs="Times New Roman"/>
          <w:sz w:val="24"/>
          <w:szCs w:val="24"/>
        </w:rPr>
        <w:t xml:space="preserve"> will </w:t>
      </w:r>
      <w:r w:rsidRPr="00B44D0D">
        <w:rPr>
          <w:rFonts w:ascii="Times New Roman" w:hAnsi="Times New Roman" w:cs="Times New Roman"/>
          <w:sz w:val="24"/>
          <w:szCs w:val="24"/>
        </w:rPr>
        <w:t xml:space="preserve">use unit root tests. Two popular tests are commonly </w:t>
      </w:r>
      <w:r w:rsidR="00426109" w:rsidRPr="00B44D0D">
        <w:rPr>
          <w:rFonts w:ascii="Times New Roman" w:hAnsi="Times New Roman" w:cs="Times New Roman"/>
          <w:sz w:val="24"/>
          <w:szCs w:val="24"/>
        </w:rPr>
        <w:t>use:</w:t>
      </w:r>
      <w:r w:rsidRPr="00B44D0D">
        <w:rPr>
          <w:rFonts w:ascii="Times New Roman" w:hAnsi="Times New Roman" w:cs="Times New Roman"/>
          <w:sz w:val="24"/>
          <w:szCs w:val="24"/>
        </w:rPr>
        <w:t xml:space="preserve"> The Augmented Dicky-Fuller test (ADF) and Phillips Perron test (PP). </w:t>
      </w:r>
    </w:p>
    <w:p w14:paraId="72CBB31D" w14:textId="12ED60B9" w:rsidR="000C4890" w:rsidRPr="004A2492" w:rsidRDefault="006C6F9C" w:rsidP="006672DE">
      <w:pPr>
        <w:pStyle w:val="Heading3"/>
      </w:pPr>
      <w:bookmarkStart w:id="37" w:name="_Toc90499938"/>
      <w:r w:rsidRPr="004A2492">
        <w:t>1.</w:t>
      </w:r>
      <w:r w:rsidR="00E62031" w:rsidRPr="004A2492">
        <w:t>3.</w:t>
      </w:r>
      <w:r w:rsidR="006672DE" w:rsidRPr="004A2492">
        <w:t>2.1</w:t>
      </w:r>
      <w:r w:rsidR="00E62031" w:rsidRPr="004A2492">
        <w:t xml:space="preserve"> </w:t>
      </w:r>
      <w:r w:rsidR="000C4890" w:rsidRPr="004A2492">
        <w:t>The Augmented Dickey Fuller (ADF) Test</w:t>
      </w:r>
      <w:bookmarkEnd w:id="37"/>
      <w:r w:rsidR="000C4890" w:rsidRPr="004A2492">
        <w:t xml:space="preserve"> </w:t>
      </w:r>
    </w:p>
    <w:p w14:paraId="06D65F4E" w14:textId="77777777" w:rsidR="000C4890" w:rsidRPr="00B44D0D" w:rsidRDefault="000C4890" w:rsidP="00AA7711">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Dickey and Fuller (1979) developed a procedure for testing whether a variable has a unit root or, equivalently, that the variable follows a random walk. Hamilton (1994, 528–529) describes the four different cases to which the augmented Dickey–Fuller test can be applied. The null hypothesis is always that the variable has a unit root. They differ in whether the null hypothesis includes a drift term and whether the regression used to obtain the test statistic includes a constant term and time trend. </w:t>
      </w:r>
      <w:proofErr w:type="spellStart"/>
      <w:r w:rsidRPr="00B06DC4">
        <w:rPr>
          <w:rFonts w:ascii="Times New Roman" w:hAnsi="Times New Roman" w:cs="Times New Roman"/>
          <w:sz w:val="24"/>
          <w:szCs w:val="24"/>
        </w:rPr>
        <w:t>Becketti</w:t>
      </w:r>
      <w:proofErr w:type="spellEnd"/>
      <w:r w:rsidRPr="00B06DC4">
        <w:rPr>
          <w:rFonts w:ascii="Times New Roman" w:hAnsi="Times New Roman" w:cs="Times New Roman"/>
          <w:sz w:val="24"/>
          <w:szCs w:val="24"/>
        </w:rPr>
        <w:t xml:space="preserve"> (2013, chap. 9) provides additional</w:t>
      </w:r>
      <w:r w:rsidRPr="00B44D0D">
        <w:rPr>
          <w:rFonts w:ascii="Times New Roman" w:hAnsi="Times New Roman" w:cs="Times New Roman"/>
          <w:sz w:val="24"/>
          <w:szCs w:val="24"/>
        </w:rPr>
        <w:t xml:space="preserve"> examples showing how to conduct these tests</w:t>
      </w:r>
    </w:p>
    <w:p w14:paraId="6912E7DC" w14:textId="77777777" w:rsidR="000C4890" w:rsidRPr="00B44D0D" w:rsidRDefault="000C4890" w:rsidP="00AA7711">
      <w:pPr>
        <w:spacing w:line="360" w:lineRule="auto"/>
        <w:rPr>
          <w:rFonts w:ascii="Times New Roman" w:hAnsi="Times New Roman" w:cs="Times New Roman"/>
          <w:sz w:val="24"/>
          <w:szCs w:val="24"/>
        </w:rPr>
      </w:pPr>
      <w:r w:rsidRPr="00B44D0D">
        <w:rPr>
          <w:rFonts w:ascii="Times New Roman" w:hAnsi="Times New Roman" w:cs="Times New Roman"/>
          <w:sz w:val="24"/>
          <w:szCs w:val="24"/>
        </w:rPr>
        <w:t>The true model is assumed to be</w:t>
      </w:r>
    </w:p>
    <w:p w14:paraId="1555C96D" w14:textId="77777777" w:rsidR="000C4890" w:rsidRPr="00B44D0D" w:rsidRDefault="002C15FD" w:rsidP="000C489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α+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m:oMathPara>
    </w:p>
    <w:p w14:paraId="171D20A9" w14:textId="77777777" w:rsidR="000C4890" w:rsidRPr="00B44D0D"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where </w:t>
      </w:r>
      <w:proofErr w:type="spellStart"/>
      <w:r w:rsidRPr="00B44D0D">
        <w:rPr>
          <w:rFonts w:ascii="Times New Roman" w:hAnsi="Times New Roman" w:cs="Times New Roman"/>
          <w:sz w:val="24"/>
          <w:szCs w:val="24"/>
        </w:rPr>
        <w:t>ut</w:t>
      </w:r>
      <w:proofErr w:type="spellEnd"/>
      <w:r w:rsidRPr="00B44D0D">
        <w:rPr>
          <w:rFonts w:ascii="Times New Roman" w:hAnsi="Times New Roman" w:cs="Times New Roman"/>
          <w:sz w:val="24"/>
          <w:szCs w:val="24"/>
        </w:rPr>
        <w:t xml:space="preserve"> is an independently and identically distributed zero-mean error term. In cases one and two, presumably α = 0, which is a random walk without drift. In cases three and four, we allow for a drift term by letting α be unrestricted</w:t>
      </w:r>
    </w:p>
    <w:p w14:paraId="537AA080" w14:textId="77777777" w:rsidR="000C4890" w:rsidRPr="00B44D0D" w:rsidRDefault="000C4890" w:rsidP="00AA7711">
      <w:pPr>
        <w:spacing w:line="360" w:lineRule="auto"/>
        <w:rPr>
          <w:rFonts w:ascii="Times New Roman" w:hAnsi="Times New Roman" w:cs="Times New Roman"/>
          <w:sz w:val="24"/>
          <w:szCs w:val="24"/>
        </w:rPr>
      </w:pPr>
      <w:r w:rsidRPr="00B44D0D">
        <w:rPr>
          <w:rFonts w:ascii="Times New Roman" w:hAnsi="Times New Roman" w:cs="Times New Roman"/>
          <w:sz w:val="24"/>
          <w:szCs w:val="24"/>
        </w:rPr>
        <w:t>The Dickey–Fuller test involves fitting the model</w:t>
      </w:r>
    </w:p>
    <w:p w14:paraId="226C35AE" w14:textId="77777777" w:rsidR="000C4890" w:rsidRPr="00B44D0D" w:rsidRDefault="002C15FD" w:rsidP="000C4890">
      <w:pPr>
        <w:ind w:firstLine="72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α+ ρ</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δt+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2C540C42" w14:textId="77777777" w:rsidR="000C4890" w:rsidRPr="00B44D0D"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by ordinary least squares (OLS), perhaps setting α = 0 or δ = 0. However, such a regression is likely to be plagued by serial correlation. To control for that, the augmented Dickey–Fuller test instead fits a model of the form</w:t>
      </w:r>
    </w:p>
    <w:p w14:paraId="2F6714B9" w14:textId="77777777" w:rsidR="000C4890" w:rsidRPr="00B44D0D" w:rsidRDefault="002C15FD" w:rsidP="000C489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α+ </m:t>
          </m:r>
          <m:sSub>
            <m:sSubPr>
              <m:ctrlPr>
                <w:rPr>
                  <w:rFonts w:ascii="Cambria Math" w:hAnsi="Cambria Math" w:cs="Times New Roman"/>
                  <w:i/>
                  <w:sz w:val="24"/>
                  <w:szCs w:val="24"/>
                </w:rPr>
              </m:ctrlPr>
            </m:sSubPr>
            <m:e>
              <m:r>
                <w:rPr>
                  <w:rFonts w:ascii="Cambria Math" w:hAnsi="Cambria Math" w:cs="Times New Roman"/>
                  <w:sz w:val="24"/>
                  <w:szCs w:val="24"/>
                </w:rPr>
                <m:t>βy</m:t>
              </m:r>
            </m:e>
            <m:sub>
              <m:r>
                <w:rPr>
                  <w:rFonts w:ascii="Cambria Math" w:hAnsi="Cambria Math" w:cs="Times New Roman"/>
                  <w:sz w:val="24"/>
                  <w:szCs w:val="24"/>
                </w:rPr>
                <m:t>t-1</m:t>
              </m:r>
            </m:sub>
          </m:sSub>
          <m:r>
            <w:rPr>
              <w:rFonts w:ascii="Cambria Math" w:hAnsi="Cambria Math" w:cs="Times New Roman"/>
              <w:sz w:val="24"/>
              <w:szCs w:val="24"/>
            </w:rPr>
            <m:t xml:space="preserve">+ δt+ </m:t>
          </m:r>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t-2</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2092C165" w14:textId="65551E1B" w:rsidR="000C4890"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where k is the number of lags specified in the lags () option. The </w:t>
      </w:r>
      <w:r w:rsidR="00AA7711" w:rsidRPr="00B44D0D">
        <w:rPr>
          <w:rFonts w:ascii="Times New Roman" w:hAnsi="Times New Roman" w:cs="Times New Roman"/>
          <w:sz w:val="24"/>
          <w:szCs w:val="24"/>
        </w:rPr>
        <w:t>no constant</w:t>
      </w:r>
      <w:r w:rsidRPr="00B44D0D">
        <w:rPr>
          <w:rFonts w:ascii="Times New Roman" w:hAnsi="Times New Roman" w:cs="Times New Roman"/>
          <w:sz w:val="24"/>
          <w:szCs w:val="24"/>
        </w:rPr>
        <w:t xml:space="preserve"> option removes the constant term α from this regression, and the trend option includes the time trend </w:t>
      </w:r>
      <w:proofErr w:type="spellStart"/>
      <w:r w:rsidRPr="00B44D0D">
        <w:rPr>
          <w:rFonts w:ascii="Times New Roman" w:hAnsi="Times New Roman" w:cs="Times New Roman"/>
          <w:sz w:val="24"/>
          <w:szCs w:val="24"/>
        </w:rPr>
        <w:t>δt</w:t>
      </w:r>
      <w:proofErr w:type="spellEnd"/>
      <w:r w:rsidRPr="00B44D0D">
        <w:rPr>
          <w:rFonts w:ascii="Times New Roman" w:hAnsi="Times New Roman" w:cs="Times New Roman"/>
          <w:sz w:val="24"/>
          <w:szCs w:val="24"/>
        </w:rPr>
        <w:t xml:space="preserve">, which by default is not included. Testing β = 0 is equivalent to testing ρ = 1, or, equivalently, that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follows a unit root process</w:t>
      </w:r>
      <w:r w:rsidR="001050FB">
        <w:rPr>
          <w:rFonts w:ascii="Times New Roman" w:hAnsi="Times New Roman" w:cs="Times New Roman"/>
          <w:sz w:val="24"/>
          <w:szCs w:val="24"/>
        </w:rPr>
        <w:t>.</w:t>
      </w:r>
    </w:p>
    <w:p w14:paraId="5609EC67" w14:textId="77777777" w:rsidR="001050FB" w:rsidRPr="00B44D0D" w:rsidRDefault="001050FB" w:rsidP="001050FB">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tests above are only valid if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is white noise. In particular,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will be autocorrelated if there was autocorrelation in the dependent variable of the regression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which have not modelled. The solution is to “augment” the test using p lags of the dependent variable. </w:t>
      </w:r>
    </w:p>
    <w:p w14:paraId="55BF1FA1" w14:textId="77777777" w:rsidR="001050FB" w:rsidRPr="00B44D0D" w:rsidRDefault="001050FB" w:rsidP="001050FB">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 xml:space="preserve"> The same critical values from the </w:t>
      </w:r>
      <w:r>
        <w:rPr>
          <w:rFonts w:ascii="Times New Roman" w:hAnsi="Times New Roman" w:cs="Times New Roman"/>
          <w:sz w:val="24"/>
          <w:szCs w:val="24"/>
        </w:rPr>
        <w:t>A</w:t>
      </w:r>
      <w:r w:rsidRPr="00B44D0D">
        <w:rPr>
          <w:rFonts w:ascii="Times New Roman" w:hAnsi="Times New Roman" w:cs="Times New Roman"/>
          <w:sz w:val="24"/>
          <w:szCs w:val="24"/>
        </w:rPr>
        <w:t>DF tables are used as before. A problem now arises in determining the optimal number of lags of the dependent variable. There are 2 ways - use the frequency of the dat</w:t>
      </w:r>
      <w:r>
        <w:rPr>
          <w:rFonts w:ascii="Times New Roman" w:hAnsi="Times New Roman" w:cs="Times New Roman"/>
          <w:sz w:val="24"/>
          <w:szCs w:val="24"/>
        </w:rPr>
        <w:t>a</w:t>
      </w:r>
      <w:r w:rsidRPr="00B44D0D">
        <w:rPr>
          <w:rFonts w:ascii="Times New Roman" w:hAnsi="Times New Roman" w:cs="Times New Roman"/>
          <w:sz w:val="24"/>
          <w:szCs w:val="24"/>
        </w:rPr>
        <w:t xml:space="preserve"> to decide - use information criteria</w:t>
      </w:r>
    </w:p>
    <w:p w14:paraId="3911FE68" w14:textId="4308C6F9" w:rsidR="000C4890"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In the first case, the null hypothesis is that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follows a random walk without drift, and </w:t>
      </w:r>
      <w:r w:rsidR="001050FB">
        <w:rPr>
          <w:rFonts w:ascii="Times New Roman" w:hAnsi="Times New Roman" w:cs="Times New Roman"/>
          <w:sz w:val="24"/>
          <w:szCs w:val="24"/>
        </w:rPr>
        <w:t xml:space="preserve">case </w:t>
      </w:r>
      <w:r w:rsidRPr="00B44D0D">
        <w:rPr>
          <w:rFonts w:ascii="Times New Roman" w:hAnsi="Times New Roman" w:cs="Times New Roman"/>
          <w:sz w:val="24"/>
          <w:szCs w:val="24"/>
        </w:rPr>
        <w:t xml:space="preserve">1 is fit without the constant term α and the time trend </w:t>
      </w:r>
      <w:proofErr w:type="spellStart"/>
      <w:r w:rsidRPr="00B44D0D">
        <w:rPr>
          <w:rFonts w:ascii="Times New Roman" w:hAnsi="Times New Roman" w:cs="Times New Roman"/>
          <w:sz w:val="24"/>
          <w:szCs w:val="24"/>
        </w:rPr>
        <w:t>δt</w:t>
      </w:r>
      <w:proofErr w:type="spellEnd"/>
      <w:r w:rsidRPr="00B44D0D">
        <w:rPr>
          <w:rFonts w:ascii="Times New Roman" w:hAnsi="Times New Roman" w:cs="Times New Roman"/>
          <w:sz w:val="24"/>
          <w:szCs w:val="24"/>
        </w:rPr>
        <w:t xml:space="preserve">. The second case has the same null hypothesis as the first, except that we include α in the regression. In both cases, the population value of α is zero under the null hypothesis. In the third case, we hypothesize that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follows a unit root with drift, so that the population value of α is nonzero; we do not include the time trend in the regression. Finally, in the fourth case, the null hypothesis is that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follows a unit root with or without drift so that α is unrestricted, and we include a time trend in the regression.</w:t>
      </w:r>
    </w:p>
    <w:p w14:paraId="0259B6E6" w14:textId="77777777" w:rsidR="000C4890" w:rsidRPr="00B44D0D" w:rsidRDefault="000C4890" w:rsidP="00AA7711">
      <w:pPr>
        <w:spacing w:line="360" w:lineRule="auto"/>
        <w:rPr>
          <w:rFonts w:ascii="Times New Roman" w:hAnsi="Times New Roman" w:cs="Times New Roman"/>
          <w:sz w:val="24"/>
          <w:szCs w:val="24"/>
        </w:rPr>
      </w:pPr>
      <w:r w:rsidRPr="00B44D0D">
        <w:rPr>
          <w:rFonts w:ascii="Times New Roman" w:hAnsi="Times New Roman" w:cs="Times New Roman"/>
          <w:sz w:val="24"/>
          <w:szCs w:val="24"/>
        </w:rPr>
        <w:t>The following table summarizes the four cases.</w:t>
      </w:r>
    </w:p>
    <w:p w14:paraId="69EC65D5" w14:textId="76BFAA8E" w:rsidR="00AF7FD4" w:rsidRPr="00AF7FD4" w:rsidRDefault="00AF7FD4" w:rsidP="00AF7FD4">
      <w:pPr>
        <w:pStyle w:val="Caption"/>
        <w:keepNext/>
        <w:rPr>
          <w:rFonts w:ascii="Times New Roman" w:hAnsi="Times New Roman" w:cs="Times New Roman"/>
          <w:color w:val="auto"/>
          <w:sz w:val="24"/>
          <w:szCs w:val="24"/>
        </w:rPr>
      </w:pPr>
      <w:bookmarkStart w:id="38" w:name="_Toc78502183"/>
      <w:bookmarkStart w:id="39" w:name="_Toc78502287"/>
      <w:r w:rsidRPr="00AF7FD4">
        <w:rPr>
          <w:rFonts w:ascii="Times New Roman" w:hAnsi="Times New Roman" w:cs="Times New Roman"/>
          <w:color w:val="auto"/>
          <w:sz w:val="24"/>
          <w:szCs w:val="24"/>
        </w:rPr>
        <w:t xml:space="preserve">Table </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1</w:t>
      </w:r>
      <w:r w:rsidR="00EF0502">
        <w:rPr>
          <w:rFonts w:ascii="Times New Roman" w:hAnsi="Times New Roman" w:cs="Times New Roman"/>
          <w:color w:val="auto"/>
          <w:sz w:val="24"/>
          <w:szCs w:val="24"/>
        </w:rPr>
        <w:fldChar w:fldCharType="end"/>
      </w:r>
      <w:r>
        <w:rPr>
          <w:rFonts w:ascii="Times New Roman" w:hAnsi="Times New Roman" w:cs="Times New Roman"/>
          <w:color w:val="auto"/>
          <w:sz w:val="24"/>
          <w:szCs w:val="24"/>
        </w:rPr>
        <w:t>.3.1</w:t>
      </w:r>
      <w:r w:rsidRPr="00AF7FD4">
        <w:rPr>
          <w:rFonts w:ascii="Times New Roman" w:hAnsi="Times New Roman" w:cs="Times New Roman"/>
          <w:color w:val="auto"/>
          <w:sz w:val="24"/>
          <w:szCs w:val="24"/>
        </w:rPr>
        <w:t xml:space="preserve"> Augmented Dickey Fuller cases</w:t>
      </w:r>
      <w:bookmarkEnd w:id="38"/>
      <w:bookmarkEnd w:id="39"/>
    </w:p>
    <w:tbl>
      <w:tblPr>
        <w:tblStyle w:val="TableGrid"/>
        <w:tblW w:w="9274" w:type="dxa"/>
        <w:tblLook w:val="04A0" w:firstRow="1" w:lastRow="0" w:firstColumn="1" w:lastColumn="0" w:noHBand="0" w:noVBand="1"/>
      </w:tblPr>
      <w:tblGrid>
        <w:gridCol w:w="2318"/>
        <w:gridCol w:w="2318"/>
        <w:gridCol w:w="2319"/>
        <w:gridCol w:w="2319"/>
      </w:tblGrid>
      <w:tr w:rsidR="000C4890" w:rsidRPr="00B44D0D" w14:paraId="733B1CA1" w14:textId="77777777" w:rsidTr="007F5AE0">
        <w:trPr>
          <w:trHeight w:val="522"/>
        </w:trPr>
        <w:tc>
          <w:tcPr>
            <w:tcW w:w="2318" w:type="dxa"/>
          </w:tcPr>
          <w:p w14:paraId="46CA443C"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Case</w:t>
            </w:r>
          </w:p>
        </w:tc>
        <w:tc>
          <w:tcPr>
            <w:tcW w:w="2318" w:type="dxa"/>
          </w:tcPr>
          <w:p w14:paraId="58A891DB"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Process under null</w:t>
            </w:r>
          </w:p>
          <w:p w14:paraId="55F06A28" w14:textId="67DCB322" w:rsidR="000C4890" w:rsidRPr="00B44D0D" w:rsidRDefault="002149D9" w:rsidP="007F5AE0">
            <w:pPr>
              <w:rPr>
                <w:rFonts w:ascii="Times New Roman" w:hAnsi="Times New Roman" w:cs="Times New Roman"/>
                <w:sz w:val="24"/>
                <w:szCs w:val="24"/>
              </w:rPr>
            </w:pPr>
            <w:r w:rsidRPr="00B44D0D">
              <w:rPr>
                <w:rFonts w:ascii="Times New Roman" w:hAnsi="Times New Roman" w:cs="Times New Roman"/>
                <w:sz w:val="24"/>
                <w:szCs w:val="24"/>
              </w:rPr>
              <w:t>H</w:t>
            </w:r>
            <w:r w:rsidR="000C4890" w:rsidRPr="00B44D0D">
              <w:rPr>
                <w:rFonts w:ascii="Times New Roman" w:hAnsi="Times New Roman" w:cs="Times New Roman"/>
                <w:sz w:val="24"/>
                <w:szCs w:val="24"/>
              </w:rPr>
              <w:t>ypothesis</w:t>
            </w:r>
          </w:p>
        </w:tc>
        <w:tc>
          <w:tcPr>
            <w:tcW w:w="2319" w:type="dxa"/>
          </w:tcPr>
          <w:p w14:paraId="03255415"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Regression</w:t>
            </w:r>
          </w:p>
          <w:p w14:paraId="4A174B0C"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restrictions</w:t>
            </w:r>
          </w:p>
        </w:tc>
        <w:tc>
          <w:tcPr>
            <w:tcW w:w="2319" w:type="dxa"/>
          </w:tcPr>
          <w:p w14:paraId="7AA6E5A6" w14:textId="77777777" w:rsidR="000C4890" w:rsidRPr="00B44D0D" w:rsidRDefault="000C4890" w:rsidP="007F5AE0">
            <w:pPr>
              <w:rPr>
                <w:rFonts w:ascii="Times New Roman" w:hAnsi="Times New Roman" w:cs="Times New Roman"/>
                <w:sz w:val="24"/>
                <w:szCs w:val="24"/>
              </w:rPr>
            </w:pPr>
            <w:proofErr w:type="spellStart"/>
            <w:r w:rsidRPr="00B44D0D">
              <w:rPr>
                <w:rFonts w:ascii="Times New Roman" w:hAnsi="Times New Roman" w:cs="Times New Roman"/>
                <w:sz w:val="24"/>
                <w:szCs w:val="24"/>
              </w:rPr>
              <w:t>dfuller</w:t>
            </w:r>
            <w:proofErr w:type="spellEnd"/>
            <w:r w:rsidRPr="00B44D0D">
              <w:rPr>
                <w:rFonts w:ascii="Times New Roman" w:hAnsi="Times New Roman" w:cs="Times New Roman"/>
                <w:sz w:val="24"/>
                <w:szCs w:val="24"/>
              </w:rPr>
              <w:t xml:space="preserve"> </w:t>
            </w:r>
          </w:p>
          <w:p w14:paraId="6FC4FD6C"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Options</w:t>
            </w:r>
          </w:p>
        </w:tc>
      </w:tr>
      <w:tr w:rsidR="000C4890" w:rsidRPr="00B44D0D" w14:paraId="5D755EC4" w14:textId="77777777" w:rsidTr="007F5AE0">
        <w:trPr>
          <w:trHeight w:val="539"/>
        </w:trPr>
        <w:tc>
          <w:tcPr>
            <w:tcW w:w="2318" w:type="dxa"/>
          </w:tcPr>
          <w:p w14:paraId="3DC64B31"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1</w:t>
            </w:r>
          </w:p>
        </w:tc>
        <w:tc>
          <w:tcPr>
            <w:tcW w:w="2318" w:type="dxa"/>
          </w:tcPr>
          <w:p w14:paraId="7B3F76A1"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Random walk without drift</w:t>
            </w:r>
          </w:p>
        </w:tc>
        <w:tc>
          <w:tcPr>
            <w:tcW w:w="2319" w:type="dxa"/>
          </w:tcPr>
          <w:p w14:paraId="4CB70AE7"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 </w:t>
            </w:r>
            <m:oMath>
              <m:r>
                <w:rPr>
                  <w:rFonts w:ascii="Cambria Math" w:hAnsi="Cambria Math" w:cs="Times New Roman"/>
                  <w:sz w:val="24"/>
                  <w:szCs w:val="24"/>
                </w:rPr>
                <m:t>α=0, δ=0</m:t>
              </m:r>
            </m:oMath>
          </w:p>
        </w:tc>
        <w:tc>
          <w:tcPr>
            <w:tcW w:w="2319" w:type="dxa"/>
          </w:tcPr>
          <w:p w14:paraId="252A290B"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Non constant</w:t>
            </w:r>
          </w:p>
        </w:tc>
      </w:tr>
      <w:tr w:rsidR="000C4890" w:rsidRPr="00B44D0D" w14:paraId="10304BDA" w14:textId="77777777" w:rsidTr="007F5AE0">
        <w:trPr>
          <w:trHeight w:val="539"/>
        </w:trPr>
        <w:tc>
          <w:tcPr>
            <w:tcW w:w="2318" w:type="dxa"/>
          </w:tcPr>
          <w:p w14:paraId="7AC161E3"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2</w:t>
            </w:r>
          </w:p>
        </w:tc>
        <w:tc>
          <w:tcPr>
            <w:tcW w:w="2318" w:type="dxa"/>
          </w:tcPr>
          <w:p w14:paraId="67D535C0"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Random walk without drift</w:t>
            </w:r>
          </w:p>
        </w:tc>
        <w:tc>
          <w:tcPr>
            <w:tcW w:w="2319" w:type="dxa"/>
          </w:tcPr>
          <w:p w14:paraId="797C035A" w14:textId="77777777" w:rsidR="000C4890" w:rsidRPr="00B44D0D" w:rsidRDefault="000C4890" w:rsidP="007F5AE0">
            <w:pPr>
              <w:rPr>
                <w:rFonts w:ascii="Times New Roman" w:hAnsi="Times New Roman" w:cs="Times New Roman"/>
                <w:sz w:val="24"/>
                <w:szCs w:val="24"/>
              </w:rPr>
            </w:pPr>
            <m:oMathPara>
              <m:oMath>
                <m:r>
                  <w:rPr>
                    <w:rFonts w:ascii="Cambria Math" w:hAnsi="Cambria Math" w:cs="Times New Roman"/>
                    <w:sz w:val="24"/>
                    <w:szCs w:val="24"/>
                  </w:rPr>
                  <m:t xml:space="preserve"> δ=0</m:t>
                </m:r>
              </m:oMath>
            </m:oMathPara>
          </w:p>
        </w:tc>
        <w:tc>
          <w:tcPr>
            <w:tcW w:w="2319" w:type="dxa"/>
          </w:tcPr>
          <w:p w14:paraId="25999686" w14:textId="5A96C2E2" w:rsidR="000C4890" w:rsidRPr="00B44D0D" w:rsidRDefault="00426109" w:rsidP="007F5AE0">
            <w:pPr>
              <w:rPr>
                <w:rFonts w:ascii="Times New Roman" w:hAnsi="Times New Roman" w:cs="Times New Roman"/>
                <w:sz w:val="24"/>
                <w:szCs w:val="24"/>
              </w:rPr>
            </w:pPr>
            <w:r w:rsidRPr="00B44D0D">
              <w:rPr>
                <w:rFonts w:ascii="Times New Roman" w:hAnsi="Times New Roman" w:cs="Times New Roman"/>
                <w:sz w:val="24"/>
                <w:szCs w:val="24"/>
              </w:rPr>
              <w:t>default</w:t>
            </w:r>
          </w:p>
        </w:tc>
      </w:tr>
      <w:tr w:rsidR="000C4890" w:rsidRPr="00B44D0D" w14:paraId="231E24ED" w14:textId="77777777" w:rsidTr="007F5AE0">
        <w:trPr>
          <w:trHeight w:val="270"/>
        </w:trPr>
        <w:tc>
          <w:tcPr>
            <w:tcW w:w="2318" w:type="dxa"/>
          </w:tcPr>
          <w:p w14:paraId="27DAB460"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3</w:t>
            </w:r>
          </w:p>
        </w:tc>
        <w:tc>
          <w:tcPr>
            <w:tcW w:w="2318" w:type="dxa"/>
          </w:tcPr>
          <w:p w14:paraId="0C4699F9"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Random walk with drift</w:t>
            </w:r>
          </w:p>
        </w:tc>
        <w:tc>
          <w:tcPr>
            <w:tcW w:w="2319" w:type="dxa"/>
          </w:tcPr>
          <w:p w14:paraId="0B8DA9CC" w14:textId="77777777" w:rsidR="000C4890" w:rsidRPr="00B44D0D" w:rsidRDefault="000C4890" w:rsidP="007F5AE0">
            <w:pPr>
              <w:rPr>
                <w:rFonts w:ascii="Times New Roman" w:hAnsi="Times New Roman" w:cs="Times New Roman"/>
                <w:sz w:val="24"/>
                <w:szCs w:val="24"/>
              </w:rPr>
            </w:pPr>
            <m:oMathPara>
              <m:oMath>
                <m:r>
                  <w:rPr>
                    <w:rFonts w:ascii="Cambria Math" w:hAnsi="Cambria Math" w:cs="Times New Roman"/>
                    <w:sz w:val="24"/>
                    <w:szCs w:val="24"/>
                  </w:rPr>
                  <m:t xml:space="preserve"> δ=0</m:t>
                </m:r>
              </m:oMath>
            </m:oMathPara>
          </w:p>
        </w:tc>
        <w:tc>
          <w:tcPr>
            <w:tcW w:w="2319" w:type="dxa"/>
          </w:tcPr>
          <w:p w14:paraId="54B79D66" w14:textId="3D53F52D" w:rsidR="000C4890" w:rsidRPr="00B44D0D" w:rsidRDefault="00FF69EB" w:rsidP="007F5AE0">
            <w:pPr>
              <w:rPr>
                <w:rFonts w:ascii="Times New Roman" w:hAnsi="Times New Roman" w:cs="Times New Roman"/>
                <w:sz w:val="24"/>
                <w:szCs w:val="24"/>
              </w:rPr>
            </w:pPr>
            <w:r w:rsidRPr="00B44D0D">
              <w:rPr>
                <w:rFonts w:ascii="Times New Roman" w:hAnsi="Times New Roman" w:cs="Times New Roman"/>
                <w:sz w:val="24"/>
                <w:szCs w:val="24"/>
              </w:rPr>
              <w:t>D</w:t>
            </w:r>
            <w:r w:rsidR="000C4890" w:rsidRPr="00B44D0D">
              <w:rPr>
                <w:rFonts w:ascii="Times New Roman" w:hAnsi="Times New Roman" w:cs="Times New Roman"/>
                <w:sz w:val="24"/>
                <w:szCs w:val="24"/>
              </w:rPr>
              <w:t>rift</w:t>
            </w:r>
          </w:p>
        </w:tc>
      </w:tr>
      <w:tr w:rsidR="000C4890" w:rsidRPr="00B44D0D" w14:paraId="360675B6" w14:textId="77777777" w:rsidTr="007F5AE0">
        <w:trPr>
          <w:trHeight w:val="539"/>
        </w:trPr>
        <w:tc>
          <w:tcPr>
            <w:tcW w:w="2318" w:type="dxa"/>
          </w:tcPr>
          <w:p w14:paraId="567B6DE4"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4</w:t>
            </w:r>
          </w:p>
        </w:tc>
        <w:tc>
          <w:tcPr>
            <w:tcW w:w="2318" w:type="dxa"/>
          </w:tcPr>
          <w:p w14:paraId="58339CD7" w14:textId="2CF9827B"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Random walk with </w:t>
            </w:r>
            <w:r w:rsidR="00AF7FD4" w:rsidRPr="00B44D0D">
              <w:rPr>
                <w:rFonts w:ascii="Times New Roman" w:hAnsi="Times New Roman" w:cs="Times New Roman"/>
                <w:sz w:val="24"/>
                <w:szCs w:val="24"/>
              </w:rPr>
              <w:t>or without</w:t>
            </w:r>
            <w:r w:rsidRPr="00B44D0D">
              <w:rPr>
                <w:rFonts w:ascii="Times New Roman" w:hAnsi="Times New Roman" w:cs="Times New Roman"/>
                <w:sz w:val="24"/>
                <w:szCs w:val="24"/>
              </w:rPr>
              <w:t xml:space="preserve"> drift</w:t>
            </w:r>
          </w:p>
        </w:tc>
        <w:tc>
          <w:tcPr>
            <w:tcW w:w="2319" w:type="dxa"/>
          </w:tcPr>
          <w:p w14:paraId="4F14DC37"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              None</w:t>
            </w:r>
          </w:p>
        </w:tc>
        <w:tc>
          <w:tcPr>
            <w:tcW w:w="2319" w:type="dxa"/>
          </w:tcPr>
          <w:p w14:paraId="6E510A56" w14:textId="440520D9" w:rsidR="000C4890" w:rsidRPr="00B44D0D" w:rsidRDefault="00FF69EB" w:rsidP="00AF7FD4">
            <w:pPr>
              <w:keepNext/>
              <w:rPr>
                <w:rFonts w:ascii="Times New Roman" w:hAnsi="Times New Roman" w:cs="Times New Roman"/>
                <w:sz w:val="24"/>
                <w:szCs w:val="24"/>
              </w:rPr>
            </w:pPr>
            <w:r w:rsidRPr="00B44D0D">
              <w:rPr>
                <w:rFonts w:ascii="Times New Roman" w:hAnsi="Times New Roman" w:cs="Times New Roman"/>
                <w:sz w:val="24"/>
                <w:szCs w:val="24"/>
              </w:rPr>
              <w:t>T</w:t>
            </w:r>
            <w:r w:rsidR="000C4890" w:rsidRPr="00B44D0D">
              <w:rPr>
                <w:rFonts w:ascii="Times New Roman" w:hAnsi="Times New Roman" w:cs="Times New Roman"/>
                <w:sz w:val="24"/>
                <w:szCs w:val="24"/>
              </w:rPr>
              <w:t>rend</w:t>
            </w:r>
          </w:p>
        </w:tc>
      </w:tr>
    </w:tbl>
    <w:p w14:paraId="7322C473" w14:textId="48DA4CD4" w:rsidR="00E91B7D" w:rsidRDefault="00AF7FD4" w:rsidP="00AA77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1.3.1 </w:t>
      </w:r>
      <w:r w:rsidRPr="000C4890">
        <w:t>Augmented Dickey Fuller</w:t>
      </w:r>
      <w:r>
        <w:t xml:space="preserve"> cases</w:t>
      </w:r>
    </w:p>
    <w:p w14:paraId="65C68036" w14:textId="7DE5C77B" w:rsidR="000C4890" w:rsidRPr="00B44D0D"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Except in the third case, the t-statistic used to test H0: β = 0 does not have a standard distribution. Hamilton (1994, chap. 17) derives the limiting distributions, which are different for each of the three other cases. The critical values reported by </w:t>
      </w:r>
      <w:proofErr w:type="spellStart"/>
      <w:r w:rsidRPr="00B44D0D">
        <w:rPr>
          <w:rFonts w:ascii="Times New Roman" w:hAnsi="Times New Roman" w:cs="Times New Roman"/>
          <w:sz w:val="24"/>
          <w:szCs w:val="24"/>
        </w:rPr>
        <w:t>dfuller</w:t>
      </w:r>
      <w:proofErr w:type="spellEnd"/>
      <w:r w:rsidRPr="00B44D0D">
        <w:rPr>
          <w:rFonts w:ascii="Times New Roman" w:hAnsi="Times New Roman" w:cs="Times New Roman"/>
          <w:sz w:val="24"/>
          <w:szCs w:val="24"/>
        </w:rPr>
        <w:t xml:space="preserve"> are interpolated based on the tables in Fuller (1996). MacKinnon (1994) shows how to approximate the p-values on the basis of a regression surface, and </w:t>
      </w:r>
      <w:proofErr w:type="spellStart"/>
      <w:r w:rsidRPr="00B44D0D">
        <w:rPr>
          <w:rFonts w:ascii="Times New Roman" w:hAnsi="Times New Roman" w:cs="Times New Roman"/>
          <w:sz w:val="24"/>
          <w:szCs w:val="24"/>
        </w:rPr>
        <w:t>dfuller</w:t>
      </w:r>
      <w:proofErr w:type="spellEnd"/>
      <w:r w:rsidRPr="00B44D0D">
        <w:rPr>
          <w:rFonts w:ascii="Times New Roman" w:hAnsi="Times New Roman" w:cs="Times New Roman"/>
          <w:sz w:val="24"/>
          <w:szCs w:val="24"/>
        </w:rPr>
        <w:t xml:space="preserve"> also reports that p-value. In the third case, where the regression includes a constant term and under the null hypothesis the series has a nonzero drift parameter α, the t statistic has the usual t distribution; </w:t>
      </w:r>
      <w:proofErr w:type="spellStart"/>
      <w:r w:rsidRPr="00B44D0D">
        <w:rPr>
          <w:rFonts w:ascii="Times New Roman" w:hAnsi="Times New Roman" w:cs="Times New Roman"/>
          <w:sz w:val="24"/>
          <w:szCs w:val="24"/>
        </w:rPr>
        <w:t>dfuller</w:t>
      </w:r>
      <w:proofErr w:type="spellEnd"/>
      <w:r w:rsidRPr="00B44D0D">
        <w:rPr>
          <w:rFonts w:ascii="Times New Roman" w:hAnsi="Times New Roman" w:cs="Times New Roman"/>
          <w:sz w:val="24"/>
          <w:szCs w:val="24"/>
        </w:rPr>
        <w:t xml:space="preserve"> reports the one-sided critical values and p-value for the test of H0 against the alternative Ha: β &lt; 0, which is equivalent to ρ &lt; 1.</w:t>
      </w:r>
    </w:p>
    <w:p w14:paraId="0B318624" w14:textId="73A425E3" w:rsidR="000C4890"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Deciding which case to use involves a combination of theory and visual inspection of the data. If economic theory </w:t>
      </w:r>
      <w:r w:rsidR="00E91B7D" w:rsidRPr="00B44D0D">
        <w:rPr>
          <w:rFonts w:ascii="Times New Roman" w:hAnsi="Times New Roman" w:cs="Times New Roman"/>
          <w:sz w:val="24"/>
          <w:szCs w:val="24"/>
        </w:rPr>
        <w:t>favours</w:t>
      </w:r>
      <w:r w:rsidRPr="00B44D0D">
        <w:rPr>
          <w:rFonts w:ascii="Times New Roman" w:hAnsi="Times New Roman" w:cs="Times New Roman"/>
          <w:sz w:val="24"/>
          <w:szCs w:val="24"/>
        </w:rPr>
        <w:t xml:space="preserve"> a particular null hypothesis, the appropriate case can be chosen </w:t>
      </w:r>
      <w:r w:rsidRPr="00B44D0D">
        <w:rPr>
          <w:rFonts w:ascii="Times New Roman" w:hAnsi="Times New Roman" w:cs="Times New Roman"/>
          <w:sz w:val="24"/>
          <w:szCs w:val="24"/>
        </w:rPr>
        <w:lastRenderedPageBreak/>
        <w:t>based on that. If a graph of the data shows an upward trend over time, then case four may be preferred. If the data do not show a trend but do have a nonzero mean, then case two would be a valid alternative.</w:t>
      </w:r>
    </w:p>
    <w:p w14:paraId="05F3C37C" w14:textId="3D197BEC" w:rsidR="000C4890" w:rsidRPr="004A2492" w:rsidRDefault="006C6F9C" w:rsidP="006672DE">
      <w:pPr>
        <w:pStyle w:val="Heading3"/>
      </w:pPr>
      <w:bookmarkStart w:id="40" w:name="_Toc90499939"/>
      <w:r w:rsidRPr="004A2492">
        <w:t>1.</w:t>
      </w:r>
      <w:r w:rsidR="00E62031" w:rsidRPr="004A2492">
        <w:t>3.</w:t>
      </w:r>
      <w:r w:rsidR="006672DE" w:rsidRPr="004A2492">
        <w:t>2.2</w:t>
      </w:r>
      <w:r w:rsidR="00E62031" w:rsidRPr="004A2492">
        <w:t xml:space="preserve"> Phillips</w:t>
      </w:r>
      <w:r w:rsidR="000C4890" w:rsidRPr="004A2492">
        <w:t>- Perron unit root test</w:t>
      </w:r>
      <w:bookmarkEnd w:id="40"/>
    </w:p>
    <w:p w14:paraId="61B42890" w14:textId="0E197A69" w:rsidR="006C6F9C" w:rsidRPr="00B06DC4" w:rsidRDefault="0099454F" w:rsidP="0099454F">
      <w:pPr>
        <w:spacing w:line="360" w:lineRule="auto"/>
      </w:pPr>
      <w:r w:rsidRPr="00B06DC4">
        <w:rPr>
          <w:rFonts w:ascii="Times New Roman" w:hAnsi="Times New Roman" w:cs="Times New Roman"/>
          <w:sz w:val="24"/>
          <w:szCs w:val="24"/>
        </w:rPr>
        <w:t>Phillips and Perron (1988) developed a number of unit root tests that have become popular in the analysis of financial time series. The Phillips-Perron (PP) unit root tests differ from the ADF tests mainly in how they deal with serial correlation and heteroskedasticity in the errors. In particular, where the ADF tests use a parametric autoregression to approximate the ARMA structure of the errors in the test regression, the PP tests ignore any serial correlation in the test regression. The test regression for the PP tests is</w:t>
      </w:r>
    </w:p>
    <w:p w14:paraId="739F2C8F" w14:textId="20AB42BE" w:rsidR="000C4890" w:rsidRPr="0099454F" w:rsidRDefault="002C15FD" w:rsidP="000C4890">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α+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m:oMathPara>
    </w:p>
    <w:p w14:paraId="652C3CC0" w14:textId="0BA52524" w:rsidR="0099454F" w:rsidRPr="00EF3FAD" w:rsidRDefault="0099454F" w:rsidP="00EF3FAD">
      <w:pPr>
        <w:spacing w:line="360" w:lineRule="auto"/>
        <w:jc w:val="both"/>
        <w:rPr>
          <w:rFonts w:ascii="Times New Roman" w:hAnsi="Times New Roman" w:cs="Times New Roman"/>
          <w:sz w:val="20"/>
          <w:szCs w:val="20"/>
        </w:rPr>
      </w:pPr>
      <w:r w:rsidRPr="00EF3FAD">
        <w:rPr>
          <w:rFonts w:ascii="Times New Roman" w:eastAsiaTheme="minorEastAsia" w:hAnsi="Times New Roman" w:cs="Times New Roman"/>
          <w:sz w:val="20"/>
          <w:szCs w:val="20"/>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EF3FAD">
        <w:rPr>
          <w:rFonts w:ascii="Times New Roman" w:eastAsiaTheme="minorEastAsia" w:hAnsi="Times New Roman" w:cs="Times New Roman"/>
          <w:sz w:val="20"/>
          <w:szCs w:val="20"/>
        </w:rPr>
        <w:t xml:space="preserve"> is the lag difference</w:t>
      </w:r>
      <w:r w:rsidR="00EF3FAD" w:rsidRPr="00EF3FAD">
        <w:rPr>
          <w:rFonts w:ascii="Times New Roman" w:eastAsiaTheme="minorEastAsia" w:hAnsi="Times New Roman" w:cs="Times New Roman"/>
          <w:sz w:val="20"/>
          <w:szCs w:val="20"/>
        </w:rPr>
        <w:t xml:space="preserve"> of time series</w:t>
      </w:r>
      <w:r w:rsidR="00FA55AA" w:rsidRPr="00EF3FAD">
        <w:rPr>
          <w:rFonts w:ascii="Times New Roman" w:eastAsiaTheme="minorEastAsia" w:hAnsi="Times New Roman" w:cs="Times New Roman"/>
          <w:sz w:val="20"/>
          <w:szCs w:val="20"/>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w:r w:rsidR="00FA55AA" w:rsidRPr="00EF3FAD">
        <w:rPr>
          <w:rFonts w:ascii="Times New Roman" w:hAnsi="Times New Roman" w:cs="Times New Roman"/>
          <w:sz w:val="20"/>
          <w:szCs w:val="20"/>
        </w:rPr>
        <w:t>is an independently and identically distributed zero-mean error term</w:t>
      </w:r>
      <w:r w:rsidR="00EF3FAD" w:rsidRPr="00EF3FAD">
        <w:rPr>
          <w:rFonts w:ascii="Times New Roman" w:hAnsi="Times New Roman" w:cs="Times New Roman"/>
          <w:sz w:val="20"/>
          <w:szCs w:val="20"/>
        </w:rPr>
        <w:t xml:space="preserve"> and the null hypothesis is that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m:t>
            </m:r>
          </m:sub>
        </m:sSub>
        <m:r>
          <w:rPr>
            <w:rFonts w:ascii="Cambria Math" w:hAnsi="Cambria Math" w:cs="Times New Roman"/>
            <w:sz w:val="20"/>
            <w:szCs w:val="20"/>
          </w:rPr>
          <m:t xml:space="preserve"> </m:t>
        </m:r>
      </m:oMath>
      <w:r w:rsidR="00EF3FAD" w:rsidRPr="00EF3FAD">
        <w:rPr>
          <w:rFonts w:ascii="Times New Roman" w:hAnsi="Times New Roman" w:cs="Times New Roman"/>
          <w:sz w:val="20"/>
          <w:szCs w:val="20"/>
        </w:rPr>
        <w:t>follows a unit root with or without drift so that α is unrestricted, and we include a time trend in the regression.</w:t>
      </w:r>
    </w:p>
    <w:p w14:paraId="2EE03410" w14:textId="131FCCC8" w:rsidR="000C4890" w:rsidRPr="00B06DC4" w:rsidRDefault="000C4890" w:rsidP="00AA7711">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by ordinary least squares (OLS), but serial correlation will present a problem. To account for this, the augmented Dickey–Fuller test’s regression includes lags of the first differences of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The Phillips–Perron test involves fitting </w:t>
      </w:r>
      <w:r w:rsidR="001050FB">
        <w:rPr>
          <w:rFonts w:ascii="Times New Roman" w:hAnsi="Times New Roman" w:cs="Times New Roman"/>
          <w:sz w:val="24"/>
          <w:szCs w:val="24"/>
        </w:rPr>
        <w:t>in case 1</w:t>
      </w:r>
      <w:r w:rsidRPr="00B44D0D">
        <w:rPr>
          <w:rFonts w:ascii="Times New Roman" w:hAnsi="Times New Roman" w:cs="Times New Roman"/>
          <w:sz w:val="24"/>
          <w:szCs w:val="24"/>
        </w:rPr>
        <w:t xml:space="preserve">, and the results are used to calculate the test statistics. Phillips and Perron (1988) proposed two alternative statistics, which </w:t>
      </w:r>
      <w:proofErr w:type="spellStart"/>
      <w:r w:rsidRPr="00B44D0D">
        <w:rPr>
          <w:rFonts w:ascii="Times New Roman" w:hAnsi="Times New Roman" w:cs="Times New Roman"/>
          <w:sz w:val="24"/>
          <w:szCs w:val="24"/>
        </w:rPr>
        <w:t>pperron</w:t>
      </w:r>
      <w:proofErr w:type="spellEnd"/>
      <w:r w:rsidRPr="00B44D0D">
        <w:rPr>
          <w:rFonts w:ascii="Times New Roman" w:hAnsi="Times New Roman" w:cs="Times New Roman"/>
          <w:sz w:val="24"/>
          <w:szCs w:val="24"/>
        </w:rPr>
        <w:t xml:space="preserve"> presents. Phillips and Perron’s test statistics can be viewed as Dickey–Fuller statistics that have been made robust to serial correlation by using the Newey–West (1987) heteroskedasticity- </w:t>
      </w:r>
      <w:r w:rsidRPr="00B06DC4">
        <w:rPr>
          <w:rFonts w:ascii="Times New Roman" w:hAnsi="Times New Roman" w:cs="Times New Roman"/>
          <w:sz w:val="24"/>
          <w:szCs w:val="24"/>
        </w:rPr>
        <w:t>and autocorrelation-consistent covariance matrix estimator.</w:t>
      </w:r>
    </w:p>
    <w:p w14:paraId="6A3A0C7F" w14:textId="48E1229A" w:rsidR="000C4890" w:rsidRPr="00B44D0D" w:rsidRDefault="000C4890" w:rsidP="00E91B7D">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Hamilton (1994, chap. 17) and</w:t>
      </w:r>
      <w:r w:rsidR="001050FB" w:rsidRPr="00B06DC4">
        <w:rPr>
          <w:rFonts w:ascii="Times New Roman" w:hAnsi="Times New Roman" w:cs="Times New Roman"/>
          <w:sz w:val="24"/>
          <w:szCs w:val="24"/>
        </w:rPr>
        <w:t xml:space="preserve"> Taylor (1994)</w:t>
      </w:r>
      <w:r w:rsidRPr="00B06DC4">
        <w:rPr>
          <w:rFonts w:ascii="Times New Roman" w:hAnsi="Times New Roman" w:cs="Times New Roman"/>
          <w:sz w:val="24"/>
          <w:szCs w:val="24"/>
        </w:rPr>
        <w:t xml:space="preserve"> discuss four different cases into which unit-root tests can be classified. The Phillips–Perron test applies to cases one, two, and four but not to case three. Cases one and two assume that the variable has a unit root without drift under</w:t>
      </w:r>
      <w:r w:rsidRPr="00B44D0D">
        <w:rPr>
          <w:rFonts w:ascii="Times New Roman" w:hAnsi="Times New Roman" w:cs="Times New Roman"/>
          <w:sz w:val="24"/>
          <w:szCs w:val="24"/>
        </w:rPr>
        <w:t xml:space="preserve"> the null hypothesis, the only difference being whether the constant term α is included in </w:t>
      </w:r>
      <w:r w:rsidR="00814FD0" w:rsidRPr="00B44D0D">
        <w:rPr>
          <w:rFonts w:ascii="Times New Roman" w:hAnsi="Times New Roman" w:cs="Times New Roman"/>
          <w:sz w:val="24"/>
          <w:szCs w:val="24"/>
        </w:rPr>
        <w:t>regression.</w:t>
      </w:r>
      <w:r w:rsidRPr="00B44D0D">
        <w:rPr>
          <w:rFonts w:ascii="Times New Roman" w:hAnsi="Times New Roman" w:cs="Times New Roman"/>
          <w:sz w:val="24"/>
          <w:szCs w:val="24"/>
        </w:rPr>
        <w:t xml:space="preserve"> Case four assumes that the variable has a random walk, with or without drift, under the null hypothesis. Case three, which assumes that the variable has a random walk with drift under the null hypothesis, is just a special case of case four, so the fact that the Phillips–Perron test does not apply is not restrictive.</w:t>
      </w:r>
    </w:p>
    <w:p w14:paraId="4FFE574D" w14:textId="77777777" w:rsidR="000C4890" w:rsidRPr="00B44D0D" w:rsidRDefault="000C4890" w:rsidP="00E91B7D">
      <w:pPr>
        <w:spacing w:line="360" w:lineRule="auto"/>
        <w:rPr>
          <w:rFonts w:ascii="Times New Roman" w:hAnsi="Times New Roman" w:cs="Times New Roman"/>
          <w:sz w:val="24"/>
          <w:szCs w:val="24"/>
        </w:rPr>
      </w:pPr>
      <w:r w:rsidRPr="00B44D0D">
        <w:rPr>
          <w:rFonts w:ascii="Times New Roman" w:hAnsi="Times New Roman" w:cs="Times New Roman"/>
          <w:sz w:val="24"/>
          <w:szCs w:val="24"/>
        </w:rPr>
        <w:t>The table below summarizes the relevant cases:</w:t>
      </w:r>
    </w:p>
    <w:p w14:paraId="70B47760" w14:textId="7F625367" w:rsidR="00AF7FD4" w:rsidRPr="00AF7FD4" w:rsidRDefault="00AF7FD4" w:rsidP="00AF7FD4">
      <w:pPr>
        <w:pStyle w:val="Caption"/>
        <w:keepNext/>
        <w:rPr>
          <w:rFonts w:ascii="Times New Roman" w:hAnsi="Times New Roman" w:cs="Times New Roman"/>
          <w:color w:val="auto"/>
          <w:sz w:val="24"/>
          <w:szCs w:val="24"/>
        </w:rPr>
      </w:pPr>
      <w:bookmarkStart w:id="41" w:name="_Toc78502184"/>
      <w:bookmarkStart w:id="42" w:name="_Toc78502288"/>
      <w:r w:rsidRPr="00AF7FD4">
        <w:rPr>
          <w:rFonts w:ascii="Times New Roman" w:hAnsi="Times New Roman" w:cs="Times New Roman"/>
          <w:color w:val="auto"/>
          <w:sz w:val="24"/>
          <w:szCs w:val="24"/>
        </w:rPr>
        <w:lastRenderedPageBreak/>
        <w:t>Table 1.3.</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2</w:t>
      </w:r>
      <w:r w:rsidR="00EF0502">
        <w:rPr>
          <w:rFonts w:ascii="Times New Roman" w:hAnsi="Times New Roman" w:cs="Times New Roman"/>
          <w:color w:val="auto"/>
          <w:sz w:val="24"/>
          <w:szCs w:val="24"/>
        </w:rPr>
        <w:fldChar w:fldCharType="end"/>
      </w:r>
      <w:r w:rsidRPr="00AF7FD4">
        <w:rPr>
          <w:rFonts w:ascii="Times New Roman" w:hAnsi="Times New Roman" w:cs="Times New Roman"/>
          <w:color w:val="auto"/>
          <w:sz w:val="24"/>
          <w:szCs w:val="24"/>
        </w:rPr>
        <w:t xml:space="preserve"> Phillips Perron cases</w:t>
      </w:r>
      <w:bookmarkEnd w:id="41"/>
      <w:bookmarkEnd w:id="42"/>
    </w:p>
    <w:tbl>
      <w:tblPr>
        <w:tblStyle w:val="TableGrid"/>
        <w:tblW w:w="9274" w:type="dxa"/>
        <w:tblLook w:val="04A0" w:firstRow="1" w:lastRow="0" w:firstColumn="1" w:lastColumn="0" w:noHBand="0" w:noVBand="1"/>
      </w:tblPr>
      <w:tblGrid>
        <w:gridCol w:w="2318"/>
        <w:gridCol w:w="2318"/>
        <w:gridCol w:w="2319"/>
        <w:gridCol w:w="2319"/>
      </w:tblGrid>
      <w:tr w:rsidR="000C4890" w:rsidRPr="00B44D0D" w14:paraId="5498A076" w14:textId="77777777" w:rsidTr="007F5AE0">
        <w:trPr>
          <w:trHeight w:val="522"/>
        </w:trPr>
        <w:tc>
          <w:tcPr>
            <w:tcW w:w="2318" w:type="dxa"/>
          </w:tcPr>
          <w:p w14:paraId="10B29736"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Case</w:t>
            </w:r>
          </w:p>
        </w:tc>
        <w:tc>
          <w:tcPr>
            <w:tcW w:w="2318" w:type="dxa"/>
          </w:tcPr>
          <w:p w14:paraId="2E5FA618"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Process under null</w:t>
            </w:r>
          </w:p>
          <w:p w14:paraId="2673B864" w14:textId="2561AE0D" w:rsidR="000C4890" w:rsidRPr="00B44D0D" w:rsidRDefault="002149D9" w:rsidP="007F5AE0">
            <w:pPr>
              <w:rPr>
                <w:rFonts w:ascii="Times New Roman" w:hAnsi="Times New Roman" w:cs="Times New Roman"/>
                <w:sz w:val="24"/>
                <w:szCs w:val="24"/>
              </w:rPr>
            </w:pPr>
            <w:r w:rsidRPr="00B44D0D">
              <w:rPr>
                <w:rFonts w:ascii="Times New Roman" w:hAnsi="Times New Roman" w:cs="Times New Roman"/>
                <w:sz w:val="24"/>
                <w:szCs w:val="24"/>
              </w:rPr>
              <w:t>H</w:t>
            </w:r>
            <w:r w:rsidR="000C4890" w:rsidRPr="00B44D0D">
              <w:rPr>
                <w:rFonts w:ascii="Times New Roman" w:hAnsi="Times New Roman" w:cs="Times New Roman"/>
                <w:sz w:val="24"/>
                <w:szCs w:val="24"/>
              </w:rPr>
              <w:t>ypothesis</w:t>
            </w:r>
          </w:p>
        </w:tc>
        <w:tc>
          <w:tcPr>
            <w:tcW w:w="2319" w:type="dxa"/>
          </w:tcPr>
          <w:p w14:paraId="4075ADB8"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Regression</w:t>
            </w:r>
          </w:p>
          <w:p w14:paraId="7D963A11" w14:textId="0394539F" w:rsidR="000C4890" w:rsidRPr="00B44D0D" w:rsidRDefault="00BA27A7" w:rsidP="007F5AE0">
            <w:pPr>
              <w:rPr>
                <w:rFonts w:ascii="Times New Roman" w:hAnsi="Times New Roman" w:cs="Times New Roman"/>
                <w:sz w:val="24"/>
                <w:szCs w:val="24"/>
              </w:rPr>
            </w:pPr>
            <w:r w:rsidRPr="00B44D0D">
              <w:rPr>
                <w:rFonts w:ascii="Times New Roman" w:hAnsi="Times New Roman" w:cs="Times New Roman"/>
                <w:sz w:val="24"/>
                <w:szCs w:val="24"/>
              </w:rPr>
              <w:t>R</w:t>
            </w:r>
            <w:r w:rsidR="000C4890" w:rsidRPr="00B44D0D">
              <w:rPr>
                <w:rFonts w:ascii="Times New Roman" w:hAnsi="Times New Roman" w:cs="Times New Roman"/>
                <w:sz w:val="24"/>
                <w:szCs w:val="24"/>
              </w:rPr>
              <w:t>estrictions</w:t>
            </w:r>
          </w:p>
        </w:tc>
        <w:tc>
          <w:tcPr>
            <w:tcW w:w="2319" w:type="dxa"/>
          </w:tcPr>
          <w:p w14:paraId="073E904C" w14:textId="77777777" w:rsidR="000C4890" w:rsidRPr="00B44D0D" w:rsidRDefault="000C4890" w:rsidP="007F5AE0">
            <w:pPr>
              <w:rPr>
                <w:rFonts w:ascii="Times New Roman" w:hAnsi="Times New Roman" w:cs="Times New Roman"/>
                <w:sz w:val="24"/>
                <w:szCs w:val="24"/>
              </w:rPr>
            </w:pPr>
            <w:proofErr w:type="spellStart"/>
            <w:r w:rsidRPr="00B44D0D">
              <w:rPr>
                <w:rFonts w:ascii="Times New Roman" w:hAnsi="Times New Roman" w:cs="Times New Roman"/>
                <w:sz w:val="24"/>
                <w:szCs w:val="24"/>
              </w:rPr>
              <w:t>dfuller</w:t>
            </w:r>
            <w:proofErr w:type="spellEnd"/>
            <w:r w:rsidRPr="00B44D0D">
              <w:rPr>
                <w:rFonts w:ascii="Times New Roman" w:hAnsi="Times New Roman" w:cs="Times New Roman"/>
                <w:sz w:val="24"/>
                <w:szCs w:val="24"/>
              </w:rPr>
              <w:t xml:space="preserve"> </w:t>
            </w:r>
          </w:p>
          <w:p w14:paraId="0632594D"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Options</w:t>
            </w:r>
          </w:p>
        </w:tc>
      </w:tr>
      <w:tr w:rsidR="000C4890" w:rsidRPr="00B44D0D" w14:paraId="5A07BCD8" w14:textId="77777777" w:rsidTr="007F5AE0">
        <w:trPr>
          <w:trHeight w:val="539"/>
        </w:trPr>
        <w:tc>
          <w:tcPr>
            <w:tcW w:w="2318" w:type="dxa"/>
          </w:tcPr>
          <w:p w14:paraId="7E509F43"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1</w:t>
            </w:r>
          </w:p>
        </w:tc>
        <w:tc>
          <w:tcPr>
            <w:tcW w:w="2318" w:type="dxa"/>
          </w:tcPr>
          <w:p w14:paraId="75FAC9B8"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Random walk without drift</w:t>
            </w:r>
          </w:p>
        </w:tc>
        <w:tc>
          <w:tcPr>
            <w:tcW w:w="2319" w:type="dxa"/>
          </w:tcPr>
          <w:p w14:paraId="311985C4"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 </w:t>
            </w:r>
            <m:oMath>
              <m:r>
                <w:rPr>
                  <w:rFonts w:ascii="Cambria Math" w:hAnsi="Cambria Math" w:cs="Times New Roman"/>
                  <w:sz w:val="24"/>
                  <w:szCs w:val="24"/>
                </w:rPr>
                <m:t>α=0, δ=0</m:t>
              </m:r>
            </m:oMath>
          </w:p>
        </w:tc>
        <w:tc>
          <w:tcPr>
            <w:tcW w:w="2319" w:type="dxa"/>
          </w:tcPr>
          <w:p w14:paraId="3B2D75AA"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Non constant</w:t>
            </w:r>
          </w:p>
        </w:tc>
      </w:tr>
      <w:tr w:rsidR="000C4890" w:rsidRPr="00B44D0D" w14:paraId="2919494F" w14:textId="77777777" w:rsidTr="007F5AE0">
        <w:trPr>
          <w:trHeight w:val="539"/>
        </w:trPr>
        <w:tc>
          <w:tcPr>
            <w:tcW w:w="2318" w:type="dxa"/>
          </w:tcPr>
          <w:p w14:paraId="75E48C3F"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2</w:t>
            </w:r>
          </w:p>
        </w:tc>
        <w:tc>
          <w:tcPr>
            <w:tcW w:w="2318" w:type="dxa"/>
          </w:tcPr>
          <w:p w14:paraId="5BE54EA9"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Random walk without drift</w:t>
            </w:r>
          </w:p>
        </w:tc>
        <w:tc>
          <w:tcPr>
            <w:tcW w:w="2319" w:type="dxa"/>
          </w:tcPr>
          <w:p w14:paraId="07079A51" w14:textId="77777777" w:rsidR="000C4890" w:rsidRPr="00B44D0D" w:rsidRDefault="000C4890" w:rsidP="007F5AE0">
            <w:pPr>
              <w:rPr>
                <w:rFonts w:ascii="Times New Roman" w:hAnsi="Times New Roman" w:cs="Times New Roman"/>
                <w:sz w:val="24"/>
                <w:szCs w:val="24"/>
              </w:rPr>
            </w:pPr>
            <m:oMathPara>
              <m:oMath>
                <m:r>
                  <w:rPr>
                    <w:rFonts w:ascii="Cambria Math" w:hAnsi="Cambria Math" w:cs="Times New Roman"/>
                    <w:sz w:val="24"/>
                    <w:szCs w:val="24"/>
                  </w:rPr>
                  <m:t xml:space="preserve"> δ=0</m:t>
                </m:r>
              </m:oMath>
            </m:oMathPara>
          </w:p>
        </w:tc>
        <w:tc>
          <w:tcPr>
            <w:tcW w:w="2319" w:type="dxa"/>
          </w:tcPr>
          <w:p w14:paraId="49B7BEA3" w14:textId="18FC78EB" w:rsidR="000C4890" w:rsidRPr="00B44D0D" w:rsidRDefault="00426109" w:rsidP="007F5AE0">
            <w:pPr>
              <w:rPr>
                <w:rFonts w:ascii="Times New Roman" w:hAnsi="Times New Roman" w:cs="Times New Roman"/>
                <w:sz w:val="24"/>
                <w:szCs w:val="24"/>
              </w:rPr>
            </w:pPr>
            <w:r w:rsidRPr="00B44D0D">
              <w:rPr>
                <w:rFonts w:ascii="Times New Roman" w:hAnsi="Times New Roman" w:cs="Times New Roman"/>
                <w:sz w:val="24"/>
                <w:szCs w:val="24"/>
              </w:rPr>
              <w:t>default</w:t>
            </w:r>
          </w:p>
        </w:tc>
      </w:tr>
      <w:tr w:rsidR="000C4890" w:rsidRPr="00B44D0D" w14:paraId="47E998A5" w14:textId="77777777" w:rsidTr="007F5AE0">
        <w:trPr>
          <w:trHeight w:val="539"/>
        </w:trPr>
        <w:tc>
          <w:tcPr>
            <w:tcW w:w="2318" w:type="dxa"/>
          </w:tcPr>
          <w:p w14:paraId="4A1E2A39"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4</w:t>
            </w:r>
          </w:p>
        </w:tc>
        <w:tc>
          <w:tcPr>
            <w:tcW w:w="2318" w:type="dxa"/>
          </w:tcPr>
          <w:p w14:paraId="0246B456" w14:textId="2B3A6153"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Random walk with </w:t>
            </w:r>
            <w:r w:rsidR="00AF7FD4" w:rsidRPr="00B44D0D">
              <w:rPr>
                <w:rFonts w:ascii="Times New Roman" w:hAnsi="Times New Roman" w:cs="Times New Roman"/>
                <w:sz w:val="24"/>
                <w:szCs w:val="24"/>
              </w:rPr>
              <w:t>or without</w:t>
            </w:r>
            <w:r w:rsidRPr="00B44D0D">
              <w:rPr>
                <w:rFonts w:ascii="Times New Roman" w:hAnsi="Times New Roman" w:cs="Times New Roman"/>
                <w:sz w:val="24"/>
                <w:szCs w:val="24"/>
              </w:rPr>
              <w:t xml:space="preserve"> drift</w:t>
            </w:r>
          </w:p>
        </w:tc>
        <w:tc>
          <w:tcPr>
            <w:tcW w:w="2319" w:type="dxa"/>
          </w:tcPr>
          <w:p w14:paraId="6D8102BC" w14:textId="77777777" w:rsidR="000C4890" w:rsidRPr="00B44D0D" w:rsidRDefault="000C4890" w:rsidP="007F5AE0">
            <w:pPr>
              <w:rPr>
                <w:rFonts w:ascii="Times New Roman" w:hAnsi="Times New Roman" w:cs="Times New Roman"/>
                <w:sz w:val="24"/>
                <w:szCs w:val="24"/>
              </w:rPr>
            </w:pPr>
            <w:r w:rsidRPr="00B44D0D">
              <w:rPr>
                <w:rFonts w:ascii="Times New Roman" w:hAnsi="Times New Roman" w:cs="Times New Roman"/>
                <w:sz w:val="24"/>
                <w:szCs w:val="24"/>
              </w:rPr>
              <w:t xml:space="preserve">              None</w:t>
            </w:r>
          </w:p>
        </w:tc>
        <w:tc>
          <w:tcPr>
            <w:tcW w:w="2319" w:type="dxa"/>
          </w:tcPr>
          <w:p w14:paraId="0952C8AF" w14:textId="463C09AB" w:rsidR="000C4890" w:rsidRPr="00B44D0D" w:rsidRDefault="00FF69EB" w:rsidP="007F5AE0">
            <w:pPr>
              <w:rPr>
                <w:rFonts w:ascii="Times New Roman" w:hAnsi="Times New Roman" w:cs="Times New Roman"/>
                <w:sz w:val="24"/>
                <w:szCs w:val="24"/>
              </w:rPr>
            </w:pPr>
            <w:r w:rsidRPr="00B44D0D">
              <w:rPr>
                <w:rFonts w:ascii="Times New Roman" w:hAnsi="Times New Roman" w:cs="Times New Roman"/>
                <w:sz w:val="24"/>
                <w:szCs w:val="24"/>
              </w:rPr>
              <w:t>T</w:t>
            </w:r>
            <w:r w:rsidR="000C4890" w:rsidRPr="00B44D0D">
              <w:rPr>
                <w:rFonts w:ascii="Times New Roman" w:hAnsi="Times New Roman" w:cs="Times New Roman"/>
                <w:sz w:val="24"/>
                <w:szCs w:val="24"/>
              </w:rPr>
              <w:t>rend</w:t>
            </w:r>
          </w:p>
        </w:tc>
      </w:tr>
    </w:tbl>
    <w:p w14:paraId="6791DF2F" w14:textId="77777777" w:rsidR="000C4890" w:rsidRPr="00B44D0D" w:rsidRDefault="000C4890" w:rsidP="000C4890">
      <w:pPr>
        <w:rPr>
          <w:rFonts w:ascii="Times New Roman" w:hAnsi="Times New Roman" w:cs="Times New Roman"/>
          <w:sz w:val="24"/>
          <w:szCs w:val="24"/>
        </w:rPr>
      </w:pPr>
    </w:p>
    <w:p w14:paraId="622C07D5" w14:textId="77777777" w:rsidR="000C4890" w:rsidRDefault="000C4890" w:rsidP="00E91B7D">
      <w:pPr>
        <w:spacing w:line="360" w:lineRule="auto"/>
        <w:rPr>
          <w:rFonts w:ascii="Times New Roman" w:hAnsi="Times New Roman" w:cs="Times New Roman"/>
          <w:sz w:val="24"/>
          <w:szCs w:val="24"/>
        </w:rPr>
      </w:pPr>
      <w:r w:rsidRPr="00B44D0D">
        <w:rPr>
          <w:rFonts w:ascii="Times New Roman" w:hAnsi="Times New Roman" w:cs="Times New Roman"/>
          <w:sz w:val="24"/>
          <w:szCs w:val="24"/>
        </w:rPr>
        <w:t>The critical values for the Phillips–Perron test are the same as those for the augmented Dickey–Fuller test. See Hamilton (1994, chap. 17) for more information.</w:t>
      </w:r>
    </w:p>
    <w:p w14:paraId="3A4A23D6" w14:textId="574A7DAB" w:rsidR="000C4890" w:rsidRPr="00B44D0D" w:rsidRDefault="006C6F9C" w:rsidP="00E91B7D">
      <w:pPr>
        <w:pStyle w:val="Heading2"/>
      </w:pPr>
      <w:bookmarkStart w:id="43" w:name="_Toc90499940"/>
      <w:r>
        <w:t>1.</w:t>
      </w:r>
      <w:r w:rsidR="00E62031">
        <w:t xml:space="preserve">3.5 </w:t>
      </w:r>
      <w:r w:rsidR="000C4890" w:rsidRPr="00B44D0D">
        <w:t>Autocorrelation and Partial Autocorrelation Functions (ACF and PACF)</w:t>
      </w:r>
      <w:bookmarkEnd w:id="43"/>
    </w:p>
    <w:p w14:paraId="494D8C8D" w14:textId="2EB2FC04"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To determine a proper model for a given time series data, it is necessary to carry out the ACF and PACF analysis. These statistical measures reflect how the observations in a time series are related to each other. For </w:t>
      </w:r>
      <w:r w:rsidR="00E91B7D" w:rsidRPr="00B44D0D">
        <w:rPr>
          <w:rFonts w:ascii="Times New Roman" w:hAnsi="Times New Roman"/>
          <w:sz w:val="24"/>
          <w:szCs w:val="24"/>
        </w:rPr>
        <w:t>modelling</w:t>
      </w:r>
      <w:r w:rsidRPr="00B44D0D">
        <w:rPr>
          <w:rFonts w:ascii="Times New Roman" w:hAnsi="Times New Roman"/>
          <w:sz w:val="24"/>
          <w:szCs w:val="24"/>
        </w:rPr>
        <w:t xml:space="preserve"> and forecasting purpose it is often useful to plot the ACF and PACF against consecutive time lags. These plots help in determining the order of AR and MA terms. Below we give their mathematical definitions: </w:t>
      </w:r>
    </w:p>
    <w:p w14:paraId="3F15E5D3" w14:textId="2426F727"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For a </w:t>
      </w:r>
      <w:r w:rsidR="00E91B7D" w:rsidRPr="00B44D0D">
        <w:rPr>
          <w:rFonts w:ascii="Times New Roman" w:hAnsi="Times New Roman"/>
          <w:sz w:val="24"/>
          <w:szCs w:val="24"/>
        </w:rPr>
        <w:t>time,</w:t>
      </w:r>
      <w:r w:rsidRPr="00B44D0D">
        <w:rPr>
          <w:rFonts w:ascii="Times New Roman" w:hAnsi="Times New Roman"/>
          <w:sz w:val="24"/>
          <w:szCs w:val="24"/>
        </w:rPr>
        <w:t xml:space="preserve"> series </w:t>
      </w:r>
      <m:oMath>
        <m:d>
          <m:dPr>
            <m:begChr m:val="{"/>
            <m:endChr m:val="}"/>
            <m:ctrlPr>
              <w:rPr>
                <w:rFonts w:ascii="Cambria Math" w:hAnsi="Cambria Math"/>
                <w:i/>
                <w:sz w:val="24"/>
                <w:szCs w:val="24"/>
              </w:rPr>
            </m:ctrlPr>
          </m:dPr>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t=0,1,2,……..</m:t>
            </m:r>
          </m:e>
        </m:d>
      </m:oMath>
      <w:r w:rsidRPr="00B44D0D">
        <w:rPr>
          <w:rFonts w:ascii="Times New Roman" w:hAnsi="Times New Roman"/>
          <w:sz w:val="24"/>
          <w:szCs w:val="24"/>
        </w:rPr>
        <w:t xml:space="preserve"> the Autocovariance at lag k is defined as: </w:t>
      </w:r>
    </w:p>
    <w:p w14:paraId="461E9902" w14:textId="77777777" w:rsidR="000C4890" w:rsidRPr="00B44D0D" w:rsidRDefault="002C15FD" w:rsidP="000C4890">
      <w:pPr>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k</m:t>
              </m:r>
            </m:sub>
          </m:sSub>
          <m:r>
            <w:rPr>
              <w:rFonts w:ascii="Cambria Math" w:hAnsi="Cambria Math"/>
              <w:sz w:val="24"/>
              <w:szCs w:val="24"/>
            </w:rPr>
            <m:t>=Cov</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t+k</m:t>
                  </m:r>
                </m:sub>
              </m:sSub>
            </m:e>
          </m:d>
          <m:r>
            <w:rPr>
              <w:rFonts w:ascii="Cambria Math" w:hAnsi="Cambria Math"/>
              <w:sz w:val="24"/>
              <w:szCs w:val="24"/>
            </w:rPr>
            <m:t>=E[</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-μ</m:t>
              </m:r>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t+k</m:t>
                  </m:r>
                </m:sub>
              </m:sSub>
              <m:r>
                <w:rPr>
                  <w:rFonts w:ascii="Cambria Math" w:hAnsi="Cambria Math"/>
                  <w:sz w:val="24"/>
                  <w:szCs w:val="24"/>
                </w:rPr>
                <m:t>-μ</m:t>
              </m:r>
            </m:e>
          </m:d>
          <m:r>
            <w:rPr>
              <w:rFonts w:ascii="Cambria Math" w:eastAsiaTheme="minorEastAsia" w:hAnsi="Cambria Math"/>
              <w:sz w:val="24"/>
              <w:szCs w:val="24"/>
            </w:rPr>
            <m:t>]</m:t>
          </m:r>
        </m:oMath>
      </m:oMathPara>
    </w:p>
    <w:p w14:paraId="1EE0B4E6" w14:textId="2753610E" w:rsidR="000C4890" w:rsidRPr="00B44D0D" w:rsidRDefault="000C4890" w:rsidP="000C4890">
      <w:pPr>
        <w:jc w:val="both"/>
        <w:rPr>
          <w:rFonts w:ascii="Times New Roman" w:hAnsi="Times New Roman"/>
          <w:sz w:val="24"/>
          <w:szCs w:val="24"/>
        </w:rPr>
      </w:pPr>
      <w:r w:rsidRPr="00B44D0D">
        <w:rPr>
          <w:rFonts w:ascii="Times New Roman" w:hAnsi="Times New Roman"/>
          <w:sz w:val="24"/>
          <w:szCs w:val="24"/>
        </w:rPr>
        <w:t xml:space="preserve">The Autocorrelation </w:t>
      </w:r>
      <w:r w:rsidR="00E91B7D" w:rsidRPr="00B44D0D">
        <w:rPr>
          <w:rFonts w:ascii="Times New Roman" w:hAnsi="Times New Roman"/>
          <w:sz w:val="24"/>
          <w:szCs w:val="24"/>
        </w:rPr>
        <w:t>Coefficient</w:t>
      </w:r>
      <w:r w:rsidRPr="00B44D0D">
        <w:rPr>
          <w:rFonts w:ascii="Times New Roman" w:hAnsi="Times New Roman"/>
          <w:sz w:val="24"/>
          <w:szCs w:val="24"/>
        </w:rPr>
        <w:t xml:space="preserve"> at lag k is defined as: </w:t>
      </w:r>
    </w:p>
    <w:p w14:paraId="2D88A6DC" w14:textId="77777777" w:rsidR="000C4890" w:rsidRPr="00B44D0D" w:rsidRDefault="002C15FD" w:rsidP="000C4890">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k</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k</m:t>
                  </m:r>
                </m:sub>
              </m:sSub>
            </m:num>
            <m:den>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0</m:t>
                  </m:r>
                </m:sub>
              </m:sSub>
            </m:den>
          </m:f>
        </m:oMath>
      </m:oMathPara>
    </w:p>
    <w:p w14:paraId="6E760E73" w14:textId="682C12DC"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Here μ is the mean of the time series, </w:t>
      </w:r>
      <w:r w:rsidR="00E91B7D" w:rsidRPr="00B44D0D">
        <w:rPr>
          <w:rFonts w:ascii="Times New Roman" w:hAnsi="Times New Roman"/>
          <w:sz w:val="24"/>
          <w:szCs w:val="24"/>
        </w:rPr>
        <w:t>i.e.,</w:t>
      </w:r>
      <w:r w:rsidRPr="00B44D0D">
        <w:rPr>
          <w:rFonts w:ascii="Times New Roman" w:hAnsi="Times New Roman"/>
          <w:sz w:val="24"/>
          <w:szCs w:val="24"/>
        </w:rPr>
        <w:t xml:space="preserve"> </w:t>
      </w:r>
      <m:oMath>
        <m:r>
          <w:rPr>
            <w:rFonts w:ascii="Cambria Math" w:hAnsi="Cambria Math"/>
            <w:sz w:val="24"/>
            <w:szCs w:val="24"/>
          </w:rPr>
          <m:t>μ=E[</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r>
          <w:rPr>
            <w:rFonts w:ascii="Cambria Math" w:hAnsi="Cambria Math"/>
            <w:sz w:val="24"/>
            <w:szCs w:val="24"/>
          </w:rPr>
          <m:t>]</m:t>
        </m:r>
      </m:oMath>
      <w:r w:rsidRPr="00B44D0D">
        <w:rPr>
          <w:rFonts w:ascii="Times New Roman" w:hAnsi="Times New Roman"/>
          <w:sz w:val="24"/>
          <w:szCs w:val="24"/>
        </w:rPr>
        <w:t xml:space="preserve">. The auto-covariance at lag zero </w:t>
      </w:r>
      <w:r w:rsidR="00E91B7D" w:rsidRPr="00B44D0D">
        <w:rPr>
          <w:rFonts w:ascii="Times New Roman" w:hAnsi="Times New Roman"/>
          <w:sz w:val="24"/>
          <w:szCs w:val="24"/>
        </w:rPr>
        <w:t>i.e.,</w:t>
      </w:r>
      <w:r w:rsidRPr="00B44D0D">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0</m:t>
            </m:r>
          </m:sub>
        </m:sSub>
      </m:oMath>
      <w:r w:rsidRPr="00B44D0D">
        <w:rPr>
          <w:rFonts w:ascii="Times New Roman" w:hAnsi="Times New Roman"/>
          <w:sz w:val="24"/>
          <w:szCs w:val="24"/>
        </w:rPr>
        <w:t xml:space="preserve"> is the variance of the time series. From the definition it is clear that the autocorrelation coefficient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k</m:t>
            </m:r>
          </m:sub>
        </m:sSub>
      </m:oMath>
      <w:r w:rsidRPr="00B44D0D">
        <w:rPr>
          <w:rFonts w:ascii="Times New Roman" w:hAnsi="Times New Roman"/>
          <w:sz w:val="24"/>
          <w:szCs w:val="24"/>
        </w:rPr>
        <w:t xml:space="preserve"> is dimensionless and so is independent of the scale of measurement. Also, clearly </w:t>
      </w:r>
      <m:oMath>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k</m:t>
            </m:r>
          </m:sub>
        </m:sSub>
        <m:r>
          <w:rPr>
            <w:rFonts w:ascii="Cambria Math" w:hAnsi="Cambria Math"/>
            <w:sz w:val="24"/>
            <w:szCs w:val="24"/>
          </w:rPr>
          <m:t xml:space="preserve"> ≤1 </m:t>
        </m:r>
      </m:oMath>
      <w:r w:rsidRPr="00B44D0D">
        <w:rPr>
          <w:rFonts w:ascii="Times New Roman" w:eastAsiaTheme="minorEastAsia" w:hAnsi="Times New Roman"/>
          <w:sz w:val="24"/>
          <w:szCs w:val="24"/>
        </w:rPr>
        <w:t>.</w:t>
      </w:r>
      <w:r w:rsidRPr="00B44D0D">
        <w:rPr>
          <w:rFonts w:ascii="Times New Roman" w:hAnsi="Times New Roman"/>
          <w:sz w:val="24"/>
          <w:szCs w:val="24"/>
        </w:rPr>
        <w:t xml:space="preserve"> Statisticians Box and Jenkins termed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k</m:t>
            </m:r>
          </m:sub>
        </m:sSub>
      </m:oMath>
      <w:r w:rsidRPr="00B44D0D">
        <w:rPr>
          <w:rFonts w:ascii="Times New Roman" w:eastAsiaTheme="minorEastAsia" w:hAnsi="Times New Roman"/>
          <w:sz w:val="24"/>
          <w:szCs w:val="24"/>
        </w:rPr>
        <w:t xml:space="preserve"> </w:t>
      </w:r>
      <w:r w:rsidRPr="00B44D0D">
        <w:rPr>
          <w:rFonts w:ascii="Times New Roman" w:hAnsi="Times New Roman"/>
          <w:sz w:val="24"/>
          <w:szCs w:val="24"/>
        </w:rPr>
        <w:t xml:space="preserve">as the theoretical Autocovariance Function (ACVF) and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k</m:t>
            </m:r>
          </m:sub>
        </m:sSub>
      </m:oMath>
      <w:r w:rsidRPr="00B44D0D">
        <w:rPr>
          <w:rFonts w:ascii="Times New Roman" w:eastAsiaTheme="minorEastAsia" w:hAnsi="Times New Roman"/>
          <w:sz w:val="24"/>
          <w:szCs w:val="24"/>
        </w:rPr>
        <w:t xml:space="preserve"> </w:t>
      </w:r>
      <w:r w:rsidRPr="00B44D0D">
        <w:rPr>
          <w:rFonts w:ascii="Times New Roman" w:hAnsi="Times New Roman"/>
          <w:sz w:val="24"/>
          <w:szCs w:val="24"/>
        </w:rPr>
        <w:t xml:space="preserve">as the theoretical Autocorrelation Function (ACF).  Another measure, known as the Partial </w:t>
      </w:r>
      <w:r w:rsidR="00343760" w:rsidRPr="00B44D0D">
        <w:rPr>
          <w:rFonts w:ascii="Times New Roman" w:hAnsi="Times New Roman"/>
          <w:sz w:val="24"/>
          <w:szCs w:val="24"/>
        </w:rPr>
        <w:t>Autocorrelation</w:t>
      </w:r>
      <w:r w:rsidRPr="00B44D0D">
        <w:rPr>
          <w:rFonts w:ascii="Times New Roman" w:hAnsi="Times New Roman"/>
          <w:sz w:val="24"/>
          <w:szCs w:val="24"/>
        </w:rPr>
        <w:t xml:space="preserve"> Function (PACF) is used to measure the correlation between an observation k period ago and the current observation, after controlling for observations at intermediate lags (</w:t>
      </w:r>
      <w:r w:rsidR="00E91B7D" w:rsidRPr="00B44D0D">
        <w:rPr>
          <w:rFonts w:ascii="Times New Roman" w:hAnsi="Times New Roman"/>
          <w:sz w:val="24"/>
          <w:szCs w:val="24"/>
        </w:rPr>
        <w:t>i.e.,</w:t>
      </w:r>
      <w:r w:rsidRPr="00B44D0D">
        <w:rPr>
          <w:rFonts w:ascii="Times New Roman" w:hAnsi="Times New Roman"/>
          <w:sz w:val="24"/>
          <w:szCs w:val="24"/>
        </w:rPr>
        <w:t xml:space="preserve"> at lags &lt; k).  At lag 1, </w:t>
      </w:r>
      <w:r w:rsidR="00E91B7D" w:rsidRPr="00B44D0D">
        <w:rPr>
          <w:rFonts w:ascii="Times New Roman" w:hAnsi="Times New Roman"/>
          <w:sz w:val="24"/>
          <w:szCs w:val="24"/>
        </w:rPr>
        <w:t>PACF (</w:t>
      </w:r>
      <w:r w:rsidRPr="00B44D0D">
        <w:rPr>
          <w:rFonts w:ascii="Times New Roman" w:hAnsi="Times New Roman"/>
          <w:sz w:val="24"/>
          <w:szCs w:val="24"/>
        </w:rPr>
        <w:t xml:space="preserve">1) is same as </w:t>
      </w:r>
      <w:r w:rsidR="00E91B7D" w:rsidRPr="00B44D0D">
        <w:rPr>
          <w:rFonts w:ascii="Times New Roman" w:hAnsi="Times New Roman"/>
          <w:sz w:val="24"/>
          <w:szCs w:val="24"/>
        </w:rPr>
        <w:t>ACF (</w:t>
      </w:r>
      <w:r w:rsidRPr="00B44D0D">
        <w:rPr>
          <w:rFonts w:ascii="Times New Roman" w:hAnsi="Times New Roman"/>
          <w:sz w:val="24"/>
          <w:szCs w:val="24"/>
        </w:rPr>
        <w:t xml:space="preserve">1). </w:t>
      </w:r>
    </w:p>
    <w:p w14:paraId="42154B63" w14:textId="5991549F"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Normally, the stochastic process governing a time series is unknown and so it is not possible to determine the actual or theoretical ACF and PACF values. Rather these values are to be </w:t>
      </w:r>
      <w:r w:rsidRPr="00B44D0D">
        <w:rPr>
          <w:rFonts w:ascii="Times New Roman" w:hAnsi="Times New Roman"/>
          <w:sz w:val="24"/>
          <w:szCs w:val="24"/>
        </w:rPr>
        <w:lastRenderedPageBreak/>
        <w:t xml:space="preserve">estimated from the training data, </w:t>
      </w:r>
      <w:r w:rsidR="00E91B7D" w:rsidRPr="00B44D0D">
        <w:rPr>
          <w:rFonts w:ascii="Times New Roman" w:hAnsi="Times New Roman"/>
          <w:sz w:val="24"/>
          <w:szCs w:val="24"/>
        </w:rPr>
        <w:t>i.e.,</w:t>
      </w:r>
      <w:r w:rsidRPr="00B44D0D">
        <w:rPr>
          <w:rFonts w:ascii="Times New Roman" w:hAnsi="Times New Roman"/>
          <w:sz w:val="24"/>
          <w:szCs w:val="24"/>
        </w:rPr>
        <w:t xml:space="preserve"> the known time series at hand. The estimated ACF and PACF values from the training data are respectively termed as sample ACF and PACF.  The most appropriate sample estimate for the ACVF at lag k is </w:t>
      </w:r>
    </w:p>
    <w:p w14:paraId="45F9E750" w14:textId="77777777" w:rsidR="000C4890" w:rsidRPr="00B44D0D" w:rsidRDefault="002C15FD" w:rsidP="000C4890">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n-k</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t+k</m:t>
                  </m:r>
                </m:sub>
              </m:sSub>
              <m:r>
                <w:rPr>
                  <w:rFonts w:ascii="Cambria Math" w:hAnsi="Cambria Math"/>
                  <w:sz w:val="24"/>
                  <w:szCs w:val="24"/>
                </w:rPr>
                <m:t>-μ)</m:t>
              </m:r>
            </m:e>
          </m:nary>
        </m:oMath>
      </m:oMathPara>
    </w:p>
    <w:p w14:paraId="1F2BB371" w14:textId="77777777"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Then the estimate for the sample ACF at lag k is given by </w:t>
      </w:r>
    </w:p>
    <w:p w14:paraId="6A8FC58C" w14:textId="77777777" w:rsidR="000C4890" w:rsidRPr="00B44D0D" w:rsidRDefault="002C15FD" w:rsidP="000C4890">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den>
          </m:f>
        </m:oMath>
      </m:oMathPara>
    </w:p>
    <w:p w14:paraId="289A8159" w14:textId="56D3CE5B"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Here </w:t>
      </w:r>
      <m:oMath>
        <m:d>
          <m:dPr>
            <m:begChr m:val="{"/>
            <m:endChr m:val="}"/>
            <m:ctrlPr>
              <w:rPr>
                <w:rFonts w:ascii="Cambria Math" w:hAnsi="Cambria Math"/>
                <w:i/>
                <w:sz w:val="24"/>
                <w:szCs w:val="24"/>
              </w:rPr>
            </m:ctrlPr>
          </m:dPr>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t=0,1,2,……..</m:t>
            </m:r>
          </m:e>
        </m:d>
      </m:oMath>
      <w:r w:rsidRPr="00B44D0D">
        <w:rPr>
          <w:rFonts w:ascii="Times New Roman" w:hAnsi="Times New Roman"/>
          <w:sz w:val="24"/>
          <w:szCs w:val="24"/>
        </w:rPr>
        <w:t xml:space="preserve"> is the training series of size n with mean </w:t>
      </w:r>
      <w:r w:rsidR="00C40748" w:rsidRPr="00B44D0D">
        <w:rPr>
          <w:rFonts w:ascii="Times New Roman" w:hAnsi="Times New Roman"/>
          <w:sz w:val="24"/>
          <w:szCs w:val="24"/>
        </w:rPr>
        <w:t>μ.</w:t>
      </w:r>
      <w:r w:rsidRPr="00B44D0D">
        <w:rPr>
          <w:rFonts w:ascii="Times New Roman" w:hAnsi="Times New Roman"/>
          <w:sz w:val="24"/>
          <w:szCs w:val="24"/>
        </w:rPr>
        <w:t xml:space="preserve">   </w:t>
      </w:r>
    </w:p>
    <w:p w14:paraId="4A6105FA" w14:textId="77777777" w:rsidR="000C4890" w:rsidRPr="00B44D0D" w:rsidRDefault="000C4890" w:rsidP="00E91B7D">
      <w:pPr>
        <w:spacing w:line="360" w:lineRule="auto"/>
        <w:jc w:val="both"/>
        <w:rPr>
          <w:rFonts w:ascii="Times New Roman" w:hAnsi="Times New Roman"/>
          <w:sz w:val="24"/>
          <w:szCs w:val="24"/>
        </w:rPr>
      </w:pPr>
      <w:r w:rsidRPr="00B44D0D">
        <w:rPr>
          <w:rFonts w:ascii="Times New Roman" w:hAnsi="Times New Roman"/>
          <w:sz w:val="24"/>
          <w:szCs w:val="24"/>
        </w:rPr>
        <w:t>Box and Jerkins the sample ACF plot is useful in determining the type of model to fit to a time series of length N. Since ACF is symmetrical about lag zero, it is only required to plot the sample ACF for positive lags, from lag one onwards to a maximum lag of about N/4. The sample PACF plot helps in identifying the maximum order of an AR process.</w:t>
      </w:r>
    </w:p>
    <w:p w14:paraId="12D83048" w14:textId="7AB59437" w:rsidR="00454904" w:rsidRPr="00B44D0D" w:rsidRDefault="006C6F9C" w:rsidP="00E91B7D">
      <w:pPr>
        <w:pStyle w:val="Heading2"/>
      </w:pPr>
      <w:bookmarkStart w:id="44" w:name="_Toc90499941"/>
      <w:r>
        <w:t>1.</w:t>
      </w:r>
      <w:r w:rsidR="00E62031">
        <w:t xml:space="preserve">3.6 </w:t>
      </w:r>
      <w:r w:rsidR="00454904" w:rsidRPr="00B44D0D">
        <w:t>The Autoregressive Moving Average (ARMA) Models</w:t>
      </w:r>
      <w:bookmarkEnd w:id="44"/>
    </w:p>
    <w:p w14:paraId="0AC0E5D8" w14:textId="6BD326A0"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An </w:t>
      </w:r>
      <w:r w:rsidR="00E91B7D" w:rsidRPr="00B44D0D">
        <w:rPr>
          <w:rFonts w:ascii="Times New Roman" w:hAnsi="Times New Roman" w:cs="Times New Roman"/>
          <w:sz w:val="24"/>
          <w:szCs w:val="24"/>
        </w:rPr>
        <w:t>ARMA (</w:t>
      </w:r>
      <w:r w:rsidRPr="00B44D0D">
        <w:rPr>
          <w:rFonts w:ascii="Times New Roman" w:hAnsi="Times New Roman" w:cs="Times New Roman"/>
          <w:sz w:val="24"/>
          <w:szCs w:val="24"/>
        </w:rPr>
        <w:t xml:space="preserve">p, q) model is a combination of AR(p) and MA(q) models and is suitable for univariate time series </w:t>
      </w:r>
      <w:r w:rsidR="00E91B7D" w:rsidRPr="00B44D0D">
        <w:rPr>
          <w:rFonts w:ascii="Times New Roman" w:hAnsi="Times New Roman" w:cs="Times New Roman"/>
          <w:sz w:val="24"/>
          <w:szCs w:val="24"/>
        </w:rPr>
        <w:t>modelling</w:t>
      </w:r>
      <w:r w:rsidRPr="00B44D0D">
        <w:rPr>
          <w:rFonts w:ascii="Times New Roman" w:hAnsi="Times New Roman" w:cs="Times New Roman"/>
          <w:sz w:val="24"/>
          <w:szCs w:val="24"/>
        </w:rPr>
        <w:t>. In an AR(p) model the future value of a variable is assumed to be a linear combination of p past observations and a random error together with a constant term. Mathematically the AR(p) model can be expressed as:</w:t>
      </w:r>
    </w:p>
    <w:p w14:paraId="253E3EFA" w14:textId="77777777" w:rsidR="00454904" w:rsidRPr="00B44D0D" w:rsidRDefault="002C15FD" w:rsidP="00454904">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=c+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=c+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t-2</m:t>
              </m:r>
            </m:sub>
          </m:sSub>
          <m:r>
            <w:rPr>
              <w:rFonts w:ascii="Cambria Math" w:hAnsi="Cambria Math" w:cs="Times New Roman"/>
              <w:sz w:val="24"/>
              <w:szCs w:val="24"/>
            </w:rPr>
            <m:t>+ ………..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m:t>
              </m:r>
            </m:sub>
          </m:sSub>
        </m:oMath>
      </m:oMathPara>
    </w:p>
    <w:p w14:paraId="6002B670"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are respectively the actual value and random error (or random shock) at time period </w:t>
      </w:r>
      <w:proofErr w:type="gramStart"/>
      <w:r w:rsidRPr="00B44D0D">
        <w:rPr>
          <w:rFonts w:ascii="Times New Roman" w:hAnsi="Times New Roman" w:cs="Times New Roman"/>
          <w:sz w:val="24"/>
          <w:szCs w:val="24"/>
        </w:rPr>
        <w:t>t ,</w:t>
      </w:r>
      <w:proofErr w:type="gramEnd"/>
      <w:r w:rsidRPr="00B44D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oMath>
      <w:r w:rsidRPr="00B44D0D">
        <w:rPr>
          <w:rFonts w:ascii="Times New Roman" w:hAnsi="Times New Roman" w:cs="Times New Roman"/>
          <w:sz w:val="24"/>
          <w:szCs w:val="24"/>
        </w:rPr>
        <w:t xml:space="preserve"> (i = 1,2,..., p) are model parameters and c is a constant. The integer constant p is known as the order of the model. Sometimes the constant term is omitted for simplicity. Usually For estimating parameters of an AR process using the given time series, the Yule-Walker equations are used.</w:t>
      </w:r>
    </w:p>
    <w:p w14:paraId="631DDAAD"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Just as an AR(p) model regress against past values of the series, an MA(q) model uses past errors as the explanatory variables. The MA(q) model is given by:</w:t>
      </w:r>
    </w:p>
    <w:p w14:paraId="0B5AFF95" w14:textId="77777777" w:rsidR="00454904" w:rsidRPr="00B44D0D" w:rsidRDefault="002C15FD" w:rsidP="00454904">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=μ+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e>
          </m:nary>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=μ+ </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t-2</m:t>
              </m:r>
            </m:sub>
          </m:sSub>
          <m:r>
            <w:rPr>
              <w:rFonts w:ascii="Cambria Math" w:hAnsi="Cambria Math" w:cs="Times New Roman"/>
              <w:sz w:val="24"/>
              <w:szCs w:val="24"/>
            </w:rPr>
            <m:t>+ ………..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q</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t-q</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m:t>
              </m:r>
            </m:sub>
          </m:sSub>
        </m:oMath>
      </m:oMathPara>
    </w:p>
    <w:p w14:paraId="3D0BBDB6" w14:textId="63767E7D"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Here μ is the mean of the series,</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oMath>
      <w:r w:rsidRPr="00B44D0D">
        <w:rPr>
          <w:rFonts w:ascii="Times New Roman" w:hAnsi="Times New Roman" w:cs="Times New Roman"/>
          <w:sz w:val="24"/>
          <w:szCs w:val="24"/>
        </w:rPr>
        <w:t xml:space="preserve"> </w:t>
      </w:r>
      <w:r w:rsidR="00EB7B48" w:rsidRPr="00B44D0D">
        <w:rPr>
          <w:rFonts w:ascii="Times New Roman" w:hAnsi="Times New Roman" w:cs="Times New Roman"/>
          <w:sz w:val="24"/>
          <w:szCs w:val="24"/>
        </w:rPr>
        <w:t>(j</w:t>
      </w:r>
      <w:r w:rsidRPr="00B44D0D">
        <w:rPr>
          <w:rFonts w:ascii="Times New Roman" w:hAnsi="Times New Roman" w:cs="Times New Roman"/>
          <w:sz w:val="24"/>
          <w:szCs w:val="24"/>
        </w:rPr>
        <w:t xml:space="preserve"> </w:t>
      </w:r>
      <w:r w:rsidR="00EB7B48" w:rsidRPr="00B44D0D">
        <w:rPr>
          <w:rFonts w:ascii="Times New Roman" w:hAnsi="Times New Roman" w:cs="Times New Roman"/>
          <w:sz w:val="24"/>
          <w:szCs w:val="24"/>
        </w:rPr>
        <w:t xml:space="preserve">1, </w:t>
      </w:r>
      <w:proofErr w:type="gramStart"/>
      <w:r w:rsidR="00EB7B48" w:rsidRPr="00B44D0D">
        <w:rPr>
          <w:rFonts w:ascii="Times New Roman" w:hAnsi="Times New Roman" w:cs="Times New Roman"/>
          <w:sz w:val="24"/>
          <w:szCs w:val="24"/>
        </w:rPr>
        <w:t>2,...</w:t>
      </w:r>
      <w:proofErr w:type="gramEnd"/>
      <w:r w:rsidRPr="00B44D0D">
        <w:rPr>
          <w:rFonts w:ascii="Times New Roman" w:hAnsi="Times New Roman" w:cs="Times New Roman"/>
          <w:sz w:val="24"/>
          <w:szCs w:val="24"/>
        </w:rPr>
        <w:t xml:space="preserve">,q) are the model parameters and q is the order of the model. The random shocks are assumed to be a white noise process, </w:t>
      </w:r>
      <w:r w:rsidR="00E91B7D" w:rsidRPr="00B44D0D">
        <w:rPr>
          <w:rFonts w:ascii="Times New Roman" w:hAnsi="Times New Roman" w:cs="Times New Roman"/>
          <w:sz w:val="24"/>
          <w:szCs w:val="24"/>
        </w:rPr>
        <w:t>i.e.,</w:t>
      </w:r>
      <w:r w:rsidRPr="00B44D0D">
        <w:rPr>
          <w:rFonts w:ascii="Times New Roman" w:hAnsi="Times New Roman" w:cs="Times New Roman"/>
          <w:sz w:val="24"/>
          <w:szCs w:val="24"/>
        </w:rPr>
        <w:t xml:space="preserve"> a sequence of independent and identically distributed (</w:t>
      </w:r>
      <w:proofErr w:type="spellStart"/>
      <w:r w:rsidRPr="00B44D0D">
        <w:rPr>
          <w:rFonts w:ascii="Times New Roman" w:hAnsi="Times New Roman" w:cs="Times New Roman"/>
          <w:sz w:val="24"/>
          <w:szCs w:val="24"/>
        </w:rPr>
        <w:t>i.i.d</w:t>
      </w:r>
      <w:proofErr w:type="spellEnd"/>
      <w:r w:rsidRPr="00B44D0D">
        <w:rPr>
          <w:rFonts w:ascii="Times New Roman" w:hAnsi="Times New Roman" w:cs="Times New Roman"/>
          <w:sz w:val="24"/>
          <w:szCs w:val="24"/>
        </w:rPr>
        <w:t xml:space="preserve">) random variables with zero mean and a constant variance.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B44D0D">
        <w:rPr>
          <w:rFonts w:ascii="Times New Roman" w:hAnsi="Times New Roman" w:cs="Times New Roman"/>
          <w:sz w:val="24"/>
          <w:szCs w:val="24"/>
        </w:rPr>
        <w:t xml:space="preserve"> Generally, the random shocks are assumed to follow the typical normal distribution. </w:t>
      </w:r>
      <w:r w:rsidR="00EB7B48" w:rsidRPr="00B44D0D">
        <w:rPr>
          <w:rFonts w:ascii="Times New Roman" w:hAnsi="Times New Roman" w:cs="Times New Roman"/>
          <w:sz w:val="24"/>
          <w:szCs w:val="24"/>
        </w:rPr>
        <w:t>Thus,</w:t>
      </w:r>
      <w:r w:rsidRPr="00B44D0D">
        <w:rPr>
          <w:rFonts w:ascii="Times New Roman" w:hAnsi="Times New Roman" w:cs="Times New Roman"/>
          <w:sz w:val="24"/>
          <w:szCs w:val="24"/>
        </w:rPr>
        <w:t xml:space="preserve"> conceptually a moving average model is a linear regression of the current observation of the time series against the random shocks of one or more prior observations. Fitting an MA model to a time series is more complicated than fitting an AR model because in the former one the random error terms are not fore-</w:t>
      </w:r>
      <w:r w:rsidR="00E91B7D" w:rsidRPr="00B44D0D">
        <w:rPr>
          <w:rFonts w:ascii="Times New Roman" w:hAnsi="Times New Roman" w:cs="Times New Roman"/>
          <w:sz w:val="24"/>
          <w:szCs w:val="24"/>
        </w:rPr>
        <w:t>see able</w:t>
      </w:r>
      <w:r w:rsidRPr="00B44D0D">
        <w:rPr>
          <w:rFonts w:ascii="Times New Roman" w:hAnsi="Times New Roman" w:cs="Times New Roman"/>
          <w:sz w:val="24"/>
          <w:szCs w:val="24"/>
        </w:rPr>
        <w:t>.</w:t>
      </w:r>
    </w:p>
    <w:p w14:paraId="0679CD02"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Autoregressive (AR) and moving average (MA) models can be effectively combined together to form a general and useful class of time series models, known as the ARMA models. Mathematically an </w:t>
      </w:r>
      <w:r w:rsidR="00EB7B48" w:rsidRPr="00B44D0D">
        <w:rPr>
          <w:rFonts w:ascii="Times New Roman" w:hAnsi="Times New Roman" w:cs="Times New Roman"/>
          <w:sz w:val="24"/>
          <w:szCs w:val="24"/>
        </w:rPr>
        <w:t>ARMA (</w:t>
      </w:r>
      <w:r w:rsidRPr="00B44D0D">
        <w:rPr>
          <w:rFonts w:ascii="Times New Roman" w:hAnsi="Times New Roman" w:cs="Times New Roman"/>
          <w:sz w:val="24"/>
          <w:szCs w:val="24"/>
        </w:rPr>
        <w:t>p, q) model is represented as:</w:t>
      </w:r>
    </w:p>
    <w:bookmarkStart w:id="45" w:name="_Hlk58355801"/>
    <w:p w14:paraId="09BA69B2" w14:textId="77777777" w:rsidR="00454904" w:rsidRPr="00B44D0D" w:rsidRDefault="002C15FD" w:rsidP="00454904">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c+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m:t>
              </m:r>
            </m:sub>
          </m:sSub>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t-i</m:t>
              </m:r>
            </m:sub>
          </m:sSub>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e>
          </m:nary>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oMath>
      </m:oMathPara>
    </w:p>
    <w:bookmarkEnd w:id="45"/>
    <w:p w14:paraId="4F758C55" w14:textId="414D366C" w:rsidR="00454904" w:rsidRPr="00B44D0D" w:rsidRDefault="00E91B7D"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Usually,</w:t>
      </w:r>
      <w:r w:rsidR="00454904" w:rsidRPr="00B44D0D">
        <w:rPr>
          <w:rFonts w:ascii="Times New Roman" w:hAnsi="Times New Roman" w:cs="Times New Roman"/>
          <w:sz w:val="24"/>
          <w:szCs w:val="24"/>
        </w:rPr>
        <w:t xml:space="preserve"> ARMA models are manipulated using the lag operator notation. The lag or backshift operator is defined as </w:t>
      </w:r>
      <m:oMath>
        <m:sSub>
          <m:sSubPr>
            <m:ctrlPr>
              <w:rPr>
                <w:rFonts w:ascii="Cambria Math" w:hAnsi="Cambria Math" w:cs="Times New Roman"/>
                <w:i/>
                <w:sz w:val="24"/>
                <w:szCs w:val="24"/>
              </w:rPr>
            </m:ctrlPr>
          </m:sSubPr>
          <m:e>
            <m:r>
              <w:rPr>
                <w:rFonts w:ascii="Cambria Math" w:hAnsi="Cambria Math" w:cs="Times New Roman"/>
                <w:sz w:val="24"/>
                <w:szCs w:val="24"/>
              </w:rPr>
              <m:t>L</m:t>
            </m:r>
          </m:e>
          <m: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oMath>
      <w:r w:rsidR="00454904" w:rsidRPr="00B44D0D">
        <w:rPr>
          <w:rFonts w:ascii="Times New Roman" w:eastAsiaTheme="minorEastAsia" w:hAnsi="Times New Roman" w:cs="Times New Roman"/>
          <w:sz w:val="24"/>
          <w:szCs w:val="24"/>
        </w:rPr>
        <w:t xml:space="preserve">. </w:t>
      </w:r>
      <w:r w:rsidR="00454904" w:rsidRPr="00B44D0D">
        <w:rPr>
          <w:rFonts w:ascii="Times New Roman" w:hAnsi="Times New Roman" w:cs="Times New Roman"/>
          <w:sz w:val="24"/>
          <w:szCs w:val="24"/>
        </w:rPr>
        <w:t>Polynomials of lag operator or lag polynomials are used to represent ARMA models as follows:</w:t>
      </w:r>
    </w:p>
    <w:p w14:paraId="6B957B55" w14:textId="77777777" w:rsidR="00454904" w:rsidRPr="00B44D0D" w:rsidRDefault="00454904" w:rsidP="00454904">
      <w:pPr>
        <w:rPr>
          <w:rFonts w:ascii="Times New Roman" w:eastAsiaTheme="minorEastAsia" w:hAnsi="Times New Roman" w:cs="Times New Roman"/>
          <w:sz w:val="24"/>
          <w:szCs w:val="24"/>
        </w:rPr>
      </w:pPr>
      <m:oMathPara>
        <m:oMath>
          <m:r>
            <w:rPr>
              <w:rFonts w:ascii="Cambria Math" w:hAnsi="Cambria Math" w:cs="Times New Roman"/>
              <w:sz w:val="24"/>
              <w:szCs w:val="24"/>
            </w:rPr>
            <m:t>AR</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 xml:space="preserve"> model: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θ</m:t>
          </m:r>
          <m:d>
            <m:dPr>
              <m:ctrlPr>
                <w:rPr>
                  <w:rFonts w:ascii="Cambria Math" w:hAnsi="Cambria Math" w:cs="Times New Roman"/>
                  <w:i/>
                  <w:sz w:val="24"/>
                  <w:szCs w:val="24"/>
                </w:rPr>
              </m:ctrlPr>
            </m:dPr>
            <m:e>
              <m:r>
                <w:rPr>
                  <w:rFonts w:ascii="Cambria Math" w:hAnsi="Cambria Math" w:cs="Times New Roman"/>
                  <w:sz w:val="24"/>
                  <w:szCs w:val="24"/>
                </w:rPr>
                <m:t>L</m:t>
              </m:r>
            </m:e>
          </m:d>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m:oMathPara>
    </w:p>
    <w:p w14:paraId="60A95FA4" w14:textId="77777777" w:rsidR="00454904" w:rsidRPr="00B44D0D" w:rsidRDefault="00454904" w:rsidP="00454904">
      <w:pPr>
        <w:rPr>
          <w:rFonts w:ascii="Times New Roman" w:eastAsiaTheme="minorEastAsia" w:hAnsi="Times New Roman" w:cs="Times New Roman"/>
          <w:sz w:val="24"/>
          <w:szCs w:val="24"/>
        </w:rPr>
      </w:pPr>
      <m:oMathPara>
        <m:oMath>
          <m:r>
            <w:rPr>
              <w:rFonts w:ascii="Cambria Math" w:hAnsi="Cambria Math" w:cs="Times New Roman"/>
              <w:sz w:val="24"/>
              <w:szCs w:val="24"/>
            </w:rPr>
            <m:t>ARMA</m:t>
          </m:r>
          <m:d>
            <m:dPr>
              <m:ctrlPr>
                <w:rPr>
                  <w:rFonts w:ascii="Cambria Math" w:hAnsi="Cambria Math" w:cs="Times New Roman"/>
                  <w:i/>
                  <w:sz w:val="24"/>
                  <w:szCs w:val="24"/>
                </w:rPr>
              </m:ctrlPr>
            </m:dPr>
            <m:e>
              <m:r>
                <w:rPr>
                  <w:rFonts w:ascii="Cambria Math" w:hAnsi="Cambria Math" w:cs="Times New Roman"/>
                  <w:sz w:val="24"/>
                  <w:szCs w:val="24"/>
                </w:rPr>
                <m:t>p,q</m:t>
              </m:r>
            </m:e>
          </m:d>
          <m:r>
            <w:rPr>
              <w:rFonts w:ascii="Cambria Math" w:hAnsi="Cambria Math" w:cs="Times New Roman"/>
              <w:sz w:val="24"/>
              <w:szCs w:val="24"/>
            </w:rPr>
            <m:t>model: φ</m:t>
          </m:r>
          <m:d>
            <m:dPr>
              <m:ctrlPr>
                <w:rPr>
                  <w:rFonts w:ascii="Cambria Math" w:hAnsi="Cambria Math" w:cs="Times New Roman"/>
                  <w:i/>
                  <w:sz w:val="24"/>
                  <w:szCs w:val="24"/>
                </w:rPr>
              </m:ctrlPr>
            </m:dPr>
            <m:e>
              <m:r>
                <w:rPr>
                  <w:rFonts w:ascii="Cambria Math" w:hAnsi="Cambria Math" w:cs="Times New Roman"/>
                  <w:sz w:val="24"/>
                  <w:szCs w:val="24"/>
                </w:rPr>
                <m:t>L</m:t>
              </m:r>
            </m:e>
          </m:d>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 θ</m:t>
          </m:r>
          <m:d>
            <m:dPr>
              <m:ctrlPr>
                <w:rPr>
                  <w:rFonts w:ascii="Cambria Math" w:hAnsi="Cambria Math" w:cs="Times New Roman"/>
                  <w:i/>
                  <w:sz w:val="24"/>
                  <w:szCs w:val="24"/>
                </w:rPr>
              </m:ctrlPr>
            </m:dPr>
            <m:e>
              <m:r>
                <w:rPr>
                  <w:rFonts w:ascii="Cambria Math" w:hAnsi="Cambria Math" w:cs="Times New Roman"/>
                  <w:sz w:val="24"/>
                  <w:szCs w:val="24"/>
                </w:rPr>
                <m:t>L</m:t>
              </m:r>
            </m:e>
          </m:d>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5CC708D8" w14:textId="77777777" w:rsidR="00454904" w:rsidRPr="00B44D0D" w:rsidRDefault="00454904" w:rsidP="00454904">
      <w:pPr>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Here</w:t>
      </w:r>
    </w:p>
    <w:p w14:paraId="5AAB2062" w14:textId="77777777" w:rsidR="00454904" w:rsidRPr="00B44D0D" w:rsidRDefault="00454904" w:rsidP="00454904">
      <w:pPr>
        <w:rPr>
          <w:rFonts w:ascii="Times New Roman" w:hAnsi="Times New Roman" w:cs="Times New Roman"/>
          <w:sz w:val="24"/>
          <w:szCs w:val="24"/>
        </w:rPr>
      </w:pPr>
      <m:oMathPara>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 xml:space="preserve">=1-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i</m:t>
                  </m:r>
                </m:sup>
              </m:sSup>
            </m:e>
          </m:nary>
          <m:r>
            <w:rPr>
              <w:rFonts w:ascii="Cambria Math" w:hAnsi="Cambria Math" w:cs="Times New Roman"/>
              <w:sz w:val="24"/>
              <w:szCs w:val="24"/>
            </w:rPr>
            <m:t xml:space="preserve"> and θ</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 xml:space="preserve">=1-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j</m:t>
                  </m:r>
                </m:sup>
              </m:sSup>
            </m:e>
          </m:nary>
        </m:oMath>
      </m:oMathPara>
    </w:p>
    <w:p w14:paraId="75EDB220" w14:textId="6A114B33" w:rsidR="00454904" w:rsidRPr="00B44D0D" w:rsidRDefault="006C6F9C" w:rsidP="00E91B7D">
      <w:pPr>
        <w:pStyle w:val="Heading2"/>
      </w:pPr>
      <w:bookmarkStart w:id="46" w:name="_Toc90499942"/>
      <w:r>
        <w:t>1.</w:t>
      </w:r>
      <w:r w:rsidR="00E62031">
        <w:t xml:space="preserve">3.7 </w:t>
      </w:r>
      <w:r w:rsidR="00454904" w:rsidRPr="00B44D0D">
        <w:t>Autoregressive Integrated Moving Average (ARIMA) Models</w:t>
      </w:r>
      <w:bookmarkEnd w:id="46"/>
      <w:r w:rsidR="00454904" w:rsidRPr="00B44D0D">
        <w:t xml:space="preserve"> </w:t>
      </w:r>
    </w:p>
    <w:p w14:paraId="3AD76352" w14:textId="3501704B" w:rsidR="00454904" w:rsidRPr="00B44D0D" w:rsidRDefault="00454904"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The ARMA models, described above can only be used for stationary time series data. </w:t>
      </w:r>
      <w:r w:rsidR="00E91B7D" w:rsidRPr="00B44D0D">
        <w:rPr>
          <w:rFonts w:ascii="Times New Roman" w:hAnsi="Times New Roman"/>
          <w:sz w:val="24"/>
          <w:szCs w:val="24"/>
        </w:rPr>
        <w:t>However,</w:t>
      </w:r>
      <w:r w:rsidRPr="00B44D0D">
        <w:rPr>
          <w:rFonts w:ascii="Times New Roman" w:hAnsi="Times New Roman"/>
          <w:sz w:val="24"/>
          <w:szCs w:val="24"/>
        </w:rPr>
        <w:t xml:space="preserve"> in practice many time series such as those related to </w:t>
      </w:r>
      <w:r w:rsidR="00E91B7D" w:rsidRPr="00B44D0D">
        <w:rPr>
          <w:rFonts w:ascii="Times New Roman" w:hAnsi="Times New Roman"/>
          <w:sz w:val="24"/>
          <w:szCs w:val="24"/>
        </w:rPr>
        <w:t>socio-economic,</w:t>
      </w:r>
      <w:r w:rsidRPr="00B44D0D">
        <w:rPr>
          <w:rFonts w:ascii="Times New Roman" w:hAnsi="Times New Roman"/>
          <w:sz w:val="24"/>
          <w:szCs w:val="24"/>
        </w:rPr>
        <w:t xml:space="preserve"> and business show non-stationary </w:t>
      </w:r>
      <w:r w:rsidR="00E91B7D" w:rsidRPr="00B44D0D">
        <w:rPr>
          <w:rFonts w:ascii="Times New Roman" w:hAnsi="Times New Roman"/>
          <w:sz w:val="24"/>
          <w:szCs w:val="24"/>
        </w:rPr>
        <w:t>behaviour</w:t>
      </w:r>
      <w:r w:rsidRPr="00B44D0D">
        <w:rPr>
          <w:rFonts w:ascii="Times New Roman" w:hAnsi="Times New Roman"/>
          <w:sz w:val="24"/>
          <w:szCs w:val="24"/>
        </w:rPr>
        <w:t xml:space="preserve">. Time series, which contain trend and seasonal patterns, are also non-stationary in nature. </w:t>
      </w:r>
      <w:r w:rsidR="00E91B7D" w:rsidRPr="00B44D0D">
        <w:rPr>
          <w:rFonts w:ascii="Times New Roman" w:hAnsi="Times New Roman"/>
          <w:sz w:val="24"/>
          <w:szCs w:val="24"/>
        </w:rPr>
        <w:t>Thus,</w:t>
      </w:r>
      <w:r w:rsidRPr="00B44D0D">
        <w:rPr>
          <w:rFonts w:ascii="Times New Roman" w:hAnsi="Times New Roman"/>
          <w:sz w:val="24"/>
          <w:szCs w:val="24"/>
        </w:rPr>
        <w:t xml:space="preserve"> from application </w:t>
      </w:r>
      <w:r w:rsidR="00E91B7D" w:rsidRPr="00B44D0D">
        <w:rPr>
          <w:rFonts w:ascii="Times New Roman" w:hAnsi="Times New Roman"/>
          <w:sz w:val="24"/>
          <w:szCs w:val="24"/>
        </w:rPr>
        <w:t>viewpoint</w:t>
      </w:r>
      <w:r w:rsidRPr="00B44D0D">
        <w:rPr>
          <w:rFonts w:ascii="Times New Roman" w:hAnsi="Times New Roman"/>
          <w:sz w:val="24"/>
          <w:szCs w:val="24"/>
        </w:rPr>
        <w:t xml:space="preserve"> ARMA models are inadequate to properly describe non-stationary time series, which are frequently encountered in practice. For this </w:t>
      </w:r>
      <w:r w:rsidR="00E91B7D" w:rsidRPr="00B44D0D">
        <w:rPr>
          <w:rFonts w:ascii="Times New Roman" w:hAnsi="Times New Roman"/>
          <w:sz w:val="24"/>
          <w:szCs w:val="24"/>
        </w:rPr>
        <w:t>reason,</w:t>
      </w:r>
      <w:r w:rsidRPr="00B44D0D">
        <w:rPr>
          <w:rFonts w:ascii="Times New Roman" w:hAnsi="Times New Roman"/>
          <w:sz w:val="24"/>
          <w:szCs w:val="24"/>
        </w:rPr>
        <w:t xml:space="preserve"> the ARIMA model is proposed, which is a generalization of an ARMA model to include the case of non-stationarity as well. </w:t>
      </w:r>
    </w:p>
    <w:p w14:paraId="740A17A1" w14:textId="4CAECFCE" w:rsidR="00454904" w:rsidRPr="00B44D0D" w:rsidRDefault="00454904" w:rsidP="00E91B7D">
      <w:pPr>
        <w:spacing w:line="360" w:lineRule="auto"/>
        <w:jc w:val="both"/>
        <w:rPr>
          <w:rFonts w:ascii="Times New Roman" w:hAnsi="Times New Roman"/>
          <w:sz w:val="24"/>
          <w:szCs w:val="24"/>
        </w:rPr>
      </w:pPr>
      <w:r w:rsidRPr="00B44D0D">
        <w:rPr>
          <w:rFonts w:ascii="Times New Roman" w:hAnsi="Times New Roman"/>
          <w:sz w:val="24"/>
          <w:szCs w:val="24"/>
        </w:rPr>
        <w:lastRenderedPageBreak/>
        <w:t xml:space="preserve">In ARIMA models a non-stationary time series is made stationary by applying finite differencing of the data points. The mathematical formulation of the </w:t>
      </w:r>
      <w:r w:rsidR="001C0BBF" w:rsidRPr="00B44D0D">
        <w:rPr>
          <w:rFonts w:ascii="Times New Roman" w:hAnsi="Times New Roman"/>
          <w:sz w:val="24"/>
          <w:szCs w:val="24"/>
        </w:rPr>
        <w:t>ARIMA (p, d, q</w:t>
      </w:r>
      <w:r w:rsidRPr="00B44D0D">
        <w:rPr>
          <w:rFonts w:ascii="Times New Roman" w:hAnsi="Times New Roman"/>
          <w:sz w:val="24"/>
          <w:szCs w:val="24"/>
        </w:rPr>
        <w:t>) model using lag polynomials is given below:</w:t>
      </w:r>
    </w:p>
    <w:p w14:paraId="42396955" w14:textId="77777777" w:rsidR="00454904" w:rsidRPr="00B44D0D" w:rsidRDefault="00454904" w:rsidP="00454904">
      <w:pPr>
        <w:jc w:val="both"/>
        <w:rPr>
          <w:rFonts w:ascii="Times New Roman" w:eastAsiaTheme="minorEastAsia" w:hAnsi="Times New Roman"/>
          <w:sz w:val="24"/>
          <w:szCs w:val="24"/>
        </w:rPr>
      </w:pPr>
      <m:oMathPara>
        <m:oMath>
          <m:r>
            <w:rPr>
              <w:rFonts w:ascii="Cambria Math" w:hAnsi="Cambria Math"/>
              <w:sz w:val="24"/>
              <w:szCs w:val="24"/>
            </w:rPr>
            <m:t>φ</m:t>
          </m:r>
          <m:d>
            <m:dPr>
              <m:ctrlPr>
                <w:rPr>
                  <w:rFonts w:ascii="Cambria Math" w:hAnsi="Cambria Math"/>
                  <w:i/>
                  <w:sz w:val="24"/>
                  <w:szCs w:val="24"/>
                </w:rPr>
              </m:ctrlPr>
            </m:dPr>
            <m:e>
              <m:r>
                <w:rPr>
                  <w:rFonts w:ascii="Cambria Math" w:hAnsi="Cambria Math"/>
                  <w:sz w:val="24"/>
                  <w:szCs w:val="24"/>
                </w:rPr>
                <m:t>L</m:t>
              </m:r>
            </m:e>
          </m:d>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1-L</m:t>
                  </m:r>
                </m:e>
              </m:d>
            </m:e>
            <m:sup>
              <m:r>
                <w:rPr>
                  <w:rFonts w:ascii="Cambria Math" w:hAnsi="Cambria Math"/>
                  <w:sz w:val="24"/>
                  <w:szCs w:val="24"/>
                </w:rPr>
                <m:t>d</m:t>
              </m:r>
            </m:sup>
          </m:s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 θ</m:t>
          </m:r>
          <m:d>
            <m:dPr>
              <m:ctrlPr>
                <w:rPr>
                  <w:rFonts w:ascii="Cambria Math" w:hAnsi="Cambria Math"/>
                  <w:i/>
                  <w:sz w:val="24"/>
                  <w:szCs w:val="24"/>
                </w:rPr>
              </m:ctrlPr>
            </m:dPr>
            <m:e>
              <m:r>
                <w:rPr>
                  <w:rFonts w:ascii="Cambria Math" w:hAnsi="Cambria Math"/>
                  <w:sz w:val="24"/>
                  <w:szCs w:val="24"/>
                </w:rPr>
                <m:t>L</m:t>
              </m:r>
            </m:e>
          </m:d>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 i.e.</m:t>
          </m:r>
        </m:oMath>
      </m:oMathPara>
    </w:p>
    <w:p w14:paraId="2F8AC6CF" w14:textId="77777777" w:rsidR="00454904" w:rsidRPr="00B44D0D" w:rsidRDefault="002C15FD" w:rsidP="00454904">
      <w:pPr>
        <w:jc w:val="both"/>
        <w:rPr>
          <w:rFonts w:ascii="Times New Roman" w:hAnsi="Times New Roman"/>
          <w:sz w:val="24"/>
          <w:szCs w:val="24"/>
        </w:rPr>
      </w:pPr>
      <m:oMathPara>
        <m:oMath>
          <m:d>
            <m:dPr>
              <m:ctrlPr>
                <w:rPr>
                  <w:rFonts w:ascii="Cambria Math" w:hAnsi="Cambria Math"/>
                  <w:i/>
                  <w:sz w:val="24"/>
                  <w:szCs w:val="24"/>
                </w:rPr>
              </m:ctrlPr>
            </m:dPr>
            <m:e>
              <m:r>
                <w:rPr>
                  <w:rFonts w:ascii="Cambria Math" w:hAnsi="Cambria Math"/>
                  <w:sz w:val="24"/>
                  <w:szCs w:val="24"/>
                </w:rPr>
                <m:t xml:space="preserve">1-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i</m:t>
                      </m:r>
                    </m:sub>
                  </m:sSub>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i</m:t>
                      </m:r>
                    </m:sup>
                  </m:sSup>
                </m:e>
              </m:nary>
            </m:e>
          </m:d>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1-L</m:t>
                  </m:r>
                </m:e>
              </m:d>
            </m:e>
            <m:sup>
              <m:r>
                <w:rPr>
                  <w:rFonts w:ascii="Cambria Math" w:hAnsi="Cambria Math"/>
                  <w:sz w:val="24"/>
                  <w:szCs w:val="24"/>
                </w:rPr>
                <m:t>d</m:t>
              </m:r>
            </m:sup>
          </m:s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eastAsiaTheme="minorEastAsia" w:hAnsi="Cambria Math"/>
              <w:sz w:val="24"/>
              <w:szCs w:val="24"/>
            </w:rPr>
            <m:t xml:space="preserve"> = </m:t>
          </m:r>
          <m:d>
            <m:dPr>
              <m:ctrlPr>
                <w:rPr>
                  <w:rFonts w:ascii="Cambria Math" w:eastAsiaTheme="minorEastAsia" w:hAnsi="Cambria Math"/>
                  <w:i/>
                  <w:sz w:val="24"/>
                  <w:szCs w:val="24"/>
                </w:rPr>
              </m:ctrlPr>
            </m:dPr>
            <m:e>
              <m:r>
                <w:rPr>
                  <w:rFonts w:ascii="Cambria Math" w:eastAsiaTheme="minorEastAsia" w:hAnsi="Cambria Math"/>
                  <w:sz w:val="24"/>
                  <w:szCs w:val="24"/>
                </w:rPr>
                <m:t xml:space="preserve">1+ </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j=1</m:t>
                  </m:r>
                </m:sub>
                <m:sup>
                  <m:r>
                    <w:rPr>
                      <w:rFonts w:ascii="Cambria Math" w:eastAsiaTheme="minorEastAsia" w:hAnsi="Cambria Math"/>
                      <w:sz w:val="24"/>
                      <w:szCs w:val="24"/>
                    </w:rPr>
                    <m:t>q</m:t>
                  </m:r>
                </m:sup>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j</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j</m:t>
                      </m:r>
                    </m:sup>
                  </m:sSup>
                </m:e>
              </m:nary>
            </m:e>
          </m:d>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j</m:t>
              </m:r>
            </m:sub>
          </m:sSub>
        </m:oMath>
      </m:oMathPara>
    </w:p>
    <w:p w14:paraId="79F9C05F" w14:textId="77777777" w:rsidR="00454904" w:rsidRPr="00B44D0D" w:rsidRDefault="00454904"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 Here, p, d and q are integers greater than or equal to zero and refer to the order of the autoregressive, integrated, and moving average parts of the model respectively. </w:t>
      </w:r>
    </w:p>
    <w:p w14:paraId="7D560028" w14:textId="47DBAC8A" w:rsidR="00454904" w:rsidRPr="00B44D0D" w:rsidRDefault="00454904"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The integer d controls the level of differencing. </w:t>
      </w:r>
      <w:r w:rsidR="00E91B7D" w:rsidRPr="00B44D0D">
        <w:rPr>
          <w:rFonts w:ascii="Times New Roman" w:hAnsi="Times New Roman"/>
          <w:sz w:val="24"/>
          <w:szCs w:val="24"/>
        </w:rPr>
        <w:t>Generally,</w:t>
      </w:r>
      <w:r w:rsidRPr="00B44D0D">
        <w:rPr>
          <w:rFonts w:ascii="Times New Roman" w:hAnsi="Times New Roman"/>
          <w:sz w:val="24"/>
          <w:szCs w:val="24"/>
        </w:rPr>
        <w:t xml:space="preserve"> d=1 is enough in most cases. When d=0, then it reduces to an </w:t>
      </w:r>
      <w:r w:rsidR="00E91B7D" w:rsidRPr="00B44D0D">
        <w:rPr>
          <w:rFonts w:ascii="Times New Roman" w:hAnsi="Times New Roman"/>
          <w:sz w:val="24"/>
          <w:szCs w:val="24"/>
        </w:rPr>
        <w:t>ARMA (</w:t>
      </w:r>
      <w:r w:rsidRPr="00B44D0D">
        <w:rPr>
          <w:rFonts w:ascii="Times New Roman" w:hAnsi="Times New Roman"/>
          <w:sz w:val="24"/>
          <w:szCs w:val="24"/>
        </w:rPr>
        <w:t>p,</w:t>
      </w:r>
      <w:r w:rsidR="00E91B7D">
        <w:rPr>
          <w:rFonts w:ascii="Times New Roman" w:hAnsi="Times New Roman"/>
          <w:sz w:val="24"/>
          <w:szCs w:val="24"/>
        </w:rPr>
        <w:t xml:space="preserve"> </w:t>
      </w:r>
      <w:r w:rsidRPr="00B44D0D">
        <w:rPr>
          <w:rFonts w:ascii="Times New Roman" w:hAnsi="Times New Roman"/>
          <w:sz w:val="24"/>
          <w:szCs w:val="24"/>
        </w:rPr>
        <w:t xml:space="preserve">q) model.  </w:t>
      </w:r>
    </w:p>
    <w:p w14:paraId="67510447" w14:textId="3B414764" w:rsidR="00454904" w:rsidRPr="00B44D0D" w:rsidRDefault="00454904" w:rsidP="00454904">
      <w:pPr>
        <w:jc w:val="both"/>
        <w:rPr>
          <w:rFonts w:ascii="Times New Roman" w:hAnsi="Times New Roman"/>
          <w:sz w:val="24"/>
          <w:szCs w:val="24"/>
        </w:rPr>
      </w:pPr>
      <w:r w:rsidRPr="00B44D0D">
        <w:rPr>
          <w:rFonts w:ascii="Times New Roman" w:hAnsi="Times New Roman"/>
          <w:sz w:val="24"/>
          <w:szCs w:val="24"/>
        </w:rPr>
        <w:t xml:space="preserve">An ARIMA(p,0,0) is nothing but the AR(p) model and </w:t>
      </w:r>
      <w:r w:rsidR="00E91B7D" w:rsidRPr="00B44D0D">
        <w:rPr>
          <w:rFonts w:ascii="Times New Roman" w:hAnsi="Times New Roman"/>
          <w:sz w:val="24"/>
          <w:szCs w:val="24"/>
        </w:rPr>
        <w:t>ARIMA (</w:t>
      </w:r>
      <w:r w:rsidRPr="00B44D0D">
        <w:rPr>
          <w:rFonts w:ascii="Times New Roman" w:hAnsi="Times New Roman"/>
          <w:sz w:val="24"/>
          <w:szCs w:val="24"/>
        </w:rPr>
        <w:t>0,</w:t>
      </w:r>
      <w:r w:rsidR="00E91B7D" w:rsidRPr="00B44D0D">
        <w:rPr>
          <w:rFonts w:ascii="Times New Roman" w:hAnsi="Times New Roman"/>
          <w:sz w:val="24"/>
          <w:szCs w:val="24"/>
        </w:rPr>
        <w:t>0, q</w:t>
      </w:r>
      <w:r w:rsidRPr="00B44D0D">
        <w:rPr>
          <w:rFonts w:ascii="Times New Roman" w:hAnsi="Times New Roman"/>
          <w:sz w:val="24"/>
          <w:szCs w:val="24"/>
        </w:rPr>
        <w:t>) is the MA(q) model.</w:t>
      </w:r>
    </w:p>
    <w:p w14:paraId="2A1DFA7A" w14:textId="5BAC32F9" w:rsidR="00454904" w:rsidRPr="00B44D0D" w:rsidRDefault="00E91B7D" w:rsidP="00E91B7D">
      <w:pPr>
        <w:spacing w:line="360" w:lineRule="auto"/>
        <w:jc w:val="both"/>
        <w:rPr>
          <w:rFonts w:ascii="Times New Roman" w:hAnsi="Times New Roman"/>
          <w:sz w:val="24"/>
          <w:szCs w:val="24"/>
        </w:rPr>
      </w:pPr>
      <w:r w:rsidRPr="00B44D0D">
        <w:rPr>
          <w:rFonts w:ascii="Times New Roman" w:hAnsi="Times New Roman"/>
          <w:sz w:val="24"/>
          <w:szCs w:val="24"/>
          <w:lang w:val="es-AR"/>
        </w:rPr>
        <w:t>ARIMA (</w:t>
      </w:r>
      <w:r w:rsidR="00454904" w:rsidRPr="00B44D0D">
        <w:rPr>
          <w:rFonts w:ascii="Times New Roman" w:hAnsi="Times New Roman"/>
          <w:sz w:val="24"/>
          <w:szCs w:val="24"/>
          <w:lang w:val="es-AR"/>
        </w:rPr>
        <w:t xml:space="preserve">0,1,0), i.e.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lang w:val="es-AR"/>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r>
              <w:rPr>
                <w:rFonts w:ascii="Cambria Math" w:hAnsi="Cambria Math"/>
                <w:sz w:val="24"/>
                <w:szCs w:val="24"/>
                <w:lang w:val="es-AR"/>
              </w:rPr>
              <m:t>-1</m:t>
            </m:r>
          </m:sub>
        </m:sSub>
        <m:r>
          <w:rPr>
            <w:rFonts w:ascii="Cambria Math" w:hAnsi="Cambria Math"/>
            <w:sz w:val="24"/>
            <w:szCs w:val="24"/>
            <w:lang w:val="es-AR"/>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oMath>
      <w:r w:rsidR="00454904" w:rsidRPr="00B44D0D">
        <w:rPr>
          <w:rFonts w:ascii="Times New Roman" w:hAnsi="Times New Roman"/>
          <w:sz w:val="24"/>
          <w:szCs w:val="24"/>
          <w:lang w:val="es-AR"/>
        </w:rPr>
        <w:t xml:space="preserve">  </w:t>
      </w:r>
      <w:r w:rsidR="00454904" w:rsidRPr="00B44D0D">
        <w:rPr>
          <w:rFonts w:ascii="Times New Roman" w:hAnsi="Times New Roman"/>
          <w:sz w:val="24"/>
          <w:szCs w:val="24"/>
        </w:rPr>
        <w:t xml:space="preserve">is a special one and known as the Random Walk model. It is widely used for non-stationary data, like economic and stock price series.  </w:t>
      </w:r>
    </w:p>
    <w:p w14:paraId="5B1ED643" w14:textId="2ED8913A" w:rsidR="00454904" w:rsidRPr="00B44D0D" w:rsidRDefault="00454904" w:rsidP="00E91B7D">
      <w:pPr>
        <w:spacing w:line="360" w:lineRule="auto"/>
        <w:jc w:val="both"/>
        <w:rPr>
          <w:rFonts w:ascii="Times New Roman" w:hAnsi="Times New Roman"/>
          <w:sz w:val="24"/>
          <w:szCs w:val="24"/>
        </w:rPr>
      </w:pPr>
      <w:r w:rsidRPr="00B44D0D">
        <w:rPr>
          <w:rFonts w:ascii="Times New Roman" w:hAnsi="Times New Roman"/>
          <w:sz w:val="24"/>
          <w:szCs w:val="24"/>
        </w:rPr>
        <w:t xml:space="preserve">A useful generalization of ARIMA models is the Autoregressive Fractionally Integrated Moving Average (ARFIMA) model, which allows non-integer values of the differencing parameter d. ARFIMA has useful application in </w:t>
      </w:r>
      <w:r w:rsidR="00E91B7D" w:rsidRPr="00B44D0D">
        <w:rPr>
          <w:rFonts w:ascii="Times New Roman" w:hAnsi="Times New Roman"/>
          <w:sz w:val="24"/>
          <w:szCs w:val="24"/>
        </w:rPr>
        <w:t>modelling</w:t>
      </w:r>
      <w:r w:rsidRPr="00B44D0D">
        <w:rPr>
          <w:rFonts w:ascii="Times New Roman" w:hAnsi="Times New Roman"/>
          <w:sz w:val="24"/>
          <w:szCs w:val="24"/>
        </w:rPr>
        <w:t xml:space="preserve"> time series with long memory. In this model the expansion of the term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1-L</m:t>
                </m:r>
              </m:e>
            </m:d>
          </m:e>
          <m:sup>
            <m:r>
              <w:rPr>
                <w:rFonts w:ascii="Cambria Math" w:hAnsi="Cambria Math"/>
                <w:sz w:val="24"/>
                <w:szCs w:val="24"/>
              </w:rPr>
              <m:t>d</m:t>
            </m:r>
          </m:sup>
        </m:sSup>
      </m:oMath>
      <w:r w:rsidRPr="00B44D0D">
        <w:rPr>
          <w:rFonts w:ascii="Times New Roman" w:hAnsi="Times New Roman"/>
          <w:sz w:val="24"/>
          <w:szCs w:val="24"/>
        </w:rPr>
        <w:t xml:space="preserve">  is to be done by using the general binomial theorem. Various contributions have been made by researchers towards the estimation of the general ARFIMA parameters.</w:t>
      </w:r>
    </w:p>
    <w:p w14:paraId="490EAE2B" w14:textId="7E72A276" w:rsidR="00454904" w:rsidRPr="00644B9B" w:rsidRDefault="006C6F9C" w:rsidP="00E91B7D">
      <w:pPr>
        <w:pStyle w:val="Heading2"/>
      </w:pPr>
      <w:bookmarkStart w:id="47" w:name="_Toc90499943"/>
      <w:r>
        <w:t>1.</w:t>
      </w:r>
      <w:r w:rsidR="00E62031">
        <w:t xml:space="preserve">3.8 </w:t>
      </w:r>
      <w:r w:rsidR="00644B9B" w:rsidRPr="00644B9B">
        <w:t>ARMA Filter</w:t>
      </w:r>
      <w:bookmarkEnd w:id="47"/>
      <w:r w:rsidR="00644B9B" w:rsidRPr="00644B9B">
        <w:t xml:space="preserve"> </w:t>
      </w:r>
    </w:p>
    <w:p w14:paraId="533C7BB1" w14:textId="77777777" w:rsidR="00644B9B" w:rsidRPr="00644B9B" w:rsidRDefault="00644B9B" w:rsidP="00E91B7D">
      <w:pPr>
        <w:pStyle w:val="NormalWeb"/>
        <w:spacing w:before="0" w:beforeAutospacing="0" w:after="240" w:afterAutospacing="0" w:line="360" w:lineRule="auto"/>
        <w:jc w:val="both"/>
        <w:rPr>
          <w:color w:val="0D0D0D" w:themeColor="text1" w:themeTint="F2"/>
        </w:rPr>
      </w:pPr>
      <w:r w:rsidRPr="00644B9B">
        <w:rPr>
          <w:color w:val="0D0D0D" w:themeColor="text1" w:themeTint="F2"/>
        </w:rPr>
        <w:t>Autoregressive-moving average (ARMA) processes are often used for modelling stationary time series. How to select an appropriate ARMA model for an observed time series is an indispensable and integrated part of statistical data analysis of ARMA processes.</w:t>
      </w:r>
    </w:p>
    <w:p w14:paraId="5262077F" w14:textId="77777777" w:rsidR="00644B9B" w:rsidRDefault="00644B9B" w:rsidP="00E91B7D">
      <w:pPr>
        <w:pStyle w:val="NormalWeb"/>
        <w:spacing w:before="0" w:beforeAutospacing="0" w:after="0" w:afterAutospacing="0" w:line="360" w:lineRule="auto"/>
        <w:jc w:val="both"/>
        <w:rPr>
          <w:color w:val="0D0D0D" w:themeColor="text1" w:themeTint="F2"/>
        </w:rPr>
      </w:pPr>
      <w:r w:rsidRPr="00644B9B">
        <w:rPr>
          <w:color w:val="0D0D0D" w:themeColor="text1" w:themeTint="F2"/>
        </w:rPr>
        <w:t>Many ARMA model selection procedures and methods are available in literature and practice which either preliminarily identify candidate ARMA models or formally search for the best ones. These include, among others, the graphic methods based on the autocorrelation and partial autocorrelation functions (ACF and PACF in </w:t>
      </w:r>
      <w:bookmarkStart w:id="48" w:name="bbib4"/>
      <w:r w:rsidRPr="00644B9B">
        <w:rPr>
          <w:color w:val="0D0D0D" w:themeColor="text1" w:themeTint="F2"/>
        </w:rPr>
        <w:fldChar w:fldCharType="begin"/>
      </w:r>
      <w:r w:rsidRPr="00644B9B">
        <w:rPr>
          <w:color w:val="0D0D0D" w:themeColor="text1" w:themeTint="F2"/>
        </w:rPr>
        <w:instrText xml:space="preserve"> HYPERLINK "https://www-sciencedirect-com.proxy.library.dmu.ac.uk/science/article/pii/S0167947306005202?via%3Dihub" \l "bib4" </w:instrText>
      </w:r>
      <w:r w:rsidRPr="00644B9B">
        <w:rPr>
          <w:color w:val="0D0D0D" w:themeColor="text1" w:themeTint="F2"/>
        </w:rPr>
        <w:fldChar w:fldCharType="separate"/>
      </w:r>
      <w:r w:rsidRPr="00644B9B">
        <w:rPr>
          <w:rStyle w:val="Hyperlink"/>
          <w:rFonts w:eastAsiaTheme="majorEastAsia"/>
          <w:color w:val="0D0D0D" w:themeColor="text1" w:themeTint="F2"/>
          <w:u w:val="none"/>
        </w:rPr>
        <w:t>Box et al., 1994</w:t>
      </w:r>
      <w:r w:rsidRPr="00644B9B">
        <w:rPr>
          <w:color w:val="0D0D0D" w:themeColor="text1" w:themeTint="F2"/>
        </w:rPr>
        <w:fldChar w:fldCharType="end"/>
      </w:r>
      <w:bookmarkEnd w:id="48"/>
      <w:r w:rsidRPr="00644B9B">
        <w:rPr>
          <w:color w:val="0D0D0D" w:themeColor="text1" w:themeTint="F2"/>
        </w:rPr>
        <w:t>) and the information-theoretic criteria such as AIC (</w:t>
      </w:r>
      <w:bookmarkStart w:id="49" w:name="bbib1"/>
      <w:r w:rsidRPr="00644B9B">
        <w:rPr>
          <w:color w:val="0D0D0D" w:themeColor="text1" w:themeTint="F2"/>
        </w:rPr>
        <w:fldChar w:fldCharType="begin"/>
      </w:r>
      <w:r w:rsidRPr="00644B9B">
        <w:rPr>
          <w:color w:val="0D0D0D" w:themeColor="text1" w:themeTint="F2"/>
        </w:rPr>
        <w:instrText xml:space="preserve"> HYPERLINK "https://www-sciencedirect-com.proxy.library.dmu.ac.uk/science/article/pii/S0167947306005202?via%3Dihub" \l "bib1" </w:instrText>
      </w:r>
      <w:r w:rsidRPr="00644B9B">
        <w:rPr>
          <w:color w:val="0D0D0D" w:themeColor="text1" w:themeTint="F2"/>
        </w:rPr>
        <w:fldChar w:fldCharType="separate"/>
      </w:r>
      <w:r w:rsidRPr="00644B9B">
        <w:rPr>
          <w:rStyle w:val="Hyperlink"/>
          <w:rFonts w:eastAsiaTheme="majorEastAsia"/>
          <w:color w:val="0D0D0D" w:themeColor="text1" w:themeTint="F2"/>
          <w:u w:val="none"/>
        </w:rPr>
        <w:t>Akaike, 1973</w:t>
      </w:r>
      <w:r w:rsidRPr="00644B9B">
        <w:rPr>
          <w:color w:val="0D0D0D" w:themeColor="text1" w:themeTint="F2"/>
        </w:rPr>
        <w:fldChar w:fldCharType="end"/>
      </w:r>
      <w:bookmarkEnd w:id="49"/>
      <w:r w:rsidRPr="00644B9B">
        <w:rPr>
          <w:color w:val="0D0D0D" w:themeColor="text1" w:themeTint="F2"/>
        </w:rPr>
        <w:t>, </w:t>
      </w:r>
      <w:bookmarkStart w:id="50" w:name="bbib2"/>
      <w:r w:rsidRPr="00644B9B">
        <w:rPr>
          <w:color w:val="0D0D0D" w:themeColor="text1" w:themeTint="F2"/>
        </w:rPr>
        <w:fldChar w:fldCharType="begin"/>
      </w:r>
      <w:r w:rsidRPr="00644B9B">
        <w:rPr>
          <w:color w:val="0D0D0D" w:themeColor="text1" w:themeTint="F2"/>
        </w:rPr>
        <w:instrText xml:space="preserve"> HYPERLINK "https://www-sciencedirect-com.proxy.library.dmu.ac.uk/science/article/pii/S0167947306005202?via%3Dihub" \l "bib2" </w:instrText>
      </w:r>
      <w:r w:rsidRPr="00644B9B">
        <w:rPr>
          <w:color w:val="0D0D0D" w:themeColor="text1" w:themeTint="F2"/>
        </w:rPr>
        <w:fldChar w:fldCharType="separate"/>
      </w:r>
      <w:r w:rsidRPr="00644B9B">
        <w:rPr>
          <w:rStyle w:val="Hyperlink"/>
          <w:rFonts w:eastAsiaTheme="majorEastAsia"/>
          <w:color w:val="0D0D0D" w:themeColor="text1" w:themeTint="F2"/>
          <w:u w:val="none"/>
        </w:rPr>
        <w:t>Akaike, 1974</w:t>
      </w:r>
      <w:r w:rsidRPr="00644B9B">
        <w:rPr>
          <w:color w:val="0D0D0D" w:themeColor="text1" w:themeTint="F2"/>
        </w:rPr>
        <w:fldChar w:fldCharType="end"/>
      </w:r>
      <w:bookmarkEnd w:id="50"/>
      <w:r>
        <w:rPr>
          <w:color w:val="0D0D0D" w:themeColor="text1" w:themeTint="F2"/>
        </w:rPr>
        <w:t xml:space="preserve">) and </w:t>
      </w:r>
      <w:r w:rsidRPr="00644B9B">
        <w:rPr>
          <w:color w:val="0D0D0D" w:themeColor="text1" w:themeTint="F2"/>
        </w:rPr>
        <w:t>BIC (</w:t>
      </w:r>
      <w:bookmarkStart w:id="51" w:name="bbib21"/>
      <w:r w:rsidRPr="00644B9B">
        <w:rPr>
          <w:color w:val="0D0D0D" w:themeColor="text1" w:themeTint="F2"/>
        </w:rPr>
        <w:fldChar w:fldCharType="begin"/>
      </w:r>
      <w:r w:rsidRPr="00644B9B">
        <w:rPr>
          <w:color w:val="0D0D0D" w:themeColor="text1" w:themeTint="F2"/>
        </w:rPr>
        <w:instrText xml:space="preserve"> HYPERLINK "https://www-sciencedirect-com.proxy.library.dmu.ac.uk/science/article/pii/S0167947306005202?via%3Dihub" \l "bib21" </w:instrText>
      </w:r>
      <w:r w:rsidRPr="00644B9B">
        <w:rPr>
          <w:color w:val="0D0D0D" w:themeColor="text1" w:themeTint="F2"/>
        </w:rPr>
        <w:fldChar w:fldCharType="separate"/>
      </w:r>
      <w:r w:rsidRPr="00644B9B">
        <w:rPr>
          <w:rStyle w:val="Hyperlink"/>
          <w:rFonts w:eastAsiaTheme="majorEastAsia"/>
          <w:color w:val="0D0D0D" w:themeColor="text1" w:themeTint="F2"/>
          <w:u w:val="none"/>
        </w:rPr>
        <w:t>Schwarz, 1978</w:t>
      </w:r>
      <w:r w:rsidRPr="00644B9B">
        <w:rPr>
          <w:color w:val="0D0D0D" w:themeColor="text1" w:themeTint="F2"/>
        </w:rPr>
        <w:fldChar w:fldCharType="end"/>
      </w:r>
      <w:bookmarkEnd w:id="51"/>
      <w:r w:rsidRPr="00644B9B">
        <w:rPr>
          <w:color w:val="0D0D0D" w:themeColor="text1" w:themeTint="F2"/>
        </w:rPr>
        <w:t>, </w:t>
      </w:r>
      <w:bookmarkStart w:id="52" w:name="bbib19"/>
      <w:proofErr w:type="spellStart"/>
      <w:r w:rsidRPr="00644B9B">
        <w:rPr>
          <w:color w:val="0D0D0D" w:themeColor="text1" w:themeTint="F2"/>
        </w:rPr>
        <w:fldChar w:fldCharType="begin"/>
      </w:r>
      <w:r w:rsidRPr="00644B9B">
        <w:rPr>
          <w:color w:val="0D0D0D" w:themeColor="text1" w:themeTint="F2"/>
        </w:rPr>
        <w:instrText xml:space="preserve"> HYPERLINK "https://www-sciencedirect-com.proxy.library.dmu.ac.uk/science/article/pii/S0167947306005202?via%3Dihub" \l "bib19" </w:instrText>
      </w:r>
      <w:r w:rsidRPr="00644B9B">
        <w:rPr>
          <w:color w:val="0D0D0D" w:themeColor="text1" w:themeTint="F2"/>
        </w:rPr>
        <w:fldChar w:fldCharType="separate"/>
      </w:r>
      <w:r w:rsidRPr="00644B9B">
        <w:rPr>
          <w:rStyle w:val="Hyperlink"/>
          <w:rFonts w:eastAsiaTheme="majorEastAsia"/>
          <w:color w:val="0D0D0D" w:themeColor="text1" w:themeTint="F2"/>
          <w:u w:val="none"/>
        </w:rPr>
        <w:t>Rissanen</w:t>
      </w:r>
      <w:proofErr w:type="spellEnd"/>
      <w:r w:rsidRPr="00644B9B">
        <w:rPr>
          <w:rStyle w:val="Hyperlink"/>
          <w:rFonts w:eastAsiaTheme="majorEastAsia"/>
          <w:color w:val="0D0D0D" w:themeColor="text1" w:themeTint="F2"/>
          <w:u w:val="none"/>
        </w:rPr>
        <w:t>, 1978</w:t>
      </w:r>
      <w:r w:rsidRPr="00644B9B">
        <w:rPr>
          <w:color w:val="0D0D0D" w:themeColor="text1" w:themeTint="F2"/>
        </w:rPr>
        <w:fldChar w:fldCharType="end"/>
      </w:r>
      <w:bookmarkEnd w:id="52"/>
      <w:r w:rsidRPr="00644B9B">
        <w:rPr>
          <w:color w:val="0D0D0D" w:themeColor="text1" w:themeTint="F2"/>
        </w:rPr>
        <w:t>)</w:t>
      </w:r>
      <w:r>
        <w:rPr>
          <w:color w:val="0D0D0D" w:themeColor="text1" w:themeTint="F2"/>
        </w:rPr>
        <w:t xml:space="preserve"> are used for this research.</w:t>
      </w:r>
      <w:r w:rsidRPr="00644B9B">
        <w:rPr>
          <w:color w:val="0D0D0D" w:themeColor="text1" w:themeTint="F2"/>
        </w:rPr>
        <w:t xml:space="preserve"> </w:t>
      </w:r>
    </w:p>
    <w:p w14:paraId="15C676F2" w14:textId="1B3363EC" w:rsidR="00644B9B" w:rsidRDefault="00644B9B" w:rsidP="00644B9B">
      <w:pPr>
        <w:pStyle w:val="NormalWeb"/>
        <w:spacing w:before="0" w:beforeAutospacing="0" w:after="0" w:afterAutospacing="0"/>
        <w:jc w:val="both"/>
        <w:rPr>
          <w:color w:val="0D0D0D" w:themeColor="text1" w:themeTint="F2"/>
        </w:rPr>
      </w:pPr>
    </w:p>
    <w:p w14:paraId="4AB3E0EC" w14:textId="4B2924F1" w:rsidR="00A24CE7" w:rsidRDefault="006C6F9C" w:rsidP="00A24CE7">
      <w:pPr>
        <w:pStyle w:val="Heading2"/>
      </w:pPr>
      <w:bookmarkStart w:id="53" w:name="_Toc90499944"/>
      <w:r>
        <w:t>1.</w:t>
      </w:r>
      <w:r w:rsidR="00E62031">
        <w:t xml:space="preserve">3.9 </w:t>
      </w:r>
      <w:r w:rsidR="00A24CE7">
        <w:t>Model Selection</w:t>
      </w:r>
      <w:bookmarkEnd w:id="53"/>
      <w:r w:rsidR="00A24CE7">
        <w:t xml:space="preserve"> </w:t>
      </w:r>
    </w:p>
    <w:p w14:paraId="3657C07E" w14:textId="20DE8E2F" w:rsidR="00A24CE7" w:rsidRPr="000478CA" w:rsidRDefault="00A24CE7" w:rsidP="0075381A">
      <w:pPr>
        <w:spacing w:line="360" w:lineRule="auto"/>
        <w:jc w:val="both"/>
        <w:rPr>
          <w:rFonts w:ascii="Times New Roman" w:hAnsi="Times New Roman" w:cs="Times New Roman"/>
          <w:sz w:val="24"/>
          <w:szCs w:val="24"/>
        </w:rPr>
      </w:pPr>
      <w:r w:rsidRPr="000478CA">
        <w:rPr>
          <w:rFonts w:ascii="Times New Roman" w:hAnsi="Times New Roman" w:cs="Times New Roman"/>
          <w:sz w:val="24"/>
          <w:szCs w:val="24"/>
        </w:rPr>
        <w:t>When comparing among different specification of ARMA-GARCH models, then we select an appropriate model based on Akaike Information Criteria (AIC)</w:t>
      </w:r>
      <w:r w:rsidR="0075381A">
        <w:rPr>
          <w:rFonts w:ascii="Times New Roman" w:hAnsi="Times New Roman" w:cs="Times New Roman"/>
          <w:sz w:val="24"/>
          <w:szCs w:val="24"/>
        </w:rPr>
        <w:t>.</w:t>
      </w:r>
    </w:p>
    <w:p w14:paraId="5F8060F0" w14:textId="15AF290B" w:rsidR="00A24CE7" w:rsidRPr="000478CA" w:rsidRDefault="00A24CE7" w:rsidP="00A24CE7">
      <m:oMathPara>
        <m:oMathParaPr>
          <m:jc m:val="center"/>
        </m:oMathParaPr>
        <m:oMath>
          <m:r>
            <w:rPr>
              <w:rFonts w:ascii="Cambria Math" w:hAnsi="Cambria Math"/>
              <w:sz w:val="28"/>
              <w:szCs w:val="28"/>
            </w:rPr>
            <m:t xml:space="preserve">AIC = -2ln(L) + 2k          </m:t>
          </m:r>
        </m:oMath>
      </m:oMathPara>
    </w:p>
    <w:p w14:paraId="5B13B5BF" w14:textId="3DE7BAE6" w:rsidR="00A24CE7" w:rsidRPr="000478CA" w:rsidRDefault="000478CA" w:rsidP="0075381A">
      <w:pPr>
        <w:spacing w:line="360" w:lineRule="auto"/>
        <w:jc w:val="both"/>
        <w:rPr>
          <w:rFonts w:ascii="Times New Roman" w:hAnsi="Times New Roman" w:cs="Times New Roman"/>
          <w:sz w:val="24"/>
          <w:szCs w:val="24"/>
        </w:rPr>
      </w:pPr>
      <w:r w:rsidRPr="000478CA">
        <w:rPr>
          <w:rFonts w:ascii="Times New Roman" w:hAnsi="Times New Roman" w:cs="Times New Roman"/>
          <w:sz w:val="24"/>
          <w:szCs w:val="24"/>
        </w:rPr>
        <w:t>and can be computed with t</w:t>
      </w:r>
      <w:r w:rsidR="00A24CE7" w:rsidRPr="000478CA">
        <w:rPr>
          <w:rFonts w:ascii="Times New Roman" w:hAnsi="Times New Roman" w:cs="Times New Roman"/>
          <w:color w:val="202122"/>
          <w:sz w:val="24"/>
          <w:szCs w:val="24"/>
          <w:shd w:val="clear" w:color="auto" w:fill="FFFFFF"/>
        </w:rPr>
        <w:t>he Bayesian information criterion (BIC) or Schwarz information criterion (also SIC, SBC, SBIC) is a criterion for </w:t>
      </w:r>
      <w:r w:rsidR="00A24CE7" w:rsidRPr="000478CA">
        <w:rPr>
          <w:rFonts w:ascii="Times New Roman" w:hAnsi="Times New Roman" w:cs="Times New Roman"/>
          <w:sz w:val="24"/>
          <w:szCs w:val="24"/>
          <w:shd w:val="clear" w:color="auto" w:fill="FFFFFF"/>
        </w:rPr>
        <w:t>model selection</w:t>
      </w:r>
      <w:r w:rsidR="00A24CE7" w:rsidRPr="000478CA">
        <w:rPr>
          <w:rFonts w:ascii="Times New Roman" w:hAnsi="Times New Roman" w:cs="Times New Roman"/>
          <w:color w:val="202122"/>
          <w:sz w:val="24"/>
          <w:szCs w:val="24"/>
          <w:shd w:val="clear" w:color="auto" w:fill="FFFFFF"/>
        </w:rPr>
        <w:t> among a finite set of models; the model with the lowest BIC is preferred. It is based, in part, on the </w:t>
      </w:r>
      <w:r w:rsidR="00A24CE7" w:rsidRPr="000478CA">
        <w:rPr>
          <w:rFonts w:ascii="Times New Roman" w:hAnsi="Times New Roman" w:cs="Times New Roman"/>
          <w:sz w:val="24"/>
          <w:szCs w:val="24"/>
          <w:shd w:val="clear" w:color="auto" w:fill="FFFFFF"/>
        </w:rPr>
        <w:t>likelihood function</w:t>
      </w:r>
      <w:r w:rsidR="00A24CE7" w:rsidRPr="000478CA">
        <w:rPr>
          <w:rFonts w:ascii="Times New Roman" w:hAnsi="Times New Roman" w:cs="Times New Roman"/>
          <w:color w:val="202122"/>
          <w:sz w:val="24"/>
          <w:szCs w:val="24"/>
          <w:shd w:val="clear" w:color="auto" w:fill="FFFFFF"/>
        </w:rPr>
        <w:t> and it is closely related to the </w:t>
      </w:r>
      <w:r w:rsidR="00A24CE7" w:rsidRPr="000478CA">
        <w:rPr>
          <w:rFonts w:ascii="Times New Roman" w:hAnsi="Times New Roman" w:cs="Times New Roman"/>
          <w:sz w:val="24"/>
          <w:szCs w:val="24"/>
          <w:shd w:val="clear" w:color="auto" w:fill="FFFFFF"/>
        </w:rPr>
        <w:t>Akaike information criterion</w:t>
      </w:r>
      <w:r w:rsidR="00A24CE7" w:rsidRPr="000478CA">
        <w:rPr>
          <w:rFonts w:ascii="Times New Roman" w:hAnsi="Times New Roman" w:cs="Times New Roman"/>
          <w:color w:val="202122"/>
          <w:sz w:val="24"/>
          <w:szCs w:val="24"/>
          <w:shd w:val="clear" w:color="auto" w:fill="FFFFFF"/>
        </w:rPr>
        <w:t> (AIC).</w:t>
      </w:r>
      <w:r w:rsidR="00A24CE7" w:rsidRPr="000478CA">
        <w:rPr>
          <w:rFonts w:ascii="Times New Roman" w:hAnsi="Times New Roman" w:cs="Times New Roman"/>
          <w:sz w:val="24"/>
          <w:szCs w:val="24"/>
        </w:rPr>
        <w:t xml:space="preserve">   </w:t>
      </w:r>
    </w:p>
    <w:p w14:paraId="7AF83B43" w14:textId="20066397" w:rsidR="000478CA" w:rsidRDefault="000478CA" w:rsidP="00A24CE7"/>
    <w:p w14:paraId="30276136" w14:textId="22F3F5AE" w:rsidR="000478CA" w:rsidRPr="000478CA" w:rsidRDefault="000478CA" w:rsidP="00A24CE7">
      <w:pPr>
        <w:rPr>
          <w:sz w:val="28"/>
          <w:szCs w:val="28"/>
        </w:rPr>
      </w:pPr>
      <m:oMathPara>
        <m:oMath>
          <m:r>
            <w:rPr>
              <w:rFonts w:ascii="Cambria Math" w:hAnsi="Cambria Math"/>
              <w:sz w:val="28"/>
              <w:szCs w:val="28"/>
            </w:rPr>
            <m:t>BIC=  kln</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r>
            <m:rPr>
              <m:sty m:val="p"/>
            </m:rPr>
            <w:rPr>
              <w:rFonts w:ascii="Cambria Math" w:hAnsi="Cambria Math"/>
              <w:sz w:val="28"/>
              <w:szCs w:val="28"/>
            </w:rPr>
            <m:t>ln⁡</m:t>
          </m:r>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L</m:t>
              </m:r>
            </m:e>
          </m:acc>
          <m:r>
            <w:rPr>
              <w:rFonts w:ascii="Cambria Math" w:hAnsi="Cambria Math"/>
              <w:sz w:val="28"/>
              <w:szCs w:val="28"/>
            </w:rPr>
            <m:t>)</m:t>
          </m:r>
        </m:oMath>
      </m:oMathPara>
    </w:p>
    <w:p w14:paraId="0C69E584" w14:textId="4754E331" w:rsidR="00A24CE7" w:rsidRDefault="00A24CE7" w:rsidP="0075381A">
      <w:pPr>
        <w:spacing w:line="360" w:lineRule="auto"/>
        <w:jc w:val="both"/>
        <w:rPr>
          <w:rFonts w:ascii="Times New Roman" w:hAnsi="Times New Roman" w:cs="Times New Roman"/>
          <w:sz w:val="24"/>
          <w:szCs w:val="24"/>
        </w:rPr>
      </w:pPr>
      <w:r w:rsidRPr="000478CA">
        <w:rPr>
          <w:rFonts w:ascii="Times New Roman" w:hAnsi="Times New Roman" w:cs="Times New Roman"/>
          <w:sz w:val="24"/>
          <w:szCs w:val="24"/>
        </w:rPr>
        <w:t>Where L is the value of the likelihood function evaluated at the parameter estimates, N is the number of observations, and k is the number of estimated parameters. The minimum value of AIC, and BIC was selected as the better model when comparing among models, respectively. When comparing among ARMA-GARCH models, the smallest value of MSE, RMSE and MAPE are chosen as the best accurate forecast model.</w:t>
      </w:r>
    </w:p>
    <w:p w14:paraId="454FBBFB" w14:textId="0D91B296" w:rsidR="00454904" w:rsidRPr="00B44D0D" w:rsidRDefault="006C6F9C" w:rsidP="00E91B7D">
      <w:pPr>
        <w:pStyle w:val="Heading2"/>
      </w:pPr>
      <w:bookmarkStart w:id="54" w:name="_Toc414019626"/>
      <w:bookmarkStart w:id="55" w:name="_Toc90499945"/>
      <w:r>
        <w:t>1.</w:t>
      </w:r>
      <w:r w:rsidR="00E62031">
        <w:t xml:space="preserve">3.10 </w:t>
      </w:r>
      <w:r w:rsidR="00454904" w:rsidRPr="00B44D0D">
        <w:t>Introduction to GARCH model</w:t>
      </w:r>
      <w:bookmarkEnd w:id="54"/>
      <w:bookmarkEnd w:id="55"/>
    </w:p>
    <w:p w14:paraId="1EEB5E02" w14:textId="2C1BA124"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Engle (1982) introduced the ARCH process which explicitly recognised the difference between the conditional and unconditional variance and also gives opportunity to change over time as a function of past error term. Weiss (1982) and </w:t>
      </w:r>
      <w:proofErr w:type="spellStart"/>
      <w:r w:rsidRPr="00B44D0D">
        <w:rPr>
          <w:rFonts w:ascii="Times New Roman" w:hAnsi="Times New Roman" w:cs="Times New Roman"/>
          <w:sz w:val="24"/>
          <w:szCs w:val="24"/>
        </w:rPr>
        <w:t>Milhoj</w:t>
      </w:r>
      <w:proofErr w:type="spellEnd"/>
      <w:r w:rsidRPr="00B44D0D">
        <w:rPr>
          <w:rFonts w:ascii="Times New Roman" w:hAnsi="Times New Roman" w:cs="Times New Roman"/>
          <w:sz w:val="24"/>
          <w:szCs w:val="24"/>
        </w:rPr>
        <w:t xml:space="preserve"> (1984) carried out the study for that type of new parametric class of models with their statistical properties for the immediate practical interest the limitation of ARCH </w:t>
      </w:r>
      <w:r w:rsidR="006C6F9C" w:rsidRPr="00B44D0D">
        <w:rPr>
          <w:rFonts w:ascii="Times New Roman" w:hAnsi="Times New Roman" w:cs="Times New Roman"/>
          <w:sz w:val="24"/>
          <w:szCs w:val="24"/>
        </w:rPr>
        <w:t>is</w:t>
      </w:r>
      <w:r w:rsidRPr="00B44D0D">
        <w:rPr>
          <w:rFonts w:ascii="Times New Roman" w:hAnsi="Times New Roman" w:cs="Times New Roman"/>
          <w:sz w:val="24"/>
          <w:szCs w:val="24"/>
        </w:rPr>
        <w:t xml:space="preserve"> considered and in order to overcome and implement this ARCH class of model was extended, so it can allow both the </w:t>
      </w:r>
      <w:r w:rsidR="001C0BBF" w:rsidRPr="00B44D0D">
        <w:rPr>
          <w:rFonts w:ascii="Times New Roman" w:hAnsi="Times New Roman" w:cs="Times New Roman"/>
          <w:sz w:val="24"/>
          <w:szCs w:val="24"/>
        </w:rPr>
        <w:t>long-term</w:t>
      </w:r>
      <w:r w:rsidRPr="00B44D0D">
        <w:rPr>
          <w:rFonts w:ascii="Times New Roman" w:hAnsi="Times New Roman" w:cs="Times New Roman"/>
          <w:sz w:val="24"/>
          <w:szCs w:val="24"/>
        </w:rPr>
        <w:t xml:space="preserve"> memory and a more flexible lag structure. Let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B44D0D">
        <w:rPr>
          <w:rFonts w:ascii="Times New Roman" w:eastAsiaTheme="minorEastAsia" w:hAnsi="Times New Roman" w:cs="Times New Roman"/>
          <w:sz w:val="24"/>
          <w:szCs w:val="24"/>
        </w:rPr>
        <w:t xml:space="preserve"> be denoted by a real value of discrete time stochastic process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t</m:t>
            </m:r>
          </m:sub>
        </m:sSub>
      </m:oMath>
      <w:r w:rsidRPr="00B44D0D">
        <w:rPr>
          <w:rFonts w:ascii="Times New Roman" w:eastAsiaTheme="minorEastAsia" w:hAnsi="Times New Roman" w:cs="Times New Roman"/>
          <w:sz w:val="24"/>
          <w:szCs w:val="24"/>
        </w:rPr>
        <w:t xml:space="preserve"> be the information set for all the information at time t then the GARCH (generalized autoregressive conditional heteroskedastic) process introduced by </w:t>
      </w:r>
      <w:proofErr w:type="spellStart"/>
      <w:r w:rsidRPr="00B44D0D">
        <w:rPr>
          <w:rFonts w:ascii="Times New Roman" w:hAnsi="Times New Roman" w:cs="Times New Roman"/>
          <w:sz w:val="24"/>
          <w:szCs w:val="24"/>
        </w:rPr>
        <w:t>Bollerslev</w:t>
      </w:r>
      <w:proofErr w:type="spellEnd"/>
      <w:r w:rsidRPr="00B44D0D">
        <w:rPr>
          <w:rFonts w:ascii="Times New Roman" w:hAnsi="Times New Roman" w:cs="Times New Roman"/>
          <w:sz w:val="24"/>
          <w:szCs w:val="24"/>
        </w:rPr>
        <w:t xml:space="preserve"> (1986), GARCH (1,1) </w:t>
      </w:r>
      <w:r w:rsidRPr="00B44D0D">
        <w:rPr>
          <w:rFonts w:ascii="Times New Roman" w:eastAsiaTheme="minorEastAsia" w:hAnsi="Times New Roman" w:cs="Times New Roman"/>
          <w:sz w:val="24"/>
          <w:szCs w:val="24"/>
        </w:rPr>
        <w:t>can be written as</w:t>
      </w:r>
    </w:p>
    <w:p w14:paraId="468233B0" w14:textId="77777777" w:rsidR="00454904" w:rsidRPr="00B44D0D" w:rsidRDefault="002C15FD" w:rsidP="00454904">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t-1</m:t>
              </m:r>
            </m:sub>
          </m:sSub>
        </m:oMath>
      </m:oMathPara>
    </w:p>
    <w:p w14:paraId="0C05D34A" w14:textId="77777777" w:rsidR="00454904" w:rsidRPr="00B44D0D" w:rsidRDefault="002C15FD" w:rsidP="00454904">
      <w:pP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q</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e>
          </m:nary>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p</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e>
          </m:nary>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oMath>
      </m:oMathPara>
    </w:p>
    <w:p w14:paraId="56876405" w14:textId="77777777" w:rsidR="00454904" w:rsidRPr="00B44D0D" w:rsidRDefault="00454904" w:rsidP="00454904">
      <w:pPr>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lastRenderedPageBreak/>
        <w:t xml:space="preserve">Where </w:t>
      </w:r>
    </w:p>
    <w:p w14:paraId="2314FF1E" w14:textId="77777777" w:rsidR="00454904" w:rsidRPr="00B44D0D" w:rsidRDefault="00454904" w:rsidP="0045490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p ≥0 ,       q&gt;0                                                             </m:t>
          </m:r>
        </m:oMath>
      </m:oMathPara>
    </w:p>
    <w:p w14:paraId="778BD991" w14:textId="77777777" w:rsidR="00454904" w:rsidRPr="00B44D0D" w:rsidRDefault="002C15FD" w:rsidP="004549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&gt;0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i=1, ….,q</m:t>
          </m:r>
        </m:oMath>
      </m:oMathPara>
    </w:p>
    <w:p w14:paraId="4B268E4E" w14:textId="77777777" w:rsidR="00454904" w:rsidRPr="00B44D0D" w:rsidRDefault="002C15FD" w:rsidP="004549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i=1, ….,p</m:t>
          </m:r>
        </m:oMath>
      </m:oMathPara>
    </w:p>
    <w:p w14:paraId="212E1F47" w14:textId="77777777" w:rsidR="00454904" w:rsidRPr="00B44D0D" w:rsidRDefault="00454904" w:rsidP="0045490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oMath>
      </m:oMathPara>
    </w:p>
    <w:p w14:paraId="0172B193" w14:textId="40587009" w:rsidR="00454904" w:rsidRPr="00B44D0D" w:rsidRDefault="00454904" w:rsidP="00E91B7D">
      <w:pPr>
        <w:spacing w:line="360" w:lineRule="auto"/>
        <w:jc w:val="both"/>
        <w:rPr>
          <w:rFonts w:ascii="Times New Roman" w:eastAsiaTheme="minorEastAsia" w:hAnsi="Times New Roman" w:cs="Times New Roman"/>
          <w:sz w:val="24"/>
          <w:szCs w:val="24"/>
        </w:rPr>
      </w:pPr>
      <w:proofErr w:type="spellStart"/>
      <w:r w:rsidRPr="00B44D0D">
        <w:rPr>
          <w:rFonts w:ascii="Times New Roman" w:hAnsi="Times New Roman" w:cs="Times New Roman"/>
          <w:sz w:val="24"/>
          <w:szCs w:val="24"/>
        </w:rPr>
        <w:t>Bollerslev</w:t>
      </w:r>
      <w:proofErr w:type="spellEnd"/>
      <w:r w:rsidRPr="00B44D0D">
        <w:rPr>
          <w:rFonts w:ascii="Times New Roman" w:hAnsi="Times New Roman" w:cs="Times New Roman"/>
          <w:sz w:val="24"/>
          <w:szCs w:val="24"/>
        </w:rPr>
        <w:t xml:space="preserve"> (1986) and Taylor (1986) introduced the generalized autoregressive conditional heteroskedastic GARCH model that is natural extension of Engle’s ARCH model design to capture some of the problems (stylized facts) in ARCH class of model. GARCH model is possibly the most widespread used in financial time series model and is similar in strength to an ARMA model. The efficiency of GARCH models can be categorized in two ways. The first one is symmetric GARCH models in which alternative distributions can be taken to forecasts the volatility in different financial markets. For </w:t>
      </w:r>
      <w:r w:rsidR="00F7280F" w:rsidRPr="00B44D0D">
        <w:rPr>
          <w:rFonts w:ascii="Times New Roman" w:hAnsi="Times New Roman" w:cs="Times New Roman"/>
          <w:sz w:val="24"/>
          <w:szCs w:val="24"/>
        </w:rPr>
        <w:t>instance,</w:t>
      </w:r>
      <w:r w:rsidRPr="00B44D0D">
        <w:rPr>
          <w:rFonts w:ascii="Times New Roman" w:hAnsi="Times New Roman" w:cs="Times New Roman"/>
          <w:sz w:val="24"/>
          <w:szCs w:val="24"/>
        </w:rPr>
        <w:t xml:space="preserve"> </w:t>
      </w:r>
      <w:proofErr w:type="spellStart"/>
      <w:r w:rsidRPr="00B44D0D">
        <w:rPr>
          <w:rFonts w:ascii="Times New Roman" w:hAnsi="Times New Roman" w:cs="Times New Roman"/>
          <w:sz w:val="24"/>
          <w:szCs w:val="24"/>
        </w:rPr>
        <w:t>Whilhelmesson</w:t>
      </w:r>
      <w:proofErr w:type="spellEnd"/>
      <w:r w:rsidRPr="00B44D0D">
        <w:rPr>
          <w:rFonts w:ascii="Times New Roman" w:hAnsi="Times New Roman" w:cs="Times New Roman"/>
          <w:sz w:val="24"/>
          <w:szCs w:val="24"/>
        </w:rPr>
        <w:t xml:space="preserve"> (2006) and Chaung </w:t>
      </w:r>
      <w:proofErr w:type="spellStart"/>
      <w:r w:rsidRPr="00B44D0D">
        <w:rPr>
          <w:rFonts w:ascii="Times New Roman" w:hAnsi="Times New Roman" w:cs="Times New Roman"/>
          <w:sz w:val="24"/>
          <w:szCs w:val="24"/>
        </w:rPr>
        <w:t>el</w:t>
      </w:r>
      <w:proofErr w:type="spellEnd"/>
      <w:r w:rsidRPr="00B44D0D">
        <w:rPr>
          <w:rFonts w:ascii="Times New Roman" w:hAnsi="Times New Roman" w:cs="Times New Roman"/>
          <w:sz w:val="24"/>
          <w:szCs w:val="24"/>
        </w:rPr>
        <w:t xml:space="preserve"> at. (2007) observed that the predictive ability of GARCH (1, 1) models for future returns with different error distributions by which the leptokurtic error distribution </w:t>
      </w:r>
      <w:r w:rsidR="00F7280F" w:rsidRPr="00B44D0D">
        <w:rPr>
          <w:rFonts w:ascii="Times New Roman" w:hAnsi="Times New Roman" w:cs="Times New Roman"/>
          <w:sz w:val="24"/>
          <w:szCs w:val="24"/>
        </w:rPr>
        <w:t>provides</w:t>
      </w:r>
      <w:r w:rsidRPr="00B44D0D">
        <w:rPr>
          <w:rFonts w:ascii="Times New Roman" w:hAnsi="Times New Roman" w:cs="Times New Roman"/>
          <w:sz w:val="24"/>
          <w:szCs w:val="24"/>
        </w:rPr>
        <w:t xml:space="preserve"> better variance forecasts for alternative forecasts horizon. The second category is to evaluate the predictive ability of different GARCH models with several conditions. Such as A-GARCH </w:t>
      </w:r>
      <w:r w:rsidRPr="00B44D0D">
        <w:rPr>
          <w:rFonts w:ascii="Times New Roman" w:eastAsiaTheme="minorEastAsia" w:hAnsi="Times New Roman" w:cs="Times New Roman"/>
          <w:sz w:val="24"/>
          <w:szCs w:val="24"/>
        </w:rPr>
        <w:t xml:space="preserve">model was firstly suggested by Engle (1990) and later on discussed by Engle and Ng (1993), </w:t>
      </w:r>
      <w:proofErr w:type="spellStart"/>
      <w:r w:rsidRPr="00B44D0D">
        <w:rPr>
          <w:rFonts w:ascii="Times New Roman" w:eastAsiaTheme="minorEastAsia" w:hAnsi="Times New Roman" w:cs="Times New Roman"/>
          <w:sz w:val="24"/>
          <w:szCs w:val="24"/>
        </w:rPr>
        <w:t>Glosten</w:t>
      </w:r>
      <w:proofErr w:type="spellEnd"/>
      <w:r w:rsidRPr="00B44D0D">
        <w:rPr>
          <w:rFonts w:ascii="Times New Roman" w:eastAsiaTheme="minorEastAsia" w:hAnsi="Times New Roman" w:cs="Times New Roman"/>
          <w:sz w:val="24"/>
          <w:szCs w:val="24"/>
        </w:rPr>
        <w:t xml:space="preserve"> (1993) introduced the GJR-GARCH model in term of an alternative edition of the asymmetric models of Engel et al. (1990) In GJR-GARCH model the asymmetric response is bounded by only the negative shocks of the market. Although, there is also single extra parameter for leverage, and Nelson (1991) introduced the exponential GARCH model or E-GARCH for formulating the conditional variance equation to implement the method of ensuring that the variance is positive and do not need to impose the constraints on the coefficients.</w:t>
      </w:r>
    </w:p>
    <w:p w14:paraId="7EBA420B" w14:textId="7944E730" w:rsidR="00454904" w:rsidRPr="00B44D0D" w:rsidRDefault="0065539B" w:rsidP="00C83870">
      <w:pPr>
        <w:pStyle w:val="Heading2"/>
      </w:pPr>
      <w:bookmarkStart w:id="56" w:name="_Toc414019628"/>
      <w:bookmarkStart w:id="57" w:name="_Toc90499946"/>
      <w:r>
        <w:t>1.</w:t>
      </w:r>
      <w:r w:rsidR="00E62031">
        <w:t xml:space="preserve">3.11 </w:t>
      </w:r>
      <w:r w:rsidR="00454904" w:rsidRPr="00B44D0D">
        <w:t>Symmetric GARCH model</w:t>
      </w:r>
      <w:bookmarkEnd w:id="56"/>
      <w:bookmarkEnd w:id="57"/>
    </w:p>
    <w:p w14:paraId="4A84A182" w14:textId="77777777" w:rsidR="00454904" w:rsidRPr="00B44D0D" w:rsidRDefault="00454904" w:rsidP="00E91B7D">
      <w:pPr>
        <w:spacing w:line="360" w:lineRule="auto"/>
        <w:jc w:val="both"/>
        <w:rPr>
          <w:rFonts w:ascii="Times New Roman" w:eastAsiaTheme="minorEastAsia" w:hAnsi="Times New Roman" w:cs="Times New Roman"/>
          <w:sz w:val="24"/>
          <w:szCs w:val="24"/>
        </w:rPr>
      </w:pPr>
      <w:proofErr w:type="spellStart"/>
      <w:r w:rsidRPr="00B44D0D">
        <w:rPr>
          <w:rFonts w:ascii="Times New Roman" w:hAnsi="Times New Roman" w:cs="Times New Roman"/>
          <w:sz w:val="24"/>
          <w:szCs w:val="24"/>
        </w:rPr>
        <w:t>Bollerslev</w:t>
      </w:r>
      <w:proofErr w:type="spellEnd"/>
      <w:r w:rsidRPr="00B44D0D">
        <w:rPr>
          <w:rFonts w:ascii="Times New Roman" w:hAnsi="Times New Roman" w:cs="Times New Roman"/>
          <w:sz w:val="24"/>
          <w:szCs w:val="24"/>
        </w:rPr>
        <w:t xml:space="preserve"> (1986) and Taylor (1986) were developed the GARCH model independently. The GARCH model gives the opportunity to conditional variance to be dependent upon the previous own lags, therefore the conditional variance equation can be written as</w:t>
      </w:r>
    </w:p>
    <w:p w14:paraId="5D34E40C" w14:textId="77777777" w:rsidR="00454904" w:rsidRPr="00B44D0D" w:rsidRDefault="00454904" w:rsidP="00E91B7D">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hAnsi="Cambria Math" w:cs="Times New Roman"/>
              <w:sz w:val="24"/>
              <w:szCs w:val="24"/>
            </w:rPr>
            <m:t>ω+ α</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ε</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β</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xml:space="preserve">,    </m:t>
          </m:r>
        </m:oMath>
      </m:oMathPara>
    </w:p>
    <w:p w14:paraId="511D88CF" w14:textId="4C8D384D" w:rsidR="00454904"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 Where</w:t>
      </w:r>
      <w:r w:rsidRPr="00B44D0D">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oMath>
      <w:r w:rsidRPr="00B44D0D">
        <w:rPr>
          <w:rFonts w:ascii="Times New Roman" w:eastAsiaTheme="minorEastAsia" w:hAnsi="Times New Roman" w:cs="Times New Roman"/>
          <w:sz w:val="24"/>
          <w:szCs w:val="24"/>
        </w:rPr>
        <w:t xml:space="preserve"> is known as the conditional variance, as it is one-period ahead estimate provided any past information by calculated variance. It is possible to describe the current fitted variance </w:t>
      </w:r>
      <w:r w:rsidRPr="00B44D0D">
        <w:rPr>
          <w:rFonts w:ascii="Times New Roman" w:eastAsiaTheme="minorEastAsia" w:hAnsi="Times New Roman" w:cs="Times New Roman"/>
          <w:sz w:val="24"/>
          <w:szCs w:val="24"/>
        </w:rPr>
        <w:lastRenderedPageBreak/>
        <w:t>by GARCH model from the information of volatility in terms of weighted fu</w:t>
      </w:r>
      <w:proofErr w:type="spellStart"/>
      <w:r w:rsidRPr="00B44D0D">
        <w:rPr>
          <w:rFonts w:ascii="Times New Roman" w:eastAsiaTheme="minorEastAsia" w:hAnsi="Times New Roman" w:cs="Times New Roman"/>
          <w:sz w:val="24"/>
          <w:szCs w:val="24"/>
        </w:rPr>
        <w:t>nction</w:t>
      </w:r>
      <w:proofErr w:type="spellEnd"/>
      <w:r w:rsidRPr="00B44D0D">
        <w:rPr>
          <w:rFonts w:ascii="Times New Roman" w:eastAsiaTheme="minorEastAsia" w:hAnsi="Times New Roman" w:cs="Times New Roman"/>
          <w:sz w:val="24"/>
          <w:szCs w:val="24"/>
        </w:rPr>
        <w:t xml:space="preserve"> of a </w:t>
      </w:r>
      <w:r w:rsidR="001C0BBF"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average value during the previous period </w:t>
      </w:r>
      <m:oMath>
        <m:r>
          <m:rPr>
            <m:sty m:val="p"/>
          </m:rPr>
          <w:rPr>
            <w:rFonts w:ascii="Cambria Math" w:hAnsi="Cambria Math" w:cs="Times New Roman"/>
            <w:sz w:val="24"/>
            <w:szCs w:val="24"/>
          </w:rPr>
          <m:t>α</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ε</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oMath>
      <w:r w:rsidRPr="00B44D0D">
        <w:rPr>
          <w:rFonts w:ascii="Times New Roman" w:eastAsiaTheme="minorEastAsia" w:hAnsi="Times New Roman" w:cs="Times New Roman"/>
          <w:sz w:val="24"/>
          <w:szCs w:val="24"/>
        </w:rPr>
        <w:t xml:space="preserve"> and the fitted variance from the model </w:t>
      </w:r>
      <m:oMath>
        <m:r>
          <m:rPr>
            <m:sty m:val="p"/>
          </m:rPr>
          <w:rPr>
            <w:rFonts w:ascii="Cambria Math" w:hAnsi="Cambria Math" w:cs="Times New Roman"/>
            <w:sz w:val="24"/>
            <w:szCs w:val="24"/>
          </w:rPr>
          <m:t>β</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w:rPr>
            <w:rFonts w:ascii="Cambria Math" w:eastAsiaTheme="minorEastAsia" w:hAnsi="Cambria Math" w:cs="Times New Roman"/>
            <w:sz w:val="24"/>
            <w:szCs w:val="24"/>
          </w:rPr>
          <m:t>.</m:t>
        </m:r>
      </m:oMath>
    </w:p>
    <w:p w14:paraId="75164EFA" w14:textId="531A5E5A" w:rsidR="00454904" w:rsidRPr="00B44D0D" w:rsidRDefault="0065539B" w:rsidP="00C83870">
      <w:pPr>
        <w:pStyle w:val="Heading2"/>
      </w:pPr>
      <w:bookmarkStart w:id="58" w:name="_Toc90499947"/>
      <w:r>
        <w:t>1.</w:t>
      </w:r>
      <w:r w:rsidR="00E62031">
        <w:t xml:space="preserve">3.12 </w:t>
      </w:r>
      <w:r w:rsidR="00454904" w:rsidRPr="00B44D0D">
        <w:t>Symmetric GARCH (1, 1) parameter estimation</w:t>
      </w:r>
      <w:bookmarkEnd w:id="58"/>
      <w:r w:rsidR="00454904" w:rsidRPr="00B44D0D">
        <w:t xml:space="preserve"> </w:t>
      </w:r>
    </w:p>
    <w:p w14:paraId="73E0CE98" w14:textId="4203B6FC"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There is a natural elucidation for the parameter of the symmetric normal GARCH model in the way when the discussion about the reaction of market shocks and the mean reversion of volatility following the shocks: the reaction of the conditional volatility to market shock is measured, by the GARCH error parameter α. When α is comparatively large then volatility is extremely sensitive in market events. The GARCH lag parameter β measures the persistence in conditional volatility irrespective of anything happening in the market. If β extremely high. Then, the volatility takes long enough to vanish from the market. The </w:t>
      </w:r>
      <m:oMath>
        <m:r>
          <w:rPr>
            <w:rFonts w:ascii="Cambria Math" w:hAnsi="Cambria Math" w:cs="Times New Roman"/>
            <w:sz w:val="24"/>
            <w:szCs w:val="24"/>
          </w:rPr>
          <m:t xml:space="preserve">α+β </m:t>
        </m:r>
      </m:oMath>
      <w:r w:rsidRPr="00B44D0D">
        <w:rPr>
          <w:rFonts w:ascii="Times New Roman" w:eastAsiaTheme="minorEastAsia" w:hAnsi="Times New Roman" w:cs="Times New Roman"/>
          <w:sz w:val="24"/>
          <w:szCs w:val="24"/>
        </w:rPr>
        <w:t xml:space="preserve">expresses the rate of convergence of the conditional volatility to the </w:t>
      </w:r>
      <w:r w:rsidR="00F7280F"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average level. The large value of </w:t>
      </w:r>
      <m:oMath>
        <m:r>
          <w:rPr>
            <w:rFonts w:ascii="Cambria Math" w:hAnsi="Cambria Math" w:cs="Times New Roman"/>
            <w:sz w:val="24"/>
            <w:szCs w:val="24"/>
          </w:rPr>
          <m:t>α+β</m:t>
        </m:r>
      </m:oMath>
      <w:r w:rsidRPr="00B44D0D">
        <w:rPr>
          <w:rFonts w:ascii="Times New Roman" w:eastAsiaTheme="minorEastAsia" w:hAnsi="Times New Roman" w:cs="Times New Roman"/>
          <w:sz w:val="24"/>
          <w:szCs w:val="24"/>
        </w:rPr>
        <w:t xml:space="preserve"> makes the term structure of volatility forecasts is extremely flat in the GARCH model. The GARCH constant pa</w:t>
      </w:r>
      <w:proofErr w:type="spellStart"/>
      <w:r w:rsidRPr="00B44D0D">
        <w:rPr>
          <w:rFonts w:ascii="Times New Roman" w:eastAsiaTheme="minorEastAsia" w:hAnsi="Times New Roman" w:cs="Times New Roman"/>
          <w:sz w:val="24"/>
          <w:szCs w:val="24"/>
        </w:rPr>
        <w:t>rameter</w:t>
      </w:r>
      <w:proofErr w:type="spellEnd"/>
      <w:r w:rsidRPr="00B44D0D">
        <w:rPr>
          <w:rFonts w:ascii="Times New Roman" w:eastAsiaTheme="minorEastAsia" w:hAnsi="Times New Roman" w:cs="Times New Roman"/>
          <w:sz w:val="24"/>
          <w:szCs w:val="24"/>
        </w:rPr>
        <w:t xml:space="preserve"> ω and </w:t>
      </w:r>
      <m:oMath>
        <m:r>
          <w:rPr>
            <w:rFonts w:ascii="Cambria Math" w:hAnsi="Cambria Math" w:cs="Times New Roman"/>
            <w:sz w:val="24"/>
            <w:szCs w:val="24"/>
          </w:rPr>
          <m:t>α+β</m:t>
        </m:r>
      </m:oMath>
      <w:r w:rsidRPr="00B44D0D">
        <w:rPr>
          <w:rFonts w:ascii="Times New Roman" w:eastAsiaTheme="minorEastAsia" w:hAnsi="Times New Roman" w:cs="Times New Roman"/>
          <w:sz w:val="24"/>
          <w:szCs w:val="24"/>
        </w:rPr>
        <w:t xml:space="preserve"> gives together the level long term average volatility, which is unconditional in GARCH model. If </w:t>
      </w:r>
      <m:oMath>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1-(α+β)</m:t>
            </m:r>
          </m:den>
        </m:f>
      </m:oMath>
      <w:r w:rsidRPr="00B44D0D">
        <w:rPr>
          <w:rFonts w:ascii="Times New Roman" w:eastAsiaTheme="minorEastAsia" w:hAnsi="Times New Roman" w:cs="Times New Roman"/>
          <w:sz w:val="24"/>
          <w:szCs w:val="24"/>
        </w:rPr>
        <w:t xml:space="preserve"> is relatively large then its magnitude is connected to the magnitudes of returns, and also make the </w:t>
      </w:r>
      <w:r w:rsidR="00F7280F"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volatility high in the market. </w:t>
      </w:r>
    </w:p>
    <w:p w14:paraId="12628E24"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 Duan (1995) considered GARCH-M model given by Engle </w:t>
      </w:r>
      <w:proofErr w:type="spellStart"/>
      <w:r w:rsidRPr="00B44D0D">
        <w:rPr>
          <w:rFonts w:ascii="Times New Roman" w:hAnsi="Times New Roman" w:cs="Times New Roman"/>
          <w:sz w:val="24"/>
          <w:szCs w:val="24"/>
        </w:rPr>
        <w:t>el</w:t>
      </w:r>
      <w:proofErr w:type="spellEnd"/>
      <w:r w:rsidRPr="00B44D0D">
        <w:rPr>
          <w:rFonts w:ascii="Times New Roman" w:hAnsi="Times New Roman" w:cs="Times New Roman"/>
          <w:sz w:val="24"/>
          <w:szCs w:val="24"/>
        </w:rPr>
        <w:t xml:space="preserve"> al. (1987), which implies that</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 xml:space="preserve"> μ</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=μ+λ </m:t>
        </m:r>
        <m:rad>
          <m:radPr>
            <m:degHide m:val="1"/>
            <m:ctrlPr>
              <w:rPr>
                <w:rFonts w:ascii="Cambria Math" w:eastAsia="Cambria Math" w:hAnsi="Cambria Math" w:cs="Times New Roman"/>
                <w:i/>
                <w:sz w:val="24"/>
                <w:szCs w:val="24"/>
              </w:rPr>
            </m:ctrlPr>
          </m:radPr>
          <m:deg/>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m:t>
                </m:r>
              </m:sub>
            </m:sSub>
          </m:e>
        </m:rad>
      </m:oMath>
      <w:r w:rsidRPr="00B44D0D">
        <w:rPr>
          <w:rFonts w:ascii="Times New Roman" w:hAnsi="Times New Roman" w:cs="Times New Roman"/>
          <w:sz w:val="24"/>
          <w:szCs w:val="24"/>
        </w:rPr>
        <w:t xml:space="preserve">. In the financial literature may not be found enough justification, as it provides poor estimates of λ and normally has not a very good fit. Campbell at al. (1997, Chap. 2), as it widely noticed that positive autocorrelation of the returns is presented in the financial series (stock indices). Due to various reasons for instance infrequent and asynchronous trading of individual stocks entering the index. The risk premium attached with non-constant volatility may also be one of the reasons. Consequently, we selected the baseline GARCH model with normal errors </w:t>
      </w:r>
    </w:p>
    <w:p w14:paraId="69F3A45D" w14:textId="77777777" w:rsidR="00454904" w:rsidRPr="00B44D0D" w:rsidRDefault="002C15FD" w:rsidP="00E91B7D">
      <w:pPr>
        <w:spacing w:line="360" w:lineRule="auto"/>
        <w:rPr>
          <w:rFonts w:ascii="Times New Roman" w:hAnsi="Times New Roman" w:cs="Times New Roman"/>
          <w:sz w:val="24"/>
          <w:szCs w:val="24"/>
        </w:rPr>
      </w:p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r>
                  <w:rPr>
                    <w:rFonts w:ascii="Cambria Math" w:hAnsi="Cambria Math" w:cs="Times New Roman"/>
                    <w:sz w:val="24"/>
                    <w:szCs w:val="24"/>
                  </w:rPr>
                  <m:t>μ</m:t>
                </m:r>
                <m:r>
                  <m:rPr>
                    <m:sty m:val="p"/>
                  </m:rP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m:t>
                </m:r>
                <m:r>
                  <w:rPr>
                    <w:rFonts w:ascii="Cambria Math" w:hAnsi="Cambria Math" w:cs="Times New Roman"/>
                    <w:sz w:val="24"/>
                    <w:szCs w:val="24"/>
                  </w:rPr>
                  <m:t>N</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0,</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e>
                </m:d>
                <m:r>
                  <m:rPr>
                    <m:sty m:val="p"/>
                  </m:rPr>
                  <w:rPr>
                    <w:rFonts w:ascii="Cambria Math" w:hAnsi="Cambria Math" w:cs="Times New Roman"/>
                    <w:sz w:val="24"/>
                    <w:szCs w:val="24"/>
                  </w:rPr>
                  <m:t xml:space="preserve">                                                                                                                  </m:t>
                </m:r>
                <m:ctrlPr>
                  <w:rPr>
                    <w:rFonts w:ascii="Cambria Math" w:eastAsia="Cambria Math" w:hAnsi="Cambria Math" w:cs="Times New Roman"/>
                    <w:sz w:val="24"/>
                    <w:szCs w:val="24"/>
                  </w:rPr>
                </m:ctrlPr>
              </m:e>
              <m:e>
                <m:r>
                  <m:rPr>
                    <m:sty m:val="p"/>
                  </m:rP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hAnsi="Cambria Math" w:cs="Times New Roman"/>
                    <w:sz w:val="24"/>
                    <w:szCs w:val="24"/>
                  </w:rPr>
                  <m:t>ω+ α</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ε</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β</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eastAsia="Cambria Math" w:hAnsi="Cambria Math" w:cs="Times New Roman"/>
                    <w:sz w:val="24"/>
                    <w:szCs w:val="24"/>
                  </w:rPr>
                  <m:t xml:space="preserve">                                                                                                       </m:t>
                </m:r>
              </m:e>
            </m:eqArr>
          </m:e>
        </m:d>
      </m:oMath>
      <w:r w:rsidR="00454904" w:rsidRPr="00B44D0D">
        <w:rPr>
          <w:rFonts w:ascii="Times New Roman" w:hAnsi="Times New Roman" w:cs="Times New Roman"/>
          <w:sz w:val="24"/>
          <w:szCs w:val="24"/>
        </w:rPr>
        <w:t xml:space="preserve">     </w:t>
      </w:r>
    </w:p>
    <w:p w14:paraId="42F560D9" w14:textId="77777777" w:rsidR="00454904" w:rsidRPr="00B44D0D" w:rsidRDefault="00454904" w:rsidP="00E91B7D">
      <w:pPr>
        <w:spacing w:line="360" w:lineRule="auto"/>
        <w:rPr>
          <w:rFonts w:ascii="Times New Roman" w:hAnsi="Times New Roman" w:cs="Times New Roman"/>
          <w:sz w:val="24"/>
          <w:szCs w:val="24"/>
        </w:rPr>
      </w:pPr>
      <w:r w:rsidRPr="00B44D0D">
        <w:rPr>
          <w:rFonts w:ascii="Times New Roman" w:hAnsi="Times New Roman" w:cs="Times New Roman"/>
          <w:sz w:val="24"/>
          <w:szCs w:val="24"/>
        </w:rPr>
        <w:t>(Note that the lognormal distribution properties can agreeably combine with GARCH-M)</w:t>
      </w:r>
    </w:p>
    <w:p w14:paraId="5A912F3C" w14:textId="5B0298D8"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lastRenderedPageBreak/>
        <w:t xml:space="preserve">Hafner and </w:t>
      </w:r>
      <w:proofErr w:type="spellStart"/>
      <w:r w:rsidRPr="00B44D0D">
        <w:rPr>
          <w:rFonts w:ascii="Times New Roman" w:hAnsi="Times New Roman" w:cs="Times New Roman"/>
          <w:sz w:val="24"/>
          <w:szCs w:val="24"/>
        </w:rPr>
        <w:t>Herwartz</w:t>
      </w:r>
      <w:proofErr w:type="spellEnd"/>
      <w:r w:rsidRPr="00B44D0D">
        <w:rPr>
          <w:rFonts w:ascii="Times New Roman" w:hAnsi="Times New Roman" w:cs="Times New Roman"/>
          <w:sz w:val="24"/>
          <w:szCs w:val="24"/>
        </w:rPr>
        <w:t xml:space="preserve"> (2001) given an idea as they found that German securities are incorporating </w:t>
      </w:r>
      <m:oMath>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oMath>
      <w:r w:rsidRPr="00B44D0D">
        <w:rPr>
          <w:rFonts w:ascii="Times New Roman" w:hAnsi="Times New Roman" w:cs="Times New Roman"/>
          <w:sz w:val="24"/>
          <w:szCs w:val="24"/>
        </w:rPr>
        <w:t xml:space="preserve"> in the conditional expectation surprise them with higher likelihood value as </w:t>
      </w:r>
      <w:r w:rsidR="00E91B7D" w:rsidRPr="00B44D0D">
        <w:rPr>
          <w:rFonts w:ascii="Times New Roman" w:hAnsi="Times New Roman" w:cs="Times New Roman"/>
          <w:sz w:val="24"/>
          <w:szCs w:val="24"/>
        </w:rPr>
        <w:t>compared</w:t>
      </w:r>
      <w:r w:rsidRPr="00B44D0D">
        <w:rPr>
          <w:rFonts w:ascii="Times New Roman" w:hAnsi="Times New Roman" w:cs="Times New Roman"/>
          <w:sz w:val="24"/>
          <w:szCs w:val="24"/>
        </w:rPr>
        <w:t xml:space="preserve"> to</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 xml:space="preserve">  λh</m:t>
            </m:r>
          </m:e>
          <m:sub>
            <m:r>
              <w:rPr>
                <w:rFonts w:ascii="Cambria Math" w:eastAsia="Cambria Math" w:hAnsi="Cambria Math" w:cs="Times New Roman"/>
                <w:sz w:val="24"/>
                <w:szCs w:val="24"/>
              </w:rPr>
              <m:t>t</m:t>
            </m:r>
          </m:sub>
        </m:sSub>
      </m:oMath>
      <w:r w:rsidRPr="00B44D0D">
        <w:rPr>
          <w:rFonts w:ascii="Times New Roman" w:hAnsi="Times New Roman" w:cs="Times New Roman"/>
          <w:sz w:val="24"/>
          <w:szCs w:val="24"/>
        </w:rPr>
        <w:t>.</w:t>
      </w:r>
    </w:p>
    <w:p w14:paraId="0ECDF8CD"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If </w:t>
      </w:r>
      <m:oMath>
        <m:r>
          <w:rPr>
            <w:rFonts w:ascii="Cambria Math" w:hAnsi="Cambria Math" w:cs="Times New Roman"/>
            <w:sz w:val="24"/>
            <w:szCs w:val="24"/>
          </w:rPr>
          <m:t xml:space="preserve"> α</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2</m:t>
                </m:r>
              </m:sup>
            </m:sSup>
          </m:e>
        </m:d>
        <m:r>
          <w:rPr>
            <w:rFonts w:ascii="Cambria Math" w:hAnsi="Cambria Math" w:cs="Times New Roman"/>
            <w:sz w:val="24"/>
            <w:szCs w:val="24"/>
          </w:rPr>
          <m:t>+ β&lt;1</m:t>
        </m:r>
      </m:oMath>
      <w:r w:rsidRPr="00B44D0D">
        <w:rPr>
          <w:rFonts w:ascii="Times New Roman" w:hAnsi="Times New Roman" w:cs="Times New Roman"/>
          <w:sz w:val="24"/>
          <w:szCs w:val="24"/>
        </w:rPr>
        <w:t xml:space="preserve"> satisfies, then process is stationary. Consequently, the marginal variance of y increases by risk-neutralisation. The predictive values assumed to be taken longer time to converge its limiting value due to the stationarity condition and increases volatility persistence.</w:t>
      </w:r>
    </w:p>
    <w:p w14:paraId="0ECE8873" w14:textId="00D2DBA0" w:rsidR="00454904" w:rsidRPr="00B44D0D" w:rsidRDefault="0065539B" w:rsidP="00C83870">
      <w:pPr>
        <w:pStyle w:val="Heading2"/>
      </w:pPr>
      <w:bookmarkStart w:id="59" w:name="_Toc90499948"/>
      <w:r>
        <w:t>1.</w:t>
      </w:r>
      <w:r w:rsidR="0022256D">
        <w:t xml:space="preserve">3.13 </w:t>
      </w:r>
      <w:r w:rsidR="00454904" w:rsidRPr="00B44D0D">
        <w:t>Symmetric GARCH volatility forecasts</w:t>
      </w:r>
      <w:bookmarkEnd w:id="59"/>
      <w:r w:rsidR="00454904" w:rsidRPr="00B44D0D">
        <w:t xml:space="preserve"> </w:t>
      </w:r>
    </w:p>
    <w:p w14:paraId="24554B31" w14:textId="5ED813A0"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That is generally believed that there is not a significant difference for volatility estimates between GARCH and risk metrics, the main reason is the optimal value of GARCH α and β are not hugely different form the daily exponentially weighted moving average (EWMA) values for reaction and persistence. However, there would be considerably big difference between the forecast results generated from these two models. The difference come because the GARCH forecasts is different from the GARCH volatility estimates, it also </w:t>
      </w:r>
      <w:r w:rsidR="00E91B7D" w:rsidRPr="00B44D0D">
        <w:rPr>
          <w:rFonts w:ascii="Times New Roman" w:hAnsi="Times New Roman" w:cs="Times New Roman"/>
          <w:sz w:val="24"/>
          <w:szCs w:val="24"/>
        </w:rPr>
        <w:t>depends</w:t>
      </w:r>
      <w:r w:rsidRPr="00B44D0D">
        <w:rPr>
          <w:rFonts w:ascii="Times New Roman" w:hAnsi="Times New Roman" w:cs="Times New Roman"/>
          <w:sz w:val="24"/>
          <w:szCs w:val="24"/>
        </w:rPr>
        <w:t xml:space="preserve"> on the horizon of the forecast. But situation is vice versa in the EWMA model. </w:t>
      </w:r>
    </w:p>
    <w:p w14:paraId="77325F1B"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The GARCH (1, 1) parameter estimates can be used to generate the forward daily volatility forecasts and term structure volatility forecasts. The mechanism explains that all the forecasts are supposed to be made on the last day of the sample. In order to define that mechanism of forecasts the estimated model (Alexander, 2008) can be written as </w:t>
      </w:r>
    </w:p>
    <w:p w14:paraId="62777383" w14:textId="77777777" w:rsidR="00454904" w:rsidRPr="00B44D0D" w:rsidRDefault="00454904" w:rsidP="00454904">
      <w:pPr>
        <w:rPr>
          <w:rFonts w:ascii="Times New Roman" w:hAnsi="Times New Roman" w:cs="Times New Roman"/>
          <w:sz w:val="24"/>
          <w:szCs w:val="24"/>
        </w:rPr>
      </w:pPr>
      <w:r w:rsidRPr="00B44D0D">
        <w:rPr>
          <w:rFonts w:ascii="Times New Roman" w:hAnsi="Times New Roman" w:cs="Times New Roman"/>
          <w:sz w:val="24"/>
          <w:szCs w:val="24"/>
        </w:rPr>
        <w:t xml:space="preserve">   </w:t>
      </w:r>
    </w:p>
    <w:p w14:paraId="1B97473A" w14:textId="77777777" w:rsidR="00454904" w:rsidRPr="00B44D0D" w:rsidRDefault="002C15FD" w:rsidP="00454904">
      <w:pP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t-1</m:t>
              </m:r>
            </m:sub>
            <m:sup>
              <m:r>
                <w:rPr>
                  <w:rFonts w:ascii="Cambria Math" w:hAnsi="Cambria Math" w:cs="Times New Roman"/>
                  <w:sz w:val="24"/>
                  <w:szCs w:val="24"/>
                </w:rPr>
                <m:t>2</m:t>
              </m:r>
            </m:sup>
          </m:sSubSup>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15943F5C" w14:textId="77777777" w:rsidR="00454904" w:rsidRPr="00B44D0D" w:rsidRDefault="00454904" w:rsidP="00E91B7D">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t=1,….., T  </m:t>
        </m:r>
      </m:oMath>
      <w:r w:rsidRPr="00B44D0D">
        <w:rPr>
          <w:rFonts w:ascii="Times New Roman" w:eastAsiaTheme="minorEastAsia" w:hAnsi="Times New Roman" w:cs="Times New Roman"/>
          <w:sz w:val="24"/>
          <w:szCs w:val="24"/>
        </w:rPr>
        <w:t xml:space="preserve"> </w:t>
      </w:r>
      <w:r w:rsidRPr="00B44D0D">
        <w:rPr>
          <w:rFonts w:ascii="Times New Roman" w:hAnsi="Times New Roman" w:cs="Times New Roman"/>
          <w:sz w:val="24"/>
          <w:szCs w:val="24"/>
        </w:rPr>
        <w:t xml:space="preserve">Where </w:t>
      </w:r>
      <w:r w:rsidRPr="00B44D0D">
        <w:rPr>
          <w:rFonts w:ascii="Times New Roman" w:eastAsiaTheme="minorEastAsia" w:hAnsi="Times New Roman" w:cs="Times New Roman"/>
          <w:sz w:val="24"/>
          <w:szCs w:val="24"/>
        </w:rPr>
        <w:t xml:space="preserve">T is the last day in the sample assuming the returns data are daily, therefore the 1-day-ahead variance forecast at time T is </w:t>
      </w:r>
    </w:p>
    <w:p w14:paraId="734F643E" w14:textId="77777777" w:rsidR="00454904" w:rsidRPr="00B44D0D" w:rsidRDefault="002C15FD" w:rsidP="00E91B7D">
      <w:pPr>
        <w:spacing w:line="36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47C584BA" w14:textId="77777777" w:rsidR="00454904" w:rsidRPr="00B44D0D" w:rsidRDefault="00454904" w:rsidP="00E91B7D">
      <w:pPr>
        <w:spacing w:line="360" w:lineRule="auto"/>
        <w:jc w:val="both"/>
        <w:rPr>
          <w:rFonts w:ascii="Times New Roman" w:hAnsi="Times New Roman" w:cs="Times New Roman"/>
          <w:sz w:val="24"/>
          <w:szCs w:val="24"/>
        </w:rPr>
      </w:pPr>
      <w:r w:rsidRPr="00B44D0D">
        <w:rPr>
          <w:rFonts w:ascii="Times New Roman" w:eastAsiaTheme="minorEastAsia" w:hAnsi="Times New Roman" w:cs="Times New Roman"/>
          <w:sz w:val="24"/>
          <w:szCs w:val="24"/>
        </w:rPr>
        <w:t xml:space="preserve">At time 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oMath>
      <w:r w:rsidRPr="00B44D0D">
        <w:rPr>
          <w:rFonts w:ascii="Times New Roman" w:eastAsiaTheme="minorEastAsia" w:hAnsi="Times New Roman" w:cs="Times New Roman"/>
          <w:sz w:val="24"/>
          <w:szCs w:val="24"/>
        </w:rPr>
        <w:t xml:space="preserve"> will be unknown because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ε</m:t>
                </m:r>
              </m:e>
            </m:acc>
          </m:e>
          <m:sub>
            <m:r>
              <w:rPr>
                <w:rFonts w:ascii="Cambria Math" w:eastAsiaTheme="minorEastAsia" w:hAnsi="Cambria Math" w:cs="Times New Roman"/>
                <w:sz w:val="24"/>
                <w:szCs w:val="24"/>
              </w:rPr>
              <m:t>t</m:t>
            </m:r>
          </m:sub>
        </m:sSub>
      </m:oMath>
      <w:r w:rsidRPr="00B44D0D">
        <w:rPr>
          <w:rFonts w:ascii="Times New Roman" w:eastAsiaTheme="minorEastAsia" w:hAnsi="Times New Roman" w:cs="Times New Roman"/>
          <w:sz w:val="24"/>
          <w:szCs w:val="24"/>
        </w:rPr>
        <w:t xml:space="preserve"> is the last residual in the GARCH model. </w:t>
      </w:r>
    </w:p>
    <w:p w14:paraId="7F81A41D" w14:textId="77777777"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In general, the forecast of the forward daily variance form day T+S to T+S+1 is given by </w:t>
      </w:r>
    </w:p>
    <w:p w14:paraId="2B81F6DB" w14:textId="77777777" w:rsidR="00454904" w:rsidRPr="00B44D0D" w:rsidRDefault="00454904" w:rsidP="00E91B7D">
      <w:pPr>
        <w:spacing w:line="360" w:lineRule="auto"/>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α</m:t>
                </m:r>
              </m:e>
            </m:acc>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d>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w:p>
    <w:p w14:paraId="33E7EF06" w14:textId="77777777"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lastRenderedPageBreak/>
        <w:t xml:space="preserve">This is the GARCH term structure volatilities which are used to forecast the forward daily variance it is also called average volatilities over different period of time. </w:t>
      </w:r>
    </w:p>
    <w:p w14:paraId="63C98D3F" w14:textId="04AB083D"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In order to define the pattern for imposing the </w:t>
      </w:r>
      <w:r w:rsidR="007B76F9"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volatility for GARCH, we need to formulate the symmetric GARCH model by substituting. After rearranging we have another arrangement of the symmetric GARCH (1, 1) model that deviate the conditional variance from the </w:t>
      </w:r>
      <w:r w:rsidR="007B76F9"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average variance.  </w:t>
      </w:r>
    </w:p>
    <w:p w14:paraId="463CA272" w14:textId="77777777" w:rsidR="00454904" w:rsidRPr="00B44D0D" w:rsidRDefault="002C15FD" w:rsidP="00454904">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α</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 β</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oMath>
      </m:oMathPara>
    </w:p>
    <w:p w14:paraId="1F30D339" w14:textId="77777777" w:rsidR="00454904" w:rsidRPr="00B44D0D" w:rsidRDefault="00454904" w:rsidP="00454904">
      <w:pPr>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Or </w:t>
      </w:r>
    </w:p>
    <w:p w14:paraId="2F23E316" w14:textId="77777777" w:rsidR="00454904" w:rsidRPr="00B44D0D" w:rsidRDefault="002C15FD" w:rsidP="00454904">
      <w:pP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 xml:space="preserve"> βσ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(1-β</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 α</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oMath>
      </m:oMathPara>
    </w:p>
    <w:p w14:paraId="0ECB915F" w14:textId="77777777" w:rsidR="00454904" w:rsidRPr="00B44D0D" w:rsidRDefault="00454904" w:rsidP="00454904">
      <w:pPr>
        <w:rPr>
          <w:rFonts w:ascii="Times New Roman" w:hAnsi="Times New Roman" w:cs="Times New Roman"/>
          <w:sz w:val="24"/>
          <w:szCs w:val="24"/>
        </w:rPr>
      </w:pPr>
    </w:p>
    <w:p w14:paraId="32949CD7" w14:textId="67D0BBEC" w:rsidR="00454904" w:rsidRPr="00B44D0D" w:rsidRDefault="0065539B" w:rsidP="00E91B7D">
      <w:pPr>
        <w:pStyle w:val="Heading2"/>
      </w:pPr>
      <w:bookmarkStart w:id="60" w:name="_Toc414019629"/>
      <w:bookmarkStart w:id="61" w:name="_Toc90499949"/>
      <w:r>
        <w:t>1.</w:t>
      </w:r>
      <w:r w:rsidR="0022256D">
        <w:t>3.1</w:t>
      </w:r>
      <w:r w:rsidR="00C83870">
        <w:t>4</w:t>
      </w:r>
      <w:r w:rsidR="0022256D">
        <w:t xml:space="preserve"> </w:t>
      </w:r>
      <w:r w:rsidR="00454904" w:rsidRPr="00B44D0D">
        <w:t>Asymmetric GARCH models</w:t>
      </w:r>
      <w:bookmarkEnd w:id="60"/>
      <w:bookmarkEnd w:id="61"/>
    </w:p>
    <w:p w14:paraId="0A51A7D8" w14:textId="201B5E46"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 conditional variance equation can be amended in many ways as there are many types of GARCH models available for motivation. The nature of the asset and frequency of the data really does matter on the choice of the GARCH models. It is normally assumed that the symmetric GARCH model might be the good selection for the weekly data of interest rate and foreign exchange rate. </w:t>
      </w:r>
      <w:r w:rsidR="00E91B7D" w:rsidRPr="00B44D0D">
        <w:rPr>
          <w:rFonts w:ascii="Times New Roman" w:eastAsiaTheme="minorEastAsia" w:hAnsi="Times New Roman" w:cs="Times New Roman"/>
          <w:sz w:val="24"/>
          <w:szCs w:val="24"/>
        </w:rPr>
        <w:t>Whereas</w:t>
      </w:r>
      <w:r w:rsidRPr="00B44D0D">
        <w:rPr>
          <w:rFonts w:ascii="Times New Roman" w:eastAsiaTheme="minorEastAsia" w:hAnsi="Times New Roman" w:cs="Times New Roman"/>
          <w:sz w:val="24"/>
          <w:szCs w:val="24"/>
        </w:rPr>
        <w:t xml:space="preserve"> the selection for the equities, equity indices and commodities at any frequency is obvious the asymmetric GARCH models as it </w:t>
      </w:r>
      <w:r w:rsidR="007B76F9" w:rsidRPr="00B44D0D">
        <w:rPr>
          <w:rFonts w:ascii="Times New Roman" w:eastAsiaTheme="minorEastAsia" w:hAnsi="Times New Roman" w:cs="Times New Roman"/>
          <w:sz w:val="24"/>
          <w:szCs w:val="24"/>
        </w:rPr>
        <w:t>consists</w:t>
      </w:r>
      <w:r w:rsidRPr="00B44D0D">
        <w:rPr>
          <w:rFonts w:ascii="Times New Roman" w:eastAsiaTheme="minorEastAsia" w:hAnsi="Times New Roman" w:cs="Times New Roman"/>
          <w:sz w:val="24"/>
          <w:szCs w:val="24"/>
        </w:rPr>
        <w:t xml:space="preserve"> </w:t>
      </w:r>
      <w:r w:rsidR="00E91B7D" w:rsidRPr="00B44D0D">
        <w:rPr>
          <w:rFonts w:ascii="Times New Roman" w:eastAsiaTheme="minorEastAsia" w:hAnsi="Times New Roman" w:cs="Times New Roman"/>
          <w:sz w:val="24"/>
          <w:szCs w:val="24"/>
        </w:rPr>
        <w:t>of</w:t>
      </w:r>
      <w:r w:rsidRPr="00B44D0D">
        <w:rPr>
          <w:rFonts w:ascii="Times New Roman" w:eastAsiaTheme="minorEastAsia" w:hAnsi="Times New Roman" w:cs="Times New Roman"/>
          <w:sz w:val="24"/>
          <w:szCs w:val="24"/>
        </w:rPr>
        <w:t xml:space="preserve"> daily data. One of the reasons for choosing the asymmetric GARCH models is equity market volatility increases are more articulated following a </w:t>
      </w:r>
      <w:r w:rsidR="007B76F9" w:rsidRPr="00B44D0D">
        <w:rPr>
          <w:rFonts w:ascii="Times New Roman" w:eastAsiaTheme="minorEastAsia" w:hAnsi="Times New Roman" w:cs="Times New Roman"/>
          <w:sz w:val="24"/>
          <w:szCs w:val="24"/>
        </w:rPr>
        <w:t>large negative return</w:t>
      </w:r>
      <w:r w:rsidRPr="00B44D0D">
        <w:rPr>
          <w:rFonts w:ascii="Times New Roman" w:eastAsiaTheme="minorEastAsia" w:hAnsi="Times New Roman" w:cs="Times New Roman"/>
          <w:sz w:val="24"/>
          <w:szCs w:val="24"/>
        </w:rPr>
        <w:t xml:space="preserve"> instead of following the positive return of the same size. When the stock price falls, the debt equity ratio increases due to leverage effect arises. Firm become more strongly leveraged, as the debt financing requires some time to change. Consequently, the future of the firm becomes more </w:t>
      </w:r>
      <w:r w:rsidR="00E91B7D" w:rsidRPr="00B44D0D">
        <w:rPr>
          <w:rFonts w:ascii="Times New Roman" w:eastAsiaTheme="minorEastAsia" w:hAnsi="Times New Roman" w:cs="Times New Roman"/>
          <w:sz w:val="24"/>
          <w:szCs w:val="24"/>
        </w:rPr>
        <w:t>indecisive,</w:t>
      </w:r>
      <w:r w:rsidRPr="00B44D0D">
        <w:rPr>
          <w:rFonts w:ascii="Times New Roman" w:eastAsiaTheme="minorEastAsia" w:hAnsi="Times New Roman" w:cs="Times New Roman"/>
          <w:sz w:val="24"/>
          <w:szCs w:val="24"/>
        </w:rPr>
        <w:t xml:space="preserve"> and the stock price becomes more volatile. But, when the stock price rise with the same amount then give the result of negative correlation between equity and volatility as the firm do not face the same amount of volatility since the price rise is good news. There is a different situation in commodity market because when the prices </w:t>
      </w:r>
      <w:r w:rsidR="007B76F9" w:rsidRPr="00B44D0D">
        <w:rPr>
          <w:rFonts w:ascii="Times New Roman" w:eastAsiaTheme="minorEastAsia" w:hAnsi="Times New Roman" w:cs="Times New Roman"/>
          <w:sz w:val="24"/>
          <w:szCs w:val="24"/>
        </w:rPr>
        <w:t>rise</w:t>
      </w:r>
      <w:r w:rsidRPr="00B44D0D">
        <w:rPr>
          <w:rFonts w:ascii="Times New Roman" w:eastAsiaTheme="minorEastAsia" w:hAnsi="Times New Roman" w:cs="Times New Roman"/>
          <w:sz w:val="24"/>
          <w:szCs w:val="24"/>
        </w:rPr>
        <w:t xml:space="preserve"> it is </w:t>
      </w:r>
      <w:r w:rsidR="00E91B7D" w:rsidRPr="00B44D0D">
        <w:rPr>
          <w:rFonts w:ascii="Times New Roman" w:eastAsiaTheme="minorEastAsia" w:hAnsi="Times New Roman" w:cs="Times New Roman"/>
          <w:sz w:val="24"/>
          <w:szCs w:val="24"/>
        </w:rPr>
        <w:t>considered</w:t>
      </w:r>
      <w:r w:rsidRPr="00B44D0D">
        <w:rPr>
          <w:rFonts w:ascii="Times New Roman" w:eastAsiaTheme="minorEastAsia" w:hAnsi="Times New Roman" w:cs="Times New Roman"/>
          <w:sz w:val="24"/>
          <w:szCs w:val="24"/>
        </w:rPr>
        <w:t xml:space="preserve"> bad news for the </w:t>
      </w:r>
      <w:r w:rsidR="00E91B7D" w:rsidRPr="00B44D0D">
        <w:rPr>
          <w:rFonts w:ascii="Times New Roman" w:eastAsiaTheme="minorEastAsia" w:hAnsi="Times New Roman" w:cs="Times New Roman"/>
          <w:sz w:val="24"/>
          <w:szCs w:val="24"/>
        </w:rPr>
        <w:t>consumers,</w:t>
      </w:r>
      <w:r w:rsidRPr="00B44D0D">
        <w:rPr>
          <w:rFonts w:ascii="Times New Roman" w:eastAsiaTheme="minorEastAsia" w:hAnsi="Times New Roman" w:cs="Times New Roman"/>
          <w:sz w:val="24"/>
          <w:szCs w:val="24"/>
        </w:rPr>
        <w:t xml:space="preserve"> so the risen price of commodity mostly have </w:t>
      </w:r>
      <w:r w:rsidR="000478CA" w:rsidRPr="00B44D0D">
        <w:rPr>
          <w:rFonts w:ascii="Times New Roman" w:eastAsiaTheme="minorEastAsia" w:hAnsi="Times New Roman" w:cs="Times New Roman"/>
          <w:sz w:val="24"/>
          <w:szCs w:val="24"/>
        </w:rPr>
        <w:t>weakened</w:t>
      </w:r>
      <w:r w:rsidRPr="00B44D0D">
        <w:rPr>
          <w:rFonts w:ascii="Times New Roman" w:eastAsiaTheme="minorEastAsia" w:hAnsi="Times New Roman" w:cs="Times New Roman"/>
          <w:sz w:val="24"/>
          <w:szCs w:val="24"/>
        </w:rPr>
        <w:t xml:space="preserve"> effect. That is the reason positive return increase the volatility in commodity market as </w:t>
      </w:r>
      <w:r w:rsidR="00E91B7D" w:rsidRPr="00B44D0D">
        <w:rPr>
          <w:rFonts w:ascii="Times New Roman" w:eastAsiaTheme="minorEastAsia" w:hAnsi="Times New Roman" w:cs="Times New Roman"/>
          <w:sz w:val="24"/>
          <w:szCs w:val="24"/>
        </w:rPr>
        <w:t>compared</w:t>
      </w:r>
      <w:r w:rsidRPr="00B44D0D">
        <w:rPr>
          <w:rFonts w:ascii="Times New Roman" w:eastAsiaTheme="minorEastAsia" w:hAnsi="Times New Roman" w:cs="Times New Roman"/>
          <w:sz w:val="24"/>
          <w:szCs w:val="24"/>
        </w:rPr>
        <w:t xml:space="preserve"> to negative returns.</w:t>
      </w:r>
    </w:p>
    <w:p w14:paraId="79A0C4BC" w14:textId="77777777" w:rsidR="00454904" w:rsidRPr="00B44D0D" w:rsidRDefault="00454904" w:rsidP="00E91B7D">
      <w:pPr>
        <w:spacing w:line="360" w:lineRule="auto"/>
        <w:jc w:val="both"/>
        <w:rPr>
          <w:rFonts w:ascii="Times New Roman" w:eastAsiaTheme="minorEastAsia" w:hAnsi="Times New Roman" w:cs="Times New Roman"/>
          <w:sz w:val="24"/>
          <w:szCs w:val="24"/>
        </w:rPr>
      </w:pPr>
      <w:proofErr w:type="spellStart"/>
      <w:r w:rsidRPr="00B44D0D">
        <w:rPr>
          <w:rFonts w:ascii="Times New Roman" w:eastAsiaTheme="minorEastAsia" w:hAnsi="Times New Roman" w:cs="Times New Roman"/>
          <w:sz w:val="24"/>
          <w:szCs w:val="24"/>
        </w:rPr>
        <w:t>Glosten</w:t>
      </w:r>
      <w:proofErr w:type="spellEnd"/>
      <w:r w:rsidRPr="00B44D0D">
        <w:rPr>
          <w:rFonts w:ascii="Times New Roman" w:eastAsiaTheme="minorEastAsia" w:hAnsi="Times New Roman" w:cs="Times New Roman"/>
          <w:sz w:val="24"/>
          <w:szCs w:val="24"/>
        </w:rPr>
        <w:t xml:space="preserve"> (1993) introduced the GJR-GARCH model in term of an alternative edition of the asymmetric mode of Engel et al. (1990). In GJR-GARCH model the asymmetric response is </w:t>
      </w:r>
      <w:r w:rsidRPr="00B44D0D">
        <w:rPr>
          <w:rFonts w:ascii="Times New Roman" w:eastAsiaTheme="minorEastAsia" w:hAnsi="Times New Roman" w:cs="Times New Roman"/>
          <w:sz w:val="24"/>
          <w:szCs w:val="24"/>
        </w:rPr>
        <w:lastRenderedPageBreak/>
        <w:t>bounded by only the negative shocks of the market. Although, there is also single extra parameter for leverage.</w:t>
      </w:r>
    </w:p>
    <w:p w14:paraId="27A85423" w14:textId="33C1AA20" w:rsidR="00454904" w:rsidRPr="00B44D0D"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Nelson (1991) introduced the exponential GARCH model or E-GARCH for formulating the conditional variance equation to implement the method of ensuring that the variance is positive and do not need to impose the constraints on the coefficients. He used the log of the variance instead of using variance itself, because of certain negative value can be obtained from log as </w:t>
      </w:r>
      <w:r w:rsidR="00E91B7D" w:rsidRPr="00B44D0D">
        <w:rPr>
          <w:rFonts w:ascii="Times New Roman" w:eastAsiaTheme="minorEastAsia" w:hAnsi="Times New Roman" w:cs="Times New Roman"/>
          <w:sz w:val="24"/>
          <w:szCs w:val="24"/>
        </w:rPr>
        <w:t>compared</w:t>
      </w:r>
      <w:r w:rsidRPr="00B44D0D">
        <w:rPr>
          <w:rFonts w:ascii="Times New Roman" w:eastAsiaTheme="minorEastAsia" w:hAnsi="Times New Roman" w:cs="Times New Roman"/>
          <w:sz w:val="24"/>
          <w:szCs w:val="24"/>
        </w:rPr>
        <w:t xml:space="preserve"> to variance which will always be positive.</w:t>
      </w:r>
    </w:p>
    <w:p w14:paraId="7FB095A8" w14:textId="77777777" w:rsidR="00454904" w:rsidRPr="00B44D0D" w:rsidRDefault="00454904" w:rsidP="00E91B7D">
      <w:pPr>
        <w:spacing w:line="360" w:lineRule="auto"/>
        <w:jc w:val="both"/>
        <w:rPr>
          <w:rFonts w:ascii="Times New Roman" w:eastAsiaTheme="minorEastAsia" w:hAnsi="Times New Roman" w:cs="Times New Roman"/>
          <w:sz w:val="24"/>
          <w:szCs w:val="24"/>
        </w:rPr>
      </w:pPr>
      <w:proofErr w:type="spellStart"/>
      <w:r w:rsidRPr="00B44D0D">
        <w:rPr>
          <w:rFonts w:ascii="Times New Roman" w:eastAsiaTheme="minorEastAsia" w:hAnsi="Times New Roman" w:cs="Times New Roman"/>
          <w:sz w:val="24"/>
          <w:szCs w:val="24"/>
        </w:rPr>
        <w:t>Bollerslev</w:t>
      </w:r>
      <w:proofErr w:type="spellEnd"/>
      <w:r w:rsidRPr="00B44D0D">
        <w:rPr>
          <w:rFonts w:ascii="Times New Roman" w:eastAsiaTheme="minorEastAsia" w:hAnsi="Times New Roman" w:cs="Times New Roman"/>
          <w:sz w:val="24"/>
          <w:szCs w:val="24"/>
        </w:rPr>
        <w:t xml:space="preserve"> (1987) introduced the student-t GARCH; he assumed that the conditional distribution of market returns is t distributed. In this way the present degree of freedom in the distribution comes up as an additional parameter and that is supposed to be estimated along with parameters in the conditional variance equation. Lambert and Laurent (2001) also introduced the extended form of the symmetric t-GARCH in terms of skewed t distributions.</w:t>
      </w:r>
    </w:p>
    <w:p w14:paraId="346A5128" w14:textId="1F50CCFA" w:rsidR="00454904" w:rsidRDefault="00454904" w:rsidP="00E91B7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So </w:t>
      </w:r>
      <w:r w:rsidR="002E76DD" w:rsidRPr="00B44D0D">
        <w:rPr>
          <w:rFonts w:ascii="Times New Roman" w:eastAsiaTheme="minorEastAsia" w:hAnsi="Times New Roman" w:cs="Times New Roman"/>
          <w:sz w:val="24"/>
          <w:szCs w:val="24"/>
        </w:rPr>
        <w:t>far,</w:t>
      </w:r>
      <w:r w:rsidRPr="00B44D0D">
        <w:rPr>
          <w:rFonts w:ascii="Times New Roman" w:eastAsiaTheme="minorEastAsia" w:hAnsi="Times New Roman" w:cs="Times New Roman"/>
          <w:sz w:val="24"/>
          <w:szCs w:val="24"/>
        </w:rPr>
        <w:t xml:space="preserve"> the conclusion of above discussion is asymmetric GARCH models are the best and obvious choice of selection for equity and commodity markets. When there is a case of daily or intraday frequency of interest rate or foreign exchange rate. So, it is also </w:t>
      </w:r>
      <w:r w:rsidR="002E76DD" w:rsidRPr="00B44D0D">
        <w:rPr>
          <w:rFonts w:ascii="Times New Roman" w:eastAsiaTheme="minorEastAsia" w:hAnsi="Times New Roman" w:cs="Times New Roman"/>
          <w:sz w:val="24"/>
          <w:szCs w:val="24"/>
        </w:rPr>
        <w:t>requiring</w:t>
      </w:r>
      <w:r w:rsidRPr="00B44D0D">
        <w:rPr>
          <w:rFonts w:ascii="Times New Roman" w:eastAsiaTheme="minorEastAsia" w:hAnsi="Times New Roman" w:cs="Times New Roman"/>
          <w:sz w:val="24"/>
          <w:szCs w:val="24"/>
        </w:rPr>
        <w:t xml:space="preserve"> the asymmetric effect. Here we introduce three </w:t>
      </w:r>
      <w:r w:rsidR="002E76DD" w:rsidRPr="00B44D0D">
        <w:rPr>
          <w:rFonts w:ascii="Times New Roman" w:eastAsiaTheme="minorEastAsia" w:hAnsi="Times New Roman" w:cs="Times New Roman"/>
          <w:sz w:val="24"/>
          <w:szCs w:val="24"/>
        </w:rPr>
        <w:t>types</w:t>
      </w:r>
      <w:r w:rsidRPr="00B44D0D">
        <w:rPr>
          <w:rFonts w:ascii="Times New Roman" w:eastAsiaTheme="minorEastAsia" w:hAnsi="Times New Roman" w:cs="Times New Roman"/>
          <w:sz w:val="24"/>
          <w:szCs w:val="24"/>
        </w:rPr>
        <w:t xml:space="preserve"> of GARCH model in a sense that those will allocate volatility to react asymmetrically for positive and negative returns.</w:t>
      </w:r>
    </w:p>
    <w:p w14:paraId="6DB84093" w14:textId="49F89694" w:rsidR="00454904" w:rsidRPr="00B44D0D" w:rsidRDefault="0065539B" w:rsidP="00C83870">
      <w:pPr>
        <w:pStyle w:val="Heading2"/>
        <w:rPr>
          <w:rFonts w:eastAsiaTheme="minorEastAsia"/>
        </w:rPr>
      </w:pPr>
      <w:bookmarkStart w:id="62" w:name="_Toc414019630"/>
      <w:bookmarkStart w:id="63" w:name="_Toc90499950"/>
      <w:r>
        <w:rPr>
          <w:rFonts w:eastAsiaTheme="minorEastAsia"/>
        </w:rPr>
        <w:t>1.3.1</w:t>
      </w:r>
      <w:r w:rsidR="00C83870">
        <w:rPr>
          <w:rFonts w:eastAsiaTheme="minorEastAsia"/>
        </w:rPr>
        <w:t>5</w:t>
      </w:r>
      <w:r w:rsidR="0022256D">
        <w:rPr>
          <w:rFonts w:eastAsiaTheme="minorEastAsia"/>
        </w:rPr>
        <w:t xml:space="preserve"> </w:t>
      </w:r>
      <w:r w:rsidR="00454904" w:rsidRPr="00B44D0D">
        <w:rPr>
          <w:rFonts w:eastAsiaTheme="minorEastAsia"/>
        </w:rPr>
        <w:t>Asymmetric GARCH model</w:t>
      </w:r>
      <w:r w:rsidR="00454904" w:rsidRPr="00B44D0D">
        <w:t xml:space="preserve"> or </w:t>
      </w:r>
      <w:r w:rsidR="00454904" w:rsidRPr="00B44D0D">
        <w:rPr>
          <w:rFonts w:eastAsiaTheme="minorEastAsia"/>
        </w:rPr>
        <w:t>A-GARCH</w:t>
      </w:r>
      <w:bookmarkEnd w:id="62"/>
      <w:bookmarkEnd w:id="63"/>
      <w:r w:rsidR="00454904" w:rsidRPr="00B44D0D">
        <w:rPr>
          <w:rFonts w:eastAsiaTheme="minorEastAsia"/>
        </w:rPr>
        <w:t xml:space="preserve"> </w:t>
      </w:r>
    </w:p>
    <w:p w14:paraId="50922776" w14:textId="77777777"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 asymmetric GARCH or A-GARCH model is described by adding an additional parameter in the symmetric GARCH model such as to capture the asymmetric volatility response. The model was first suggested by Engle (1990) and later on discussed by Engle and Ng (1993). The A-GARCH (1, 1) model can be written as </w:t>
      </w:r>
    </w:p>
    <w:p w14:paraId="1200AE9D" w14:textId="77777777" w:rsidR="00454904" w:rsidRPr="00B44D0D" w:rsidRDefault="002C15FD" w:rsidP="002E76DD">
      <w:pPr>
        <w:spacing w:line="36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hAnsi="Cambria Math" w:cs="Times New Roman"/>
              <w:sz w:val="24"/>
              <w:szCs w:val="24"/>
            </w:rPr>
            <m:t>ω+ α</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(ε</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λ)+ β</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3F378138" w14:textId="77777777"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Where, λ the additional parameter was introduced to capture the leverage effect. </w:t>
      </w:r>
    </w:p>
    <w:p w14:paraId="4F65266C" w14:textId="2DBD5C00"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 maximization of the likelihood function is still applicable for parameter estimation of the normal A-GARCH model. It </w:t>
      </w:r>
      <w:r w:rsidR="002E76DD" w:rsidRPr="00B44D0D">
        <w:rPr>
          <w:rFonts w:ascii="Times New Roman" w:eastAsiaTheme="minorEastAsia" w:hAnsi="Times New Roman" w:cs="Times New Roman"/>
          <w:sz w:val="24"/>
          <w:szCs w:val="24"/>
        </w:rPr>
        <w:t>can</w:t>
      </w:r>
      <w:r w:rsidRPr="00B44D0D">
        <w:rPr>
          <w:rFonts w:ascii="Times New Roman" w:eastAsiaTheme="minorEastAsia" w:hAnsi="Times New Roman" w:cs="Times New Roman"/>
          <w:sz w:val="24"/>
          <w:szCs w:val="24"/>
        </w:rPr>
        <w:t xml:space="preserve"> be noticed here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oMath>
      <w:r w:rsidRPr="00B44D0D">
        <w:rPr>
          <w:rFonts w:ascii="Times New Roman" w:eastAsiaTheme="minorEastAsia" w:hAnsi="Times New Roman" w:cs="Times New Roman"/>
          <w:sz w:val="24"/>
          <w:szCs w:val="24"/>
        </w:rPr>
        <w:t xml:space="preserve"> now depends on the extra parameter λ. The constraints in A-GARCH model, lag, and error parameter on the ARCH constant are the same as </w:t>
      </w:r>
      <m:oMath>
        <m:r>
          <w:rPr>
            <w:rFonts w:ascii="Cambria Math" w:hAnsi="Cambria Math" w:cs="Times New Roman"/>
            <w:sz w:val="24"/>
            <w:szCs w:val="24"/>
          </w:rPr>
          <m:t>ω&gt;0 ,   α,β≥0,    α+β&lt;1,</m:t>
        </m:r>
      </m:oMath>
      <w:r w:rsidRPr="00B44D0D">
        <w:rPr>
          <w:rFonts w:ascii="Times New Roman" w:eastAsiaTheme="minorEastAsia" w:hAnsi="Times New Roman" w:cs="Times New Roman"/>
          <w:sz w:val="24"/>
          <w:szCs w:val="24"/>
        </w:rPr>
        <w:t xml:space="preserve"> however, there is no constraint on λ. If λ &gt; 0 then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oMath>
      <w:r w:rsidRPr="00B44D0D">
        <w:rPr>
          <w:rFonts w:ascii="Times New Roman" w:eastAsiaTheme="minorEastAsia" w:hAnsi="Times New Roman" w:cs="Times New Roman"/>
          <w:sz w:val="24"/>
          <w:szCs w:val="24"/>
        </w:rPr>
        <w:t xml:space="preserve"> will be larger when the market shock is </w:t>
      </w:r>
      <w:r w:rsidR="007B76F9" w:rsidRPr="00B44D0D">
        <w:rPr>
          <w:rFonts w:ascii="Times New Roman" w:eastAsiaTheme="minorEastAsia" w:hAnsi="Times New Roman" w:cs="Times New Roman"/>
          <w:sz w:val="24"/>
          <w:szCs w:val="24"/>
        </w:rPr>
        <w:t>negative,</w:t>
      </w:r>
      <w:r w:rsidRPr="00B44D0D">
        <w:rPr>
          <w:rFonts w:ascii="Times New Roman" w:eastAsiaTheme="minorEastAsia" w:hAnsi="Times New Roman" w:cs="Times New Roman"/>
          <w:sz w:val="24"/>
          <w:szCs w:val="24"/>
        </w:rPr>
        <w:t xml:space="preserve"> then when market shock is positive. There will be a vice versa situation if λ &lt; 0. Therefore, when the above equation is </w:t>
      </w:r>
      <w:r w:rsidRPr="00B44D0D">
        <w:rPr>
          <w:rFonts w:ascii="Times New Roman" w:eastAsiaTheme="minorEastAsia" w:hAnsi="Times New Roman" w:cs="Times New Roman"/>
          <w:sz w:val="24"/>
          <w:szCs w:val="24"/>
        </w:rPr>
        <w:lastRenderedPageBreak/>
        <w:t xml:space="preserve">estimated for the equity </w:t>
      </w:r>
      <w:r w:rsidR="007B76F9" w:rsidRPr="00B44D0D">
        <w:rPr>
          <w:rFonts w:ascii="Times New Roman" w:eastAsiaTheme="minorEastAsia" w:hAnsi="Times New Roman" w:cs="Times New Roman"/>
          <w:sz w:val="24"/>
          <w:szCs w:val="24"/>
        </w:rPr>
        <w:t>returns,</w:t>
      </w:r>
      <w:r w:rsidRPr="00B44D0D">
        <w:rPr>
          <w:rFonts w:ascii="Times New Roman" w:eastAsiaTheme="minorEastAsia" w:hAnsi="Times New Roman" w:cs="Times New Roman"/>
          <w:sz w:val="24"/>
          <w:szCs w:val="24"/>
        </w:rPr>
        <w:t xml:space="preserve"> we normally have the positive value of λ. However, when the above equation is estimated for commodity returns the negative value is more frequent.  </w:t>
      </w:r>
    </w:p>
    <w:p w14:paraId="767FD858" w14:textId="77777777" w:rsidR="00454904" w:rsidRPr="00B44D0D" w:rsidRDefault="00454904" w:rsidP="002E76DD">
      <w:pPr>
        <w:spacing w:line="360" w:lineRule="auto"/>
        <w:rPr>
          <w:rFonts w:ascii="Times New Roman" w:eastAsiaTheme="minorEastAsia" w:hAnsi="Times New Roman" w:cs="Times New Roman"/>
          <w:bCs/>
          <w:color w:val="000000" w:themeColor="text1"/>
          <w:sz w:val="24"/>
          <w:szCs w:val="24"/>
        </w:rPr>
      </w:pPr>
      <w:bookmarkStart w:id="64" w:name="_Toc414019631"/>
      <w:r w:rsidRPr="00B44D0D">
        <w:rPr>
          <w:rFonts w:ascii="Times New Roman" w:eastAsiaTheme="minorEastAsia" w:hAnsi="Times New Roman" w:cs="Times New Roman"/>
          <w:bCs/>
          <w:color w:val="000000" w:themeColor="text1"/>
          <w:sz w:val="24"/>
          <w:szCs w:val="24"/>
        </w:rPr>
        <w:t>A-GARCH Volatility forecasts</w:t>
      </w:r>
      <w:bookmarkEnd w:id="64"/>
    </w:p>
    <w:p w14:paraId="219BA361" w14:textId="2EE9BA56"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In order to find out the </w:t>
      </w:r>
      <w:r w:rsidR="002E76DD"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variance from the above model the fact can be used that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oMath>
      <w:r w:rsidRPr="00B44D0D">
        <w:rPr>
          <w:rFonts w:ascii="Times New Roman" w:eastAsiaTheme="minorEastAsia" w:hAnsi="Times New Roman" w:cs="Times New Roman"/>
          <w:sz w:val="24"/>
          <w:szCs w:val="24"/>
        </w:rPr>
        <w:t xml:space="preserve"> and assume that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oMath>
      <w:r w:rsidRPr="00B44D0D">
        <w:rPr>
          <w:rFonts w:ascii="Times New Roman" w:eastAsiaTheme="minorEastAsia" w:hAnsi="Times New Roman" w:cs="Times New Roman"/>
          <w:sz w:val="24"/>
          <w:szCs w:val="24"/>
        </w:rPr>
        <w:t xml:space="preserve"> for all t. Hence, the </w:t>
      </w:r>
      <w:r w:rsidR="007B76F9"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variance of the A-GARCH model is:</w:t>
      </w:r>
    </w:p>
    <w:p w14:paraId="6AD77A01" w14:textId="77777777" w:rsidR="00454904" w:rsidRPr="00B44D0D" w:rsidRDefault="00454904" w:rsidP="002E76DD">
      <w:pPr>
        <w:spacing w:line="360" w:lineRule="auto"/>
        <w:rPr>
          <w:rFonts w:ascii="Times New Roman" w:eastAsiaTheme="minorEastAsia" w:hAnsi="Times New Roman" w:cs="Times New Roman"/>
          <w:sz w:val="24"/>
          <w:szCs w:val="24"/>
        </w:rPr>
      </w:pPr>
    </w:p>
    <w:p w14:paraId="67707A49" w14:textId="77777777" w:rsidR="00454904" w:rsidRPr="00B44D0D" w:rsidRDefault="00454904" w:rsidP="002E76DD">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ω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α</m:t>
              </m:r>
            </m:num>
            <m:den>
              <m:r>
                <w:rPr>
                  <w:rFonts w:ascii="Cambria Math" w:eastAsiaTheme="minorEastAsia" w:hAnsi="Cambria Math" w:cs="Times New Roman"/>
                  <w:sz w:val="24"/>
                  <w:szCs w:val="24"/>
                </w:rPr>
                <m:t>1-( α+ β )</m:t>
              </m:r>
            </m:den>
          </m:f>
          <m:r>
            <w:rPr>
              <w:rFonts w:ascii="Cambria Math" w:eastAsiaTheme="minorEastAsia" w:hAnsi="Cambria Math" w:cs="Times New Roman"/>
              <w:sz w:val="24"/>
              <w:szCs w:val="24"/>
            </w:rPr>
            <m:t xml:space="preserve">.                                                      </m:t>
          </m:r>
        </m:oMath>
      </m:oMathPara>
    </w:p>
    <w:p w14:paraId="61104185" w14:textId="77777777" w:rsidR="00454904" w:rsidRPr="00B44D0D" w:rsidRDefault="00454904" w:rsidP="002E76DD">
      <w:pPr>
        <w:spacing w:line="360" w:lineRule="auto"/>
        <w:jc w:val="both"/>
        <w:rPr>
          <w:rFonts w:ascii="Times New Roman" w:eastAsiaTheme="minorEastAsia" w:hAnsi="Times New Roman" w:cs="Times New Roman"/>
          <w:sz w:val="24"/>
          <w:szCs w:val="24"/>
        </w:rPr>
      </w:pPr>
    </w:p>
    <w:p w14:paraId="47AE86F3" w14:textId="77777777"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After the parameter estimates, the one-step ahead variance forecasts through the volatility forecasts is  </w:t>
      </w:r>
    </w:p>
    <w:p w14:paraId="0D7BE6E1" w14:textId="77777777" w:rsidR="00454904" w:rsidRPr="00B44D0D" w:rsidRDefault="00454904" w:rsidP="002E76DD">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p>
            <m:sSupPr>
              <m:ctrlPr>
                <w:rPr>
                  <w:rFonts w:ascii="Cambria Math" w:eastAsiaTheme="minorEastAsia"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t</m:t>
                  </m:r>
                </m:sub>
              </m:sSub>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λ</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65550DF8" w14:textId="77777777" w:rsidR="00454904" w:rsidRPr="00B44D0D" w:rsidRDefault="00454904" w:rsidP="002E76DD">
      <w:pPr>
        <w:spacing w:line="360" w:lineRule="auto"/>
        <w:rPr>
          <w:rFonts w:ascii="Times New Roman" w:eastAsiaTheme="minorEastAsia" w:hAnsi="Times New Roman" w:cs="Times New Roman"/>
          <w:sz w:val="24"/>
          <w:szCs w:val="24"/>
        </w:rPr>
      </w:pPr>
    </w:p>
    <w:p w14:paraId="0B05C0D5" w14:textId="77777777"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Therefore, the s-step ahead forecasts from above when S &gt; 1, can be written as</w:t>
      </w:r>
    </w:p>
    <w:p w14:paraId="76C367C5" w14:textId="77777777" w:rsidR="00454904" w:rsidRPr="00B44D0D" w:rsidRDefault="002C15FD" w:rsidP="002E76DD">
      <w:pPr>
        <w:spacing w:line="36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T+S+1</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λ</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α</m:t>
                  </m:r>
                </m:e>
              </m:acc>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r>
                <w:rPr>
                  <w:rFonts w:ascii="Cambria Math" w:eastAsiaTheme="minorEastAsia" w:hAnsi="Cambria Math" w:cs="Times New Roman"/>
                  <w:sz w:val="24"/>
                  <w:szCs w:val="24"/>
                </w:rPr>
                <m:t xml:space="preserve"> </m:t>
              </m:r>
            </m:e>
          </m:d>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                   </m:t>
          </m:r>
        </m:oMath>
      </m:oMathPara>
    </w:p>
    <w:p w14:paraId="4170D9D7" w14:textId="77777777"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Alternative, the volatility forecasts has done before that can be the average variance over the next periods which is in reality the average of the s-step ahead forward variance forecasts for S = 1, </w:t>
      </w:r>
      <w:proofErr w:type="gramStart"/>
      <w:r w:rsidRPr="00B44D0D">
        <w:rPr>
          <w:rFonts w:ascii="Times New Roman" w:eastAsiaTheme="minorEastAsia" w:hAnsi="Times New Roman" w:cs="Times New Roman"/>
          <w:sz w:val="24"/>
          <w:szCs w:val="24"/>
        </w:rPr>
        <w:t>. . . .</w:t>
      </w:r>
      <w:proofErr w:type="gramEnd"/>
      <w:r w:rsidRPr="00B44D0D">
        <w:rPr>
          <w:rFonts w:ascii="Times New Roman" w:eastAsiaTheme="minorEastAsia" w:hAnsi="Times New Roman" w:cs="Times New Roman"/>
          <w:sz w:val="24"/>
          <w:szCs w:val="24"/>
        </w:rPr>
        <w:t xml:space="preserve">, h. </w:t>
      </w:r>
    </w:p>
    <w:p w14:paraId="2161EEE4" w14:textId="704E2C10"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 forward forecasts of daily variance can be used to forecasts forward average volatilities in symmetric GARCH or any other GARCH model </w:t>
      </w:r>
      <w:r w:rsidR="002E76DD" w:rsidRPr="00B44D0D">
        <w:rPr>
          <w:rFonts w:ascii="Times New Roman" w:eastAsiaTheme="minorEastAsia" w:hAnsi="Times New Roman" w:cs="Times New Roman"/>
          <w:sz w:val="24"/>
          <w:szCs w:val="24"/>
        </w:rPr>
        <w:t>in</w:t>
      </w:r>
      <w:r w:rsidRPr="00B44D0D">
        <w:rPr>
          <w:rFonts w:ascii="Times New Roman" w:eastAsiaTheme="minorEastAsia" w:hAnsi="Times New Roman" w:cs="Times New Roman"/>
          <w:sz w:val="24"/>
          <w:szCs w:val="24"/>
        </w:rPr>
        <w:t xml:space="preserve"> order to make the A-GARCH model applicable for imposing the </w:t>
      </w:r>
      <w:r w:rsidR="000478CA"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volatility rearranging gives</w:t>
      </w:r>
    </w:p>
    <w:p w14:paraId="451655E1" w14:textId="77777777" w:rsidR="00454904" w:rsidRPr="00B44D0D" w:rsidRDefault="00454904" w:rsidP="002E76DD">
      <w:pPr>
        <w:spacing w:line="360" w:lineRule="auto"/>
        <w:rPr>
          <w:rFonts w:ascii="Times New Roman" w:eastAsiaTheme="minorEastAsia" w:hAnsi="Times New Roman" w:cs="Times New Roman"/>
          <w:sz w:val="24"/>
          <w:szCs w:val="24"/>
        </w:rPr>
      </w:pPr>
    </w:p>
    <w:p w14:paraId="04E9634C" w14:textId="77777777" w:rsidR="00454904" w:rsidRPr="00B44D0D" w:rsidRDefault="00454904" w:rsidP="002E76DD">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α</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α</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β</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w:br/>
          </m:r>
        </m:oMath>
      </m:oMathPara>
    </w:p>
    <w:p w14:paraId="089303D3" w14:textId="77777777" w:rsidR="00454904" w:rsidRPr="00B44D0D" w:rsidRDefault="00454904" w:rsidP="002E76DD">
      <w:pPr>
        <w:spacing w:line="360" w:lineRule="auto"/>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       or    </w:t>
      </w:r>
    </w:p>
    <w:p w14:paraId="0B066563" w14:textId="77777777" w:rsidR="00454904" w:rsidRPr="00B44D0D" w:rsidRDefault="00454904" w:rsidP="002E76DD">
      <w:pPr>
        <w:spacing w:line="360" w:lineRule="auto"/>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lastRenderedPageBreak/>
        <w:t xml:space="preserve">                                                                                                                                                     </w:t>
      </w:r>
    </w:p>
    <w:p w14:paraId="0F6C2F21" w14:textId="77777777" w:rsidR="00454904" w:rsidRPr="00B44D0D" w:rsidRDefault="00454904" w:rsidP="002E76DD">
      <w:pPr>
        <w:spacing w:line="360" w:lineRule="auto"/>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β</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1-β</m:t>
                </m:r>
              </m:e>
            </m:d>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α </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oMath>
      <w:r w:rsidRPr="00B44D0D">
        <w:rPr>
          <w:rFonts w:ascii="Times New Roman" w:eastAsiaTheme="minorEastAsia" w:hAnsi="Times New Roman" w:cs="Times New Roman"/>
          <w:sz w:val="24"/>
          <w:szCs w:val="24"/>
        </w:rPr>
        <w:t xml:space="preserve"> </w:t>
      </w:r>
    </w:p>
    <w:p w14:paraId="4458C640" w14:textId="77777777" w:rsidR="00454904" w:rsidRPr="00B44D0D" w:rsidRDefault="00454904" w:rsidP="002E76DD">
      <w:pPr>
        <w:spacing w:line="360" w:lineRule="auto"/>
        <w:rPr>
          <w:rFonts w:ascii="Times New Roman" w:eastAsiaTheme="minorEastAsia" w:hAnsi="Times New Roman" w:cs="Times New Roman"/>
          <w:sz w:val="24"/>
          <w:szCs w:val="24"/>
        </w:rPr>
      </w:pPr>
    </w:p>
    <w:p w14:paraId="1CBA671C" w14:textId="14B932A9" w:rsidR="00454904" w:rsidRPr="00B44D0D" w:rsidRDefault="00454904" w:rsidP="002E76DD">
      <w:pPr>
        <w:spacing w:line="360" w:lineRule="auto"/>
        <w:jc w:val="both"/>
        <w:rPr>
          <w:rFonts w:ascii="Times New Roman" w:eastAsiaTheme="minorEastAsia" w:hAnsi="Times New Roman" w:cs="Times New Roman"/>
          <w:sz w:val="24"/>
          <w:szCs w:val="24"/>
        </w:rPr>
      </w:pPr>
      <w:r w:rsidRPr="00B44D0D">
        <w:rPr>
          <w:rFonts w:ascii="Times New Roman" w:eastAsiaTheme="minorEastAsia" w:hAnsi="Times New Roman" w:cs="Times New Roman"/>
          <w:sz w:val="24"/>
          <w:szCs w:val="24"/>
        </w:rPr>
        <w:t xml:space="preserve">The mean reversion effect we obtained in symmetric model is just the same here. However, the reaction to market shocks is in asymmetric form. In equity market the positive shock is considered to reduce the volatility, when the leverage effect is positive. Same as negative shock increase the volatility in the asymmetric model as </w:t>
      </w:r>
      <w:r w:rsidR="002E76DD" w:rsidRPr="00B44D0D">
        <w:rPr>
          <w:rFonts w:ascii="Times New Roman" w:eastAsiaTheme="minorEastAsia" w:hAnsi="Times New Roman" w:cs="Times New Roman"/>
          <w:sz w:val="24"/>
          <w:szCs w:val="24"/>
        </w:rPr>
        <w:t>compared</w:t>
      </w:r>
      <w:r w:rsidRPr="00B44D0D">
        <w:rPr>
          <w:rFonts w:ascii="Times New Roman" w:eastAsiaTheme="minorEastAsia" w:hAnsi="Times New Roman" w:cs="Times New Roman"/>
          <w:sz w:val="24"/>
          <w:szCs w:val="24"/>
        </w:rPr>
        <w:t xml:space="preserve"> to the symmetric model. Mean reversion volatility is </w:t>
      </w:r>
      <w:r w:rsidR="002E76DD" w:rsidRPr="00B44D0D">
        <w:rPr>
          <w:rFonts w:ascii="Times New Roman" w:eastAsiaTheme="minorEastAsia" w:hAnsi="Times New Roman" w:cs="Times New Roman"/>
          <w:sz w:val="24"/>
          <w:szCs w:val="24"/>
        </w:rPr>
        <w:t>dependent</w:t>
      </w:r>
      <w:r w:rsidRPr="00B44D0D">
        <w:rPr>
          <w:rFonts w:ascii="Times New Roman" w:eastAsiaTheme="minorEastAsia" w:hAnsi="Times New Roman" w:cs="Times New Roman"/>
          <w:sz w:val="24"/>
          <w:szCs w:val="24"/>
        </w:rPr>
        <w:t xml:space="preserve"> on the </w:t>
      </w:r>
      <w:r w:rsidR="007B76F9" w:rsidRPr="00B44D0D">
        <w:rPr>
          <w:rFonts w:ascii="Times New Roman" w:eastAsiaTheme="minorEastAsia" w:hAnsi="Times New Roman" w:cs="Times New Roman"/>
          <w:sz w:val="24"/>
          <w:szCs w:val="24"/>
        </w:rPr>
        <w:t>long-term</w:t>
      </w:r>
      <w:r w:rsidRPr="00B44D0D">
        <w:rPr>
          <w:rFonts w:ascii="Times New Roman" w:eastAsiaTheme="minorEastAsia" w:hAnsi="Times New Roman" w:cs="Times New Roman"/>
          <w:sz w:val="24"/>
          <w:szCs w:val="24"/>
        </w:rPr>
        <w:t xml:space="preserve"> average effect no matter the current volatility high or low in the counteract or reinforce situation. </w:t>
      </w:r>
    </w:p>
    <w:p w14:paraId="36125931" w14:textId="2D215083" w:rsidR="00454904" w:rsidRPr="00B44D0D" w:rsidRDefault="0065539B" w:rsidP="00C83870">
      <w:pPr>
        <w:pStyle w:val="Heading2"/>
        <w:rPr>
          <w:rFonts w:eastAsiaTheme="minorEastAsia"/>
        </w:rPr>
      </w:pPr>
      <w:bookmarkStart w:id="65" w:name="_Toc90499951"/>
      <w:r>
        <w:rPr>
          <w:rFonts w:eastAsiaTheme="minorEastAsia"/>
        </w:rPr>
        <w:t>1.</w:t>
      </w:r>
      <w:r w:rsidR="0022256D">
        <w:rPr>
          <w:rFonts w:eastAsiaTheme="minorEastAsia"/>
        </w:rPr>
        <w:t>3.1</w:t>
      </w:r>
      <w:r w:rsidR="00C83870">
        <w:rPr>
          <w:rFonts w:eastAsiaTheme="minorEastAsia"/>
        </w:rPr>
        <w:t>6</w:t>
      </w:r>
      <w:r w:rsidR="0022256D">
        <w:rPr>
          <w:rFonts w:eastAsiaTheme="minorEastAsia"/>
        </w:rPr>
        <w:t xml:space="preserve"> </w:t>
      </w:r>
      <w:r w:rsidR="00454904" w:rsidRPr="00B44D0D">
        <w:rPr>
          <w:rFonts w:eastAsiaTheme="minorEastAsia"/>
        </w:rPr>
        <w:t>Multivariate GARCH Model</w:t>
      </w:r>
      <w:bookmarkEnd w:id="65"/>
    </w:p>
    <w:p w14:paraId="55F16A02" w14:textId="29E81D28" w:rsidR="00454904" w:rsidRPr="007B76F9" w:rsidRDefault="00454904" w:rsidP="00454904">
      <w:pPr>
        <w:spacing w:afterLines="100" w:after="240" w:line="360" w:lineRule="auto"/>
        <w:jc w:val="both"/>
        <w:rPr>
          <w:rFonts w:ascii="Times New Roman" w:hAnsi="Times New Roman" w:cs="Times New Roman"/>
          <w:bCs/>
          <w:sz w:val="24"/>
          <w:szCs w:val="24"/>
          <w:lang w:eastAsia="zh-CN"/>
        </w:rPr>
      </w:pPr>
      <w:r w:rsidRPr="007B76F9">
        <w:rPr>
          <w:rFonts w:ascii="Times New Roman" w:hAnsi="Times New Roman" w:cs="Times New Roman"/>
          <w:bCs/>
          <w:sz w:val="24"/>
          <w:szCs w:val="24"/>
          <w:lang w:eastAsia="zh-CN"/>
        </w:rPr>
        <w:t xml:space="preserve">Unlike the majority of the literature, </w:t>
      </w:r>
      <w:r w:rsidRPr="007B76F9">
        <w:rPr>
          <w:rFonts w:ascii="Times New Roman" w:hAnsi="Times New Roman" w:cs="Times New Roman"/>
          <w:bCs/>
          <w:sz w:val="24"/>
          <w:szCs w:val="24"/>
          <w:lang w:eastAsia="zh-CN"/>
        </w:rPr>
        <w:fldChar w:fldCharType="begin">
          <w:fldData xml:space="preserve">PEVuZE5vdGU+PENpdGUgQXV0aG9yWWVhcj0iMSI+PEF1dGhvcj5BbnRvbmFrYWtpczwvQXV0aG9y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</w:fldData>
        </w:fldChar>
      </w:r>
      <w:r w:rsidRPr="007B76F9">
        <w:rPr>
          <w:rFonts w:ascii="Times New Roman" w:hAnsi="Times New Roman" w:cs="Times New Roman"/>
          <w:bCs/>
          <w:sz w:val="24"/>
          <w:szCs w:val="24"/>
          <w:lang w:eastAsia="zh-CN"/>
        </w:rPr>
        <w:instrText xml:space="preserve"> ADDIN EN.CITE </w:instrText>
      </w:r>
      <w:r w:rsidRPr="007B76F9">
        <w:rPr>
          <w:rFonts w:ascii="Times New Roman" w:hAnsi="Times New Roman" w:cs="Times New Roman"/>
          <w:bCs/>
          <w:sz w:val="24"/>
          <w:szCs w:val="24"/>
          <w:lang w:eastAsia="zh-CN"/>
        </w:rPr>
        <w:fldChar w:fldCharType="begin">
          <w:fldData xml:space="preserve">PEVuZE5vdGU+PENpdGUgQXV0aG9yWWVhcj0iMSI+PEF1dGhvcj5BbnRvbmFrYWtpczwvQXV0aG9y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</w:fldData>
        </w:fldChar>
      </w:r>
      <w:r w:rsidRPr="007B76F9">
        <w:rPr>
          <w:rFonts w:ascii="Times New Roman" w:hAnsi="Times New Roman" w:cs="Times New Roman"/>
          <w:bCs/>
          <w:sz w:val="24"/>
          <w:szCs w:val="24"/>
          <w:lang w:eastAsia="zh-CN"/>
        </w:rPr>
        <w:instrText xml:space="preserve"> ADDIN EN.CITE.DATA </w:instrText>
      </w:r>
      <w:r w:rsidRPr="007B76F9">
        <w:rPr>
          <w:rFonts w:ascii="Times New Roman" w:hAnsi="Times New Roman" w:cs="Times New Roman"/>
          <w:bCs/>
          <w:sz w:val="24"/>
          <w:szCs w:val="24"/>
          <w:lang w:eastAsia="zh-CN"/>
        </w:rPr>
      </w:r>
      <w:r w:rsidRPr="007B76F9">
        <w:rPr>
          <w:rFonts w:ascii="Times New Roman" w:hAnsi="Times New Roman" w:cs="Times New Roman"/>
          <w:bCs/>
          <w:sz w:val="24"/>
          <w:szCs w:val="24"/>
          <w:lang w:eastAsia="zh-CN"/>
        </w:rPr>
        <w:fldChar w:fldCharType="end"/>
      </w:r>
      <w:r w:rsidRPr="007B76F9">
        <w:rPr>
          <w:rFonts w:ascii="Times New Roman" w:hAnsi="Times New Roman" w:cs="Times New Roman"/>
          <w:bCs/>
          <w:sz w:val="24"/>
          <w:szCs w:val="24"/>
          <w:lang w:eastAsia="zh-CN"/>
        </w:rPr>
      </w:r>
      <w:r w:rsidRPr="007B76F9">
        <w:rPr>
          <w:rFonts w:ascii="Times New Roman" w:hAnsi="Times New Roman" w:cs="Times New Roman"/>
          <w:bCs/>
          <w:sz w:val="24"/>
          <w:szCs w:val="24"/>
          <w:lang w:eastAsia="zh-CN"/>
        </w:rPr>
        <w:fldChar w:fldCharType="separate"/>
      </w:r>
      <w:hyperlink w:anchor="_ENREF_9" w:tooltip="Antonakakis, 2012 #96" w:history="1">
        <w:r w:rsidRPr="007B76F9">
          <w:rPr>
            <w:rFonts w:ascii="Times New Roman" w:hAnsi="Times New Roman" w:cs="Times New Roman"/>
            <w:bCs/>
            <w:noProof/>
            <w:sz w:val="24"/>
            <w:szCs w:val="24"/>
            <w:lang w:eastAsia="zh-CN"/>
          </w:rPr>
          <w:t>Antonakakis (2012</w:t>
        </w:r>
      </w:hyperlink>
      <w:r w:rsidRPr="007B76F9">
        <w:rPr>
          <w:rFonts w:ascii="Times New Roman" w:hAnsi="Times New Roman" w:cs="Times New Roman"/>
          <w:bCs/>
          <w:noProof/>
          <w:sz w:val="24"/>
          <w:szCs w:val="24"/>
          <w:lang w:eastAsia="zh-CN"/>
        </w:rPr>
        <w:t>)</w:t>
      </w:r>
      <w:r w:rsidRPr="007B76F9">
        <w:rPr>
          <w:rFonts w:ascii="Times New Roman" w:hAnsi="Times New Roman" w:cs="Times New Roman"/>
          <w:bCs/>
          <w:sz w:val="24"/>
          <w:szCs w:val="24"/>
          <w:lang w:eastAsia="zh-CN"/>
        </w:rPr>
        <w:fldChar w:fldCharType="end"/>
      </w:r>
      <w:r w:rsidRPr="007B76F9">
        <w:rPr>
          <w:rFonts w:ascii="Times New Roman" w:hAnsi="Times New Roman" w:cs="Times New Roman"/>
          <w:bCs/>
          <w:sz w:val="24"/>
          <w:szCs w:val="24"/>
          <w:lang w:eastAsia="zh-CN"/>
        </w:rPr>
        <w:t xml:space="preserve"> </w:t>
      </w:r>
      <w:r w:rsidRPr="007B76F9">
        <w:rPr>
          <w:rFonts w:ascii="Times New Roman" w:hAnsi="Times New Roman" w:cs="Times New Roman"/>
          <w:sz w:val="24"/>
          <w:szCs w:val="24"/>
        </w:rPr>
        <w:t>examines return co</w:t>
      </w:r>
      <w:r w:rsidR="007B76F9">
        <w:rPr>
          <w:rFonts w:ascii="Times New Roman" w:hAnsi="Times New Roman" w:cs="Times New Roman"/>
          <w:sz w:val="24"/>
          <w:szCs w:val="24"/>
        </w:rPr>
        <w:t>-</w:t>
      </w:r>
      <w:r w:rsidRPr="007B76F9">
        <w:rPr>
          <w:rFonts w:ascii="Times New Roman" w:hAnsi="Times New Roman" w:cs="Times New Roman"/>
          <w:sz w:val="24"/>
          <w:szCs w:val="24"/>
        </w:rPr>
        <w:t xml:space="preserve">movements and volatility </w:t>
      </w:r>
      <w:proofErr w:type="spellStart"/>
      <w:r w:rsidRPr="007B76F9">
        <w:rPr>
          <w:rFonts w:ascii="Times New Roman" w:hAnsi="Times New Roman" w:cs="Times New Roman"/>
          <w:sz w:val="24"/>
          <w:szCs w:val="24"/>
        </w:rPr>
        <w:t>spillovers</w:t>
      </w:r>
      <w:proofErr w:type="spellEnd"/>
      <w:r w:rsidRPr="007B76F9">
        <w:rPr>
          <w:rFonts w:ascii="Times New Roman" w:hAnsi="Times New Roman" w:cs="Times New Roman"/>
          <w:sz w:val="24"/>
          <w:szCs w:val="24"/>
        </w:rPr>
        <w:t xml:space="preserve"> between major exchange rates before and after the introduction of the euro. Dynamic correlations and VAR-based </w:t>
      </w:r>
      <w:proofErr w:type="spellStart"/>
      <w:r w:rsidRPr="007B76F9">
        <w:rPr>
          <w:rFonts w:ascii="Times New Roman" w:hAnsi="Times New Roman" w:cs="Times New Roman"/>
          <w:sz w:val="24"/>
          <w:szCs w:val="24"/>
        </w:rPr>
        <w:t>spillover</w:t>
      </w:r>
      <w:proofErr w:type="spellEnd"/>
      <w:r w:rsidRPr="007B76F9">
        <w:rPr>
          <w:rFonts w:ascii="Times New Roman" w:hAnsi="Times New Roman" w:cs="Times New Roman"/>
          <w:sz w:val="24"/>
          <w:szCs w:val="24"/>
        </w:rPr>
        <w:t xml:space="preserve"> index results suggest significant return co</w:t>
      </w:r>
      <w:r w:rsidR="007C6747">
        <w:rPr>
          <w:rFonts w:ascii="Times New Roman" w:hAnsi="Times New Roman" w:cs="Times New Roman"/>
          <w:sz w:val="24"/>
          <w:szCs w:val="24"/>
        </w:rPr>
        <w:t>-</w:t>
      </w:r>
      <w:r w:rsidRPr="007B76F9">
        <w:rPr>
          <w:rFonts w:ascii="Times New Roman" w:hAnsi="Times New Roman" w:cs="Times New Roman"/>
          <w:sz w:val="24"/>
          <w:szCs w:val="24"/>
        </w:rPr>
        <w:t xml:space="preserve">movements and volatility </w:t>
      </w:r>
      <w:proofErr w:type="spellStart"/>
      <w:r w:rsidRPr="007B76F9">
        <w:rPr>
          <w:rFonts w:ascii="Times New Roman" w:hAnsi="Times New Roman" w:cs="Times New Roman"/>
          <w:sz w:val="24"/>
          <w:szCs w:val="24"/>
        </w:rPr>
        <w:t>spillovers</w:t>
      </w:r>
      <w:proofErr w:type="spellEnd"/>
      <w:r w:rsidRPr="007B76F9">
        <w:rPr>
          <w:rFonts w:ascii="Times New Roman" w:hAnsi="Times New Roman" w:cs="Times New Roman"/>
          <w:sz w:val="24"/>
          <w:szCs w:val="24"/>
        </w:rPr>
        <w:t>; however, their extent is, on average, lower in the post-euro period. Co</w:t>
      </w:r>
      <w:r w:rsidR="007C6747">
        <w:rPr>
          <w:rFonts w:ascii="Times New Roman" w:hAnsi="Times New Roman" w:cs="Times New Roman"/>
          <w:sz w:val="24"/>
          <w:szCs w:val="24"/>
        </w:rPr>
        <w:t>-</w:t>
      </w:r>
      <w:r w:rsidRPr="007B76F9">
        <w:rPr>
          <w:rFonts w:ascii="Times New Roman" w:hAnsi="Times New Roman" w:cs="Times New Roman"/>
          <w:sz w:val="24"/>
          <w:szCs w:val="24"/>
        </w:rPr>
        <w:t xml:space="preserve">movements and </w:t>
      </w:r>
      <w:proofErr w:type="spellStart"/>
      <w:r w:rsidRPr="007B76F9">
        <w:rPr>
          <w:rFonts w:ascii="Times New Roman" w:hAnsi="Times New Roman" w:cs="Times New Roman"/>
          <w:sz w:val="24"/>
          <w:szCs w:val="24"/>
        </w:rPr>
        <w:t>spillovers</w:t>
      </w:r>
      <w:proofErr w:type="spellEnd"/>
      <w:r w:rsidRPr="007B76F9">
        <w:rPr>
          <w:rFonts w:ascii="Times New Roman" w:hAnsi="Times New Roman" w:cs="Times New Roman"/>
          <w:sz w:val="24"/>
          <w:szCs w:val="24"/>
        </w:rPr>
        <w:t xml:space="preserve"> are positively associated with extreme episodes and US dollar appreciations. The Deutsche mark is the dominant net transmitter of volatility, while the British pound is the dominant net receiver of volatility in both periods. Nevertheless, cross-market volatility </w:t>
      </w:r>
      <w:proofErr w:type="spellStart"/>
      <w:r w:rsidRPr="007B76F9">
        <w:rPr>
          <w:rFonts w:ascii="Times New Roman" w:hAnsi="Times New Roman" w:cs="Times New Roman"/>
          <w:sz w:val="24"/>
          <w:szCs w:val="24"/>
        </w:rPr>
        <w:t>spillovers</w:t>
      </w:r>
      <w:proofErr w:type="spellEnd"/>
      <w:r w:rsidRPr="007B76F9">
        <w:rPr>
          <w:rFonts w:ascii="Times New Roman" w:hAnsi="Times New Roman" w:cs="Times New Roman"/>
          <w:sz w:val="24"/>
          <w:szCs w:val="24"/>
        </w:rPr>
        <w:t xml:space="preserve"> are bidirectional, and the highest </w:t>
      </w:r>
      <w:proofErr w:type="spellStart"/>
      <w:r w:rsidRPr="007B76F9">
        <w:rPr>
          <w:rFonts w:ascii="Times New Roman" w:hAnsi="Times New Roman" w:cs="Times New Roman"/>
          <w:sz w:val="24"/>
          <w:szCs w:val="24"/>
        </w:rPr>
        <w:t>spillovers</w:t>
      </w:r>
      <w:proofErr w:type="spellEnd"/>
      <w:r w:rsidRPr="007B76F9">
        <w:rPr>
          <w:rFonts w:ascii="Times New Roman" w:hAnsi="Times New Roman" w:cs="Times New Roman"/>
          <w:sz w:val="24"/>
          <w:szCs w:val="24"/>
        </w:rPr>
        <w:t xml:space="preserve"> occur between European markets.</w:t>
      </w:r>
    </w:p>
    <w:p w14:paraId="297CB169" w14:textId="59265864" w:rsidR="00454904" w:rsidRPr="007B76F9" w:rsidRDefault="00454904" w:rsidP="00454904">
      <w:pPr>
        <w:widowControl w:val="0"/>
        <w:autoSpaceDE w:val="0"/>
        <w:autoSpaceDN w:val="0"/>
        <w:adjustRightInd w:val="0"/>
        <w:spacing w:line="360" w:lineRule="auto"/>
        <w:jc w:val="both"/>
        <w:rPr>
          <w:rFonts w:ascii="Times New Roman" w:hAnsi="Times New Roman" w:cs="Times New Roman"/>
          <w:sz w:val="24"/>
          <w:szCs w:val="24"/>
        </w:rPr>
      </w:pPr>
      <w:r w:rsidRPr="007B76F9">
        <w:rPr>
          <w:rFonts w:ascii="Times New Roman" w:hAnsi="Times New Roman" w:cs="Times New Roman"/>
          <w:sz w:val="24"/>
          <w:szCs w:val="24"/>
        </w:rPr>
        <w:fldChar w:fldCharType="begin"/>
      </w:r>
      <w:r w:rsidRPr="007B76F9">
        <w:rPr>
          <w:rFonts w:ascii="Times New Roman" w:hAnsi="Times New Roman" w:cs="Times New Roman"/>
          <w:sz w:val="24"/>
          <w:szCs w:val="24"/>
        </w:rPr>
        <w:instrText xml:space="preserve"> ADDIN EN.CITE &lt;EndNote&gt;&lt;Cite AuthorYear="1"&gt;&lt;Author&gt;Noureldin.D&lt;/Author&gt;&lt;Year&gt;2012&lt;/Year&gt;&lt;RecNum&gt;90&lt;/RecNum&gt;&lt;DisplayText&gt;Noureldin.D et al. (2012)&lt;/DisplayText&gt;&lt;record&gt;&lt;rec-number&gt;90&lt;/rec-number&gt;&lt;foreign-keys&gt;&lt;key app="EN" db-id="r5w50r005x95eter9t4vwtxhf9pv50ssd2sr"&gt;90&lt;/key&gt;&lt;/foreign-keys&gt;&lt;ref-type name="Unpublished Work"&gt;34&lt;/ref-type&gt;&lt;contributors&gt;&lt;authors&gt;&lt;author&gt;Noureldin.D&lt;/author&gt;&lt;author&gt;Shephard.N&lt;/author&gt;&lt;author&gt;Sheppard.K&lt;/author&gt;&lt;/authors&gt;&lt;/contributors&gt;&lt;titles&gt;&lt;title&gt;Multivariate Rotated ARCH Models&lt;/title&gt;&lt;/titles&gt;&lt;pages&gt;Working paper&lt;/pages&gt;&lt;dates&gt;&lt;year&gt;2012&lt;/year&gt;&lt;/dates&gt;&lt;urls&gt;&lt;/urls&gt;&lt;/record&gt;&lt;/Cite&gt;&lt;/EndNote&gt;</w:instrText>
      </w:r>
      <w:r w:rsidRPr="007B76F9">
        <w:rPr>
          <w:rFonts w:ascii="Times New Roman" w:hAnsi="Times New Roman" w:cs="Times New Roman"/>
          <w:sz w:val="24"/>
          <w:szCs w:val="24"/>
        </w:rPr>
        <w:fldChar w:fldCharType="separate"/>
      </w:r>
      <w:hyperlink w:anchor="_ENREF_122" w:tooltip="Noureldin.D, 2012 #90" w:history="1">
        <w:r w:rsidRPr="007B76F9">
          <w:rPr>
            <w:rFonts w:ascii="Times New Roman" w:hAnsi="Times New Roman" w:cs="Times New Roman"/>
            <w:noProof/>
            <w:sz w:val="24"/>
            <w:szCs w:val="24"/>
          </w:rPr>
          <w:t>Noureldin.D et al. (2012</w:t>
        </w:r>
      </w:hyperlink>
      <w:r w:rsidRPr="007B76F9">
        <w:rPr>
          <w:rFonts w:ascii="Times New Roman" w:hAnsi="Times New Roman" w:cs="Times New Roman"/>
          <w:noProof/>
          <w:sz w:val="24"/>
          <w:szCs w:val="24"/>
        </w:rPr>
        <w:t>)</w:t>
      </w:r>
      <w:r w:rsidRPr="007B76F9">
        <w:rPr>
          <w:rFonts w:ascii="Times New Roman" w:hAnsi="Times New Roman" w:cs="Times New Roman"/>
          <w:sz w:val="24"/>
          <w:szCs w:val="24"/>
        </w:rPr>
        <w:fldChar w:fldCharType="end"/>
      </w:r>
      <w:r w:rsidRPr="007B76F9">
        <w:rPr>
          <w:rFonts w:ascii="Times New Roman" w:hAnsi="Times New Roman" w:cs="Times New Roman"/>
          <w:sz w:val="24"/>
          <w:szCs w:val="24"/>
        </w:rPr>
        <w:t xml:space="preserve"> introduce a new class of multivariate volatility model which is easy to estimate using covariance targeting, even with rich dynamics, and is known as the rotated ARCH (RARCH) model. The basic structure is to rotate the returns and then to fit them using a BEKK-type parameterization of the time-varying covariance whose long-term covariance is the identity matrix. The extension to DCC-type parameterizations is given, introducing the rotated conditional correlation (RCC) model. Inference for these models is computationally attractive, and the </w:t>
      </w:r>
      <w:r w:rsidR="00F7280F" w:rsidRPr="007B76F9">
        <w:rPr>
          <w:rFonts w:ascii="Times New Roman" w:hAnsi="Times New Roman" w:cs="Times New Roman"/>
          <w:sz w:val="24"/>
          <w:szCs w:val="24"/>
        </w:rPr>
        <w:t>asymptotic</w:t>
      </w:r>
      <w:r w:rsidRPr="007B76F9">
        <w:rPr>
          <w:rFonts w:ascii="Times New Roman" w:hAnsi="Times New Roman" w:cs="Times New Roman"/>
          <w:sz w:val="24"/>
          <w:szCs w:val="24"/>
        </w:rPr>
        <w:t xml:space="preserve"> are standard. </w:t>
      </w:r>
    </w:p>
    <w:p w14:paraId="623E3B1D" w14:textId="1253957D" w:rsidR="00454904" w:rsidRPr="007B76F9" w:rsidRDefault="00454904" w:rsidP="007B76F9">
      <w:pPr>
        <w:spacing w:after="0" w:line="360" w:lineRule="auto"/>
        <w:jc w:val="both"/>
        <w:rPr>
          <w:rFonts w:ascii="Times New Roman" w:hAnsi="Times New Roman" w:cs="Times New Roman"/>
          <w:sz w:val="24"/>
          <w:szCs w:val="24"/>
        </w:rPr>
      </w:pPr>
      <w:r w:rsidRPr="007B76F9">
        <w:rPr>
          <w:rFonts w:ascii="Times New Roman" w:hAnsi="Times New Roman" w:cs="Times New Roman"/>
          <w:sz w:val="24"/>
          <w:szCs w:val="24"/>
        </w:rPr>
        <w:t xml:space="preserve">The asymmetric GARCH models are discussed above to capture different types of volatility clustering behaviours. The feature of volatility clustering is also exhibited in correlation and hence referred to as correlation clustering. The correlation clustering behaviour can be captured by a multivariate GARCH model. The Dynamic Conditional Correlation (DCC) specification by Engle (2002) is employed in the study. This is to provide a generalisation of the Constant </w:t>
      </w:r>
      <w:r w:rsidRPr="007B76F9">
        <w:rPr>
          <w:rFonts w:ascii="Times New Roman" w:hAnsi="Times New Roman" w:cs="Times New Roman"/>
          <w:sz w:val="24"/>
          <w:szCs w:val="24"/>
        </w:rPr>
        <w:lastRenderedPageBreak/>
        <w:t xml:space="preserve">Conditional Correlation (CCC) model by </w:t>
      </w:r>
      <w:proofErr w:type="spellStart"/>
      <w:r w:rsidRPr="007B76F9">
        <w:rPr>
          <w:rFonts w:ascii="Times New Roman" w:hAnsi="Times New Roman" w:cs="Times New Roman"/>
          <w:sz w:val="24"/>
          <w:szCs w:val="24"/>
        </w:rPr>
        <w:t>Bollerslev</w:t>
      </w:r>
      <w:proofErr w:type="spellEnd"/>
      <w:r w:rsidRPr="007B76F9">
        <w:rPr>
          <w:rFonts w:ascii="Times New Roman" w:hAnsi="Times New Roman" w:cs="Times New Roman"/>
          <w:sz w:val="24"/>
          <w:szCs w:val="24"/>
        </w:rPr>
        <w:t xml:space="preserve"> (1990). </w:t>
      </w:r>
      <w:r w:rsidRPr="007B76F9">
        <w:rPr>
          <w:rFonts w:ascii="Times New Roman" w:hAnsi="Times New Roman" w:cs="Times New Roman"/>
          <w:sz w:val="24"/>
          <w:szCs w:val="24"/>
          <w:lang w:eastAsia="hu-HU"/>
        </w:rPr>
        <w:t xml:space="preserve">Sheppard (2001) </w:t>
      </w:r>
      <w:r w:rsidR="0049426D" w:rsidRPr="007B76F9">
        <w:rPr>
          <w:rFonts w:ascii="Times New Roman" w:hAnsi="Times New Roman" w:cs="Times New Roman"/>
          <w:sz w:val="24"/>
          <w:szCs w:val="24"/>
          <w:lang w:eastAsia="hu-HU"/>
        </w:rPr>
        <w:t>contributes</w:t>
      </w:r>
      <w:r w:rsidRPr="007B76F9">
        <w:rPr>
          <w:rFonts w:ascii="Times New Roman" w:hAnsi="Times New Roman" w:cs="Times New Roman"/>
          <w:sz w:val="24"/>
          <w:szCs w:val="24"/>
          <w:lang w:eastAsia="hu-HU"/>
        </w:rPr>
        <w:t xml:space="preserve"> to DCC model estimation by reducing the estimation of MVGARCH to a series of univariate GARCH processes, plus an additional correlation estimator. The specification of the univariate GARCH is generous to any GARCH process, with normally distributed errors that satisfy non-negative constraints and stationary conditions. </w:t>
      </w:r>
      <w:r w:rsidRPr="007B76F9">
        <w:rPr>
          <w:rFonts w:ascii="Times New Roman" w:hAnsi="Times New Roman" w:cs="Times New Roman"/>
          <w:sz w:val="24"/>
          <w:szCs w:val="24"/>
        </w:rPr>
        <w:t xml:space="preserve">The DCC model is characterised by the following set of equations (see Engle, 2002; Frank, </w:t>
      </w:r>
      <w:r w:rsidRPr="007B76F9">
        <w:rPr>
          <w:rFonts w:ascii="Times New Roman" w:hAnsi="Times New Roman" w:cs="Times New Roman"/>
          <w:sz w:val="24"/>
          <w:szCs w:val="24"/>
          <w:lang w:eastAsia="en-GB"/>
        </w:rPr>
        <w:t>Gonzalez-</w:t>
      </w:r>
      <w:r w:rsidRPr="007B76F9">
        <w:rPr>
          <w:rFonts w:ascii="Times New Roman" w:hAnsi="Times New Roman" w:cs="Times New Roman"/>
          <w:sz w:val="24"/>
          <w:szCs w:val="24"/>
        </w:rPr>
        <w:t>Hermosillo and Hesse, 2008 for details):</w:t>
      </w:r>
    </w:p>
    <w:p w14:paraId="086EC2CC" w14:textId="77777777" w:rsidR="00454904" w:rsidRPr="00B44D0D" w:rsidRDefault="00454904" w:rsidP="00454904">
      <w:pPr>
        <w:spacing w:after="0" w:line="240" w:lineRule="auto"/>
        <w:jc w:val="both"/>
        <w:rPr>
          <w:rFonts w:ascii="Times New Roman" w:hAnsi="Times New Roman"/>
          <w:sz w:val="24"/>
          <w:szCs w:val="24"/>
        </w:rPr>
      </w:pPr>
      <w:r w:rsidRPr="00B44D0D">
        <w:rPr>
          <w:rFonts w:ascii="Times New Roman" w:hAnsi="Times New Roman"/>
          <w:sz w:val="24"/>
          <w:szCs w:val="24"/>
        </w:rPr>
        <w:t xml:space="preserve"> </w:t>
      </w:r>
    </w:p>
    <w:p w14:paraId="1C33B7DF" w14:textId="77777777" w:rsidR="00454904" w:rsidRPr="00B44D0D" w:rsidRDefault="00454904" w:rsidP="00454904">
      <w:pPr>
        <w:spacing w:after="0" w:line="240" w:lineRule="auto"/>
        <w:jc w:val="right"/>
        <w:rPr>
          <w:rFonts w:ascii="Times New Roman" w:eastAsiaTheme="minorEastAsia" w:hAnsi="Times New Roman"/>
          <w:sz w:val="24"/>
          <w:szCs w:val="24"/>
        </w:rPr>
      </w:pPr>
    </w:p>
    <w:p w14:paraId="07219C7D" w14:textId="77777777" w:rsidR="00454904" w:rsidRPr="00B44D0D" w:rsidRDefault="002C15FD" w:rsidP="00454904">
      <w:pPr>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=diag</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e>
        </m:d>
        <m:r>
          <w:rPr>
            <w:rFonts w:ascii="Cambria Math" w:hAnsi="Cambria Math"/>
            <w:sz w:val="24"/>
            <w:szCs w:val="24"/>
          </w:rPr>
          <m:t>+diag</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t-1</m:t>
            </m:r>
          </m:sub>
          <m:sup>
            <m:r>
              <w:rPr>
                <w:rFonts w:ascii="Cambria Math" w:hAnsi="Cambria Math"/>
                <w:sz w:val="24"/>
                <w:szCs w:val="24"/>
              </w:rPr>
              <m:t>'</m:t>
            </m:r>
          </m:sup>
        </m:sSubSup>
        <m:r>
          <w:rPr>
            <w:rFonts w:ascii="Cambria Math" w:hAnsi="Cambria Math"/>
            <w:sz w:val="24"/>
            <w:szCs w:val="24"/>
          </w:rPr>
          <m:t>+diag</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e>
        </m:d>
        <m:r>
          <w:rPr>
            <w:rFonts w:ascii="Cambria Math" w:hAnsi="Cambria Math"/>
            <w:sz w:val="24"/>
            <w:szCs w:val="24"/>
          </w:rPr>
          <m:t xml:space="preserve"> ° </m:t>
        </m:r>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t-1</m:t>
            </m:r>
          </m:sub>
          <m:sup>
            <m:r>
              <w:rPr>
                <w:rFonts w:ascii="Cambria Math" w:hAnsi="Cambria Math"/>
                <w:sz w:val="24"/>
                <w:szCs w:val="24"/>
              </w:rPr>
              <m:t>2</m:t>
            </m:r>
          </m:sup>
        </m:sSubSup>
      </m:oMath>
      <w:r w:rsidR="00454904" w:rsidRPr="00B44D0D">
        <w:rPr>
          <w:rFonts w:ascii="Times New Roman" w:hAnsi="Times New Roman"/>
          <w:sz w:val="24"/>
          <w:szCs w:val="24"/>
        </w:rPr>
        <w:fldChar w:fldCharType="begin"/>
      </w:r>
      <w:r w:rsidR="00454904" w:rsidRPr="00B44D0D">
        <w:rPr>
          <w:rFonts w:ascii="Times New Roman" w:hAnsi="Times New Roman"/>
          <w:sz w:val="24"/>
          <w:szCs w:val="24"/>
        </w:rPr>
        <w:instrText xml:space="preserve"> QUOTE </w:instrText>
      </w:r>
      <w:r>
        <w:rPr>
          <w:sz w:val="24"/>
          <w:szCs w:val="24"/>
        </w:rPr>
        <w:pict w14:anchorId="083F4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84F&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9E484F&quot; wsp:rsidP=&quot;009E484F&quot;&gt;&lt;m:oMathPara&gt;&lt;m:oMath&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D&lt;/m:t&gt;&lt;/m:r&gt;&lt;/m:e&gt;&lt;m:sub&gt;&lt;m:r&gt;&lt;w:rPr&gt;&lt;w:rFonts w:ascii=&quot;Cambria Math&quot; w:h-ansi=&quot;Cambria Math&quot;/&gt;&lt;wx:font wx:val=&quot;Cambria Math&quot;/&gt;&lt;w:i/&gt;&lt;w:sz-cs w:val=&quot;24&quot;/&gt;&lt;/w:rPr&gt;&lt;m:t&gt;t&lt;/m:t&gt;&lt;/m:r&gt;&lt;/m:sub&gt;&lt;m:sup&gt;&lt;m:r&gt;&lt;w:rPr&gt;&lt;w:rFonts w:ascii=&quot;Cambria Math&quot; w:h-ansi=&quot;Cambria Math&quot;/&gt;&lt;wx:font wx:val=&quot;Cambria Math&quot;/&gt;&lt;w:i/&gt;&lt;w:sz-cs w:val=&quot;24&quot;/&gt;&lt;/w:rPr&gt;&lt;m:t&gt;2&lt;/m:t&gt;&lt;/m:r&gt;&lt;/m:sup&gt;&lt;/m:sSubSup&gt;&lt;m:r&gt;&lt;w:rPr&gt;&lt;w:rFonts w:ascii=&quot;Cambria Math&quot; w:h-ansi=&quot;Cambria Math&quot;/&gt;&lt;wx:font wx:val=&quot;Cambria Math&quot;/&gt;&lt;w:i/&gt;&lt;w:sz-cs w:val=&quot;24&quot;/&gt;&lt;/w:rPr&gt;&lt;m:t&gt;=diag&lt;/m:t&gt;&lt;/m:r&gt;&lt;m:d&gt;&lt;m:dPr&gt;&lt;m:begChr m:val=&quot;{&quot;/&gt;&lt;m:endChr m:val=&quot;}&quot;/&gt;&lt;m:ctrlPr&gt;&lt;w:rPr&gt;&lt;w:rFonts w:ascii=&quot;Cambria Math&quot; w:h-ansi=&quot;Cambria Math&quot;/&gt;&lt;wx:font wx:val=&quot;Cambria Math&quot;/&gt;&lt;w:i/&gt;&lt;w:sz-cs w:val=&quot;24&quot;/&gt;&lt;/w:rPr&gt;&lt;/m:ctrlPr&gt;&lt;/m:d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w&lt;/m:t&gt;&lt;/m:r&gt;&lt;/m:e&gt;&lt;m:sub&gt;&lt;m:r&gt;&lt;w:rPr&gt;&lt;w:rFonts w:ascii=&quot;Cambria Math&quot; w:h-ansi=&quot;Cambria Math&quot;/&gt;&lt;wx:font wx:val=&quot;Cambria Math&quot;/&gt;&lt;w:i/&gt;&lt;w:sz-cs w:val=&quot;24&quot;/&gt;&lt;/w:rPr&gt;&lt;m:t&gt;i&lt;/m:t&gt;&lt;/m:r&gt;&lt;/m:sub&gt;&lt;/m:sSub&gt;&lt;/m:e&gt;&lt;/m:d&gt;&lt;m:r&gt;&lt;w:rPr&gt;&lt;w:rFonts w:ascii=&quot;Cambria Math&quot; w:h-ansi=&quot;Cambria Math&quot;/&gt;&lt;wx:font wx:val=&quot;Cambria Math&quot;/&gt;&lt;w:i/&gt;&lt;w:sz-cs w:val=&quot;24&quot;/&gt;&lt;/w:rPr&gt;&lt;m:t&gt;+diag&lt;/m:t&gt;&lt;/m:r&gt;&lt;m:d&gt;&lt;m:dPr&gt;&lt;m:begChr m:val=&quot;{&quot;/&gt;&lt;m:endChr m:val=&quot;}&quot;/&gt;&lt;m:ctrlPr&gt;&lt;w:rPr&gt;&lt;w:rFonts w:ascii=&quot;Cambria Math&quot; w:h-ansi=&quot;Cambria Math&quot;/&gt;&lt;wx:font wx:val=&quot;Cambria Math&quot;/&gt;&lt;w:i/&gt;&lt;w:sz-cs w:val=&quot;24&quot;/&gt;&lt;/w:rPr&gt;&lt;/m:ctrlPr&gt;&lt;/m:d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k&lt;/m:t&gt;&lt;/m:r&gt;&lt;/m:e&gt;&lt;m:sub&gt;&lt;m:r&gt;&lt;w:rPr&gt;&lt;w:rFonts w:ascii=&quot;Cambria Math&quot; w:h-ansi=&quot;Cambria Math&quot;/&gt;&lt;wx:font wx:val=&quot;Cambria Math&quot;/&gt;&lt;w:i/&gt;&lt;w:sz-cs w:val=&quot;24&quot;/&gt;&lt;/w:rPr&gt;&lt;m:t&gt;i&lt;/m:t&gt;&lt;/m:r&gt;&lt;/m:sub&gt;&lt;/m:sSub&gt;&lt;/m:e&gt;&lt;/m:d&gt;&lt;m:r&gt;&lt;w:rPr&gt;&lt;w:rFonts w:ascii=&quot;Cambria Math&quot; w:h-ansi=&quot;Cambria Math&quot;/&gt;&lt;wx:font wx:val=&quot;Cambria Math&quot;/&gt;&lt;w:i/&gt;&lt;w:sz-cs w:val=&quot;24&quot;/&gt;&lt;/w:rPr&gt;&lt;m:t&gt;?¡ã &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r&lt;/m:t&gt;&lt;/m:r&gt;&lt;/m:e&gt;&lt;m:sub&gt;&lt;m:r&gt;&lt;w:rPr&gt;&lt;w:rFonts w:ascii=&quot;Cambria Math&quot; w:h-ansi=&quot;Cambria Math&quot;/&gt;&lt;wx:font wx:val=&quot;Cambria Math&quot;/&gt;&lt;w:i/&gt;&lt;w:sz-cs w:val=&quot;24&quot;/&gt;&lt;/w:rPr&gt;&lt;m:t&gt;t-1&lt;/m:t&gt;&lt;/m:r&gt;&lt;/m:sub&gt;&lt;/m:sSub&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r&lt;/m:t&gt;&lt;/m:r&gt;&lt;/m:e&gt;&lt;m:sub&gt;&lt;m:r&gt;&lt;w:rPr&gt;&lt;w:rFonts w:ascii=&quot;Cambria Math&quot; w:h-ansi=&quot;Cambria Math&quot;/&gt;&lt;wx:font wx:val=&quot;Cambria Math&quot;/&gt;&lt;w:i/&gt;&lt;w:sz-cs w:val=&quot;24&quot;/&gt;&lt;/w:rPr&gt;&lt;m:t&gt;t-1&lt;/m:t&gt;&lt;/m:r&gt;&lt;/m:sub&gt;&lt;m:sup&gt;&lt;m:r&gt;&lt;w:rPr&gt;&lt;w:rFonts w:ascii=&quot;Cambria Math&quot; w:h-ansi=&quot;Cambria Math&quot;/&gt;&lt;wx:font wx:val=&quot;Cambria Math&quot;/&gt;&lt;w:i/&gt;&lt;w:sz-cs w:val=&quot;24&quot;/&gt;&lt;/w:rPr&gt;&lt;m:t&gt;'&lt;/m:t&gt;&lt;/m:r&gt;&lt;/m:sup&gt;&lt;/m:sSubSup&gt;&lt;m:r&gt;&lt;w:rPr&gt;&lt;w:rFonts w:ascii=&quot;Cambria Math&quot; w:h-ansi=&quot;Cambria Math&quot;/&gt;&lt;wx:font wx:val=&quot;Cambria Math&quot;/&gt;&lt;w:i/&gt;&lt;w:sz-cs w:val=&quot;24&quot;/&gt;&lt;/w:rPr&gt;&lt;m:t&gt;+diag&lt;/m:t&gt;&lt;/m:r&gt;&lt;m:d&gt;&lt;m:dPr&gt;&lt;m:begChr m:val=&quot;{&quot;/&gt;&lt;m:endChr m:val=&quot;}&quot;/&gt;&lt;m:ctrlPr&gt;&lt;w:rPr&gt;&lt;w:rFonts w:ascii=&quot;Cambria Math&quot; w:h-ansi=&quot;Cambria Math&quot;/&gt;&lt;wx:font wx:val=&quot;Cambria Math&quot;/&gt;&lt;w:i/&gt;&lt;w:sz-cs w:val=&quot;24&quot;/&gt;&lt;/w:rPr&gt;&lt;/m:ctrlPr&gt;&lt;/m:d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lt;/m:t&gt;&lt;/m:r&gt;&lt;/m:e&gt;&lt;m:sub&gt;&lt;m:r&gt;&lt;w:rPr&gt;&lt;w:rFonts w:ascii=&quot;Cambria Math&quot; w:h-ansi=&quot;Cambria Math&quot;/&gt;&lt;wx:font wx:val=&quot;Cambria Math&quot;/&gt;&lt;w:i/&gt;&lt;w:sz-cs w:val=&quot;24&quot;/&gt;&lt;/w:rPr&gt;&lt;m:t&gt;i&lt;/m:t&gt;&lt;/m:r&gt;&lt;/m:sub&gt;&lt;/m:sSub&gt;&lt;/m:e&gt;&lt;/m:d&gt;&lt;m:r&gt;&lt;w:rPr&gt;&lt;w:rFonts w:ascii=&quot;Cambria Math&quot; w:h-ansi=&quot;Cambria Math&quot;/&gt;&lt;wx:font wx:val=&quot;Cambria Math&quot;/&gt;&lt;w:i/&gt;&lt;w:sz-cs w:val=&quot;24&quot;/&gt;&lt;/w:rPr&gt;&lt;m:t&gt; ?¡ã &lt;/m:t&gt;&lt;/m:r&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D&lt;/m:t&gt;&lt;/m:r&gt;&lt;/m:e&gt;&lt;m:sub&gt;&lt;m:r&gt;&lt;w:rPr&gt;&lt;w:rFonts w:ascii=&quot;Cambria Math&quot; w:h-ansi=&quot;Cambria Math&quot;/&gt;&lt;wx:font wx:val=&quot;Cambria Math&quot;/&gt;&lt;w:i/&gt;&lt;w:sz-cs w:val=&quot;24&quot;/&gt;&lt;/w:rPr&gt;&lt;m:t&gt;t-1&lt;/m:t&gt;&lt;/m:r&gt;&lt;/m:sub&gt;&lt;m:sup&gt;&lt;m:r&gt;&lt;w:rPr&gt;&lt;w:rFonts w:ascii=&quot;Cambria Math&quot; w:h-ansi=&quot;Cambria Math&quot;/&gt;&lt;wx:font wx:val=&quot;Cambria Math&quot;/&gt;&lt;w:i/&gt;&lt;w:sz-cs w:val=&quot;24&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454904" w:rsidRPr="00B44D0D">
        <w:rPr>
          <w:rFonts w:ascii="Times New Roman" w:hAnsi="Times New Roman"/>
          <w:sz w:val="24"/>
          <w:szCs w:val="24"/>
        </w:rPr>
        <w:instrText xml:space="preserve"> </w:instrText>
      </w:r>
      <w:r w:rsidR="00454904" w:rsidRPr="00B44D0D">
        <w:rPr>
          <w:rFonts w:ascii="Times New Roman" w:hAnsi="Times New Roman"/>
          <w:sz w:val="24"/>
          <w:szCs w:val="24"/>
        </w:rPr>
        <w:fldChar w:fldCharType="end"/>
      </w:r>
    </w:p>
    <w:p w14:paraId="2F7D1CE9" w14:textId="77777777" w:rsidR="00454904" w:rsidRPr="00B44D0D" w:rsidRDefault="00454904" w:rsidP="00454904">
      <w:pPr>
        <w:spacing w:after="0" w:line="240" w:lineRule="auto"/>
        <w:jc w:val="right"/>
        <w:rPr>
          <w:rFonts w:ascii="Times New Roman" w:hAnsi="Times New Roman"/>
          <w:sz w:val="24"/>
          <w:szCs w:val="24"/>
        </w:rPr>
      </w:pPr>
    </w:p>
    <w:p w14:paraId="6DCAE4A4" w14:textId="77777777" w:rsidR="00454904" w:rsidRPr="00B44D0D" w:rsidRDefault="00454904" w:rsidP="00454904">
      <w:pPr>
        <w:spacing w:after="0" w:line="240" w:lineRule="auto"/>
        <w:jc w:val="center"/>
        <w:rPr>
          <w:rFonts w:ascii="Times New Roman" w:hAnsi="Times New Roman"/>
          <w:sz w:val="24"/>
          <w:szCs w:val="24"/>
        </w:rPr>
      </w:pPr>
      <w:r w:rsidRPr="00B44D0D">
        <w:rPr>
          <w:rFonts w:ascii="Times New Roman" w:hAnsi="Times New Roman"/>
          <w:sz w:val="24"/>
          <w:szCs w:val="24"/>
        </w:rPr>
        <w:fldChar w:fldCharType="begin"/>
      </w:r>
      <w:r w:rsidRPr="00B44D0D">
        <w:rPr>
          <w:rFonts w:ascii="Times New Roman" w:hAnsi="Times New Roman"/>
          <w:sz w:val="24"/>
          <w:szCs w:val="24"/>
        </w:rPr>
        <w:instrText xml:space="preserve"> QUOTE </w:instrText>
      </w:r>
      <w:r w:rsidR="002C15FD">
        <w:rPr>
          <w:sz w:val="24"/>
          <w:szCs w:val="24"/>
        </w:rPr>
        <w:pict w14:anchorId="7F2632B3">
          <v:shape id="_x0000_i1026" type="#_x0000_t75" style="width:50.2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4DC5&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6A4DC5&quot; wsp:rsidP=&quot;006A4DC5&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Ì&lt;/m:t&gt;&lt;/m:r&gt;&lt;/m:e&gt;&lt;m:sub&gt;&lt;m:r&gt;&lt;w:rPr&gt;&lt;w:rFonts w:ascii=&quot;Cambria Math&quot; w:h-ansi=&quot;Cambria Math&quot;/&gt;&lt;wx:font wx:val=&quot;Cambria Math&quot;/&gt;&lt;w:i/&gt;&lt;w:sz-cs w:val=&quot;24&quot;/&gt;&lt;/w:rPr&gt;&lt;m:t&gt;t&lt;/m:t&gt;&lt;/m:r&gt;&lt;/m:sub&gt;&lt;/m:sSub&gt;&lt;m:r&gt;&lt;w:rPr&gt;&lt;w:rFonts w:ascii=&quot;Cambria Math&quot; w:h-ansi=&quot;Cambria Math&quot;/&gt;&lt;wx:font wx:val=&quot;Cambria Math&quot;/&gt;&lt;w:i/&gt;&lt;w:sz-cs w:val=&quot;24&quot;/&gt;&lt;/w:rPr&gt;&lt;m:t&gt;=&lt;/m:t&gt;&lt;/m:r&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D&lt;/m:t&gt;&lt;/m:r&gt;&lt;/m:e&gt;&lt;m:sub&gt;&lt;m:r&gt;&lt;w:rPr&gt;&lt;w:rFonts w:ascii=&quot;Cambria Math&quot; w:h-ansi=&quot;Cambria Math&quot;/&gt;&lt;wx:font wx:val=&quot;Cambria Math&quot;/&gt;&lt;w:i/&gt;&lt;w:sz-cs w:val=&quot;24&quot;/&gt;&lt;/w:rPr&gt;&lt;m:t&gt;t&lt;/m:t&gt;&lt;/m:r&gt;&lt;/m:sub&gt;&lt;m:sup&gt;&lt;m:r&gt;&lt;w:rPr&gt;&lt;w:rFonts w:ascii=&quot;Cambria Math&quot; w:h-ansi=&quot;Cambria Math&quot;/&gt;&lt;wx:font wx:val=&quot;Cambria Math&quot;/&gt;&lt;w:i/&gt;&lt;w:sz-cs w:val=&quot;24&quot;/&gt;&lt;/w:rPr&gt;&lt;m:t&gt;-1&lt;/m:t&gt;&lt;/m:r&gt;&lt;/m:sup&gt;&lt;/m:sSubSup&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T&lt;/m:t&gt;&lt;/m:r&gt;&lt;/m:e&gt;&lt;m:sub&gt;&lt;m:r&gt;&lt;w:rPr&gt;&lt;w:rFonts w:ascii=&quot;Cambria Math&quot; w:h-ansi=&quot;Cambria Math&quot;/&gt;&lt;wx:font wx:val=&quot;Cambria Math&quot;/&gt;&lt;w:i/&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B44D0D">
        <w:rPr>
          <w:rFonts w:ascii="Times New Roman" w:hAnsi="Times New Roman"/>
          <w:sz w:val="24"/>
          <w:szCs w:val="24"/>
        </w:rPr>
        <w:instrText xml:space="preserve"> </w:instrText>
      </w:r>
      <w:r w:rsidRPr="00B44D0D">
        <w:rPr>
          <w:rFonts w:ascii="Times New Roman" w:hAnsi="Times New Roman"/>
          <w:sz w:val="24"/>
          <w:szCs w:val="24"/>
        </w:rPr>
        <w:fldChar w:fldCharType="separate"/>
      </w:r>
      <m:oMath>
        <m:sSub>
          <m:sSubPr>
            <m:ctrlPr>
              <w:rPr>
                <w:rFonts w:ascii="Cambria Math" w:hAnsi="Cambria Math"/>
                <w:i/>
                <w:sz w:val="24"/>
                <w:szCs w:val="24"/>
              </w:rPr>
            </m:ctrlPr>
          </m:sSubPr>
          <m:e>
            <m:r>
              <m:rPr>
                <m:sty m:val="p"/>
              </m:rPr>
              <w:rPr>
                <w:rFonts w:ascii="Cambria Math" w:hAnsi="Cambria Math"/>
                <w:sz w:val="24"/>
                <w:szCs w:val="24"/>
              </w:rPr>
              <m:t>ε</m:t>
            </m:r>
          </m:e>
          <m:sub>
            <m:r>
              <m:rPr>
                <m:sty m:val="p"/>
              </m:rPr>
              <w:rPr>
                <w:rFonts w:ascii="Cambria Math" w:hAnsi="Cambria Math"/>
                <w:sz w:val="24"/>
                <w:szCs w:val="24"/>
              </w:rPr>
              <m:t>t</m:t>
            </m:r>
          </m:sub>
        </m:sSub>
        <m:r>
          <m:rPr>
            <m:sty m:val="p"/>
          </m:rP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rPr>
              <m:t>D</m:t>
            </m:r>
          </m:e>
          <m:sub>
            <m:r>
              <m:rPr>
                <m:sty m:val="p"/>
              </m:rPr>
              <w:rPr>
                <w:rFonts w:ascii="Cambria Math" w:hAnsi="Cambria Math"/>
                <w:sz w:val="24"/>
                <w:szCs w:val="24"/>
              </w:rPr>
              <m:t>t</m:t>
            </m:r>
          </m:sub>
          <m:sup>
            <m:r>
              <m:rPr>
                <m:sty m:val="p"/>
              </m:rPr>
              <w:rPr>
                <w:rFonts w:ascii="Cambria Math" w:hAnsi="Cambria Math"/>
                <w:sz w:val="24"/>
                <w:szCs w:val="24"/>
              </w:rPr>
              <m:t>-1</m:t>
            </m:r>
          </m:sup>
        </m:sSubSup>
        <m:sSub>
          <m:sSubPr>
            <m:ctrlPr>
              <w:rPr>
                <w:rFonts w:ascii="Cambria Math" w:hAnsi="Cambria Math"/>
                <w:i/>
                <w:sz w:val="24"/>
                <w:szCs w:val="24"/>
              </w:rPr>
            </m:ctrlPr>
          </m:sSubPr>
          <m:e>
            <m:r>
              <m:rPr>
                <m:sty m:val="p"/>
              </m:rPr>
              <w:rPr>
                <w:rFonts w:ascii="Cambria Math" w:hAnsi="Cambria Math"/>
                <w:sz w:val="24"/>
                <w:szCs w:val="24"/>
              </w:rPr>
              <m:t>T</m:t>
            </m:r>
          </m:e>
          <m:sub>
            <m:r>
              <m:rPr>
                <m:sty m:val="p"/>
              </m:rPr>
              <w:rPr>
                <w:rFonts w:ascii="Cambria Math" w:hAnsi="Cambria Math"/>
                <w:sz w:val="24"/>
                <w:szCs w:val="24"/>
              </w:rPr>
              <m:t>t</m:t>
            </m:r>
          </m:sub>
        </m:sSub>
      </m:oMath>
      <w:r w:rsidRPr="00B44D0D">
        <w:rPr>
          <w:rFonts w:ascii="Times New Roman" w:hAnsi="Times New Roman"/>
          <w:sz w:val="24"/>
          <w:szCs w:val="24"/>
        </w:rPr>
        <w:fldChar w:fldCharType="end"/>
      </w:r>
    </w:p>
    <w:p w14:paraId="1BB26B28" w14:textId="77777777" w:rsidR="00454904" w:rsidRPr="00B44D0D" w:rsidRDefault="00454904" w:rsidP="00454904">
      <w:pPr>
        <w:spacing w:after="0" w:line="240" w:lineRule="auto"/>
        <w:jc w:val="both"/>
        <w:rPr>
          <w:rFonts w:ascii="Times New Roman" w:hAnsi="Times New Roman"/>
          <w:sz w:val="24"/>
          <w:szCs w:val="24"/>
        </w:rPr>
      </w:pPr>
      <w:r w:rsidRPr="00B44D0D">
        <w:rPr>
          <w:rFonts w:ascii="Times New Roman" w:hAnsi="Times New Roman"/>
          <w:sz w:val="24"/>
          <w:szCs w:val="24"/>
        </w:rPr>
        <w:t xml:space="preserve">        </w:t>
      </w:r>
    </w:p>
    <w:p w14:paraId="26C58F83" w14:textId="77777777" w:rsidR="00454904" w:rsidRPr="00B44D0D" w:rsidRDefault="00454904" w:rsidP="00454904">
      <w:pPr>
        <w:spacing w:after="0" w:line="240" w:lineRule="auto"/>
        <w:jc w:val="center"/>
        <w:rPr>
          <w:rFonts w:ascii="Times New Roman" w:hAnsi="Times New Roman"/>
          <w:sz w:val="24"/>
          <w:szCs w:val="24"/>
        </w:rPr>
      </w:pPr>
      <w:r w:rsidRPr="00B44D0D">
        <w:rPr>
          <w:rFonts w:ascii="Times New Roman" w:hAnsi="Times New Roman"/>
          <w:sz w:val="24"/>
          <w:szCs w:val="24"/>
        </w:rPr>
        <w:fldChar w:fldCharType="begin"/>
      </w:r>
      <w:r w:rsidRPr="00B44D0D">
        <w:rPr>
          <w:rFonts w:ascii="Times New Roman" w:hAnsi="Times New Roman"/>
          <w:sz w:val="24"/>
          <w:szCs w:val="24"/>
        </w:rPr>
        <w:instrText xml:space="preserve"> QUOTE </w:instrText>
      </w:r>
      <w:r w:rsidR="002C15FD">
        <w:rPr>
          <w:sz w:val="24"/>
          <w:szCs w:val="24"/>
        </w:rPr>
        <w:pict w14:anchorId="77740A1D">
          <v:shape id="_x0000_i1027" type="#_x0000_t75" style="width:186.7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0DB7&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380DB7&quot; wsp:rsidP=&quot;00380DB7&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Q&lt;/m:t&gt;&lt;/m:r&gt;&lt;/m:e&gt;&lt;m:sub&gt;&lt;m:r&gt;&lt;w:rPr&gt;&lt;w:rFonts w:ascii=&quot;Cambria Math&quot; w:h-ansi=&quot;Cambria Math&quot;/&gt;&lt;wx:font wx:val=&quot;Cambria Math&quot;/&gt;&lt;w:i/&gt;&lt;w:sz-cs w:val=&quot;24&quot;/&gt;&lt;/w:rPr&gt;&lt;m:t&gt;t=&lt;/m:t&gt;&lt;/m:r&gt;&lt;/m:sub&gt;&lt;/m:sSub&gt;&lt;m:r&gt;&lt;w:rPr&gt;&lt;w:rFonts w:ascii=&quot;Cambria Math&quot; w:h-ansi=&quot;Cambria Math&quot;/&gt;&lt;wx:font wx:val=&quot;Cambria Math&quot;/&gt;&lt;w:i/&gt;&lt;w:sz-cs w:val=&quot;24&quot;/&gt;&lt;/w:rPr&gt;&lt;m:t&gt;S?¡ã&lt;/m:t&gt;&lt;/m:r&gt;&lt;m:d&gt;&lt;m:dPr&gt;&lt;m:ctrlPr&gt;&lt;w:rPr&gt;&lt;w:rFonts w:ascii=&quot;Cambria Math&quot; w:h-ansi=&quot;Cambria Math&quot;/&gt;&lt;wx:font wx:val=&quot;Cambria Math&quot;/&gt;&lt;w:i/&gt;&lt;w:sz-cs w:val=&quot;24&quot;/&gt;&lt;/w:rPr&gt;&lt;/m:ctrlPr&gt;&lt;/m:d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u&lt;/m:t&gt;&lt;/m:r&gt;&lt;/m:e&gt;&lt;m:sup&gt;&lt;m:r&gt;&lt;w:rPr&gt;&lt;w:rFonts w:ascii=&quot;Cambria Math&quot; w:h-ansi=&quot;Cambria Math&quot;/&gt;&lt;wx:font wx:val=&quot;Cambria Math&quot;/&gt;&lt;w:i/&gt;&lt;w:sz-cs w:val=&quot;24&quot;/&gt;&lt;/w:rPr&gt;&lt;m:t&gt;'&lt;/m:t&gt;&lt;/m:r&gt;&lt;/m:sup&gt;&lt;/m:sSup&gt;&lt;m:r&gt;&lt;w:rPr&gt;&lt;w:rFonts w:ascii=&quot;Cambria Math&quot; w:h-ansi=&quot;Cambria Math&quot;/&gt;&lt;wx:font wx:val=&quot;Cambria Math&quot;/&gt;&lt;w:i/&gt;&lt;w:sz-cs w:val=&quot;24&quot;/&gt;&lt;/w:rPr&gt;&lt;m:t&gt;-A-B&lt;/m:t&gt;&lt;/m:r&gt;&lt;/m:e&gt;&lt;/m:d&gt;&lt;m:r&gt;&lt;w:rPr&gt;&lt;w:rFonts w:ascii=&quot;Cambria Math&quot; w:h-ansi=&quot;Cambria Math&quot;/&gt;&lt;wx:font wx:val=&quot;Cambria Math&quot;/&gt;&lt;w:i/&gt;&lt;w:sz-cs w:val=&quot;24&quot;/&gt;&lt;/w:rPr&gt;&lt;m:t&gt;+A?¡ã&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Ì&lt;/m:t&gt;&lt;/m:r&gt;&lt;/m:e&gt;&lt;m:sub&gt;&lt;m:r&gt;&lt;w:rPr&gt;&lt;w:rFonts w:ascii=&quot;Cambria Math&quot; w:h-ansi=&quot;Cambria Math&quot;/&gt;&lt;wx:font wx:val=&quot;Cambria Math&quot;/&gt;&lt;w:i/&gt;&lt;w:sz-cs w:val=&quot;24&quot;/&gt;&lt;/w:rPr&gt;&lt;m:t&gt;t-1&lt;/m:t&gt;&lt;/m:r&gt;&lt;/m:sub&gt;&lt;/m:sSub&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Ì'&lt;/m:t&gt;&lt;/m:r&gt;&lt;/m:e&gt;&lt;m:sub&gt;&lt;m:r&gt;&lt;w:rPr&gt;&lt;w:rFonts w:ascii=&quot;Cambria Math&quot; w:h-ansi=&quot;Cambria Math&quot;/&gt;&lt;wx:font wx:val=&quot;Cambria Math&quot;/&gt;&lt;w:i/&gt;&lt;w:sz-cs w:val=&quot;24&quot;/&gt;&lt;/w:rPr&gt;&lt;m:t&gt;t-1&lt;/m:t&gt;&lt;/m:r&gt;&lt;/m:sub&gt;&lt;/m:sSub&gt;&lt;m:r&gt;&lt;w:rPr&gt;&lt;w:rFonts w:ascii=&quot;Cambria Math&quot; w:h-ansi=&quot;Cambria Math&quot;/&gt;&lt;wx:font wx:val=&quot;Cambria Math&quot;/&gt;&lt;w:i/&gt;&lt;w:sz-cs w:val=&quot;24&quot;/&gt;&lt;/w:rPr&gt;&lt;m:t&gt;+B?¡ã&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Q&lt;/m:t&gt;&lt;/m:r&gt;&lt;/m:e&gt;&lt;m:sub&gt;&lt;m:r&gt;&lt;w:rPr&gt;&lt;w:rFonts w:ascii=&quot;Cambria Math&quot; w:h-ansi=&quot;Cambria Math&quot;/&gt;&lt;wx:font wx:val=&quot;Cambria Math&quot;/&gt;&lt;w:i/&gt;&lt;w:sz-cs w:val=&quot;24&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B44D0D">
        <w:rPr>
          <w:rFonts w:ascii="Times New Roman" w:hAnsi="Times New Roman"/>
          <w:sz w:val="24"/>
          <w:szCs w:val="24"/>
        </w:rPr>
        <w:instrText xml:space="preserve"> </w:instrText>
      </w:r>
      <w:r w:rsidRPr="00B44D0D">
        <w:rPr>
          <w:rFonts w:ascii="Times New Roman" w:hAnsi="Times New Roman"/>
          <w:sz w:val="24"/>
          <w:szCs w:val="24"/>
        </w:rPr>
        <w:fldChar w:fldCharType="separate"/>
      </w:r>
      <m:oMath>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t=</m:t>
            </m:r>
          </m:sub>
        </m:sSub>
        <m:r>
          <m:rPr>
            <m:sty m:val="p"/>
          </m:rPr>
          <w:rPr>
            <w:rFonts w:ascii="Cambria Math" w:hAnsi="Cambria Math"/>
            <w:sz w:val="24"/>
            <w:szCs w:val="24"/>
          </w:rPr>
          <m:t>S°</m:t>
        </m:r>
        <m:d>
          <m:dPr>
            <m:ctrlPr>
              <w:rPr>
                <w:rFonts w:ascii="Cambria Math" w:hAnsi="Cambria Math"/>
                <w:i/>
                <w:sz w:val="24"/>
                <w:szCs w:val="24"/>
              </w:rPr>
            </m:ctrlPr>
          </m:dPr>
          <m:e>
            <m:sSup>
              <m:sSupPr>
                <m:ctrlPr>
                  <w:rPr>
                    <w:rFonts w:ascii="Cambria Math" w:hAnsi="Cambria Math"/>
                    <w:i/>
                    <w:sz w:val="24"/>
                    <w:szCs w:val="24"/>
                  </w:rPr>
                </m:ctrlPr>
              </m:sSupPr>
              <m:e>
                <m:r>
                  <m:rPr>
                    <m:sty m:val="p"/>
                  </m:rPr>
                  <w:rPr>
                    <w:rFonts w:ascii="Cambria Math" w:hAnsi="Cambria Math"/>
                    <w:sz w:val="24"/>
                    <w:szCs w:val="24"/>
                  </w:rPr>
                  <m:t>u</m:t>
                </m:r>
              </m:e>
              <m:sup>
                <m:r>
                  <m:rPr>
                    <m:sty m:val="p"/>
                  </m:rPr>
                  <w:rPr>
                    <w:rFonts w:ascii="Cambria Math" w:hAnsi="Cambria Math"/>
                    <w:sz w:val="24"/>
                    <w:szCs w:val="24"/>
                  </w:rPr>
                  <m:t>'</m:t>
                </m:r>
              </m:sup>
            </m:sSup>
            <m:r>
              <m:rPr>
                <m:sty m:val="p"/>
              </m:rPr>
              <w:rPr>
                <w:rFonts w:ascii="Cambria Math" w:hAnsi="Cambria Math"/>
                <w:sz w:val="24"/>
                <w:szCs w:val="24"/>
              </w:rPr>
              <m:t>-A-B</m:t>
            </m:r>
          </m:e>
        </m:d>
        <m:r>
          <m:rPr>
            <m:sty m:val="p"/>
          </m:rPr>
          <w:rPr>
            <w:rFonts w:ascii="Cambria Math" w:hAnsi="Cambria Math"/>
            <w:sz w:val="24"/>
            <w:szCs w:val="24"/>
          </w:rPr>
          <m:t>+A°</m:t>
        </m:r>
        <m:sSub>
          <m:sSubPr>
            <m:ctrlPr>
              <w:rPr>
                <w:rFonts w:ascii="Cambria Math" w:hAnsi="Cambria Math"/>
                <w:i/>
                <w:sz w:val="24"/>
                <w:szCs w:val="24"/>
              </w:rPr>
            </m:ctrlPr>
          </m:sSubPr>
          <m:e>
            <m:r>
              <m:rPr>
                <m:sty m:val="p"/>
              </m:rPr>
              <w:rPr>
                <w:rFonts w:ascii="Cambria Math" w:hAnsi="Cambria Math"/>
                <w:sz w:val="24"/>
                <w:szCs w:val="24"/>
              </w:rPr>
              <m:t>ε</m:t>
            </m:r>
          </m:e>
          <m:sub>
            <m:r>
              <m:rPr>
                <m:sty m:val="p"/>
              </m:rPr>
              <w:rPr>
                <w:rFonts w:ascii="Cambria Math" w:hAnsi="Cambria Math"/>
                <w:sz w:val="24"/>
                <w:szCs w:val="24"/>
              </w:rPr>
              <m:t>t-1</m:t>
            </m:r>
          </m:sub>
        </m:sSub>
        <m:sSub>
          <m:sSubPr>
            <m:ctrlPr>
              <w:rPr>
                <w:rFonts w:ascii="Cambria Math" w:hAnsi="Cambria Math"/>
                <w:i/>
                <w:sz w:val="24"/>
                <w:szCs w:val="24"/>
              </w:rPr>
            </m:ctrlPr>
          </m:sSubPr>
          <m:e>
            <m:r>
              <m:rPr>
                <m:sty m:val="p"/>
              </m:rPr>
              <w:rPr>
                <w:rFonts w:ascii="Cambria Math" w:hAnsi="Cambria Math"/>
                <w:sz w:val="24"/>
                <w:szCs w:val="24"/>
              </w:rPr>
              <m:t>ε'</m:t>
            </m:r>
          </m:e>
          <m:sub>
            <m:r>
              <m:rPr>
                <m:sty m:val="p"/>
              </m:rPr>
              <w:rPr>
                <w:rFonts w:ascii="Cambria Math" w:hAnsi="Cambria Math"/>
                <w:sz w:val="24"/>
                <w:szCs w:val="24"/>
              </w:rPr>
              <m:t>t-1</m:t>
            </m:r>
          </m:sub>
        </m:sSub>
        <m:r>
          <m:rPr>
            <m:sty m:val="p"/>
          </m:rPr>
          <w:rPr>
            <w:rFonts w:ascii="Cambria Math" w:hAnsi="Cambria Math"/>
            <w:sz w:val="24"/>
            <w:szCs w:val="24"/>
          </w:rPr>
          <m:t>+B°</m:t>
        </m:r>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t-1</m:t>
            </m:r>
          </m:sub>
        </m:sSub>
      </m:oMath>
      <w:r w:rsidRPr="00B44D0D">
        <w:rPr>
          <w:rFonts w:ascii="Times New Roman" w:hAnsi="Times New Roman"/>
          <w:sz w:val="24"/>
          <w:szCs w:val="24"/>
        </w:rPr>
        <w:fldChar w:fldCharType="end"/>
      </w:r>
    </w:p>
    <w:p w14:paraId="041F4DFD" w14:textId="77777777" w:rsidR="00454904" w:rsidRPr="00B44D0D" w:rsidRDefault="00454904" w:rsidP="00454904">
      <w:pPr>
        <w:spacing w:after="0" w:line="240" w:lineRule="auto"/>
        <w:jc w:val="center"/>
        <w:rPr>
          <w:rFonts w:ascii="Times New Roman" w:hAnsi="Times New Roman"/>
          <w:sz w:val="24"/>
          <w:szCs w:val="24"/>
        </w:rPr>
      </w:pPr>
    </w:p>
    <w:p w14:paraId="3FFF9BA2" w14:textId="77777777" w:rsidR="00454904" w:rsidRPr="00B44D0D" w:rsidRDefault="00454904" w:rsidP="00454904">
      <w:pPr>
        <w:spacing w:after="0" w:line="240" w:lineRule="auto"/>
        <w:jc w:val="center"/>
        <w:rPr>
          <w:rFonts w:ascii="Times New Roman" w:hAnsi="Times New Roman"/>
          <w:sz w:val="24"/>
          <w:szCs w:val="24"/>
        </w:rPr>
      </w:pPr>
      <w:r w:rsidRPr="00B44D0D">
        <w:rPr>
          <w:rFonts w:ascii="Times New Roman" w:hAnsi="Times New Roman"/>
          <w:sz w:val="24"/>
          <w:szCs w:val="24"/>
          <w:vertAlign w:val="superscript"/>
        </w:rPr>
        <w:fldChar w:fldCharType="begin"/>
      </w:r>
      <w:r w:rsidRPr="00B44D0D">
        <w:rPr>
          <w:rFonts w:ascii="Times New Roman" w:hAnsi="Times New Roman"/>
          <w:sz w:val="24"/>
          <w:szCs w:val="24"/>
          <w:vertAlign w:val="superscript"/>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R</m:t>
            </m:r>
          </m:e>
          <m:sub>
            <m:r>
              <m:rPr>
                <m:sty m:val="p"/>
              </m:rPr>
              <w:rPr>
                <w:rFonts w:ascii="Cambria Math" w:hAnsi="Cambria Math"/>
                <w:sz w:val="24"/>
                <w:szCs w:val="24"/>
              </w:rPr>
              <m:t>t</m:t>
            </m:r>
          </m:sub>
        </m:sSub>
        <m:r>
          <m:rPr>
            <m:sty m:val="p"/>
          </m:rPr>
          <w:rPr>
            <w:rFonts w:ascii="Cambria Math" w:hAnsi="Cambria Math"/>
            <w:sz w:val="24"/>
            <w:szCs w:val="24"/>
          </w:rPr>
          <m:t>=diag</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t</m:t>
                </m:r>
              </m:sub>
            </m:sSub>
          </m:e>
        </m:d>
      </m:oMath>
      <w:r w:rsidRPr="00B44D0D">
        <w:rPr>
          <w:rFonts w:ascii="Times New Roman" w:hAnsi="Times New Roman"/>
          <w:sz w:val="24"/>
          <w:szCs w:val="24"/>
          <w:vertAlign w:val="superscript"/>
        </w:rPr>
        <w:instrText xml:space="preserve"> </w:instrText>
      </w:r>
      <w:r w:rsidRPr="00B44D0D">
        <w:rPr>
          <w:rFonts w:ascii="Times New Roman" w:hAnsi="Times New Roman"/>
          <w:sz w:val="24"/>
          <w:szCs w:val="24"/>
          <w:vertAlign w:val="superscript"/>
        </w:rPr>
        <w:fldChar w:fldCharType="end"/>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=diag</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sub>
            </m:sSub>
          </m:e>
        </m:d>
      </m:oMath>
      <w:r w:rsidRPr="00B44D0D">
        <w:rPr>
          <w:rFonts w:ascii="Times New Roman" w:hAnsi="Times New Roman"/>
          <w:sz w:val="24"/>
          <w:szCs w:val="24"/>
          <w:vertAlign w:val="superscript"/>
        </w:rPr>
        <w:t>-1</w:t>
      </w:r>
      <m:oMath>
        <m:sSub>
          <m:sSubPr>
            <m:ctrlPr>
              <w:rPr>
                <w:rFonts w:ascii="Cambria Math" w:hAnsi="Cambria Math"/>
                <w:i/>
                <w:sz w:val="24"/>
                <w:szCs w:val="24"/>
                <w:vertAlign w:val="superscript"/>
              </w:rPr>
            </m:ctrlPr>
          </m:sSubPr>
          <m:e>
            <m:r>
              <w:rPr>
                <w:rFonts w:ascii="Cambria Math" w:hAnsi="Cambria Math"/>
                <w:sz w:val="24"/>
                <w:szCs w:val="24"/>
                <w:vertAlign w:val="superscript"/>
              </w:rPr>
              <m:t>Q</m:t>
            </m:r>
          </m:e>
          <m:sub>
            <m:r>
              <w:rPr>
                <w:rFonts w:ascii="Cambria Math" w:hAnsi="Cambria Math"/>
                <w:sz w:val="24"/>
                <w:szCs w:val="24"/>
                <w:vertAlign w:val="superscript"/>
              </w:rPr>
              <m:t>t</m:t>
            </m:r>
          </m:sub>
        </m:sSub>
        <m:r>
          <w:rPr>
            <w:rFonts w:ascii="Cambria Math" w:hAnsi="Cambria Math"/>
            <w:sz w:val="24"/>
            <w:szCs w:val="24"/>
            <w:vertAlign w:val="superscript"/>
          </w:rPr>
          <m:t>diag</m:t>
        </m:r>
        <m:d>
          <m:dPr>
            <m:begChr m:val="{"/>
            <m:endChr m:val="}"/>
            <m:ctrlPr>
              <w:rPr>
                <w:rFonts w:ascii="Cambria Math" w:hAnsi="Cambria Math"/>
                <w:i/>
                <w:sz w:val="24"/>
                <w:szCs w:val="24"/>
                <w:vertAlign w:val="superscript"/>
              </w:rPr>
            </m:ctrlPr>
          </m:dPr>
          <m:e>
            <m:sSub>
              <m:sSubPr>
                <m:ctrlPr>
                  <w:rPr>
                    <w:rFonts w:ascii="Cambria Math" w:hAnsi="Cambria Math"/>
                    <w:i/>
                    <w:sz w:val="24"/>
                    <w:szCs w:val="24"/>
                    <w:vertAlign w:val="superscript"/>
                  </w:rPr>
                </m:ctrlPr>
              </m:sSubPr>
              <m:e>
                <m:r>
                  <w:rPr>
                    <w:rFonts w:ascii="Cambria Math" w:hAnsi="Cambria Math"/>
                    <w:sz w:val="24"/>
                    <w:szCs w:val="24"/>
                    <w:vertAlign w:val="superscript"/>
                  </w:rPr>
                  <m:t>Q</m:t>
                </m:r>
              </m:e>
              <m:sub>
                <m:r>
                  <w:rPr>
                    <w:rFonts w:ascii="Cambria Math" w:hAnsi="Cambria Math"/>
                    <w:sz w:val="24"/>
                    <w:szCs w:val="24"/>
                    <w:vertAlign w:val="superscript"/>
                  </w:rPr>
                  <m:t>t</m:t>
                </m:r>
              </m:sub>
            </m:sSub>
          </m:e>
        </m:d>
      </m:oMath>
      <w:r w:rsidRPr="00B44D0D">
        <w:rPr>
          <w:rFonts w:ascii="Times New Roman" w:hAnsi="Times New Roman"/>
          <w:sz w:val="24"/>
          <w:szCs w:val="24"/>
          <w:vertAlign w:val="superscript"/>
        </w:rPr>
        <w:t>-1</w:t>
      </w:r>
    </w:p>
    <w:p w14:paraId="4C025C95" w14:textId="77777777" w:rsidR="00454904" w:rsidRPr="00B44D0D" w:rsidRDefault="00454904" w:rsidP="00454904">
      <w:pPr>
        <w:spacing w:after="0" w:line="240" w:lineRule="auto"/>
        <w:jc w:val="center"/>
        <w:rPr>
          <w:rFonts w:ascii="Times New Roman" w:hAnsi="Times New Roman"/>
          <w:sz w:val="24"/>
          <w:szCs w:val="24"/>
        </w:rPr>
      </w:pPr>
    </w:p>
    <w:p w14:paraId="11A6ABF4" w14:textId="77777777" w:rsidR="00454904" w:rsidRPr="00B44D0D" w:rsidRDefault="00454904" w:rsidP="00454904">
      <w:pPr>
        <w:spacing w:after="0" w:line="240" w:lineRule="auto"/>
        <w:jc w:val="center"/>
        <w:rPr>
          <w:rFonts w:ascii="Times New Roman" w:hAnsi="Times New Roman"/>
          <w:sz w:val="24"/>
          <w:szCs w:val="24"/>
        </w:rPr>
      </w:pPr>
      <w:r w:rsidRPr="00B44D0D">
        <w:rPr>
          <w:rFonts w:ascii="Times New Roman" w:hAnsi="Times New Roman"/>
          <w:sz w:val="24"/>
          <w:szCs w:val="24"/>
        </w:rPr>
        <w:fldChar w:fldCharType="begin"/>
      </w:r>
      <w:r w:rsidRPr="00B44D0D">
        <w:rPr>
          <w:rFonts w:ascii="Times New Roman" w:hAnsi="Times New Roman"/>
          <w:sz w:val="24"/>
          <w:szCs w:val="24"/>
        </w:rPr>
        <w:instrText xml:space="preserve"> QUOTE </w:instrText>
      </w:r>
      <w:r w:rsidR="002C15FD">
        <w:rPr>
          <w:sz w:val="24"/>
          <w:szCs w:val="24"/>
        </w:rPr>
        <w:pict w14:anchorId="39B4FBF0">
          <v:shape id="_x0000_i1028" type="#_x0000_t75" style="width:50.2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69AC&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CE69AC&quot; wsp:rsidP=&quot;00CE69AC&quot;&gt;&lt;m:oMathPara&gt;&lt;m:oMath&gt;&lt;m:r&gt;&lt;w:rPr&gt;&lt;w:rFonts w:ascii=&quot;Cambria Math&quot; w:h-ansi=&quot;Cambria Math&quot;/&gt;&lt;wx:font wx:val=&quot;Cambria Math&quot;/&gt;&lt;w:i/&gt;&lt;w:sz-cs w:val=&quot;24&quot;/&gt;&lt;/w:rPr&gt;&lt;m:t&gt;S=E&lt;/m:t&gt;&lt;/m:r&gt;&lt;m:d&gt;&lt;m:dPr&gt;&lt;m:begChr m:val=&quot;[&quot;/&gt;&lt;m:endChr m:val=&quot;]&quot;/&gt;&lt;m:ctrlPr&gt;&lt;w:rPr&gt;&lt;w:rFonts w:ascii=&quot;Cambria Math&quot; w:h-ansi=&quot;Cambria Math&quot;/&gt;&lt;wx:font wx:val=&quot;Cambria Math&quot;/&gt;&lt;w:i/&gt;&lt;w:sz-cs w:val=&quot;24&quot;/&gt;&lt;/w:rPr&gt;&lt;/m:ctrlPr&gt;&lt;/m:d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Ì&lt;/m:t&gt;&lt;/m:r&gt;&lt;/m:e&gt;&lt;m:sub&gt;&lt;m:r&gt;&lt;w:rPr&gt;&lt;w:rFonts w:ascii=&quot;Cambria Math&quot; w:h-ansi=&quot;Cambria Math&quot;/&gt;&lt;wx:font wx:val=&quot;Cambria Math&quot;/&gt;&lt;w:i/&gt;&lt;w:sz-cs w:val=&quot;24&quot;/&gt;&lt;/w:rPr&gt;&lt;m:t&gt;t&lt;/m:t&gt;&lt;/m:r&gt;&lt;/m:sub&gt;&lt;/m:sSub&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Ì&lt;/m:t&gt;&lt;/m:r&gt;&lt;/m:e&gt;&lt;m:sub&gt;&lt;m:r&gt;&lt;w:rPr&gt;&lt;w:rFonts w:ascii=&quot;Cambria Math&quot; w:h-ansi=&quot;Cambria Math&quot;/&gt;&lt;wx:font wx:val=&quot;Cambria Math&quot;/&gt;&lt;w:i/&gt;&lt;w:sz-cs w:val=&quot;24&quot;/&gt;&lt;/w:rPr&gt;&lt;m:t&gt;t&lt;/m:t&gt;&lt;/m:r&gt;&lt;/m:sub&gt;&lt;m:sup&gt;&lt;m:r&gt;&lt;w:rPr&gt;&lt;w:rFonts w:ascii=&quot;Cambria Math&quot; w:h-ansi=&quot;Cambria Math&quot;/&gt;&lt;wx:font wx:val=&quot;Cambria Math&quot;/&gt;&lt;w:i/&gt;&lt;w:sz-cs w:val=&quot;24&quot;/&gt;&lt;/w:rPr&gt;&lt;m:t&gt;'&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44D0D">
        <w:rPr>
          <w:rFonts w:ascii="Times New Roman" w:hAnsi="Times New Roman"/>
          <w:sz w:val="24"/>
          <w:szCs w:val="24"/>
        </w:rPr>
        <w:instrText xml:space="preserve"> </w:instrText>
      </w:r>
      <w:r w:rsidRPr="00B44D0D">
        <w:rPr>
          <w:rFonts w:ascii="Times New Roman" w:hAnsi="Times New Roman"/>
          <w:sz w:val="24"/>
          <w:szCs w:val="24"/>
        </w:rPr>
        <w:fldChar w:fldCharType="separate"/>
      </w:r>
      <m:oMath>
        <m:r>
          <m:rPr>
            <m:sty m:val="p"/>
          </m:rPr>
          <w:rPr>
            <w:rFonts w:ascii="Cambria Math" w:hAnsi="Cambria Math"/>
            <w:sz w:val="24"/>
            <w:szCs w:val="24"/>
          </w:rPr>
          <m:t xml:space="preserve"> S=E</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ε</m:t>
                </m:r>
              </m:e>
              <m:sub>
                <m:r>
                  <m:rPr>
                    <m:sty m:val="p"/>
                  </m:rPr>
                  <w:rPr>
                    <w:rFonts w:ascii="Cambria Math" w:hAnsi="Cambria Math"/>
                    <w:sz w:val="24"/>
                    <w:szCs w:val="24"/>
                  </w:rPr>
                  <m:t>t</m:t>
                </m:r>
              </m:sub>
            </m:sSub>
            <m:sSubSup>
              <m:sSubSupPr>
                <m:ctrlPr>
                  <w:rPr>
                    <w:rFonts w:ascii="Cambria Math" w:hAnsi="Cambria Math"/>
                    <w:i/>
                    <w:sz w:val="24"/>
                    <w:szCs w:val="24"/>
                  </w:rPr>
                </m:ctrlPr>
              </m:sSubSupPr>
              <m:e>
                <m:r>
                  <m:rPr>
                    <m:sty m:val="p"/>
                  </m:rPr>
                  <w:rPr>
                    <w:rFonts w:ascii="Cambria Math" w:hAnsi="Cambria Math"/>
                    <w:sz w:val="24"/>
                    <w:szCs w:val="24"/>
                  </w:rPr>
                  <m:t>ε</m:t>
                </m:r>
              </m:e>
              <m:sub>
                <m:r>
                  <m:rPr>
                    <m:sty m:val="p"/>
                  </m:rPr>
                  <w:rPr>
                    <w:rFonts w:ascii="Cambria Math" w:hAnsi="Cambria Math"/>
                    <w:sz w:val="24"/>
                    <w:szCs w:val="24"/>
                  </w:rPr>
                  <m:t>t</m:t>
                </m:r>
              </m:sub>
              <m:sup>
                <m:r>
                  <m:rPr>
                    <m:sty m:val="p"/>
                  </m:rPr>
                  <w:rPr>
                    <w:rFonts w:ascii="Cambria Math" w:hAnsi="Cambria Math"/>
                    <w:sz w:val="24"/>
                    <w:szCs w:val="24"/>
                  </w:rPr>
                  <m:t>'</m:t>
                </m:r>
              </m:sup>
            </m:sSubSup>
          </m:e>
        </m:d>
      </m:oMath>
      <w:r w:rsidRPr="00B44D0D">
        <w:rPr>
          <w:rFonts w:ascii="Times New Roman" w:hAnsi="Times New Roman"/>
          <w:sz w:val="24"/>
          <w:szCs w:val="24"/>
        </w:rPr>
        <w:fldChar w:fldCharType="end"/>
      </w:r>
    </w:p>
    <w:p w14:paraId="421F71BA" w14:textId="77777777" w:rsidR="00454904" w:rsidRPr="00B44D0D" w:rsidRDefault="00454904" w:rsidP="00454904">
      <w:pPr>
        <w:spacing w:after="0" w:line="240" w:lineRule="auto"/>
        <w:rPr>
          <w:rFonts w:ascii="Times New Roman" w:hAnsi="Times New Roman"/>
          <w:sz w:val="24"/>
          <w:szCs w:val="24"/>
        </w:rPr>
      </w:pPr>
    </w:p>
    <w:p w14:paraId="4B5ACE5A" w14:textId="75A4A4DE" w:rsidR="00454904" w:rsidRPr="007C6747" w:rsidRDefault="002C15FD" w:rsidP="007C6747">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w:r w:rsidR="00454904" w:rsidRPr="007C6747">
        <w:rPr>
          <w:rFonts w:ascii="Times New Roman" w:hAnsi="Times New Roman" w:cs="Times New Roman"/>
          <w:sz w:val="24"/>
          <w:szCs w:val="24"/>
        </w:rPr>
        <w:t xml:space="preserve"> is the </w:t>
      </w:r>
      <w:r w:rsidR="00454904" w:rsidRPr="007C6747">
        <w:rPr>
          <w:rFonts w:ascii="Times New Roman" w:hAnsi="Times New Roman" w:cs="Times New Roman"/>
          <w:i/>
          <w:sz w:val="24"/>
          <w:szCs w:val="24"/>
        </w:rPr>
        <w:t xml:space="preserve">k </w:t>
      </w:r>
      <w:r w:rsidR="00454904" w:rsidRPr="007C6747">
        <w:rPr>
          <w:rFonts w:ascii="Times New Roman" w:hAnsi="Times New Roman" w:cs="Times New Roman"/>
          <w:sz w:val="24"/>
          <w:szCs w:val="24"/>
        </w:rPr>
        <w:t>x</w:t>
      </w:r>
      <w:r w:rsidR="00454904" w:rsidRPr="007C6747">
        <w:rPr>
          <w:rFonts w:ascii="Times New Roman" w:hAnsi="Times New Roman" w:cs="Times New Roman"/>
          <w:i/>
          <w:sz w:val="24"/>
          <w:szCs w:val="24"/>
        </w:rPr>
        <w:t xml:space="preserve"> k</w:t>
      </w:r>
      <w:r w:rsidR="00454904" w:rsidRPr="007C6747">
        <w:rPr>
          <w:rFonts w:ascii="Times New Roman" w:hAnsi="Times New Roman" w:cs="Times New Roman"/>
          <w:sz w:val="24"/>
          <w:szCs w:val="24"/>
        </w:rPr>
        <w:t xml:space="preserve"> diagonal matrix of time varying standard deviations from univariate GARCH models, while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2</m:t>
            </m:r>
          </m:sup>
        </m:sSubSup>
      </m:oMath>
      <w:r w:rsidR="00454904" w:rsidRPr="007C6747">
        <w:rPr>
          <w:rFonts w:ascii="Times New Roman" w:hAnsi="Times New Roman" w:cs="Times New Roman"/>
          <w:sz w:val="24"/>
          <w:szCs w:val="24"/>
        </w:rPr>
        <w:t xml:space="preserve"> is just its </w:t>
      </w:r>
      <w:proofErr w:type="gramStart"/>
      <w:r w:rsidR="00454904" w:rsidRPr="007C6747">
        <w:rPr>
          <w:rFonts w:ascii="Times New Roman" w:hAnsi="Times New Roman" w:cs="Times New Roman"/>
          <w:sz w:val="24"/>
          <w:szCs w:val="24"/>
        </w:rPr>
        <w:t>variance.</w:t>
      </w:r>
      <w:proofErr w:type="gramEnd"/>
      <w:r w:rsidR="000478CA">
        <w:rPr>
          <w:rFonts w:ascii="Times New Roman" w:hAnsi="Times New Roman" w:cs="Times New Roman"/>
          <w:sz w:val="24"/>
          <w:szCs w:val="24"/>
        </w:rPr>
        <w:t xml:space="preserve"> </w:t>
      </w:r>
      <w:r w:rsidR="00454904" w:rsidRPr="007C6747">
        <w:rPr>
          <w:rFonts w:ascii="Times New Roman" w:hAnsi="Times New Roman" w:cs="Times New Roman"/>
          <w:i/>
          <w:sz w:val="24"/>
          <w:szCs w:val="24"/>
        </w:rPr>
        <w:t xml:space="preserve">S </w:t>
      </w:r>
      <w:r w:rsidR="00454904" w:rsidRPr="007C6747">
        <w:rPr>
          <w:rFonts w:ascii="Times New Roman" w:hAnsi="Times New Roman" w:cs="Times New Roman"/>
          <w:sz w:val="24"/>
          <w:szCs w:val="24"/>
        </w:rPr>
        <w:t xml:space="preserve">is defined as the unconditional correlation matrix of the residuals </w:t>
      </w:r>
      <w:r w:rsidR="00454904" w:rsidRPr="007C6747">
        <w:rPr>
          <w:rFonts w:ascii="Times New Roman" w:hAnsi="Times New Roman" w:cs="Times New Roman"/>
          <w:i/>
          <w:sz w:val="24"/>
          <w:szCs w:val="24"/>
        </w:rPr>
        <w:fldChar w:fldCharType="begin"/>
      </w:r>
      <w:r w:rsidR="00454904" w:rsidRPr="007C6747">
        <w:rPr>
          <w:rFonts w:ascii="Times New Roman" w:hAnsi="Times New Roman" w:cs="Times New Roman"/>
          <w:i/>
          <w:sz w:val="24"/>
          <w:szCs w:val="24"/>
        </w:rPr>
        <w:instrText xml:space="preserve"> QUOTE </w:instrText>
      </w:r>
      <w:r>
        <w:rPr>
          <w:rFonts w:ascii="Times New Roman" w:hAnsi="Times New Roman" w:cs="Times New Roman"/>
          <w:i/>
          <w:sz w:val="24"/>
          <w:szCs w:val="24"/>
        </w:rPr>
        <w:pict w14:anchorId="6F31F456">
          <v:shape id="_x0000_i1029" type="#_x0000_t75" style="width:1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06A96&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F06A96&quot; wsp:rsidP=&quot;00F06A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Ì&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54904" w:rsidRPr="007C6747">
        <w:rPr>
          <w:rFonts w:ascii="Times New Roman" w:hAnsi="Times New Roman" w:cs="Times New Roman"/>
          <w:i/>
          <w:sz w:val="24"/>
          <w:szCs w:val="24"/>
        </w:rPr>
        <w:instrText xml:space="preserve"> </w:instrText>
      </w:r>
      <w:r w:rsidR="00454904" w:rsidRPr="007C6747">
        <w:rPr>
          <w:rFonts w:ascii="Times New Roman" w:hAnsi="Times New Roman" w:cs="Times New Roman"/>
          <w:i/>
          <w:sz w:val="24"/>
          <w:szCs w:val="24"/>
        </w:rPr>
        <w:fldChar w:fldCharType="separate"/>
      </w:r>
      <w:r>
        <w:rPr>
          <w:rFonts w:ascii="Times New Roman" w:hAnsi="Times New Roman" w:cs="Times New Roman"/>
          <w:i/>
          <w:sz w:val="24"/>
          <w:szCs w:val="24"/>
        </w:rPr>
        <w:pict w14:anchorId="6A777263">
          <v:shape id="_x0000_i1030" type="#_x0000_t75" style="width:1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06A96&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F06A96&quot; wsp:rsidP=&quot;00F06A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Ì&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54904" w:rsidRPr="007C6747">
        <w:rPr>
          <w:rFonts w:ascii="Times New Roman" w:hAnsi="Times New Roman" w:cs="Times New Roman"/>
          <w:i/>
          <w:sz w:val="24"/>
          <w:szCs w:val="24"/>
        </w:rPr>
        <w:fldChar w:fldCharType="end"/>
      </w:r>
      <w:r w:rsidR="00454904" w:rsidRPr="007C6747">
        <w:rPr>
          <w:rFonts w:ascii="Times New Roman" w:hAnsi="Times New Roman" w:cs="Times New Roman"/>
          <w:sz w:val="24"/>
          <w:szCs w:val="24"/>
        </w:rPr>
        <w:t xml:space="preserve"> of the asset returns. </w:t>
      </w:r>
      <w:r w:rsidR="00454904" w:rsidRPr="007C6747">
        <w:rPr>
          <w:rFonts w:ascii="Times New Roman" w:hAnsi="Times New Roman" w:cs="Times New Roman"/>
          <w:i/>
          <w:sz w:val="24"/>
          <w:szCs w:val="24"/>
        </w:rPr>
        <w:t>R</w:t>
      </w:r>
      <w:r w:rsidR="00454904" w:rsidRPr="007C6747">
        <w:rPr>
          <w:rFonts w:ascii="Times New Roman" w:hAnsi="Times New Roman" w:cs="Times New Roman"/>
          <w:sz w:val="24"/>
          <w:szCs w:val="24"/>
          <w:vertAlign w:val="subscript"/>
        </w:rPr>
        <w:t>t</w:t>
      </w:r>
      <w:r w:rsidR="00454904" w:rsidRPr="007C6747">
        <w:rPr>
          <w:rFonts w:ascii="Times New Roman" w:hAnsi="Times New Roman" w:cs="Times New Roman"/>
          <w:sz w:val="24"/>
          <w:szCs w:val="24"/>
        </w:rPr>
        <w:t xml:space="preserve"> is a time varying correlation matrix, while </w:t>
      </w:r>
      <w:r w:rsidR="00454904" w:rsidRPr="007C6747">
        <w:rPr>
          <w:rFonts w:ascii="Times New Roman" w:hAnsi="Times New Roman" w:cs="Times New Roman"/>
          <w:i/>
          <w:sz w:val="24"/>
          <w:szCs w:val="24"/>
        </w:rPr>
        <w:t>Q</w:t>
      </w:r>
      <w:r w:rsidR="00454904" w:rsidRPr="007C6747">
        <w:rPr>
          <w:rFonts w:ascii="Times New Roman" w:hAnsi="Times New Roman" w:cs="Times New Roman"/>
          <w:sz w:val="24"/>
          <w:szCs w:val="24"/>
          <w:vertAlign w:val="subscript"/>
        </w:rPr>
        <w:t>t</w:t>
      </w:r>
      <w:r w:rsidR="00454904" w:rsidRPr="007C6747">
        <w:rPr>
          <w:rFonts w:ascii="Times New Roman" w:hAnsi="Times New Roman" w:cs="Times New Roman"/>
          <w:sz w:val="24"/>
          <w:szCs w:val="24"/>
        </w:rPr>
        <w:t xml:space="preserve"> is the covariance matrix. In Equation </w:t>
      </w:r>
      <w:r w:rsidR="00C40748" w:rsidRPr="007C6747">
        <w:rPr>
          <w:rFonts w:ascii="Times New Roman" w:hAnsi="Times New Roman" w:cs="Times New Roman"/>
          <w:i/>
          <w:sz w:val="24"/>
          <w:szCs w:val="24"/>
        </w:rPr>
        <w:t>Q</w:t>
      </w:r>
      <w:r w:rsidR="00C40748" w:rsidRPr="007C6747">
        <w:rPr>
          <w:rFonts w:ascii="Times New Roman" w:hAnsi="Times New Roman" w:cs="Times New Roman"/>
          <w:sz w:val="24"/>
          <w:szCs w:val="24"/>
          <w:vertAlign w:val="subscript"/>
        </w:rPr>
        <w:t>t</w:t>
      </w:r>
      <w:r w:rsidR="00C40748" w:rsidRPr="007C6747">
        <w:rPr>
          <w:rFonts w:ascii="Times New Roman" w:hAnsi="Times New Roman" w:cs="Times New Roman"/>
          <w:sz w:val="24"/>
          <w:szCs w:val="24"/>
        </w:rPr>
        <w:t xml:space="preserve"> </w:t>
      </w:r>
      <w:r w:rsidR="00C40748">
        <w:rPr>
          <w:rFonts w:ascii="Times New Roman" w:hAnsi="Times New Roman" w:cs="Times New Roman"/>
          <w:sz w:val="24"/>
          <w:szCs w:val="24"/>
        </w:rPr>
        <w:t>A</w:t>
      </w:r>
      <w:r w:rsidR="00454904" w:rsidRPr="007C6747">
        <w:rPr>
          <w:rFonts w:ascii="Times New Roman" w:hAnsi="Times New Roman" w:cs="Times New Roman"/>
          <w:sz w:val="24"/>
          <w:szCs w:val="24"/>
        </w:rPr>
        <w:t xml:space="preserve"> and B are square and symmetric and so is the Hadamard product. In addition, </w:t>
      </w:r>
      <w:proofErr w:type="spellStart"/>
      <w:r w:rsidR="00454904" w:rsidRPr="007C6747">
        <w:rPr>
          <w:rFonts w:ascii="Times New Roman" w:hAnsi="Times New Roman" w:cs="Times New Roman"/>
          <w:sz w:val="24"/>
          <w:szCs w:val="24"/>
        </w:rPr>
        <w:t>λ</w:t>
      </w:r>
      <w:r w:rsidR="00454904" w:rsidRPr="007C6747">
        <w:rPr>
          <w:rFonts w:ascii="Times New Roman" w:hAnsi="Times New Roman" w:cs="Times New Roman"/>
          <w:sz w:val="24"/>
          <w:szCs w:val="24"/>
          <w:vertAlign w:val="subscript"/>
        </w:rPr>
        <w:t>i</w:t>
      </w:r>
      <w:proofErr w:type="spellEnd"/>
      <w:r w:rsidR="00454904" w:rsidRPr="007C6747">
        <w:rPr>
          <w:rFonts w:ascii="Times New Roman" w:hAnsi="Times New Roman" w:cs="Times New Roman"/>
          <w:sz w:val="24"/>
          <w:szCs w:val="24"/>
        </w:rPr>
        <w:t xml:space="preserve"> is a weight parameter of </w:t>
      </w:r>
      <w:r w:rsidR="00454904" w:rsidRPr="007C6747">
        <w:rPr>
          <w:rFonts w:ascii="Times New Roman" w:hAnsi="Times New Roman" w:cs="Times New Roman"/>
          <w:sz w:val="24"/>
          <w:szCs w:val="24"/>
        </w:rPr>
        <w:fldChar w:fldCharType="begin"/>
      </w:r>
      <w:r w:rsidR="00454904" w:rsidRPr="007C6747">
        <w:rPr>
          <w:rFonts w:ascii="Times New Roman" w:hAnsi="Times New Roman" w:cs="Times New Roman"/>
          <w:sz w:val="24"/>
          <w:szCs w:val="24"/>
        </w:rPr>
        <w:instrText xml:space="preserve"> QUOTE </w:instrTex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oMath>
      <w:r w:rsidR="00454904" w:rsidRPr="007C6747">
        <w:rPr>
          <w:rFonts w:ascii="Times New Roman" w:hAnsi="Times New Roman" w:cs="Times New Roman"/>
          <w:sz w:val="24"/>
          <w:szCs w:val="24"/>
        </w:rPr>
        <w:instrText xml:space="preserve"> </w:instrText>
      </w:r>
      <w:r w:rsidR="00454904" w:rsidRPr="007C6747">
        <w:rPr>
          <w:rFonts w:ascii="Times New Roman" w:hAnsi="Times New Roman" w:cs="Times New Roman"/>
          <w:sz w:val="24"/>
          <w:szCs w:val="24"/>
        </w:rPr>
        <w:fldChar w:fldCharType="separate"/>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oMath>
      <w:r w:rsidR="00454904" w:rsidRPr="007C6747">
        <w:rPr>
          <w:rFonts w:ascii="Times New Roman" w:hAnsi="Times New Roman" w:cs="Times New Roman"/>
          <w:sz w:val="24"/>
          <w:szCs w:val="24"/>
        </w:rPr>
        <w:fldChar w:fldCharType="end"/>
      </w:r>
      <w:r w:rsidR="00454904" w:rsidRPr="007C6747">
        <w:rPr>
          <w:rFonts w:ascii="Times New Roman" w:hAnsi="Times New Roman" w:cs="Times New Roman"/>
          <w:sz w:val="24"/>
          <w:szCs w:val="24"/>
        </w:rPr>
        <w:t xml:space="preserve"> over time and </w:t>
      </w:r>
      <w:r w:rsidR="00454904" w:rsidRPr="007C6747">
        <w:rPr>
          <w:rFonts w:ascii="Times New Roman" w:hAnsi="Times New Roman" w:cs="Times New Roman"/>
          <w:sz w:val="24"/>
          <w:szCs w:val="24"/>
        </w:rPr>
        <w:fldChar w:fldCharType="begin"/>
      </w:r>
      <w:r w:rsidR="00454904" w:rsidRPr="007C6747">
        <w:rPr>
          <w:rFonts w:ascii="Times New Roman" w:hAnsi="Times New Roman" w:cs="Times New Roman"/>
          <w:sz w:val="24"/>
          <w:szCs w:val="24"/>
        </w:rPr>
        <w:instrText xml:space="preserve"> QUOTE </w:instrTex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i</m:t>
            </m:r>
          </m:sub>
        </m:sSub>
      </m:oMath>
      <w:r w:rsidR="00454904" w:rsidRPr="007C6747">
        <w:rPr>
          <w:rFonts w:ascii="Times New Roman" w:hAnsi="Times New Roman" w:cs="Times New Roman"/>
          <w:sz w:val="24"/>
          <w:szCs w:val="24"/>
        </w:rPr>
        <w:instrText xml:space="preserve"> </w:instrText>
      </w:r>
      <w:r w:rsidR="00454904" w:rsidRPr="007C6747">
        <w:rPr>
          <w:rFonts w:ascii="Times New Roman" w:hAnsi="Times New Roman" w:cs="Times New Roman"/>
          <w:sz w:val="24"/>
          <w:szCs w:val="24"/>
        </w:rPr>
        <w:fldChar w:fldCharType="separate"/>
      </w:r>
      <m:oMath>
        <m:sSub>
          <m:sSubPr>
            <m:ctrlPr>
              <w:rPr>
                <w:rFonts w:ascii="Cambria Math" w:hAnsi="Cambria Math" w:cs="Times New Roman"/>
                <w:i/>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i</m:t>
            </m:r>
          </m:sub>
        </m:sSub>
      </m:oMath>
      <w:r w:rsidR="00454904" w:rsidRPr="007C6747">
        <w:rPr>
          <w:rFonts w:ascii="Times New Roman" w:hAnsi="Times New Roman" w:cs="Times New Roman"/>
          <w:sz w:val="24"/>
          <w:szCs w:val="24"/>
        </w:rPr>
        <w:fldChar w:fldCharType="end"/>
      </w:r>
      <w:r w:rsidR="00454904" w:rsidRPr="007C6747">
        <w:rPr>
          <w:rFonts w:ascii="Times New Roman" w:hAnsi="Times New Roman" w:cs="Times New Roman"/>
          <w:sz w:val="24"/>
          <w:szCs w:val="24"/>
        </w:rPr>
        <w:t xml:space="preserve"> is the parameter associated with squared lagged asset returns. The DCC model is then estimated by the above equations with pre-whitened asset returns. The DCC specification allows the capture of possible structural breaks in the unconditional correlation amongst the variables.</w:t>
      </w:r>
    </w:p>
    <w:p w14:paraId="75AB2E1B" w14:textId="77777777" w:rsidR="00454904" w:rsidRPr="00B44D0D" w:rsidRDefault="00454904" w:rsidP="00454904">
      <w:pPr>
        <w:spacing w:after="0" w:line="360" w:lineRule="auto"/>
        <w:rPr>
          <w:rFonts w:ascii="Times New Roman" w:hAnsi="Times New Roman"/>
          <w:sz w:val="24"/>
          <w:szCs w:val="24"/>
        </w:rPr>
      </w:pPr>
    </w:p>
    <w:p w14:paraId="4314B2BA" w14:textId="7AD7A102" w:rsidR="00454904" w:rsidRPr="00B44D0D" w:rsidRDefault="0065539B" w:rsidP="002E76DD">
      <w:pPr>
        <w:pStyle w:val="Heading2"/>
      </w:pPr>
      <w:bookmarkStart w:id="66" w:name="_Toc344928788"/>
      <w:bookmarkStart w:id="67" w:name="_Toc360480628"/>
      <w:bookmarkStart w:id="68" w:name="_Toc361167180"/>
      <w:bookmarkStart w:id="69" w:name="_Toc363499350"/>
      <w:bookmarkStart w:id="70" w:name="_Toc363499521"/>
      <w:bookmarkStart w:id="71" w:name="_Toc366175905"/>
      <w:bookmarkStart w:id="72" w:name="_Toc90499952"/>
      <w:r>
        <w:t>1.3.1</w:t>
      </w:r>
      <w:r w:rsidR="00C83870">
        <w:t>7</w:t>
      </w:r>
      <w:r w:rsidR="0022256D">
        <w:t xml:space="preserve"> </w:t>
      </w:r>
      <w:r w:rsidR="003D416C" w:rsidRPr="00B44D0D">
        <w:t>ARMA (p, q</w:t>
      </w:r>
      <w:r w:rsidR="00454904" w:rsidRPr="00B44D0D">
        <w:t>) and the BEKK-GARCH Approach</w:t>
      </w:r>
      <w:bookmarkEnd w:id="66"/>
      <w:bookmarkEnd w:id="67"/>
      <w:bookmarkEnd w:id="68"/>
      <w:bookmarkEnd w:id="69"/>
      <w:bookmarkEnd w:id="70"/>
      <w:bookmarkEnd w:id="71"/>
      <w:bookmarkEnd w:id="72"/>
    </w:p>
    <w:p w14:paraId="0C195939" w14:textId="77777777" w:rsidR="00454904" w:rsidRPr="00B44D0D" w:rsidRDefault="00454904" w:rsidP="007C6747">
      <w:pPr>
        <w:spacing w:after="0" w:line="360" w:lineRule="auto"/>
        <w:jc w:val="both"/>
        <w:rPr>
          <w:rFonts w:ascii="Times New Roman" w:hAnsi="Times New Roman"/>
          <w:sz w:val="24"/>
          <w:szCs w:val="24"/>
        </w:rPr>
      </w:pPr>
      <w:r w:rsidRPr="00B44D0D">
        <w:rPr>
          <w:rFonts w:ascii="Times New Roman" w:hAnsi="Times New Roman"/>
          <w:sz w:val="24"/>
          <w:szCs w:val="24"/>
        </w:rPr>
        <w:t>The GARCH model allows for an evaluation of the transmission of liquidity shocks that spread from the credit market to the equity market, as well as modelling the conditional heteroscedasticity exhibited by the data. In addition, the multivariate GARCH models explicitly address the linkages between market and funding liquidity and are able to capture the dynamics of banks’ liquidity pressures within the interbank market. Further to the DCC model above, the BEKK model is able to provide more detailed transmission information, apart from the conditional correlation.  The off-diagonal elements in the variance-covariance matrix</w:t>
      </w:r>
      <w:r w:rsidRPr="00B44D0D">
        <w:rPr>
          <w:rFonts w:ascii="SimSun" w:eastAsia="SimSun" w:hAnsi="SimSun" w:cs="SimSun"/>
          <w:sz w:val="24"/>
          <w:szCs w:val="24"/>
        </w:rPr>
        <w:t xml:space="preserve"> </w:t>
      </w:r>
      <w:r w:rsidRPr="00B44D0D">
        <w:rPr>
          <w:rFonts w:ascii="Times New Roman" w:hAnsi="Times New Roman"/>
          <w:sz w:val="24"/>
          <w:szCs w:val="24"/>
        </w:rPr>
        <w:t xml:space="preserve">generated from BEKK display the measurement of the transmission percentage across </w:t>
      </w:r>
      <w:r w:rsidRPr="00B44D0D">
        <w:rPr>
          <w:rFonts w:ascii="Times New Roman" w:hAnsi="Times New Roman"/>
          <w:sz w:val="24"/>
          <w:szCs w:val="24"/>
        </w:rPr>
        <w:lastRenderedPageBreak/>
        <w:t xml:space="preserve">liquidity. The transmission mechanisms of liquidity shocks during the subprime mortgage crisis have been described as reinforcing liquidity spirals, where it can be perceived that temporary liquidity shock in the beginning eventually caused severe financial distress.  The empirical results garnered from the BEKK model may help to test the above common belief from an econometric aspect. </w:t>
      </w:r>
    </w:p>
    <w:p w14:paraId="43809668" w14:textId="77777777" w:rsidR="00454904" w:rsidRPr="00B44D0D" w:rsidRDefault="00454904" w:rsidP="007C6747">
      <w:pPr>
        <w:spacing w:after="0" w:line="360" w:lineRule="auto"/>
        <w:jc w:val="both"/>
        <w:rPr>
          <w:rFonts w:ascii="Times New Roman" w:hAnsi="Times New Roman"/>
          <w:sz w:val="24"/>
          <w:szCs w:val="24"/>
        </w:rPr>
      </w:pPr>
    </w:p>
    <w:p w14:paraId="3716DE30" w14:textId="77777777" w:rsidR="00454904" w:rsidRPr="00B44D0D" w:rsidRDefault="00454904" w:rsidP="007C6747">
      <w:pPr>
        <w:spacing w:after="0" w:line="360" w:lineRule="auto"/>
        <w:jc w:val="both"/>
        <w:rPr>
          <w:rFonts w:ascii="Times New Roman" w:hAnsi="Times New Roman"/>
          <w:sz w:val="24"/>
          <w:szCs w:val="24"/>
          <w:lang w:eastAsia="hu-HU"/>
        </w:rPr>
      </w:pPr>
      <w:r w:rsidRPr="00B44D0D">
        <w:rPr>
          <w:rFonts w:ascii="Times New Roman" w:eastAsia="SimSun" w:hAnsi="Times New Roman"/>
          <w:sz w:val="24"/>
          <w:szCs w:val="24"/>
          <w:lang w:eastAsia="hu-HU"/>
        </w:rPr>
        <w:t xml:space="preserve">Engle and Kroner (1995) made considerable improvements to the work of Baba, Engle, Kraft and Kroner (1990) by creating a </w:t>
      </w:r>
      <w:r w:rsidRPr="00B44D0D">
        <w:rPr>
          <w:rFonts w:ascii="Times New Roman" w:hAnsi="Times New Roman"/>
          <w:sz w:val="24"/>
          <w:szCs w:val="24"/>
          <w:lang w:eastAsia="hu-HU"/>
        </w:rPr>
        <w:t xml:space="preserve">general quadratic form for the covariance equation which successfully eliminates the positive definiteness problem of the original VECH model. In the fully general BEKK model, the number of parameters needing to be estimated is </w:t>
      </w:r>
      <w:r w:rsidRPr="00B44D0D">
        <w:rPr>
          <w:rFonts w:ascii="Times New Roman" w:eastAsia="SimSun" w:hAnsi="Times New Roman"/>
          <w:sz w:val="24"/>
          <w:szCs w:val="24"/>
          <w:lang w:eastAsia="hu-HU"/>
        </w:rPr>
        <w:t>O (k</w:t>
      </w:r>
      <w:r w:rsidRPr="00B44D0D">
        <w:rPr>
          <w:rFonts w:ascii="Times New Roman" w:eastAsia="SimSun" w:hAnsi="Times New Roman"/>
          <w:sz w:val="24"/>
          <w:szCs w:val="24"/>
          <w:vertAlign w:val="superscript"/>
          <w:lang w:eastAsia="hu-HU"/>
        </w:rPr>
        <w:t>4</w:t>
      </w:r>
      <w:r w:rsidRPr="00B44D0D">
        <w:rPr>
          <w:rFonts w:ascii="Times New Roman" w:eastAsia="SimSun" w:hAnsi="Times New Roman"/>
          <w:sz w:val="24"/>
          <w:szCs w:val="24"/>
          <w:lang w:eastAsia="hu-HU"/>
        </w:rPr>
        <w:t>)</w:t>
      </w:r>
      <w:r w:rsidRPr="00B44D0D">
        <w:rPr>
          <w:rFonts w:ascii="Times New Roman" w:hAnsi="Times New Roman"/>
          <w:sz w:val="24"/>
          <w:szCs w:val="24"/>
          <w:lang w:eastAsia="hu-HU"/>
        </w:rPr>
        <w:t>, the standard BEKK estimation will involve O (k</w:t>
      </w:r>
      <w:r w:rsidRPr="00B44D0D">
        <w:rPr>
          <w:rFonts w:ascii="Times New Roman" w:hAnsi="Times New Roman"/>
          <w:sz w:val="24"/>
          <w:szCs w:val="24"/>
          <w:vertAlign w:val="superscript"/>
          <w:lang w:eastAsia="hu-HU"/>
        </w:rPr>
        <w:t>2</w:t>
      </w:r>
      <w:r w:rsidRPr="00B44D0D">
        <w:rPr>
          <w:rFonts w:ascii="Times New Roman" w:hAnsi="Times New Roman"/>
          <w:sz w:val="24"/>
          <w:szCs w:val="24"/>
          <w:lang w:eastAsia="hu-HU"/>
        </w:rPr>
        <w:t>) parameters. Other more plausible formulations of BEKK model include diagonal and scalar where the parameters are restricted to be either diagonal matrices or to be scalars.</w:t>
      </w:r>
    </w:p>
    <w:p w14:paraId="03569914" w14:textId="77777777" w:rsidR="00454904" w:rsidRPr="00B44D0D" w:rsidRDefault="00454904" w:rsidP="007C6747">
      <w:pPr>
        <w:spacing w:after="0" w:line="360" w:lineRule="auto"/>
        <w:jc w:val="both"/>
        <w:rPr>
          <w:rFonts w:ascii="Times New Roman" w:hAnsi="Times New Roman"/>
          <w:i/>
          <w:sz w:val="24"/>
          <w:szCs w:val="24"/>
          <w:lang w:eastAsia="hu-HU"/>
        </w:rPr>
      </w:pPr>
      <w:r w:rsidRPr="00B44D0D">
        <w:rPr>
          <w:rFonts w:ascii="Times New Roman" w:hAnsi="Times New Roman"/>
          <w:sz w:val="24"/>
          <w:szCs w:val="24"/>
          <w:lang w:eastAsia="hu-HU"/>
        </w:rPr>
        <w:t xml:space="preserve"> </w:t>
      </w:r>
    </w:p>
    <w:p w14:paraId="2C3B4C3D" w14:textId="77777777" w:rsidR="00454904" w:rsidRPr="00B44D0D" w:rsidRDefault="00454904" w:rsidP="007C6747">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In the current study the autoregressive moving average model ARMA (1, 1) is employed to define the conditional mean of returns.  Thus, according to Baba, Engle, Kraft and Kroner (1990), the ARMA (1, 1)-BEKK (1, 1) model takes the following form:</w:t>
      </w:r>
    </w:p>
    <w:p w14:paraId="79E88DEF" w14:textId="77777777" w:rsidR="00454904" w:rsidRPr="00B44D0D" w:rsidRDefault="002C15FD" w:rsidP="00454904">
      <w:pPr>
        <w:spacing w:line="36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=α+</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q</m:t>
                  </m:r>
                </m:sup>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m:t>
                      </m:r>
                    </m:sub>
                  </m:sSub>
                </m:e>
              </m:nary>
            </m:e>
          </m:nary>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oMath>
      </m:oMathPara>
    </w:p>
    <w:p w14:paraId="6999F87E" w14:textId="77777777" w:rsidR="00454904" w:rsidRPr="00B44D0D" w:rsidRDefault="002C15FD" w:rsidP="00454904">
      <w:pPr>
        <w:spacing w:line="360" w:lineRule="auto"/>
        <w:jc w:val="both"/>
        <w:rPr>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t-1</m:t>
              </m:r>
            </m:sub>
          </m:sSub>
          <m:r>
            <w:rPr>
              <w:rFonts w:ascii="Cambria Math" w:hAnsi="Cambria Math"/>
              <w:sz w:val="24"/>
              <w:szCs w:val="24"/>
            </w:rPr>
            <m:t>∼N(0,</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t</m:t>
              </m:r>
            </m:sub>
          </m:sSub>
          <m:r>
            <w:rPr>
              <w:rFonts w:ascii="Cambria Math" w:hAnsi="Cambria Math"/>
              <w:sz w:val="24"/>
              <w:szCs w:val="24"/>
            </w:rPr>
            <m:t>)</m:t>
          </m:r>
        </m:oMath>
      </m:oMathPara>
    </w:p>
    <w:p w14:paraId="52DEDE8D" w14:textId="77777777" w:rsidR="00454904" w:rsidRPr="00B44D0D" w:rsidRDefault="002C15FD" w:rsidP="00454904">
      <w:pPr>
        <w:spacing w:line="360"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0</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11</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t-1</m:t>
            </m:r>
          </m:sub>
        </m:sSub>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t-1</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11</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11</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t-1</m:t>
            </m:r>
          </m:sub>
        </m:sSub>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11</m:t>
            </m:r>
          </m:sub>
        </m:sSub>
      </m:oMath>
      <w:r w:rsidR="00454904" w:rsidRPr="00B44D0D">
        <w:rPr>
          <w:sz w:val="24"/>
          <w:szCs w:val="24"/>
        </w:rPr>
        <w:t xml:space="preserve">            </w:t>
      </w:r>
    </w:p>
    <w:p w14:paraId="4B0CACD3" w14:textId="5212B780" w:rsidR="00454904" w:rsidRPr="00B44D0D" w:rsidRDefault="00454904" w:rsidP="00454904">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Where </w:t>
      </w:r>
      <w:r w:rsidRPr="00B44D0D">
        <w:rPr>
          <w:rFonts w:ascii="Times New Roman" w:eastAsia="SimSun" w:hAnsi="Times New Roman"/>
          <w:i/>
          <w:sz w:val="24"/>
          <w:szCs w:val="24"/>
          <w:lang w:eastAsia="zh-CN"/>
        </w:rPr>
        <w:t>r</w:t>
      </w:r>
      <w:r w:rsidRPr="00B44D0D">
        <w:rPr>
          <w:rFonts w:ascii="Times New Roman" w:eastAsia="SimSun" w:hAnsi="Times New Roman"/>
          <w:i/>
          <w:sz w:val="24"/>
          <w:szCs w:val="24"/>
          <w:vertAlign w:val="subscript"/>
          <w:lang w:eastAsia="zh-CN"/>
        </w:rPr>
        <w:t xml:space="preserve">t </w:t>
      </w:r>
      <w:r w:rsidRPr="00B44D0D">
        <w:rPr>
          <w:rFonts w:ascii="Times New Roman" w:eastAsia="SimSun" w:hAnsi="Times New Roman"/>
          <w:sz w:val="24"/>
          <w:szCs w:val="24"/>
          <w:vertAlign w:val="subscript"/>
          <w:lang w:eastAsia="zh-CN"/>
        </w:rPr>
        <w:t xml:space="preserve">  </w:t>
      </w:r>
      <w:r w:rsidRPr="00B44D0D">
        <w:rPr>
          <w:rFonts w:ascii="Times New Roman" w:eastAsia="SimSun" w:hAnsi="Times New Roman"/>
          <w:sz w:val="24"/>
          <w:szCs w:val="24"/>
          <w:lang w:eastAsia="zh-CN"/>
        </w:rPr>
        <w:t xml:space="preserve">is an </w:t>
      </w:r>
      <w:r w:rsidRPr="00B44D0D">
        <w:rPr>
          <w:rFonts w:ascii="Times New Roman" w:eastAsia="SimSun" w:hAnsi="Times New Roman"/>
          <w:i/>
          <w:sz w:val="24"/>
          <w:szCs w:val="24"/>
          <w:lang w:eastAsia="zh-CN"/>
        </w:rPr>
        <w:t>T</w:t>
      </w:r>
      <w:r w:rsidRPr="00B44D0D">
        <w:rPr>
          <w:rFonts w:ascii="Times New Roman" w:eastAsia="SimSun" w:hAnsi="Times New Roman"/>
          <w:sz w:val="24"/>
          <w:szCs w:val="24"/>
          <w:lang w:eastAsia="zh-CN"/>
        </w:rPr>
        <w:t xml:space="preserve"> by 1 vector of asset returns, </w:t>
      </w:r>
      <w:proofErr w:type="spellStart"/>
      <w:r w:rsidRPr="00B44D0D">
        <w:rPr>
          <w:rFonts w:ascii="Times New Roman" w:eastAsia="SimSun" w:hAnsi="Lucida Sans Unicode"/>
          <w:i/>
          <w:sz w:val="24"/>
          <w:szCs w:val="24"/>
          <w:lang w:eastAsia="zh-CN"/>
        </w:rPr>
        <w:t>Ɛ</w:t>
      </w:r>
      <w:r w:rsidRPr="00B44D0D">
        <w:rPr>
          <w:rFonts w:ascii="Times New Roman" w:eastAsia="SimSun" w:hAnsi="Times New Roman"/>
          <w:i/>
          <w:sz w:val="24"/>
          <w:szCs w:val="24"/>
          <w:lang w:eastAsia="zh-CN"/>
        </w:rPr>
        <w:t>t</w:t>
      </w:r>
      <w:proofErr w:type="spellEnd"/>
      <w:r w:rsidRPr="00B44D0D">
        <w:rPr>
          <w:rFonts w:ascii="Times New Roman" w:eastAsia="SimSun" w:hAnsi="Times New Roman"/>
          <w:sz w:val="24"/>
          <w:szCs w:val="24"/>
          <w:lang w:eastAsia="zh-CN"/>
        </w:rPr>
        <w:t xml:space="preserve"> is the innovation term in the return equation, </w:t>
      </w:r>
      <w:r w:rsidRPr="00B44D0D">
        <w:rPr>
          <w:rFonts w:ascii="Times New Roman" w:eastAsia="SimSun" w:hAnsi="Times New Roman"/>
          <w:i/>
          <w:sz w:val="24"/>
          <w:szCs w:val="24"/>
          <w:lang w:eastAsia="zh-CN"/>
        </w:rPr>
        <w:t>Ω</w:t>
      </w:r>
      <w:r w:rsidRPr="00B44D0D">
        <w:rPr>
          <w:rFonts w:ascii="Times New Roman" w:eastAsia="SimSun" w:hAnsi="Times New Roman"/>
          <w:i/>
          <w:sz w:val="24"/>
          <w:szCs w:val="24"/>
          <w:vertAlign w:val="subscript"/>
          <w:lang w:eastAsia="zh-CN"/>
        </w:rPr>
        <w:t>t-1</w:t>
      </w:r>
      <w:r w:rsidRPr="00B44D0D">
        <w:rPr>
          <w:rFonts w:ascii="Times New Roman" w:eastAsia="SimSun" w:hAnsi="Times New Roman"/>
          <w:sz w:val="24"/>
          <w:szCs w:val="24"/>
          <w:lang w:eastAsia="zh-CN"/>
        </w:rPr>
        <w:t xml:space="preserve"> is the matrix of conditional previous information set and </w:t>
      </w:r>
      <w:proofErr w:type="spellStart"/>
      <w:r w:rsidRPr="00B44D0D">
        <w:rPr>
          <w:rFonts w:ascii="Times New Roman" w:eastAsia="SimSun" w:hAnsi="Times New Roman"/>
          <w:i/>
          <w:sz w:val="24"/>
          <w:szCs w:val="24"/>
          <w:lang w:eastAsia="zh-CN"/>
        </w:rPr>
        <w:t>H</w:t>
      </w:r>
      <w:r w:rsidRPr="00B44D0D">
        <w:rPr>
          <w:rFonts w:ascii="Times New Roman" w:eastAsia="SimSun" w:hAnsi="Times New Roman"/>
          <w:i/>
          <w:sz w:val="24"/>
          <w:szCs w:val="24"/>
          <w:vertAlign w:val="subscript"/>
          <w:lang w:eastAsia="zh-CN"/>
        </w:rPr>
        <w:t>t</w:t>
      </w:r>
      <w:proofErr w:type="spellEnd"/>
      <w:r w:rsidRPr="00B44D0D">
        <w:rPr>
          <w:rFonts w:ascii="Times New Roman" w:eastAsia="SimSun" w:hAnsi="Times New Roman"/>
          <w:sz w:val="24"/>
          <w:szCs w:val="24"/>
          <w:lang w:eastAsia="zh-CN"/>
        </w:rPr>
        <w:t xml:space="preserve"> is the variance-covariance matrix of the residuals term from </w:t>
      </w:r>
      <w:r w:rsidR="00C40748">
        <w:rPr>
          <w:rFonts w:ascii="Times New Roman" w:eastAsia="SimSun" w:hAnsi="Times New Roman"/>
          <w:sz w:val="24"/>
          <w:szCs w:val="24"/>
          <w:lang w:eastAsia="zh-CN"/>
        </w:rPr>
        <w:t>original equation</w:t>
      </w:r>
      <w:r w:rsidRPr="00B44D0D">
        <w:rPr>
          <w:rFonts w:ascii="Times New Roman" w:eastAsia="SimSun" w:hAnsi="Times New Roman"/>
          <w:sz w:val="24"/>
          <w:szCs w:val="24"/>
          <w:lang w:eastAsia="zh-CN"/>
        </w:rPr>
        <w:t xml:space="preserve">; it’s guaranteed to be positive because the BEKK model uses a quadratic form for the parameter matrices to ensure a positive definite variance- covariance matrix. The parameter vector consists of elements of </w:t>
      </w:r>
      <w:r w:rsidRPr="00B44D0D">
        <w:rPr>
          <w:rFonts w:ascii="Times New Roman" w:eastAsia="SimSun" w:hAnsi="Times New Roman"/>
          <w:i/>
          <w:sz w:val="24"/>
          <w:szCs w:val="24"/>
          <w:lang w:eastAsia="zh-CN"/>
        </w:rPr>
        <w:t>C,</w:t>
      </w:r>
      <w:r w:rsidRPr="00B44D0D">
        <w:rPr>
          <w:rFonts w:ascii="Times New Roman" w:eastAsia="SimSun" w:hAnsi="Times New Roman"/>
          <w:sz w:val="24"/>
          <w:szCs w:val="24"/>
          <w:vertAlign w:val="superscript"/>
          <w:lang w:eastAsia="zh-CN"/>
        </w:rPr>
        <w:t xml:space="preserve"> </w:t>
      </w:r>
      <w:r w:rsidRPr="00B44D0D">
        <w:rPr>
          <w:rFonts w:ascii="Times New Roman" w:eastAsia="SimSun" w:hAnsi="Times New Roman"/>
          <w:sz w:val="24"/>
          <w:szCs w:val="24"/>
          <w:lang w:eastAsia="zh-CN"/>
        </w:rPr>
        <w:t>which is a lower triangular matrix</w:t>
      </w:r>
      <w:r w:rsidRPr="00B44D0D">
        <w:rPr>
          <w:rFonts w:ascii="Times New Roman" w:eastAsia="SimSun" w:hAnsi="Times New Roman"/>
          <w:i/>
          <w:sz w:val="24"/>
          <w:szCs w:val="24"/>
          <w:lang w:eastAsia="zh-CN"/>
        </w:rPr>
        <w:t xml:space="preserve">; </w:t>
      </w:r>
      <w:r w:rsidRPr="00B44D0D">
        <w:rPr>
          <w:rFonts w:ascii="Times New Roman" w:eastAsia="SimSun" w:hAnsi="Times New Roman"/>
          <w:sz w:val="24"/>
          <w:szCs w:val="24"/>
          <w:lang w:eastAsia="zh-CN"/>
        </w:rPr>
        <w:fldChar w:fldCharType="begin"/>
      </w:r>
      <w:r w:rsidRPr="00B44D0D">
        <w:rPr>
          <w:rFonts w:ascii="Times New Roman" w:eastAsia="SimSun" w:hAnsi="Times New Roman"/>
          <w:sz w:val="24"/>
          <w:szCs w:val="24"/>
          <w:lang w:eastAsia="zh-CN"/>
        </w:rPr>
        <w:instrText xml:space="preserve"> QUOTE </w:instrText>
      </w:r>
      <w:r w:rsidR="002C15FD">
        <w:rPr>
          <w:sz w:val="24"/>
          <w:szCs w:val="24"/>
        </w:rPr>
        <w:pict w14:anchorId="036C3695">
          <v:shape id="_x0000_i1031"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163C&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B4163C&quot; wsp:rsidP=&quot;00B4163C&quot;&gt;&lt;m:oMathPara&gt;&lt;m:oMath&gt;&lt;m:r&gt;&lt;w:rPr&gt;&lt;w:rFonts w:ascii=&quot;Cambria Math&quot; w:fareast=&quot;SimSun&quot; w:h-ansi=&quot;Cambria Math&quot;/&gt;&lt;wx:font wx:val=&quot;Cambria Math&quot;/&gt;&lt;w:i/&gt;&lt;w:sz-cs w:val=&quot;24&quot;/&gt;&lt;w:lang w:fareast=&quot;ZH-CN&quot;/&gt;&lt;/w:rPr&gt;&lt;m:t&gt;n?¡ª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44D0D">
        <w:rPr>
          <w:rFonts w:ascii="Times New Roman" w:eastAsia="SimSun" w:hAnsi="Times New Roman"/>
          <w:sz w:val="24"/>
          <w:szCs w:val="24"/>
          <w:lang w:eastAsia="zh-CN"/>
        </w:rPr>
        <w:instrText xml:space="preserve"> </w:instrText>
      </w:r>
      <w:r w:rsidRPr="00B44D0D">
        <w:rPr>
          <w:rFonts w:ascii="Times New Roman" w:eastAsia="SimSun" w:hAnsi="Times New Roman"/>
          <w:sz w:val="24"/>
          <w:szCs w:val="24"/>
          <w:lang w:eastAsia="zh-CN"/>
        </w:rPr>
        <w:fldChar w:fldCharType="separate"/>
      </w:r>
      <w:r w:rsidR="002C15FD">
        <w:rPr>
          <w:sz w:val="24"/>
          <w:szCs w:val="24"/>
        </w:rPr>
        <w:pict w14:anchorId="697693D8">
          <v:shape id="_x0000_i1032"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163C&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B4163C&quot; wsp:rsidP=&quot;00B4163C&quot;&gt;&lt;m:oMathPara&gt;&lt;m:oMath&gt;&lt;m:r&gt;&lt;w:rPr&gt;&lt;w:rFonts w:ascii=&quot;Cambria Math&quot; w:fareast=&quot;SimSun&quot; w:h-ansi=&quot;Cambria Math&quot;/&gt;&lt;wx:font wx:val=&quot;Cambria Math&quot;/&gt;&lt;w:i/&gt;&lt;w:sz-cs w:val=&quot;24&quot;/&gt;&lt;w:lang w:fareast=&quot;ZH-CN&quot;/&gt;&lt;/w:rPr&gt;&lt;m:t&gt;n?¡ª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44D0D">
        <w:rPr>
          <w:rFonts w:ascii="Times New Roman" w:eastAsia="SimSun" w:hAnsi="Times New Roman"/>
          <w:sz w:val="24"/>
          <w:szCs w:val="24"/>
          <w:lang w:eastAsia="zh-CN"/>
        </w:rPr>
        <w:fldChar w:fldCharType="end"/>
      </w:r>
      <w:r w:rsidRPr="00B44D0D">
        <w:rPr>
          <w:rFonts w:ascii="Times New Roman" w:eastAsia="SimSun" w:hAnsi="Times New Roman"/>
          <w:sz w:val="24"/>
          <w:szCs w:val="24"/>
          <w:lang w:eastAsia="zh-CN"/>
        </w:rPr>
        <w:t xml:space="preserve"> matrix</w:t>
      </w:r>
      <w:r w:rsidRPr="00B44D0D">
        <w:rPr>
          <w:rFonts w:ascii="Times New Roman" w:eastAsia="SimSun" w:hAnsi="Times New Roman"/>
          <w:i/>
          <w:position w:val="-10"/>
          <w:sz w:val="24"/>
          <w:szCs w:val="24"/>
          <w:lang w:eastAsia="hu-HU"/>
        </w:rPr>
        <w:object w:dxaOrig="340" w:dyaOrig="360" w14:anchorId="0512BBA2">
          <v:shape id="_x0000_i1033" type="#_x0000_t75" style="width:15pt;height:15pt" o:ole="">
            <v:imagedata r:id="rId24" o:title=""/>
          </v:shape>
          <o:OLEObject Type="Embed" ProgID="Equation.3" ShapeID="_x0000_i1033" DrawAspect="Content" ObjectID="_1704578313" r:id="rId25"/>
        </w:object>
      </w:r>
      <w:r w:rsidRPr="00B44D0D">
        <w:rPr>
          <w:rFonts w:ascii="Times New Roman" w:eastAsia="SimSun" w:hAnsi="Times New Roman"/>
          <w:i/>
          <w:position w:val="-10"/>
          <w:sz w:val="24"/>
          <w:szCs w:val="24"/>
          <w:lang w:eastAsia="hu-HU"/>
        </w:rPr>
        <w:t xml:space="preserve"> </w:t>
      </w:r>
      <w:r w:rsidRPr="00B44D0D">
        <w:rPr>
          <w:rFonts w:ascii="Times New Roman" w:eastAsia="SimSun" w:hAnsi="Times New Roman"/>
          <w:sz w:val="24"/>
          <w:szCs w:val="24"/>
          <w:lang w:eastAsia="hu-HU"/>
        </w:rPr>
        <w:t xml:space="preserve">is showing ARCH effects and </w:t>
      </w:r>
      <w:r w:rsidRPr="00B44D0D">
        <w:rPr>
          <w:rFonts w:ascii="Times New Roman" w:eastAsia="SimSun" w:hAnsi="Times New Roman"/>
          <w:sz w:val="24"/>
          <w:szCs w:val="24"/>
          <w:lang w:eastAsia="hu-HU"/>
        </w:rPr>
        <w:fldChar w:fldCharType="begin"/>
      </w:r>
      <w:r w:rsidRPr="00B44D0D">
        <w:rPr>
          <w:rFonts w:ascii="Times New Roman" w:eastAsia="SimSun" w:hAnsi="Times New Roman"/>
          <w:sz w:val="24"/>
          <w:szCs w:val="24"/>
          <w:lang w:eastAsia="hu-HU"/>
        </w:rPr>
        <w:instrText xml:space="preserve"> QUOTE </w:instrText>
      </w:r>
      <w:r w:rsidR="002C15FD">
        <w:rPr>
          <w:sz w:val="24"/>
          <w:szCs w:val="24"/>
        </w:rPr>
        <w:pict w14:anchorId="3AB4FA7D">
          <v:shape id="_x0000_i1034"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233D&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64233D&quot; wsp:rsidP=&quot;0064233D&quot;&gt;&lt;m:oMathPara&gt;&lt;m:oMath&gt;&lt;m:r&gt;&lt;w:rPr&gt;&lt;w:rFonts w:ascii=&quot;Cambria Math&quot; w:fareast=&quot;SimSun&quot; w:h-ansi=&quot;Cambria Math&quot;/&gt;&lt;wx:font wx:val=&quot;Cambria Math&quot;/&gt;&lt;w:i/&gt;&lt;w:sz-cs w:val=&quot;24&quot;/&gt;&lt;w:lang w:fareast=&quot;ZH-CN&quot;/&gt;&lt;/w:rPr&gt;&lt;m:t&gt;n?¡ª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44D0D">
        <w:rPr>
          <w:rFonts w:ascii="Times New Roman" w:eastAsia="SimSun" w:hAnsi="Times New Roman"/>
          <w:sz w:val="24"/>
          <w:szCs w:val="24"/>
          <w:lang w:eastAsia="hu-HU"/>
        </w:rPr>
        <w:instrText xml:space="preserve"> </w:instrText>
      </w:r>
      <w:r w:rsidRPr="00B44D0D">
        <w:rPr>
          <w:rFonts w:ascii="Times New Roman" w:eastAsia="SimSun" w:hAnsi="Times New Roman"/>
          <w:sz w:val="24"/>
          <w:szCs w:val="24"/>
          <w:lang w:eastAsia="hu-HU"/>
        </w:rPr>
        <w:fldChar w:fldCharType="separate"/>
      </w:r>
      <w:r w:rsidR="002C15FD">
        <w:rPr>
          <w:sz w:val="24"/>
          <w:szCs w:val="24"/>
        </w:rPr>
        <w:pict w14:anchorId="4BFA4F92">
          <v:shape id="_x0000_i1035"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233D&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64233D&quot; wsp:rsidP=&quot;0064233D&quot;&gt;&lt;m:oMathPara&gt;&lt;m:oMath&gt;&lt;m:r&gt;&lt;w:rPr&gt;&lt;w:rFonts w:ascii=&quot;Cambria Math&quot; w:fareast=&quot;SimSun&quot; w:h-ansi=&quot;Cambria Math&quot;/&gt;&lt;wx:font wx:val=&quot;Cambria Math&quot;/&gt;&lt;w:i/&gt;&lt;w:sz-cs w:val=&quot;24&quot;/&gt;&lt;w:lang w:fareast=&quot;ZH-CN&quot;/&gt;&lt;/w:rPr&gt;&lt;m:t&gt;n?¡ª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44D0D">
        <w:rPr>
          <w:rFonts w:ascii="Times New Roman" w:eastAsia="SimSun" w:hAnsi="Times New Roman"/>
          <w:sz w:val="24"/>
          <w:szCs w:val="24"/>
          <w:lang w:eastAsia="hu-HU"/>
        </w:rPr>
        <w:fldChar w:fldCharType="end"/>
      </w:r>
      <w:r w:rsidRPr="00B44D0D">
        <w:rPr>
          <w:rFonts w:ascii="Times New Roman" w:eastAsia="SimSun" w:hAnsi="Times New Roman"/>
          <w:sz w:val="24"/>
          <w:szCs w:val="24"/>
          <w:lang w:eastAsia="hu-HU"/>
        </w:rPr>
        <w:t xml:space="preserve">  matrix </w:t>
      </w:r>
      <w:r w:rsidRPr="00B44D0D">
        <w:rPr>
          <w:rFonts w:ascii="Times New Roman" w:eastAsia="SimSun" w:hAnsi="Times New Roman"/>
          <w:position w:val="-10"/>
          <w:sz w:val="24"/>
          <w:szCs w:val="24"/>
          <w:lang w:eastAsia="hu-HU"/>
        </w:rPr>
        <w:object w:dxaOrig="360" w:dyaOrig="360" w14:anchorId="5CCB7CCA">
          <v:shape id="_x0000_i1036" type="#_x0000_t75" style="width:15pt;height:15pt" o:ole="">
            <v:imagedata r:id="rId26" o:title=""/>
          </v:shape>
          <o:OLEObject Type="Embed" ProgID="Equation.3" ShapeID="_x0000_i1036" DrawAspect="Content" ObjectID="_1704578314" r:id="rId27"/>
        </w:object>
      </w:r>
      <w:r w:rsidRPr="00B44D0D">
        <w:rPr>
          <w:rFonts w:ascii="Times New Roman" w:eastAsia="SimSun" w:hAnsi="Times New Roman"/>
          <w:sz w:val="24"/>
          <w:szCs w:val="24"/>
          <w:lang w:eastAsia="hu-HU"/>
        </w:rPr>
        <w:t xml:space="preserve">which reveal the GARCH effects. </w:t>
      </w:r>
      <w:r w:rsidRPr="00B44D0D">
        <w:rPr>
          <w:rFonts w:ascii="Times New Roman" w:eastAsia="SimSun" w:hAnsi="Times New Roman"/>
          <w:sz w:val="24"/>
          <w:szCs w:val="24"/>
          <w:lang w:eastAsia="zh-CN"/>
        </w:rPr>
        <w:t xml:space="preserve">In the BEKK model, the conditional variance is not only a function of all lagged conditional variances and squared returns, but also of conditional covariance and cross-product returns. The diagonal elements in the parameter matrix G measure the effect of lagged volatility; the off-diagonal elements capture the cross-market effects. Therefore, the BEKK </w:t>
      </w:r>
      <w:r w:rsidRPr="00B44D0D">
        <w:rPr>
          <w:rFonts w:ascii="Times New Roman" w:eastAsia="SimSun" w:hAnsi="Times New Roman"/>
          <w:sz w:val="24"/>
          <w:szCs w:val="24"/>
          <w:lang w:eastAsia="zh-CN"/>
        </w:rPr>
        <w:lastRenderedPageBreak/>
        <w:t xml:space="preserve">model is very desirable to examine volatility </w:t>
      </w:r>
      <w:proofErr w:type="spellStart"/>
      <w:r w:rsidRPr="00B44D0D">
        <w:rPr>
          <w:rFonts w:ascii="Times New Roman" w:eastAsia="SimSun" w:hAnsi="Times New Roman"/>
          <w:sz w:val="24"/>
          <w:szCs w:val="24"/>
          <w:lang w:eastAsia="zh-CN"/>
        </w:rPr>
        <w:t>spillover</w:t>
      </w:r>
      <w:proofErr w:type="spellEnd"/>
      <w:r w:rsidRPr="00B44D0D">
        <w:rPr>
          <w:rFonts w:ascii="Times New Roman" w:eastAsia="SimSun" w:hAnsi="Times New Roman"/>
          <w:sz w:val="24"/>
          <w:szCs w:val="24"/>
          <w:lang w:eastAsia="zh-CN"/>
        </w:rPr>
        <w:t xml:space="preserve"> effects. The log-likelihood function of the BEKK model is given by</w:t>
      </w:r>
    </w:p>
    <w:p w14:paraId="404F002E" w14:textId="77777777" w:rsidR="00454904" w:rsidRPr="00B44D0D" w:rsidRDefault="00454904" w:rsidP="00454904">
      <w:pPr>
        <w:spacing w:after="0" w:line="360" w:lineRule="auto"/>
        <w:jc w:val="both"/>
        <w:rPr>
          <w:rFonts w:ascii="Times New Roman" w:eastAsia="SimSun" w:hAnsi="Times New Roman"/>
          <w:i/>
          <w:position w:val="-10"/>
          <w:sz w:val="24"/>
          <w:szCs w:val="24"/>
          <w:lang w:eastAsia="hu-HU"/>
        </w:rPr>
      </w:pPr>
    </w:p>
    <w:p w14:paraId="31C6C346" w14:textId="77777777" w:rsidR="00454904" w:rsidRPr="00B44D0D" w:rsidRDefault="00454904" w:rsidP="003D416C">
      <w:pPr>
        <w:tabs>
          <w:tab w:val="left" w:pos="3260"/>
        </w:tabs>
        <w:spacing w:after="0" w:line="240" w:lineRule="auto"/>
        <w:jc w:val="center"/>
        <w:rPr>
          <w:rFonts w:ascii="Times New Roman" w:eastAsia="SimSun" w:hAnsi="Times New Roman"/>
          <w:sz w:val="24"/>
          <w:szCs w:val="24"/>
          <w:lang w:eastAsia="zh-CN"/>
        </w:rPr>
      </w:pPr>
      <w:r w:rsidRPr="00B44D0D">
        <w:rPr>
          <w:rFonts w:ascii="Times New Roman" w:eastAsia="SimSun" w:hAnsi="Times New Roman"/>
          <w:position w:val="-28"/>
          <w:sz w:val="24"/>
          <w:szCs w:val="24"/>
          <w:lang w:eastAsia="hu-HU"/>
        </w:rPr>
        <w:object w:dxaOrig="4740" w:dyaOrig="680" w14:anchorId="057F28AE">
          <v:shape id="_x0000_i1037" type="#_x0000_t75" style="width:237.75pt;height:28.5pt" o:ole="">
            <v:imagedata r:id="rId28" o:title=""/>
          </v:shape>
          <o:OLEObject Type="Embed" ProgID="Equation.3" ShapeID="_x0000_i1037" DrawAspect="Content" ObjectID="_1704578315" r:id="rId29"/>
        </w:object>
      </w:r>
    </w:p>
    <w:p w14:paraId="313E10C0" w14:textId="77777777" w:rsidR="00454904" w:rsidRPr="00B44D0D" w:rsidRDefault="00454904" w:rsidP="00454904">
      <w:pPr>
        <w:tabs>
          <w:tab w:val="left" w:pos="3260"/>
        </w:tabs>
        <w:spacing w:after="0" w:line="360" w:lineRule="auto"/>
        <w:jc w:val="both"/>
        <w:rPr>
          <w:rFonts w:ascii="Times New Roman" w:eastAsia="SimSun" w:hAnsi="Times New Roman"/>
          <w:sz w:val="24"/>
          <w:szCs w:val="24"/>
          <w:lang w:eastAsia="zh-CN"/>
        </w:rPr>
      </w:pPr>
    </w:p>
    <w:p w14:paraId="351551B2" w14:textId="77777777" w:rsidR="00454904" w:rsidRPr="00B44D0D" w:rsidRDefault="00454904" w:rsidP="00454904">
      <w:pPr>
        <w:tabs>
          <w:tab w:val="left" w:pos="3260"/>
        </w:tabs>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Where </w:t>
      </w:r>
      <w:r w:rsidRPr="00B44D0D">
        <w:rPr>
          <w:rFonts w:ascii="Times New Roman" w:eastAsia="SimSun" w:hAnsi="Times New Roman"/>
          <w:i/>
          <w:sz w:val="24"/>
          <w:szCs w:val="24"/>
          <w:lang w:eastAsia="zh-CN"/>
        </w:rPr>
        <w:t>n</w:t>
      </w:r>
      <w:r w:rsidRPr="00B44D0D">
        <w:rPr>
          <w:rFonts w:ascii="Times New Roman" w:eastAsia="SimSun" w:hAnsi="Times New Roman"/>
          <w:sz w:val="24"/>
          <w:szCs w:val="24"/>
          <w:lang w:eastAsia="zh-CN"/>
        </w:rPr>
        <w:t xml:space="preserve"> is the number of variables in the model, </w:t>
      </w:r>
      <w:r w:rsidRPr="00B44D0D">
        <w:rPr>
          <w:rFonts w:ascii="Times New Roman" w:eastAsia="SimSun" w:hAnsi="Times New Roman"/>
          <w:i/>
          <w:sz w:val="24"/>
          <w:szCs w:val="24"/>
          <w:lang w:eastAsia="zh-CN"/>
        </w:rPr>
        <w:t>T</w:t>
      </w:r>
      <w:r w:rsidRPr="00B44D0D">
        <w:rPr>
          <w:rFonts w:ascii="Times New Roman" w:eastAsia="SimSun" w:hAnsi="Times New Roman"/>
          <w:sz w:val="24"/>
          <w:szCs w:val="24"/>
          <w:lang w:eastAsia="zh-CN"/>
        </w:rPr>
        <w:t xml:space="preserve"> is total number of the observation and </w:t>
      </w:r>
      <w:r w:rsidRPr="00B44D0D">
        <w:rPr>
          <w:rFonts w:ascii="Times New Roman" w:eastAsia="SimSun" w:hAnsi="Times New Roman"/>
          <w:i/>
          <w:sz w:val="24"/>
          <w:szCs w:val="24"/>
          <w:lang w:eastAsia="zh-CN"/>
        </w:rPr>
        <w:t xml:space="preserve">θ </w:t>
      </w:r>
      <w:r w:rsidRPr="00B44D0D">
        <w:rPr>
          <w:rFonts w:ascii="Times New Roman" w:eastAsia="SimSun" w:hAnsi="Times New Roman"/>
          <w:sz w:val="24"/>
          <w:szCs w:val="24"/>
          <w:lang w:eastAsia="zh-CN"/>
        </w:rPr>
        <w:t xml:space="preserve">is the vectors of unknown parameters that need to be estimated. </w:t>
      </w:r>
    </w:p>
    <w:p w14:paraId="0DEBD922" w14:textId="77777777" w:rsidR="00454904" w:rsidRPr="00B44D0D" w:rsidRDefault="00454904" w:rsidP="00454904">
      <w:pPr>
        <w:spacing w:after="0" w:line="360" w:lineRule="auto"/>
        <w:jc w:val="both"/>
        <w:rPr>
          <w:rFonts w:ascii="Times New Roman" w:eastAsia="SimSun" w:hAnsi="Times New Roman"/>
          <w:sz w:val="24"/>
          <w:szCs w:val="24"/>
          <w:lang w:eastAsia="zh-CN"/>
        </w:rPr>
      </w:pPr>
    </w:p>
    <w:p w14:paraId="2BF59B0F" w14:textId="77777777" w:rsidR="00454904" w:rsidRPr="00B44D0D" w:rsidRDefault="00454904" w:rsidP="00454904">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The DCC model assumes that return from </w:t>
      </w:r>
      <w:r w:rsidRPr="00B44D0D">
        <w:rPr>
          <w:rFonts w:ascii="Times New Roman" w:eastAsia="SimSun" w:hAnsi="Times New Roman"/>
          <w:i/>
          <w:sz w:val="24"/>
          <w:szCs w:val="24"/>
          <w:lang w:eastAsia="zh-CN"/>
        </w:rPr>
        <w:t>k</w:t>
      </w:r>
      <w:r w:rsidRPr="00B44D0D">
        <w:rPr>
          <w:rFonts w:ascii="Times New Roman" w:eastAsia="SimSun" w:hAnsi="Times New Roman"/>
          <w:sz w:val="24"/>
          <w:szCs w:val="24"/>
          <w:lang w:eastAsia="zh-CN"/>
        </w:rPr>
        <w:t xml:space="preserve"> assets is conditionally multivariate normal with zero mean and covariance matrix </w:t>
      </w:r>
      <w:r w:rsidRPr="00B44D0D">
        <w:rPr>
          <w:rFonts w:ascii="Times New Roman" w:eastAsia="SimSun" w:hAnsi="Times New Roman"/>
          <w:i/>
          <w:sz w:val="24"/>
          <w:szCs w:val="24"/>
          <w:lang w:eastAsia="zh-CN"/>
        </w:rPr>
        <w:t>H</w:t>
      </w:r>
      <w:r w:rsidRPr="00B44D0D">
        <w:rPr>
          <w:rFonts w:ascii="Times New Roman" w:eastAsia="SimSun" w:hAnsi="Times New Roman"/>
          <w:i/>
          <w:sz w:val="24"/>
          <w:szCs w:val="24"/>
          <w:vertAlign w:val="subscript"/>
          <w:lang w:eastAsia="zh-CN"/>
        </w:rPr>
        <w:t>t</w:t>
      </w:r>
      <w:r w:rsidRPr="00B44D0D">
        <w:rPr>
          <w:rFonts w:ascii="Times New Roman" w:eastAsia="SimSun" w:hAnsi="Times New Roman"/>
          <w:i/>
          <w:sz w:val="24"/>
          <w:szCs w:val="24"/>
          <w:lang w:eastAsia="zh-CN"/>
        </w:rPr>
        <w:t>.</w:t>
      </w:r>
      <w:r w:rsidRPr="00B44D0D">
        <w:rPr>
          <w:rFonts w:ascii="Times New Roman" w:eastAsia="SimSun" w:hAnsi="Times New Roman"/>
          <w:sz w:val="24"/>
          <w:szCs w:val="24"/>
          <w:lang w:eastAsia="zh-CN"/>
        </w:rPr>
        <w:t xml:space="preserve"> The returns can be either zero mean or the residuals from a filtered time series.  </w:t>
      </w:r>
    </w:p>
    <w:p w14:paraId="084A60A6" w14:textId="77777777" w:rsidR="00454904" w:rsidRPr="00B44D0D" w:rsidRDefault="00454904" w:rsidP="00454904">
      <w:pPr>
        <w:spacing w:after="0" w:line="360" w:lineRule="auto"/>
        <w:jc w:val="both"/>
        <w:rPr>
          <w:rFonts w:ascii="Times New Roman" w:eastAsia="SimSun" w:hAnsi="Times New Roman"/>
          <w:sz w:val="24"/>
          <w:szCs w:val="24"/>
          <w:lang w:eastAsia="zh-CN"/>
        </w:rPr>
      </w:pPr>
    </w:p>
    <w:p w14:paraId="286A7DBF" w14:textId="77777777" w:rsidR="00454904" w:rsidRPr="00B44D0D" w:rsidRDefault="00454904" w:rsidP="00454904">
      <w:pPr>
        <w:spacing w:after="0" w:line="240" w:lineRule="auto"/>
        <w:jc w:val="center"/>
        <w:rPr>
          <w:rFonts w:ascii="Times New Roman" w:eastAsia="SimSun" w:hAnsi="Times New Roman"/>
          <w:sz w:val="24"/>
          <w:szCs w:val="24"/>
          <w:lang w:eastAsia="zh-CN"/>
        </w:rPr>
      </w:pPr>
      <w:r w:rsidRPr="00B44D0D">
        <w:rPr>
          <w:rFonts w:ascii="Times New Roman" w:eastAsia="SimSun" w:hAnsi="Times New Roman"/>
          <w:position w:val="-14"/>
          <w:sz w:val="24"/>
          <w:szCs w:val="24"/>
          <w:lang w:eastAsia="zh-CN"/>
        </w:rPr>
        <w:object w:dxaOrig="1740" w:dyaOrig="400" w14:anchorId="7A483FC6">
          <v:shape id="_x0000_i1038" type="#_x0000_t75" style="width:87pt;height:21.75pt" o:ole="">
            <v:imagedata r:id="rId30" o:title=""/>
          </v:shape>
          <o:OLEObject Type="Embed" ProgID="Equation.3" ShapeID="_x0000_i1038" DrawAspect="Content" ObjectID="_1704578316" r:id="rId31"/>
        </w:object>
      </w:r>
    </w:p>
    <w:p w14:paraId="1866E021" w14:textId="77777777" w:rsidR="003D416C" w:rsidRPr="00B44D0D" w:rsidRDefault="00454904" w:rsidP="003D416C">
      <w:pPr>
        <w:spacing w:after="0" w:line="240" w:lineRule="auto"/>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and </w:t>
      </w:r>
    </w:p>
    <w:p w14:paraId="3DB1205D" w14:textId="77777777" w:rsidR="00454904" w:rsidRPr="00B44D0D" w:rsidRDefault="00454904" w:rsidP="003D416C">
      <w:pPr>
        <w:spacing w:after="0" w:line="240" w:lineRule="auto"/>
        <w:jc w:val="center"/>
        <w:rPr>
          <w:rFonts w:ascii="Times New Roman" w:eastAsia="SimSun" w:hAnsi="Times New Roman"/>
          <w:sz w:val="24"/>
          <w:szCs w:val="24"/>
          <w:lang w:eastAsia="zh-CN"/>
        </w:rPr>
      </w:pPr>
      <w:r w:rsidRPr="00B44D0D">
        <w:rPr>
          <w:rFonts w:ascii="Times New Roman" w:eastAsia="SimSun" w:hAnsi="Times New Roman"/>
          <w:position w:val="-12"/>
          <w:sz w:val="24"/>
          <w:szCs w:val="24"/>
          <w:lang w:eastAsia="zh-CN"/>
        </w:rPr>
        <w:object w:dxaOrig="1660" w:dyaOrig="340" w14:anchorId="40C38158">
          <v:shape id="_x0000_i1039" type="#_x0000_t75" style="width:78.75pt;height:15pt" o:ole="">
            <v:imagedata r:id="rId32" o:title=""/>
          </v:shape>
          <o:OLEObject Type="Embed" ProgID="Equation.3" ShapeID="_x0000_i1039" DrawAspect="Content" ObjectID="_1704578317" r:id="rId33"/>
        </w:object>
      </w:r>
    </w:p>
    <w:p w14:paraId="4F336979" w14:textId="77777777" w:rsidR="00454904" w:rsidRPr="00B44D0D" w:rsidRDefault="00454904" w:rsidP="00454904">
      <w:pPr>
        <w:tabs>
          <w:tab w:val="left" w:pos="3070"/>
        </w:tabs>
        <w:spacing w:after="0" w:line="360" w:lineRule="auto"/>
        <w:rPr>
          <w:rFonts w:ascii="Times New Roman" w:eastAsia="SimSun" w:hAnsi="Times New Roman"/>
          <w:sz w:val="24"/>
          <w:szCs w:val="24"/>
          <w:lang w:eastAsia="zh-CN"/>
        </w:rPr>
      </w:pPr>
    </w:p>
    <w:p w14:paraId="0262310F" w14:textId="094A90CA" w:rsidR="00454904" w:rsidRPr="00B44D0D" w:rsidRDefault="00454904" w:rsidP="00454904">
      <w:pPr>
        <w:tabs>
          <w:tab w:val="left" w:pos="3070"/>
        </w:tabs>
        <w:spacing w:after="0" w:line="360" w:lineRule="auto"/>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where </w:t>
      </w:r>
      <w:r w:rsidRPr="00B44D0D">
        <w:rPr>
          <w:rFonts w:ascii="Times New Roman" w:eastAsia="SimSun" w:hAnsi="Times New Roman"/>
          <w:i/>
          <w:sz w:val="24"/>
          <w:szCs w:val="24"/>
          <w:lang w:eastAsia="zh-CN"/>
        </w:rPr>
        <w:t>D</w:t>
      </w:r>
      <w:r w:rsidRPr="00B44D0D">
        <w:rPr>
          <w:rFonts w:ascii="Times New Roman" w:eastAsia="SimSun" w:hAnsi="Times New Roman"/>
          <w:i/>
          <w:sz w:val="24"/>
          <w:szCs w:val="24"/>
          <w:vertAlign w:val="subscript"/>
          <w:lang w:eastAsia="zh-CN"/>
        </w:rPr>
        <w:t>t</w:t>
      </w:r>
      <w:r w:rsidR="002E76DD">
        <w:rPr>
          <w:rFonts w:ascii="Times New Roman" w:eastAsia="SimSun" w:hAnsi="Times New Roman"/>
          <w:i/>
          <w:sz w:val="24"/>
          <w:szCs w:val="24"/>
          <w:vertAlign w:val="subscript"/>
          <w:lang w:eastAsia="zh-CN"/>
        </w:rPr>
        <w:t xml:space="preserve"> </w:t>
      </w:r>
      <w:r w:rsidRPr="00B44D0D">
        <w:rPr>
          <w:rFonts w:ascii="Times New Roman" w:eastAsia="SimSun" w:hAnsi="Times New Roman"/>
          <w:i/>
          <w:sz w:val="24"/>
          <w:szCs w:val="24"/>
          <w:vertAlign w:val="subscript"/>
          <w:lang w:eastAsia="zh-CN"/>
        </w:rPr>
        <w:t xml:space="preserve"> </w:t>
      </w:r>
      <w:r w:rsidRPr="00B44D0D">
        <w:rPr>
          <w:rFonts w:ascii="Times New Roman" w:eastAsia="SimSun" w:hAnsi="Times New Roman"/>
          <w:sz w:val="24"/>
          <w:szCs w:val="24"/>
          <w:vertAlign w:val="subscript"/>
          <w:lang w:eastAsia="zh-CN"/>
        </w:rPr>
        <w:t xml:space="preserve"> </w:t>
      </w:r>
      <w:r w:rsidRPr="00B44D0D">
        <w:rPr>
          <w:rFonts w:ascii="Times New Roman" w:eastAsia="SimSun" w:hAnsi="Times New Roman"/>
          <w:sz w:val="24"/>
          <w:szCs w:val="24"/>
          <w:lang w:eastAsia="zh-CN"/>
        </w:rPr>
        <w:t xml:space="preserve">is the </w:t>
      </w:r>
      <w:r w:rsidRPr="00B44D0D">
        <w:rPr>
          <w:rFonts w:ascii="Times New Roman" w:eastAsia="SimSun" w:hAnsi="Times New Roman"/>
          <w:sz w:val="24"/>
          <w:szCs w:val="24"/>
          <w:lang w:eastAsia="zh-CN"/>
        </w:rPr>
        <w:fldChar w:fldCharType="begin"/>
      </w:r>
      <w:r w:rsidRPr="00B44D0D">
        <w:rPr>
          <w:rFonts w:ascii="Times New Roman" w:eastAsia="SimSun" w:hAnsi="Times New Roman"/>
          <w:sz w:val="24"/>
          <w:szCs w:val="24"/>
          <w:lang w:eastAsia="zh-CN"/>
        </w:rPr>
        <w:instrText xml:space="preserve"> QUOTE </w:instrText>
      </w:r>
      <w:r w:rsidR="002C15FD">
        <w:rPr>
          <w:sz w:val="24"/>
          <w:szCs w:val="24"/>
        </w:rPr>
        <w:pict w14:anchorId="2745F4E5">
          <v:shape id="_x0000_i1040"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A7F02&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8A7F02&quot; wsp:rsidP=&quot;008A7F02&quot;&gt;&lt;m:oMathPara&gt;&lt;m:oMath&gt;&lt;m:r&gt;&lt;w:rPr&gt;&lt;w:rFonts w:ascii=&quot;Cambria Math&quot; w:fareast=&quot;SimSun&quot; w:h-ansi=&quot;Cambria Math&quot;/&gt;&lt;wx:font wx:val=&quot;Cambria Math&quot;/&gt;&lt;w:i/&gt;&lt;w:sz-cs w:val=&quot;24&quot;/&gt;&lt;w:lang w:fareast=&quot;ZH-CN&quot;/&gt;&lt;/w:rPr&gt;&lt;m:t&gt;k?¡ª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B44D0D">
        <w:rPr>
          <w:rFonts w:ascii="Times New Roman" w:eastAsia="SimSun" w:hAnsi="Times New Roman"/>
          <w:sz w:val="24"/>
          <w:szCs w:val="24"/>
          <w:lang w:eastAsia="zh-CN"/>
        </w:rPr>
        <w:instrText xml:space="preserve"> </w:instrText>
      </w:r>
      <w:r w:rsidRPr="00B44D0D">
        <w:rPr>
          <w:rFonts w:ascii="Times New Roman" w:eastAsia="SimSun" w:hAnsi="Times New Roman"/>
          <w:sz w:val="24"/>
          <w:szCs w:val="24"/>
          <w:lang w:eastAsia="zh-CN"/>
        </w:rPr>
        <w:fldChar w:fldCharType="separate"/>
      </w:r>
      <w:r w:rsidR="002C15FD">
        <w:rPr>
          <w:sz w:val="24"/>
          <w:szCs w:val="24"/>
        </w:rPr>
        <w:pict w14:anchorId="62EF1A04">
          <v:shape id="_x0000_i1041" type="#_x0000_t75" style="width:28.5pt;height:1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107B0&quot;/&gt;&lt;wsp:rsid wsp:val=&quot;00002570&quot;/&gt;&lt;wsp:rsid wsp:val=&quot;0000581E&quot;/&gt;&lt;wsp:rsid wsp:val=&quot;0000762F&quot;/&gt;&lt;wsp:rsid wsp:val=&quot;000124B0&quot;/&gt;&lt;wsp:rsid wsp:val=&quot;000135B4&quot;/&gt;&lt;wsp:rsid wsp:val=&quot;000137C9&quot;/&gt;&lt;wsp:rsid wsp:val=&quot;000145FB&quot;/&gt;&lt;wsp:rsid wsp:val=&quot;00015326&quot;/&gt;&lt;wsp:rsid wsp:val=&quot;000156DF&quot;/&gt;&lt;wsp:rsid wsp:val=&quot;00020F4A&quot;/&gt;&lt;wsp:rsid wsp:val=&quot;00021422&quot;/&gt;&lt;wsp:rsid wsp:val=&quot;00022459&quot;/&gt;&lt;wsp:rsid wsp:val=&quot;00025288&quot;/&gt;&lt;wsp:rsid wsp:val=&quot;00025EDC&quot;/&gt;&lt;wsp:rsid wsp:val=&quot;00030B7E&quot;/&gt;&lt;wsp:rsid wsp:val=&quot;000400FD&quot;/&gt;&lt;wsp:rsid wsp:val=&quot;00041F5C&quot;/&gt;&lt;wsp:rsid wsp:val=&quot;00050718&quot;/&gt;&lt;wsp:rsid wsp:val=&quot;000527D9&quot;/&gt;&lt;wsp:rsid wsp:val=&quot;00053037&quot;/&gt;&lt;wsp:rsid wsp:val=&quot;00053657&quot;/&gt;&lt;wsp:rsid wsp:val=&quot;000567AD&quot;/&gt;&lt;wsp:rsid wsp:val=&quot;00062992&quot;/&gt;&lt;wsp:rsid wsp:val=&quot;00064A91&quot;/&gt;&lt;wsp:rsid wsp:val=&quot;0006572A&quot;/&gt;&lt;wsp:rsid wsp:val=&quot;00066870&quot;/&gt;&lt;wsp:rsid wsp:val=&quot;00067087&quot;/&gt;&lt;wsp:rsid wsp:val=&quot;0006735A&quot;/&gt;&lt;wsp:rsid wsp:val=&quot;0008470B&quot;/&gt;&lt;wsp:rsid wsp:val=&quot;000853FA&quot;/&gt;&lt;wsp:rsid wsp:val=&quot;000869CF&quot;/&gt;&lt;wsp:rsid wsp:val=&quot;0009001F&quot;/&gt;&lt;wsp:rsid wsp:val=&quot;000919BA&quot;/&gt;&lt;wsp:rsid wsp:val=&quot;000A2ED0&quot;/&gt;&lt;wsp:rsid wsp:val=&quot;000A6738&quot;/&gt;&lt;wsp:rsid wsp:val=&quot;000B0196&quot;/&gt;&lt;wsp:rsid wsp:val=&quot;000B01B5&quot;/&gt;&lt;wsp:rsid wsp:val=&quot;000B0554&quot;/&gt;&lt;wsp:rsid wsp:val=&quot;000C02A0&quot;/&gt;&lt;wsp:rsid wsp:val=&quot;000C0389&quot;/&gt;&lt;wsp:rsid wsp:val=&quot;000C20E7&quot;/&gt;&lt;wsp:rsid wsp:val=&quot;000D2777&quot;/&gt;&lt;wsp:rsid wsp:val=&quot;000D42F5&quot;/&gt;&lt;wsp:rsid wsp:val=&quot;000D5B3B&quot;/&gt;&lt;wsp:rsid wsp:val=&quot;000D655D&quot;/&gt;&lt;wsp:rsid wsp:val=&quot;000E6137&quot;/&gt;&lt;wsp:rsid wsp:val=&quot;000F0FA9&quot;/&gt;&lt;wsp:rsid wsp:val=&quot;000F1405&quot;/&gt;&lt;wsp:rsid wsp:val=&quot;000F5687&quot;/&gt;&lt;wsp:rsid wsp:val=&quot;000F7200&quot;/&gt;&lt;wsp:rsid wsp:val=&quot;000F76D8&quot;/&gt;&lt;wsp:rsid wsp:val=&quot;00101586&quot;/&gt;&lt;wsp:rsid wsp:val=&quot;00102B68&quot;/&gt;&lt;wsp:rsid wsp:val=&quot;0010474D&quot;/&gt;&lt;wsp:rsid wsp:val=&quot;00112014&quot;/&gt;&lt;wsp:rsid wsp:val=&quot;00117132&quot;/&gt;&lt;wsp:rsid wsp:val=&quot;00120588&quot;/&gt;&lt;wsp:rsid wsp:val=&quot;00121FEB&quot;/&gt;&lt;wsp:rsid wsp:val=&quot;00122C93&quot;/&gt;&lt;wsp:rsid wsp:val=&quot;0012635C&quot;/&gt;&lt;wsp:rsid wsp:val=&quot;001265B5&quot;/&gt;&lt;wsp:rsid wsp:val=&quot;00137627&quot;/&gt;&lt;wsp:rsid wsp:val=&quot;00140320&quot;/&gt;&lt;wsp:rsid wsp:val=&quot;001405BB&quot;/&gt;&lt;wsp:rsid wsp:val=&quot;00141220&quot;/&gt;&lt;wsp:rsid wsp:val=&quot;001454CD&quot;/&gt;&lt;wsp:rsid wsp:val=&quot;00146F7A&quot;/&gt;&lt;wsp:rsid wsp:val=&quot;00147CB8&quot;/&gt;&lt;wsp:rsid wsp:val=&quot;001521D2&quot;/&gt;&lt;wsp:rsid wsp:val=&quot;00152265&quot;/&gt;&lt;wsp:rsid wsp:val=&quot;001574EC&quot;/&gt;&lt;wsp:rsid wsp:val=&quot;00160C21&quot;/&gt;&lt;wsp:rsid wsp:val=&quot;001648D6&quot;/&gt;&lt;wsp:rsid wsp:val=&quot;00165B51&quot;/&gt;&lt;wsp:rsid wsp:val=&quot;00174AEA&quot;/&gt;&lt;wsp:rsid wsp:val=&quot;00177FAB&quot;/&gt;&lt;wsp:rsid wsp:val=&quot;001813C8&quot;/&gt;&lt;wsp:rsid wsp:val=&quot;0018182E&quot;/&gt;&lt;wsp:rsid wsp:val=&quot;0018390A&quot;/&gt;&lt;wsp:rsid wsp:val=&quot;00186446&quot;/&gt;&lt;wsp:rsid wsp:val=&quot;00186C8C&quot;/&gt;&lt;wsp:rsid wsp:val=&quot;00195302&quot;/&gt;&lt;wsp:rsid wsp:val=&quot;001965F0&quot;/&gt;&lt;wsp:rsid wsp:val=&quot;00196D8E&quot;/&gt;&lt;wsp:rsid wsp:val=&quot;001973D3&quot;/&gt;&lt;wsp:rsid wsp:val=&quot;0019769D&quot;/&gt;&lt;wsp:rsid wsp:val=&quot;001A026E&quot;/&gt;&lt;wsp:rsid wsp:val=&quot;001A08B8&quot;/&gt;&lt;wsp:rsid wsp:val=&quot;001A0FAB&quot;/&gt;&lt;wsp:rsid wsp:val=&quot;001A2338&quot;/&gt;&lt;wsp:rsid wsp:val=&quot;001A4033&quot;/&gt;&lt;wsp:rsid wsp:val=&quot;001A431F&quot;/&gt;&lt;wsp:rsid wsp:val=&quot;001A479D&quot;/&gt;&lt;wsp:rsid wsp:val=&quot;001B1936&quot;/&gt;&lt;wsp:rsid wsp:val=&quot;001B4C4F&quot;/&gt;&lt;wsp:rsid wsp:val=&quot;001B54A0&quot;/&gt;&lt;wsp:rsid wsp:val=&quot;001B5FB7&quot;/&gt;&lt;wsp:rsid wsp:val=&quot;001B64AC&quot;/&gt;&lt;wsp:rsid wsp:val=&quot;001B6745&quot;/&gt;&lt;wsp:rsid wsp:val=&quot;001B7E50&quot;/&gt;&lt;wsp:rsid wsp:val=&quot;001C02D3&quot;/&gt;&lt;wsp:rsid wsp:val=&quot;001C13B3&quot;/&gt;&lt;wsp:rsid wsp:val=&quot;001C4F92&quot;/&gt;&lt;wsp:rsid wsp:val=&quot;001C5FA2&quot;/&gt;&lt;wsp:rsid wsp:val=&quot;001D2253&quot;/&gt;&lt;wsp:rsid wsp:val=&quot;001D2D1E&quot;/&gt;&lt;wsp:rsid wsp:val=&quot;001E1E25&quot;/&gt;&lt;wsp:rsid wsp:val=&quot;001E3101&quot;/&gt;&lt;wsp:rsid wsp:val=&quot;001E3D16&quot;/&gt;&lt;wsp:rsid wsp:val=&quot;001F009C&quot;/&gt;&lt;wsp:rsid wsp:val=&quot;0020070E&quot;/&gt;&lt;wsp:rsid wsp:val=&quot;0020097D&quot;/&gt;&lt;wsp:rsid wsp:val=&quot;0020413B&quot;/&gt;&lt;wsp:rsid wsp:val=&quot;00213D42&quot;/&gt;&lt;wsp:rsid wsp:val=&quot;00214EA5&quot;/&gt;&lt;wsp:rsid wsp:val=&quot;00216885&quot;/&gt;&lt;wsp:rsid wsp:val=&quot;002171CA&quot;/&gt;&lt;wsp:rsid wsp:val=&quot;00227A41&quot;/&gt;&lt;wsp:rsid wsp:val=&quot;00227E7B&quot;/&gt;&lt;wsp:rsid wsp:val=&quot;00230573&quot;/&gt;&lt;wsp:rsid wsp:val=&quot;00231931&quot;/&gt;&lt;wsp:rsid wsp:val=&quot;00237EEA&quot;/&gt;&lt;wsp:rsid wsp:val=&quot;00244E5E&quot;/&gt;&lt;wsp:rsid wsp:val=&quot;0024536F&quot;/&gt;&lt;wsp:rsid wsp:val=&quot;00247033&quot;/&gt;&lt;wsp:rsid wsp:val=&quot;00250851&quot;/&gt;&lt;wsp:rsid wsp:val=&quot;002521A9&quot;/&gt;&lt;wsp:rsid wsp:val=&quot;002575DF&quot;/&gt;&lt;wsp:rsid wsp:val=&quot;002578ED&quot;/&gt;&lt;wsp:rsid wsp:val=&quot;002606D7&quot;/&gt;&lt;wsp:rsid wsp:val=&quot;00260856&quot;/&gt;&lt;wsp:rsid wsp:val=&quot;002634E0&quot;/&gt;&lt;wsp:rsid wsp:val=&quot;00264674&quot;/&gt;&lt;wsp:rsid wsp:val=&quot;00266604&quot;/&gt;&lt;wsp:rsid wsp:val=&quot;00267657&quot;/&gt;&lt;wsp:rsid wsp:val=&quot;00273C04&quot;/&gt;&lt;wsp:rsid wsp:val=&quot;00274517&quot;/&gt;&lt;wsp:rsid wsp:val=&quot;00274BC4&quot;/&gt;&lt;wsp:rsid wsp:val=&quot;002834AF&quot;/&gt;&lt;wsp:rsid wsp:val=&quot;0028573A&quot;/&gt;&lt;wsp:rsid wsp:val=&quot;00286D06&quot;/&gt;&lt;wsp:rsid wsp:val=&quot;0028708C&quot;/&gt;&lt;wsp:rsid wsp:val=&quot;002873B3&quot;/&gt;&lt;wsp:rsid wsp:val=&quot;00290E7B&quot;/&gt;&lt;wsp:rsid wsp:val=&quot;002917EA&quot;/&gt;&lt;wsp:rsid wsp:val=&quot;002948C9&quot;/&gt;&lt;wsp:rsid wsp:val=&quot;0029503F&quot;/&gt;&lt;wsp:rsid wsp:val=&quot;00295D14&quot;/&gt;&lt;wsp:rsid wsp:val=&quot;002A3B3D&quot;/&gt;&lt;wsp:rsid wsp:val=&quot;002B0095&quot;/&gt;&lt;wsp:rsid wsp:val=&quot;002B6004&quot;/&gt;&lt;wsp:rsid wsp:val=&quot;002D3319&quot;/&gt;&lt;wsp:rsid wsp:val=&quot;002D7720&quot;/&gt;&lt;wsp:rsid wsp:val=&quot;002F1C48&quot;/&gt;&lt;wsp:rsid wsp:val=&quot;002F5568&quot;/&gt;&lt;wsp:rsid wsp:val=&quot;00314EE2&quot;/&gt;&lt;wsp:rsid wsp:val=&quot;00315752&quot;/&gt;&lt;wsp:rsid wsp:val=&quot;00315B68&quot;/&gt;&lt;wsp:rsid wsp:val=&quot;0032190A&quot;/&gt;&lt;wsp:rsid wsp:val=&quot;00322716&quot;/&gt;&lt;wsp:rsid wsp:val=&quot;0032591D&quot;/&gt;&lt;wsp:rsid wsp:val=&quot;0033092E&quot;/&gt;&lt;wsp:rsid wsp:val=&quot;00331110&quot;/&gt;&lt;wsp:rsid wsp:val=&quot;00333104&quot;/&gt;&lt;wsp:rsid wsp:val=&quot;003343E8&quot;/&gt;&lt;wsp:rsid wsp:val=&quot;0033527D&quot;/&gt;&lt;wsp:rsid wsp:val=&quot;00335BD3&quot;/&gt;&lt;wsp:rsid wsp:val=&quot;003369C6&quot;/&gt;&lt;wsp:rsid wsp:val=&quot;00336C3D&quot;/&gt;&lt;wsp:rsid wsp:val=&quot;003370A5&quot;/&gt;&lt;wsp:rsid wsp:val=&quot;0033752E&quot;/&gt;&lt;wsp:rsid wsp:val=&quot;00337C06&quot;/&gt;&lt;wsp:rsid wsp:val=&quot;0034281B&quot;/&gt;&lt;wsp:rsid wsp:val=&quot;00342FC7&quot;/&gt;&lt;wsp:rsid wsp:val=&quot;003435C6&quot;/&gt;&lt;wsp:rsid wsp:val=&quot;0034533F&quot;/&gt;&lt;wsp:rsid wsp:val=&quot;003503AF&quot;/&gt;&lt;wsp:rsid wsp:val=&quot;003608F6&quot;/&gt;&lt;wsp:rsid wsp:val=&quot;00374908&quot;/&gt;&lt;wsp:rsid wsp:val=&quot;00375317&quot;/&gt;&lt;wsp:rsid wsp:val=&quot;00377BD9&quot;/&gt;&lt;wsp:rsid wsp:val=&quot;00382B43&quot;/&gt;&lt;wsp:rsid wsp:val=&quot;00387E0E&quot;/&gt;&lt;wsp:rsid wsp:val=&quot;003960FC&quot;/&gt;&lt;wsp:rsid wsp:val=&quot;00397DF3&quot;/&gt;&lt;wsp:rsid wsp:val=&quot;003A6CAF&quot;/&gt;&lt;wsp:rsid wsp:val=&quot;003A6CB6&quot;/&gt;&lt;wsp:rsid wsp:val=&quot;003B01D8&quot;/&gt;&lt;wsp:rsid wsp:val=&quot;003B7D62&quot;/&gt;&lt;wsp:rsid wsp:val=&quot;003C053A&quot;/&gt;&lt;wsp:rsid wsp:val=&quot;003C08C5&quot;/&gt;&lt;wsp:rsid wsp:val=&quot;003C23A0&quot;/&gt;&lt;wsp:rsid wsp:val=&quot;003C2C57&quot;/&gt;&lt;wsp:rsid wsp:val=&quot;003C48A0&quot;/&gt;&lt;wsp:rsid wsp:val=&quot;003C4E94&quot;/&gt;&lt;wsp:rsid wsp:val=&quot;003C5E10&quot;/&gt;&lt;wsp:rsid wsp:val=&quot;003D13EA&quot;/&gt;&lt;wsp:rsid wsp:val=&quot;003D477A&quot;/&gt;&lt;wsp:rsid wsp:val=&quot;003D7EC8&quot;/&gt;&lt;wsp:rsid wsp:val=&quot;003E36F3&quot;/&gt;&lt;wsp:rsid wsp:val=&quot;003F06E1&quot;/&gt;&lt;wsp:rsid wsp:val=&quot;003F7D45&quot;/&gt;&lt;wsp:rsid wsp:val=&quot;004000EF&quot;/&gt;&lt;wsp:rsid wsp:val=&quot;0040508F&quot;/&gt;&lt;wsp:rsid wsp:val=&quot;0041225F&quot;/&gt;&lt;wsp:rsid wsp:val=&quot;00420E91&quot;/&gt;&lt;wsp:rsid wsp:val=&quot;0042506C&quot;/&gt;&lt;wsp:rsid wsp:val=&quot;00426181&quot;/&gt;&lt;wsp:rsid wsp:val=&quot;00430D2A&quot;/&gt;&lt;wsp:rsid wsp:val=&quot;0043421A&quot;/&gt;&lt;wsp:rsid wsp:val=&quot;00434391&quot;/&gt;&lt;wsp:rsid wsp:val=&quot;00437E02&quot;/&gt;&lt;wsp:rsid wsp:val=&quot;00447B76&quot;/&gt;&lt;wsp:rsid wsp:val=&quot;0045062E&quot;/&gt;&lt;wsp:rsid wsp:val=&quot;00452006&quot;/&gt;&lt;wsp:rsid wsp:val=&quot;004520FC&quot;/&gt;&lt;wsp:rsid wsp:val=&quot;00455559&quot;/&gt;&lt;wsp:rsid wsp:val=&quot;00455FEB&quot;/&gt;&lt;wsp:rsid wsp:val=&quot;00456B7E&quot;/&gt;&lt;wsp:rsid wsp:val=&quot;004601EC&quot;/&gt;&lt;wsp:rsid wsp:val=&quot;0046473C&quot;/&gt;&lt;wsp:rsid wsp:val=&quot;004649D4&quot;/&gt;&lt;wsp:rsid wsp:val=&quot;004714D8&quot;/&gt;&lt;wsp:rsid wsp:val=&quot;00471FFB&quot;/&gt;&lt;wsp:rsid wsp:val=&quot;00474F75&quot;/&gt;&lt;wsp:rsid wsp:val=&quot;004778B2&quot;/&gt;&lt;wsp:rsid wsp:val=&quot;00480092&quot;/&gt;&lt;wsp:rsid wsp:val=&quot;004812B0&quot;/&gt;&lt;wsp:rsid wsp:val=&quot;0048186F&quot;/&gt;&lt;wsp:rsid wsp:val=&quot;0048321A&quot;/&gt;&lt;wsp:rsid wsp:val=&quot;00491BF4&quot;/&gt;&lt;wsp:rsid wsp:val=&quot;00495B96&quot;/&gt;&lt;wsp:rsid wsp:val=&quot;004A0EDC&quot;/&gt;&lt;wsp:rsid wsp:val=&quot;004A1D3B&quot;/&gt;&lt;wsp:rsid wsp:val=&quot;004A24D5&quot;/&gt;&lt;wsp:rsid wsp:val=&quot;004A4442&quot;/&gt;&lt;wsp:rsid wsp:val=&quot;004B0997&quot;/&gt;&lt;wsp:rsid wsp:val=&quot;004B63D6&quot;/&gt;&lt;wsp:rsid wsp:val=&quot;004C3828&quot;/&gt;&lt;wsp:rsid wsp:val=&quot;004C4A50&quot;/&gt;&lt;wsp:rsid wsp:val=&quot;004C4B39&quot;/&gt;&lt;wsp:rsid wsp:val=&quot;004C7E40&quot;/&gt;&lt;wsp:rsid wsp:val=&quot;004D1444&quot;/&gt;&lt;wsp:rsid wsp:val=&quot;004D156A&quot;/&gt;&lt;wsp:rsid wsp:val=&quot;004D1F77&quot;/&gt;&lt;wsp:rsid wsp:val=&quot;004D302B&quot;/&gt;&lt;wsp:rsid wsp:val=&quot;004D59D5&quot;/&gt;&lt;wsp:rsid wsp:val=&quot;004E04FB&quot;/&gt;&lt;wsp:rsid wsp:val=&quot;004E2446&quot;/&gt;&lt;wsp:rsid wsp:val=&quot;004E452C&quot;/&gt;&lt;wsp:rsid wsp:val=&quot;004F12DD&quot;/&gt;&lt;wsp:rsid wsp:val=&quot;004F21AD&quot;/&gt;&lt;wsp:rsid wsp:val=&quot;004F3053&quot;/&gt;&lt;wsp:rsid wsp:val=&quot;004F3DF5&quot;/&gt;&lt;wsp:rsid wsp:val=&quot;00502933&quot;/&gt;&lt;wsp:rsid wsp:val=&quot;00504DE5&quot;/&gt;&lt;wsp:rsid wsp:val=&quot;00507A7F&quot;/&gt;&lt;wsp:rsid wsp:val=&quot;00513BB3&quot;/&gt;&lt;wsp:rsid wsp:val=&quot;00521074&quot;/&gt;&lt;wsp:rsid wsp:val=&quot;00523212&quot;/&gt;&lt;wsp:rsid wsp:val=&quot;005257DB&quot;/&gt;&lt;wsp:rsid wsp:val=&quot;00525B95&quot;/&gt;&lt;wsp:rsid wsp:val=&quot;0052668F&quot;/&gt;&lt;wsp:rsid wsp:val=&quot;0053024A&quot;/&gt;&lt;wsp:rsid wsp:val=&quot;005329A8&quot;/&gt;&lt;wsp:rsid wsp:val=&quot;00534B2B&quot;/&gt;&lt;wsp:rsid wsp:val=&quot;005369C8&quot;/&gt;&lt;wsp:rsid wsp:val=&quot;00536F18&quot;/&gt;&lt;wsp:rsid wsp:val=&quot;00537B10&quot;/&gt;&lt;wsp:rsid wsp:val=&quot;00537EAF&quot;/&gt;&lt;wsp:rsid wsp:val=&quot;00540178&quot;/&gt;&lt;wsp:rsid wsp:val=&quot;00540D89&quot;/&gt;&lt;wsp:rsid wsp:val=&quot;00542FDF&quot;/&gt;&lt;wsp:rsid wsp:val=&quot;0055029C&quot;/&gt;&lt;wsp:rsid wsp:val=&quot;00553AE4&quot;/&gt;&lt;wsp:rsid wsp:val=&quot;00557FCC&quot;/&gt;&lt;wsp:rsid wsp:val=&quot;00557FEA&quot;/&gt;&lt;wsp:rsid wsp:val=&quot;0056251F&quot;/&gt;&lt;wsp:rsid wsp:val=&quot;00565562&quot;/&gt;&lt;wsp:rsid wsp:val=&quot;00565A24&quot;/&gt;&lt;wsp:rsid wsp:val=&quot;00570ABB&quot;/&gt;&lt;wsp:rsid wsp:val=&quot;00580309&quot;/&gt;&lt;wsp:rsid wsp:val=&quot;0058525F&quot;/&gt;&lt;wsp:rsid wsp:val=&quot;00593E2E&quot;/&gt;&lt;wsp:rsid wsp:val=&quot;00596C71&quot;/&gt;&lt;wsp:rsid wsp:val=&quot;005A1316&quot;/&gt;&lt;wsp:rsid wsp:val=&quot;005A1B31&quot;/&gt;&lt;wsp:rsid wsp:val=&quot;005A2DAB&quot;/&gt;&lt;wsp:rsid wsp:val=&quot;005A790A&quot;/&gt;&lt;wsp:rsid wsp:val=&quot;005B0D89&quot;/&gt;&lt;wsp:rsid wsp:val=&quot;005B2151&quot;/&gt;&lt;wsp:rsid wsp:val=&quot;005B372B&quot;/&gt;&lt;wsp:rsid wsp:val=&quot;005B6C88&quot;/&gt;&lt;wsp:rsid wsp:val=&quot;005B7909&quot;/&gt;&lt;wsp:rsid wsp:val=&quot;005C0B61&quot;/&gt;&lt;wsp:rsid wsp:val=&quot;005C328C&quot;/&gt;&lt;wsp:rsid wsp:val=&quot;005C49B5&quot;/&gt;&lt;wsp:rsid wsp:val=&quot;005D2201&quot;/&gt;&lt;wsp:rsid wsp:val=&quot;005D2EAF&quot;/&gt;&lt;wsp:rsid wsp:val=&quot;005E5839&quot;/&gt;&lt;wsp:rsid wsp:val=&quot;005E7372&quot;/&gt;&lt;wsp:rsid wsp:val=&quot;005F34A3&quot;/&gt;&lt;wsp:rsid wsp:val=&quot;005F65B7&quot;/&gt;&lt;wsp:rsid wsp:val=&quot;005F6C73&quot;/&gt;&lt;wsp:rsid wsp:val=&quot;00603255&quot;/&gt;&lt;wsp:rsid wsp:val=&quot;00611C03&quot;/&gt;&lt;wsp:rsid wsp:val=&quot;00612401&quot;/&gt;&lt;wsp:rsid wsp:val=&quot;00614765&quot;/&gt;&lt;wsp:rsid wsp:val=&quot;00620759&quot;/&gt;&lt;wsp:rsid wsp:val=&quot;006255D0&quot;/&gt;&lt;wsp:rsid wsp:val=&quot;006269E7&quot;/&gt;&lt;wsp:rsid wsp:val=&quot;00630809&quot;/&gt;&lt;wsp:rsid wsp:val=&quot;00632783&quot;/&gt;&lt;wsp:rsid wsp:val=&quot;00641E7E&quot;/&gt;&lt;wsp:rsid wsp:val=&quot;00645741&quot;/&gt;&lt;wsp:rsid wsp:val=&quot;00647303&quot;/&gt;&lt;wsp:rsid wsp:val=&quot;00651993&quot;/&gt;&lt;wsp:rsid wsp:val=&quot;006519AA&quot;/&gt;&lt;wsp:rsid wsp:val=&quot;0065355C&quot;/&gt;&lt;wsp:rsid wsp:val=&quot;00655FE7&quot;/&gt;&lt;wsp:rsid wsp:val=&quot;00656D07&quot;/&gt;&lt;wsp:rsid wsp:val=&quot;00657209&quot;/&gt;&lt;wsp:rsid wsp:val=&quot;006612A0&quot;/&gt;&lt;wsp:rsid wsp:val=&quot;00664266&quot;/&gt;&lt;wsp:rsid wsp:val=&quot;00665D32&quot;/&gt;&lt;wsp:rsid wsp:val=&quot;006707E7&quot;/&gt;&lt;wsp:rsid wsp:val=&quot;00673870&quot;/&gt;&lt;wsp:rsid wsp:val=&quot;006753F6&quot;/&gt;&lt;wsp:rsid wsp:val=&quot;00676EDC&quot;/&gt;&lt;wsp:rsid wsp:val=&quot;00676EE3&quot;/&gt;&lt;wsp:rsid wsp:val=&quot;00682AF3&quot;/&gt;&lt;wsp:rsid wsp:val=&quot;00682E27&quot;/&gt;&lt;wsp:rsid wsp:val=&quot;00686E0F&quot;/&gt;&lt;wsp:rsid wsp:val=&quot;006919F7&quot;/&gt;&lt;wsp:rsid wsp:val=&quot;006931A8&quot;/&gt;&lt;wsp:rsid wsp:val=&quot;00693A32&quot;/&gt;&lt;wsp:rsid wsp:val=&quot;006A30C8&quot;/&gt;&lt;wsp:rsid wsp:val=&quot;006A745F&quot;/&gt;&lt;wsp:rsid wsp:val=&quot;006B06D7&quot;/&gt;&lt;wsp:rsid wsp:val=&quot;006B1635&quot;/&gt;&lt;wsp:rsid wsp:val=&quot;006B3505&quot;/&gt;&lt;wsp:rsid wsp:val=&quot;006B3EFC&quot;/&gt;&lt;wsp:rsid wsp:val=&quot;006C1FE6&quot;/&gt;&lt;wsp:rsid wsp:val=&quot;006C7F46&quot;/&gt;&lt;wsp:rsid wsp:val=&quot;006D1181&quot;/&gt;&lt;wsp:rsid wsp:val=&quot;006D49C6&quot;/&gt;&lt;wsp:rsid wsp:val=&quot;006D5420&quot;/&gt;&lt;wsp:rsid wsp:val=&quot;006E3C24&quot;/&gt;&lt;wsp:rsid wsp:val=&quot;006E4E81&quot;/&gt;&lt;wsp:rsid wsp:val=&quot;006F05A3&quot;/&gt;&lt;wsp:rsid wsp:val=&quot;006F121C&quot;/&gt;&lt;wsp:rsid wsp:val=&quot;006F3D07&quot;/&gt;&lt;wsp:rsid wsp:val=&quot;006F4ABE&quot;/&gt;&lt;wsp:rsid wsp:val=&quot;007033BD&quot;/&gt;&lt;wsp:rsid wsp:val=&quot;0070384E&quot;/&gt;&lt;wsp:rsid wsp:val=&quot;0070724B&quot;/&gt;&lt;wsp:rsid wsp:val=&quot;007107B0&quot;/&gt;&lt;wsp:rsid wsp:val=&quot;0071242D&quot;/&gt;&lt;wsp:rsid wsp:val=&quot;0071308A&quot;/&gt;&lt;wsp:rsid wsp:val=&quot;007139A6&quot;/&gt;&lt;wsp:rsid wsp:val=&quot;00715DB3&quot;/&gt;&lt;wsp:rsid wsp:val=&quot;00717D16&quot;/&gt;&lt;wsp:rsid wsp:val=&quot;007214AF&quot;/&gt;&lt;wsp:rsid wsp:val=&quot;00722792&quot;/&gt;&lt;wsp:rsid wsp:val=&quot;007236BA&quot;/&gt;&lt;wsp:rsid wsp:val=&quot;00723C4C&quot;/&gt;&lt;wsp:rsid wsp:val=&quot;007316E5&quot;/&gt;&lt;wsp:rsid wsp:val=&quot;00731B97&quot;/&gt;&lt;wsp:rsid wsp:val=&quot;00732952&quot;/&gt;&lt;wsp:rsid wsp:val=&quot;00733E4E&quot;/&gt;&lt;wsp:rsid wsp:val=&quot;00734228&quot;/&gt;&lt;wsp:rsid wsp:val=&quot;00734545&quot;/&gt;&lt;wsp:rsid wsp:val=&quot;00735B03&quot;/&gt;&lt;wsp:rsid wsp:val=&quot;00737C49&quot;/&gt;&lt;wsp:rsid wsp:val=&quot;00741BC1&quot;/&gt;&lt;wsp:rsid wsp:val=&quot;00742FA0&quot;/&gt;&lt;wsp:rsid wsp:val=&quot;00747486&quot;/&gt;&lt;wsp:rsid wsp:val=&quot;0075452E&quot;/&gt;&lt;wsp:rsid wsp:val=&quot;007545AE&quot;/&gt;&lt;wsp:rsid wsp:val=&quot;0075567E&quot;/&gt;&lt;wsp:rsid wsp:val=&quot;00762D68&quot;/&gt;&lt;wsp:rsid wsp:val=&quot;007634D7&quot;/&gt;&lt;wsp:rsid wsp:val=&quot;00763B70&quot;/&gt;&lt;wsp:rsid wsp:val=&quot;00765DA2&quot;/&gt;&lt;wsp:rsid wsp:val=&quot;0077362A&quot;/&gt;&lt;wsp:rsid wsp:val=&quot;00777B86&quot;/&gt;&lt;wsp:rsid wsp:val=&quot;0078219D&quot;/&gt;&lt;wsp:rsid wsp:val=&quot;00783422&quot;/&gt;&lt;wsp:rsid wsp:val=&quot;00783793&quot;/&gt;&lt;wsp:rsid wsp:val=&quot;00794805&quot;/&gt;&lt;wsp:rsid wsp:val=&quot;007A0DFF&quot;/&gt;&lt;wsp:rsid wsp:val=&quot;007A1C1C&quot;/&gt;&lt;wsp:rsid wsp:val=&quot;007A31FA&quot;/&gt;&lt;wsp:rsid wsp:val=&quot;007A3C17&quot;/&gt;&lt;wsp:rsid wsp:val=&quot;007B2B62&quot;/&gt;&lt;wsp:rsid wsp:val=&quot;007B3610&quot;/&gt;&lt;wsp:rsid wsp:val=&quot;007B3958&quot;/&gt;&lt;wsp:rsid wsp:val=&quot;007B463E&quot;/&gt;&lt;wsp:rsid wsp:val=&quot;007C248F&quot;/&gt;&lt;wsp:rsid wsp:val=&quot;007C4FA5&quot;/&gt;&lt;wsp:rsid wsp:val=&quot;007C5494&quot;/&gt;&lt;wsp:rsid wsp:val=&quot;007C7B80&quot;/&gt;&lt;wsp:rsid wsp:val=&quot;007D1186&quot;/&gt;&lt;wsp:rsid wsp:val=&quot;007D4453&quot;/&gt;&lt;wsp:rsid wsp:val=&quot;007D7109&quot;/&gt;&lt;wsp:rsid wsp:val=&quot;007E054F&quot;/&gt;&lt;wsp:rsid wsp:val=&quot;007E091B&quot;/&gt;&lt;wsp:rsid wsp:val=&quot;007E2BB2&quot;/&gt;&lt;wsp:rsid wsp:val=&quot;007F1226&quot;/&gt;&lt;wsp:rsid wsp:val=&quot;007F2A1C&quot;/&gt;&lt;wsp:rsid wsp:val=&quot;007F5267&quot;/&gt;&lt;wsp:rsid wsp:val=&quot;007F685A&quot;/&gt;&lt;wsp:rsid wsp:val=&quot;00804FAA&quot;/&gt;&lt;wsp:rsid wsp:val=&quot;00806137&quot;/&gt;&lt;wsp:rsid wsp:val=&quot;00807BC9&quot;/&gt;&lt;wsp:rsid wsp:val=&quot;00814FE4&quot;/&gt;&lt;wsp:rsid wsp:val=&quot;008163CC&quot;/&gt;&lt;wsp:rsid wsp:val=&quot;0081768D&quot;/&gt;&lt;wsp:rsid wsp:val=&quot;00820946&quot;/&gt;&lt;wsp:rsid wsp:val=&quot;00822961&quot;/&gt;&lt;wsp:rsid wsp:val=&quot;008256A0&quot;/&gt;&lt;wsp:rsid wsp:val=&quot;00830577&quot;/&gt;&lt;wsp:rsid wsp:val=&quot;0083341B&quot;/&gt;&lt;wsp:rsid wsp:val=&quot;00833BE1&quot;/&gt;&lt;wsp:rsid wsp:val=&quot;008367C8&quot;/&gt;&lt;wsp:rsid wsp:val=&quot;008401D9&quot;/&gt;&lt;wsp:rsid wsp:val=&quot;0084277C&quot;/&gt;&lt;wsp:rsid wsp:val=&quot;00844BA3&quot;/&gt;&lt;wsp:rsid wsp:val=&quot;008475D9&quot;/&gt;&lt;wsp:rsid wsp:val=&quot;00850448&quot;/&gt;&lt;wsp:rsid wsp:val=&quot;0085748B&quot;/&gt;&lt;wsp:rsid wsp:val=&quot;008609B6&quot;/&gt;&lt;wsp:rsid wsp:val=&quot;00863119&quot;/&gt;&lt;wsp:rsid wsp:val=&quot;00874774&quot;/&gt;&lt;wsp:rsid wsp:val=&quot;00876646&quot;/&gt;&lt;wsp:rsid wsp:val=&quot;00877563&quot;/&gt;&lt;wsp:rsid wsp:val=&quot;0088083A&quot;/&gt;&lt;wsp:rsid wsp:val=&quot;00884233&quot;/&gt;&lt;wsp:rsid wsp:val=&quot;00884530&quot;/&gt;&lt;wsp:rsid wsp:val=&quot;008862BD&quot;/&gt;&lt;wsp:rsid wsp:val=&quot;0089014A&quot;/&gt;&lt;wsp:rsid wsp:val=&quot;00890751&quot;/&gt;&lt;wsp:rsid wsp:val=&quot;00891466&quot;/&gt;&lt;wsp:rsid wsp:val=&quot;008922AB&quot;/&gt;&lt;wsp:rsid wsp:val=&quot;00892C65&quot;/&gt;&lt;wsp:rsid wsp:val=&quot;00896A64&quot;/&gt;&lt;wsp:rsid wsp:val=&quot;00897A45&quot;/&gt;&lt;wsp:rsid wsp:val=&quot;008A01AA&quot;/&gt;&lt;wsp:rsid wsp:val=&quot;008A1546&quot;/&gt;&lt;wsp:rsid wsp:val=&quot;008A25B8&quot;/&gt;&lt;wsp:rsid wsp:val=&quot;008A6E0F&quot;/&gt;&lt;wsp:rsid wsp:val=&quot;008A76C3&quot;/&gt;&lt;wsp:rsid wsp:val=&quot;008A7F02&quot;/&gt;&lt;wsp:rsid wsp:val=&quot;008B6ECA&quot;/&gt;&lt;wsp:rsid wsp:val=&quot;008C07CA&quot;/&gt;&lt;wsp:rsid wsp:val=&quot;008C1A1C&quot;/&gt;&lt;wsp:rsid wsp:val=&quot;008D0234&quot;/&gt;&lt;wsp:rsid wsp:val=&quot;008D0431&quot;/&gt;&lt;wsp:rsid wsp:val=&quot;008D5818&quot;/&gt;&lt;wsp:rsid wsp:val=&quot;008D5A71&quot;/&gt;&lt;wsp:rsid wsp:val=&quot;008D698F&quot;/&gt;&lt;wsp:rsid wsp:val=&quot;008D6E68&quot;/&gt;&lt;wsp:rsid wsp:val=&quot;008D7AF3&quot;/&gt;&lt;wsp:rsid wsp:val=&quot;008E004B&quot;/&gt;&lt;wsp:rsid wsp:val=&quot;008F0B83&quot;/&gt;&lt;wsp:rsid wsp:val=&quot;008F439F&quot;/&gt;&lt;wsp:rsid wsp:val=&quot;00901B9F&quot;/&gt;&lt;wsp:rsid wsp:val=&quot;00904CFC&quot;/&gt;&lt;wsp:rsid wsp:val=&quot;00905459&quot;/&gt;&lt;wsp:rsid wsp:val=&quot;00912712&quot;/&gt;&lt;wsp:rsid wsp:val=&quot;00912D1A&quot;/&gt;&lt;wsp:rsid wsp:val=&quot;00914799&quot;/&gt;&lt;wsp:rsid wsp:val=&quot;00915328&quot;/&gt;&lt;wsp:rsid wsp:val=&quot;009214CC&quot;/&gt;&lt;wsp:rsid wsp:val=&quot;00922EDA&quot;/&gt;&lt;wsp:rsid wsp:val=&quot;00923872&quot;/&gt;&lt;wsp:rsid wsp:val=&quot;00924082&quot;/&gt;&lt;wsp:rsid wsp:val=&quot;009247F7&quot;/&gt;&lt;wsp:rsid wsp:val=&quot;00925EE6&quot;/&gt;&lt;wsp:rsid wsp:val=&quot;00926000&quot;/&gt;&lt;wsp:rsid wsp:val=&quot;00932E8A&quot;/&gt;&lt;wsp:rsid wsp:val=&quot;009346ED&quot;/&gt;&lt;wsp:rsid wsp:val=&quot;00934915&quot;/&gt;&lt;wsp:rsid wsp:val=&quot;00934A31&quot;/&gt;&lt;wsp:rsid wsp:val=&quot;0093576E&quot;/&gt;&lt;wsp:rsid wsp:val=&quot;00936D14&quot;/&gt;&lt;wsp:rsid wsp:val=&quot;0094168F&quot;/&gt;&lt;wsp:rsid wsp:val=&quot;009418B7&quot;/&gt;&lt;wsp:rsid wsp:val=&quot;009419EB&quot;/&gt;&lt;wsp:rsid wsp:val=&quot;00946A1E&quot;/&gt;&lt;wsp:rsid wsp:val=&quot;0095373D&quot;/&gt;&lt;wsp:rsid wsp:val=&quot;009541C6&quot;/&gt;&lt;wsp:rsid wsp:val=&quot;00954D5A&quot;/&gt;&lt;wsp:rsid wsp:val=&quot;009559A5&quot;/&gt;&lt;wsp:rsid wsp:val=&quot;00956162&quot;/&gt;&lt;wsp:rsid wsp:val=&quot;00961C31&quot;/&gt;&lt;wsp:rsid wsp:val=&quot;00961CA8&quot;/&gt;&lt;wsp:rsid wsp:val=&quot;00964C27&quot;/&gt;&lt;wsp:rsid wsp:val=&quot;00970C28&quot;/&gt;&lt;wsp:rsid wsp:val=&quot;00971206&quot;/&gt;&lt;wsp:rsid wsp:val=&quot;009718F1&quot;/&gt;&lt;wsp:rsid wsp:val=&quot;00972E77&quot;/&gt;&lt;wsp:rsid wsp:val=&quot;0097303B&quot;/&gt;&lt;wsp:rsid wsp:val=&quot;00973A23&quot;/&gt;&lt;wsp:rsid wsp:val=&quot;00974C94&quot;/&gt;&lt;wsp:rsid wsp:val=&quot;00975767&quot;/&gt;&lt;wsp:rsid wsp:val=&quot;009807CF&quot;/&gt;&lt;wsp:rsid wsp:val=&quot;00981DEB&quot;/&gt;&lt;wsp:rsid wsp:val=&quot;00986F8E&quot;/&gt;&lt;wsp:rsid wsp:val=&quot;009910F7&quot;/&gt;&lt;wsp:rsid wsp:val=&quot;00992337&quot;/&gt;&lt;wsp:rsid wsp:val=&quot;0099300F&quot;/&gt;&lt;wsp:rsid wsp:val=&quot;00996A3E&quot;/&gt;&lt;wsp:rsid wsp:val=&quot;009A0F7A&quot;/&gt;&lt;wsp:rsid wsp:val=&quot;009A1A9E&quot;/&gt;&lt;wsp:rsid wsp:val=&quot;009A2C52&quot;/&gt;&lt;wsp:rsid wsp:val=&quot;009A4D0A&quot;/&gt;&lt;wsp:rsid wsp:val=&quot;009A6F98&quot;/&gt;&lt;wsp:rsid wsp:val=&quot;009B297B&quot;/&gt;&lt;wsp:rsid wsp:val=&quot;009B5340&quot;/&gt;&lt;wsp:rsid wsp:val=&quot;009B7376&quot;/&gt;&lt;wsp:rsid wsp:val=&quot;009C15C3&quot;/&gt;&lt;wsp:rsid wsp:val=&quot;009C1B00&quot;/&gt;&lt;wsp:rsid wsp:val=&quot;009C6918&quot;/&gt;&lt;wsp:rsid wsp:val=&quot;009D1C4B&quot;/&gt;&lt;wsp:rsid wsp:val=&quot;009D4FB2&quot;/&gt;&lt;wsp:rsid wsp:val=&quot;009D607E&quot;/&gt;&lt;wsp:rsid wsp:val=&quot;009E074D&quot;/&gt;&lt;wsp:rsid wsp:val=&quot;009E3DA4&quot;/&gt;&lt;wsp:rsid wsp:val=&quot;009E40B3&quot;/&gt;&lt;wsp:rsid wsp:val=&quot;009E4B7A&quot;/&gt;&lt;wsp:rsid wsp:val=&quot;009E4CB7&quot;/&gt;&lt;wsp:rsid wsp:val=&quot;009E5A52&quot;/&gt;&lt;wsp:rsid wsp:val=&quot;009E6ED2&quot;/&gt;&lt;wsp:rsid wsp:val=&quot;009F1D37&quot;/&gt;&lt;wsp:rsid wsp:val=&quot;009F462A&quot;/&gt;&lt;wsp:rsid wsp:val=&quot;009F6242&quot;/&gt;&lt;wsp:rsid wsp:val=&quot;00A039C0&quot;/&gt;&lt;wsp:rsid wsp:val=&quot;00A1401F&quot;/&gt;&lt;wsp:rsid wsp:val=&quot;00A15A80&quot;/&gt;&lt;wsp:rsid wsp:val=&quot;00A16684&quot;/&gt;&lt;wsp:rsid wsp:val=&quot;00A17062&quot;/&gt;&lt;wsp:rsid wsp:val=&quot;00A17116&quot;/&gt;&lt;wsp:rsid wsp:val=&quot;00A20FBA&quot;/&gt;&lt;wsp:rsid wsp:val=&quot;00A21A27&quot;/&gt;&lt;wsp:rsid wsp:val=&quot;00A22392&quot;/&gt;&lt;wsp:rsid wsp:val=&quot;00A22AA3&quot;/&gt;&lt;wsp:rsid wsp:val=&quot;00A22D3F&quot;/&gt;&lt;wsp:rsid wsp:val=&quot;00A2303F&quot;/&gt;&lt;wsp:rsid wsp:val=&quot;00A23B04&quot;/&gt;&lt;wsp:rsid wsp:val=&quot;00A25758&quot;/&gt;&lt;wsp:rsid wsp:val=&quot;00A2674C&quot;/&gt;&lt;wsp:rsid wsp:val=&quot;00A3171F&quot;/&gt;&lt;wsp:rsid wsp:val=&quot;00A3338B&quot;/&gt;&lt;wsp:rsid wsp:val=&quot;00A3539B&quot;/&gt;&lt;wsp:rsid wsp:val=&quot;00A37268&quot;/&gt;&lt;wsp:rsid wsp:val=&quot;00A40B21&quot;/&gt;&lt;wsp:rsid wsp:val=&quot;00A4743F&quot;/&gt;&lt;wsp:rsid wsp:val=&quot;00A47FD2&quot;/&gt;&lt;wsp:rsid wsp:val=&quot;00A56728&quot;/&gt;&lt;wsp:rsid wsp:val=&quot;00A640B4&quot;/&gt;&lt;wsp:rsid wsp:val=&quot;00A65129&quot;/&gt;&lt;wsp:rsid wsp:val=&quot;00A65220&quot;/&gt;&lt;wsp:rsid wsp:val=&quot;00A65901&quot;/&gt;&lt;wsp:rsid wsp:val=&quot;00A74D89&quot;/&gt;&lt;wsp:rsid wsp:val=&quot;00A75879&quot;/&gt;&lt;wsp:rsid wsp:val=&quot;00A75B22&quot;/&gt;&lt;wsp:rsid wsp:val=&quot;00A8049F&quot;/&gt;&lt;wsp:rsid wsp:val=&quot;00A809CA&quot;/&gt;&lt;wsp:rsid wsp:val=&quot;00A85AD2&quot;/&gt;&lt;wsp:rsid wsp:val=&quot;00A86785&quot;/&gt;&lt;wsp:rsid wsp:val=&quot;00A86AC8&quot;/&gt;&lt;wsp:rsid wsp:val=&quot;00A905C5&quot;/&gt;&lt;wsp:rsid wsp:val=&quot;00A90683&quot;/&gt;&lt;wsp:rsid wsp:val=&quot;00A90ECD&quot;/&gt;&lt;wsp:rsid wsp:val=&quot;00A95535&quot;/&gt;&lt;wsp:rsid wsp:val=&quot;00A95A24&quot;/&gt;&lt;wsp:rsid wsp:val=&quot;00AA74AD&quot;/&gt;&lt;wsp:rsid wsp:val=&quot;00AA7BA7&quot;/&gt;&lt;wsp:rsid wsp:val=&quot;00AB65A6&quot;/&gt;&lt;wsp:rsid wsp:val=&quot;00AC400D&quot;/&gt;&lt;wsp:rsid wsp:val=&quot;00AC5A0A&quot;/&gt;&lt;wsp:rsid wsp:val=&quot;00AC6523&quot;/&gt;&lt;wsp:rsid wsp:val=&quot;00AC6649&quot;/&gt;&lt;wsp:rsid wsp:val=&quot;00AD0279&quot;/&gt;&lt;wsp:rsid wsp:val=&quot;00AD1187&quot;/&gt;&lt;wsp:rsid wsp:val=&quot;00AD4C45&quot;/&gt;&lt;wsp:rsid wsp:val=&quot;00AD61E3&quot;/&gt;&lt;wsp:rsid wsp:val=&quot;00AE4947&quot;/&gt;&lt;wsp:rsid wsp:val=&quot;00AE4AE3&quot;/&gt;&lt;wsp:rsid wsp:val=&quot;00AE6B3A&quot;/&gt;&lt;wsp:rsid wsp:val=&quot;00AE7C73&quot;/&gt;&lt;wsp:rsid wsp:val=&quot;00AF06F0&quot;/&gt;&lt;wsp:rsid wsp:val=&quot;00AF1206&quot;/&gt;&lt;wsp:rsid wsp:val=&quot;00AF2C3A&quot;/&gt;&lt;wsp:rsid wsp:val=&quot;00AF3403&quot;/&gt;&lt;wsp:rsid wsp:val=&quot;00AF4CCB&quot;/&gt;&lt;wsp:rsid wsp:val=&quot;00AF64D4&quot;/&gt;&lt;wsp:rsid wsp:val=&quot;00AF7515&quot;/&gt;&lt;wsp:rsid wsp:val=&quot;00B00A05&quot;/&gt;&lt;wsp:rsid wsp:val=&quot;00B02208&quot;/&gt;&lt;wsp:rsid wsp:val=&quot;00B0670D&quot;/&gt;&lt;wsp:rsid wsp:val=&quot;00B13444&quot;/&gt;&lt;wsp:rsid wsp:val=&quot;00B156EF&quot;/&gt;&lt;wsp:rsid wsp:val=&quot;00B250D7&quot;/&gt;&lt;wsp:rsid wsp:val=&quot;00B2571A&quot;/&gt;&lt;wsp:rsid wsp:val=&quot;00B27B5B&quot;/&gt;&lt;wsp:rsid wsp:val=&quot;00B30A6E&quot;/&gt;&lt;wsp:rsid wsp:val=&quot;00B30D19&quot;/&gt;&lt;wsp:rsid wsp:val=&quot;00B30F0D&quot;/&gt;&lt;wsp:rsid wsp:val=&quot;00B322FB&quot;/&gt;&lt;wsp:rsid wsp:val=&quot;00B37AAB&quot;/&gt;&lt;wsp:rsid wsp:val=&quot;00B402C1&quot;/&gt;&lt;wsp:rsid wsp:val=&quot;00B40768&quot;/&gt;&lt;wsp:rsid wsp:val=&quot;00B424F9&quot;/&gt;&lt;wsp:rsid wsp:val=&quot;00B44F29&quot;/&gt;&lt;wsp:rsid wsp:val=&quot;00B5070D&quot;/&gt;&lt;wsp:rsid wsp:val=&quot;00B516C9&quot;/&gt;&lt;wsp:rsid wsp:val=&quot;00B51B41&quot;/&gt;&lt;wsp:rsid wsp:val=&quot;00B54313&quot;/&gt;&lt;wsp:rsid wsp:val=&quot;00B54838&quot;/&gt;&lt;wsp:rsid wsp:val=&quot;00B553E9&quot;/&gt;&lt;wsp:rsid wsp:val=&quot;00B55E35&quot;/&gt;&lt;wsp:rsid wsp:val=&quot;00B57036&quot;/&gt;&lt;wsp:rsid wsp:val=&quot;00B62C21&quot;/&gt;&lt;wsp:rsid wsp:val=&quot;00B635AD&quot;/&gt;&lt;wsp:rsid wsp:val=&quot;00B6638C&quot;/&gt;&lt;wsp:rsid wsp:val=&quot;00B76518&quot;/&gt;&lt;wsp:rsid wsp:val=&quot;00B76B0B&quot;/&gt;&lt;wsp:rsid wsp:val=&quot;00B8044F&quot;/&gt;&lt;wsp:rsid wsp:val=&quot;00B8340D&quot;/&gt;&lt;wsp:rsid wsp:val=&quot;00B852C6&quot;/&gt;&lt;wsp:rsid wsp:val=&quot;00B86C2C&quot;/&gt;&lt;wsp:rsid wsp:val=&quot;00B87910&quot;/&gt;&lt;wsp:rsid wsp:val=&quot;00B90A30&quot;/&gt;&lt;wsp:rsid wsp:val=&quot;00B92058&quot;/&gt;&lt;wsp:rsid wsp:val=&quot;00B92852&quot;/&gt;&lt;wsp:rsid wsp:val=&quot;00B93C5B&quot;/&gt;&lt;wsp:rsid wsp:val=&quot;00B93F62&quot;/&gt;&lt;wsp:rsid wsp:val=&quot;00BA0F66&quot;/&gt;&lt;wsp:rsid wsp:val=&quot;00BA2204&quot;/&gt;&lt;wsp:rsid wsp:val=&quot;00BA5DF4&quot;/&gt;&lt;wsp:rsid wsp:val=&quot;00BA667C&quot;/&gt;&lt;wsp:rsid wsp:val=&quot;00BA7A81&quot;/&gt;&lt;wsp:rsid wsp:val=&quot;00BB280B&quot;/&gt;&lt;wsp:rsid wsp:val=&quot;00BB7957&quot;/&gt;&lt;wsp:rsid wsp:val=&quot;00BC0E8B&quot;/&gt;&lt;wsp:rsid wsp:val=&quot;00BC1106&quot;/&gt;&lt;wsp:rsid wsp:val=&quot;00BC520B&quot;/&gt;&lt;wsp:rsid wsp:val=&quot;00BD1211&quot;/&gt;&lt;wsp:rsid wsp:val=&quot;00BD4A7D&quot;/&gt;&lt;wsp:rsid wsp:val=&quot;00BD5FBE&quot;/&gt;&lt;wsp:rsid wsp:val=&quot;00BE4201&quot;/&gt;&lt;wsp:rsid wsp:val=&quot;00BE4EA5&quot;/&gt;&lt;wsp:rsid wsp:val=&quot;00BE6201&quot;/&gt;&lt;wsp:rsid wsp:val=&quot;00BE7CC6&quot;/&gt;&lt;wsp:rsid wsp:val=&quot;00BF0847&quot;/&gt;&lt;wsp:rsid wsp:val=&quot;00BF0C89&quot;/&gt;&lt;wsp:rsid wsp:val=&quot;00BF7BF3&quot;/&gt;&lt;wsp:rsid wsp:val=&quot;00C01FB8&quot;/&gt;&lt;wsp:rsid wsp:val=&quot;00C076BE&quot;/&gt;&lt;wsp:rsid wsp:val=&quot;00C12DF7&quot;/&gt;&lt;wsp:rsid wsp:val=&quot;00C1539E&quot;/&gt;&lt;wsp:rsid wsp:val=&quot;00C215E8&quot;/&gt;&lt;wsp:rsid wsp:val=&quot;00C24800&quot;/&gt;&lt;wsp:rsid wsp:val=&quot;00C2596A&quot;/&gt;&lt;wsp:rsid wsp:val=&quot;00C26F18&quot;/&gt;&lt;wsp:rsid wsp:val=&quot;00C32A76&quot;/&gt;&lt;wsp:rsid wsp:val=&quot;00C40D59&quot;/&gt;&lt;wsp:rsid wsp:val=&quot;00C43506&quot;/&gt;&lt;wsp:rsid wsp:val=&quot;00C50CA8&quot;/&gt;&lt;wsp:rsid wsp:val=&quot;00C51BD8&quot;/&gt;&lt;wsp:rsid wsp:val=&quot;00C60B4E&quot;/&gt;&lt;wsp:rsid wsp:val=&quot;00C646B1&quot;/&gt;&lt;wsp:rsid wsp:val=&quot;00C654C6&quot;/&gt;&lt;wsp:rsid wsp:val=&quot;00C656CE&quot;/&gt;&lt;wsp:rsid wsp:val=&quot;00C75DC6&quot;/&gt;&lt;wsp:rsid wsp:val=&quot;00C81196&quot;/&gt;&lt;wsp:rsid wsp:val=&quot;00C851E0&quot;/&gt;&lt;wsp:rsid wsp:val=&quot;00C917A5&quot;/&gt;&lt;wsp:rsid wsp:val=&quot;00C9204E&quot;/&gt;&lt;wsp:rsid wsp:val=&quot;00C96604&quot;/&gt;&lt;wsp:rsid wsp:val=&quot;00C96A19&quot;/&gt;&lt;wsp:rsid wsp:val=&quot;00C97A1B&quot;/&gt;&lt;wsp:rsid wsp:val=&quot;00CA2173&quot;/&gt;&lt;wsp:rsid wsp:val=&quot;00CA4683&quot;/&gt;&lt;wsp:rsid wsp:val=&quot;00CA46BC&quot;/&gt;&lt;wsp:rsid wsp:val=&quot;00CA5264&quot;/&gt;&lt;wsp:rsid wsp:val=&quot;00CB35C4&quot;/&gt;&lt;wsp:rsid wsp:val=&quot;00CB3CF2&quot;/&gt;&lt;wsp:rsid wsp:val=&quot;00CC4DD3&quot;/&gt;&lt;wsp:rsid wsp:val=&quot;00CD1546&quot;/&gt;&lt;wsp:rsid wsp:val=&quot;00CD43F8&quot;/&gt;&lt;wsp:rsid wsp:val=&quot;00CD4F28&quot;/&gt;&lt;wsp:rsid wsp:val=&quot;00CD646A&quot;/&gt;&lt;wsp:rsid wsp:val=&quot;00CE0B23&quot;/&gt;&lt;wsp:rsid wsp:val=&quot;00CE28F3&quot;/&gt;&lt;wsp:rsid wsp:val=&quot;00CE6460&quot;/&gt;&lt;wsp:rsid wsp:val=&quot;00CE77D6&quot;/&gt;&lt;wsp:rsid wsp:val=&quot;00CF00D0&quot;/&gt;&lt;wsp:rsid wsp:val=&quot;00D00311&quot;/&gt;&lt;wsp:rsid wsp:val=&quot;00D0720E&quot;/&gt;&lt;wsp:rsid wsp:val=&quot;00D135D3&quot;/&gt;&lt;wsp:rsid wsp:val=&quot;00D164DB&quot;/&gt;&lt;wsp:rsid wsp:val=&quot;00D17023&quot;/&gt;&lt;wsp:rsid wsp:val=&quot;00D17C3A&quot;/&gt;&lt;wsp:rsid wsp:val=&quot;00D21ABB&quot;/&gt;&lt;wsp:rsid wsp:val=&quot;00D2290C&quot;/&gt;&lt;wsp:rsid wsp:val=&quot;00D22CF3&quot;/&gt;&lt;wsp:rsid wsp:val=&quot;00D22FB2&quot;/&gt;&lt;wsp:rsid wsp:val=&quot;00D30801&quot;/&gt;&lt;wsp:rsid wsp:val=&quot;00D32E3A&quot;/&gt;&lt;wsp:rsid wsp:val=&quot;00D37428&quot;/&gt;&lt;wsp:rsid wsp:val=&quot;00D415D5&quot;/&gt;&lt;wsp:rsid wsp:val=&quot;00D4316A&quot;/&gt;&lt;wsp:rsid wsp:val=&quot;00D43976&quot;/&gt;&lt;wsp:rsid wsp:val=&quot;00D45412&quot;/&gt;&lt;wsp:rsid wsp:val=&quot;00D4721A&quot;/&gt;&lt;wsp:rsid wsp:val=&quot;00D52800&quot;/&gt;&lt;wsp:rsid wsp:val=&quot;00D52E0F&quot;/&gt;&lt;wsp:rsid wsp:val=&quot;00D5379D&quot;/&gt;&lt;wsp:rsid wsp:val=&quot;00D53957&quot;/&gt;&lt;wsp:rsid wsp:val=&quot;00D56466&quot;/&gt;&lt;wsp:rsid wsp:val=&quot;00D57847&quot;/&gt;&lt;wsp:rsid wsp:val=&quot;00D639A9&quot;/&gt;&lt;wsp:rsid wsp:val=&quot;00D65A92&quot;/&gt;&lt;wsp:rsid wsp:val=&quot;00D717B8&quot;/&gt;&lt;wsp:rsid wsp:val=&quot;00D75308&quot;/&gt;&lt;wsp:rsid wsp:val=&quot;00D7692E&quot;/&gt;&lt;wsp:rsid wsp:val=&quot;00D774DA&quot;/&gt;&lt;wsp:rsid wsp:val=&quot;00D8764C&quot;/&gt;&lt;wsp:rsid wsp:val=&quot;00D8790B&quot;/&gt;&lt;wsp:rsid wsp:val=&quot;00D949D2&quot;/&gt;&lt;wsp:rsid wsp:val=&quot;00D963EE&quot;/&gt;&lt;wsp:rsid wsp:val=&quot;00D97A76&quot;/&gt;&lt;wsp:rsid wsp:val=&quot;00DA0812&quot;/&gt;&lt;wsp:rsid wsp:val=&quot;00DA67AA&quot;/&gt;&lt;wsp:rsid wsp:val=&quot;00DA7121&quot;/&gt;&lt;wsp:rsid wsp:val=&quot;00DB44F7&quot;/&gt;&lt;wsp:rsid wsp:val=&quot;00DB48DC&quot;/&gt;&lt;wsp:rsid wsp:val=&quot;00DB5866&quot;/&gt;&lt;wsp:rsid wsp:val=&quot;00DB5C13&quot;/&gt;&lt;wsp:rsid wsp:val=&quot;00DC11D7&quot;/&gt;&lt;wsp:rsid wsp:val=&quot;00DC2C74&quot;/&gt;&lt;wsp:rsid wsp:val=&quot;00DC3F21&quot;/&gt;&lt;wsp:rsid wsp:val=&quot;00DD1E10&quot;/&gt;&lt;wsp:rsid wsp:val=&quot;00DD208F&quot;/&gt;&lt;wsp:rsid wsp:val=&quot;00DD20BB&quot;/&gt;&lt;wsp:rsid wsp:val=&quot;00DE15C2&quot;/&gt;&lt;wsp:rsid wsp:val=&quot;00DE37FE&quot;/&gt;&lt;wsp:rsid wsp:val=&quot;00DE7E37&quot;/&gt;&lt;wsp:rsid wsp:val=&quot;00DF7BD6&quot;/&gt;&lt;wsp:rsid wsp:val=&quot;00E0262B&quot;/&gt;&lt;wsp:rsid wsp:val=&quot;00E03912&quot;/&gt;&lt;wsp:rsid wsp:val=&quot;00E101FB&quot;/&gt;&lt;wsp:rsid wsp:val=&quot;00E113BE&quot;/&gt;&lt;wsp:rsid wsp:val=&quot;00E12944&quot;/&gt;&lt;wsp:rsid wsp:val=&quot;00E132F0&quot;/&gt;&lt;wsp:rsid wsp:val=&quot;00E14204&quot;/&gt;&lt;wsp:rsid wsp:val=&quot;00E23AD6&quot;/&gt;&lt;wsp:rsid wsp:val=&quot;00E23E1F&quot;/&gt;&lt;wsp:rsid wsp:val=&quot;00E33A87&quot;/&gt;&lt;wsp:rsid wsp:val=&quot;00E343AC&quot;/&gt;&lt;wsp:rsid wsp:val=&quot;00E34ED1&quot;/&gt;&lt;wsp:rsid wsp:val=&quot;00E36847&quot;/&gt;&lt;wsp:rsid wsp:val=&quot;00E3777E&quot;/&gt;&lt;wsp:rsid wsp:val=&quot;00E40958&quot;/&gt;&lt;wsp:rsid wsp:val=&quot;00E424EF&quot;/&gt;&lt;wsp:rsid wsp:val=&quot;00E4399D&quot;/&gt;&lt;wsp:rsid wsp:val=&quot;00E52B9C&quot;/&gt;&lt;wsp:rsid wsp:val=&quot;00E54EED&quot;/&gt;&lt;wsp:rsid wsp:val=&quot;00E55AC3&quot;/&gt;&lt;wsp:rsid wsp:val=&quot;00E61D5E&quot;/&gt;&lt;wsp:rsid wsp:val=&quot;00E62418&quot;/&gt;&lt;wsp:rsid wsp:val=&quot;00E6252E&quot;/&gt;&lt;wsp:rsid wsp:val=&quot;00E6398C&quot;/&gt;&lt;wsp:rsid wsp:val=&quot;00E64C92&quot;/&gt;&lt;wsp:rsid wsp:val=&quot;00E676D9&quot;/&gt;&lt;wsp:rsid wsp:val=&quot;00E70438&quot;/&gt;&lt;wsp:rsid wsp:val=&quot;00E72BA1&quot;/&gt;&lt;wsp:rsid wsp:val=&quot;00E74CA3&quot;/&gt;&lt;wsp:rsid wsp:val=&quot;00E818C4&quot;/&gt;&lt;wsp:rsid wsp:val=&quot;00E94B2D&quot;/&gt;&lt;wsp:rsid wsp:val=&quot;00E96027&quot;/&gt;&lt;wsp:rsid wsp:val=&quot;00EA3964&quot;/&gt;&lt;wsp:rsid wsp:val=&quot;00EA7B20&quot;/&gt;&lt;wsp:rsid wsp:val=&quot;00EB3F6D&quot;/&gt;&lt;wsp:rsid wsp:val=&quot;00EB6FCE&quot;/&gt;&lt;wsp:rsid wsp:val=&quot;00EC4B3D&quot;/&gt;&lt;wsp:rsid wsp:val=&quot;00EC6666&quot;/&gt;&lt;wsp:rsid wsp:val=&quot;00EC6C0C&quot;/&gt;&lt;wsp:rsid wsp:val=&quot;00ED12CE&quot;/&gt;&lt;wsp:rsid wsp:val=&quot;00ED7B7C&quot;/&gt;&lt;wsp:rsid wsp:val=&quot;00EE42FC&quot;/&gt;&lt;wsp:rsid wsp:val=&quot;00EF1544&quot;/&gt;&lt;wsp:rsid wsp:val=&quot;00EF7076&quot;/&gt;&lt;wsp:rsid wsp:val=&quot;00F019BC&quot;/&gt;&lt;wsp:rsid wsp:val=&quot;00F153FC&quot;/&gt;&lt;wsp:rsid wsp:val=&quot;00F177A7&quot;/&gt;&lt;wsp:rsid wsp:val=&quot;00F23A29&quot;/&gt;&lt;wsp:rsid wsp:val=&quot;00F25DCC&quot;/&gt;&lt;wsp:rsid wsp:val=&quot;00F26BC9&quot;/&gt;&lt;wsp:rsid wsp:val=&quot;00F34B5B&quot;/&gt;&lt;wsp:rsid wsp:val=&quot;00F373C6&quot;/&gt;&lt;wsp:rsid wsp:val=&quot;00F378A9&quot;/&gt;&lt;wsp:rsid wsp:val=&quot;00F40EA6&quot;/&gt;&lt;wsp:rsid wsp:val=&quot;00F412CA&quot;/&gt;&lt;wsp:rsid wsp:val=&quot;00F41997&quot;/&gt;&lt;wsp:rsid wsp:val=&quot;00F420BA&quot;/&gt;&lt;wsp:rsid wsp:val=&quot;00F457B9&quot;/&gt;&lt;wsp:rsid wsp:val=&quot;00F46746&quot;/&gt;&lt;wsp:rsid wsp:val=&quot;00F51909&quot;/&gt;&lt;wsp:rsid wsp:val=&quot;00F563C2&quot;/&gt;&lt;wsp:rsid wsp:val=&quot;00F67262&quot;/&gt;&lt;wsp:rsid wsp:val=&quot;00F71C6C&quot;/&gt;&lt;wsp:rsid wsp:val=&quot;00F75E97&quot;/&gt;&lt;wsp:rsid wsp:val=&quot;00F8139B&quot;/&gt;&lt;wsp:rsid wsp:val=&quot;00F9234D&quot;/&gt;&lt;wsp:rsid wsp:val=&quot;00F92E13&quot;/&gt;&lt;wsp:rsid wsp:val=&quot;00FA0F67&quot;/&gt;&lt;wsp:rsid wsp:val=&quot;00FA1455&quot;/&gt;&lt;wsp:rsid wsp:val=&quot;00FA6E59&quot;/&gt;&lt;wsp:rsid wsp:val=&quot;00FA7267&quot;/&gt;&lt;wsp:rsid wsp:val=&quot;00FA7811&quot;/&gt;&lt;wsp:rsid wsp:val=&quot;00FB01EF&quot;/&gt;&lt;wsp:rsid wsp:val=&quot;00FB021A&quot;/&gt;&lt;wsp:rsid wsp:val=&quot;00FB189C&quot;/&gt;&lt;wsp:rsid wsp:val=&quot;00FB209E&quot;/&gt;&lt;wsp:rsid wsp:val=&quot;00FB7B4C&quot;/&gt;&lt;wsp:rsid wsp:val=&quot;00FC2FF5&quot;/&gt;&lt;wsp:rsid wsp:val=&quot;00FD0FEB&quot;/&gt;&lt;wsp:rsid wsp:val=&quot;00FD1390&quot;/&gt;&lt;wsp:rsid wsp:val=&quot;00FD2A64&quot;/&gt;&lt;wsp:rsid wsp:val=&quot;00FD2FD0&quot;/&gt;&lt;wsp:rsid wsp:val=&quot;00FE00C5&quot;/&gt;&lt;wsp:rsid wsp:val=&quot;00FE0142&quot;/&gt;&lt;wsp:rsid wsp:val=&quot;00FE10D7&quot;/&gt;&lt;wsp:rsid wsp:val=&quot;00FE118C&quot;/&gt;&lt;wsp:rsid wsp:val=&quot;00FE1F78&quot;/&gt;&lt;wsp:rsid wsp:val=&quot;00FE4A89&quot;/&gt;&lt;wsp:rsid wsp:val=&quot;00FE7681&quot;/&gt;&lt;wsp:rsid wsp:val=&quot;00FE7977&quot;/&gt;&lt;wsp:rsid wsp:val=&quot;00FF09A8&quot;/&gt;&lt;wsp:rsid wsp:val=&quot;00FF4B89&quot;/&gt;&lt;/wsp:rsids&gt;&lt;/w:docPr&gt;&lt;w:body&gt;&lt;wx:sect&gt;&lt;w:p wsp:rsidR=&quot;00000000&quot; wsp:rsidRDefault=&quot;008A7F02&quot; wsp:rsidP=&quot;008A7F02&quot;&gt;&lt;m:oMathPara&gt;&lt;m:oMath&gt;&lt;m:r&gt;&lt;w:rPr&gt;&lt;w:rFonts w:ascii=&quot;Cambria Math&quot; w:fareast=&quot;SimSun&quot; w:h-ansi=&quot;Cambria Math&quot;/&gt;&lt;wx:font wx:val=&quot;Cambria Math&quot;/&gt;&lt;w:i/&gt;&lt;w:sz-cs w:val=&quot;24&quot;/&gt;&lt;w:lang w:fareast=&quot;ZH-CN&quot;/&gt;&lt;/w:rPr&gt;&lt;m:t&gt;k?¡ª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B44D0D">
        <w:rPr>
          <w:rFonts w:ascii="Times New Roman" w:eastAsia="SimSun" w:hAnsi="Times New Roman"/>
          <w:sz w:val="24"/>
          <w:szCs w:val="24"/>
          <w:lang w:eastAsia="zh-CN"/>
        </w:rPr>
        <w:fldChar w:fldCharType="end"/>
      </w:r>
      <w:r w:rsidRPr="00B44D0D">
        <w:rPr>
          <w:rFonts w:ascii="Times New Roman" w:eastAsia="SimSun" w:hAnsi="Times New Roman"/>
          <w:sz w:val="24"/>
          <w:szCs w:val="24"/>
          <w:lang w:eastAsia="zh-CN"/>
        </w:rPr>
        <w:t xml:space="preserve">diagonal matrix of time varying standard deviations from univariate GARCH models with </w:t>
      </w:r>
      <m:oMath>
        <m:rad>
          <m:radPr>
            <m:degHide m:val="1"/>
            <m:ctrlPr>
              <w:rPr>
                <w:rFonts w:ascii="Cambria Math" w:eastAsia="PMingLiU" w:hAnsi="Cambria Math" w:cs="Times New Roman"/>
                <w:i/>
                <w:iCs/>
                <w:color w:val="000000"/>
                <w:sz w:val="24"/>
                <w:szCs w:val="24"/>
              </w:rPr>
            </m:ctrlPr>
          </m:radPr>
          <m:deg/>
          <m:e>
            <m:sSub>
              <m:sSubPr>
                <m:ctrlPr>
                  <w:rPr>
                    <w:rFonts w:ascii="Cambria Math" w:eastAsia="PMingLiU" w:hAnsi="Cambria Math" w:cs="Times New Roman"/>
                    <w:i/>
                    <w:iCs/>
                    <w:color w:val="000000"/>
                    <w:sz w:val="24"/>
                    <w:szCs w:val="24"/>
                  </w:rPr>
                </m:ctrlPr>
              </m:sSubPr>
              <m:e>
                <m:r>
                  <w:rPr>
                    <w:rFonts w:ascii="Cambria Math" w:eastAsia="PMingLiU" w:hAnsi="Cambria Math" w:cs="Times New Roman"/>
                    <w:color w:val="000000"/>
                    <w:sz w:val="24"/>
                    <w:szCs w:val="24"/>
                  </w:rPr>
                  <m:t>h</m:t>
                </m:r>
              </m:e>
              <m:sub>
                <m:r>
                  <w:rPr>
                    <w:rFonts w:ascii="Cambria Math" w:eastAsia="PMingLiU" w:hAnsi="Cambria Math" w:cs="Times New Roman"/>
                    <w:color w:val="000000"/>
                    <w:sz w:val="24"/>
                    <w:szCs w:val="24"/>
                  </w:rPr>
                  <m:t>it</m:t>
                </m:r>
              </m:sub>
            </m:sSub>
          </m:e>
        </m:rad>
      </m:oMath>
      <w:r w:rsidRPr="00B44D0D">
        <w:rPr>
          <w:rFonts w:ascii="Times New Roman" w:eastAsia="SimSun" w:hAnsi="Times New Roman"/>
          <w:sz w:val="24"/>
          <w:szCs w:val="24"/>
          <w:lang w:eastAsia="zh-CN"/>
        </w:rPr>
        <w:t xml:space="preserve"> </w:t>
      </w:r>
      <w:r w:rsidR="007C6747">
        <w:rPr>
          <w:rFonts w:ascii="Times New Roman" w:eastAsia="SimSun" w:hAnsi="Times New Roman"/>
          <w:sz w:val="24"/>
          <w:szCs w:val="24"/>
          <w:lang w:eastAsia="zh-CN"/>
        </w:rPr>
        <w:t xml:space="preserve"> </w:t>
      </w:r>
      <w:r w:rsidRPr="00B44D0D">
        <w:rPr>
          <w:rFonts w:ascii="Times New Roman" w:eastAsia="SimSun" w:hAnsi="Times New Roman"/>
          <w:sz w:val="24"/>
          <w:szCs w:val="24"/>
          <w:lang w:eastAsia="zh-CN"/>
        </w:rPr>
        <w:t xml:space="preserve">on the </w:t>
      </w:r>
      <w:proofErr w:type="spellStart"/>
      <w:r w:rsidRPr="00B44D0D">
        <w:rPr>
          <w:rFonts w:ascii="Times New Roman" w:eastAsia="SimSun" w:hAnsi="Times New Roman"/>
          <w:i/>
          <w:sz w:val="24"/>
          <w:szCs w:val="24"/>
          <w:lang w:eastAsia="zh-CN"/>
        </w:rPr>
        <w:t>i</w:t>
      </w:r>
      <w:r w:rsidRPr="00B44D0D">
        <w:rPr>
          <w:rFonts w:ascii="Times New Roman" w:eastAsia="SimSun" w:hAnsi="Times New Roman"/>
          <w:i/>
          <w:sz w:val="24"/>
          <w:szCs w:val="24"/>
          <w:vertAlign w:val="superscript"/>
          <w:lang w:eastAsia="zh-CN"/>
        </w:rPr>
        <w:t>th</w:t>
      </w:r>
      <w:proofErr w:type="spellEnd"/>
      <w:r w:rsidRPr="00B44D0D">
        <w:rPr>
          <w:rFonts w:ascii="Times New Roman" w:eastAsia="SimSun" w:hAnsi="Times New Roman"/>
          <w:sz w:val="24"/>
          <w:szCs w:val="24"/>
          <w:vertAlign w:val="superscript"/>
          <w:lang w:eastAsia="zh-CN"/>
        </w:rPr>
        <w:t xml:space="preserve"> </w:t>
      </w:r>
      <w:r w:rsidRPr="00B44D0D">
        <w:rPr>
          <w:rFonts w:ascii="Times New Roman" w:eastAsia="SimSun" w:hAnsi="Times New Roman"/>
          <w:sz w:val="24"/>
          <w:szCs w:val="24"/>
          <w:lang w:eastAsia="zh-CN"/>
        </w:rPr>
        <w:t xml:space="preserve">diagonal. </w:t>
      </w:r>
      <w:r w:rsidRPr="00B44D0D">
        <w:rPr>
          <w:rFonts w:ascii="Times New Roman" w:eastAsia="SimSun" w:hAnsi="Times New Roman"/>
          <w:i/>
          <w:sz w:val="24"/>
          <w:szCs w:val="24"/>
          <w:lang w:eastAsia="zh-CN"/>
        </w:rPr>
        <w:t>R</w:t>
      </w:r>
      <w:r w:rsidRPr="00B44D0D">
        <w:rPr>
          <w:rFonts w:ascii="Times New Roman" w:eastAsia="SimSun" w:hAnsi="Times New Roman"/>
          <w:i/>
          <w:sz w:val="24"/>
          <w:szCs w:val="24"/>
          <w:vertAlign w:val="subscript"/>
          <w:lang w:eastAsia="zh-CN"/>
        </w:rPr>
        <w:t>t</w:t>
      </w:r>
      <w:r w:rsidRPr="00B44D0D">
        <w:rPr>
          <w:rFonts w:ascii="Times New Roman" w:eastAsia="SimSun" w:hAnsi="Times New Roman"/>
          <w:sz w:val="24"/>
          <w:szCs w:val="24"/>
          <w:lang w:eastAsia="zh-CN"/>
        </w:rPr>
        <w:t xml:space="preserve"> is the time varying correlation matrix. </w:t>
      </w:r>
    </w:p>
    <w:p w14:paraId="0C00C7B9" w14:textId="77777777" w:rsidR="00454904" w:rsidRPr="00B44D0D" w:rsidRDefault="00454904" w:rsidP="00454904">
      <w:pPr>
        <w:spacing w:after="0" w:line="240" w:lineRule="auto"/>
        <w:jc w:val="both"/>
        <w:rPr>
          <w:rFonts w:ascii="Times New Roman" w:eastAsia="SimSun" w:hAnsi="Times New Roman"/>
          <w:sz w:val="24"/>
          <w:szCs w:val="24"/>
          <w:lang w:eastAsia="zh-CN"/>
        </w:rPr>
      </w:pPr>
    </w:p>
    <w:p w14:paraId="14FAAB53" w14:textId="77777777" w:rsidR="00454904" w:rsidRPr="00B44D0D" w:rsidRDefault="00454904" w:rsidP="00454904">
      <w:pPr>
        <w:spacing w:after="0" w:line="240" w:lineRule="auto"/>
        <w:jc w:val="both"/>
        <w:rPr>
          <w:rFonts w:ascii="Times New Roman" w:eastAsia="SimSun" w:hAnsi="Times New Roman"/>
          <w:sz w:val="24"/>
          <w:szCs w:val="24"/>
          <w:lang w:eastAsia="zh-CN"/>
        </w:rPr>
      </w:pPr>
    </w:p>
    <w:p w14:paraId="6F8B5293" w14:textId="77777777" w:rsidR="00454904" w:rsidRPr="00B44D0D" w:rsidRDefault="00454904" w:rsidP="00454904">
      <w:pPr>
        <w:spacing w:after="0" w:line="24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The log-likelihood of the estimator is written as,</w:t>
      </w:r>
    </w:p>
    <w:p w14:paraId="4EEBD4A3" w14:textId="77777777" w:rsidR="00454904" w:rsidRPr="00B44D0D" w:rsidRDefault="00454904" w:rsidP="003D416C">
      <w:pPr>
        <w:spacing w:after="0" w:line="240" w:lineRule="auto"/>
        <w:jc w:val="center"/>
        <w:rPr>
          <w:rFonts w:ascii="Times New Roman" w:eastAsia="SimSun" w:hAnsi="Times New Roman"/>
          <w:sz w:val="24"/>
          <w:szCs w:val="24"/>
          <w:lang w:eastAsia="zh-CN"/>
        </w:rPr>
      </w:pPr>
      <w:r w:rsidRPr="00B44D0D">
        <w:rPr>
          <w:rFonts w:ascii="Times New Roman" w:eastAsia="SimSun" w:hAnsi="Times New Roman"/>
          <w:position w:val="-28"/>
          <w:sz w:val="24"/>
          <w:szCs w:val="24"/>
          <w:lang w:eastAsia="hu-HU"/>
        </w:rPr>
        <w:object w:dxaOrig="5140" w:dyaOrig="680" w14:anchorId="02445BDA">
          <v:shape id="_x0000_i1042" type="#_x0000_t75" style="width:266.25pt;height:36pt" o:ole="">
            <v:imagedata r:id="rId35" o:title=""/>
          </v:shape>
          <o:OLEObject Type="Embed" ProgID="Equation.3" ShapeID="_x0000_i1042" DrawAspect="Content" ObjectID="_1704578318" r:id="rId36"/>
        </w:object>
      </w:r>
      <w:r w:rsidR="002C15FD">
        <w:rPr>
          <w:noProof/>
          <w:sz w:val="24"/>
          <w:szCs w:val="24"/>
          <w:lang w:eastAsia="en-GB"/>
        </w:rPr>
        <w:object w:dxaOrig="1440" w:dyaOrig="1440" w14:anchorId="13845BC4">
          <v:shape id="_x0000_s1026" type="#_x0000_t75" style="position:absolute;left:0;text-align:left;margin-left:0;margin-top:.25pt;width:8.85pt;height:17pt;z-index:251660288;mso-position-horizontal:left;mso-position-horizontal-relative:text;mso-position-vertical-relative:text">
            <v:imagedata r:id="rId37" o:title=""/>
            <w10:wrap type="square" side="right"/>
          </v:shape>
          <o:OLEObject Type="Embed" ProgID="Equation.3" ShapeID="_x0000_s1026" DrawAspect="Content" ObjectID="_1704578351" r:id="rId38"/>
        </w:object>
      </w:r>
    </w:p>
    <w:p w14:paraId="484963C8" w14:textId="77777777" w:rsidR="00454904" w:rsidRPr="00B44D0D" w:rsidRDefault="00454904" w:rsidP="00454904">
      <w:pPr>
        <w:spacing w:after="0" w:line="360" w:lineRule="auto"/>
        <w:jc w:val="both"/>
        <w:rPr>
          <w:rFonts w:ascii="Times New Roman" w:eastAsia="SimSun" w:hAnsi="Times New Roman"/>
          <w:sz w:val="24"/>
          <w:szCs w:val="24"/>
          <w:lang w:eastAsia="zh-CN"/>
        </w:rPr>
      </w:pPr>
    </w:p>
    <w:p w14:paraId="4285BF15" w14:textId="3F27709E" w:rsidR="00454904" w:rsidRPr="00B44D0D" w:rsidRDefault="00454904" w:rsidP="002E76DD">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Where </w:t>
      </w:r>
      <w:proofErr w:type="spellStart"/>
      <w:r w:rsidRPr="00B44D0D">
        <w:rPr>
          <w:rFonts w:ascii="Times New Roman" w:eastAsia="SimSun" w:hAnsi="Lucida Sans Unicode"/>
          <w:i/>
          <w:sz w:val="24"/>
          <w:szCs w:val="24"/>
          <w:lang w:eastAsia="zh-CN"/>
        </w:rPr>
        <w:t>Ɛ</w:t>
      </w:r>
      <w:r w:rsidRPr="00B44D0D">
        <w:rPr>
          <w:rFonts w:ascii="Times New Roman" w:eastAsia="SimSun" w:hAnsi="Times New Roman"/>
          <w:i/>
          <w:sz w:val="24"/>
          <w:szCs w:val="24"/>
          <w:lang w:eastAsia="zh-CN"/>
        </w:rPr>
        <w:t>t</w:t>
      </w:r>
      <w:proofErr w:type="spellEnd"/>
      <w:r w:rsidR="002E76DD">
        <w:rPr>
          <w:rFonts w:ascii="Times New Roman" w:eastAsia="SimSun" w:hAnsi="Times New Roman"/>
          <w:i/>
          <w:sz w:val="24"/>
          <w:szCs w:val="24"/>
          <w:lang w:eastAsia="zh-CN"/>
        </w:rPr>
        <w:t xml:space="preserve"> </w:t>
      </w:r>
      <w:r w:rsidRPr="00B44D0D">
        <w:rPr>
          <w:rFonts w:ascii="Times New Roman" w:eastAsia="SimSun" w:hAnsi="Times New Roman"/>
          <w:i/>
          <w:sz w:val="24"/>
          <w:szCs w:val="24"/>
          <w:lang w:eastAsia="zh-CN"/>
        </w:rPr>
        <w:t>~</w:t>
      </w:r>
      <w:r w:rsidR="002E76DD">
        <w:rPr>
          <w:rFonts w:ascii="Times New Roman" w:eastAsia="SimSun" w:hAnsi="Times New Roman"/>
          <w:i/>
          <w:sz w:val="24"/>
          <w:szCs w:val="24"/>
          <w:lang w:eastAsia="zh-CN"/>
        </w:rPr>
        <w:t xml:space="preserve"> </w:t>
      </w:r>
      <w:proofErr w:type="gramStart"/>
      <w:r w:rsidRPr="00B44D0D">
        <w:rPr>
          <w:rFonts w:ascii="Times New Roman" w:eastAsia="SimSun" w:hAnsi="Times New Roman"/>
          <w:i/>
          <w:sz w:val="24"/>
          <w:szCs w:val="24"/>
          <w:lang w:eastAsia="zh-CN"/>
        </w:rPr>
        <w:t>N(</w:t>
      </w:r>
      <w:proofErr w:type="gramEnd"/>
      <w:r w:rsidR="002E76DD" w:rsidRPr="00B44D0D">
        <w:rPr>
          <w:rFonts w:ascii="Times New Roman" w:eastAsia="SimSun" w:hAnsi="Times New Roman"/>
          <w:i/>
          <w:sz w:val="24"/>
          <w:szCs w:val="24"/>
          <w:lang w:eastAsia="zh-CN"/>
        </w:rPr>
        <w:t>0, Rt</w:t>
      </w:r>
      <w:r w:rsidRPr="00B44D0D">
        <w:rPr>
          <w:rFonts w:ascii="Times New Roman" w:eastAsia="SimSun" w:hAnsi="Times New Roman"/>
          <w:i/>
          <w:sz w:val="24"/>
          <w:szCs w:val="24"/>
          <w:lang w:eastAsia="zh-CN"/>
        </w:rPr>
        <w:t>)</w:t>
      </w:r>
      <w:r w:rsidRPr="00B44D0D">
        <w:rPr>
          <w:rFonts w:ascii="Times New Roman" w:eastAsia="SimSun" w:hAnsi="Times New Roman"/>
          <w:sz w:val="24"/>
          <w:szCs w:val="24"/>
          <w:lang w:eastAsia="zh-CN"/>
        </w:rPr>
        <w:t xml:space="preserve"> are the residuals standardised by their conditional standard deviations. </w:t>
      </w:r>
    </w:p>
    <w:p w14:paraId="200050CA" w14:textId="77777777" w:rsidR="00454904" w:rsidRPr="00B44D0D" w:rsidRDefault="00454904" w:rsidP="002E76DD">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Engle and Sheppard (2001) propose to rewrite the elements </w:t>
      </w:r>
      <w:r w:rsidRPr="00B44D0D">
        <w:rPr>
          <w:rFonts w:ascii="Times New Roman" w:eastAsia="SimSun" w:hAnsi="Times New Roman"/>
          <w:i/>
          <w:sz w:val="24"/>
          <w:szCs w:val="24"/>
          <w:lang w:eastAsia="zh-CN"/>
        </w:rPr>
        <w:t>D</w:t>
      </w:r>
      <w:r w:rsidRPr="00B44D0D">
        <w:rPr>
          <w:rFonts w:ascii="Times New Roman" w:eastAsia="SimSun" w:hAnsi="Times New Roman"/>
          <w:i/>
          <w:sz w:val="24"/>
          <w:szCs w:val="24"/>
          <w:vertAlign w:val="subscript"/>
          <w:lang w:eastAsia="zh-CN"/>
        </w:rPr>
        <w:t>t</w:t>
      </w:r>
      <w:r w:rsidRPr="00B44D0D">
        <w:rPr>
          <w:rFonts w:ascii="Times New Roman" w:eastAsia="SimSun" w:hAnsi="Times New Roman"/>
          <w:sz w:val="24"/>
          <w:szCs w:val="24"/>
          <w:lang w:eastAsia="zh-CN"/>
        </w:rPr>
        <w:t xml:space="preserve"> as a multivariate GARCH in the following manner:</w:t>
      </w:r>
    </w:p>
    <w:p w14:paraId="472805C9" w14:textId="77777777" w:rsidR="00454904" w:rsidRPr="00B44D0D" w:rsidRDefault="00454904" w:rsidP="003D416C">
      <w:pPr>
        <w:spacing w:after="0" w:line="240" w:lineRule="auto"/>
        <w:jc w:val="center"/>
        <w:rPr>
          <w:rFonts w:ascii="Times New Roman" w:eastAsia="SimSun" w:hAnsi="Times New Roman"/>
          <w:sz w:val="24"/>
          <w:szCs w:val="24"/>
          <w:lang w:eastAsia="zh-CN"/>
        </w:rPr>
      </w:pPr>
      <w:r w:rsidRPr="00B44D0D">
        <w:rPr>
          <w:rFonts w:ascii="Times New Roman" w:eastAsia="SimSun" w:hAnsi="Times New Roman"/>
          <w:position w:val="-30"/>
          <w:sz w:val="24"/>
          <w:szCs w:val="24"/>
          <w:lang w:eastAsia="zh-CN"/>
        </w:rPr>
        <w:object w:dxaOrig="3159" w:dyaOrig="720" w14:anchorId="57C13011">
          <v:shape id="_x0000_i1044" type="#_x0000_t75" style="width:180.75pt;height:42.75pt" o:ole="">
            <v:imagedata r:id="rId39" o:title=""/>
          </v:shape>
          <o:OLEObject Type="Embed" ProgID="Equation.3" ShapeID="_x0000_i1044" DrawAspect="Content" ObjectID="_1704578319" r:id="rId40"/>
        </w:object>
      </w:r>
    </w:p>
    <w:p w14:paraId="6572D6E5" w14:textId="77777777" w:rsidR="00454904" w:rsidRPr="00B44D0D" w:rsidRDefault="00454904" w:rsidP="00454904">
      <w:pPr>
        <w:spacing w:after="0" w:line="240" w:lineRule="auto"/>
        <w:jc w:val="center"/>
        <w:rPr>
          <w:rFonts w:ascii="Times New Roman" w:eastAsia="SimSun" w:hAnsi="Times New Roman"/>
          <w:sz w:val="24"/>
          <w:szCs w:val="24"/>
          <w:lang w:eastAsia="zh-CN"/>
        </w:rPr>
      </w:pPr>
    </w:p>
    <w:p w14:paraId="01AAF818" w14:textId="77777777" w:rsidR="00454904" w:rsidRPr="00B44D0D" w:rsidRDefault="00454904" w:rsidP="00454904">
      <w:pPr>
        <w:spacing w:after="0" w:line="240" w:lineRule="auto"/>
        <w:jc w:val="center"/>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for </w:t>
      </w:r>
      <w:proofErr w:type="spellStart"/>
      <w:r w:rsidRPr="00B44D0D">
        <w:rPr>
          <w:rFonts w:ascii="Times New Roman" w:eastAsia="SimSun" w:hAnsi="Times New Roman"/>
          <w:i/>
          <w:sz w:val="24"/>
          <w:szCs w:val="24"/>
          <w:lang w:eastAsia="zh-CN"/>
        </w:rPr>
        <w:t>i</w:t>
      </w:r>
      <w:proofErr w:type="spellEnd"/>
      <w:r w:rsidRPr="00B44D0D">
        <w:rPr>
          <w:rFonts w:ascii="Times New Roman" w:eastAsia="SimSun" w:hAnsi="Times New Roman"/>
          <w:i/>
          <w:sz w:val="24"/>
          <w:szCs w:val="24"/>
          <w:lang w:eastAsia="zh-CN"/>
        </w:rPr>
        <w:t>=</w:t>
      </w:r>
      <w:proofErr w:type="gramStart"/>
      <w:r w:rsidRPr="00B44D0D">
        <w:rPr>
          <w:rFonts w:ascii="Times New Roman" w:eastAsia="SimSun" w:hAnsi="Times New Roman"/>
          <w:i/>
          <w:sz w:val="24"/>
          <w:szCs w:val="24"/>
          <w:lang w:eastAsia="zh-CN"/>
        </w:rPr>
        <w:t>1,1,…</w:t>
      </w:r>
      <w:proofErr w:type="gramEnd"/>
      <w:r w:rsidRPr="00B44D0D">
        <w:rPr>
          <w:rFonts w:ascii="Times New Roman" w:eastAsia="SimSun" w:hAnsi="Times New Roman"/>
          <w:i/>
          <w:sz w:val="24"/>
          <w:szCs w:val="24"/>
          <w:lang w:eastAsia="zh-CN"/>
        </w:rPr>
        <w:t>k</w:t>
      </w:r>
      <w:r w:rsidRPr="00B44D0D">
        <w:rPr>
          <w:rFonts w:ascii="Times New Roman" w:eastAsia="SimSun" w:hAnsi="Times New Roman"/>
          <w:sz w:val="24"/>
          <w:szCs w:val="24"/>
          <w:lang w:eastAsia="zh-CN"/>
        </w:rPr>
        <w:t xml:space="preserve"> with usual GARCH restrictions for non-negativity and stationary being </w:t>
      </w:r>
    </w:p>
    <w:p w14:paraId="16FC6F96" w14:textId="77777777" w:rsidR="00454904" w:rsidRPr="00B44D0D" w:rsidRDefault="00454904" w:rsidP="00454904">
      <w:pPr>
        <w:spacing w:after="0" w:line="240" w:lineRule="auto"/>
        <w:jc w:val="center"/>
        <w:rPr>
          <w:rFonts w:ascii="Times New Roman" w:eastAsia="SimSun" w:hAnsi="Times New Roman"/>
          <w:sz w:val="24"/>
          <w:szCs w:val="24"/>
          <w:lang w:eastAsia="zh-CN"/>
        </w:rPr>
      </w:pPr>
    </w:p>
    <w:p w14:paraId="6D51902E" w14:textId="77777777" w:rsidR="00454904" w:rsidRPr="00B44D0D" w:rsidRDefault="00454904" w:rsidP="00454904">
      <w:pPr>
        <w:spacing w:after="0" w:line="240" w:lineRule="auto"/>
        <w:jc w:val="center"/>
        <w:rPr>
          <w:rFonts w:ascii="Times New Roman" w:eastAsia="SimSun" w:hAnsi="Times New Roman"/>
          <w:b/>
          <w:sz w:val="24"/>
          <w:szCs w:val="24"/>
          <w:lang w:eastAsia="zh-CN"/>
        </w:rPr>
      </w:pPr>
      <w:r w:rsidRPr="00B44D0D">
        <w:rPr>
          <w:rFonts w:ascii="Times New Roman" w:eastAsia="SimSun" w:hAnsi="Times New Roman"/>
          <w:sz w:val="24"/>
          <w:szCs w:val="24"/>
          <w:lang w:eastAsia="zh-CN"/>
        </w:rPr>
        <w:t xml:space="preserve">                                   imposed: </w:t>
      </w:r>
      <w:r w:rsidRPr="00B44D0D">
        <w:rPr>
          <w:rFonts w:ascii="Times New Roman" w:eastAsia="SimSun" w:hAnsi="Times New Roman"/>
          <w:b/>
          <w:position w:val="-48"/>
          <w:sz w:val="24"/>
          <w:szCs w:val="24"/>
          <w:lang w:eastAsia="zh-CN"/>
        </w:rPr>
        <w:object w:dxaOrig="1740" w:dyaOrig="1080" w14:anchorId="295DE00F">
          <v:shape id="_x0000_i1045" type="#_x0000_t75" style="width:93.75pt;height:57pt" o:ole="">
            <v:imagedata r:id="rId41" o:title=""/>
          </v:shape>
          <o:OLEObject Type="Embed" ProgID="Equation.3" ShapeID="_x0000_i1045" DrawAspect="Content" ObjectID="_1704578320" r:id="rId42"/>
        </w:object>
      </w:r>
      <w:r w:rsidRPr="00B44D0D">
        <w:rPr>
          <w:rFonts w:ascii="Times New Roman" w:eastAsia="SimSun" w:hAnsi="Times New Roman"/>
          <w:b/>
          <w:position w:val="-48"/>
          <w:sz w:val="24"/>
          <w:szCs w:val="24"/>
          <w:lang w:eastAsia="zh-CN"/>
        </w:rPr>
        <w:tab/>
      </w:r>
      <w:r w:rsidRPr="00B44D0D">
        <w:rPr>
          <w:rFonts w:ascii="Times New Roman" w:eastAsia="SimSun" w:hAnsi="Times New Roman"/>
          <w:b/>
          <w:position w:val="-48"/>
          <w:sz w:val="24"/>
          <w:szCs w:val="24"/>
          <w:lang w:eastAsia="zh-CN"/>
        </w:rPr>
        <w:tab/>
      </w:r>
      <w:r w:rsidRPr="00B44D0D">
        <w:rPr>
          <w:rFonts w:ascii="Times New Roman" w:eastAsia="SimSun" w:hAnsi="Times New Roman"/>
          <w:b/>
          <w:position w:val="-48"/>
          <w:sz w:val="24"/>
          <w:szCs w:val="24"/>
          <w:lang w:eastAsia="zh-CN"/>
        </w:rPr>
        <w:tab/>
      </w:r>
      <w:r w:rsidRPr="00B44D0D">
        <w:rPr>
          <w:rFonts w:ascii="Times New Roman" w:eastAsia="SimSun" w:hAnsi="Times New Roman"/>
          <w:b/>
          <w:position w:val="-48"/>
          <w:sz w:val="24"/>
          <w:szCs w:val="24"/>
          <w:lang w:eastAsia="zh-CN"/>
        </w:rPr>
        <w:tab/>
      </w:r>
    </w:p>
    <w:p w14:paraId="6D151883" w14:textId="77777777" w:rsidR="00454904" w:rsidRPr="00B44D0D" w:rsidRDefault="00454904" w:rsidP="002E76DD">
      <w:pPr>
        <w:spacing w:after="0" w:line="360" w:lineRule="auto"/>
        <w:jc w:val="both"/>
        <w:rPr>
          <w:rFonts w:ascii="Times New Roman" w:eastAsia="SimSun" w:hAnsi="Times New Roman"/>
          <w:b/>
          <w:sz w:val="24"/>
          <w:szCs w:val="24"/>
          <w:lang w:eastAsia="zh-CN"/>
        </w:rPr>
      </w:pPr>
      <w:r w:rsidRPr="00B44D0D">
        <w:rPr>
          <w:rFonts w:ascii="Times New Roman" w:eastAsia="SimSun" w:hAnsi="Times New Roman"/>
          <w:sz w:val="24"/>
          <w:szCs w:val="24"/>
          <w:lang w:eastAsia="zh-CN"/>
        </w:rPr>
        <w:lastRenderedPageBreak/>
        <w:t>The second component of the framework consists of a specific DCC (M, N) structure, which can be expressed as:</w:t>
      </w:r>
    </w:p>
    <w:p w14:paraId="5D5A57B1" w14:textId="77777777" w:rsidR="00454904" w:rsidRPr="00B44D0D" w:rsidRDefault="00454904" w:rsidP="00454904">
      <w:pPr>
        <w:spacing w:after="0" w:line="240" w:lineRule="auto"/>
        <w:jc w:val="center"/>
        <w:rPr>
          <w:rFonts w:ascii="Times New Roman" w:eastAsia="SimSun" w:hAnsi="Times New Roman"/>
          <w:position w:val="-12"/>
          <w:sz w:val="24"/>
          <w:szCs w:val="24"/>
          <w:lang w:eastAsia="zh-CN"/>
        </w:rPr>
      </w:pPr>
      <w:r w:rsidRPr="00B44D0D">
        <w:rPr>
          <w:rFonts w:ascii="Times New Roman" w:eastAsia="SimSun" w:hAnsi="Times New Roman"/>
          <w:position w:val="-12"/>
          <w:sz w:val="24"/>
          <w:szCs w:val="24"/>
          <w:lang w:eastAsia="zh-CN"/>
        </w:rPr>
        <w:t xml:space="preserve">                                             </w:t>
      </w:r>
      <w:r w:rsidRPr="00B44D0D">
        <w:rPr>
          <w:rFonts w:ascii="Times New Roman" w:eastAsia="SimSun" w:hAnsi="Times New Roman"/>
          <w:position w:val="-12"/>
          <w:sz w:val="24"/>
          <w:szCs w:val="24"/>
          <w:lang w:eastAsia="zh-CN"/>
        </w:rPr>
        <w:object w:dxaOrig="1520" w:dyaOrig="380" w14:anchorId="116957CC">
          <v:shape id="_x0000_i1046" type="#_x0000_t75" style="width:93.75pt;height:21.75pt" o:ole="">
            <v:imagedata r:id="rId43" o:title=""/>
          </v:shape>
          <o:OLEObject Type="Embed" ProgID="Equation.3" ShapeID="_x0000_i1046" DrawAspect="Content" ObjectID="_1704578321" r:id="rId44"/>
        </w:object>
      </w:r>
      <w:r w:rsidRPr="00B44D0D">
        <w:rPr>
          <w:rFonts w:ascii="Times New Roman" w:eastAsia="SimSun" w:hAnsi="Times New Roman"/>
          <w:position w:val="-12"/>
          <w:sz w:val="24"/>
          <w:szCs w:val="24"/>
          <w:lang w:eastAsia="zh-CN"/>
        </w:rPr>
        <w:t xml:space="preserve">         </w:t>
      </w:r>
      <w:r w:rsidRPr="00B44D0D">
        <w:rPr>
          <w:rFonts w:ascii="Times New Roman" w:eastAsia="SimSun" w:hAnsi="Times New Roman"/>
          <w:position w:val="-12"/>
          <w:sz w:val="24"/>
          <w:szCs w:val="24"/>
          <w:lang w:eastAsia="zh-CN"/>
        </w:rPr>
        <w:tab/>
      </w:r>
      <w:r w:rsidRPr="00B44D0D">
        <w:rPr>
          <w:rFonts w:ascii="Times New Roman" w:eastAsia="SimSun" w:hAnsi="Times New Roman"/>
          <w:position w:val="-12"/>
          <w:sz w:val="24"/>
          <w:szCs w:val="24"/>
          <w:lang w:eastAsia="zh-CN"/>
        </w:rPr>
        <w:tab/>
      </w:r>
      <w:r w:rsidRPr="00B44D0D">
        <w:rPr>
          <w:rFonts w:ascii="Times New Roman" w:eastAsia="SimSun" w:hAnsi="Times New Roman"/>
          <w:position w:val="-12"/>
          <w:sz w:val="24"/>
          <w:szCs w:val="24"/>
          <w:lang w:eastAsia="zh-CN"/>
        </w:rPr>
        <w:tab/>
      </w:r>
    </w:p>
    <w:p w14:paraId="6DE3161D" w14:textId="77777777" w:rsidR="00454904" w:rsidRPr="00B44D0D" w:rsidRDefault="00454904" w:rsidP="00454904">
      <w:pPr>
        <w:spacing w:after="0" w:line="240" w:lineRule="auto"/>
        <w:jc w:val="both"/>
        <w:rPr>
          <w:rFonts w:ascii="Times New Roman" w:eastAsia="SimSun" w:hAnsi="Times New Roman"/>
          <w:position w:val="-12"/>
          <w:sz w:val="24"/>
          <w:szCs w:val="24"/>
          <w:lang w:eastAsia="zh-CN"/>
        </w:rPr>
      </w:pPr>
    </w:p>
    <w:p w14:paraId="3BD43731" w14:textId="77777777" w:rsidR="00454904" w:rsidRPr="00B44D0D" w:rsidRDefault="00454904" w:rsidP="00454904">
      <w:pPr>
        <w:spacing w:after="0" w:line="24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Where the proposed dynamic correlation:</w:t>
      </w:r>
    </w:p>
    <w:p w14:paraId="575638ED" w14:textId="77777777" w:rsidR="00454904" w:rsidRPr="00B44D0D" w:rsidRDefault="00454904" w:rsidP="00454904">
      <w:pPr>
        <w:spacing w:after="0" w:line="240" w:lineRule="auto"/>
        <w:jc w:val="both"/>
        <w:rPr>
          <w:rFonts w:ascii="Times New Roman" w:eastAsia="SimSun" w:hAnsi="Times New Roman"/>
          <w:sz w:val="24"/>
          <w:szCs w:val="24"/>
          <w:lang w:eastAsia="zh-CN"/>
        </w:rPr>
      </w:pPr>
    </w:p>
    <w:p w14:paraId="21D2CC0B" w14:textId="77777777" w:rsidR="00454904" w:rsidRPr="00B44D0D" w:rsidRDefault="002C15FD" w:rsidP="00454904">
      <w:pPr>
        <w:spacing w:after="0" w:line="240" w:lineRule="auto"/>
        <w:jc w:val="both"/>
        <w:rPr>
          <w:rFonts w:ascii="Times New Roman" w:eastAsia="SimSun" w:hAnsi="Times New Roman"/>
          <w:sz w:val="24"/>
          <w:szCs w:val="24"/>
          <w:lang w:eastAsia="zh-CN"/>
        </w:rPr>
      </w:pPr>
      <w:r>
        <w:rPr>
          <w:noProof/>
          <w:sz w:val="24"/>
          <w:szCs w:val="24"/>
          <w:lang w:eastAsia="en-GB"/>
        </w:rPr>
        <w:object w:dxaOrig="1440" w:dyaOrig="1440" w14:anchorId="1159F75E">
          <v:shape id="_x0000_s1027" type="#_x0000_t75" style="position:absolute;left:0;text-align:left;margin-left:88.85pt;margin-top:2.05pt;width:282.9pt;height:35.95pt;z-index:251661312">
            <v:imagedata r:id="rId45" o:title=""/>
            <w10:wrap type="square" side="right"/>
          </v:shape>
          <o:OLEObject Type="Embed" ProgID="Equation.3" ShapeID="_x0000_s1027" DrawAspect="Content" ObjectID="_1704578352" r:id="rId46"/>
        </w:object>
      </w:r>
      <w:r w:rsidR="00454904" w:rsidRPr="00B44D0D">
        <w:rPr>
          <w:rFonts w:ascii="Times New Roman" w:eastAsia="SimSun" w:hAnsi="Times New Roman"/>
          <w:sz w:val="24"/>
          <w:szCs w:val="24"/>
          <w:lang w:eastAsia="zh-CN"/>
        </w:rPr>
        <w:br w:type="textWrapping" w:clear="all"/>
      </w:r>
    </w:p>
    <w:p w14:paraId="2EEA83B6" w14:textId="4996B942" w:rsidR="00454904" w:rsidRPr="00B44D0D" w:rsidRDefault="00454904" w:rsidP="002E76DD">
      <w:pPr>
        <w:spacing w:after="0" w:line="360" w:lineRule="auto"/>
        <w:jc w:val="both"/>
        <w:rPr>
          <w:rFonts w:ascii="Times New Roman" w:eastAsia="SimSun" w:hAnsi="Times New Roman"/>
          <w:sz w:val="24"/>
          <w:szCs w:val="24"/>
          <w:lang w:eastAsia="zh-CN"/>
        </w:rPr>
      </w:pPr>
      <w:r w:rsidRPr="00B44D0D">
        <w:rPr>
          <w:rFonts w:ascii="Times New Roman" w:eastAsia="SimSun" w:hAnsi="Times New Roman"/>
          <w:sz w:val="24"/>
          <w:szCs w:val="24"/>
          <w:lang w:eastAsia="zh-CN"/>
        </w:rPr>
        <w:t xml:space="preserve">Where </w:t>
      </w:r>
      <w:r w:rsidRPr="00B44D0D">
        <w:rPr>
          <w:rFonts w:ascii="Times New Roman" w:eastAsia="SimSun" w:hAnsi="Times New Roman"/>
          <w:i/>
          <w:sz w:val="24"/>
          <w:szCs w:val="24"/>
          <w:lang w:eastAsia="hu-HU"/>
        </w:rPr>
        <w:t>Q</w:t>
      </w:r>
      <w:r w:rsidRPr="00B44D0D">
        <w:rPr>
          <w:rFonts w:ascii="Times New Roman" w:eastAsia="SimSun" w:hAnsi="Times New Roman"/>
          <w:i/>
          <w:sz w:val="24"/>
          <w:szCs w:val="24"/>
          <w:vertAlign w:val="subscript"/>
          <w:lang w:eastAsia="hu-HU"/>
        </w:rPr>
        <w:t>t</w:t>
      </w:r>
      <w:r w:rsidRPr="00B44D0D">
        <w:rPr>
          <w:rFonts w:ascii="Times New Roman" w:eastAsia="SimSun" w:hAnsi="Times New Roman"/>
          <w:sz w:val="24"/>
          <w:szCs w:val="24"/>
          <w:lang w:eastAsia="hu-HU"/>
        </w:rPr>
        <w:t xml:space="preserve"> is the conditional variance-covariance matrix of residuals with its unconditional (time-invariant) variance-covariance matrix </w:t>
      </w:r>
      <w:r w:rsidRPr="00B44D0D">
        <w:rPr>
          <w:rFonts w:ascii="Times New Roman" w:eastAsia="SimSun" w:hAnsi="Times New Roman"/>
          <w:position w:val="-10"/>
          <w:sz w:val="24"/>
          <w:szCs w:val="24"/>
          <w:lang w:eastAsia="hu-HU"/>
        </w:rPr>
        <w:object w:dxaOrig="279" w:dyaOrig="360" w14:anchorId="437384D9">
          <v:shape id="_x0000_i1048" type="#_x0000_t75" style="width:15pt;height:15pt" o:ole="">
            <v:imagedata r:id="rId47" o:title=""/>
          </v:shape>
          <o:OLEObject Type="Embed" ProgID="Equation.3" ShapeID="_x0000_i1048" DrawAspect="Content" ObjectID="_1704578322" r:id="rId48"/>
        </w:object>
      </w:r>
      <w:r w:rsidRPr="00B44D0D">
        <w:rPr>
          <w:rFonts w:ascii="Times New Roman" w:eastAsia="SimSun" w:hAnsi="Times New Roman"/>
          <w:sz w:val="24"/>
          <w:szCs w:val="24"/>
          <w:lang w:eastAsia="hu-HU"/>
        </w:rPr>
        <w:t>resulting from</w:t>
      </w:r>
      <w:r w:rsidR="00C40748">
        <w:rPr>
          <w:rFonts w:ascii="Times New Roman" w:eastAsia="SimSun" w:hAnsi="Times New Roman"/>
          <w:sz w:val="24"/>
          <w:szCs w:val="24"/>
          <w:lang w:eastAsia="hu-HU"/>
        </w:rPr>
        <w:t xml:space="preserve"> above</w:t>
      </w:r>
      <w:r w:rsidRPr="00B44D0D">
        <w:rPr>
          <w:rFonts w:ascii="Times New Roman" w:eastAsia="SimSun" w:hAnsi="Times New Roman"/>
          <w:sz w:val="24"/>
          <w:szCs w:val="24"/>
          <w:lang w:eastAsia="hu-HU"/>
        </w:rPr>
        <w:t>. Q*</w:t>
      </w:r>
      <w:r w:rsidRPr="00B44D0D">
        <w:rPr>
          <w:rFonts w:ascii="Times New Roman" w:eastAsia="SimSun" w:hAnsi="Times New Roman"/>
          <w:sz w:val="24"/>
          <w:szCs w:val="24"/>
          <w:vertAlign w:val="subscript"/>
          <w:lang w:eastAsia="hu-HU"/>
        </w:rPr>
        <w:t xml:space="preserve">t </w:t>
      </w:r>
      <w:r w:rsidRPr="00B44D0D">
        <w:rPr>
          <w:rFonts w:ascii="Times New Roman" w:eastAsia="SimSun" w:hAnsi="Times New Roman"/>
          <w:sz w:val="24"/>
          <w:szCs w:val="24"/>
          <w:lang w:eastAsia="hu-HU"/>
        </w:rPr>
        <w:t>=</w:t>
      </w:r>
      <w:proofErr w:type="spellStart"/>
      <w:r w:rsidRPr="00B44D0D">
        <w:rPr>
          <w:rFonts w:ascii="Times New Roman" w:eastAsia="SimSun" w:hAnsi="Times New Roman"/>
          <w:sz w:val="24"/>
          <w:szCs w:val="24"/>
          <w:lang w:eastAsia="hu-HU"/>
        </w:rPr>
        <w:t>diag</w:t>
      </w:r>
      <w:proofErr w:type="spellEnd"/>
      <w:r w:rsidRPr="00B44D0D">
        <w:rPr>
          <w:rFonts w:ascii="Times New Roman" w:eastAsia="SimSun" w:hAnsi="Times New Roman"/>
          <w:sz w:val="24"/>
          <w:szCs w:val="24"/>
          <w:lang w:eastAsia="hu-HU"/>
        </w:rPr>
        <w:t xml:space="preserve"> {</w:t>
      </w:r>
      <m:oMath>
        <m:rad>
          <m:radPr>
            <m:degHide m:val="1"/>
            <m:ctrlPr>
              <w:rPr>
                <w:rFonts w:ascii="Cambria Math" w:eastAsia="SimSun" w:hAnsi="Cambria Math"/>
                <w:i/>
                <w:sz w:val="24"/>
                <w:szCs w:val="24"/>
                <w:lang w:eastAsia="hu-HU"/>
              </w:rPr>
            </m:ctrlPr>
          </m:radPr>
          <m:deg/>
          <m:e>
            <m:r>
              <w:rPr>
                <w:rFonts w:ascii="Cambria Math" w:eastAsia="SimSun" w:hAnsi="Cambria Math"/>
                <w:sz w:val="24"/>
                <w:szCs w:val="24"/>
                <w:lang w:eastAsia="hu-HU"/>
              </w:rPr>
              <m:t>q</m:t>
            </m:r>
          </m:e>
        </m:rad>
        <m:r>
          <w:rPr>
            <w:rFonts w:ascii="Cambria Math" w:eastAsia="SimSun" w:hAnsi="Cambria Math"/>
            <w:sz w:val="24"/>
            <w:szCs w:val="24"/>
            <w:lang w:eastAsia="hu-HU"/>
          </w:rPr>
          <m:t>ii</m:t>
        </m:r>
      </m:oMath>
      <w:r w:rsidRPr="00B44D0D">
        <w:rPr>
          <w:rFonts w:ascii="Times New Roman" w:eastAsia="SimSun" w:hAnsi="Times New Roman"/>
          <w:sz w:val="24"/>
          <w:szCs w:val="24"/>
          <w:lang w:eastAsia="hu-HU"/>
        </w:rPr>
        <w:t>}</w:t>
      </w:r>
    </w:p>
    <w:p w14:paraId="75CB9C0E" w14:textId="77777777" w:rsidR="00454904" w:rsidRPr="00B44D0D" w:rsidRDefault="00454904" w:rsidP="00454904">
      <w:pPr>
        <w:autoSpaceDE w:val="0"/>
        <w:autoSpaceDN w:val="0"/>
        <w:adjustRightInd w:val="0"/>
        <w:spacing w:after="0" w:line="240" w:lineRule="auto"/>
        <w:jc w:val="both"/>
        <w:rPr>
          <w:rFonts w:ascii="Times New Roman" w:hAnsi="Times New Roman"/>
          <w:sz w:val="24"/>
          <w:szCs w:val="24"/>
          <w:lang w:eastAsia="hu-HU"/>
        </w:rPr>
      </w:pPr>
    </w:p>
    <w:p w14:paraId="1F2EB51B" w14:textId="77777777" w:rsidR="00454904" w:rsidRPr="00B44D0D" w:rsidRDefault="00454904" w:rsidP="00454904">
      <w:pPr>
        <w:autoSpaceDE w:val="0"/>
        <w:autoSpaceDN w:val="0"/>
        <w:adjustRightInd w:val="0"/>
        <w:spacing w:after="0" w:line="240" w:lineRule="auto"/>
        <w:jc w:val="both"/>
        <w:rPr>
          <w:rFonts w:ascii="Times New Roman" w:hAnsi="Times New Roman"/>
          <w:sz w:val="24"/>
          <w:szCs w:val="24"/>
          <w:lang w:eastAsia="hu-HU"/>
        </w:rPr>
      </w:pPr>
      <w:r w:rsidRPr="00B44D0D">
        <w:rPr>
          <w:rFonts w:ascii="Times New Roman" w:hAnsi="Times New Roman"/>
          <w:sz w:val="24"/>
          <w:szCs w:val="24"/>
          <w:lang w:eastAsia="hu-HU"/>
        </w:rPr>
        <w:t>Especially, Engle (2002) specifies the DCC model through the GARCH (1, 1) -type process</w:t>
      </w:r>
    </w:p>
    <w:p w14:paraId="5DE69590" w14:textId="77777777" w:rsidR="00454904" w:rsidRPr="00B44D0D" w:rsidRDefault="00454904" w:rsidP="003D416C">
      <w:pPr>
        <w:autoSpaceDE w:val="0"/>
        <w:autoSpaceDN w:val="0"/>
        <w:adjustRightInd w:val="0"/>
        <w:spacing w:after="0" w:line="240" w:lineRule="auto"/>
        <w:jc w:val="center"/>
        <w:rPr>
          <w:rFonts w:ascii="Times New Roman" w:hAnsi="Times New Roman"/>
          <w:sz w:val="24"/>
          <w:szCs w:val="24"/>
          <w:lang w:eastAsia="hu-HU"/>
        </w:rPr>
      </w:pPr>
      <w:r w:rsidRPr="00B44D0D">
        <w:rPr>
          <w:rFonts w:ascii="Times New Roman" w:hAnsi="Times New Roman"/>
          <w:position w:val="-14"/>
          <w:sz w:val="24"/>
          <w:szCs w:val="24"/>
          <w:lang w:eastAsia="hu-HU"/>
        </w:rPr>
        <w:object w:dxaOrig="4020" w:dyaOrig="420" w14:anchorId="41BC5F69">
          <v:shape id="_x0000_i1049" type="#_x0000_t75" style="width:237.75pt;height:21.75pt" o:ole="">
            <v:imagedata r:id="rId49" o:title=""/>
          </v:shape>
          <o:OLEObject Type="Embed" ProgID="Equation.3" ShapeID="_x0000_i1049" DrawAspect="Content" ObjectID="_1704578323" r:id="rId50"/>
        </w:object>
      </w:r>
      <w:r w:rsidRPr="00B44D0D">
        <w:rPr>
          <w:rFonts w:ascii="Times New Roman" w:hAnsi="Times New Roman"/>
          <w:sz w:val="24"/>
          <w:szCs w:val="24"/>
          <w:lang w:eastAsia="hu-HU"/>
        </w:rPr>
        <w:t xml:space="preserve">             </w:t>
      </w:r>
      <w:proofErr w:type="spellStart"/>
      <w:r w:rsidRPr="00B44D0D">
        <w:rPr>
          <w:rFonts w:ascii="Times New Roman" w:hAnsi="Times New Roman"/>
          <w:i/>
          <w:sz w:val="24"/>
          <w:szCs w:val="24"/>
          <w:lang w:eastAsia="hu-HU"/>
        </w:rPr>
        <w:t>i</w:t>
      </w:r>
      <w:proofErr w:type="spellEnd"/>
      <w:r w:rsidRPr="00B44D0D">
        <w:rPr>
          <w:rFonts w:ascii="Times New Roman" w:hAnsi="Times New Roman"/>
          <w:i/>
          <w:sz w:val="24"/>
          <w:szCs w:val="24"/>
          <w:lang w:eastAsia="hu-HU"/>
        </w:rPr>
        <w:t>, j</w:t>
      </w:r>
      <w:r w:rsidR="003D416C" w:rsidRPr="00B44D0D">
        <w:rPr>
          <w:rFonts w:ascii="Times New Roman" w:hAnsi="Times New Roman"/>
          <w:sz w:val="24"/>
          <w:szCs w:val="24"/>
          <w:lang w:eastAsia="hu-HU"/>
        </w:rPr>
        <w:t>=1,2</w:t>
      </w:r>
    </w:p>
    <w:p w14:paraId="72049D76" w14:textId="1E528B99" w:rsidR="00454904" w:rsidRPr="00B44D0D" w:rsidRDefault="00454904" w:rsidP="00454904">
      <w:pPr>
        <w:autoSpaceDE w:val="0"/>
        <w:autoSpaceDN w:val="0"/>
        <w:adjustRightInd w:val="0"/>
        <w:spacing w:after="0" w:line="360" w:lineRule="auto"/>
        <w:jc w:val="both"/>
        <w:rPr>
          <w:rFonts w:ascii="Times New Roman" w:hAnsi="Times New Roman"/>
          <w:sz w:val="24"/>
          <w:szCs w:val="24"/>
          <w:lang w:eastAsia="hu-HU"/>
        </w:rPr>
      </w:pPr>
      <w:r w:rsidRPr="00B44D0D">
        <w:rPr>
          <w:rFonts w:ascii="Times New Roman" w:hAnsi="Times New Roman"/>
          <w:sz w:val="24"/>
          <w:szCs w:val="24"/>
          <w:lang w:eastAsia="hu-HU"/>
        </w:rPr>
        <w:t xml:space="preserve">Where </w:t>
      </w:r>
      <w:r w:rsidRPr="00B44D0D">
        <w:rPr>
          <w:rFonts w:ascii="Times New Roman" w:hAnsi="Times New Roman"/>
          <w:sz w:val="24"/>
          <w:szCs w:val="24"/>
          <w:lang w:eastAsia="hu-HU"/>
        </w:rPr>
        <w:tab/>
      </w:r>
      <w:r w:rsidRPr="00B44D0D">
        <w:rPr>
          <w:rFonts w:ascii="Times New Roman" w:hAnsi="Times New Roman"/>
          <w:position w:val="-10"/>
          <w:sz w:val="24"/>
          <w:szCs w:val="24"/>
          <w:lang w:eastAsia="hu-HU"/>
        </w:rPr>
        <w:object w:dxaOrig="400" w:dyaOrig="380" w14:anchorId="72A50C2B">
          <v:shape id="_x0000_i1050" type="#_x0000_t75" style="width:21.75pt;height:21.75pt" o:ole="">
            <v:imagedata r:id="rId51" o:title=""/>
          </v:shape>
          <o:OLEObject Type="Embed" ProgID="Equation.3" ShapeID="_x0000_i1050" DrawAspect="Content" ObjectID="_1704578324" r:id="rId52"/>
        </w:object>
      </w:r>
      <w:r w:rsidRPr="00B44D0D">
        <w:rPr>
          <w:rFonts w:ascii="Times New Roman" w:hAnsi="Times New Roman"/>
          <w:sz w:val="24"/>
          <w:szCs w:val="24"/>
          <w:lang w:eastAsia="hu-HU"/>
        </w:rPr>
        <w:t xml:space="preserve"> is the assumed constant correlation between </w:t>
      </w:r>
      <w:r w:rsidRPr="00B44D0D">
        <w:rPr>
          <w:rFonts w:ascii="Times New Roman" w:hAnsi="Lucida Sans Unicode"/>
          <w:i/>
          <w:sz w:val="24"/>
          <w:szCs w:val="24"/>
          <w:lang w:eastAsia="hu-HU"/>
        </w:rPr>
        <w:t>Ɛ</w:t>
      </w:r>
      <w:proofErr w:type="gramStart"/>
      <w:r w:rsidRPr="00B44D0D">
        <w:rPr>
          <w:rFonts w:ascii="Times New Roman" w:hAnsi="Times New Roman"/>
          <w:i/>
          <w:sz w:val="24"/>
          <w:szCs w:val="24"/>
          <w:vertAlign w:val="subscript"/>
          <w:lang w:eastAsia="hu-HU"/>
        </w:rPr>
        <w:t>1,t</w:t>
      </w:r>
      <w:proofErr w:type="gramEnd"/>
      <w:r w:rsidRPr="00B44D0D">
        <w:rPr>
          <w:rFonts w:ascii="Times New Roman" w:hAnsi="Times New Roman"/>
          <w:sz w:val="24"/>
          <w:szCs w:val="24"/>
          <w:vertAlign w:val="subscript"/>
          <w:lang w:eastAsia="hu-HU"/>
        </w:rPr>
        <w:t xml:space="preserve">  </w:t>
      </w:r>
      <w:r w:rsidRPr="00B44D0D">
        <w:rPr>
          <w:rFonts w:ascii="Times New Roman" w:hAnsi="Times New Roman"/>
          <w:sz w:val="24"/>
          <w:szCs w:val="24"/>
          <w:lang w:eastAsia="hu-HU"/>
        </w:rPr>
        <w:t xml:space="preserve">and </w:t>
      </w:r>
      <w:r w:rsidRPr="00B44D0D">
        <w:rPr>
          <w:rFonts w:ascii="Times New Roman" w:hAnsi="Lucida Sans Unicode"/>
          <w:i/>
          <w:sz w:val="24"/>
          <w:szCs w:val="24"/>
          <w:lang w:eastAsia="hu-HU"/>
        </w:rPr>
        <w:t>Ɛ</w:t>
      </w:r>
      <w:r w:rsidRPr="00B44D0D">
        <w:rPr>
          <w:rFonts w:ascii="Times New Roman" w:hAnsi="Times New Roman"/>
          <w:i/>
          <w:sz w:val="24"/>
          <w:szCs w:val="24"/>
          <w:vertAlign w:val="subscript"/>
          <w:lang w:eastAsia="hu-HU"/>
        </w:rPr>
        <w:t>2,t</w:t>
      </w:r>
      <w:r w:rsidRPr="00B44D0D">
        <w:rPr>
          <w:rFonts w:ascii="Times New Roman" w:hAnsi="Times New Roman"/>
          <w:sz w:val="24"/>
          <w:szCs w:val="24"/>
          <w:vertAlign w:val="subscript"/>
          <w:lang w:eastAsia="hu-HU"/>
        </w:rPr>
        <w:t xml:space="preserve">  ,  </w:t>
      </w:r>
      <w:r w:rsidRPr="00B44D0D">
        <w:rPr>
          <w:rFonts w:ascii="Times New Roman" w:hAnsi="Times New Roman"/>
          <w:i/>
          <w:sz w:val="24"/>
          <w:szCs w:val="24"/>
          <w:lang w:eastAsia="hu-HU"/>
        </w:rPr>
        <w:t xml:space="preserve">α </w:t>
      </w:r>
      <w:r w:rsidRPr="00B44D0D">
        <w:rPr>
          <w:rFonts w:ascii="Times New Roman" w:hAnsi="Times New Roman"/>
          <w:sz w:val="24"/>
          <w:szCs w:val="24"/>
          <w:lang w:eastAsia="hu-HU"/>
        </w:rPr>
        <w:t xml:space="preserve">is the new coefficient and </w:t>
      </w:r>
      <w:r w:rsidRPr="00B44D0D">
        <w:rPr>
          <w:rFonts w:ascii="Times New Roman" w:hAnsi="Times New Roman"/>
          <w:i/>
          <w:sz w:val="24"/>
          <w:szCs w:val="24"/>
          <w:lang w:eastAsia="hu-HU"/>
        </w:rPr>
        <w:t xml:space="preserve">β </w:t>
      </w:r>
      <w:r w:rsidRPr="00B44D0D">
        <w:rPr>
          <w:rFonts w:ascii="Times New Roman" w:hAnsi="Times New Roman"/>
          <w:sz w:val="24"/>
          <w:szCs w:val="24"/>
          <w:lang w:eastAsia="hu-HU"/>
        </w:rPr>
        <w:t xml:space="preserve">is the decay coefficient.  The model will be </w:t>
      </w:r>
      <w:r w:rsidR="007C6747" w:rsidRPr="00B44D0D">
        <w:rPr>
          <w:rFonts w:ascii="Times New Roman" w:hAnsi="Times New Roman"/>
          <w:sz w:val="24"/>
          <w:szCs w:val="24"/>
          <w:lang w:eastAsia="hu-HU"/>
        </w:rPr>
        <w:t>mean reverting</w:t>
      </w:r>
      <w:r w:rsidRPr="00B44D0D">
        <w:rPr>
          <w:rFonts w:ascii="Times New Roman" w:hAnsi="Times New Roman"/>
          <w:sz w:val="24"/>
          <w:szCs w:val="24"/>
          <w:lang w:eastAsia="hu-HU"/>
        </w:rPr>
        <w:t xml:space="preserve"> if </w:t>
      </w:r>
      <w:r w:rsidRPr="00B44D0D">
        <w:rPr>
          <w:rFonts w:ascii="Times New Roman" w:hAnsi="Times New Roman"/>
          <w:i/>
          <w:sz w:val="24"/>
          <w:szCs w:val="24"/>
          <w:lang w:eastAsia="hu-HU"/>
        </w:rPr>
        <w:t>α+β&lt;1.</w:t>
      </w:r>
      <w:r w:rsidRPr="00B44D0D">
        <w:rPr>
          <w:rFonts w:ascii="Times New Roman" w:hAnsi="Times New Roman"/>
          <w:sz w:val="24"/>
          <w:szCs w:val="24"/>
          <w:lang w:eastAsia="hu-HU"/>
        </w:rPr>
        <w:t xml:space="preserve"> </w:t>
      </w:r>
    </w:p>
    <w:p w14:paraId="3619A424" w14:textId="77777777" w:rsidR="00454904" w:rsidRPr="00B44D0D" w:rsidRDefault="00454904" w:rsidP="00454904">
      <w:pPr>
        <w:autoSpaceDE w:val="0"/>
        <w:autoSpaceDN w:val="0"/>
        <w:adjustRightInd w:val="0"/>
        <w:spacing w:after="0" w:line="360" w:lineRule="auto"/>
        <w:jc w:val="both"/>
        <w:rPr>
          <w:rFonts w:ascii="Times New Roman" w:hAnsi="Times New Roman"/>
          <w:sz w:val="24"/>
          <w:szCs w:val="24"/>
          <w:lang w:eastAsia="hu-HU"/>
        </w:rPr>
      </w:pPr>
      <w:r w:rsidRPr="00B44D0D">
        <w:rPr>
          <w:rFonts w:ascii="Times New Roman" w:hAnsi="Times New Roman"/>
          <w:sz w:val="24"/>
          <w:szCs w:val="24"/>
          <w:lang w:eastAsia="hu-HU"/>
        </w:rPr>
        <w:t xml:space="preserve">The quantity </w:t>
      </w:r>
      <w:r w:rsidRPr="00B44D0D">
        <w:rPr>
          <w:rFonts w:ascii="Times New Roman" w:hAnsi="Times New Roman"/>
          <w:i/>
          <w:sz w:val="24"/>
          <w:szCs w:val="24"/>
          <w:lang w:eastAsia="hu-HU"/>
        </w:rPr>
        <w:t>q</w:t>
      </w:r>
      <w:proofErr w:type="gramStart"/>
      <w:r w:rsidRPr="00B44D0D">
        <w:rPr>
          <w:rFonts w:ascii="Times New Roman" w:hAnsi="Times New Roman"/>
          <w:i/>
          <w:sz w:val="24"/>
          <w:szCs w:val="24"/>
          <w:vertAlign w:val="subscript"/>
          <w:lang w:eastAsia="hu-HU"/>
        </w:rPr>
        <w:t>12,t</w:t>
      </w:r>
      <w:proofErr w:type="gramEnd"/>
      <w:r w:rsidRPr="00B44D0D">
        <w:rPr>
          <w:rFonts w:ascii="Times New Roman" w:hAnsi="Times New Roman"/>
          <w:sz w:val="24"/>
          <w:szCs w:val="24"/>
          <w:vertAlign w:val="subscript"/>
          <w:lang w:eastAsia="hu-HU"/>
        </w:rPr>
        <w:t xml:space="preserve">    </w:t>
      </w:r>
      <w:r w:rsidRPr="00B44D0D">
        <w:rPr>
          <w:rFonts w:ascii="Times New Roman" w:hAnsi="Times New Roman"/>
          <w:sz w:val="24"/>
          <w:szCs w:val="24"/>
          <w:lang w:eastAsia="hu-HU"/>
        </w:rPr>
        <w:t>from the above equation</w:t>
      </w:r>
      <w:r w:rsidRPr="00B44D0D">
        <w:rPr>
          <w:rFonts w:ascii="Times New Roman" w:hAnsi="Times New Roman"/>
          <w:sz w:val="24"/>
          <w:szCs w:val="24"/>
          <w:vertAlign w:val="subscript"/>
          <w:lang w:eastAsia="hu-HU"/>
        </w:rPr>
        <w:t xml:space="preserve">  </w:t>
      </w:r>
      <w:r w:rsidRPr="00B44D0D">
        <w:rPr>
          <w:rFonts w:ascii="Times New Roman" w:hAnsi="Times New Roman"/>
          <w:sz w:val="24"/>
          <w:szCs w:val="24"/>
          <w:lang w:eastAsia="hu-HU"/>
        </w:rPr>
        <w:t xml:space="preserve">is normalised using </w:t>
      </w:r>
    </w:p>
    <w:p w14:paraId="10BABEB1" w14:textId="77777777" w:rsidR="00454904" w:rsidRPr="00B44D0D" w:rsidRDefault="002C15FD" w:rsidP="00454904">
      <w:pPr>
        <w:autoSpaceDE w:val="0"/>
        <w:autoSpaceDN w:val="0"/>
        <w:adjustRightInd w:val="0"/>
        <w:spacing w:after="0" w:line="240" w:lineRule="auto"/>
        <w:rPr>
          <w:rFonts w:ascii="Times New Roman" w:hAnsi="Times New Roman"/>
          <w:sz w:val="24"/>
          <w:szCs w:val="24"/>
          <w:lang w:eastAsia="hu-HU"/>
        </w:rPr>
      </w:pPr>
      <w:r>
        <w:rPr>
          <w:noProof/>
          <w:sz w:val="24"/>
          <w:szCs w:val="24"/>
          <w:lang w:eastAsia="en-GB"/>
        </w:rPr>
        <w:object w:dxaOrig="1440" w:dyaOrig="1440" w14:anchorId="40D0C355">
          <v:shape id="_x0000_s1028" type="#_x0000_t75" style="position:absolute;margin-left:135pt;margin-top:6.35pt;width:108.5pt;height:49.65pt;z-index:251662336">
            <v:imagedata r:id="rId53" o:title=""/>
            <w10:wrap type="square" side="right"/>
          </v:shape>
          <o:OLEObject Type="Embed" ProgID="Equation.3" ShapeID="_x0000_s1028" DrawAspect="Content" ObjectID="_1704578353" r:id="rId54"/>
        </w:object>
      </w:r>
    </w:p>
    <w:p w14:paraId="673235F5" w14:textId="77777777" w:rsidR="00454904" w:rsidRPr="00B44D0D" w:rsidRDefault="00454904" w:rsidP="00454904">
      <w:pPr>
        <w:autoSpaceDE w:val="0"/>
        <w:autoSpaceDN w:val="0"/>
        <w:adjustRightInd w:val="0"/>
        <w:spacing w:after="0" w:line="240" w:lineRule="auto"/>
        <w:jc w:val="right"/>
        <w:rPr>
          <w:rFonts w:ascii="Times New Roman" w:hAnsi="Times New Roman"/>
          <w:sz w:val="24"/>
          <w:szCs w:val="24"/>
          <w:lang w:eastAsia="hu-HU"/>
        </w:rPr>
      </w:pPr>
      <w:r w:rsidRPr="00B44D0D">
        <w:rPr>
          <w:rFonts w:ascii="Times New Roman" w:hAnsi="Times New Roman"/>
          <w:sz w:val="24"/>
          <w:szCs w:val="24"/>
          <w:lang w:eastAsia="hu-HU"/>
        </w:rPr>
        <w:br w:type="textWrapping" w:clear="all"/>
      </w:r>
    </w:p>
    <w:p w14:paraId="0C4CF7E9" w14:textId="77777777" w:rsidR="00454904" w:rsidRPr="00B44D0D" w:rsidRDefault="00454904" w:rsidP="00454904">
      <w:pPr>
        <w:tabs>
          <w:tab w:val="left" w:pos="709"/>
        </w:tabs>
        <w:spacing w:after="0" w:line="360" w:lineRule="auto"/>
        <w:jc w:val="both"/>
        <w:rPr>
          <w:rFonts w:ascii="Times New Roman" w:hAnsi="Times New Roman"/>
          <w:sz w:val="24"/>
          <w:szCs w:val="24"/>
        </w:rPr>
      </w:pPr>
    </w:p>
    <w:p w14:paraId="7FCF5B71" w14:textId="30536985" w:rsidR="00454904" w:rsidRPr="00B44D0D" w:rsidRDefault="00454904" w:rsidP="00454904">
      <w:pPr>
        <w:tabs>
          <w:tab w:val="left" w:pos="709"/>
        </w:tabs>
        <w:spacing w:after="0" w:line="360" w:lineRule="auto"/>
        <w:jc w:val="both"/>
        <w:rPr>
          <w:rFonts w:ascii="Times New Roman" w:hAnsi="Times New Roman"/>
          <w:sz w:val="24"/>
          <w:szCs w:val="24"/>
          <w:lang w:eastAsia="zh-CN"/>
        </w:rPr>
      </w:pPr>
      <w:r w:rsidRPr="00B44D0D">
        <w:rPr>
          <w:rFonts w:ascii="Times New Roman" w:hAnsi="Times New Roman"/>
          <w:sz w:val="24"/>
          <w:szCs w:val="24"/>
        </w:rPr>
        <w:t>Considering the difficulty of discerning the large number of coefficients obtained from the BEKK model (</w:t>
      </w:r>
      <w:r w:rsidR="002E76DD" w:rsidRPr="00B44D0D">
        <w:rPr>
          <w:rFonts w:ascii="Times New Roman" w:hAnsi="Times New Roman"/>
          <w:sz w:val="24"/>
          <w:szCs w:val="24"/>
        </w:rPr>
        <w:t>e.g.,</w:t>
      </w:r>
      <w:r w:rsidRPr="00B44D0D">
        <w:rPr>
          <w:rFonts w:ascii="Times New Roman" w:hAnsi="Times New Roman"/>
          <w:sz w:val="24"/>
          <w:szCs w:val="24"/>
        </w:rPr>
        <w:t xml:space="preserve"> k=4, No. Parameters=42 for a </w:t>
      </w:r>
      <w:r w:rsidR="007C6747" w:rsidRPr="00B44D0D">
        <w:rPr>
          <w:rFonts w:ascii="Times New Roman" w:hAnsi="Times New Roman"/>
          <w:sz w:val="24"/>
          <w:szCs w:val="24"/>
        </w:rPr>
        <w:t>four-dimension</w:t>
      </w:r>
      <w:r w:rsidRPr="00B44D0D">
        <w:rPr>
          <w:rFonts w:ascii="Times New Roman" w:hAnsi="Times New Roman"/>
          <w:sz w:val="24"/>
          <w:szCs w:val="24"/>
        </w:rPr>
        <w:t xml:space="preserve"> BEKK), the pair-wise bivariate BEKK model is used to investigate liquidity transmission between different measurements. </w:t>
      </w:r>
      <w:r w:rsidRPr="00B44D0D">
        <w:rPr>
          <w:rFonts w:ascii="Times New Roman" w:hAnsi="Times New Roman"/>
          <w:sz w:val="24"/>
          <w:szCs w:val="24"/>
          <w:lang w:eastAsia="zh-CN"/>
        </w:rPr>
        <w:t xml:space="preserve">The second moment of a bivariate full BEKK can be represented as, </w:t>
      </w:r>
    </w:p>
    <w:p w14:paraId="50F3E7EC" w14:textId="77777777" w:rsidR="00454904" w:rsidRPr="00B44D0D" w:rsidRDefault="00454904" w:rsidP="00454904">
      <w:pPr>
        <w:tabs>
          <w:tab w:val="left" w:pos="709"/>
        </w:tabs>
        <w:spacing w:after="0" w:line="360" w:lineRule="auto"/>
        <w:jc w:val="both"/>
        <w:rPr>
          <w:rFonts w:ascii="Times New Roman" w:hAnsi="Times New Roman"/>
          <w:sz w:val="24"/>
          <w:szCs w:val="24"/>
        </w:rPr>
      </w:pPr>
    </w:p>
    <w:p w14:paraId="38153BE6" w14:textId="77777777" w:rsidR="00454904" w:rsidRPr="00B44D0D" w:rsidRDefault="00454904" w:rsidP="00454904">
      <w:pPr>
        <w:tabs>
          <w:tab w:val="left" w:pos="-142"/>
          <w:tab w:val="left" w:pos="709"/>
        </w:tabs>
        <w:spacing w:after="0" w:line="360" w:lineRule="auto"/>
        <w:jc w:val="both"/>
        <w:rPr>
          <w:rFonts w:ascii="Times New Roman" w:hAnsi="Times New Roman"/>
          <w:sz w:val="24"/>
          <w:szCs w:val="24"/>
        </w:rPr>
      </w:pPr>
      <w:r w:rsidRPr="00B44D0D">
        <w:rPr>
          <w:noProof/>
          <w:position w:val="-36"/>
          <w:sz w:val="24"/>
          <w:szCs w:val="24"/>
          <w:lang w:eastAsia="en-GB"/>
        </w:rPr>
        <w:drawing>
          <wp:anchor distT="0" distB="0" distL="114300" distR="114300" simplePos="0" relativeHeight="251663360" behindDoc="0" locked="0" layoutInCell="1" allowOverlap="1" wp14:anchorId="23E27B82" wp14:editId="42A8E5B8">
            <wp:simplePos x="0" y="0"/>
            <wp:positionH relativeFrom="column">
              <wp:posOffset>268605</wp:posOffset>
            </wp:positionH>
            <wp:positionV relativeFrom="paragraph">
              <wp:posOffset>19050</wp:posOffset>
            </wp:positionV>
            <wp:extent cx="5143500" cy="559435"/>
            <wp:effectExtent l="0" t="0" r="0" b="0"/>
            <wp:wrapSquare wrapText="right"/>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43500" cy="559435"/>
                    </a:xfrm>
                    <a:prstGeom prst="rect">
                      <a:avLst/>
                    </a:prstGeom>
                    <a:noFill/>
                  </pic:spPr>
                </pic:pic>
              </a:graphicData>
            </a:graphic>
          </wp:anchor>
        </w:drawing>
      </w:r>
    </w:p>
    <w:p w14:paraId="21A7C75D" w14:textId="14E52BF9" w:rsidR="00454904" w:rsidRPr="00B44D0D" w:rsidRDefault="00454904" w:rsidP="003D416C">
      <w:pPr>
        <w:tabs>
          <w:tab w:val="left" w:pos="-142"/>
          <w:tab w:val="left" w:pos="709"/>
        </w:tabs>
        <w:spacing w:after="0" w:line="360" w:lineRule="auto"/>
        <w:jc w:val="both"/>
        <w:rPr>
          <w:rFonts w:ascii="Times New Roman" w:eastAsiaTheme="minorEastAsia" w:hAnsi="Times New Roman" w:cs="Times New Roman"/>
          <w:sz w:val="24"/>
          <w:szCs w:val="24"/>
        </w:rPr>
      </w:pPr>
      <w:r w:rsidRPr="00B44D0D">
        <w:rPr>
          <w:rFonts w:ascii="Times New Roman" w:hAnsi="Times New Roman"/>
          <w:sz w:val="24"/>
          <w:szCs w:val="24"/>
        </w:rPr>
        <w:t xml:space="preserve">The parameter vector consists of elements of C which is a lower triangular matrix. The 2×2 matrix </w:t>
      </w:r>
      <w:proofErr w:type="spellStart"/>
      <w:r w:rsidRPr="00B44D0D">
        <w:rPr>
          <w:rFonts w:ascii="Times New Roman" w:hAnsi="Times New Roman"/>
          <w:sz w:val="24"/>
          <w:szCs w:val="24"/>
        </w:rPr>
        <w:t>A</w:t>
      </w:r>
      <w:r w:rsidRPr="00B44D0D">
        <w:rPr>
          <w:rFonts w:ascii="Times New Roman" w:hAnsi="Times New Roman"/>
          <w:sz w:val="24"/>
          <w:szCs w:val="24"/>
          <w:vertAlign w:val="subscript"/>
        </w:rPr>
        <w:t>ij</w:t>
      </w:r>
      <w:proofErr w:type="spellEnd"/>
      <w:r w:rsidRPr="00B44D0D">
        <w:rPr>
          <w:rFonts w:ascii="Times New Roman" w:hAnsi="Times New Roman"/>
          <w:sz w:val="24"/>
          <w:szCs w:val="24"/>
          <w:vertAlign w:val="subscript"/>
        </w:rPr>
        <w:t xml:space="preserve"> </w:t>
      </w:r>
      <w:r w:rsidRPr="00B44D0D">
        <w:rPr>
          <w:rFonts w:ascii="Times New Roman" w:hAnsi="Times New Roman"/>
          <w:sz w:val="24"/>
          <w:szCs w:val="24"/>
        </w:rPr>
        <w:t xml:space="preserve">shows the ARCH effects and there is particular interest in the 2×2 matrix </w:t>
      </w:r>
      <w:proofErr w:type="spellStart"/>
      <w:r w:rsidRPr="00B44D0D">
        <w:rPr>
          <w:rFonts w:ascii="Times New Roman" w:hAnsi="Times New Roman"/>
          <w:sz w:val="24"/>
          <w:szCs w:val="24"/>
        </w:rPr>
        <w:t>G</w:t>
      </w:r>
      <w:r w:rsidRPr="00B44D0D">
        <w:rPr>
          <w:rFonts w:ascii="Times New Roman" w:hAnsi="Times New Roman"/>
          <w:sz w:val="24"/>
          <w:szCs w:val="24"/>
          <w:vertAlign w:val="subscript"/>
        </w:rPr>
        <w:t>ij</w:t>
      </w:r>
      <w:proofErr w:type="spellEnd"/>
      <w:r w:rsidRPr="00B44D0D">
        <w:rPr>
          <w:rFonts w:ascii="Times New Roman" w:hAnsi="Times New Roman"/>
          <w:sz w:val="24"/>
          <w:szCs w:val="24"/>
          <w:vertAlign w:val="subscript"/>
        </w:rPr>
        <w:t>,</w:t>
      </w:r>
      <w:r w:rsidRPr="00B44D0D">
        <w:rPr>
          <w:rFonts w:ascii="Times New Roman" w:hAnsi="Times New Roman"/>
          <w:sz w:val="24"/>
          <w:szCs w:val="24"/>
        </w:rPr>
        <w:t xml:space="preserve"> which reveals the GARCH effects. The diagonal elements in the parameter matrix G measure the effect of lagged liquidity and the off-diagonal elements capture the </w:t>
      </w:r>
      <w:r w:rsidR="007C6747" w:rsidRPr="00B44D0D">
        <w:rPr>
          <w:rFonts w:ascii="Times New Roman" w:hAnsi="Times New Roman"/>
          <w:sz w:val="24"/>
          <w:szCs w:val="24"/>
        </w:rPr>
        <w:t>cross-liquidity</w:t>
      </w:r>
      <w:r w:rsidRPr="00B44D0D">
        <w:rPr>
          <w:rFonts w:ascii="Times New Roman" w:hAnsi="Times New Roman"/>
          <w:sz w:val="24"/>
          <w:szCs w:val="24"/>
        </w:rPr>
        <w:t xml:space="preserve"> channel effects. As a result, the BEKK model is preferred to investigate liquidity transmission. </w:t>
      </w:r>
    </w:p>
    <w:p w14:paraId="2F84A502" w14:textId="2991E293" w:rsidR="00454904" w:rsidRPr="00B44D0D" w:rsidRDefault="0065539B" w:rsidP="002E76DD">
      <w:pPr>
        <w:pStyle w:val="Heading2"/>
      </w:pPr>
      <w:bookmarkStart w:id="73" w:name="_Toc370414667"/>
      <w:bookmarkStart w:id="74" w:name="_Toc370669150"/>
      <w:bookmarkStart w:id="75" w:name="_Toc370669597"/>
      <w:bookmarkStart w:id="76" w:name="_Toc90499953"/>
      <w:r>
        <w:lastRenderedPageBreak/>
        <w:t>1.</w:t>
      </w:r>
      <w:r w:rsidR="0022256D">
        <w:t>3.1</w:t>
      </w:r>
      <w:r w:rsidR="00C83870">
        <w:t>8</w:t>
      </w:r>
      <w:r w:rsidR="0022256D">
        <w:t xml:space="preserve"> </w:t>
      </w:r>
      <w:r w:rsidR="00454904" w:rsidRPr="00B44D0D">
        <w:t>ARMA-DCC</w:t>
      </w:r>
      <w:bookmarkEnd w:id="73"/>
      <w:bookmarkEnd w:id="74"/>
      <w:bookmarkEnd w:id="75"/>
      <w:bookmarkEnd w:id="76"/>
      <w:r w:rsidR="00454904" w:rsidRPr="00B44D0D">
        <w:t xml:space="preserve"> </w:t>
      </w:r>
    </w:p>
    <w:p w14:paraId="0EBB086F"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The DCC model assumes that returns from </w:t>
      </w:r>
      <w:r w:rsidRPr="007C6747">
        <w:rPr>
          <w:rFonts w:ascii="Times New Roman" w:hAnsi="Times New Roman" w:cs="Times New Roman"/>
          <w:i/>
          <w:sz w:val="24"/>
          <w:szCs w:val="24"/>
        </w:rPr>
        <w:t>k</w:t>
      </w:r>
      <w:r w:rsidRPr="007C6747">
        <w:rPr>
          <w:rFonts w:ascii="Times New Roman" w:hAnsi="Times New Roman" w:cs="Times New Roman"/>
          <w:sz w:val="24"/>
          <w:szCs w:val="24"/>
        </w:rPr>
        <w:t xml:space="preserve"> assets are conditionally multivariate normal with zero mean and covariance matrix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Pr="007C6747">
        <w:rPr>
          <w:rFonts w:ascii="Times New Roman" w:hAnsi="Times New Roman" w:cs="Times New Roman"/>
          <w:i/>
          <w:sz w:val="24"/>
          <w:szCs w:val="24"/>
        </w:rPr>
        <w:t>.</w:t>
      </w:r>
      <w:r w:rsidRPr="007C6747">
        <w:rPr>
          <w:rFonts w:ascii="Times New Roman" w:hAnsi="Times New Roman" w:cs="Times New Roman"/>
          <w:sz w:val="24"/>
          <w:szCs w:val="24"/>
        </w:rPr>
        <w:t xml:space="preserve"> The returns can be either zero mean or the residuals from a filtered time series. </w:t>
      </w:r>
    </w:p>
    <w:p w14:paraId="383F4179" w14:textId="77777777" w:rsidR="00454904" w:rsidRPr="007C6747" w:rsidRDefault="002C15FD" w:rsidP="007C6747">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t-1</m:t>
                  </m:r>
                </m:sub>
              </m:sSub>
            </m:e>
          </m:d>
          <m:r>
            <w:rPr>
              <w:rFonts w:ascii="Cambria Math" w:hAnsi="Cambria Math" w:cs="Times New Roman"/>
              <w:sz w:val="24"/>
              <w:szCs w:val="24"/>
            </w:rPr>
            <m:t>~N(0,</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oMath>
      </m:oMathPara>
    </w:p>
    <w:p w14:paraId="6DBF8CCE" w14:textId="77777777" w:rsidR="00454904" w:rsidRPr="007C6747" w:rsidRDefault="002C15FD" w:rsidP="007C6747">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m:oMathPara>
    </w:p>
    <w:p w14:paraId="6889B079" w14:textId="016C6CC9" w:rsidR="00454904" w:rsidRPr="007C6747" w:rsidRDefault="00454904" w:rsidP="007C6747">
      <w:pPr>
        <w:jc w:val="both"/>
        <w:rPr>
          <w:rFonts w:ascii="Times New Roman" w:hAnsi="Times New Roman" w:cs="Times New Roman"/>
          <w:sz w:val="24"/>
          <w:szCs w:val="24"/>
        </w:rPr>
      </w:pPr>
      <w:r w:rsidRPr="007C674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w:r w:rsidRPr="007C6747">
        <w:rPr>
          <w:rFonts w:ascii="Times New Roman" w:hAnsi="Times New Roman" w:cs="Times New Roman"/>
          <w:i/>
          <w:sz w:val="24"/>
          <w:szCs w:val="24"/>
          <w:vertAlign w:val="subscript"/>
        </w:rPr>
        <w:t xml:space="preserve"> </w:t>
      </w:r>
      <w:r w:rsidRPr="007C6747">
        <w:rPr>
          <w:rFonts w:ascii="Times New Roman" w:hAnsi="Times New Roman" w:cs="Times New Roman"/>
          <w:sz w:val="24"/>
          <w:szCs w:val="24"/>
          <w:vertAlign w:val="subscript"/>
        </w:rPr>
        <w:t xml:space="preserve"> </w:t>
      </w:r>
      <w:r w:rsidRPr="007C6747">
        <w:rPr>
          <w:rFonts w:ascii="Times New Roman" w:hAnsi="Times New Roman" w:cs="Times New Roman"/>
          <w:sz w:val="24"/>
          <w:szCs w:val="24"/>
        </w:rPr>
        <w:t xml:space="preserve">is the </w:t>
      </w:r>
      <m:oMath>
        <m:r>
          <w:rPr>
            <w:rFonts w:ascii="Cambria Math" w:hAnsi="Cambria Math" w:cs="Times New Roman"/>
            <w:sz w:val="24"/>
            <w:szCs w:val="24"/>
          </w:rPr>
          <m:t>k by k</m:t>
        </m:r>
      </m:oMath>
      <w:r w:rsidRPr="007C6747">
        <w:rPr>
          <w:rFonts w:ascii="Times New Roman" w:hAnsi="Times New Roman" w:cs="Times New Roman"/>
          <w:sz w:val="24"/>
          <w:szCs w:val="24"/>
        </w:rPr>
        <w:t xml:space="preserve"> </w:t>
      </w:r>
      <w:r w:rsidRPr="007C6747">
        <w:rPr>
          <w:rFonts w:ascii="Times New Roman" w:hAnsi="Times New Roman" w:cs="Times New Roman"/>
          <w:sz w:val="24"/>
          <w:szCs w:val="24"/>
        </w:rPr>
        <w:fldChar w:fldCharType="begin"/>
      </w:r>
      <w:r w:rsidRPr="007C6747">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k×k</m:t>
        </m:r>
      </m:oMath>
      <w:r w:rsidRPr="007C6747">
        <w:rPr>
          <w:rFonts w:ascii="Times New Roman" w:hAnsi="Times New Roman" w:cs="Times New Roman"/>
          <w:sz w:val="24"/>
          <w:szCs w:val="24"/>
        </w:rPr>
        <w:instrText xml:space="preserve"> </w:instrText>
      </w:r>
      <w:r w:rsidRPr="007C6747">
        <w:rPr>
          <w:rFonts w:ascii="Times New Roman" w:hAnsi="Times New Roman" w:cs="Times New Roman"/>
          <w:sz w:val="24"/>
          <w:szCs w:val="24"/>
        </w:rPr>
        <w:fldChar w:fldCharType="separate"/>
      </w:r>
      <m:oMath>
        <m:r>
          <m:rPr>
            <m:sty m:val="p"/>
          </m:rPr>
          <w:rPr>
            <w:rFonts w:ascii="Cambria Math" w:hAnsi="Cambria Math" w:cs="Times New Roman"/>
            <w:sz w:val="24"/>
            <w:szCs w:val="24"/>
          </w:rPr>
          <m:t>k×k</m:t>
        </m:r>
      </m:oMath>
      <w:r w:rsidRPr="007C6747">
        <w:rPr>
          <w:rFonts w:ascii="Times New Roman" w:hAnsi="Times New Roman" w:cs="Times New Roman"/>
          <w:sz w:val="24"/>
          <w:szCs w:val="24"/>
        </w:rPr>
        <w:fldChar w:fldCharType="end"/>
      </w:r>
      <w:r w:rsidRPr="007C6747">
        <w:rPr>
          <w:rFonts w:ascii="Times New Roman" w:hAnsi="Times New Roman" w:cs="Times New Roman"/>
          <w:sz w:val="24"/>
          <w:szCs w:val="24"/>
        </w:rPr>
        <w:t xml:space="preserve">diagonal matrix of time-varying standard deviations from univariate GARCH models with </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it</m:t>
                </m:r>
              </m:sub>
            </m:sSub>
          </m:e>
        </m:rad>
      </m:oMath>
      <w:r w:rsidRPr="007C6747">
        <w:rPr>
          <w:rFonts w:ascii="Times New Roman" w:hAnsi="Times New Roman" w:cs="Times New Roman"/>
          <w:sz w:val="24"/>
          <w:szCs w:val="24"/>
        </w:rPr>
        <w:t xml:space="preserve"> </w:t>
      </w:r>
      <w:r w:rsidRPr="007C6747">
        <w:rPr>
          <w:rFonts w:ascii="Times New Roman" w:hAnsi="Times New Roman" w:cs="Times New Roman"/>
          <w:sz w:val="24"/>
          <w:szCs w:val="24"/>
        </w:rPr>
        <w:fldChar w:fldCharType="begin"/>
      </w:r>
      <w:r w:rsidRPr="007C6747">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√hit</m:t>
        </m:r>
      </m:oMath>
      <w:r w:rsidRPr="007C6747">
        <w:rPr>
          <w:rFonts w:ascii="Times New Roman" w:hAnsi="Times New Roman" w:cs="Times New Roman"/>
          <w:sz w:val="24"/>
          <w:szCs w:val="24"/>
        </w:rPr>
        <w:instrText xml:space="preserve"> </w:instrText>
      </w:r>
      <w:r w:rsidRPr="007C6747">
        <w:rPr>
          <w:rFonts w:ascii="Times New Roman" w:hAnsi="Times New Roman" w:cs="Times New Roman"/>
          <w:sz w:val="24"/>
          <w:szCs w:val="24"/>
        </w:rPr>
        <w:fldChar w:fldCharType="separate"/>
      </w:r>
      <m:oMath>
        <m:r>
          <m:rPr>
            <m:sty m:val="p"/>
          </m:rPr>
          <w:rPr>
            <w:rFonts w:ascii="Cambria Math" w:hAnsi="Cambria Math" w:cs="Times New Roman"/>
            <w:sz w:val="24"/>
            <w:szCs w:val="24"/>
          </w:rPr>
          <m:t>√hit</m:t>
        </m:r>
      </m:oMath>
      <w:r w:rsidRPr="007C6747">
        <w:rPr>
          <w:rFonts w:ascii="Times New Roman" w:hAnsi="Times New Roman" w:cs="Times New Roman"/>
          <w:sz w:val="24"/>
          <w:szCs w:val="24"/>
        </w:rPr>
        <w:fldChar w:fldCharType="end"/>
      </w:r>
      <w:r w:rsidRPr="007C6747">
        <w:rPr>
          <w:rFonts w:ascii="Times New Roman" w:hAnsi="Times New Roman" w:cs="Times New Roman"/>
          <w:sz w:val="24"/>
          <w:szCs w:val="24"/>
        </w:rPr>
        <w:t xml:space="preserve"> on the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th</m:t>
            </m:r>
          </m:sup>
        </m:sSup>
      </m:oMath>
      <w:r w:rsidRPr="007C6747">
        <w:rPr>
          <w:rFonts w:ascii="Times New Roman" w:hAnsi="Times New Roman" w:cs="Times New Roman"/>
          <w:sz w:val="24"/>
          <w:szCs w:val="24"/>
        </w:rPr>
        <w:t>diagonal</w:t>
      </w:r>
      <w:r w:rsidR="002E76DD">
        <w:rPr>
          <w:rFonts w:ascii="Times New Roman" w:hAnsi="Times New Roman" w:cs="Times New Roman"/>
          <w:sz w:val="24"/>
          <w:szCs w:val="24"/>
        </w:rPr>
        <w:t>,</w:t>
      </w:r>
      <w:r w:rsidRPr="007C674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Pr="007C6747">
        <w:rPr>
          <w:rFonts w:ascii="Times New Roman" w:hAnsi="Times New Roman" w:cs="Times New Roman"/>
          <w:sz w:val="24"/>
          <w:szCs w:val="24"/>
        </w:rPr>
        <w:t xml:space="preserve"> is the time-varying correlation matrix. </w:t>
      </w:r>
    </w:p>
    <w:p w14:paraId="0543F2B2" w14:textId="77777777" w:rsidR="00454904" w:rsidRPr="007C6747" w:rsidRDefault="00454904" w:rsidP="007C6747">
      <w:pPr>
        <w:jc w:val="both"/>
        <w:rPr>
          <w:rFonts w:ascii="Times New Roman" w:hAnsi="Times New Roman" w:cs="Times New Roman"/>
          <w:sz w:val="24"/>
          <w:szCs w:val="24"/>
        </w:rPr>
      </w:pPr>
    </w:p>
    <w:p w14:paraId="1AC236E3"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The log-likelihood of the estimator is written as,</w:t>
      </w:r>
    </w:p>
    <w:p w14:paraId="27C059FD" w14:textId="77777777" w:rsidR="00454904" w:rsidRPr="007C6747" w:rsidRDefault="00454904" w:rsidP="007C6747">
      <w:pPr>
        <w:jc w:val="center"/>
        <w:rPr>
          <w:rFonts w:ascii="Times New Roman" w:hAnsi="Times New Roman" w:cs="Times New Roman"/>
          <w:sz w:val="24"/>
          <w:szCs w:val="24"/>
        </w:rPr>
      </w:pPr>
      <w:r w:rsidRPr="007C6747">
        <w:rPr>
          <w:rFonts w:ascii="Times New Roman" w:hAnsi="Times New Roman" w:cs="Times New Roman"/>
          <w:noProof/>
          <w:position w:val="-28"/>
          <w:sz w:val="24"/>
          <w:szCs w:val="24"/>
          <w:lang w:eastAsia="en-GB"/>
        </w:rPr>
        <w:drawing>
          <wp:inline distT="0" distB="0" distL="0" distR="0" wp14:anchorId="6481A639" wp14:editId="5CD2C580">
            <wp:extent cx="3625795" cy="4055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23945" cy="405310"/>
                    </a:xfrm>
                    <a:prstGeom prst="rect">
                      <a:avLst/>
                    </a:prstGeom>
                    <a:noFill/>
                    <a:ln>
                      <a:noFill/>
                    </a:ln>
                  </pic:spPr>
                </pic:pic>
              </a:graphicData>
            </a:graphic>
          </wp:inline>
        </w:drawing>
      </w:r>
      <w:r w:rsidRPr="007C6747">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1CEFB5D0" wp14:editId="331EBF22">
            <wp:simplePos x="0" y="0"/>
            <wp:positionH relativeFrom="column">
              <wp:align>left</wp:align>
            </wp:positionH>
            <wp:positionV relativeFrom="paragraph">
              <wp:posOffset>3175</wp:posOffset>
            </wp:positionV>
            <wp:extent cx="112395" cy="215900"/>
            <wp:effectExtent l="0" t="0" r="0" b="0"/>
            <wp:wrapSquare wrapText="right"/>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pic:spPr>
                </pic:pic>
              </a:graphicData>
            </a:graphic>
          </wp:anchor>
        </w:drawing>
      </w:r>
    </w:p>
    <w:p w14:paraId="1949093E"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~N(0,</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Pr="007C6747">
        <w:rPr>
          <w:rFonts w:ascii="Times New Roman" w:hAnsi="Times New Roman" w:cs="Times New Roman"/>
          <w:sz w:val="24"/>
          <w:szCs w:val="24"/>
        </w:rPr>
        <w:t xml:space="preserve">) are the residuals standardised by their conditional standard deviations.  </w:t>
      </w:r>
    </w:p>
    <w:p w14:paraId="21F44A32"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Engle and Sheppard (2001) propose to rewrite the elements </w:t>
      </w:r>
      <w:r w:rsidRPr="007C6747">
        <w:rPr>
          <w:rFonts w:ascii="Times New Roman" w:hAnsi="Times New Roman" w:cs="Times New Roman"/>
          <w:i/>
          <w:sz w:val="24"/>
          <w:szCs w:val="24"/>
        </w:rPr>
        <w:t>D</w:t>
      </w:r>
      <w:r w:rsidRPr="007C6747">
        <w:rPr>
          <w:rFonts w:ascii="Times New Roman" w:hAnsi="Times New Roman" w:cs="Times New Roman"/>
          <w:i/>
          <w:sz w:val="24"/>
          <w:szCs w:val="24"/>
          <w:vertAlign w:val="subscript"/>
        </w:rPr>
        <w:t>t</w:t>
      </w:r>
      <w:r w:rsidRPr="007C6747">
        <w:rPr>
          <w:rFonts w:ascii="Times New Roman" w:hAnsi="Times New Roman" w:cs="Times New Roman"/>
          <w:sz w:val="24"/>
          <w:szCs w:val="24"/>
        </w:rPr>
        <w:t xml:space="preserve"> as univariate GARCH in the following manner:</w:t>
      </w:r>
    </w:p>
    <w:p w14:paraId="33CF1C42" w14:textId="430D296C" w:rsidR="00454904" w:rsidRPr="007C6747" w:rsidRDefault="002C15FD" w:rsidP="007C674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p=1</m:t>
              </m:r>
            </m:sub>
            <m: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ip</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it-p</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q=1</m:t>
              </m:r>
            </m:sub>
            <m:sup>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ip</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it-p</m:t>
                  </m:r>
                </m:sub>
              </m:sSub>
            </m:e>
          </m:nary>
          <m:r>
            <w:rPr>
              <w:rFonts w:ascii="Cambria Math" w:hAnsi="Cambria Math" w:cs="Times New Roman"/>
              <w:sz w:val="24"/>
              <w:szCs w:val="24"/>
            </w:rPr>
            <m:t xml:space="preserve"> ∀i=1,2,3,4</m:t>
          </m:r>
        </m:oMath>
      </m:oMathPara>
    </w:p>
    <w:p w14:paraId="2B7BDD61" w14:textId="69079D09"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for </w:t>
      </w:r>
      <m:oMath>
        <m:r>
          <w:rPr>
            <w:rFonts w:ascii="Cambria Math" w:hAnsi="Cambria Math" w:cs="Times New Roman"/>
            <w:sz w:val="24"/>
            <w:szCs w:val="24"/>
          </w:rPr>
          <m:t>i=1,1,…k</m:t>
        </m:r>
      </m:oMath>
      <w:r w:rsidRPr="007C6747">
        <w:rPr>
          <w:rFonts w:ascii="Times New Roman" w:hAnsi="Times New Roman" w:cs="Times New Roman"/>
          <w:sz w:val="24"/>
          <w:szCs w:val="24"/>
        </w:rPr>
        <w:t xml:space="preserve"> with usual GARCH restrictions for non-negativity and </w:t>
      </w:r>
      <w:r w:rsidR="002E76DD" w:rsidRPr="007C6747">
        <w:rPr>
          <w:rFonts w:ascii="Times New Roman" w:hAnsi="Times New Roman" w:cs="Times New Roman"/>
          <w:sz w:val="24"/>
          <w:szCs w:val="24"/>
        </w:rPr>
        <w:t>stationery</w:t>
      </w:r>
      <w:r w:rsidRPr="007C6747">
        <w:rPr>
          <w:rFonts w:ascii="Times New Roman" w:hAnsi="Times New Roman" w:cs="Times New Roman"/>
          <w:sz w:val="24"/>
          <w:szCs w:val="24"/>
        </w:rPr>
        <w:t xml:space="preserve"> being imposed:</w:t>
      </w:r>
      <m:oMath>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p=1</m:t>
            </m:r>
          </m:sub>
          <m: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ip</m:t>
                </m:r>
              </m:sub>
            </m:sSub>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q=1</m:t>
            </m:r>
          </m:sub>
          <m:sup>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iq</m:t>
                </m:r>
              </m:sub>
            </m:sSub>
          </m:e>
        </m:nary>
        <m:r>
          <w:rPr>
            <w:rFonts w:ascii="Cambria Math" w:hAnsi="Cambria Math" w:cs="Times New Roman"/>
            <w:sz w:val="24"/>
            <w:szCs w:val="24"/>
          </w:rPr>
          <m:t>&lt;1</m:t>
        </m:r>
      </m:oMath>
    </w:p>
    <w:p w14:paraId="49E89E11"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The specification of the univariate GARCH model is not limited to the standard </w:t>
      </w:r>
      <m:oMath>
        <m:r>
          <w:rPr>
            <w:rFonts w:ascii="Cambria Math" w:hAnsi="Cambria Math" w:cs="Times New Roman"/>
            <w:sz w:val="24"/>
            <w:szCs w:val="24"/>
          </w:rPr>
          <m:t>GARCH (p,q)</m:t>
        </m:r>
      </m:oMath>
      <w:r w:rsidRPr="007C6747">
        <w:rPr>
          <w:rFonts w:ascii="Times New Roman" w:hAnsi="Times New Roman" w:cs="Times New Roman"/>
          <w:sz w:val="24"/>
          <w:szCs w:val="24"/>
        </w:rPr>
        <w:t xml:space="preserve">, but can include any GARCH process with normally distributed errors that satisfies appropriate stationarity conditions and non-negative constraints. </w:t>
      </w:r>
      <w:r w:rsidRPr="007C6747">
        <w:rPr>
          <w:rFonts w:ascii="Times New Roman" w:hAnsi="Times New Roman" w:cs="Times New Roman"/>
          <w:sz w:val="24"/>
          <w:szCs w:val="24"/>
          <w:lang w:eastAsia="zh-CN"/>
        </w:rPr>
        <w:t>In the current study, it is proposed that a</w:t>
      </w:r>
      <w:r w:rsidRPr="007C6747">
        <w:rPr>
          <w:rFonts w:ascii="Times New Roman" w:hAnsi="Times New Roman" w:cs="Times New Roman"/>
          <w:bCs/>
          <w:spacing w:val="-1"/>
          <w:sz w:val="24"/>
          <w:szCs w:val="24"/>
        </w:rPr>
        <w:t xml:space="preserve"> marginal distribution with univariate asymmetric GARCH model will be constructed. It accounts for the leverage effect that reflects how negative shock has a greater impact on volatility than a positive shock.</w:t>
      </w:r>
    </w:p>
    <w:p w14:paraId="7C04C51E" w14:textId="77777777" w:rsidR="00454904" w:rsidRPr="007C6747" w:rsidRDefault="00454904" w:rsidP="002E76DD">
      <w:pPr>
        <w:spacing w:line="360" w:lineRule="auto"/>
        <w:jc w:val="both"/>
        <w:rPr>
          <w:rFonts w:ascii="Times New Roman" w:hAnsi="Times New Roman" w:cs="Times New Roman"/>
          <w:sz w:val="24"/>
          <w:szCs w:val="24"/>
        </w:rPr>
      </w:pPr>
      <w:r w:rsidRPr="007C6747">
        <w:rPr>
          <w:rFonts w:ascii="Times New Roman" w:hAnsi="Times New Roman" w:cs="Times New Roman"/>
          <w:sz w:val="24"/>
          <w:szCs w:val="24"/>
        </w:rPr>
        <w:t xml:space="preserve">The second component of the framework consists of a specific </w:t>
      </w:r>
      <m:oMath>
        <m:r>
          <w:rPr>
            <w:rFonts w:ascii="Cambria Math" w:hAnsi="Cambria Math" w:cs="Times New Roman"/>
            <w:sz w:val="24"/>
            <w:szCs w:val="24"/>
          </w:rPr>
          <m:t xml:space="preserve">DCC (M, N) </m:t>
        </m:r>
      </m:oMath>
      <w:r w:rsidRPr="007C6747">
        <w:rPr>
          <w:rFonts w:ascii="Times New Roman" w:hAnsi="Times New Roman" w:cs="Times New Roman"/>
          <w:sz w:val="24"/>
          <w:szCs w:val="24"/>
        </w:rPr>
        <w:t>structure, which can be expressed as:</w:t>
      </w:r>
    </w:p>
    <w:p w14:paraId="5E0B1305" w14:textId="77777777" w:rsidR="00454904" w:rsidRPr="00B44D0D" w:rsidRDefault="002C15FD" w:rsidP="00454904">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t</m:t>
              </m:r>
            </m:sub>
            <m: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t</m:t>
              </m:r>
            </m:sub>
            <m:sup>
              <m:r>
                <w:rPr>
                  <w:rFonts w:ascii="Cambria Math" w:hAnsi="Cambria Math" w:cs="Times New Roman"/>
                  <w:sz w:val="24"/>
                  <w:szCs w:val="24"/>
                </w:rPr>
                <m:t>*-1</m:t>
              </m:r>
            </m:sup>
          </m:sSubSup>
        </m:oMath>
      </m:oMathPara>
    </w:p>
    <w:p w14:paraId="69E5A239" w14:textId="77777777" w:rsidR="00454904" w:rsidRPr="00B44D0D" w:rsidRDefault="00454904" w:rsidP="002E76DD">
      <w:pPr>
        <w:spacing w:line="360" w:lineRule="auto"/>
        <w:rPr>
          <w:rFonts w:ascii="Times New Roman" w:hAnsi="Times New Roman" w:cs="Times New Roman"/>
          <w:sz w:val="24"/>
          <w:szCs w:val="24"/>
        </w:rPr>
      </w:pPr>
      <w:r w:rsidRPr="00B44D0D">
        <w:rPr>
          <w:rFonts w:ascii="Times New Roman" w:hAnsi="Times New Roman" w:cs="Times New Roman"/>
          <w:sz w:val="24"/>
          <w:szCs w:val="24"/>
        </w:rPr>
        <w:t>where the proposed dynamic correlation:</w:t>
      </w:r>
    </w:p>
    <w:p w14:paraId="298D44C4" w14:textId="77777777" w:rsidR="00454904" w:rsidRPr="00B44D0D" w:rsidRDefault="002C15FD" w:rsidP="00454904">
      <w:pPr>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=(1-</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Q</m:t>
                  </m:r>
                </m:e>
              </m:acc>
              <m:r>
                <w:rPr>
                  <w:rFonts w:ascii="Cambria Math" w:hAnsi="Cambria Math" w:cs="Times New Roman"/>
                  <w:sz w:val="24"/>
                  <w:szCs w:val="24"/>
                </w:rPr>
                <m:t xml:space="preserve"> </m:t>
              </m:r>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e>
          </m:nary>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t-m</m:t>
                  </m:r>
                </m:sub>
                <m:sup>
                  <m:r>
                    <w:rPr>
                      <w:rFonts w:ascii="Cambria Math" w:hAnsi="Cambria Math" w:cs="Times New Roman"/>
                      <w:sz w:val="24"/>
                      <w:szCs w:val="24"/>
                    </w:rPr>
                    <m:t>'</m:t>
                  </m:r>
                </m:sup>
              </m:sSubSup>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t-n</m:t>
                  </m:r>
                </m:sub>
              </m:sSub>
            </m:e>
          </m:nary>
        </m:oMath>
      </m:oMathPara>
    </w:p>
    <w:p w14:paraId="2B93E7CC" w14:textId="77777777" w:rsidR="00454904" w:rsidRPr="00B44D0D" w:rsidRDefault="00454904" w:rsidP="002E76D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oMath>
      <w:r w:rsidRPr="00B44D0D">
        <w:rPr>
          <w:rFonts w:ascii="Times New Roman" w:hAnsi="Times New Roman" w:cs="Times New Roman"/>
          <w:sz w:val="24"/>
          <w:szCs w:val="24"/>
        </w:rPr>
        <w:t xml:space="preserve"> is the conditional variance-covariance matrix of residuals with its unconditional (time-invariant) variance-covariance matrix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r>
          <w:rPr>
            <w:rFonts w:ascii="Cambria Math" w:hAnsi="Cambria Math" w:cs="Times New Roman"/>
            <w:sz w:val="24"/>
            <w:szCs w:val="24"/>
          </w:rPr>
          <m:t xml:space="preserve"> </m:t>
        </m:r>
      </m:oMath>
      <w:r w:rsidRPr="00B44D0D">
        <w:rPr>
          <w:rFonts w:ascii="Times New Roman" w:hAnsi="Times New Roman" w:cs="Times New Roman"/>
          <w:sz w:val="24"/>
          <w:szCs w:val="24"/>
        </w:rPr>
        <w:t xml:space="preserve">resulting from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t</m:t>
            </m:r>
          </m:sub>
          <m:sup>
            <m:r>
              <w:rPr>
                <w:rFonts w:ascii="Cambria Math" w:hAnsi="Cambria Math" w:cs="Times New Roman"/>
                <w:sz w:val="24"/>
                <w:szCs w:val="24"/>
              </w:rPr>
              <m:t>*</m:t>
            </m:r>
          </m:sup>
        </m:sSubSup>
        <m:r>
          <w:rPr>
            <w:rFonts w:ascii="Cambria Math" w:hAnsi="Cambria Math" w:cs="Times New Roman"/>
            <w:sz w:val="24"/>
            <w:szCs w:val="24"/>
          </w:rPr>
          <m:t>=diag(</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e>
        </m:rad>
        <m:r>
          <w:rPr>
            <w:rFonts w:ascii="Cambria Math" w:hAnsi="Cambria Math" w:cs="Times New Roman"/>
            <w:sz w:val="24"/>
            <w:szCs w:val="24"/>
          </w:rPr>
          <m:t xml:space="preserve"> )</m:t>
        </m:r>
      </m:oMath>
    </w:p>
    <w:p w14:paraId="643059B8" w14:textId="77777777" w:rsidR="00454904" w:rsidRPr="00B44D0D" w:rsidRDefault="002C15FD" w:rsidP="00454904">
      <w:pP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t</m:t>
              </m:r>
            </m:sub>
            <m:sup>
              <m:r>
                <w:rPr>
                  <w:rFonts w:ascii="Cambria Math" w:hAnsi="Cambria Math" w:cs="Times New Roman"/>
                  <w:sz w:val="24"/>
                  <w:szCs w:val="24"/>
                </w:rPr>
                <m:t>*-1</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m>
                    <m:mPr>
                      <m:mcs>
                        <m:mc>
                          <m:mcPr>
                            <m:count m:val="3"/>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11</m:t>
                                    </m:r>
                                  </m:sub>
                                </m:sSub>
                              </m:e>
                            </m:rad>
                          </m:den>
                        </m:f>
                      </m:e>
                      <m:e>
                        <m:r>
                          <w:rPr>
                            <w:rFonts w:ascii="Cambria Math" w:hAnsi="Cambria Math" w:cs="Times New Roman"/>
                            <w:sz w:val="24"/>
                            <w:szCs w:val="24"/>
                          </w:rPr>
                          <m:t>0      0</m:t>
                        </m:r>
                      </m:e>
                      <m:e>
                        <m:r>
                          <w:rPr>
                            <w:rFonts w:ascii="Cambria Math" w:hAnsi="Cambria Math" w:cs="Times New Roman"/>
                            <w:sz w:val="24"/>
                            <w:szCs w:val="24"/>
                          </w:rPr>
                          <m:t>0</m:t>
                        </m:r>
                      </m:e>
                    </m:mr>
                    <m:mr>
                      <m:e>
                        <m:r>
                          <w:rPr>
                            <w:rFonts w:ascii="Cambria Math" w:hAnsi="Cambria Math" w:cs="Times New Roman"/>
                            <w:sz w:val="24"/>
                            <w:szCs w:val="24"/>
                          </w:rPr>
                          <m:t>0</m:t>
                        </m:r>
                      </m:e>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22</m:t>
                                    </m:r>
                                  </m:sub>
                                </m:sSub>
                              </m:e>
                            </m:rad>
                          </m:den>
                        </m:f>
                        <m:r>
                          <w:rPr>
                            <w:rFonts w:ascii="Cambria Math" w:hAnsi="Cambria Math" w:cs="Times New Roman"/>
                            <w:sz w:val="24"/>
                            <w:szCs w:val="24"/>
                          </w:rPr>
                          <m:t xml:space="preserve">        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 xml:space="preserve">        0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33</m:t>
                                    </m:r>
                                  </m:sub>
                                </m:sSub>
                              </m:e>
                            </m:rad>
                          </m:den>
                        </m:f>
                      </m:e>
                      <m:e>
                        <m:r>
                          <w:rPr>
                            <w:rFonts w:ascii="Cambria Math" w:hAnsi="Cambria Math" w:cs="Times New Roman"/>
                            <w:sz w:val="24"/>
                            <w:szCs w:val="24"/>
                          </w:rPr>
                          <m:t>0</m:t>
                        </m:r>
                      </m:e>
                    </m:mr>
                  </m:m>
                </m:e>
                <m:e>
                  <m:r>
                    <w:rPr>
                      <w:rFonts w:ascii="Cambria Math" w:hAnsi="Cambria Math" w:cs="Times New Roman"/>
                      <w:sz w:val="24"/>
                      <w:szCs w:val="24"/>
                    </w:rPr>
                    <m:t xml:space="preserve">       0               0           0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44</m:t>
                              </m:r>
                            </m:sub>
                          </m:sSub>
                        </m:e>
                      </m:rad>
                    </m:den>
                  </m:f>
                </m:e>
              </m:eqArr>
            </m:e>
          </m:d>
        </m:oMath>
      </m:oMathPara>
    </w:p>
    <w:p w14:paraId="2DEED52A" w14:textId="77777777" w:rsidR="00454904" w:rsidRPr="00B44D0D" w:rsidRDefault="00454904" w:rsidP="00454904">
      <w:pPr>
        <w:rPr>
          <w:rFonts w:ascii="Times New Roman" w:hAnsi="Times New Roman" w:cs="Times New Roman"/>
          <w:sz w:val="24"/>
          <w:szCs w:val="24"/>
        </w:rPr>
      </w:pPr>
    </w:p>
    <w:p w14:paraId="3E74869F" w14:textId="77777777" w:rsidR="00454904" w:rsidRPr="00B44D0D" w:rsidRDefault="00454904" w:rsidP="002E76DD">
      <w:pPr>
        <w:spacing w:line="360" w:lineRule="auto"/>
        <w:jc w:val="both"/>
        <w:rPr>
          <w:rFonts w:ascii="Times New Roman" w:hAnsi="Times New Roman" w:cs="Times New Roman"/>
          <w:sz w:val="24"/>
          <w:szCs w:val="24"/>
          <w:lang w:val="en-US"/>
        </w:rPr>
      </w:pPr>
      <w:r w:rsidRPr="00B44D0D">
        <w:rPr>
          <w:rFonts w:ascii="Times New Roman" w:hAnsi="Times New Roman" w:cs="Times New Roman"/>
          <w:sz w:val="24"/>
          <w:szCs w:val="24"/>
          <w:lang w:val="en-US"/>
        </w:rPr>
        <w:t xml:space="preserve">so that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t</m:t>
            </m:r>
          </m:sub>
          <m:sup>
            <m:r>
              <w:rPr>
                <w:rFonts w:ascii="Cambria Math" w:hAnsi="Cambria Math" w:cs="Times New Roman"/>
                <w:sz w:val="24"/>
                <w:szCs w:val="24"/>
              </w:rPr>
              <m:t>*</m:t>
            </m:r>
          </m:sup>
        </m:sSubSup>
      </m:oMath>
      <w:r w:rsidRPr="00B44D0D">
        <w:rPr>
          <w:rFonts w:ascii="Times New Roman" w:hAnsi="Times New Roman" w:cs="Times New Roman"/>
          <w:sz w:val="24"/>
          <w:szCs w:val="24"/>
          <w:vertAlign w:val="subscript"/>
        </w:rPr>
        <w:t xml:space="preserve">  </w:t>
      </w:r>
      <w:r w:rsidRPr="00B44D0D">
        <w:rPr>
          <w:rFonts w:ascii="Times New Roman" w:hAnsi="Times New Roman" w:cs="Times New Roman"/>
          <w:sz w:val="24"/>
          <w:szCs w:val="24"/>
        </w:rPr>
        <w:t>is a</w:t>
      </w:r>
      <w:r w:rsidRPr="00B44D0D">
        <w:rPr>
          <w:rFonts w:ascii="Times New Roman" w:hAnsi="Times New Roman" w:cs="Times New Roman"/>
          <w:sz w:val="24"/>
          <w:szCs w:val="24"/>
          <w:vertAlign w:val="subscript"/>
        </w:rPr>
        <w:t xml:space="preserve"> </w:t>
      </w:r>
      <w:r w:rsidRPr="00B44D0D">
        <w:rPr>
          <w:rFonts w:ascii="Times New Roman" w:hAnsi="Times New Roman" w:cs="Times New Roman"/>
          <w:sz w:val="24"/>
          <w:szCs w:val="24"/>
          <w:lang w:val="en-US"/>
        </w:rPr>
        <w:t>diagonal matrix with the square root of the diagonal elements on the diagonal.</w:t>
      </w:r>
    </w:p>
    <w:p w14:paraId="175D5DDA" w14:textId="77777777" w:rsidR="00454904" w:rsidRPr="00B44D0D" w:rsidRDefault="00454904" w:rsidP="002E76DD">
      <w:pPr>
        <w:spacing w:line="360" w:lineRule="auto"/>
        <w:jc w:val="both"/>
        <w:rPr>
          <w:rFonts w:ascii="Times New Roman" w:hAnsi="Times New Roman" w:cs="Times New Roman"/>
          <w:sz w:val="24"/>
          <w:szCs w:val="24"/>
          <w:lang w:val="en-US"/>
        </w:rPr>
      </w:pPr>
      <w:r w:rsidRPr="00B44D0D">
        <w:rPr>
          <w:rFonts w:ascii="Times New Roman" w:hAnsi="Times New Roman" w:cs="Times New Roman"/>
          <w:sz w:val="24"/>
          <w:szCs w:val="24"/>
          <w:lang w:val="en-US"/>
        </w:rPr>
        <w:t xml:space="preserve">The typical element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Pr="00B44D0D">
        <w:rPr>
          <w:rFonts w:ascii="Times New Roman" w:hAnsi="Times New Roman" w:cs="Times New Roman"/>
          <w:sz w:val="24"/>
          <w:szCs w:val="24"/>
          <w:lang w:val="en-US"/>
        </w:rPr>
        <w:t xml:space="preserve">will be the form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ijt</m:t>
            </m:r>
          </m:sub>
        </m:sSub>
      </m:oMath>
      <w:r w:rsidRPr="00B44D0D">
        <w:rPr>
          <w:rFonts w:ascii="Times New Roman" w:hAnsi="Times New Roman" w:cs="Times New Roman"/>
          <w:sz w:val="24"/>
          <w:szCs w:val="24"/>
          <w:lang w:val="en-US"/>
        </w:rPr>
        <w:t xml:space="preserve"> and the quantity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ijt</m:t>
            </m:r>
          </m:sub>
        </m:sSub>
      </m:oMath>
      <w:r w:rsidRPr="00B44D0D">
        <w:rPr>
          <w:rFonts w:ascii="Times New Roman" w:hAnsi="Times New Roman" w:cs="Times New Roman"/>
          <w:sz w:val="24"/>
          <w:szCs w:val="24"/>
          <w:lang w:val="en-US"/>
        </w:rPr>
        <w:t xml:space="preserve">  is normalised using   </w:t>
      </w:r>
    </w:p>
    <w:p w14:paraId="73E630BC" w14:textId="77777777" w:rsidR="00454904" w:rsidRPr="00B44D0D" w:rsidRDefault="002C15FD" w:rsidP="002E76DD">
      <w:pPr>
        <w:spacing w:line="36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ρ</m:t>
              </m:r>
            </m:e>
            <m:sub>
              <m:r>
                <w:rPr>
                  <w:rFonts w:ascii="Cambria Math" w:hAnsi="Cambria Math" w:cs="Times New Roman"/>
                  <w:sz w:val="24"/>
                  <w:szCs w:val="24"/>
                  <w:lang w:val="en-US"/>
                </w:rPr>
                <m:t>ijt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ijt</m:t>
                  </m:r>
                </m:sub>
              </m:sSub>
            </m:num>
            <m:den>
              <m:rad>
                <m:radPr>
                  <m:degHide m:val="1"/>
                  <m:ctrlPr>
                    <w:rPr>
                      <w:rFonts w:ascii="Cambria Math" w:hAnsi="Cambria Math" w:cs="Times New Roman"/>
                      <w:i/>
                      <w:sz w:val="24"/>
                      <w:szCs w:val="24"/>
                      <w:lang w:val="en-US"/>
                    </w:rPr>
                  </m:ctrlPr>
                </m:radPr>
                <m:deg/>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ii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jj</m:t>
                      </m:r>
                    </m:sub>
                  </m:sSub>
                </m:e>
              </m:rad>
            </m:den>
          </m:f>
        </m:oMath>
      </m:oMathPara>
    </w:p>
    <w:p w14:paraId="60E89382" w14:textId="388CAC48" w:rsidR="00454904" w:rsidRPr="00B44D0D" w:rsidRDefault="00454904" w:rsidP="002E76DD">
      <w:pPr>
        <w:spacing w:line="360" w:lineRule="auto"/>
        <w:rPr>
          <w:rFonts w:ascii="Times New Roman" w:hAnsi="Times New Roman" w:cs="Times New Roman"/>
          <w:sz w:val="24"/>
          <w:szCs w:val="24"/>
          <w:lang w:val="en-US"/>
        </w:rPr>
      </w:pPr>
      <w:r w:rsidRPr="00B44D0D">
        <w:rPr>
          <w:rFonts w:ascii="Times New Roman" w:hAnsi="Times New Roman" w:cs="Times New Roman"/>
          <w:sz w:val="24"/>
          <w:szCs w:val="24"/>
          <w:lang w:val="en-US"/>
        </w:rPr>
        <w:t xml:space="preserve">                                                                                                                                      </w:t>
      </w:r>
    </w:p>
    <w:p w14:paraId="556FBBC4" w14:textId="77777777" w:rsidR="00454904" w:rsidRPr="00B44D0D" w:rsidRDefault="00454904" w:rsidP="002E76DD">
      <w:pPr>
        <w:spacing w:line="360" w:lineRule="auto"/>
        <w:jc w:val="both"/>
        <w:rPr>
          <w:rFonts w:ascii="Times New Roman" w:hAnsi="Times New Roman" w:cs="Times New Roman"/>
          <w:sz w:val="24"/>
          <w:szCs w:val="24"/>
        </w:rPr>
      </w:pPr>
      <w:r w:rsidRPr="00B44D0D">
        <w:rPr>
          <w:rFonts w:ascii="Times New Roman" w:hAnsi="Times New Roman" w:cs="Times New Roman"/>
          <w:sz w:val="24"/>
          <w:szCs w:val="24"/>
          <w:lang w:val="en-US"/>
        </w:rPr>
        <w:t>This value including the sign is the main interesting result which represents the conditional correlation between different equity markets.</w:t>
      </w:r>
    </w:p>
    <w:p w14:paraId="3A832A5E" w14:textId="609CCCF3" w:rsidR="00454904" w:rsidRDefault="00454904" w:rsidP="00454904">
      <w:pPr>
        <w:rPr>
          <w:rFonts w:ascii="Times New Roman" w:hAnsi="Times New Roman" w:cs="Times New Roman"/>
          <w:sz w:val="24"/>
          <w:szCs w:val="24"/>
        </w:rPr>
      </w:pPr>
    </w:p>
    <w:p w14:paraId="7A6F7C5C" w14:textId="46C750E6" w:rsidR="0022256D" w:rsidRDefault="0022256D" w:rsidP="00454904">
      <w:pPr>
        <w:rPr>
          <w:rFonts w:ascii="Times New Roman" w:hAnsi="Times New Roman" w:cs="Times New Roman"/>
          <w:sz w:val="24"/>
          <w:szCs w:val="24"/>
        </w:rPr>
      </w:pPr>
    </w:p>
    <w:p w14:paraId="67777420" w14:textId="5A5E5D57" w:rsidR="00730E73" w:rsidRDefault="00730E73" w:rsidP="00454904">
      <w:pPr>
        <w:rPr>
          <w:rFonts w:ascii="Times New Roman" w:hAnsi="Times New Roman" w:cs="Times New Roman"/>
          <w:sz w:val="24"/>
          <w:szCs w:val="24"/>
        </w:rPr>
      </w:pPr>
    </w:p>
    <w:p w14:paraId="712FA746" w14:textId="613BEBB4" w:rsidR="00730E73" w:rsidRDefault="00730E73" w:rsidP="00454904">
      <w:pPr>
        <w:rPr>
          <w:rFonts w:ascii="Times New Roman" w:hAnsi="Times New Roman" w:cs="Times New Roman"/>
          <w:sz w:val="24"/>
          <w:szCs w:val="24"/>
        </w:rPr>
      </w:pPr>
    </w:p>
    <w:p w14:paraId="52CE5333" w14:textId="613D27F8" w:rsidR="00730E73" w:rsidRDefault="00730E73" w:rsidP="00454904">
      <w:pPr>
        <w:rPr>
          <w:rFonts w:ascii="Times New Roman" w:hAnsi="Times New Roman" w:cs="Times New Roman"/>
          <w:sz w:val="24"/>
          <w:szCs w:val="24"/>
        </w:rPr>
      </w:pPr>
    </w:p>
    <w:p w14:paraId="0233383A" w14:textId="59CBCE68" w:rsidR="00730E73" w:rsidRDefault="00730E73" w:rsidP="00454904">
      <w:pPr>
        <w:rPr>
          <w:rFonts w:ascii="Times New Roman" w:hAnsi="Times New Roman" w:cs="Times New Roman"/>
          <w:sz w:val="24"/>
          <w:szCs w:val="24"/>
        </w:rPr>
      </w:pPr>
    </w:p>
    <w:p w14:paraId="54FD1BA8" w14:textId="62AEA283" w:rsidR="00454904" w:rsidRPr="002E76DD" w:rsidRDefault="0065539B" w:rsidP="0065539B">
      <w:pPr>
        <w:pStyle w:val="Heading1"/>
      </w:pPr>
      <w:bookmarkStart w:id="77" w:name="_Toc90499954"/>
      <w:r>
        <w:lastRenderedPageBreak/>
        <w:t>1.4</w:t>
      </w:r>
      <w:r w:rsidR="002E76DD">
        <w:t xml:space="preserve"> </w:t>
      </w:r>
      <w:r w:rsidR="000C4890">
        <w:t>Data and Preliminary Analysis</w:t>
      </w:r>
      <w:bookmarkEnd w:id="77"/>
    </w:p>
    <w:p w14:paraId="0D1AEF20" w14:textId="77777777" w:rsidR="00454904" w:rsidRPr="00B44D0D" w:rsidRDefault="00454904"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sidRPr="00B44D0D">
        <w:rPr>
          <w:rFonts w:ascii="Times New Roman" w:eastAsia="Times New Roman" w:hAnsi="Times New Roman" w:cs="Times New Roman"/>
          <w:color w:val="000000" w:themeColor="text1"/>
          <w:sz w:val="24"/>
          <w:szCs w:val="24"/>
          <w:lang w:eastAsia="en-GB"/>
        </w:rPr>
        <w:t>Financial institutions provide liquidity to depositors and creditors by standing ready to provide them cash on demand. In the traditional framework, liquidity risk stemmed from the possibility of bank runs. These are episodes in which depositors lose faith in their bank and withdraw their money, either because of concerns about the bank’s financial condition or because they worry that </w:t>
      </w:r>
      <w:r w:rsidRPr="00B44D0D">
        <w:rPr>
          <w:rFonts w:ascii="Times New Roman" w:eastAsia="Times New Roman" w:hAnsi="Times New Roman" w:cs="Times New Roman"/>
          <w:i/>
          <w:iCs/>
          <w:color w:val="000000" w:themeColor="text1"/>
          <w:sz w:val="24"/>
          <w:szCs w:val="24"/>
          <w:lang w:eastAsia="en-GB"/>
        </w:rPr>
        <w:t>others</w:t>
      </w:r>
      <w:r w:rsidRPr="00B44D0D">
        <w:rPr>
          <w:rFonts w:ascii="Times New Roman" w:eastAsia="Times New Roman" w:hAnsi="Times New Roman" w:cs="Times New Roman"/>
          <w:color w:val="000000" w:themeColor="text1"/>
          <w:sz w:val="24"/>
          <w:szCs w:val="24"/>
          <w:lang w:eastAsia="en-GB"/>
        </w:rPr>
        <w:t> might stage runs. Such runs could make banks insolvent by initiating a chain reaction that forced a fire sale of illiquid loans. In the past, such instability was partly checked by reserve requirements tied to deposits, deposit insurance, and the availability of liquidity from central banks, the lenders of last resort.</w:t>
      </w:r>
    </w:p>
    <w:p w14:paraId="06DE811F" w14:textId="59B1D9D2" w:rsidR="00454904" w:rsidRPr="00B44D0D" w:rsidRDefault="00454904"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sidRPr="00B44D0D">
        <w:rPr>
          <w:rFonts w:ascii="Times New Roman" w:eastAsia="Times New Roman" w:hAnsi="Times New Roman" w:cs="Times New Roman"/>
          <w:color w:val="000000" w:themeColor="text1"/>
          <w:sz w:val="24"/>
          <w:szCs w:val="24"/>
          <w:lang w:eastAsia="en-GB"/>
        </w:rPr>
        <w:t>More recently, liquidity risk has come less from deposit outflows and more from exposure to a range of lending and interbank financial arrangements. These include undrawn loan commitments, obligations to repurchase securitized assets, margin calls in the derivatives markets, and withdrawal of funds from wholesale short-term financing arrangements.</w:t>
      </w:r>
      <w:r w:rsidR="00884440">
        <w:rPr>
          <w:rFonts w:ascii="Times New Roman" w:eastAsia="Times New Roman" w:hAnsi="Times New Roman" w:cs="Times New Roman"/>
          <w:color w:val="000000" w:themeColor="text1"/>
          <w:sz w:val="24"/>
          <w:szCs w:val="24"/>
          <w:lang w:eastAsia="en-GB"/>
        </w:rPr>
        <w:t xml:space="preserve"> </w:t>
      </w:r>
      <w:r w:rsidRPr="00B44D0D">
        <w:rPr>
          <w:rFonts w:ascii="Times New Roman" w:eastAsia="Times New Roman" w:hAnsi="Times New Roman" w:cs="Times New Roman"/>
          <w:color w:val="000000" w:themeColor="text1"/>
          <w:sz w:val="24"/>
          <w:szCs w:val="24"/>
          <w:lang w:eastAsia="en-GB"/>
        </w:rPr>
        <w:t>For example, banks today often lend by extending credit lines that borrowers can tap on demand, or by making other kinds of loan commitments. Increases in borrower use of these commitments make this business risky. When the overall supply of liquidity falls, borrowers draw on funds from existing credit lines</w:t>
      </w:r>
      <w:r w:rsidR="00520E3B">
        <w:rPr>
          <w:rFonts w:ascii="Times New Roman" w:eastAsia="Times New Roman" w:hAnsi="Times New Roman" w:cs="Times New Roman"/>
          <w:color w:val="000000" w:themeColor="text1"/>
          <w:sz w:val="24"/>
          <w:szCs w:val="24"/>
          <w:lang w:eastAsia="en-GB"/>
        </w:rPr>
        <w:t xml:space="preserve"> </w:t>
      </w:r>
      <w:r w:rsidRPr="00B44D0D">
        <w:rPr>
          <w:rFonts w:ascii="Times New Roman" w:eastAsia="Times New Roman" w:hAnsi="Times New Roman" w:cs="Times New Roman"/>
          <w:color w:val="000000" w:themeColor="text1"/>
          <w:sz w:val="24"/>
          <w:szCs w:val="24"/>
          <w:lang w:eastAsia="en-GB"/>
        </w:rPr>
        <w:t>masse. Thus, in the 2007–08 financial crisis, nonfinancial firms lost access to short-term funds when the commercial paper market dried up. Commercial paper issuers turned instead to prearranged backup lines at banks to refinance their paper as it came due. Banks were obligated to fund such loans. As a result, funds became less available for new lending.</w:t>
      </w:r>
    </w:p>
    <w:p w14:paraId="210C354A" w14:textId="3176138E" w:rsidR="00454904" w:rsidRPr="00B44D0D" w:rsidRDefault="00454904"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sidRPr="00B44D0D">
        <w:rPr>
          <w:rFonts w:ascii="Times New Roman" w:eastAsia="Times New Roman" w:hAnsi="Times New Roman" w:cs="Times New Roman"/>
          <w:color w:val="000000" w:themeColor="text1"/>
          <w:sz w:val="24"/>
          <w:szCs w:val="24"/>
          <w:lang w:eastAsia="en-GB"/>
        </w:rPr>
        <w:t xml:space="preserve">Nonfinancial business demand for liquidity also increased during the crisis to meet </w:t>
      </w:r>
      <w:r w:rsidR="00BC76B8" w:rsidRPr="00B44D0D">
        <w:rPr>
          <w:rFonts w:ascii="Times New Roman" w:eastAsia="Times New Roman" w:hAnsi="Times New Roman" w:cs="Times New Roman"/>
          <w:color w:val="000000" w:themeColor="text1"/>
          <w:sz w:val="24"/>
          <w:szCs w:val="24"/>
          <w:lang w:eastAsia="en-GB"/>
        </w:rPr>
        <w:t>high</w:t>
      </w:r>
      <w:r w:rsidR="00BC76B8" w:rsidRPr="00B44D0D">
        <w:rPr>
          <w:rFonts w:ascii="Times New Roman" w:eastAsia="Times New Roman" w:hAnsi="Times New Roman" w:cs="Times New Roman"/>
          <w:i/>
          <w:iCs/>
          <w:color w:val="000000" w:themeColor="text1"/>
          <w:sz w:val="24"/>
          <w:szCs w:val="24"/>
          <w:lang w:eastAsia="en-GB"/>
        </w:rPr>
        <w:t xml:space="preserve"> </w:t>
      </w:r>
      <w:r w:rsidR="00BC76B8" w:rsidRPr="00BC76B8">
        <w:rPr>
          <w:rFonts w:ascii="Times New Roman" w:eastAsia="Times New Roman" w:hAnsi="Times New Roman" w:cs="Times New Roman"/>
          <w:color w:val="000000" w:themeColor="text1"/>
          <w:sz w:val="24"/>
          <w:szCs w:val="24"/>
          <w:lang w:eastAsia="en-GB"/>
        </w:rPr>
        <w:t>precautionary</w:t>
      </w:r>
      <w:r w:rsidRPr="00B44D0D">
        <w:rPr>
          <w:rFonts w:ascii="Times New Roman" w:eastAsia="Times New Roman" w:hAnsi="Times New Roman" w:cs="Times New Roman"/>
          <w:color w:val="000000" w:themeColor="text1"/>
          <w:sz w:val="24"/>
          <w:szCs w:val="24"/>
          <w:lang w:eastAsia="en-GB"/>
        </w:rPr>
        <w:t xml:space="preserve"> demands for cash. Many businesses drew funds from existing credit lines simply because they feared continued disturbances in the credit markets. To cite one example, American Electric Power drew down $2 billion from an existing credit line supplied by JP Morgan Chase and Barclays as lead arrangers. According to an SEC Filing, the utility “took this proactive step to increase its cash position while there are disruptions in the debt markets.” (See </w:t>
      </w:r>
      <w:proofErr w:type="spellStart"/>
      <w:r w:rsidRPr="00B44D0D">
        <w:rPr>
          <w:rFonts w:ascii="Times New Roman" w:eastAsia="Times New Roman" w:hAnsi="Times New Roman" w:cs="Times New Roman"/>
          <w:color w:val="000000" w:themeColor="text1"/>
          <w:sz w:val="24"/>
          <w:szCs w:val="24"/>
          <w:lang w:eastAsia="en-GB"/>
        </w:rPr>
        <w:t>Ivashina</w:t>
      </w:r>
      <w:proofErr w:type="spellEnd"/>
      <w:r w:rsidRPr="00B44D0D">
        <w:rPr>
          <w:rFonts w:ascii="Times New Roman" w:eastAsia="Times New Roman" w:hAnsi="Times New Roman" w:cs="Times New Roman"/>
          <w:color w:val="000000" w:themeColor="text1"/>
          <w:sz w:val="24"/>
          <w:szCs w:val="24"/>
          <w:lang w:eastAsia="en-GB"/>
        </w:rPr>
        <w:t xml:space="preserve"> and </w:t>
      </w:r>
      <w:proofErr w:type="spellStart"/>
      <w:r w:rsidRPr="00B44D0D">
        <w:rPr>
          <w:rFonts w:ascii="Times New Roman" w:eastAsia="Times New Roman" w:hAnsi="Times New Roman" w:cs="Times New Roman"/>
          <w:color w:val="000000" w:themeColor="text1"/>
          <w:sz w:val="24"/>
          <w:szCs w:val="24"/>
          <w:lang w:eastAsia="en-GB"/>
        </w:rPr>
        <w:t>Scharfstein</w:t>
      </w:r>
      <w:proofErr w:type="spellEnd"/>
      <w:r w:rsidRPr="00B44D0D">
        <w:rPr>
          <w:rFonts w:ascii="Times New Roman" w:eastAsia="Times New Roman" w:hAnsi="Times New Roman" w:cs="Times New Roman"/>
          <w:color w:val="000000" w:themeColor="text1"/>
          <w:sz w:val="24"/>
          <w:szCs w:val="24"/>
          <w:lang w:eastAsia="en-GB"/>
        </w:rPr>
        <w:t xml:space="preserve"> 2010.)</w:t>
      </w:r>
    </w:p>
    <w:p w14:paraId="6C65261B" w14:textId="2B12CF34" w:rsidR="00454904" w:rsidRDefault="0065539B"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sidRPr="00B44D0D">
        <w:rPr>
          <w:rFonts w:ascii="Times New Roman" w:eastAsia="Times New Roman" w:hAnsi="Times New Roman" w:cs="Times New Roman"/>
          <w:color w:val="000000" w:themeColor="text1"/>
          <w:sz w:val="24"/>
          <w:szCs w:val="24"/>
          <w:lang w:eastAsia="en-GB"/>
        </w:rPr>
        <w:t>Banks’s</w:t>
      </w:r>
      <w:r w:rsidR="00454904" w:rsidRPr="00B44D0D">
        <w:rPr>
          <w:rFonts w:ascii="Times New Roman" w:eastAsia="Times New Roman" w:hAnsi="Times New Roman" w:cs="Times New Roman"/>
          <w:color w:val="000000" w:themeColor="text1"/>
          <w:sz w:val="24"/>
          <w:szCs w:val="24"/>
          <w:lang w:eastAsia="en-GB"/>
        </w:rPr>
        <w:t xml:space="preserve"> finance their balance sheets with more than just deposits and equity capital. Other liabilities include uninsured wholesale deposits, repurchase agreements, and other short-term unsecured debt instruments. These sources became scarce during the crisis. For example, </w:t>
      </w:r>
      <w:r w:rsidR="00454904" w:rsidRPr="00B44D0D">
        <w:rPr>
          <w:rFonts w:ascii="Times New Roman" w:eastAsia="Times New Roman" w:hAnsi="Times New Roman" w:cs="Times New Roman"/>
          <w:color w:val="000000" w:themeColor="text1"/>
          <w:sz w:val="24"/>
          <w:szCs w:val="24"/>
          <w:lang w:eastAsia="en-GB"/>
        </w:rPr>
        <w:lastRenderedPageBreak/>
        <w:t xml:space="preserve">repurchase agreements, known as repos, were often used to finance risky assets such as private-label mortgage-backed securities. Gorton and </w:t>
      </w:r>
      <w:proofErr w:type="spellStart"/>
      <w:r w:rsidR="00454904" w:rsidRPr="00B44D0D">
        <w:rPr>
          <w:rFonts w:ascii="Times New Roman" w:eastAsia="Times New Roman" w:hAnsi="Times New Roman" w:cs="Times New Roman"/>
          <w:color w:val="000000" w:themeColor="text1"/>
          <w:sz w:val="24"/>
          <w:szCs w:val="24"/>
          <w:lang w:eastAsia="en-GB"/>
        </w:rPr>
        <w:t>Metrick</w:t>
      </w:r>
      <w:proofErr w:type="spellEnd"/>
      <w:r w:rsidR="00454904" w:rsidRPr="00B44D0D">
        <w:rPr>
          <w:rFonts w:ascii="Times New Roman" w:eastAsia="Times New Roman" w:hAnsi="Times New Roman" w:cs="Times New Roman"/>
          <w:color w:val="000000" w:themeColor="text1"/>
          <w:sz w:val="24"/>
          <w:szCs w:val="24"/>
          <w:lang w:eastAsia="en-GB"/>
        </w:rPr>
        <w:t xml:space="preserve"> (2011) show that, in the middle of 2007, mortgage-backed securities could be almost completely financed with short-term borrowed funds in the repo market. However, by the fourth quarter of 2008, only about 55% of each dollar invested in such securities could be financed this way. Banks that used repos to finance purchases of mortgage-backed securities faced an unpleasant choice. They could sell their securities holdings into a falling market and take a big loss. Or they could find new, and presumably expensive, sources of credit.</w:t>
      </w:r>
    </w:p>
    <w:p w14:paraId="7D4CC6FE" w14:textId="04A7E7E5" w:rsidR="000966BE" w:rsidRDefault="000966BE" w:rsidP="000966BE">
      <w:pPr>
        <w:pStyle w:val="Heading2"/>
      </w:pPr>
      <w:bookmarkStart w:id="78" w:name="_Toc90499955"/>
      <w:r>
        <w:t>Data rationale (Discrete or continuous)</w:t>
      </w:r>
      <w:bookmarkEnd w:id="78"/>
    </w:p>
    <w:p w14:paraId="6B12D1B9" w14:textId="7777777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Merton (1969) started this thriving field, a comprehensive survey and an illuminating perspective of the development of this field during the period from 1969 to 1990 can be found in the book by Merton (1990). Several excellent texts and articles have surveyed this field or certain subsections of this field as applied to research in financial economics. The texts by Bhattacharya and </w:t>
      </w:r>
      <w:proofErr w:type="spellStart"/>
      <w:r w:rsidRPr="00B06DC4">
        <w:rPr>
          <w:rFonts w:ascii="Times New Roman" w:hAnsi="Times New Roman" w:cs="Times New Roman"/>
          <w:sz w:val="24"/>
          <w:szCs w:val="24"/>
        </w:rPr>
        <w:t>Constantinides</w:t>
      </w:r>
      <w:proofErr w:type="spellEnd"/>
      <w:r w:rsidRPr="00B06DC4">
        <w:rPr>
          <w:rFonts w:ascii="Times New Roman" w:hAnsi="Times New Roman" w:cs="Times New Roman"/>
          <w:sz w:val="24"/>
          <w:szCs w:val="24"/>
        </w:rPr>
        <w:t xml:space="preserve"> (1989), Harrison (1985), </w:t>
      </w:r>
      <w:proofErr w:type="spellStart"/>
      <w:r w:rsidRPr="00B06DC4">
        <w:rPr>
          <w:rFonts w:ascii="Times New Roman" w:hAnsi="Times New Roman" w:cs="Times New Roman"/>
          <w:sz w:val="24"/>
          <w:szCs w:val="24"/>
        </w:rPr>
        <w:t>Malliaris</w:t>
      </w:r>
      <w:proofErr w:type="spellEnd"/>
      <w:r w:rsidRPr="00B06DC4">
        <w:rPr>
          <w:rFonts w:ascii="Times New Roman" w:hAnsi="Times New Roman" w:cs="Times New Roman"/>
          <w:sz w:val="24"/>
          <w:szCs w:val="24"/>
        </w:rPr>
        <w:t xml:space="preserve"> (1982), Ingersoll (1987), Dothan (1990), </w:t>
      </w:r>
      <w:proofErr w:type="spellStart"/>
      <w:r w:rsidRPr="00B06DC4">
        <w:rPr>
          <w:rFonts w:ascii="Times New Roman" w:hAnsi="Times New Roman" w:cs="Times New Roman"/>
          <w:sz w:val="24"/>
          <w:szCs w:val="24"/>
        </w:rPr>
        <w:t>Duffie</w:t>
      </w:r>
      <w:proofErr w:type="spellEnd"/>
      <w:r w:rsidRPr="00B06DC4">
        <w:rPr>
          <w:rFonts w:ascii="Times New Roman" w:hAnsi="Times New Roman" w:cs="Times New Roman"/>
          <w:sz w:val="24"/>
          <w:szCs w:val="24"/>
        </w:rPr>
        <w:t xml:space="preserve"> (1988, 1996), and </w:t>
      </w:r>
      <w:proofErr w:type="spellStart"/>
      <w:r w:rsidRPr="00B06DC4">
        <w:rPr>
          <w:rFonts w:ascii="Times New Roman" w:hAnsi="Times New Roman" w:cs="Times New Roman"/>
          <w:sz w:val="24"/>
          <w:szCs w:val="24"/>
        </w:rPr>
        <w:t>Karatzas</w:t>
      </w:r>
      <w:proofErr w:type="spellEnd"/>
      <w:r w:rsidRPr="00B06DC4">
        <w:rPr>
          <w:rFonts w:ascii="Times New Roman" w:hAnsi="Times New Roman" w:cs="Times New Roman"/>
          <w:sz w:val="24"/>
          <w:szCs w:val="24"/>
        </w:rPr>
        <w:t xml:space="preserve"> and Shreve (1988, 1998) in addition to Merton (1990) provide a detailed treatment of the developments in this field during the period from 1969 to 1990 and also provide extensive references to research in this area. Moreover, there are excellent surveys of important subfields of continuous-time finance that are also available. Examples in this context are Bhattacharya and </w:t>
      </w:r>
      <w:proofErr w:type="spellStart"/>
      <w:r w:rsidRPr="00B06DC4">
        <w:rPr>
          <w:rFonts w:ascii="Times New Roman" w:hAnsi="Times New Roman" w:cs="Times New Roman"/>
          <w:sz w:val="24"/>
          <w:szCs w:val="24"/>
        </w:rPr>
        <w:t>Constantinides</w:t>
      </w:r>
      <w:proofErr w:type="spellEnd"/>
      <w:r w:rsidRPr="00B06DC4">
        <w:rPr>
          <w:rFonts w:ascii="Times New Roman" w:hAnsi="Times New Roman" w:cs="Times New Roman"/>
          <w:sz w:val="24"/>
          <w:szCs w:val="24"/>
        </w:rPr>
        <w:t xml:space="preserve"> (1989), </w:t>
      </w:r>
      <w:proofErr w:type="spellStart"/>
      <w:r w:rsidRPr="00B06DC4">
        <w:rPr>
          <w:rFonts w:ascii="Times New Roman" w:hAnsi="Times New Roman" w:cs="Times New Roman"/>
          <w:sz w:val="24"/>
          <w:szCs w:val="24"/>
        </w:rPr>
        <w:t>Constantinides</w:t>
      </w:r>
      <w:proofErr w:type="spellEnd"/>
      <w:r w:rsidRPr="00B06DC4">
        <w:rPr>
          <w:rFonts w:ascii="Times New Roman" w:hAnsi="Times New Roman" w:cs="Times New Roman"/>
          <w:sz w:val="24"/>
          <w:szCs w:val="24"/>
        </w:rPr>
        <w:t xml:space="preserve"> (1989), and Merton (1990). </w:t>
      </w:r>
    </w:p>
    <w:p w14:paraId="4C049C12" w14:textId="635DB3B6"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The period from 1969 through 1980 saw most of the important breakthroughs in the field of continuous-time finance. The seminal contributions on options pricing by Black and Scholes (1973) and Merton (1973a) are unquestionably among the most influential papers in financial economics during this period. Further research changed the landscape of research in finance and the way in which finance research was viewed by the practitioners. Besides providing the first truly satisfactory model for the elusive problem of pricing options on equity, these papers also made the connection that many of the liabilities of the firm such as equity and debt can be thought of as contingent claims on the value of the assets of the firm. This insight led to a whole new field of study that has come to be known as “contingent claims research” that has been the bedrock of much of the valuation questions in derivatives, corporate finance, and the default risk literature until now. Simultaneously, exciting research developments were taking place in inter</w:t>
      </w:r>
      <w:r w:rsidR="005E672E" w:rsidRPr="00B06DC4">
        <w:rPr>
          <w:rFonts w:ascii="Times New Roman" w:hAnsi="Times New Roman" w:cs="Times New Roman"/>
          <w:sz w:val="24"/>
          <w:szCs w:val="24"/>
        </w:rPr>
        <w:t>-</w:t>
      </w:r>
      <w:r w:rsidRPr="00B06DC4">
        <w:rPr>
          <w:rFonts w:ascii="Times New Roman" w:hAnsi="Times New Roman" w:cs="Times New Roman"/>
          <w:sz w:val="24"/>
          <w:szCs w:val="24"/>
        </w:rPr>
        <w:t>temporal asset pricing theory during this period.</w:t>
      </w:r>
    </w:p>
    <w:p w14:paraId="67E42DBC" w14:textId="19A96FA0"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lastRenderedPageBreak/>
        <w:t xml:space="preserve">Establishment of an isomorphic relationship between dynamic stochastic optimal control problems and static state space representation frameworks in complete markets (Cox and Huang (1989a), </w:t>
      </w:r>
      <w:proofErr w:type="spellStart"/>
      <w:r w:rsidRPr="00B06DC4">
        <w:rPr>
          <w:rFonts w:ascii="Times New Roman" w:hAnsi="Times New Roman" w:cs="Times New Roman"/>
          <w:sz w:val="24"/>
          <w:szCs w:val="24"/>
        </w:rPr>
        <w:t>Karatzas</w:t>
      </w:r>
      <w:proofErr w:type="spellEnd"/>
      <w:r w:rsidRPr="00B06DC4">
        <w:rPr>
          <w:rFonts w:ascii="Times New Roman" w:hAnsi="Times New Roman" w:cs="Times New Roman"/>
          <w:sz w:val="24"/>
          <w:szCs w:val="24"/>
        </w:rPr>
        <w:t xml:space="preserve">, </w:t>
      </w:r>
      <w:proofErr w:type="spellStart"/>
      <w:r w:rsidRPr="00B06DC4">
        <w:rPr>
          <w:rFonts w:ascii="Times New Roman" w:hAnsi="Times New Roman" w:cs="Times New Roman"/>
          <w:sz w:val="24"/>
          <w:szCs w:val="24"/>
        </w:rPr>
        <w:t>Lehoczky</w:t>
      </w:r>
      <w:proofErr w:type="spellEnd"/>
      <w:r w:rsidRPr="00B06DC4">
        <w:rPr>
          <w:rFonts w:ascii="Times New Roman" w:hAnsi="Times New Roman" w:cs="Times New Roman"/>
          <w:sz w:val="24"/>
          <w:szCs w:val="24"/>
        </w:rPr>
        <w:t xml:space="preserve">, and Shreve (1987) show how martingale representation theory can be used to reduce the dynamic intertemporal problems into a static problem in a complete market setting. </w:t>
      </w:r>
    </w:p>
    <w:p w14:paraId="37BB8546" w14:textId="1D999AAF"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Efficiency results in continuous trading with a few securities: </w:t>
      </w:r>
      <w:proofErr w:type="spellStart"/>
      <w:r w:rsidRPr="00B06DC4">
        <w:rPr>
          <w:rFonts w:ascii="Times New Roman" w:hAnsi="Times New Roman" w:cs="Times New Roman"/>
          <w:sz w:val="24"/>
          <w:szCs w:val="24"/>
        </w:rPr>
        <w:t>Duffie</w:t>
      </w:r>
      <w:proofErr w:type="spellEnd"/>
      <w:r w:rsidRPr="00B06DC4">
        <w:rPr>
          <w:rFonts w:ascii="Times New Roman" w:hAnsi="Times New Roman" w:cs="Times New Roman"/>
          <w:sz w:val="24"/>
          <w:szCs w:val="24"/>
        </w:rPr>
        <w:t xml:space="preserve"> and Huang (1985) showed that continuous trading permits the implementation of Arrow–Debreu equilibrium with far fewer securities than the full complement of securities.</w:t>
      </w:r>
    </w:p>
    <w:p w14:paraId="2FF4B190" w14:textId="1BB96C4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Reconciling the received theory of continuous-time finance with some observed empirical regularities: Specific examples of such empirical regularities are the equity premium puzzle; countercyclical variations in equity premia; predictability of equity returns (in asset pricing); volatility smiles and skews (in derivatives valuation); the persistent negative correlation between the changes in the default premium and the changes in the default-free interest rates (in the credit risk literature); the inability of conventional single-factor models of term structure to explain the rich variations in the shape of the yield curve. </w:t>
      </w:r>
    </w:p>
    <w:p w14:paraId="594CA0B3" w14:textId="5A25F3F2"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The incorporation of market frictions into continuous-time theory has helped the theory to better explain some stylized facts: Examples in this regard include taxes, transactions costs, restricted market participation, incompleteness, informational asymmetries, and so on. Researchers have started to expand the field to incorporate market friction as in Back (1992, 1993), Brennan and Xia (1999), </w:t>
      </w:r>
      <w:proofErr w:type="spellStart"/>
      <w:r w:rsidRPr="00B06DC4">
        <w:rPr>
          <w:rFonts w:ascii="Times New Roman" w:hAnsi="Times New Roman" w:cs="Times New Roman"/>
          <w:sz w:val="24"/>
          <w:szCs w:val="24"/>
        </w:rPr>
        <w:t>Detemple</w:t>
      </w:r>
      <w:proofErr w:type="spellEnd"/>
      <w:r w:rsidRPr="00B06DC4">
        <w:rPr>
          <w:rFonts w:ascii="Times New Roman" w:hAnsi="Times New Roman" w:cs="Times New Roman"/>
          <w:sz w:val="24"/>
          <w:szCs w:val="24"/>
        </w:rPr>
        <w:t xml:space="preserve"> (1986), He and Pearson (1991), and Veronesi (1999). </w:t>
      </w:r>
    </w:p>
    <w:p w14:paraId="6BBDE67D" w14:textId="79E868D3"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Calibration of models to data derived from the markets: How can the models of asset pricing be calibrated to market data to make them attractive enough for valuing financial claims in real life? Examples in this context are the default-free term structure models and the reduced form approach to valuing securities that are subject to credit risk. </w:t>
      </w:r>
    </w:p>
    <w:p w14:paraId="6F404617" w14:textId="7F10998A"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In addition, as a logical progression of research, estimation of continuous-time models in finance has become an active area of research during this period. Indeed, most striking contributions in the continuous-time field during this period appear to have come from the econometric theory designed to develop moment restrictions in continuous-time models and parametric and nonparametric approaches to estimating continuous-time models in finance. </w:t>
      </w:r>
    </w:p>
    <w:p w14:paraId="0FCDC3CA" w14:textId="731D85D1"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lastRenderedPageBreak/>
        <w:t xml:space="preserve">Cox and Huang (1989b) predicted, there has been a stream of papers attempting to integrate game-theoretic and bargaining considerations into continuous-time models to enhance the intertemporal pricing richness of the framework with the objective of making the contractual features endogenous. This has always been the weak link in the continuous-time field. Game-theoretic and strategic considerations in models of securities valuation have been introduced in Fan and </w:t>
      </w:r>
      <w:proofErr w:type="spellStart"/>
      <w:r w:rsidRPr="00B06DC4">
        <w:rPr>
          <w:rFonts w:ascii="Times New Roman" w:hAnsi="Times New Roman" w:cs="Times New Roman"/>
          <w:sz w:val="24"/>
          <w:szCs w:val="24"/>
        </w:rPr>
        <w:t>Sundaresan</w:t>
      </w:r>
      <w:proofErr w:type="spellEnd"/>
      <w:r w:rsidRPr="00B06DC4">
        <w:rPr>
          <w:rFonts w:ascii="Times New Roman" w:hAnsi="Times New Roman" w:cs="Times New Roman"/>
          <w:sz w:val="24"/>
          <w:szCs w:val="24"/>
        </w:rPr>
        <w:t xml:space="preserve"> (1999), </w:t>
      </w:r>
      <w:proofErr w:type="spellStart"/>
      <w:r w:rsidRPr="00B06DC4">
        <w:rPr>
          <w:rFonts w:ascii="Times New Roman" w:hAnsi="Times New Roman" w:cs="Times New Roman"/>
          <w:sz w:val="24"/>
          <w:szCs w:val="24"/>
        </w:rPr>
        <w:t>Mella-Barral</w:t>
      </w:r>
      <w:proofErr w:type="spellEnd"/>
      <w:r w:rsidRPr="00B06DC4">
        <w:rPr>
          <w:rFonts w:ascii="Times New Roman" w:hAnsi="Times New Roman" w:cs="Times New Roman"/>
          <w:sz w:val="24"/>
          <w:szCs w:val="24"/>
        </w:rPr>
        <w:t xml:space="preserve"> and </w:t>
      </w:r>
      <w:proofErr w:type="spellStart"/>
      <w:r w:rsidRPr="00B06DC4">
        <w:rPr>
          <w:rFonts w:ascii="Times New Roman" w:hAnsi="Times New Roman" w:cs="Times New Roman"/>
          <w:sz w:val="24"/>
          <w:szCs w:val="24"/>
        </w:rPr>
        <w:t>Perraudin</w:t>
      </w:r>
      <w:proofErr w:type="spellEnd"/>
      <w:r w:rsidRPr="00B06DC4">
        <w:rPr>
          <w:rFonts w:ascii="Times New Roman" w:hAnsi="Times New Roman" w:cs="Times New Roman"/>
          <w:sz w:val="24"/>
          <w:szCs w:val="24"/>
        </w:rPr>
        <w:t xml:space="preserve"> (1997), and Grenadier (1999).</w:t>
      </w:r>
    </w:p>
    <w:p w14:paraId="63DCD15B" w14:textId="7777777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Furthermore, the term structure of default-free interest rates is yet another area where continuous-time methods have made a tremendous impact. An early precursor to equilibrium models of term structure Merton (1975) studies a stochastic growth model. A side result of this </w:t>
      </w:r>
      <w:proofErr w:type="spellStart"/>
      <w:r w:rsidRPr="00B06DC4">
        <w:rPr>
          <w:rFonts w:ascii="Times New Roman" w:hAnsi="Times New Roman" w:cs="Times New Roman"/>
          <w:sz w:val="24"/>
          <w:szCs w:val="24"/>
        </w:rPr>
        <w:t>rsearch</w:t>
      </w:r>
      <w:proofErr w:type="spellEnd"/>
      <w:r w:rsidRPr="00B06DC4">
        <w:rPr>
          <w:rFonts w:ascii="Times New Roman" w:hAnsi="Times New Roman" w:cs="Times New Roman"/>
          <w:sz w:val="24"/>
          <w:szCs w:val="24"/>
        </w:rPr>
        <w:t xml:space="preserve"> shows that the instantaneous risk-free interest rate follows a nonlinear diffusion that is the basis for equilibrium term structure models. Merton (1975) did not pursue the term structure implications. In a later contribution, expanding on the insights of Merton, </w:t>
      </w:r>
      <w:proofErr w:type="spellStart"/>
      <w:r w:rsidRPr="00B06DC4">
        <w:rPr>
          <w:rFonts w:ascii="Times New Roman" w:hAnsi="Times New Roman" w:cs="Times New Roman"/>
          <w:sz w:val="24"/>
          <w:szCs w:val="24"/>
        </w:rPr>
        <w:t>Sundaresan</w:t>
      </w:r>
      <w:proofErr w:type="spellEnd"/>
      <w:r w:rsidRPr="00B06DC4">
        <w:rPr>
          <w:rFonts w:ascii="Times New Roman" w:hAnsi="Times New Roman" w:cs="Times New Roman"/>
          <w:sz w:val="24"/>
          <w:szCs w:val="24"/>
        </w:rPr>
        <w:t xml:space="preserve"> (1984) explores a two-sector model and its consequences for the term structure.</w:t>
      </w:r>
    </w:p>
    <w:p w14:paraId="424D726C" w14:textId="7777777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Gallant and </w:t>
      </w:r>
      <w:proofErr w:type="spellStart"/>
      <w:r w:rsidRPr="00B06DC4">
        <w:rPr>
          <w:rFonts w:ascii="Times New Roman" w:hAnsi="Times New Roman" w:cs="Times New Roman"/>
          <w:sz w:val="24"/>
          <w:szCs w:val="24"/>
        </w:rPr>
        <w:t>Tauchen</w:t>
      </w:r>
      <w:proofErr w:type="spellEnd"/>
      <w:r w:rsidRPr="00B06DC4">
        <w:rPr>
          <w:rFonts w:ascii="Times New Roman" w:hAnsi="Times New Roman" w:cs="Times New Roman"/>
          <w:sz w:val="24"/>
          <w:szCs w:val="24"/>
        </w:rPr>
        <w:t xml:space="preserve"> (1996, 1997a, 1997b, 1998) offer a different approach to the estimation problem. They set up an auxiliary model and compute the “score” that is the derivative of the log density of the auxiliary model with respect to its parameters. The advantage is that the score has an analytical expression. They then use the expectations under the structural model of the score to develop moment conditions. Naturally they now depend on both the parameters of the auxiliary model and of the structural model. The parameters of the auxiliary model are replaced by their quasi-MLEs, and the estimates of the structural model are then obtained by minimizing the usual GMM criterion function. Two applications of this approach in finance are by Anderson and Lund (1997), who use the EMM approach to estimate continuous-time stochastic volatility models of the short-term interest rate, and by </w:t>
      </w:r>
      <w:proofErr w:type="spellStart"/>
      <w:r w:rsidRPr="00B06DC4">
        <w:rPr>
          <w:rFonts w:ascii="Times New Roman" w:hAnsi="Times New Roman" w:cs="Times New Roman"/>
          <w:sz w:val="24"/>
          <w:szCs w:val="24"/>
        </w:rPr>
        <w:t>Benzoni</w:t>
      </w:r>
      <w:proofErr w:type="spellEnd"/>
      <w:r w:rsidRPr="00B06DC4">
        <w:rPr>
          <w:rFonts w:ascii="Times New Roman" w:hAnsi="Times New Roman" w:cs="Times New Roman"/>
          <w:sz w:val="24"/>
          <w:szCs w:val="24"/>
        </w:rPr>
        <w:t xml:space="preserve"> (1999), who applies the EMM to estimate an options pricing problem with stochastic volatility.</w:t>
      </w:r>
    </w:p>
    <w:p w14:paraId="302B6EF4" w14:textId="7777777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There are several challenges that face researchers who use continuous-time methods in finance. I will try to sketch a few of them in this section. As Ross (1989) has noted, an important challenge to the theorists in finance is to explain the level and the pattern of volume of trading in financial markets. While this is a challenge irrespective of whether one uses continuous-time methods or not, this nonetheless represents an interesting challenge to scholars working in continuous-time finance. Models in continuous time begin by specifying continuous trading opportunities. Markets are not open all the time. Received empirical wisdom suggests that the estimated volatility of prices depends on whether one uses closing prices or transaction prices. </w:t>
      </w:r>
      <w:r w:rsidRPr="00B06DC4">
        <w:rPr>
          <w:rFonts w:ascii="Times New Roman" w:hAnsi="Times New Roman" w:cs="Times New Roman"/>
          <w:sz w:val="24"/>
          <w:szCs w:val="24"/>
        </w:rPr>
        <w:lastRenderedPageBreak/>
        <w:t>The activity of trading in itself may generate volatility. There are interesting variations within a trading day in the pattern of volatility. How can one reconcile these facts in the context of a paradigm such as continuous-time trading? In a continuous-time model with transactions costs and taxes, trading intervals are endogenous and trading will only occur when the state variables cross certain trigger levels. Similarly, other sources of frictions such as asymmetric information, liquidation costs, and so forth, may also produce endogenous trading intervals. Fundamental to explaining the volume of trading are the information structure of the economy and the manner in which news gets generated and transmitted via trading. Although there is a potential to translate this to models that can be consistent with the stylized facts on volume of trading, the paradigm is a long way from realizing this goal.</w:t>
      </w:r>
    </w:p>
    <w:p w14:paraId="0D4C58B1" w14:textId="2F296D95"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An endemic weakness of the continuous-time methods is that the contractual features are almost always specified exogenously. The optimality of the contracts or endogenizing the contractual provisions has not been the strength of this framework. The derivatives literature is elegant in its inter</w:t>
      </w:r>
      <w:r w:rsidR="005E672E" w:rsidRPr="00B06DC4">
        <w:rPr>
          <w:rFonts w:ascii="Times New Roman" w:hAnsi="Times New Roman" w:cs="Times New Roman"/>
          <w:sz w:val="24"/>
          <w:szCs w:val="24"/>
        </w:rPr>
        <w:t>-</w:t>
      </w:r>
      <w:r w:rsidRPr="00B06DC4">
        <w:rPr>
          <w:rFonts w:ascii="Times New Roman" w:hAnsi="Times New Roman" w:cs="Times New Roman"/>
          <w:sz w:val="24"/>
          <w:szCs w:val="24"/>
        </w:rPr>
        <w:t xml:space="preserve">temporal formulation, richness of the specification of state variables, and the solution procedures but is typically silent on why a certain contract that is being valued is optimal. In this context the distinction between private optimality and social optimality has to be clearly articulated in models that seek to endogenize contracts. Questions pertaining to efficiency turn on the notion of social optimality, but the design of contracts for incentive purposes must be consistent with private optimality. Attaining one does not necessarily lead to the attainment of the other. The design and optimality of the contracts are starting to receive more attention in the literature recently. This also turns on the question of welfare issues that are traditionally ignored in the continuous-time finance. The optimality has to be pinned down relative to a measure of welfare. This is an issue that is addressed by </w:t>
      </w:r>
      <w:proofErr w:type="spellStart"/>
      <w:r w:rsidRPr="00B06DC4">
        <w:rPr>
          <w:rFonts w:ascii="Times New Roman" w:hAnsi="Times New Roman" w:cs="Times New Roman"/>
          <w:sz w:val="24"/>
          <w:szCs w:val="24"/>
        </w:rPr>
        <w:t>Duffie</w:t>
      </w:r>
      <w:proofErr w:type="spellEnd"/>
      <w:r w:rsidRPr="00B06DC4">
        <w:rPr>
          <w:rFonts w:ascii="Times New Roman" w:hAnsi="Times New Roman" w:cs="Times New Roman"/>
          <w:sz w:val="24"/>
          <w:szCs w:val="24"/>
        </w:rPr>
        <w:t xml:space="preserve"> and Huang (1985). They show that the full efficiency can be achieved by trading continuously in a few long-lived securities. Although their model is based on some restrictive assumptions, it should set the direction for research in this area. Of course, a rigorous treatment of asymmetric information in continuous-time models is clearly an important prerequisite to achieve this objective.</w:t>
      </w:r>
    </w:p>
    <w:p w14:paraId="44F32DCE" w14:textId="77777777" w:rsidR="000966BE" w:rsidRPr="00B06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Among the elusive issues taunting the theorists is the problem of liquidity. Many observers have noted that from time to time, markets display lack of liquidity. The hedge funds crisis in the summer of 1998 was attributed by some to the lack of liquidity in the market. Liquidity also is closely related to the probability that there may be a major default or a crisis. Russian default in 1998 was attributed to the lack of liquidity and the flight to quality, which led to the demise and reorganizations of well-known hedge funds. A modelling challenge is the </w:t>
      </w:r>
      <w:r w:rsidRPr="00B06DC4">
        <w:rPr>
          <w:rFonts w:ascii="Times New Roman" w:hAnsi="Times New Roman" w:cs="Times New Roman"/>
          <w:sz w:val="24"/>
          <w:szCs w:val="24"/>
        </w:rPr>
        <w:lastRenderedPageBreak/>
        <w:t xml:space="preserve">possibility that defaults may be correlated in the economy in an equilibrium, leading to a contagion. We know precious little from a theoretical perspective as to how such episodes occur in the markets. The literature is yet to formulate an interesting framework for studying “contagion in financial markets.” The recent work by Kyle and </w:t>
      </w:r>
      <w:proofErr w:type="spellStart"/>
      <w:r w:rsidRPr="00B06DC4">
        <w:rPr>
          <w:rFonts w:ascii="Times New Roman" w:hAnsi="Times New Roman" w:cs="Times New Roman"/>
          <w:sz w:val="24"/>
          <w:szCs w:val="24"/>
        </w:rPr>
        <w:t>Xiong</w:t>
      </w:r>
      <w:proofErr w:type="spellEnd"/>
      <w:r w:rsidRPr="00B06DC4">
        <w:rPr>
          <w:rFonts w:ascii="Times New Roman" w:hAnsi="Times New Roman" w:cs="Times New Roman"/>
          <w:sz w:val="24"/>
          <w:szCs w:val="24"/>
        </w:rPr>
        <w:t xml:space="preserve"> (1999) explores this question although they do not model default, which one suspects is at the root of any “contagion.”</w:t>
      </w:r>
    </w:p>
    <w:p w14:paraId="403117D2" w14:textId="77777777" w:rsidR="000966BE" w:rsidRPr="00892DC4" w:rsidRDefault="000966BE" w:rsidP="000966BE">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Over the last three decades, continuous-time methods have become an integral part of research in financial economics. This field has left an indelible mark on several core areas of finance such as asset pricing theory, consumption-portfolio selection, and derivatives valuation. The popularity of this field is also attested by the fact that in every major university, doctoral students in finance are expected to take courses in this discipline and review the important papers in this area irrespective of their ultimate research interest. The availability of several excellent texts and the proliferation of journals in which research in this area is published also point to the growing popularity of this field in finance. Many universities now offer master’s degrees in disciplines such as computational finance or financial engineering. The core of the intellectual material in such programs is drawn from the continuous-time methods in finance. This field has made a substantial impact in the financial services industry, proving that sophisticated finance theory can be of practical assistance in the industry.</w:t>
      </w:r>
    </w:p>
    <w:p w14:paraId="366BA0EA" w14:textId="77777777" w:rsidR="000966BE" w:rsidRPr="00892DC4" w:rsidRDefault="000966BE" w:rsidP="000966BE">
      <w:pPr>
        <w:spacing w:line="360" w:lineRule="auto"/>
        <w:jc w:val="both"/>
        <w:rPr>
          <w:rFonts w:ascii="Times New Roman" w:hAnsi="Times New Roman" w:cs="Times New Roman"/>
          <w:sz w:val="24"/>
          <w:szCs w:val="24"/>
        </w:rPr>
      </w:pPr>
    </w:p>
    <w:p w14:paraId="5A0911BD" w14:textId="2A255432" w:rsidR="000966BE" w:rsidRDefault="000966BE" w:rsidP="000966BE">
      <w:pPr>
        <w:spacing w:line="360" w:lineRule="auto"/>
        <w:jc w:val="both"/>
        <w:rPr>
          <w:rFonts w:ascii="Times New Roman" w:hAnsi="Times New Roman" w:cs="Times New Roman"/>
          <w:sz w:val="24"/>
          <w:szCs w:val="24"/>
        </w:rPr>
      </w:pPr>
    </w:p>
    <w:p w14:paraId="751BCC7D" w14:textId="4680DECE" w:rsidR="000966BE" w:rsidRDefault="000966BE" w:rsidP="000966BE">
      <w:pPr>
        <w:spacing w:line="360" w:lineRule="auto"/>
        <w:jc w:val="both"/>
        <w:rPr>
          <w:rFonts w:ascii="Times New Roman" w:hAnsi="Times New Roman" w:cs="Times New Roman"/>
          <w:sz w:val="24"/>
          <w:szCs w:val="24"/>
        </w:rPr>
      </w:pPr>
    </w:p>
    <w:p w14:paraId="58F0675E" w14:textId="19BA5585" w:rsidR="000966BE" w:rsidRDefault="000966BE" w:rsidP="000966BE">
      <w:pPr>
        <w:spacing w:line="360" w:lineRule="auto"/>
        <w:jc w:val="both"/>
        <w:rPr>
          <w:rFonts w:ascii="Times New Roman" w:hAnsi="Times New Roman" w:cs="Times New Roman"/>
          <w:sz w:val="24"/>
          <w:szCs w:val="24"/>
        </w:rPr>
      </w:pPr>
    </w:p>
    <w:p w14:paraId="1C6F9706" w14:textId="00019481" w:rsidR="000966BE" w:rsidRDefault="000966BE" w:rsidP="000966BE">
      <w:pPr>
        <w:spacing w:line="360" w:lineRule="auto"/>
        <w:jc w:val="both"/>
        <w:rPr>
          <w:rFonts w:ascii="Times New Roman" w:hAnsi="Times New Roman" w:cs="Times New Roman"/>
          <w:sz w:val="24"/>
          <w:szCs w:val="24"/>
        </w:rPr>
      </w:pPr>
    </w:p>
    <w:p w14:paraId="57AACBBD" w14:textId="4E56F850" w:rsidR="000966BE" w:rsidRDefault="000966BE" w:rsidP="000966BE">
      <w:pPr>
        <w:spacing w:line="360" w:lineRule="auto"/>
        <w:jc w:val="both"/>
        <w:rPr>
          <w:rFonts w:ascii="Times New Roman" w:hAnsi="Times New Roman" w:cs="Times New Roman"/>
          <w:sz w:val="24"/>
          <w:szCs w:val="24"/>
        </w:rPr>
      </w:pPr>
    </w:p>
    <w:p w14:paraId="7980F6EA" w14:textId="638D77C0" w:rsidR="000966BE" w:rsidRDefault="000966BE" w:rsidP="000966BE">
      <w:pPr>
        <w:spacing w:line="360" w:lineRule="auto"/>
        <w:jc w:val="both"/>
        <w:rPr>
          <w:rFonts w:ascii="Times New Roman" w:hAnsi="Times New Roman" w:cs="Times New Roman"/>
          <w:sz w:val="24"/>
          <w:szCs w:val="24"/>
        </w:rPr>
      </w:pPr>
    </w:p>
    <w:p w14:paraId="4537ED9F" w14:textId="0DA3C3AF" w:rsidR="000966BE" w:rsidRDefault="000966BE" w:rsidP="000966BE">
      <w:pPr>
        <w:spacing w:line="360" w:lineRule="auto"/>
        <w:jc w:val="both"/>
        <w:rPr>
          <w:rFonts w:ascii="Times New Roman" w:hAnsi="Times New Roman" w:cs="Times New Roman"/>
          <w:sz w:val="24"/>
          <w:szCs w:val="24"/>
        </w:rPr>
      </w:pPr>
    </w:p>
    <w:p w14:paraId="5E96B8A9" w14:textId="57370C0D" w:rsidR="000966BE" w:rsidRDefault="000966BE" w:rsidP="000966BE">
      <w:pPr>
        <w:spacing w:line="360" w:lineRule="auto"/>
        <w:jc w:val="both"/>
        <w:rPr>
          <w:rFonts w:ascii="Times New Roman" w:hAnsi="Times New Roman" w:cs="Times New Roman"/>
          <w:sz w:val="24"/>
          <w:szCs w:val="24"/>
        </w:rPr>
      </w:pPr>
    </w:p>
    <w:p w14:paraId="0B753A5A" w14:textId="77777777" w:rsidR="005E672E" w:rsidRDefault="008074E9" w:rsidP="005E672E">
      <w:pPr>
        <w:pStyle w:val="Heading2"/>
        <w:rPr>
          <w:lang w:eastAsia="en-GB"/>
        </w:rPr>
      </w:pPr>
      <w:bookmarkStart w:id="79" w:name="_Toc90499956"/>
      <w:r>
        <w:rPr>
          <w:rFonts w:eastAsia="Times New Roman"/>
          <w:lang w:eastAsia="en-GB"/>
        </w:rPr>
        <w:lastRenderedPageBreak/>
        <w:t xml:space="preserve">Step </w:t>
      </w:r>
      <w:r w:rsidR="00884440">
        <w:rPr>
          <w:rFonts w:eastAsia="Times New Roman"/>
          <w:lang w:eastAsia="en-GB"/>
        </w:rPr>
        <w:t>by</w:t>
      </w:r>
      <w:r>
        <w:rPr>
          <w:rFonts w:eastAsia="Times New Roman"/>
          <w:lang w:eastAsia="en-GB"/>
        </w:rPr>
        <w:t xml:space="preserve"> step procedure of the</w:t>
      </w:r>
      <w:r w:rsidR="0002798F">
        <w:rPr>
          <w:rFonts w:eastAsia="Times New Roman"/>
          <w:lang w:eastAsia="en-GB"/>
        </w:rPr>
        <w:t xml:space="preserve"> (liquidity transmission mechanism)</w:t>
      </w:r>
      <w:bookmarkEnd w:id="79"/>
      <w:r>
        <w:rPr>
          <w:rFonts w:eastAsia="Times New Roman"/>
          <w:lang w:eastAsia="en-GB"/>
        </w:rPr>
        <w:t xml:space="preserve"> </w:t>
      </w:r>
    </w:p>
    <w:p w14:paraId="0BA3B56A" w14:textId="2E939123" w:rsidR="00730E73" w:rsidRPr="005E672E" w:rsidRDefault="005E672E" w:rsidP="005E672E">
      <w:pPr>
        <w:rPr>
          <w:i/>
          <w:color w:val="548DD4" w:themeColor="text2" w:themeTint="99"/>
        </w:rPr>
      </w:pPr>
      <w:r w:rsidRPr="00B06DC4">
        <w:rPr>
          <w:i/>
          <w:color w:val="548DD4" w:themeColor="text2" w:themeTint="99"/>
        </w:rPr>
        <w:t>Calculated</w:t>
      </w:r>
      <w:r w:rsidR="008074E9" w:rsidRPr="00B06DC4">
        <w:rPr>
          <w:i/>
          <w:color w:val="548DD4" w:themeColor="text2" w:themeTint="99"/>
        </w:rPr>
        <w:t xml:space="preserve"> results from the various statistical tests.</w:t>
      </w:r>
    </w:p>
    <w:p w14:paraId="0E025C5F" w14:textId="0B5B3C84" w:rsidR="00730E73" w:rsidRDefault="00943658"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noProof/>
          <w:lang w:eastAsia="en-GB"/>
        </w:rPr>
        <mc:AlternateContent>
          <mc:Choice Requires="wps">
            <w:drawing>
              <wp:anchor distT="0" distB="0" distL="114300" distR="114300" simplePos="0" relativeHeight="251674624" behindDoc="0" locked="0" layoutInCell="1" allowOverlap="1" wp14:anchorId="76767BF6" wp14:editId="3A12D7FB">
                <wp:simplePos x="0" y="0"/>
                <wp:positionH relativeFrom="column">
                  <wp:posOffset>431377</wp:posOffset>
                </wp:positionH>
                <wp:positionV relativeFrom="paragraph">
                  <wp:posOffset>113030</wp:posOffset>
                </wp:positionV>
                <wp:extent cx="2387389" cy="880533"/>
                <wp:effectExtent l="0" t="0" r="13335" b="15240"/>
                <wp:wrapNone/>
                <wp:docPr id="95" name="Text Box 95"/>
                <wp:cNvGraphicFramePr/>
                <a:graphic xmlns:a="http://schemas.openxmlformats.org/drawingml/2006/main">
                  <a:graphicData uri="http://schemas.microsoft.com/office/word/2010/wordprocessingShape">
                    <wps:wsp>
                      <wps:cNvSpPr txBox="1"/>
                      <wps:spPr>
                        <a:xfrm>
                          <a:off x="0" y="0"/>
                          <a:ext cx="2387389" cy="88053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EDD1715" w14:textId="34E8482E" w:rsidR="00D94FFE" w:rsidRPr="00AE6839" w:rsidRDefault="00D94FFE" w:rsidP="00B85AE7">
                            <w:pPr>
                              <w:spacing w:line="240" w:lineRule="auto"/>
                              <w:jc w:val="both"/>
                              <w:rPr>
                                <w:rFonts w:ascii="Times New Roman" w:hAnsi="Times New Roman" w:cs="Times New Roman"/>
                                <w:sz w:val="20"/>
                                <w:szCs w:val="20"/>
                              </w:rPr>
                            </w:pPr>
                            <w:r w:rsidRPr="00AE6839">
                              <w:rPr>
                                <w:rFonts w:ascii="Times New Roman" w:hAnsi="Times New Roman" w:cs="Times New Roman"/>
                                <w:sz w:val="20"/>
                                <w:szCs w:val="20"/>
                              </w:rPr>
                              <w:t xml:space="preserve">Data Collection: Sec 1.4.1 Based on the historical data, Sec 1.4.2 and 1.4.3 analyse data feature (Volatility and stylized fact), Sec 1.4.4 if series is non-stationary series, stabilize it by log difference. </w:t>
                            </w:r>
                          </w:p>
                          <w:p w14:paraId="6634E92F" w14:textId="77777777" w:rsidR="00D94FFE" w:rsidRDefault="00D94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67BF6" id="_x0000_t202" coordsize="21600,21600" o:spt="202" path="m,l,21600r21600,l21600,xe">
                <v:stroke joinstyle="miter"/>
                <v:path gradientshapeok="t" o:connecttype="rect"/>
              </v:shapetype>
              <v:shape id="Text Box 95" o:spid="_x0000_s1026" type="#_x0000_t202" style="position:absolute;left:0;text-align:left;margin-left:33.95pt;margin-top:8.9pt;width:188pt;height:6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" fillcolor="white [3201]" strokecolor="#f79646 [3209]" strokeweight="2pt">
                <v:textbox>
                  <w:txbxContent>
                    <w:p w14:paraId="0EDD1715" w14:textId="34E8482E" w:rsidR="00D94FFE" w:rsidRPr="00AE6839" w:rsidRDefault="00D94FFE" w:rsidP="00B85AE7">
                      <w:pPr>
                        <w:spacing w:line="240" w:lineRule="auto"/>
                        <w:jc w:val="both"/>
                        <w:rPr>
                          <w:rFonts w:ascii="Times New Roman" w:hAnsi="Times New Roman" w:cs="Times New Roman"/>
                          <w:sz w:val="20"/>
                          <w:szCs w:val="20"/>
                        </w:rPr>
                      </w:pPr>
                      <w:r w:rsidRPr="00AE6839">
                        <w:rPr>
                          <w:rFonts w:ascii="Times New Roman" w:hAnsi="Times New Roman" w:cs="Times New Roman"/>
                          <w:sz w:val="20"/>
                          <w:szCs w:val="20"/>
                        </w:rPr>
                        <w:t xml:space="preserve">Data Collection: Sec 1.4.1 Based on the historical data, Sec 1.4.2 and 1.4.3 analyse data feature (Volatility and stylized fact), Sec 1.4.4 if series is non-stationary series, stabilize it by log difference. </w:t>
                      </w:r>
                    </w:p>
                    <w:p w14:paraId="6634E92F" w14:textId="77777777" w:rsidR="00D94FFE" w:rsidRDefault="00D94FFE"/>
                  </w:txbxContent>
                </v:textbox>
              </v:shape>
            </w:pict>
          </mc:Fallback>
        </mc:AlternateContent>
      </w:r>
    </w:p>
    <w:p w14:paraId="19373CCB" w14:textId="184E23A8" w:rsidR="00943658" w:rsidRDefault="00943658"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5B5D7B8A" w14:textId="39EF6C85" w:rsidR="00730E73" w:rsidRDefault="00943658"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8176" behindDoc="0" locked="0" layoutInCell="1" allowOverlap="1" wp14:anchorId="36E63651" wp14:editId="237DD115">
                <wp:simplePos x="0" y="0"/>
                <wp:positionH relativeFrom="column">
                  <wp:posOffset>3068849</wp:posOffset>
                </wp:positionH>
                <wp:positionV relativeFrom="paragraph">
                  <wp:posOffset>345969</wp:posOffset>
                </wp:positionV>
                <wp:extent cx="648336" cy="1104053"/>
                <wp:effectExtent l="0" t="18097" r="19367" b="19368"/>
                <wp:wrapNone/>
                <wp:docPr id="207" name="Arrow: Bent-Up 207"/>
                <wp:cNvGraphicFramePr/>
                <a:graphic xmlns:a="http://schemas.openxmlformats.org/drawingml/2006/main">
                  <a:graphicData uri="http://schemas.microsoft.com/office/word/2010/wordprocessingShape">
                    <wps:wsp>
                      <wps:cNvSpPr/>
                      <wps:spPr>
                        <a:xfrm rot="16200000">
                          <a:off x="0" y="0"/>
                          <a:ext cx="648336" cy="1104053"/>
                        </a:xfrm>
                        <a:prstGeom prst="bentUpArrow">
                          <a:avLst>
                            <a:gd name="adj1" fmla="val 25000"/>
                            <a:gd name="adj2" fmla="val 24359"/>
                            <a:gd name="adj3" fmla="val 25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EB57" id="Arrow: Bent-Up 207" o:spid="_x0000_s1026" style="position:absolute;margin-left:241.65pt;margin-top:27.25pt;width:51.05pt;height:86.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6,110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" path="m,941969r409366,l409366,162084r-76886,l490408,,648336,162084r-76886,l571450,1104053,,1104053,,941969xe" fillcolor="white [3201]" strokecolor="#f79646 [3209]" strokeweight="2pt">
                <v:path arrowok="t" o:connecttype="custom" o:connectlocs="0,941969;409366,941969;409366,162084;332480,162084;490408,0;648336,162084;571450,162084;571450,1104053;0,1104053;0,941969" o:connectangles="0,0,0,0,0,0,0,0,0,0"/>
              </v:shape>
            </w:pict>
          </mc:Fallback>
        </mc:AlternateContent>
      </w:r>
      <w:r w:rsidR="00B85AE7">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0768" behindDoc="0" locked="0" layoutInCell="1" allowOverlap="1" wp14:anchorId="155ACE17" wp14:editId="2A370C19">
                <wp:simplePos x="0" y="0"/>
                <wp:positionH relativeFrom="column">
                  <wp:posOffset>457200</wp:posOffset>
                </wp:positionH>
                <wp:positionV relativeFrom="paragraph">
                  <wp:posOffset>412539</wp:posOffset>
                </wp:positionV>
                <wp:extent cx="2386965" cy="990600"/>
                <wp:effectExtent l="0" t="0" r="13335" b="19050"/>
                <wp:wrapNone/>
                <wp:docPr id="99" name="Text Box 99"/>
                <wp:cNvGraphicFramePr/>
                <a:graphic xmlns:a="http://schemas.openxmlformats.org/drawingml/2006/main">
                  <a:graphicData uri="http://schemas.microsoft.com/office/word/2010/wordprocessingShape">
                    <wps:wsp>
                      <wps:cNvSpPr txBox="1"/>
                      <wps:spPr>
                        <a:xfrm>
                          <a:off x="0" y="0"/>
                          <a:ext cx="2386965" cy="9906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1D4F705" w14:textId="485FABF7" w:rsidR="00D94FFE" w:rsidRPr="00AE6839" w:rsidRDefault="00D94FFE" w:rsidP="00B85AE7">
                            <w:pPr>
                              <w:spacing w:line="240" w:lineRule="auto"/>
                              <w:jc w:val="both"/>
                              <w:rPr>
                                <w:rFonts w:ascii="Times New Roman" w:hAnsi="Times New Roman" w:cs="Times New Roman"/>
                                <w:sz w:val="20"/>
                                <w:szCs w:val="20"/>
                              </w:rPr>
                            </w:pPr>
                            <w:r w:rsidRPr="00AE6839">
                              <w:rPr>
                                <w:rFonts w:ascii="Times New Roman" w:hAnsi="Times New Roman" w:cs="Times New Roman"/>
                                <w:sz w:val="20"/>
                                <w:szCs w:val="20"/>
                              </w:rPr>
                              <w:t>Data Collection: Sec 1.4.1 Based on the historical data, Sec 1.4.2 and 1.4.3 analyse data feature (Volatility and stylized fact), Sec 1.4.4 if series is non-stationary series, stabilize it by log difference.</w:t>
                            </w:r>
                            <w:r>
                              <w:rPr>
                                <w:rFonts w:ascii="Times New Roman" w:hAnsi="Times New Roman" w:cs="Times New Roman"/>
                                <w:sz w:val="20"/>
                                <w:szCs w:val="20"/>
                              </w:rPr>
                              <w:t xml:space="preserve"> Sec 1.4.5</w:t>
                            </w:r>
                            <w:r w:rsidRPr="00AE6839">
                              <w:rPr>
                                <w:rFonts w:ascii="Times New Roman" w:hAnsi="Times New Roman" w:cs="Times New Roman"/>
                                <w:sz w:val="20"/>
                                <w:szCs w:val="20"/>
                              </w:rPr>
                              <w:t xml:space="preserve"> </w:t>
                            </w:r>
                            <w:r>
                              <w:rPr>
                                <w:rFonts w:ascii="Times New Roman" w:hAnsi="Times New Roman" w:cs="Times New Roman"/>
                                <w:sz w:val="20"/>
                                <w:szCs w:val="20"/>
                              </w:rPr>
                              <w:t>Verify heteroscedasticity.</w:t>
                            </w:r>
                          </w:p>
                          <w:p w14:paraId="721552EE" w14:textId="77777777" w:rsidR="00D94FFE" w:rsidRDefault="00D94FFE" w:rsidP="00AE6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CE17" id="Text Box 99" o:spid="_x0000_s1027" type="#_x0000_t202" style="position:absolute;left:0;text-align:left;margin-left:36pt;margin-top:32.5pt;width:187.95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" fillcolor="white [3201]" strokecolor="#f79646 [3209]" strokeweight="2pt">
                <v:textbox>
                  <w:txbxContent>
                    <w:p w14:paraId="51D4F705" w14:textId="485FABF7" w:rsidR="00D94FFE" w:rsidRPr="00AE6839" w:rsidRDefault="00D94FFE" w:rsidP="00B85AE7">
                      <w:pPr>
                        <w:spacing w:line="240" w:lineRule="auto"/>
                        <w:jc w:val="both"/>
                        <w:rPr>
                          <w:rFonts w:ascii="Times New Roman" w:hAnsi="Times New Roman" w:cs="Times New Roman"/>
                          <w:sz w:val="20"/>
                          <w:szCs w:val="20"/>
                        </w:rPr>
                      </w:pPr>
                      <w:r w:rsidRPr="00AE6839">
                        <w:rPr>
                          <w:rFonts w:ascii="Times New Roman" w:hAnsi="Times New Roman" w:cs="Times New Roman"/>
                          <w:sz w:val="20"/>
                          <w:szCs w:val="20"/>
                        </w:rPr>
                        <w:t>Data Collection: Sec 1.4.1 Based on the historical data, Sec 1.4.2 and 1.4.3 analyse data feature (Volatility and stylized fact), Sec 1.4.4 if series is non-stationary series, stabilize it by log difference.</w:t>
                      </w:r>
                      <w:r>
                        <w:rPr>
                          <w:rFonts w:ascii="Times New Roman" w:hAnsi="Times New Roman" w:cs="Times New Roman"/>
                          <w:sz w:val="20"/>
                          <w:szCs w:val="20"/>
                        </w:rPr>
                        <w:t xml:space="preserve"> Sec 1.4.5</w:t>
                      </w:r>
                      <w:r w:rsidRPr="00AE6839">
                        <w:rPr>
                          <w:rFonts w:ascii="Times New Roman" w:hAnsi="Times New Roman" w:cs="Times New Roman"/>
                          <w:sz w:val="20"/>
                          <w:szCs w:val="20"/>
                        </w:rPr>
                        <w:t xml:space="preserve"> </w:t>
                      </w:r>
                      <w:r>
                        <w:rPr>
                          <w:rFonts w:ascii="Times New Roman" w:hAnsi="Times New Roman" w:cs="Times New Roman"/>
                          <w:sz w:val="20"/>
                          <w:szCs w:val="20"/>
                        </w:rPr>
                        <w:t>Verify heteroscedasticity.</w:t>
                      </w:r>
                    </w:p>
                    <w:p w14:paraId="721552EE" w14:textId="77777777" w:rsidR="00D94FFE" w:rsidRDefault="00D94FFE" w:rsidP="00AE6839"/>
                  </w:txbxContent>
                </v:textbox>
              </v:shape>
            </w:pict>
          </mc:Fallback>
        </mc:AlternateContent>
      </w:r>
      <w:r w:rsidR="00B85AE7">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75648" behindDoc="0" locked="0" layoutInCell="1" allowOverlap="1" wp14:anchorId="529704A4" wp14:editId="5291E736">
                <wp:simplePos x="0" y="0"/>
                <wp:positionH relativeFrom="column">
                  <wp:posOffset>1489922</wp:posOffset>
                </wp:positionH>
                <wp:positionV relativeFrom="paragraph">
                  <wp:posOffset>5927</wp:posOffset>
                </wp:positionV>
                <wp:extent cx="279400" cy="347133"/>
                <wp:effectExtent l="19050" t="0" r="25400" b="34290"/>
                <wp:wrapNone/>
                <wp:docPr id="96" name="Arrow: Down 96"/>
                <wp:cNvGraphicFramePr/>
                <a:graphic xmlns:a="http://schemas.openxmlformats.org/drawingml/2006/main">
                  <a:graphicData uri="http://schemas.microsoft.com/office/word/2010/wordprocessingShape">
                    <wps:wsp>
                      <wps:cNvSpPr/>
                      <wps:spPr>
                        <a:xfrm>
                          <a:off x="0" y="0"/>
                          <a:ext cx="279400" cy="34713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49E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6" o:spid="_x0000_s1026" type="#_x0000_t67" style="position:absolute;margin-left:117.3pt;margin-top:.45pt;width:22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" adj="12907" fillcolor="white [3201]" strokecolor="#f79646 [3209]" strokeweight="2pt"/>
            </w:pict>
          </mc:Fallback>
        </mc:AlternateContent>
      </w:r>
    </w:p>
    <w:p w14:paraId="79CF3FDD" w14:textId="1F467A8F" w:rsidR="00730E73" w:rsidRDefault="00730E73"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42B74498" w14:textId="406792A2" w:rsidR="00730E73" w:rsidRDefault="00943658"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7152" behindDoc="0" locked="0" layoutInCell="1" allowOverlap="1" wp14:anchorId="3DFC4ECB" wp14:editId="6EF00BF2">
                <wp:simplePos x="0" y="0"/>
                <wp:positionH relativeFrom="column">
                  <wp:posOffset>3395133</wp:posOffset>
                </wp:positionH>
                <wp:positionV relativeFrom="paragraph">
                  <wp:posOffset>332104</wp:posOffset>
                </wp:positionV>
                <wp:extent cx="1659255" cy="439843"/>
                <wp:effectExtent l="0" t="0" r="17145" b="17780"/>
                <wp:wrapNone/>
                <wp:docPr id="204" name="Text Box 204"/>
                <wp:cNvGraphicFramePr/>
                <a:graphic xmlns:a="http://schemas.openxmlformats.org/drawingml/2006/main">
                  <a:graphicData uri="http://schemas.microsoft.com/office/word/2010/wordprocessingShape">
                    <wps:wsp>
                      <wps:cNvSpPr txBox="1"/>
                      <wps:spPr>
                        <a:xfrm>
                          <a:off x="0" y="0"/>
                          <a:ext cx="1659255" cy="43984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91826A7" w14:textId="77777777" w:rsidR="00D94FFE" w:rsidRDefault="00D94FFE" w:rsidP="00943658">
                            <w:pPr>
                              <w:spacing w:line="240" w:lineRule="auto"/>
                            </w:pPr>
                            <w:r w:rsidRPr="00690FFF">
                              <w:rPr>
                                <w:rFonts w:ascii="Times New Roman" w:hAnsi="Times New Roman" w:cs="Times New Roman"/>
                                <w:sz w:val="20"/>
                                <w:szCs w:val="20"/>
                              </w:rPr>
                              <w:t>adjust the model’s order and establish the model again</w:t>
                            </w:r>
                            <w:r w:rsidRPr="00F942B8">
                              <w:rPr>
                                <w:rFonts w:ascii="Times New Roman" w:hAnsi="Times New Roman" w:cs="Times New Roman"/>
                                <w:sz w:val="24"/>
                                <w:szCs w:val="24"/>
                              </w:rPr>
                              <w:t>.</w:t>
                            </w:r>
                          </w:p>
                          <w:p w14:paraId="0D195F28" w14:textId="22AE7055" w:rsidR="00D94FFE" w:rsidRDefault="00D94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C4ECB" id="Text Box 204" o:spid="_x0000_s1028" type="#_x0000_t202" style="position:absolute;left:0;text-align:left;margin-left:267.35pt;margin-top:26.15pt;width:130.65pt;height:34.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" fillcolor="white [3201]" strokecolor="#f79646 [3209]" strokeweight="2pt">
                <v:textbox>
                  <w:txbxContent>
                    <w:p w14:paraId="191826A7" w14:textId="77777777" w:rsidR="00D94FFE" w:rsidRDefault="00D94FFE" w:rsidP="00943658">
                      <w:pPr>
                        <w:spacing w:line="240" w:lineRule="auto"/>
                      </w:pPr>
                      <w:r w:rsidRPr="00690FFF">
                        <w:rPr>
                          <w:rFonts w:ascii="Times New Roman" w:hAnsi="Times New Roman" w:cs="Times New Roman"/>
                          <w:sz w:val="20"/>
                          <w:szCs w:val="20"/>
                        </w:rPr>
                        <w:t>adjust the model’s order and establish the model again</w:t>
                      </w:r>
                      <w:r w:rsidRPr="00F942B8">
                        <w:rPr>
                          <w:rFonts w:ascii="Times New Roman" w:hAnsi="Times New Roman" w:cs="Times New Roman"/>
                          <w:sz w:val="24"/>
                          <w:szCs w:val="24"/>
                        </w:rPr>
                        <w:t>.</w:t>
                      </w:r>
                    </w:p>
                    <w:p w14:paraId="0D195F28" w14:textId="22AE7055" w:rsidR="00D94FFE" w:rsidRDefault="00D94FFE"/>
                  </w:txbxContent>
                </v:textbox>
              </v:shape>
            </w:pict>
          </mc:Fallback>
        </mc:AlternateContent>
      </w:r>
    </w:p>
    <w:p w14:paraId="2EBEE1C8" w14:textId="37E89F33" w:rsidR="00730E73" w:rsidRDefault="00943658"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6128" behindDoc="0" locked="0" layoutInCell="1" allowOverlap="1" wp14:anchorId="5F34B83A" wp14:editId="402046A2">
                <wp:simplePos x="0" y="0"/>
                <wp:positionH relativeFrom="column">
                  <wp:posOffset>2912533</wp:posOffset>
                </wp:positionH>
                <wp:positionV relativeFrom="paragraph">
                  <wp:posOffset>357082</wp:posOffset>
                </wp:positionV>
                <wp:extent cx="1117600" cy="651933"/>
                <wp:effectExtent l="0" t="19050" r="44450" b="15240"/>
                <wp:wrapNone/>
                <wp:docPr id="203" name="Arrow: Bent-Up 203"/>
                <wp:cNvGraphicFramePr/>
                <a:graphic xmlns:a="http://schemas.openxmlformats.org/drawingml/2006/main">
                  <a:graphicData uri="http://schemas.microsoft.com/office/word/2010/wordprocessingShape">
                    <wps:wsp>
                      <wps:cNvSpPr/>
                      <wps:spPr>
                        <a:xfrm>
                          <a:off x="0" y="0"/>
                          <a:ext cx="1117600" cy="651933"/>
                        </a:xfrm>
                        <a:prstGeom prst="ben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41E0" id="Arrow: Bent-Up 203" o:spid="_x0000_s1026" style="position:absolute;margin-left:229.35pt;margin-top:28.1pt;width:88pt;height:5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65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" path="m,488950r873125,l873125,162983r-81491,l954617,r162983,162983l1036108,162983r,488950l,651933,,488950xe" fillcolor="white [3201]" strokecolor="#f79646 [3209]" strokeweight="2pt">
                <v:path arrowok="t" o:connecttype="custom" o:connectlocs="0,488950;873125,488950;873125,162983;791634,162983;954617,0;1117600,162983;1036108,162983;1036108,651933;0,651933;0,488950" o:connectangles="0,0,0,0,0,0,0,0,0,0"/>
              </v:shape>
            </w:pict>
          </mc:Fallback>
        </mc:AlternateContent>
      </w:r>
      <w:r w:rsidR="00B85AE7">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2816" behindDoc="0" locked="0" layoutInCell="1" allowOverlap="1" wp14:anchorId="2E3C7F42" wp14:editId="220A919D">
                <wp:simplePos x="0" y="0"/>
                <wp:positionH relativeFrom="column">
                  <wp:posOffset>1524000</wp:posOffset>
                </wp:positionH>
                <wp:positionV relativeFrom="paragraph">
                  <wp:posOffset>115147</wp:posOffset>
                </wp:positionV>
                <wp:extent cx="279400" cy="389467"/>
                <wp:effectExtent l="19050" t="0" r="25400" b="29845"/>
                <wp:wrapNone/>
                <wp:docPr id="100" name="Arrow: Down 100"/>
                <wp:cNvGraphicFramePr/>
                <a:graphic xmlns:a="http://schemas.openxmlformats.org/drawingml/2006/main">
                  <a:graphicData uri="http://schemas.microsoft.com/office/word/2010/wordprocessingShape">
                    <wps:wsp>
                      <wps:cNvSpPr/>
                      <wps:spPr>
                        <a:xfrm>
                          <a:off x="0" y="0"/>
                          <a:ext cx="279400" cy="389467"/>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DBC33" id="Arrow: Down 100" o:spid="_x0000_s1026" type="#_x0000_t67" style="position:absolute;margin-left:120pt;margin-top:9.05pt;width:22pt;height:3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" adj="13852" fillcolor="window" strokecolor="#f79646" strokeweight="2pt"/>
            </w:pict>
          </mc:Fallback>
        </mc:AlternateContent>
      </w:r>
    </w:p>
    <w:p w14:paraId="6F033B96" w14:textId="61AD4319" w:rsidR="00730E73"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noProof/>
          <w:lang w:eastAsia="en-GB"/>
        </w:rPr>
        <mc:AlternateContent>
          <mc:Choice Requires="wps">
            <w:drawing>
              <wp:anchor distT="0" distB="0" distL="114300" distR="114300" simplePos="0" relativeHeight="251707392" behindDoc="0" locked="0" layoutInCell="1" allowOverlap="1" wp14:anchorId="5B1578B4" wp14:editId="00AF523F">
                <wp:simplePos x="0" y="0"/>
                <wp:positionH relativeFrom="column">
                  <wp:posOffset>3182620</wp:posOffset>
                </wp:positionH>
                <wp:positionV relativeFrom="paragraph">
                  <wp:posOffset>77258</wp:posOffset>
                </wp:positionV>
                <wp:extent cx="457200" cy="287232"/>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57200" cy="287232"/>
                        </a:xfrm>
                        <a:prstGeom prst="rect">
                          <a:avLst/>
                        </a:prstGeom>
                        <a:solidFill>
                          <a:sysClr val="window" lastClr="FFFFFF"/>
                        </a:solidFill>
                        <a:ln w="6350">
                          <a:noFill/>
                        </a:ln>
                      </wps:spPr>
                      <wps:txbx>
                        <w:txbxContent>
                          <w:p w14:paraId="366ACD0C" w14:textId="2D44FD17" w:rsidR="00D94FFE" w:rsidRDefault="00D94FFE" w:rsidP="0088444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78B4" id="Text Box 212" o:spid="_x0000_s1029" type="#_x0000_t202" style="position:absolute;left:0;text-align:left;margin-left:250.6pt;margin-top:6.1pt;width:36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" fillcolor="window" stroked="f" strokeweight=".5pt">
                <v:textbox>
                  <w:txbxContent>
                    <w:p w14:paraId="366ACD0C" w14:textId="2D44FD17" w:rsidR="00D94FFE" w:rsidRDefault="00D94FFE" w:rsidP="00884440">
                      <w:r>
                        <w:t>No</w:t>
                      </w:r>
                    </w:p>
                  </w:txbxContent>
                </v:textbox>
              </v:shape>
            </w:pict>
          </mc:Fallback>
        </mc:AlternateContent>
      </w:r>
      <w:r w:rsidR="00943658">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5104" behindDoc="0" locked="0" layoutInCell="1" allowOverlap="1" wp14:anchorId="44831DF8" wp14:editId="252DE405">
                <wp:simplePos x="0" y="0"/>
                <wp:positionH relativeFrom="column">
                  <wp:posOffset>2430092</wp:posOffset>
                </wp:positionH>
                <wp:positionV relativeFrom="paragraph">
                  <wp:posOffset>94033</wp:posOffset>
                </wp:positionV>
                <wp:extent cx="1032722" cy="2540105"/>
                <wp:effectExtent l="0" t="0" r="0" b="23495"/>
                <wp:wrapNone/>
                <wp:docPr id="118" name="Arrow: Circular 118"/>
                <wp:cNvGraphicFramePr/>
                <a:graphic xmlns:a="http://schemas.openxmlformats.org/drawingml/2006/main">
                  <a:graphicData uri="http://schemas.microsoft.com/office/word/2010/wordprocessingShape">
                    <wps:wsp>
                      <wps:cNvSpPr/>
                      <wps:spPr>
                        <a:xfrm rot="5400000">
                          <a:off x="0" y="0"/>
                          <a:ext cx="1032722" cy="2540105"/>
                        </a:xfrm>
                        <a:prstGeom prst="circular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ABB1" id="Arrow: Circular 118" o:spid="_x0000_s1026" style="position:absolute;margin-left:191.35pt;margin-top:7.4pt;width:81.3pt;height:200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722,25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" path="m64545,1270053v,-498251,114884,-945163,289093,-1124610c630138,-139368,932795,351320,965430,1137320r64662,l903632,1270053,771912,1137320r64712,c807063,343824,537611,-68979,337879,373235,247789,572697,193635,909391,193635,1270053r-129090,xe" fillcolor="white [3201]" strokecolor="#f79646 [3209]" strokeweight="2pt">
                <v:path arrowok="t" o:connecttype="custom" o:connectlocs="64545,1270053;353638,145443;965430,1137320;1030092,1137320;903632,1270053;771912,1137320;836624,1137320;337879,373235;193635,1270053;64545,1270053" o:connectangles="0,0,0,0,0,0,0,0,0,0"/>
              </v:shape>
            </w:pict>
          </mc:Fallback>
        </mc:AlternateContent>
      </w:r>
      <w:r w:rsidR="00B85AE7">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6912" behindDoc="0" locked="0" layoutInCell="1" allowOverlap="1" wp14:anchorId="694AF939" wp14:editId="37441F74">
                <wp:simplePos x="0" y="0"/>
                <wp:positionH relativeFrom="column">
                  <wp:posOffset>473710</wp:posOffset>
                </wp:positionH>
                <wp:positionV relativeFrom="paragraph">
                  <wp:posOffset>115146</wp:posOffset>
                </wp:positionV>
                <wp:extent cx="2429722" cy="1049867"/>
                <wp:effectExtent l="0" t="0" r="27940" b="17145"/>
                <wp:wrapNone/>
                <wp:docPr id="102" name="Text Box 102"/>
                <wp:cNvGraphicFramePr/>
                <a:graphic xmlns:a="http://schemas.openxmlformats.org/drawingml/2006/main">
                  <a:graphicData uri="http://schemas.microsoft.com/office/word/2010/wordprocessingShape">
                    <wps:wsp>
                      <wps:cNvSpPr txBox="1"/>
                      <wps:spPr>
                        <a:xfrm>
                          <a:off x="0" y="0"/>
                          <a:ext cx="2429722" cy="1049867"/>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3D6DE5C" w14:textId="08AF6176" w:rsidR="00D94FFE" w:rsidRDefault="00D94FFE" w:rsidP="00B85AE7">
                            <w:pPr>
                              <w:spacing w:line="240" w:lineRule="auto"/>
                            </w:pPr>
                            <w:r>
                              <w:rPr>
                                <w:rFonts w:ascii="Times New Roman" w:hAnsi="Times New Roman" w:cs="Times New Roman"/>
                                <w:sz w:val="20"/>
                                <w:szCs w:val="20"/>
                              </w:rPr>
                              <w:t xml:space="preserve">Sec 1.4.5.1 </w:t>
                            </w:r>
                            <w:r w:rsidRPr="00690FFF">
                              <w:rPr>
                                <w:rFonts w:ascii="Times New Roman" w:hAnsi="Times New Roman" w:cs="Times New Roman"/>
                                <w:sz w:val="20"/>
                                <w:szCs w:val="20"/>
                              </w:rPr>
                              <w:t>ARMA model test: Test model by statistical hypothesis testing method, if model is effective</w:t>
                            </w:r>
                            <w:r>
                              <w:rPr>
                                <w:rFonts w:ascii="Times New Roman" w:hAnsi="Times New Roman" w:cs="Times New Roman"/>
                                <w:sz w:val="20"/>
                                <w:szCs w:val="20"/>
                              </w:rPr>
                              <w:t xml:space="preserve"> sec 1.4.5.2-3</w:t>
                            </w:r>
                            <w:r w:rsidRPr="00690FFF">
                              <w:rPr>
                                <w:rFonts w:ascii="Times New Roman" w:hAnsi="Times New Roman" w:cs="Times New Roman"/>
                                <w:sz w:val="20"/>
                                <w:szCs w:val="20"/>
                              </w:rPr>
                              <w:t>, then go to the fourth step, otherwise come back to the second step to adjust the model’s order and establish the model again</w:t>
                            </w:r>
                            <w:r w:rsidRPr="00F942B8">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F939" id="Text Box 102" o:spid="_x0000_s1030" type="#_x0000_t202" style="position:absolute;left:0;text-align:left;margin-left:37.3pt;margin-top:9.05pt;width:191.3pt;height:8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" fillcolor="white [3201]" strokecolor="#f79646 [3209]" strokeweight="2pt">
                <v:textbox>
                  <w:txbxContent>
                    <w:p w14:paraId="23D6DE5C" w14:textId="08AF6176" w:rsidR="00D94FFE" w:rsidRDefault="00D94FFE" w:rsidP="00B85AE7">
                      <w:pPr>
                        <w:spacing w:line="240" w:lineRule="auto"/>
                      </w:pPr>
                      <w:r>
                        <w:rPr>
                          <w:rFonts w:ascii="Times New Roman" w:hAnsi="Times New Roman" w:cs="Times New Roman"/>
                          <w:sz w:val="20"/>
                          <w:szCs w:val="20"/>
                        </w:rPr>
                        <w:t xml:space="preserve">Sec 1.4.5.1 </w:t>
                      </w:r>
                      <w:r w:rsidRPr="00690FFF">
                        <w:rPr>
                          <w:rFonts w:ascii="Times New Roman" w:hAnsi="Times New Roman" w:cs="Times New Roman"/>
                          <w:sz w:val="20"/>
                          <w:szCs w:val="20"/>
                        </w:rPr>
                        <w:t>ARMA model test: Test model by statistical hypothesis testing method, if model is effective</w:t>
                      </w:r>
                      <w:r>
                        <w:rPr>
                          <w:rFonts w:ascii="Times New Roman" w:hAnsi="Times New Roman" w:cs="Times New Roman"/>
                          <w:sz w:val="20"/>
                          <w:szCs w:val="20"/>
                        </w:rPr>
                        <w:t xml:space="preserve"> sec 1.4.5.2-3</w:t>
                      </w:r>
                      <w:r w:rsidRPr="00690FFF">
                        <w:rPr>
                          <w:rFonts w:ascii="Times New Roman" w:hAnsi="Times New Roman" w:cs="Times New Roman"/>
                          <w:sz w:val="20"/>
                          <w:szCs w:val="20"/>
                        </w:rPr>
                        <w:t>, then go to the fourth step, otherwise come back to the second step to adjust the model’s order and establish the model again</w:t>
                      </w:r>
                      <w:r w:rsidRPr="00F942B8">
                        <w:rPr>
                          <w:rFonts w:ascii="Times New Roman" w:hAnsi="Times New Roman" w:cs="Times New Roman"/>
                          <w:sz w:val="24"/>
                          <w:szCs w:val="24"/>
                        </w:rPr>
                        <w:t>.</w:t>
                      </w:r>
                    </w:p>
                  </w:txbxContent>
                </v:textbox>
              </v:shape>
            </w:pict>
          </mc:Fallback>
        </mc:AlternateContent>
      </w:r>
    </w:p>
    <w:p w14:paraId="54B16FFE" w14:textId="61E85D9A" w:rsidR="00730E73" w:rsidRDefault="00730E73"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18A49FC5" w14:textId="2A42557E" w:rsidR="00730E73" w:rsidRDefault="00B85AE7"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4864" behindDoc="0" locked="0" layoutInCell="1" allowOverlap="1" wp14:anchorId="1A93D1AC" wp14:editId="3946929E">
                <wp:simplePos x="0" y="0"/>
                <wp:positionH relativeFrom="column">
                  <wp:posOffset>1557020</wp:posOffset>
                </wp:positionH>
                <wp:positionV relativeFrom="paragraph">
                  <wp:posOffset>333587</wp:posOffset>
                </wp:positionV>
                <wp:extent cx="279400" cy="338243"/>
                <wp:effectExtent l="19050" t="0" r="25400" b="43180"/>
                <wp:wrapNone/>
                <wp:docPr id="101" name="Arrow: Down 101"/>
                <wp:cNvGraphicFramePr/>
                <a:graphic xmlns:a="http://schemas.openxmlformats.org/drawingml/2006/main">
                  <a:graphicData uri="http://schemas.microsoft.com/office/word/2010/wordprocessingShape">
                    <wps:wsp>
                      <wps:cNvSpPr/>
                      <wps:spPr>
                        <a:xfrm>
                          <a:off x="0" y="0"/>
                          <a:ext cx="279400" cy="338243"/>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DFE0" id="Arrow: Down 101" o:spid="_x0000_s1026" type="#_x0000_t67" style="position:absolute;margin-left:122.6pt;margin-top:26.25pt;width:22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" adj="12679" fillcolor="window" strokecolor="#f79646" strokeweight="2pt"/>
            </w:pict>
          </mc:Fallback>
        </mc:AlternateContent>
      </w:r>
    </w:p>
    <w:p w14:paraId="4BD03A6F" w14:textId="43FAFEF5" w:rsidR="00730E73"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noProof/>
          <w:lang w:eastAsia="en-GB"/>
        </w:rPr>
        <mc:AlternateContent>
          <mc:Choice Requires="wps">
            <w:drawing>
              <wp:anchor distT="0" distB="0" distL="114300" distR="114300" simplePos="0" relativeHeight="251711488" behindDoc="0" locked="0" layoutInCell="1" allowOverlap="1" wp14:anchorId="2A01C7B3" wp14:editId="2359B5AA">
                <wp:simplePos x="0" y="0"/>
                <wp:positionH relativeFrom="column">
                  <wp:posOffset>3259667</wp:posOffset>
                </wp:positionH>
                <wp:positionV relativeFrom="paragraph">
                  <wp:posOffset>8255</wp:posOffset>
                </wp:positionV>
                <wp:extent cx="406400" cy="2540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406400" cy="254000"/>
                        </a:xfrm>
                        <a:prstGeom prst="rect">
                          <a:avLst/>
                        </a:prstGeom>
                        <a:solidFill>
                          <a:sysClr val="window" lastClr="FFFFFF"/>
                        </a:solidFill>
                        <a:ln w="6350">
                          <a:noFill/>
                        </a:ln>
                      </wps:spPr>
                      <wps:txbx>
                        <w:txbxContent>
                          <w:p w14:paraId="03FAD294" w14:textId="77777777" w:rsidR="00D94FFE" w:rsidRDefault="00D94FFE" w:rsidP="00884440">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1C7B3" id="Text Box 214" o:spid="_x0000_s1031" type="#_x0000_t202" style="position:absolute;left:0;text-align:left;margin-left:256.65pt;margin-top:.65pt;width:32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" fillcolor="window" stroked="f" strokeweight=".5pt">
                <v:textbox>
                  <w:txbxContent>
                    <w:p w14:paraId="03FAD294" w14:textId="77777777" w:rsidR="00D94FFE" w:rsidRDefault="00D94FFE" w:rsidP="00884440">
                      <w:r>
                        <w:t>Yes</w:t>
                      </w:r>
                    </w:p>
                  </w:txbxContent>
                </v:textbox>
              </v:shape>
            </w:pict>
          </mc:Fallback>
        </mc:AlternateContent>
      </w:r>
      <w:r w:rsidR="00B85AE7">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7936" behindDoc="0" locked="0" layoutInCell="1" allowOverlap="1" wp14:anchorId="77D56C6C" wp14:editId="5CB55A66">
                <wp:simplePos x="0" y="0"/>
                <wp:positionH relativeFrom="column">
                  <wp:posOffset>491067</wp:posOffset>
                </wp:positionH>
                <wp:positionV relativeFrom="paragraph">
                  <wp:posOffset>282999</wp:posOffset>
                </wp:positionV>
                <wp:extent cx="2437977" cy="973666"/>
                <wp:effectExtent l="0" t="0" r="19685" b="17145"/>
                <wp:wrapNone/>
                <wp:docPr id="103" name="Text Box 103"/>
                <wp:cNvGraphicFramePr/>
                <a:graphic xmlns:a="http://schemas.openxmlformats.org/drawingml/2006/main">
                  <a:graphicData uri="http://schemas.microsoft.com/office/word/2010/wordprocessingShape">
                    <wps:wsp>
                      <wps:cNvSpPr txBox="1"/>
                      <wps:spPr>
                        <a:xfrm>
                          <a:off x="0" y="0"/>
                          <a:ext cx="2437977" cy="973666"/>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F153B2F" w14:textId="11B53A16" w:rsidR="00D94FFE" w:rsidRPr="00B85AE7" w:rsidRDefault="00D94FFE" w:rsidP="00B85AE7">
                            <w:pPr>
                              <w:spacing w:line="240" w:lineRule="auto"/>
                              <w:rPr>
                                <w:sz w:val="20"/>
                                <w:szCs w:val="20"/>
                              </w:rPr>
                            </w:pPr>
                            <w:r w:rsidRPr="00B85AE7">
                              <w:rPr>
                                <w:rFonts w:ascii="Times New Roman" w:hAnsi="Times New Roman" w:cs="Times New Roman"/>
                                <w:sz w:val="20"/>
                                <w:szCs w:val="20"/>
                              </w:rPr>
                              <w:t>Sec 1.4.</w:t>
                            </w:r>
                            <w:r>
                              <w:rPr>
                                <w:rFonts w:ascii="Times New Roman" w:hAnsi="Times New Roman" w:cs="Times New Roman"/>
                                <w:sz w:val="20"/>
                                <w:szCs w:val="20"/>
                              </w:rPr>
                              <w:t>5</w:t>
                            </w:r>
                            <w:r w:rsidRPr="00B85AE7">
                              <w:rPr>
                                <w:rFonts w:ascii="Times New Roman" w:hAnsi="Times New Roman" w:cs="Times New Roman"/>
                                <w:sz w:val="20"/>
                                <w:szCs w:val="20"/>
                              </w:rPr>
                              <w:t xml:space="preserve"> ARCH effect test, model identification and parameter estimation: Do GARCH effect test for residual series, identify the model’s order, estimate the parameter, establish the ARMAGARCH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6C6C" id="Text Box 103" o:spid="_x0000_s1032" type="#_x0000_t202" style="position:absolute;left:0;text-align:left;margin-left:38.65pt;margin-top:22.3pt;width:191.95pt;height:7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" fillcolor="white [3201]" strokecolor="#f79646 [3209]" strokeweight="2pt">
                <v:textbox>
                  <w:txbxContent>
                    <w:p w14:paraId="0F153B2F" w14:textId="11B53A16" w:rsidR="00D94FFE" w:rsidRPr="00B85AE7" w:rsidRDefault="00D94FFE" w:rsidP="00B85AE7">
                      <w:pPr>
                        <w:spacing w:line="240" w:lineRule="auto"/>
                        <w:rPr>
                          <w:sz w:val="20"/>
                          <w:szCs w:val="20"/>
                        </w:rPr>
                      </w:pPr>
                      <w:r w:rsidRPr="00B85AE7">
                        <w:rPr>
                          <w:rFonts w:ascii="Times New Roman" w:hAnsi="Times New Roman" w:cs="Times New Roman"/>
                          <w:sz w:val="20"/>
                          <w:szCs w:val="20"/>
                        </w:rPr>
                        <w:t>Sec 1.4.</w:t>
                      </w:r>
                      <w:r>
                        <w:rPr>
                          <w:rFonts w:ascii="Times New Roman" w:hAnsi="Times New Roman" w:cs="Times New Roman"/>
                          <w:sz w:val="20"/>
                          <w:szCs w:val="20"/>
                        </w:rPr>
                        <w:t>5</w:t>
                      </w:r>
                      <w:r w:rsidRPr="00B85AE7">
                        <w:rPr>
                          <w:rFonts w:ascii="Times New Roman" w:hAnsi="Times New Roman" w:cs="Times New Roman"/>
                          <w:sz w:val="20"/>
                          <w:szCs w:val="20"/>
                        </w:rPr>
                        <w:t xml:space="preserve"> ARCH effect test, model identification and parameter estimation: Do GARCH effect test for residual series, identify the model’s order, estimate the parameter, establish the ARMAGARCH model.</w:t>
                      </w:r>
                    </w:p>
                  </w:txbxContent>
                </v:textbox>
              </v:shape>
            </w:pict>
          </mc:Fallback>
        </mc:AlternateContent>
      </w:r>
    </w:p>
    <w:p w14:paraId="63D64F23" w14:textId="55155E2C" w:rsidR="00730E73"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704320" behindDoc="0" locked="0" layoutInCell="1" allowOverlap="1" wp14:anchorId="7BD53BCB" wp14:editId="0DB022FA">
                <wp:simplePos x="0" y="0"/>
                <wp:positionH relativeFrom="column">
                  <wp:posOffset>3145049</wp:posOffset>
                </wp:positionH>
                <wp:positionV relativeFrom="paragraph">
                  <wp:posOffset>12383</wp:posOffset>
                </wp:positionV>
                <wp:extent cx="665268" cy="1103630"/>
                <wp:effectExtent l="0" t="9842" r="11112" b="11113"/>
                <wp:wrapNone/>
                <wp:docPr id="210" name="Arrow: Bent-Up 210"/>
                <wp:cNvGraphicFramePr/>
                <a:graphic xmlns:a="http://schemas.openxmlformats.org/drawingml/2006/main">
                  <a:graphicData uri="http://schemas.microsoft.com/office/word/2010/wordprocessingShape">
                    <wps:wsp>
                      <wps:cNvSpPr/>
                      <wps:spPr>
                        <a:xfrm rot="16200000">
                          <a:off x="0" y="0"/>
                          <a:ext cx="665268" cy="1103630"/>
                        </a:xfrm>
                        <a:prstGeom prst="bentUpArrow">
                          <a:avLst>
                            <a:gd name="adj1" fmla="val 25000"/>
                            <a:gd name="adj2" fmla="val 24359"/>
                            <a:gd name="adj3" fmla="val 25000"/>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87AA" id="Arrow: Bent-Up 210" o:spid="_x0000_s1026" style="position:absolute;margin-left:247.65pt;margin-top:1pt;width:52.4pt;height:86.9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268,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" path="m,937313r420057,l420057,166317r-78894,l503215,,665268,166317r-78894,l586374,1103630,,1103630,,937313xe" fillcolor="window" strokecolor="#f79646" strokeweight="2pt">
                <v:path arrowok="t" o:connecttype="custom" o:connectlocs="0,937313;420057,937313;420057,166317;341163,166317;503215,0;665268,166317;586374,166317;586374,1103630;0,1103630;0,937313" o:connectangles="0,0,0,0,0,0,0,0,0,0"/>
              </v:shape>
            </w:pict>
          </mc:Fallback>
        </mc:AlternateContent>
      </w:r>
    </w:p>
    <w:p w14:paraId="7FE9443A" w14:textId="77E07C0A" w:rsidR="00730E73" w:rsidRDefault="008074E9"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89984" behindDoc="0" locked="0" layoutInCell="1" allowOverlap="1" wp14:anchorId="0A30071D" wp14:editId="7321590B">
                <wp:simplePos x="0" y="0"/>
                <wp:positionH relativeFrom="column">
                  <wp:posOffset>1590886</wp:posOffset>
                </wp:positionH>
                <wp:positionV relativeFrom="paragraph">
                  <wp:posOffset>433281</wp:posOffset>
                </wp:positionV>
                <wp:extent cx="279400" cy="329777"/>
                <wp:effectExtent l="19050" t="0" r="25400" b="32385"/>
                <wp:wrapNone/>
                <wp:docPr id="104" name="Arrow: Down 104"/>
                <wp:cNvGraphicFramePr/>
                <a:graphic xmlns:a="http://schemas.openxmlformats.org/drawingml/2006/main">
                  <a:graphicData uri="http://schemas.microsoft.com/office/word/2010/wordprocessingShape">
                    <wps:wsp>
                      <wps:cNvSpPr/>
                      <wps:spPr>
                        <a:xfrm>
                          <a:off x="0" y="0"/>
                          <a:ext cx="279400" cy="329777"/>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85DA" id="Arrow: Down 104" o:spid="_x0000_s1026" type="#_x0000_t67" style="position:absolute;margin-left:125.25pt;margin-top:34.1pt;width:22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" adj="12450" fillcolor="window" strokecolor="#f79646" strokeweight="2pt"/>
            </w:pict>
          </mc:Fallback>
        </mc:AlternateContent>
      </w:r>
    </w:p>
    <w:p w14:paraId="13B1821C" w14:textId="04BEFB92" w:rsidR="00730E73"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713536" behindDoc="0" locked="0" layoutInCell="1" allowOverlap="1" wp14:anchorId="1E0DD9A6" wp14:editId="173AED02">
                <wp:simplePos x="0" y="0"/>
                <wp:positionH relativeFrom="column">
                  <wp:posOffset>2464435</wp:posOffset>
                </wp:positionH>
                <wp:positionV relativeFrom="paragraph">
                  <wp:posOffset>380577</wp:posOffset>
                </wp:positionV>
                <wp:extent cx="1032722" cy="2540105"/>
                <wp:effectExtent l="0" t="0" r="0" b="23495"/>
                <wp:wrapNone/>
                <wp:docPr id="215" name="Arrow: Circular 215"/>
                <wp:cNvGraphicFramePr/>
                <a:graphic xmlns:a="http://schemas.openxmlformats.org/drawingml/2006/main">
                  <a:graphicData uri="http://schemas.microsoft.com/office/word/2010/wordprocessingShape">
                    <wps:wsp>
                      <wps:cNvSpPr/>
                      <wps:spPr>
                        <a:xfrm rot="5400000">
                          <a:off x="0" y="0"/>
                          <a:ext cx="1032722" cy="2540105"/>
                        </a:xfrm>
                        <a:prstGeom prst="circular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1D06" id="Arrow: Circular 215" o:spid="_x0000_s1026" style="position:absolute;margin-left:194.05pt;margin-top:29.95pt;width:81.3pt;height:200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722,25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" path="m64545,1270053v,-498251,114884,-945163,289093,-1124610c630138,-139368,932795,351320,965430,1137320r64662,l903632,1270053,771912,1137320r64712,c807063,343824,537611,-68979,337879,373235,247789,572697,193635,909391,193635,1270053r-129090,xe" fillcolor="window" strokecolor="#f79646" strokeweight="2pt">
                <v:path arrowok="t" o:connecttype="custom" o:connectlocs="64545,1270053;353638,145443;965430,1137320;1030092,1137320;903632,1270053;771912,1137320;836624,1137320;337879,373235;193635,1270053;64545,1270053" o:connectangles="0,0,0,0,0,0,0,0,0,0"/>
              </v:shape>
            </w:pict>
          </mc:Fallback>
        </mc:AlternateContent>
      </w: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702272" behindDoc="0" locked="0" layoutInCell="1" allowOverlap="1" wp14:anchorId="7FB64FC4" wp14:editId="662B0858">
                <wp:simplePos x="0" y="0"/>
                <wp:positionH relativeFrom="column">
                  <wp:posOffset>3158067</wp:posOffset>
                </wp:positionH>
                <wp:positionV relativeFrom="paragraph">
                  <wp:posOffset>7832</wp:posOffset>
                </wp:positionV>
                <wp:extent cx="1659255" cy="439843"/>
                <wp:effectExtent l="0" t="0" r="17145" b="17780"/>
                <wp:wrapNone/>
                <wp:docPr id="209" name="Text Box 209"/>
                <wp:cNvGraphicFramePr/>
                <a:graphic xmlns:a="http://schemas.openxmlformats.org/drawingml/2006/main">
                  <a:graphicData uri="http://schemas.microsoft.com/office/word/2010/wordprocessingShape">
                    <wps:wsp>
                      <wps:cNvSpPr txBox="1"/>
                      <wps:spPr>
                        <a:xfrm>
                          <a:off x="0" y="0"/>
                          <a:ext cx="1659255" cy="439843"/>
                        </a:xfrm>
                        <a:prstGeom prst="rect">
                          <a:avLst/>
                        </a:prstGeom>
                        <a:solidFill>
                          <a:sysClr val="window" lastClr="FFFFFF"/>
                        </a:solidFill>
                        <a:ln w="25400" cap="flat" cmpd="sng" algn="ctr">
                          <a:solidFill>
                            <a:srgbClr val="F79646"/>
                          </a:solidFill>
                          <a:prstDash val="solid"/>
                        </a:ln>
                        <a:effectLst/>
                      </wps:spPr>
                      <wps:txbx>
                        <w:txbxContent>
                          <w:p w14:paraId="157768CC" w14:textId="2B2E63BD" w:rsidR="00D94FFE" w:rsidRDefault="00D94FFE" w:rsidP="00884440">
                            <w:r w:rsidRPr="00B85AE7">
                              <w:rPr>
                                <w:rFonts w:ascii="Times New Roman" w:hAnsi="Times New Roman" w:cs="Times New Roman"/>
                                <w:sz w:val="20"/>
                                <w:szCs w:val="20"/>
                              </w:rPr>
                              <w:t>adjust GARCH model’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64FC4" id="Text Box 209" o:spid="_x0000_s1033" type="#_x0000_t202" style="position:absolute;left:0;text-align:left;margin-left:248.65pt;margin-top:.6pt;width:130.65pt;height:34.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" fillcolor="window" strokecolor="#f79646" strokeweight="2pt">
                <v:textbox>
                  <w:txbxContent>
                    <w:p w14:paraId="157768CC" w14:textId="2B2E63BD" w:rsidR="00D94FFE" w:rsidRDefault="00D94FFE" w:rsidP="00884440">
                      <w:r w:rsidRPr="00B85AE7">
                        <w:rPr>
                          <w:rFonts w:ascii="Times New Roman" w:hAnsi="Times New Roman" w:cs="Times New Roman"/>
                          <w:sz w:val="20"/>
                          <w:szCs w:val="20"/>
                        </w:rPr>
                        <w:t>adjust GARCH model’ order</w:t>
                      </w:r>
                    </w:p>
                  </w:txbxContent>
                </v:textbox>
              </v:shape>
            </w:pict>
          </mc:Fallback>
        </mc:AlternateContent>
      </w:r>
      <w:r w:rsidR="008074E9">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1008" behindDoc="0" locked="0" layoutInCell="1" allowOverlap="1" wp14:anchorId="5C944F84" wp14:editId="6707B3C2">
                <wp:simplePos x="0" y="0"/>
                <wp:positionH relativeFrom="column">
                  <wp:posOffset>533400</wp:posOffset>
                </wp:positionH>
                <wp:positionV relativeFrom="paragraph">
                  <wp:posOffset>382905</wp:posOffset>
                </wp:positionV>
                <wp:extent cx="2429510" cy="965200"/>
                <wp:effectExtent l="0" t="0" r="27940" b="25400"/>
                <wp:wrapNone/>
                <wp:docPr id="105" name="Text Box 105"/>
                <wp:cNvGraphicFramePr/>
                <a:graphic xmlns:a="http://schemas.openxmlformats.org/drawingml/2006/main">
                  <a:graphicData uri="http://schemas.microsoft.com/office/word/2010/wordprocessingShape">
                    <wps:wsp>
                      <wps:cNvSpPr txBox="1"/>
                      <wps:spPr>
                        <a:xfrm>
                          <a:off x="0" y="0"/>
                          <a:ext cx="2429510" cy="9652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1EC714A" w14:textId="3C0F2037" w:rsidR="00D94FFE" w:rsidRDefault="00D94FFE">
                            <w:r>
                              <w:rPr>
                                <w:rFonts w:ascii="Times New Roman" w:hAnsi="Times New Roman" w:cs="Times New Roman"/>
                                <w:sz w:val="20"/>
                                <w:szCs w:val="20"/>
                              </w:rPr>
                              <w:t xml:space="preserve">Sec 1.4.6 </w:t>
                            </w:r>
                            <w:r w:rsidRPr="00B85AE7">
                              <w:rPr>
                                <w:rFonts w:ascii="Times New Roman" w:hAnsi="Times New Roman" w:cs="Times New Roman"/>
                                <w:sz w:val="20"/>
                                <w:szCs w:val="20"/>
                              </w:rPr>
                              <w:t>ARMA-GARCH model test: Test model by statistical hypothesis testing method, if model is effective, go to the sixth step, otherwise come back to the fourth step to adjust GARCH model’ order</w:t>
                            </w:r>
                            <w:r w:rsidRPr="00F942B8">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44F84" id="Text Box 105" o:spid="_x0000_s1034" type="#_x0000_t202" style="position:absolute;left:0;text-align:left;margin-left:42pt;margin-top:30.15pt;width:191.3pt;height:7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" fillcolor="white [3201]" strokecolor="#f79646 [3209]" strokeweight="2pt">
                <v:textbox>
                  <w:txbxContent>
                    <w:p w14:paraId="71EC714A" w14:textId="3C0F2037" w:rsidR="00D94FFE" w:rsidRDefault="00D94FFE">
                      <w:r>
                        <w:rPr>
                          <w:rFonts w:ascii="Times New Roman" w:hAnsi="Times New Roman" w:cs="Times New Roman"/>
                          <w:sz w:val="20"/>
                          <w:szCs w:val="20"/>
                        </w:rPr>
                        <w:t xml:space="preserve">Sec 1.4.6 </w:t>
                      </w:r>
                      <w:r w:rsidRPr="00B85AE7">
                        <w:rPr>
                          <w:rFonts w:ascii="Times New Roman" w:hAnsi="Times New Roman" w:cs="Times New Roman"/>
                          <w:sz w:val="20"/>
                          <w:szCs w:val="20"/>
                        </w:rPr>
                        <w:t>ARMA-GARCH model test: Test model by statistical hypothesis testing method, if model is effective, go to the sixth step, otherwise come back to the fourth step to adjust GARCH model’ order</w:t>
                      </w:r>
                      <w:r w:rsidRPr="00F942B8">
                        <w:rPr>
                          <w:rFonts w:ascii="Times New Roman" w:hAnsi="Times New Roman" w:cs="Times New Roman"/>
                          <w:sz w:val="24"/>
                          <w:szCs w:val="24"/>
                        </w:rPr>
                        <w:t>.</w:t>
                      </w:r>
                    </w:p>
                  </w:txbxContent>
                </v:textbox>
              </v:shape>
            </w:pict>
          </mc:Fallback>
        </mc:AlternateContent>
      </w:r>
    </w:p>
    <w:p w14:paraId="6317A161" w14:textId="02FB6616" w:rsidR="00730E73"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noProof/>
          <w:lang w:eastAsia="en-GB"/>
        </w:rPr>
        <mc:AlternateContent>
          <mc:Choice Requires="wps">
            <w:drawing>
              <wp:anchor distT="0" distB="0" distL="114300" distR="114300" simplePos="0" relativeHeight="251709440" behindDoc="0" locked="0" layoutInCell="1" allowOverlap="1" wp14:anchorId="1209E8CF" wp14:editId="59F85799">
                <wp:simplePos x="0" y="0"/>
                <wp:positionH relativeFrom="column">
                  <wp:posOffset>3234267</wp:posOffset>
                </wp:positionH>
                <wp:positionV relativeFrom="paragraph">
                  <wp:posOffset>185631</wp:posOffset>
                </wp:positionV>
                <wp:extent cx="457200" cy="287232"/>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457200" cy="28723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F520D1" w14:textId="77777777" w:rsidR="00D94FFE" w:rsidRDefault="00D94FFE" w:rsidP="0088444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E8CF" id="Text Box 213" o:spid="_x0000_s1035" type="#_x0000_t202" style="position:absolute;left:0;text-align:left;margin-left:254.65pt;margin-top:14.6pt;width:36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" fillcolor="white [3201]" stroked="f" strokeweight="2pt">
                <v:textbox>
                  <w:txbxContent>
                    <w:p w14:paraId="6DF520D1" w14:textId="77777777" w:rsidR="00D94FFE" w:rsidRDefault="00D94FFE" w:rsidP="00884440">
                      <w:r>
                        <w:t>No</w:t>
                      </w:r>
                    </w:p>
                  </w:txbxContent>
                </v:textbox>
              </v:shape>
            </w:pict>
          </mc:Fallback>
        </mc:AlternateContent>
      </w: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700224" behindDoc="0" locked="0" layoutInCell="1" allowOverlap="1" wp14:anchorId="302DDB6E" wp14:editId="3E96BF61">
                <wp:simplePos x="0" y="0"/>
                <wp:positionH relativeFrom="column">
                  <wp:posOffset>2971800</wp:posOffset>
                </wp:positionH>
                <wp:positionV relativeFrom="paragraph">
                  <wp:posOffset>23495</wp:posOffset>
                </wp:positionV>
                <wp:extent cx="1176867" cy="651933"/>
                <wp:effectExtent l="0" t="19050" r="42545" b="15240"/>
                <wp:wrapNone/>
                <wp:docPr id="208" name="Arrow: Bent-Up 208"/>
                <wp:cNvGraphicFramePr/>
                <a:graphic xmlns:a="http://schemas.openxmlformats.org/drawingml/2006/main">
                  <a:graphicData uri="http://schemas.microsoft.com/office/word/2010/wordprocessingShape">
                    <wps:wsp>
                      <wps:cNvSpPr/>
                      <wps:spPr>
                        <a:xfrm>
                          <a:off x="0" y="0"/>
                          <a:ext cx="1176867" cy="651933"/>
                        </a:xfrm>
                        <a:prstGeom prst="ben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2872" id="Arrow: Bent-Up 208" o:spid="_x0000_s1026" style="position:absolute;margin-left:234pt;margin-top:1.85pt;width:92.65pt;height:5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6867,65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" path="m,488950r932392,l932392,162983r-81491,l1013884,r162983,162983l1095375,162983r,488950l,651933,,488950xe" fillcolor="window" strokecolor="#f79646" strokeweight="2pt">
                <v:path arrowok="t" o:connecttype="custom" o:connectlocs="0,488950;932392,488950;932392,162983;850901,162983;1013884,0;1176867,162983;1095375,162983;1095375,651933;0,651933;0,488950" o:connectangles="0,0,0,0,0,0,0,0,0,0"/>
              </v:shape>
            </w:pict>
          </mc:Fallback>
        </mc:AlternateContent>
      </w:r>
    </w:p>
    <w:p w14:paraId="667A4B6C" w14:textId="46F0EC40" w:rsidR="0093263B" w:rsidRDefault="0093263B"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7AF39470" w14:textId="1CB15818" w:rsidR="0093263B" w:rsidRDefault="00884440"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2032" behindDoc="0" locked="0" layoutInCell="1" allowOverlap="1" wp14:anchorId="3A7497FB" wp14:editId="7BDFB6EA">
                <wp:simplePos x="0" y="0"/>
                <wp:positionH relativeFrom="column">
                  <wp:posOffset>533400</wp:posOffset>
                </wp:positionH>
                <wp:positionV relativeFrom="paragraph">
                  <wp:posOffset>314960</wp:posOffset>
                </wp:positionV>
                <wp:extent cx="2438400" cy="1447800"/>
                <wp:effectExtent l="0" t="0" r="19050" b="19050"/>
                <wp:wrapNone/>
                <wp:docPr id="106" name="Text Box 106"/>
                <wp:cNvGraphicFramePr/>
                <a:graphic xmlns:a="http://schemas.openxmlformats.org/drawingml/2006/main">
                  <a:graphicData uri="http://schemas.microsoft.com/office/word/2010/wordprocessingShape">
                    <wps:wsp>
                      <wps:cNvSpPr txBox="1"/>
                      <wps:spPr>
                        <a:xfrm>
                          <a:off x="0" y="0"/>
                          <a:ext cx="2438400" cy="1447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8D3306" w14:textId="7C3CA61F" w:rsidR="00D94FFE" w:rsidRPr="00B85AE7" w:rsidRDefault="00D94FFE" w:rsidP="00B85AE7">
                            <w:pPr>
                              <w:spacing w:line="240" w:lineRule="auto"/>
                              <w:rPr>
                                <w:sz w:val="20"/>
                                <w:szCs w:val="20"/>
                              </w:rPr>
                            </w:pPr>
                            <w:r>
                              <w:rPr>
                                <w:rFonts w:ascii="Times New Roman" w:hAnsi="Times New Roman" w:cs="Times New Roman"/>
                                <w:sz w:val="20"/>
                                <w:szCs w:val="20"/>
                              </w:rPr>
                              <w:t>S</w:t>
                            </w:r>
                            <w:r w:rsidRPr="00B85AE7">
                              <w:rPr>
                                <w:rFonts w:ascii="Times New Roman" w:hAnsi="Times New Roman" w:cs="Times New Roman"/>
                                <w:sz w:val="20"/>
                                <w:szCs w:val="20"/>
                              </w:rPr>
                              <w:t xml:space="preserve">teps 1-5 and integration to DCC-GARCH and BEKK-GARCH. Multivariate GARCH models have evolved from the optimal univariate GARCH model. The DCC specification will then allow the capture of possible structural breaks in the unconditional correlation amongst the variables. Finally, </w:t>
                            </w:r>
                            <w:r w:rsidRPr="00B85AE7">
                              <w:rPr>
                                <w:rFonts w:ascii="Times New Roman" w:hAnsi="Times New Roman"/>
                                <w:sz w:val="20"/>
                                <w:szCs w:val="20"/>
                              </w:rPr>
                              <w:t>the BEKK-GARCH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97FB" id="Text Box 106" o:spid="_x0000_s1036" type="#_x0000_t202" style="position:absolute;left:0;text-align:left;margin-left:42pt;margin-top:24.8pt;width:192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" fillcolor="white [3201]" strokecolor="#f79646 [3209]" strokeweight="2pt">
                <v:textbox>
                  <w:txbxContent>
                    <w:p w14:paraId="658D3306" w14:textId="7C3CA61F" w:rsidR="00D94FFE" w:rsidRPr="00B85AE7" w:rsidRDefault="00D94FFE" w:rsidP="00B85AE7">
                      <w:pPr>
                        <w:spacing w:line="240" w:lineRule="auto"/>
                        <w:rPr>
                          <w:sz w:val="20"/>
                          <w:szCs w:val="20"/>
                        </w:rPr>
                      </w:pPr>
                      <w:r>
                        <w:rPr>
                          <w:rFonts w:ascii="Times New Roman" w:hAnsi="Times New Roman" w:cs="Times New Roman"/>
                          <w:sz w:val="20"/>
                          <w:szCs w:val="20"/>
                        </w:rPr>
                        <w:t>S</w:t>
                      </w:r>
                      <w:r w:rsidRPr="00B85AE7">
                        <w:rPr>
                          <w:rFonts w:ascii="Times New Roman" w:hAnsi="Times New Roman" w:cs="Times New Roman"/>
                          <w:sz w:val="20"/>
                          <w:szCs w:val="20"/>
                        </w:rPr>
                        <w:t xml:space="preserve">teps 1-5 and integration to DCC-GARCH and BEKK-GARCH. Multivariate GARCH models have evolved from the optimal univariate GARCH model. The DCC specification will then allow the capture of possible structural breaks in the unconditional correlation amongst the variables. Finally, </w:t>
                      </w:r>
                      <w:r w:rsidRPr="00B85AE7">
                        <w:rPr>
                          <w:rFonts w:ascii="Times New Roman" w:hAnsi="Times New Roman"/>
                          <w:sz w:val="20"/>
                          <w:szCs w:val="20"/>
                        </w:rPr>
                        <w:t>the BEKK-GARCH model</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01312FF5" wp14:editId="04A5CA9C">
                <wp:simplePos x="0" y="0"/>
                <wp:positionH relativeFrom="column">
                  <wp:posOffset>3276177</wp:posOffset>
                </wp:positionH>
                <wp:positionV relativeFrom="paragraph">
                  <wp:posOffset>199813</wp:posOffset>
                </wp:positionV>
                <wp:extent cx="457200" cy="270933"/>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457200" cy="270933"/>
                        </a:xfrm>
                        <a:prstGeom prst="rect">
                          <a:avLst/>
                        </a:prstGeom>
                        <a:solidFill>
                          <a:schemeClr val="lt1"/>
                        </a:solidFill>
                        <a:ln w="6350">
                          <a:noFill/>
                        </a:ln>
                      </wps:spPr>
                      <wps:txbx>
                        <w:txbxContent>
                          <w:p w14:paraId="748541D6" w14:textId="6C19025E" w:rsidR="00D94FFE" w:rsidRDefault="00D94FFE">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2FF5" id="Text Box 211" o:spid="_x0000_s1037" type="#_x0000_t202" style="position:absolute;left:0;text-align:left;margin-left:257.95pt;margin-top:15.75pt;width:36pt;height:2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" fillcolor="white [3201]" stroked="f" strokeweight=".5pt">
                <v:textbox>
                  <w:txbxContent>
                    <w:p w14:paraId="748541D6" w14:textId="6C19025E" w:rsidR="00D94FFE" w:rsidRDefault="00D94FFE">
                      <w:r>
                        <w:t>Yes</w:t>
                      </w:r>
                    </w:p>
                  </w:txbxContent>
                </v:textbox>
              </v:shape>
            </w:pict>
          </mc:Fallback>
        </mc:AlternateContent>
      </w:r>
      <w:r w:rsidR="008074E9">
        <w:rPr>
          <w:rFonts w:ascii="Times New Roman" w:eastAsia="Times New Roman" w:hAnsi="Times New Roman" w:cs="Times New Roman"/>
          <w:noProof/>
          <w:color w:val="000000" w:themeColor="text1"/>
          <w:sz w:val="24"/>
          <w:szCs w:val="24"/>
          <w:lang w:eastAsia="en-GB"/>
        </w:rPr>
        <mc:AlternateContent>
          <mc:Choice Requires="wps">
            <w:drawing>
              <wp:anchor distT="0" distB="0" distL="114300" distR="114300" simplePos="0" relativeHeight="251694080" behindDoc="0" locked="0" layoutInCell="1" allowOverlap="1" wp14:anchorId="054B1EDD" wp14:editId="617C8006">
                <wp:simplePos x="0" y="0"/>
                <wp:positionH relativeFrom="column">
                  <wp:posOffset>1633644</wp:posOffset>
                </wp:positionH>
                <wp:positionV relativeFrom="paragraph">
                  <wp:posOffset>61172</wp:posOffset>
                </wp:positionV>
                <wp:extent cx="262467" cy="270087"/>
                <wp:effectExtent l="19050" t="0" r="23495" b="34925"/>
                <wp:wrapNone/>
                <wp:docPr id="115" name="Arrow: Down 115"/>
                <wp:cNvGraphicFramePr/>
                <a:graphic xmlns:a="http://schemas.openxmlformats.org/drawingml/2006/main">
                  <a:graphicData uri="http://schemas.microsoft.com/office/word/2010/wordprocessingShape">
                    <wps:wsp>
                      <wps:cNvSpPr/>
                      <wps:spPr>
                        <a:xfrm>
                          <a:off x="0" y="0"/>
                          <a:ext cx="262467" cy="270087"/>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874E" id="Arrow: Down 115" o:spid="_x0000_s1026" type="#_x0000_t67" style="position:absolute;margin-left:128.65pt;margin-top:4.8pt;width:20.65pt;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" adj="11105" fillcolor="window" strokecolor="#f79646" strokeweight="2pt"/>
            </w:pict>
          </mc:Fallback>
        </mc:AlternateContent>
      </w:r>
    </w:p>
    <w:p w14:paraId="745B21C2" w14:textId="057B0192" w:rsidR="0093263B" w:rsidRDefault="0093263B"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5AF80299" w14:textId="77777777" w:rsidR="0093263B" w:rsidRPr="00B44D0D" w:rsidRDefault="0093263B" w:rsidP="00520E3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GB"/>
        </w:rPr>
      </w:pPr>
    </w:p>
    <w:p w14:paraId="7F73CBEC" w14:textId="0C0528B0" w:rsidR="00454904" w:rsidRPr="00B44D0D" w:rsidRDefault="0065539B" w:rsidP="00520E3B">
      <w:pPr>
        <w:pStyle w:val="Heading2"/>
      </w:pPr>
      <w:bookmarkStart w:id="80" w:name="_Toc90499957"/>
      <w:r>
        <w:lastRenderedPageBreak/>
        <w:t>1.</w:t>
      </w:r>
      <w:r w:rsidR="0022256D">
        <w:t>4.</w:t>
      </w:r>
      <w:r>
        <w:t>1</w:t>
      </w:r>
      <w:r w:rsidR="0022256D">
        <w:t xml:space="preserve"> </w:t>
      </w:r>
      <w:r w:rsidR="00454904" w:rsidRPr="00B44D0D">
        <w:t xml:space="preserve">Data </w:t>
      </w:r>
      <w:r w:rsidR="00FC15FE">
        <w:t>description</w:t>
      </w:r>
      <w:bookmarkEnd w:id="80"/>
      <w:r w:rsidR="00FC15FE">
        <w:t xml:space="preserve"> </w:t>
      </w:r>
      <w:r w:rsidR="00454904" w:rsidRPr="00B44D0D">
        <w:t xml:space="preserve"> </w:t>
      </w:r>
    </w:p>
    <w:p w14:paraId="18630F27" w14:textId="267DF84A" w:rsidR="003D416C" w:rsidRPr="00B44D0D" w:rsidRDefault="003D416C" w:rsidP="003D416C">
      <w:pPr>
        <w:spacing w:after="0" w:line="360" w:lineRule="auto"/>
        <w:jc w:val="both"/>
        <w:rPr>
          <w:rFonts w:ascii="Times New Roman" w:hAnsi="Times New Roman"/>
          <w:sz w:val="24"/>
          <w:szCs w:val="24"/>
        </w:rPr>
      </w:pPr>
      <w:r w:rsidRPr="00B44D0D">
        <w:rPr>
          <w:rFonts w:ascii="Times New Roman" w:hAnsi="Times New Roman"/>
          <w:sz w:val="24"/>
          <w:szCs w:val="24"/>
        </w:rPr>
        <w:t>The data collection for this study is ranged from January 4</w:t>
      </w:r>
      <w:r w:rsidRPr="00B44D0D">
        <w:rPr>
          <w:rFonts w:ascii="Times New Roman" w:hAnsi="Times New Roman"/>
          <w:sz w:val="24"/>
          <w:szCs w:val="24"/>
          <w:vertAlign w:val="superscript"/>
        </w:rPr>
        <w:t>th</w:t>
      </w:r>
      <w:r w:rsidR="00520E3B" w:rsidRPr="00B44D0D">
        <w:rPr>
          <w:rFonts w:ascii="Times New Roman" w:hAnsi="Times New Roman"/>
          <w:sz w:val="24"/>
          <w:szCs w:val="24"/>
        </w:rPr>
        <w:t>, 2005,</w:t>
      </w:r>
      <w:r w:rsidRPr="00B44D0D">
        <w:rPr>
          <w:rFonts w:ascii="Times New Roman" w:hAnsi="Times New Roman"/>
          <w:sz w:val="24"/>
          <w:szCs w:val="24"/>
        </w:rPr>
        <w:t xml:space="preserve"> until December 20</w:t>
      </w:r>
      <w:r w:rsidRPr="00B44D0D">
        <w:rPr>
          <w:rFonts w:ascii="Times New Roman" w:hAnsi="Times New Roman"/>
          <w:sz w:val="24"/>
          <w:szCs w:val="24"/>
          <w:vertAlign w:val="superscript"/>
        </w:rPr>
        <w:t>th</w:t>
      </w:r>
      <w:r w:rsidR="00520E3B" w:rsidRPr="00B44D0D">
        <w:rPr>
          <w:rFonts w:ascii="Times New Roman" w:hAnsi="Times New Roman"/>
          <w:sz w:val="24"/>
          <w:szCs w:val="24"/>
        </w:rPr>
        <w:t>, 2015</w:t>
      </w:r>
      <w:r w:rsidRPr="00B44D0D">
        <w:rPr>
          <w:rFonts w:ascii="Times New Roman" w:hAnsi="Times New Roman"/>
          <w:sz w:val="24"/>
          <w:szCs w:val="24"/>
        </w:rPr>
        <w:t xml:space="preserve"> (USA daily data) and it is collected from the Board of Governors of the Federal Reserve System, Bloomberg, Thompson, Banker One and DataStream. The data sample includes the period of </w:t>
      </w:r>
      <w:r w:rsidR="00EA4BDC" w:rsidRPr="00B44D0D">
        <w:rPr>
          <w:rFonts w:ascii="Times New Roman" w:hAnsi="Times New Roman"/>
          <w:sz w:val="24"/>
          <w:szCs w:val="24"/>
        </w:rPr>
        <w:t xml:space="preserve">pre/during/ and post </w:t>
      </w:r>
      <w:r w:rsidRPr="00B44D0D">
        <w:rPr>
          <w:rFonts w:ascii="Times New Roman" w:hAnsi="Times New Roman"/>
          <w:sz w:val="24"/>
          <w:szCs w:val="24"/>
        </w:rPr>
        <w:t>subprime mortgage crisis. This sample period allows an evaluation of the dynamics of the interbank market prior to the collapse</w:t>
      </w:r>
      <w:r w:rsidR="00EA4BDC" w:rsidRPr="00B44D0D">
        <w:rPr>
          <w:rFonts w:ascii="Times New Roman" w:hAnsi="Times New Roman"/>
          <w:sz w:val="24"/>
          <w:szCs w:val="24"/>
        </w:rPr>
        <w:t>, during collapse and after collapse</w:t>
      </w:r>
      <w:r w:rsidRPr="00B44D0D">
        <w:rPr>
          <w:rFonts w:ascii="Times New Roman" w:hAnsi="Times New Roman"/>
          <w:sz w:val="24"/>
          <w:szCs w:val="24"/>
        </w:rPr>
        <w:t xml:space="preserve"> of the financial system and the persist</w:t>
      </w:r>
      <w:r w:rsidR="00EA4BDC" w:rsidRPr="00B44D0D">
        <w:rPr>
          <w:rFonts w:ascii="Times New Roman" w:hAnsi="Times New Roman"/>
          <w:sz w:val="24"/>
          <w:szCs w:val="24"/>
        </w:rPr>
        <w:t>ence of the liquidity shocks in the pre/during/post crisis</w:t>
      </w:r>
      <w:r w:rsidRPr="00B44D0D">
        <w:rPr>
          <w:rFonts w:ascii="Times New Roman" w:hAnsi="Times New Roman"/>
          <w:sz w:val="24"/>
          <w:szCs w:val="24"/>
        </w:rPr>
        <w:t xml:space="preserve"> period. This study chooses four liquidity measurements to investigate the transmission mechanism within the interbank market. Funding liquidity conditions in the asset-backed commercial paper (ABCP) </w:t>
      </w:r>
      <w:bookmarkStart w:id="81" w:name="_Hlk82714393"/>
      <w:r w:rsidRPr="00B44D0D">
        <w:rPr>
          <w:rFonts w:ascii="Times New Roman" w:hAnsi="Times New Roman"/>
          <w:sz w:val="24"/>
          <w:szCs w:val="24"/>
        </w:rPr>
        <w:t xml:space="preserve">is measured by the spread between the yield of the </w:t>
      </w:r>
      <w:r w:rsidR="007C6747" w:rsidRPr="00B44D0D">
        <w:rPr>
          <w:rFonts w:ascii="Times New Roman" w:hAnsi="Times New Roman"/>
          <w:sz w:val="24"/>
          <w:szCs w:val="24"/>
        </w:rPr>
        <w:t>three-month</w:t>
      </w:r>
      <w:r w:rsidRPr="00B44D0D">
        <w:rPr>
          <w:rFonts w:ascii="Times New Roman" w:hAnsi="Times New Roman"/>
          <w:sz w:val="24"/>
          <w:szCs w:val="24"/>
        </w:rPr>
        <w:t xml:space="preserve"> ABCP and the </w:t>
      </w:r>
      <w:r w:rsidR="007C6747" w:rsidRPr="00B44D0D">
        <w:rPr>
          <w:rFonts w:ascii="Times New Roman" w:hAnsi="Times New Roman"/>
          <w:sz w:val="24"/>
          <w:szCs w:val="24"/>
        </w:rPr>
        <w:t>three-month</w:t>
      </w:r>
      <w:r w:rsidRPr="00B44D0D">
        <w:rPr>
          <w:rFonts w:ascii="Times New Roman" w:hAnsi="Times New Roman"/>
          <w:sz w:val="24"/>
          <w:szCs w:val="24"/>
        </w:rPr>
        <w:t xml:space="preserve"> U.S. Treasury bill (T-bill). </w:t>
      </w:r>
    </w:p>
    <w:p w14:paraId="2C7A394D" w14:textId="5422B1E8" w:rsidR="003D416C" w:rsidRPr="00B44D0D" w:rsidRDefault="003D416C" w:rsidP="005E672E">
      <w:pPr>
        <w:spacing w:after="0" w:line="360" w:lineRule="auto"/>
        <w:jc w:val="both"/>
        <w:rPr>
          <w:rFonts w:ascii="Times New Roman" w:hAnsi="Times New Roman"/>
          <w:b/>
          <w:sz w:val="24"/>
          <w:szCs w:val="24"/>
        </w:rPr>
      </w:pPr>
      <w:bookmarkStart w:id="82" w:name="_Hlk82714484"/>
      <w:bookmarkEnd w:id="81"/>
      <w:r w:rsidRPr="00B44D0D">
        <w:rPr>
          <w:rFonts w:ascii="Times New Roman" w:hAnsi="Times New Roman"/>
          <w:sz w:val="24"/>
          <w:szCs w:val="24"/>
        </w:rPr>
        <w:t xml:space="preserve">The ABCP spread serves as an indicator of the general attitude towards lending in the interbank market.  </w:t>
      </w:r>
      <w:bookmarkEnd w:id="82"/>
      <w:r w:rsidRPr="00B44D0D">
        <w:rPr>
          <w:rFonts w:ascii="Times New Roman" w:hAnsi="Times New Roman"/>
          <w:sz w:val="24"/>
          <w:szCs w:val="24"/>
        </w:rPr>
        <w:t xml:space="preserve">ABCP is a typically </w:t>
      </w:r>
      <w:r w:rsidR="007C6747" w:rsidRPr="00B44D0D">
        <w:rPr>
          <w:rFonts w:ascii="Times New Roman" w:hAnsi="Times New Roman"/>
          <w:sz w:val="24"/>
          <w:szCs w:val="24"/>
        </w:rPr>
        <w:t>short-term</w:t>
      </w:r>
      <w:r w:rsidRPr="00B44D0D">
        <w:rPr>
          <w:rFonts w:ascii="Times New Roman" w:hAnsi="Times New Roman"/>
          <w:sz w:val="24"/>
          <w:szCs w:val="24"/>
        </w:rPr>
        <w:t xml:space="preserve"> investment that matures between 90 to 180 days and is used to provide short term liquidity for financial institutions. During the crisis period, as the market was unwilling to purchase ABCPs since a number of large financial institutions collapsed, the financial markets experienced a significant liquidity shock. Short term funding became difficult and expensive to obtain. Many of the financial institutions were solvent, but illiquid, in that they were not able to meet short term obligations while possessing too many fixed assets. The ABCP spread explicitly represents the dynamics of </w:t>
      </w:r>
      <w:r w:rsidR="007C6747" w:rsidRPr="00B44D0D">
        <w:rPr>
          <w:rFonts w:ascii="Times New Roman" w:hAnsi="Times New Roman"/>
          <w:sz w:val="24"/>
          <w:szCs w:val="24"/>
        </w:rPr>
        <w:t>short-term</w:t>
      </w:r>
      <w:r w:rsidRPr="00B44D0D">
        <w:rPr>
          <w:rFonts w:ascii="Times New Roman" w:hAnsi="Times New Roman"/>
          <w:sz w:val="24"/>
          <w:szCs w:val="24"/>
        </w:rPr>
        <w:t xml:space="preserve"> liquidity funding and the tensions during the crisis period.    </w:t>
      </w:r>
    </w:p>
    <w:p w14:paraId="55CD4CD6" w14:textId="77777777" w:rsidR="008128CD" w:rsidRDefault="00062751" w:rsidP="008128CD">
      <w:pPr>
        <w:keepNext/>
        <w:spacing w:after="0" w:line="360" w:lineRule="auto"/>
      </w:pPr>
      <w:r w:rsidRPr="00B44D0D">
        <w:rPr>
          <w:rFonts w:ascii="Times New Roman" w:hAnsi="Times New Roman"/>
          <w:noProof/>
          <w:sz w:val="24"/>
          <w:szCs w:val="24"/>
          <w:lang w:eastAsia="en-GB"/>
        </w:rPr>
        <w:drawing>
          <wp:inline distT="0" distB="0" distL="0" distR="0" wp14:anchorId="3D975BA3" wp14:editId="72A33F59">
            <wp:extent cx="5731510" cy="3307611"/>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307611"/>
                    </a:xfrm>
                    <a:prstGeom prst="rect">
                      <a:avLst/>
                    </a:prstGeom>
                    <a:noFill/>
                    <a:ln>
                      <a:noFill/>
                    </a:ln>
                  </pic:spPr>
                </pic:pic>
              </a:graphicData>
            </a:graphic>
          </wp:inline>
        </w:drawing>
      </w:r>
    </w:p>
    <w:p w14:paraId="334FE80F" w14:textId="1E3BE00D" w:rsidR="00FD07CD" w:rsidRPr="008128CD" w:rsidRDefault="008128CD" w:rsidP="008128CD">
      <w:pPr>
        <w:pStyle w:val="Caption"/>
        <w:rPr>
          <w:rFonts w:ascii="Times New Roman" w:hAnsi="Times New Roman" w:cs="Times New Roman"/>
          <w:color w:val="auto"/>
          <w:sz w:val="24"/>
          <w:szCs w:val="24"/>
        </w:rPr>
      </w:pPr>
      <w:bookmarkStart w:id="83" w:name="_Toc78498673"/>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Asset Backed Commercial Paper (ABCP) Spread</w:t>
      </w:r>
      <w:bookmarkEnd w:id="83"/>
    </w:p>
    <w:p w14:paraId="529EBFC6" w14:textId="77777777" w:rsidR="003D416C" w:rsidRPr="00B44D0D" w:rsidRDefault="003D416C" w:rsidP="003E1E66">
      <w:pPr>
        <w:tabs>
          <w:tab w:val="left" w:pos="-142"/>
          <w:tab w:val="left" w:pos="709"/>
        </w:tabs>
        <w:spacing w:after="0" w:line="240" w:lineRule="auto"/>
        <w:ind w:hanging="992"/>
        <w:jc w:val="both"/>
        <w:rPr>
          <w:rFonts w:ascii="Times New Roman" w:hAnsi="Times New Roman"/>
          <w:sz w:val="24"/>
          <w:szCs w:val="24"/>
        </w:rPr>
      </w:pPr>
      <w:r w:rsidRPr="00B44D0D">
        <w:rPr>
          <w:rFonts w:ascii="Times New Roman" w:hAnsi="Times New Roman"/>
          <w:sz w:val="24"/>
          <w:szCs w:val="24"/>
        </w:rPr>
        <w:lastRenderedPageBreak/>
        <w:tab/>
        <w:t xml:space="preserve">   </w:t>
      </w:r>
    </w:p>
    <w:p w14:paraId="2F30022C" w14:textId="6B743B54" w:rsidR="003D416C" w:rsidRPr="00B44D0D" w:rsidRDefault="00062751" w:rsidP="00520E3B">
      <w:pPr>
        <w:spacing w:after="0" w:line="360" w:lineRule="auto"/>
        <w:jc w:val="both"/>
        <w:rPr>
          <w:rFonts w:ascii="Times New Roman" w:hAnsi="Times New Roman"/>
          <w:sz w:val="24"/>
          <w:szCs w:val="24"/>
        </w:rPr>
      </w:pPr>
      <w:r w:rsidRPr="00B44D0D">
        <w:rPr>
          <w:rFonts w:ascii="Times New Roman" w:hAnsi="Times New Roman"/>
          <w:sz w:val="24"/>
          <w:szCs w:val="24"/>
        </w:rPr>
        <w:t xml:space="preserve">Figure </w:t>
      </w:r>
      <w:r w:rsidR="00FD07CD">
        <w:rPr>
          <w:rFonts w:ascii="Times New Roman" w:hAnsi="Times New Roman"/>
          <w:sz w:val="24"/>
          <w:szCs w:val="24"/>
        </w:rPr>
        <w:t>1.</w:t>
      </w:r>
      <w:r w:rsidR="00BC76B8">
        <w:rPr>
          <w:rFonts w:ascii="Times New Roman" w:hAnsi="Times New Roman"/>
          <w:sz w:val="24"/>
          <w:szCs w:val="24"/>
        </w:rPr>
        <w:t>4.</w:t>
      </w:r>
      <w:r w:rsidRPr="00B44D0D">
        <w:rPr>
          <w:rFonts w:ascii="Times New Roman" w:hAnsi="Times New Roman"/>
          <w:sz w:val="24"/>
          <w:szCs w:val="24"/>
        </w:rPr>
        <w:t xml:space="preserve">1 </w:t>
      </w:r>
      <w:r w:rsidR="003D416C" w:rsidRPr="00B44D0D">
        <w:rPr>
          <w:rFonts w:ascii="Times New Roman" w:hAnsi="Times New Roman"/>
          <w:sz w:val="24"/>
          <w:szCs w:val="24"/>
        </w:rPr>
        <w:t xml:space="preserve">shows the ABCP spread from </w:t>
      </w:r>
      <w:r w:rsidRPr="00B44D0D">
        <w:rPr>
          <w:rFonts w:ascii="Times New Roman" w:hAnsi="Times New Roman"/>
          <w:sz w:val="24"/>
          <w:szCs w:val="24"/>
        </w:rPr>
        <w:t>2005 up to late 2015.</w:t>
      </w:r>
      <w:r w:rsidR="003D416C" w:rsidRPr="00B44D0D">
        <w:rPr>
          <w:rFonts w:ascii="Times New Roman" w:hAnsi="Times New Roman"/>
          <w:sz w:val="24"/>
          <w:szCs w:val="24"/>
        </w:rPr>
        <w:t xml:space="preserve"> The ABCP spread remained relatively </w:t>
      </w:r>
      <w:r w:rsidRPr="00B44D0D">
        <w:rPr>
          <w:rFonts w:ascii="Times New Roman" w:hAnsi="Times New Roman"/>
          <w:sz w:val="24"/>
          <w:szCs w:val="24"/>
        </w:rPr>
        <w:t>stable during the period of 2005</w:t>
      </w:r>
      <w:r w:rsidR="003D416C" w:rsidRPr="00B44D0D">
        <w:rPr>
          <w:rFonts w:ascii="Times New Roman" w:hAnsi="Times New Roman"/>
          <w:sz w:val="24"/>
          <w:szCs w:val="24"/>
        </w:rPr>
        <w:t xml:space="preserve"> to early 2007. From mid-2007, the ABCP spread became much more volatile and reached its peak around mid-2008. The volatility in the ABCP spread seems to possess a certain degree of persistence and lag effect, as there were some significant spikes at the end of 2008.</w:t>
      </w:r>
      <w:r w:rsidRPr="00B44D0D">
        <w:rPr>
          <w:rFonts w:ascii="Times New Roman" w:hAnsi="Times New Roman"/>
          <w:sz w:val="24"/>
          <w:szCs w:val="24"/>
        </w:rPr>
        <w:t xml:space="preserve"> After 2009 ……………………</w:t>
      </w:r>
      <w:r w:rsidR="003D416C" w:rsidRPr="00B44D0D">
        <w:rPr>
          <w:rFonts w:ascii="Times New Roman" w:hAnsi="Times New Roman"/>
          <w:sz w:val="24"/>
          <w:szCs w:val="24"/>
        </w:rPr>
        <w:t xml:space="preserve"> This phenomenon was only observed in the ABCP spread, which suggests that it is more sensitive to market news and indicates that, as the subprime mortgage market fell in 2007, the interbank lending market started to intensify.  The ABCP was generally the main instrument for financial institutions to obtain short term funding. The shortage in the liquidity market reached its peak when the Lehman Brothers Bank collapsed in 2008 and gradually decreased thereafter  </w:t>
      </w:r>
    </w:p>
    <w:p w14:paraId="5FD01365" w14:textId="295B9BE1" w:rsidR="003D416C" w:rsidRPr="00B44D0D" w:rsidRDefault="003D416C" w:rsidP="00520E3B">
      <w:pPr>
        <w:spacing w:after="0" w:line="360" w:lineRule="auto"/>
        <w:jc w:val="both"/>
        <w:rPr>
          <w:rFonts w:ascii="Times New Roman" w:hAnsi="Times New Roman"/>
          <w:sz w:val="24"/>
          <w:szCs w:val="24"/>
        </w:rPr>
      </w:pPr>
      <w:r w:rsidRPr="00B44D0D">
        <w:rPr>
          <w:rFonts w:ascii="Times New Roman" w:hAnsi="Times New Roman"/>
          <w:sz w:val="24"/>
          <w:szCs w:val="24"/>
        </w:rPr>
        <w:t xml:space="preserve"> </w:t>
      </w:r>
      <w:bookmarkStart w:id="84" w:name="_Hlk82714587"/>
      <w:r w:rsidRPr="00B44D0D">
        <w:rPr>
          <w:rFonts w:ascii="Times New Roman" w:hAnsi="Times New Roman"/>
          <w:sz w:val="24"/>
          <w:szCs w:val="24"/>
        </w:rPr>
        <w:t xml:space="preserve">The second variable is the spread between the overnight indexed swap (OIS) and the 3-month LIBOR rate, which is considered to be a strong indicator of credit and liquidity risk in the money market.  </w:t>
      </w:r>
      <w:bookmarkEnd w:id="84"/>
      <w:r w:rsidRPr="00B44D0D">
        <w:rPr>
          <w:rFonts w:ascii="Times New Roman" w:hAnsi="Times New Roman"/>
          <w:sz w:val="24"/>
          <w:szCs w:val="24"/>
        </w:rPr>
        <w:t xml:space="preserve">The spread between the </w:t>
      </w:r>
      <w:r w:rsidR="007C6747" w:rsidRPr="00B44D0D">
        <w:rPr>
          <w:rFonts w:ascii="Times New Roman" w:hAnsi="Times New Roman"/>
          <w:sz w:val="24"/>
          <w:szCs w:val="24"/>
        </w:rPr>
        <w:t>three-month</w:t>
      </w:r>
      <w:r w:rsidRPr="00B44D0D">
        <w:rPr>
          <w:rFonts w:ascii="Times New Roman" w:hAnsi="Times New Roman"/>
          <w:sz w:val="24"/>
          <w:szCs w:val="24"/>
        </w:rPr>
        <w:t xml:space="preserve"> U.S. interbank Libor rate and the overnight index swap (OIS) is used to measure bank funding liquidity pressures. OIS rates are an important measure of risk and liquidity in the money market; they serve as an effective indicator of relative stress among the interbank lending market. If a bank enters into an OIS contract, it is entitled to receive a fixed rate of interest on a notional amount called the OIS rate. LIBOR is considered riskier in comparison to OIS in the sense that the lending bank loans cash to the borrowing bank, while the OIS is considered stable as both counterparties only swap the floating rate of interest for the fixed rate of interest. Entering an OIS contract exposes the bank to future fluctuations in the reference rates. However, the bank is able to secure longer term funding, while still paying close to the overnight rate. Since OIS contracts do not involve any initial cash flows, they have limited exposure to default risk. It is therefore an accurate measure of investor expectations regarding the effective federal fund rate.  The spread between the two rates is therefore a measure of risk premiums in contrast with liquidity premiums. </w:t>
      </w:r>
    </w:p>
    <w:p w14:paraId="4C84F97C" w14:textId="77777777" w:rsidR="003D416C" w:rsidRPr="00B44D0D" w:rsidRDefault="003D416C" w:rsidP="003D416C">
      <w:pPr>
        <w:spacing w:after="0" w:line="360" w:lineRule="auto"/>
        <w:jc w:val="both"/>
        <w:rPr>
          <w:rFonts w:ascii="Times New Roman" w:hAnsi="Times New Roman"/>
          <w:sz w:val="24"/>
          <w:szCs w:val="24"/>
        </w:rPr>
      </w:pPr>
    </w:p>
    <w:p w14:paraId="4A2D17D6" w14:textId="77777777" w:rsidR="008128CD" w:rsidRDefault="003E1E66" w:rsidP="008128CD">
      <w:pPr>
        <w:keepNext/>
        <w:spacing w:after="0" w:line="360" w:lineRule="auto"/>
        <w:jc w:val="both"/>
      </w:pPr>
      <w:r w:rsidRPr="00B44D0D">
        <w:rPr>
          <w:rFonts w:ascii="Times New Roman" w:hAnsi="Times New Roman"/>
          <w:noProof/>
          <w:sz w:val="24"/>
          <w:szCs w:val="24"/>
          <w:lang w:eastAsia="en-GB"/>
        </w:rPr>
        <w:lastRenderedPageBreak/>
        <w:drawing>
          <wp:inline distT="0" distB="0" distL="0" distR="0" wp14:anchorId="7BC22FF1" wp14:editId="63B61F11">
            <wp:extent cx="5731510" cy="3307611"/>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307611"/>
                    </a:xfrm>
                    <a:prstGeom prst="rect">
                      <a:avLst/>
                    </a:prstGeom>
                    <a:noFill/>
                    <a:ln>
                      <a:noFill/>
                    </a:ln>
                  </pic:spPr>
                </pic:pic>
              </a:graphicData>
            </a:graphic>
          </wp:inline>
        </w:drawing>
      </w:r>
    </w:p>
    <w:p w14:paraId="6F4C0364" w14:textId="56165F80" w:rsidR="00FD07CD" w:rsidRPr="008128CD" w:rsidRDefault="008128CD" w:rsidP="008128CD">
      <w:pPr>
        <w:pStyle w:val="Caption"/>
        <w:jc w:val="both"/>
        <w:rPr>
          <w:rFonts w:ascii="Times New Roman" w:hAnsi="Times New Roman" w:cs="Times New Roman"/>
          <w:color w:val="auto"/>
          <w:sz w:val="24"/>
          <w:szCs w:val="24"/>
        </w:rPr>
      </w:pPr>
      <w:bookmarkStart w:id="85" w:name="_Toc78498674"/>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2</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Overnight Index Swap Spread</w:t>
      </w:r>
      <w:bookmarkEnd w:id="85"/>
    </w:p>
    <w:p w14:paraId="55F7B8AA" w14:textId="77777777" w:rsidR="003D416C" w:rsidRPr="00B44D0D" w:rsidRDefault="003D416C" w:rsidP="003E1E66">
      <w:pPr>
        <w:tabs>
          <w:tab w:val="left" w:pos="-142"/>
          <w:tab w:val="left" w:pos="709"/>
        </w:tabs>
        <w:spacing w:after="0" w:line="240" w:lineRule="auto"/>
        <w:ind w:hanging="992"/>
        <w:jc w:val="both"/>
        <w:rPr>
          <w:rFonts w:ascii="Times New Roman" w:hAnsi="Times New Roman"/>
          <w:sz w:val="24"/>
          <w:szCs w:val="24"/>
        </w:rPr>
      </w:pPr>
      <w:r w:rsidRPr="00B44D0D">
        <w:rPr>
          <w:rFonts w:ascii="Times New Roman" w:hAnsi="Times New Roman"/>
          <w:sz w:val="24"/>
          <w:szCs w:val="24"/>
        </w:rPr>
        <w:tab/>
      </w:r>
    </w:p>
    <w:p w14:paraId="1B7447D9" w14:textId="7080ED12" w:rsidR="003D416C" w:rsidRPr="00B44D0D" w:rsidRDefault="00062751" w:rsidP="003D416C">
      <w:pPr>
        <w:spacing w:after="0" w:line="360" w:lineRule="auto"/>
        <w:jc w:val="both"/>
        <w:rPr>
          <w:rFonts w:ascii="Times New Roman" w:hAnsi="Times New Roman"/>
          <w:sz w:val="24"/>
          <w:szCs w:val="24"/>
        </w:rPr>
      </w:pPr>
      <w:r w:rsidRPr="00B44D0D">
        <w:rPr>
          <w:rFonts w:ascii="Times New Roman" w:hAnsi="Times New Roman"/>
          <w:sz w:val="24"/>
          <w:szCs w:val="24"/>
        </w:rPr>
        <w:t xml:space="preserve">Figure </w:t>
      </w:r>
      <w:r w:rsidR="00FD07CD">
        <w:rPr>
          <w:rFonts w:ascii="Times New Roman" w:hAnsi="Times New Roman"/>
          <w:sz w:val="24"/>
          <w:szCs w:val="24"/>
        </w:rPr>
        <w:t>1.</w:t>
      </w:r>
      <w:r w:rsidR="00BC76B8">
        <w:rPr>
          <w:rFonts w:ascii="Times New Roman" w:hAnsi="Times New Roman"/>
          <w:sz w:val="24"/>
          <w:szCs w:val="24"/>
        </w:rPr>
        <w:t>4.</w:t>
      </w:r>
      <w:r w:rsidR="003D416C" w:rsidRPr="00B44D0D">
        <w:rPr>
          <w:rFonts w:ascii="Times New Roman" w:hAnsi="Times New Roman"/>
          <w:sz w:val="24"/>
          <w:szCs w:val="24"/>
        </w:rPr>
        <w:t>2. demonstrates the movement of the OIS spread in pre</w:t>
      </w:r>
      <w:r w:rsidR="003E1E66" w:rsidRPr="00B44D0D">
        <w:rPr>
          <w:rFonts w:ascii="Times New Roman" w:hAnsi="Times New Roman"/>
          <w:sz w:val="24"/>
          <w:szCs w:val="24"/>
        </w:rPr>
        <w:t>/during</w:t>
      </w:r>
      <w:r w:rsidR="003D416C" w:rsidRPr="00B44D0D">
        <w:rPr>
          <w:rFonts w:ascii="Times New Roman" w:hAnsi="Times New Roman"/>
          <w:sz w:val="24"/>
          <w:szCs w:val="24"/>
        </w:rPr>
        <w:t xml:space="preserve"> and post</w:t>
      </w:r>
      <w:r w:rsidR="003E1E66" w:rsidRPr="00B44D0D">
        <w:rPr>
          <w:rFonts w:ascii="Times New Roman" w:hAnsi="Times New Roman"/>
          <w:sz w:val="24"/>
          <w:szCs w:val="24"/>
        </w:rPr>
        <w:t xml:space="preserve"> </w:t>
      </w:r>
      <w:r w:rsidR="003D416C" w:rsidRPr="00B44D0D">
        <w:rPr>
          <w:rFonts w:ascii="Times New Roman" w:hAnsi="Times New Roman"/>
          <w:sz w:val="24"/>
          <w:szCs w:val="24"/>
        </w:rPr>
        <w:t xml:space="preserve">crisis periods. The OIS spread generally remains below 20bsp under normal market conditions. It started to </w:t>
      </w:r>
      <w:r w:rsidR="003E1E66" w:rsidRPr="00B44D0D">
        <w:rPr>
          <w:rFonts w:ascii="Times New Roman" w:hAnsi="Times New Roman"/>
          <w:sz w:val="24"/>
          <w:szCs w:val="24"/>
        </w:rPr>
        <w:t>fluctuate significantly in after first quarter</w:t>
      </w:r>
      <w:r w:rsidR="003D416C" w:rsidRPr="00B44D0D">
        <w:rPr>
          <w:rFonts w:ascii="Times New Roman" w:hAnsi="Times New Roman"/>
          <w:sz w:val="24"/>
          <w:szCs w:val="24"/>
        </w:rPr>
        <w:t xml:space="preserve"> 2007 and jumped to its peak at almost 350bsp in mid-2008. This huge spike is largely caused by the collapse of the Lehman Brothers Bank. This indicates that banks were not willing to lend to each other at the time, as they were unable to fully access the credit risk of the counterparty, which therefore caused the liquidity market to freeze.  </w:t>
      </w:r>
    </w:p>
    <w:p w14:paraId="1213ADC9" w14:textId="706BF04B" w:rsidR="003D416C" w:rsidRPr="00B44D0D" w:rsidRDefault="003E1E66" w:rsidP="003D416C">
      <w:pPr>
        <w:spacing w:after="0" w:line="360" w:lineRule="auto"/>
        <w:jc w:val="both"/>
        <w:rPr>
          <w:rFonts w:ascii="Times New Roman" w:hAnsi="Times New Roman"/>
          <w:sz w:val="24"/>
          <w:szCs w:val="24"/>
        </w:rPr>
      </w:pPr>
      <w:r w:rsidRPr="00B44D0D">
        <w:rPr>
          <w:rFonts w:ascii="Times New Roman" w:hAnsi="Times New Roman"/>
          <w:sz w:val="24"/>
          <w:szCs w:val="24"/>
        </w:rPr>
        <w:t>The third variable is</w:t>
      </w:r>
      <w:r w:rsidR="003D416C" w:rsidRPr="00B44D0D">
        <w:rPr>
          <w:rFonts w:ascii="Times New Roman" w:hAnsi="Times New Roman"/>
          <w:sz w:val="24"/>
          <w:szCs w:val="24"/>
        </w:rPr>
        <w:t xml:space="preserve"> the TED spread (difference between </w:t>
      </w:r>
      <w:r w:rsidR="007C6747" w:rsidRPr="00B44D0D">
        <w:rPr>
          <w:rFonts w:ascii="Times New Roman" w:hAnsi="Times New Roman"/>
          <w:sz w:val="24"/>
          <w:szCs w:val="24"/>
        </w:rPr>
        <w:t>three-month</w:t>
      </w:r>
      <w:r w:rsidR="003D416C" w:rsidRPr="00B44D0D">
        <w:rPr>
          <w:rFonts w:ascii="Times New Roman" w:hAnsi="Times New Roman"/>
          <w:sz w:val="24"/>
          <w:szCs w:val="24"/>
        </w:rPr>
        <w:t xml:space="preserve"> LIBOR and </w:t>
      </w:r>
      <w:r w:rsidR="00BC76B8" w:rsidRPr="00B44D0D">
        <w:rPr>
          <w:rFonts w:ascii="Times New Roman" w:hAnsi="Times New Roman"/>
          <w:sz w:val="24"/>
          <w:szCs w:val="24"/>
        </w:rPr>
        <w:t>three-month</w:t>
      </w:r>
      <w:r w:rsidR="003D416C" w:rsidRPr="00B44D0D">
        <w:rPr>
          <w:rFonts w:ascii="Times New Roman" w:hAnsi="Times New Roman"/>
          <w:sz w:val="24"/>
          <w:szCs w:val="24"/>
        </w:rPr>
        <w:t xml:space="preserve"> Treasury bill) as the third variable </w:t>
      </w:r>
      <w:bookmarkStart w:id="86" w:name="_Hlk82714760"/>
      <w:r w:rsidR="003D416C" w:rsidRPr="00B44D0D">
        <w:rPr>
          <w:rFonts w:ascii="Times New Roman" w:hAnsi="Times New Roman"/>
          <w:sz w:val="24"/>
          <w:szCs w:val="24"/>
        </w:rPr>
        <w:t>to measure the credit risk during the crisis period</w:t>
      </w:r>
      <w:bookmarkEnd w:id="86"/>
      <w:r w:rsidR="003D416C" w:rsidRPr="00B44D0D">
        <w:rPr>
          <w:rFonts w:ascii="Times New Roman" w:hAnsi="Times New Roman"/>
          <w:sz w:val="24"/>
          <w:szCs w:val="24"/>
        </w:rPr>
        <w:t>. The Treasury bill rate is often used to represent the risk-free rate, while LIBOR is the rate at which banks lend to one another. The difference in the two rates represents the risk premium of lending to a bank. The TED spread fluctuates over time; however, it has generally remained within the range of 10 to 50 bps, as lending to a bank was relatively safe</w:t>
      </w:r>
      <w:r w:rsidR="00347141" w:rsidRPr="00B44D0D">
        <w:rPr>
          <w:rFonts w:ascii="Times New Roman" w:hAnsi="Times New Roman"/>
          <w:sz w:val="24"/>
          <w:szCs w:val="24"/>
        </w:rPr>
        <w:t>.</w:t>
      </w:r>
    </w:p>
    <w:p w14:paraId="17FEBA09" w14:textId="77777777" w:rsidR="003D416C" w:rsidRPr="00B44D0D" w:rsidRDefault="003D416C" w:rsidP="003D416C">
      <w:pPr>
        <w:spacing w:after="0" w:line="360" w:lineRule="auto"/>
        <w:ind w:firstLine="720"/>
        <w:jc w:val="both"/>
        <w:rPr>
          <w:rFonts w:ascii="Times New Roman" w:hAnsi="Times New Roman"/>
          <w:b/>
          <w:sz w:val="24"/>
          <w:szCs w:val="24"/>
        </w:rPr>
      </w:pPr>
    </w:p>
    <w:p w14:paraId="6F7D750B" w14:textId="77777777" w:rsidR="008128CD" w:rsidRDefault="003E1E66" w:rsidP="008128CD">
      <w:pPr>
        <w:keepNext/>
      </w:pPr>
      <w:r w:rsidRPr="00B44D0D">
        <w:rPr>
          <w:rFonts w:cs="Arial"/>
          <w:noProof/>
          <w:sz w:val="24"/>
          <w:szCs w:val="24"/>
          <w:lang w:eastAsia="en-GB"/>
        </w:rPr>
        <w:lastRenderedPageBreak/>
        <w:drawing>
          <wp:inline distT="0" distB="0" distL="0" distR="0" wp14:anchorId="5CD2CC61" wp14:editId="1DF79316">
            <wp:extent cx="5731510" cy="3307611"/>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307611"/>
                    </a:xfrm>
                    <a:prstGeom prst="rect">
                      <a:avLst/>
                    </a:prstGeom>
                    <a:noFill/>
                    <a:ln>
                      <a:noFill/>
                    </a:ln>
                  </pic:spPr>
                </pic:pic>
              </a:graphicData>
            </a:graphic>
          </wp:inline>
        </w:drawing>
      </w:r>
    </w:p>
    <w:p w14:paraId="43BF1D31" w14:textId="4E6A0159" w:rsidR="00FD07CD" w:rsidRPr="008128CD" w:rsidRDefault="008128CD" w:rsidP="008128CD">
      <w:pPr>
        <w:pStyle w:val="Caption"/>
        <w:rPr>
          <w:rFonts w:ascii="Times New Roman" w:hAnsi="Times New Roman" w:cs="Times New Roman"/>
          <w:color w:val="auto"/>
          <w:sz w:val="24"/>
          <w:szCs w:val="24"/>
        </w:rPr>
      </w:pPr>
      <w:bookmarkStart w:id="87" w:name="_Toc78498675"/>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3</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TED Spread</w:t>
      </w:r>
      <w:bookmarkEnd w:id="87"/>
    </w:p>
    <w:p w14:paraId="11A3946C" w14:textId="7D712A0B" w:rsidR="003D416C" w:rsidRPr="00B44D0D" w:rsidRDefault="003D416C" w:rsidP="003D416C">
      <w:pPr>
        <w:tabs>
          <w:tab w:val="left" w:pos="-142"/>
          <w:tab w:val="left" w:pos="709"/>
        </w:tabs>
        <w:spacing w:after="0" w:line="240" w:lineRule="auto"/>
        <w:ind w:hanging="992"/>
        <w:jc w:val="both"/>
        <w:rPr>
          <w:rFonts w:ascii="Times New Roman" w:hAnsi="Times New Roman"/>
          <w:sz w:val="24"/>
          <w:szCs w:val="24"/>
        </w:rPr>
      </w:pPr>
      <w:r w:rsidRPr="00B44D0D">
        <w:rPr>
          <w:rFonts w:ascii="Times New Roman" w:hAnsi="Times New Roman"/>
          <w:sz w:val="24"/>
          <w:szCs w:val="24"/>
        </w:rPr>
        <w:t xml:space="preserve">  </w:t>
      </w:r>
    </w:p>
    <w:p w14:paraId="4B819FF7" w14:textId="7C347358" w:rsidR="00347141" w:rsidRPr="00B44D0D" w:rsidRDefault="00347141" w:rsidP="003D416C">
      <w:pPr>
        <w:spacing w:line="360" w:lineRule="auto"/>
        <w:jc w:val="both"/>
        <w:rPr>
          <w:rFonts w:ascii="Times New Roman" w:hAnsi="Times New Roman"/>
          <w:sz w:val="24"/>
          <w:szCs w:val="24"/>
        </w:rPr>
      </w:pPr>
      <w:r w:rsidRPr="00B44D0D">
        <w:rPr>
          <w:rFonts w:ascii="Times New Roman" w:hAnsi="Times New Roman"/>
          <w:sz w:val="24"/>
          <w:szCs w:val="24"/>
        </w:rPr>
        <w:t xml:space="preserve">However, during the crisis period, the TED spread reached a peak of 433bps, which potentially sent liquidity shocks into the financial market. The TED spread is an indicator of general credit risk in the market; a rising TED spread indicates that liquidity is being withdrawn from the market and vice versa. In Figure </w:t>
      </w:r>
      <w:r w:rsidR="00FD07CD">
        <w:rPr>
          <w:rFonts w:ascii="Times New Roman" w:hAnsi="Times New Roman"/>
          <w:sz w:val="24"/>
          <w:szCs w:val="24"/>
        </w:rPr>
        <w:t>1.</w:t>
      </w:r>
      <w:r w:rsidRPr="00B44D0D">
        <w:rPr>
          <w:rFonts w:ascii="Times New Roman" w:hAnsi="Times New Roman"/>
          <w:sz w:val="24"/>
          <w:szCs w:val="24"/>
        </w:rPr>
        <w:t xml:space="preserve">4.3., there was a clear sign of a significantly large withdrawal of liquidity from the interbank market between 2008 and 2009. Three liquidity channels show a similar pattern of significant shortage in the lending market; this further intensified the fragile financial </w:t>
      </w:r>
      <w:r w:rsidR="007C6747" w:rsidRPr="00B44D0D">
        <w:rPr>
          <w:rFonts w:ascii="Times New Roman" w:hAnsi="Times New Roman"/>
          <w:sz w:val="24"/>
          <w:szCs w:val="24"/>
        </w:rPr>
        <w:t>market and</w:t>
      </w:r>
      <w:r w:rsidRPr="00B44D0D">
        <w:rPr>
          <w:rFonts w:ascii="Times New Roman" w:hAnsi="Times New Roman"/>
          <w:sz w:val="24"/>
          <w:szCs w:val="24"/>
        </w:rPr>
        <w:t xml:space="preserve"> was caused by the collapse of large financial institutions.  </w:t>
      </w:r>
    </w:p>
    <w:p w14:paraId="16EDC5D6" w14:textId="77777777" w:rsidR="008128CD" w:rsidRDefault="00BF5409" w:rsidP="008128CD">
      <w:pPr>
        <w:keepNext/>
      </w:pPr>
      <w:r w:rsidRPr="00B44D0D">
        <w:rPr>
          <w:noProof/>
          <w:sz w:val="24"/>
          <w:szCs w:val="24"/>
          <w:lang w:eastAsia="en-GB"/>
        </w:rPr>
        <w:lastRenderedPageBreak/>
        <w:drawing>
          <wp:inline distT="0" distB="0" distL="0" distR="0" wp14:anchorId="3DD27168" wp14:editId="4D558862">
            <wp:extent cx="5731510" cy="3307611"/>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307611"/>
                    </a:xfrm>
                    <a:prstGeom prst="rect">
                      <a:avLst/>
                    </a:prstGeom>
                    <a:noFill/>
                    <a:ln>
                      <a:noFill/>
                    </a:ln>
                  </pic:spPr>
                </pic:pic>
              </a:graphicData>
            </a:graphic>
          </wp:inline>
        </w:drawing>
      </w:r>
    </w:p>
    <w:p w14:paraId="6D14286B" w14:textId="468EFAC5" w:rsidR="00FD07CD" w:rsidRPr="008128CD" w:rsidRDefault="008128CD" w:rsidP="008128CD">
      <w:pPr>
        <w:pStyle w:val="Caption"/>
        <w:rPr>
          <w:rFonts w:ascii="Times New Roman" w:hAnsi="Times New Roman" w:cs="Times New Roman"/>
          <w:color w:val="auto"/>
          <w:sz w:val="24"/>
          <w:szCs w:val="24"/>
        </w:rPr>
      </w:pPr>
      <w:bookmarkStart w:id="88" w:name="_Toc78498676"/>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4</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S&amp;P 500 returns</w:t>
      </w:r>
      <w:bookmarkEnd w:id="88"/>
    </w:p>
    <w:p w14:paraId="1F654EB5" w14:textId="4BA26E3D" w:rsidR="00BC76B8" w:rsidRDefault="00BC76B8" w:rsidP="00BC76B8">
      <w:pPr>
        <w:spacing w:line="360" w:lineRule="auto"/>
        <w:jc w:val="both"/>
        <w:rPr>
          <w:rFonts w:ascii="Times New Roman" w:hAnsi="Times New Roman"/>
          <w:sz w:val="24"/>
          <w:szCs w:val="24"/>
        </w:rPr>
      </w:pPr>
      <w:r w:rsidRPr="00B44D0D">
        <w:rPr>
          <w:rFonts w:ascii="Times New Roman" w:hAnsi="Times New Roman"/>
          <w:sz w:val="24"/>
          <w:szCs w:val="24"/>
        </w:rPr>
        <w:t xml:space="preserve">The fourth variable is daily market volatility is modelled by S&amp;P 500 stock market return and it serves as a proxy for volatility measurement. This is because the S&amp;P 500 is a capitalisation weighted index; therefore, it reflects true market liquidity fluctuations and thus is the best measure for the purpose of this study.  Evaluation of the above variables is necessary in order to carry out a liquidity shock transmission analysis to identify and assess the dynamics and relationships among different liquidity channels with regard to market volatility. Moreover, the methodology is designed to explicitly capture the determinant of liquidity shock transmission. The argument is that liquidity shocks are widely transmitted in the event of large financial institution defaults. However, from where liquidity shocks originate and via what kind of liquidity channels they transmit, remains unclear. This is why the multivariate BEKK-GARCH is applied to identify the source of shock transmissions. </w:t>
      </w:r>
    </w:p>
    <w:p w14:paraId="52473856" w14:textId="77777777" w:rsidR="00520E3B" w:rsidRDefault="00520E3B" w:rsidP="00BF5409">
      <w:pPr>
        <w:rPr>
          <w:noProof/>
          <w:sz w:val="24"/>
          <w:szCs w:val="24"/>
          <w:lang w:eastAsia="en-GB"/>
        </w:rPr>
      </w:pPr>
    </w:p>
    <w:p w14:paraId="3E3E7B55" w14:textId="77777777" w:rsidR="00520E3B" w:rsidRDefault="00520E3B" w:rsidP="00BF5409">
      <w:pPr>
        <w:rPr>
          <w:noProof/>
          <w:sz w:val="24"/>
          <w:szCs w:val="24"/>
          <w:lang w:eastAsia="en-GB"/>
        </w:rPr>
      </w:pPr>
    </w:p>
    <w:p w14:paraId="445A84A9" w14:textId="77777777" w:rsidR="008128CD" w:rsidRDefault="00BF5409" w:rsidP="008128CD">
      <w:pPr>
        <w:keepNext/>
      </w:pPr>
      <w:r w:rsidRPr="00B44D0D">
        <w:rPr>
          <w:noProof/>
          <w:sz w:val="24"/>
          <w:szCs w:val="24"/>
          <w:lang w:eastAsia="en-GB"/>
        </w:rPr>
        <w:lastRenderedPageBreak/>
        <w:drawing>
          <wp:inline distT="0" distB="0" distL="0" distR="0" wp14:anchorId="655DFD21" wp14:editId="61C4B98C">
            <wp:extent cx="59817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8629" cy="3928846"/>
                    </a:xfrm>
                    <a:prstGeom prst="rect">
                      <a:avLst/>
                    </a:prstGeom>
                    <a:noFill/>
                    <a:ln>
                      <a:noFill/>
                    </a:ln>
                  </pic:spPr>
                </pic:pic>
              </a:graphicData>
            </a:graphic>
          </wp:inline>
        </w:drawing>
      </w:r>
    </w:p>
    <w:p w14:paraId="2EAE61A4" w14:textId="4477B568" w:rsidR="00FD07CD" w:rsidRPr="008128CD" w:rsidRDefault="008128CD" w:rsidP="008128CD">
      <w:pPr>
        <w:pStyle w:val="Caption"/>
        <w:rPr>
          <w:rFonts w:ascii="Times New Roman" w:hAnsi="Times New Roman" w:cs="Times New Roman"/>
          <w:color w:val="auto"/>
          <w:sz w:val="24"/>
          <w:szCs w:val="24"/>
        </w:rPr>
      </w:pPr>
      <w:bookmarkStart w:id="89" w:name="_Toc78498677"/>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5</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S&amp;P 500 returns</w:t>
      </w:r>
      <w:bookmarkEnd w:id="89"/>
    </w:p>
    <w:p w14:paraId="44FF38FC" w14:textId="5A1A0EEF" w:rsidR="00723C4E" w:rsidRDefault="007F5AE0" w:rsidP="00520E3B">
      <w:pPr>
        <w:spacing w:line="360" w:lineRule="auto"/>
        <w:jc w:val="both"/>
        <w:rPr>
          <w:rFonts w:ascii="Times New Roman" w:hAnsi="Times New Roman" w:cs="Times New Roman"/>
          <w:sz w:val="24"/>
          <w:szCs w:val="24"/>
          <w:lang w:eastAsia="zh-CN"/>
        </w:rPr>
      </w:pPr>
      <w:r w:rsidRPr="00723C4E">
        <w:rPr>
          <w:rFonts w:ascii="Times New Roman" w:hAnsi="Times New Roman" w:cs="Times New Roman"/>
          <w:sz w:val="24"/>
          <w:szCs w:val="24"/>
          <w:lang w:eastAsia="zh-CN"/>
        </w:rPr>
        <w:t xml:space="preserve">Table </w:t>
      </w:r>
      <w:r w:rsidR="00FD07CD">
        <w:rPr>
          <w:rFonts w:ascii="Times New Roman" w:hAnsi="Times New Roman" w:cs="Times New Roman"/>
          <w:sz w:val="24"/>
          <w:szCs w:val="24"/>
          <w:lang w:eastAsia="zh-CN"/>
        </w:rPr>
        <w:t>1.</w:t>
      </w:r>
      <w:r w:rsidR="00F67F40">
        <w:rPr>
          <w:rFonts w:ascii="Times New Roman" w:hAnsi="Times New Roman" w:cs="Times New Roman"/>
          <w:sz w:val="24"/>
          <w:szCs w:val="24"/>
          <w:lang w:eastAsia="zh-CN"/>
        </w:rPr>
        <w:t>4</w:t>
      </w:r>
      <w:r w:rsidRPr="00723C4E">
        <w:rPr>
          <w:rFonts w:ascii="Times New Roman" w:hAnsi="Times New Roman" w:cs="Times New Roman"/>
          <w:sz w:val="24"/>
          <w:szCs w:val="24"/>
          <w:lang w:eastAsia="zh-CN"/>
        </w:rPr>
        <w:t xml:space="preserve">.1 shows the basic statistic descriptive of sample data. </w:t>
      </w:r>
      <w:r w:rsidR="00350F0A" w:rsidRPr="00723C4E">
        <w:rPr>
          <w:rFonts w:ascii="Times New Roman" w:hAnsi="Times New Roman" w:cs="Times New Roman"/>
          <w:sz w:val="24"/>
          <w:szCs w:val="24"/>
          <w:lang w:eastAsia="zh-CN"/>
        </w:rPr>
        <w:t>ABCP, OIS, TED and S&amp;P500</w:t>
      </w:r>
      <w:r w:rsidRPr="00723C4E">
        <w:rPr>
          <w:rFonts w:ascii="Times New Roman" w:hAnsi="Times New Roman" w:cs="Times New Roman"/>
          <w:sz w:val="24"/>
          <w:szCs w:val="24"/>
          <w:lang w:eastAsia="zh-CN"/>
        </w:rPr>
        <w:t xml:space="preserve"> index return series are mildly positively skewed, while the S&amp;P500 is negatively skewed. All the </w:t>
      </w:r>
      <w:r w:rsidR="00350F0A" w:rsidRPr="00723C4E">
        <w:rPr>
          <w:rFonts w:ascii="Times New Roman" w:hAnsi="Times New Roman" w:cs="Times New Roman"/>
          <w:sz w:val="24"/>
          <w:szCs w:val="24"/>
          <w:lang w:eastAsia="zh-CN"/>
        </w:rPr>
        <w:t>spread</w:t>
      </w:r>
      <w:r w:rsidRPr="00723C4E">
        <w:rPr>
          <w:rFonts w:ascii="Times New Roman" w:hAnsi="Times New Roman" w:cs="Times New Roman"/>
          <w:sz w:val="24"/>
          <w:szCs w:val="24"/>
          <w:lang w:eastAsia="zh-CN"/>
        </w:rPr>
        <w:t xml:space="preserve"> display significant leptokurtic behaviour, as evidenced by large kurtosis with respect to Gaussian distribution. Note that in normal distribution, skewness and kurtosis take the value of 0 and 3. </w:t>
      </w:r>
      <w:proofErr w:type="spellStart"/>
      <w:r w:rsidRPr="00723C4E">
        <w:rPr>
          <w:rFonts w:ascii="Times New Roman" w:hAnsi="Times New Roman" w:cs="Times New Roman"/>
          <w:sz w:val="24"/>
          <w:szCs w:val="24"/>
          <w:lang w:eastAsia="zh-CN"/>
        </w:rPr>
        <w:t>Jarque-Bera</w:t>
      </w:r>
      <w:proofErr w:type="spellEnd"/>
      <w:r w:rsidRPr="00723C4E">
        <w:rPr>
          <w:rFonts w:ascii="Times New Roman" w:hAnsi="Times New Roman" w:cs="Times New Roman"/>
          <w:sz w:val="24"/>
          <w:szCs w:val="24"/>
          <w:lang w:eastAsia="zh-CN"/>
        </w:rPr>
        <w:t xml:space="preserve"> test statistics show that all the return series depart from the null hypothesis of normality distribution. </w:t>
      </w:r>
    </w:p>
    <w:p w14:paraId="784FF734" w14:textId="1A0C0232" w:rsidR="00CC1752" w:rsidRDefault="00CC1752" w:rsidP="00CC1752">
      <w:pPr>
        <w:pStyle w:val="Heading2"/>
        <w:rPr>
          <w:lang w:eastAsia="zh-CN"/>
        </w:rPr>
      </w:pPr>
      <w:bookmarkStart w:id="90" w:name="_Toc90499958"/>
      <w:r>
        <w:rPr>
          <w:lang w:eastAsia="zh-CN"/>
        </w:rPr>
        <w:t>1.4.2 Summary Statistics</w:t>
      </w:r>
      <w:bookmarkEnd w:id="90"/>
      <w:r>
        <w:rPr>
          <w:lang w:eastAsia="zh-CN"/>
        </w:rPr>
        <w:t xml:space="preserve"> </w:t>
      </w:r>
    </w:p>
    <w:p w14:paraId="59BCF48E" w14:textId="77777777" w:rsidR="00CC1752" w:rsidRPr="00CC1752" w:rsidRDefault="00CC1752" w:rsidP="00CC1752">
      <w:pPr>
        <w:rPr>
          <w:lang w:eastAsia="zh-CN"/>
        </w:rPr>
      </w:pPr>
    </w:p>
    <w:p w14:paraId="349FFE5B" w14:textId="7C37AB41" w:rsidR="00C93E59" w:rsidRPr="00C93E59" w:rsidRDefault="00C93E59" w:rsidP="00C93E59">
      <w:pPr>
        <w:pStyle w:val="Caption"/>
        <w:keepNext/>
        <w:rPr>
          <w:rFonts w:ascii="Times New Roman" w:hAnsi="Times New Roman" w:cs="Times New Roman"/>
          <w:color w:val="auto"/>
          <w:sz w:val="24"/>
          <w:szCs w:val="24"/>
        </w:rPr>
      </w:pPr>
      <w:bookmarkStart w:id="91" w:name="_Toc78502185"/>
      <w:bookmarkStart w:id="92" w:name="_Toc78502289"/>
      <w:r w:rsidRPr="00C93E59">
        <w:rPr>
          <w:rFonts w:ascii="Times New Roman" w:hAnsi="Times New Roman" w:cs="Times New Roman"/>
          <w:color w:val="auto"/>
          <w:sz w:val="24"/>
          <w:szCs w:val="24"/>
        </w:rPr>
        <w:t>Table 1.4.</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1</w:t>
      </w:r>
      <w:r w:rsidR="00EF0502">
        <w:rPr>
          <w:rFonts w:ascii="Times New Roman" w:hAnsi="Times New Roman" w:cs="Times New Roman"/>
          <w:color w:val="auto"/>
          <w:sz w:val="24"/>
          <w:szCs w:val="24"/>
        </w:rPr>
        <w:fldChar w:fldCharType="end"/>
      </w:r>
      <w:r w:rsidRPr="00C93E59">
        <w:rPr>
          <w:rFonts w:ascii="Times New Roman" w:hAnsi="Times New Roman" w:cs="Times New Roman"/>
          <w:color w:val="auto"/>
          <w:sz w:val="24"/>
          <w:szCs w:val="24"/>
        </w:rPr>
        <w:t xml:space="preserve"> Summary Statistics</w:t>
      </w:r>
      <w:bookmarkEnd w:id="91"/>
      <w:bookmarkEnd w:id="92"/>
    </w:p>
    <w:tbl>
      <w:tblPr>
        <w:tblpPr w:leftFromText="180" w:rightFromText="180" w:vertAnchor="text" w:horzAnchor="margin" w:tblpY="-26"/>
        <w:tblW w:w="9310" w:type="dxa"/>
        <w:tblLayout w:type="fixed"/>
        <w:tblLook w:val="0000" w:firstRow="0" w:lastRow="0" w:firstColumn="0" w:lastColumn="0" w:noHBand="0" w:noVBand="0"/>
      </w:tblPr>
      <w:tblGrid>
        <w:gridCol w:w="1658"/>
        <w:gridCol w:w="695"/>
        <w:gridCol w:w="869"/>
        <w:gridCol w:w="869"/>
        <w:gridCol w:w="869"/>
        <w:gridCol w:w="869"/>
        <w:gridCol w:w="869"/>
        <w:gridCol w:w="869"/>
        <w:gridCol w:w="869"/>
        <w:gridCol w:w="874"/>
      </w:tblGrid>
      <w:tr w:rsidR="00BC76B8" w14:paraId="68F8EDA2" w14:textId="77777777" w:rsidTr="00BC76B8">
        <w:trPr>
          <w:trHeight w:val="646"/>
        </w:trPr>
        <w:tc>
          <w:tcPr>
            <w:tcW w:w="1658" w:type="dxa"/>
            <w:tcBorders>
              <w:top w:val="single" w:sz="4" w:space="0" w:color="auto"/>
              <w:left w:val="nil"/>
              <w:bottom w:val="single" w:sz="10" w:space="0" w:color="auto"/>
              <w:right w:val="nil"/>
            </w:tcBorders>
          </w:tcPr>
          <w:p w14:paraId="2BB06520"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r>
              <w:rPr>
                <w:rFonts w:ascii="Garamond" w:hAnsi="Garamond"/>
                <w:sz w:val="20"/>
                <w:szCs w:val="20"/>
                <w:lang w:val="en-US"/>
              </w:rPr>
              <w:t>Variables</w:t>
            </w:r>
          </w:p>
        </w:tc>
        <w:tc>
          <w:tcPr>
            <w:tcW w:w="695" w:type="dxa"/>
            <w:tcBorders>
              <w:top w:val="single" w:sz="4" w:space="0" w:color="auto"/>
              <w:left w:val="nil"/>
              <w:bottom w:val="single" w:sz="10" w:space="0" w:color="auto"/>
              <w:right w:val="nil"/>
            </w:tcBorders>
          </w:tcPr>
          <w:p w14:paraId="292459C3"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w:t>
            </w:r>
            <w:proofErr w:type="spellStart"/>
            <w:r>
              <w:rPr>
                <w:rFonts w:ascii="Garamond" w:hAnsi="Garamond"/>
                <w:sz w:val="20"/>
                <w:szCs w:val="20"/>
                <w:lang w:val="en-US"/>
              </w:rPr>
              <w:t>Obs</w:t>
            </w:r>
            <w:proofErr w:type="spellEnd"/>
          </w:p>
        </w:tc>
        <w:tc>
          <w:tcPr>
            <w:tcW w:w="869" w:type="dxa"/>
            <w:tcBorders>
              <w:top w:val="single" w:sz="4" w:space="0" w:color="auto"/>
              <w:left w:val="nil"/>
              <w:bottom w:val="single" w:sz="10" w:space="0" w:color="auto"/>
              <w:right w:val="nil"/>
            </w:tcBorders>
          </w:tcPr>
          <w:p w14:paraId="72945F3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Mean</w:t>
            </w:r>
          </w:p>
        </w:tc>
        <w:tc>
          <w:tcPr>
            <w:tcW w:w="869" w:type="dxa"/>
            <w:tcBorders>
              <w:top w:val="single" w:sz="4" w:space="0" w:color="auto"/>
              <w:left w:val="nil"/>
              <w:bottom w:val="single" w:sz="10" w:space="0" w:color="auto"/>
              <w:right w:val="nil"/>
            </w:tcBorders>
          </w:tcPr>
          <w:p w14:paraId="41157E7F"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Std. Dev.</w:t>
            </w:r>
          </w:p>
        </w:tc>
        <w:tc>
          <w:tcPr>
            <w:tcW w:w="869" w:type="dxa"/>
            <w:tcBorders>
              <w:top w:val="single" w:sz="4" w:space="0" w:color="auto"/>
              <w:left w:val="nil"/>
              <w:bottom w:val="single" w:sz="10" w:space="0" w:color="auto"/>
              <w:right w:val="nil"/>
            </w:tcBorders>
          </w:tcPr>
          <w:p w14:paraId="70A2ACEB"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Min</w:t>
            </w:r>
          </w:p>
        </w:tc>
        <w:tc>
          <w:tcPr>
            <w:tcW w:w="869" w:type="dxa"/>
            <w:tcBorders>
              <w:top w:val="single" w:sz="4" w:space="0" w:color="auto"/>
              <w:left w:val="nil"/>
              <w:bottom w:val="single" w:sz="10" w:space="0" w:color="auto"/>
              <w:right w:val="nil"/>
            </w:tcBorders>
          </w:tcPr>
          <w:p w14:paraId="2BD0AAF5"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Max</w:t>
            </w:r>
          </w:p>
        </w:tc>
        <w:tc>
          <w:tcPr>
            <w:tcW w:w="869" w:type="dxa"/>
            <w:tcBorders>
              <w:top w:val="single" w:sz="4" w:space="0" w:color="auto"/>
              <w:left w:val="nil"/>
              <w:bottom w:val="single" w:sz="10" w:space="0" w:color="auto"/>
              <w:right w:val="nil"/>
            </w:tcBorders>
          </w:tcPr>
          <w:p w14:paraId="7F3B4EF1"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JB</w:t>
            </w:r>
          </w:p>
        </w:tc>
        <w:tc>
          <w:tcPr>
            <w:tcW w:w="869" w:type="dxa"/>
            <w:tcBorders>
              <w:top w:val="single" w:sz="4" w:space="0" w:color="auto"/>
              <w:left w:val="nil"/>
              <w:bottom w:val="single" w:sz="10" w:space="0" w:color="auto"/>
              <w:right w:val="nil"/>
            </w:tcBorders>
          </w:tcPr>
          <w:p w14:paraId="215080DE"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Chi (2)</w:t>
            </w:r>
          </w:p>
        </w:tc>
        <w:tc>
          <w:tcPr>
            <w:tcW w:w="869" w:type="dxa"/>
            <w:tcBorders>
              <w:top w:val="single" w:sz="4" w:space="0" w:color="auto"/>
              <w:left w:val="nil"/>
              <w:bottom w:val="single" w:sz="10" w:space="0" w:color="auto"/>
              <w:right w:val="nil"/>
            </w:tcBorders>
          </w:tcPr>
          <w:p w14:paraId="286C8E4E"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Skew.</w:t>
            </w:r>
          </w:p>
        </w:tc>
        <w:tc>
          <w:tcPr>
            <w:tcW w:w="874" w:type="dxa"/>
            <w:tcBorders>
              <w:top w:val="single" w:sz="4" w:space="0" w:color="auto"/>
              <w:left w:val="nil"/>
              <w:bottom w:val="single" w:sz="10" w:space="0" w:color="auto"/>
              <w:right w:val="nil"/>
            </w:tcBorders>
          </w:tcPr>
          <w:p w14:paraId="679C0F04"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 xml:space="preserve"> Kurt.</w:t>
            </w:r>
          </w:p>
        </w:tc>
      </w:tr>
      <w:tr w:rsidR="00BC76B8" w14:paraId="0767509D" w14:textId="77777777" w:rsidTr="00BC76B8">
        <w:trPr>
          <w:trHeight w:val="301"/>
        </w:trPr>
        <w:tc>
          <w:tcPr>
            <w:tcW w:w="1658" w:type="dxa"/>
            <w:tcBorders>
              <w:top w:val="nil"/>
              <w:left w:val="nil"/>
              <w:bottom w:val="nil"/>
              <w:right w:val="nil"/>
            </w:tcBorders>
          </w:tcPr>
          <w:p w14:paraId="30C1503F"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r>
              <w:rPr>
                <w:rFonts w:ascii="Garamond" w:hAnsi="Garamond"/>
                <w:sz w:val="20"/>
                <w:szCs w:val="20"/>
                <w:lang w:val="en-US"/>
              </w:rPr>
              <w:t xml:space="preserve"> SPRT</w:t>
            </w:r>
          </w:p>
        </w:tc>
        <w:tc>
          <w:tcPr>
            <w:tcW w:w="695" w:type="dxa"/>
            <w:tcBorders>
              <w:top w:val="nil"/>
              <w:left w:val="nil"/>
              <w:bottom w:val="nil"/>
              <w:right w:val="nil"/>
            </w:tcBorders>
          </w:tcPr>
          <w:p w14:paraId="0330460D"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2605</w:t>
            </w:r>
          </w:p>
        </w:tc>
        <w:tc>
          <w:tcPr>
            <w:tcW w:w="869" w:type="dxa"/>
            <w:tcBorders>
              <w:top w:val="nil"/>
              <w:left w:val="nil"/>
              <w:bottom w:val="nil"/>
              <w:right w:val="nil"/>
            </w:tcBorders>
          </w:tcPr>
          <w:p w14:paraId="6DFC06EF"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w:t>
            </w:r>
          </w:p>
        </w:tc>
        <w:tc>
          <w:tcPr>
            <w:tcW w:w="869" w:type="dxa"/>
            <w:tcBorders>
              <w:top w:val="nil"/>
              <w:left w:val="nil"/>
              <w:bottom w:val="nil"/>
              <w:right w:val="nil"/>
            </w:tcBorders>
          </w:tcPr>
          <w:p w14:paraId="78A2F117"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.013</w:t>
            </w:r>
          </w:p>
        </w:tc>
        <w:tc>
          <w:tcPr>
            <w:tcW w:w="869" w:type="dxa"/>
            <w:tcBorders>
              <w:top w:val="nil"/>
              <w:left w:val="nil"/>
              <w:bottom w:val="nil"/>
              <w:right w:val="nil"/>
            </w:tcBorders>
          </w:tcPr>
          <w:p w14:paraId="1E07F04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-.095</w:t>
            </w:r>
          </w:p>
        </w:tc>
        <w:tc>
          <w:tcPr>
            <w:tcW w:w="869" w:type="dxa"/>
            <w:tcBorders>
              <w:top w:val="nil"/>
              <w:left w:val="nil"/>
              <w:bottom w:val="nil"/>
              <w:right w:val="nil"/>
            </w:tcBorders>
          </w:tcPr>
          <w:p w14:paraId="31997D14"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.11</w:t>
            </w:r>
          </w:p>
        </w:tc>
        <w:tc>
          <w:tcPr>
            <w:tcW w:w="869" w:type="dxa"/>
            <w:tcBorders>
              <w:top w:val="nil"/>
              <w:left w:val="nil"/>
              <w:bottom w:val="nil"/>
              <w:right w:val="nil"/>
            </w:tcBorders>
          </w:tcPr>
          <w:p w14:paraId="68604553"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1.2e+04</w:t>
            </w:r>
          </w:p>
        </w:tc>
        <w:tc>
          <w:tcPr>
            <w:tcW w:w="869" w:type="dxa"/>
            <w:tcBorders>
              <w:top w:val="nil"/>
              <w:left w:val="nil"/>
              <w:bottom w:val="nil"/>
              <w:right w:val="nil"/>
            </w:tcBorders>
          </w:tcPr>
          <w:p w14:paraId="505071EB"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0.0000</w:t>
            </w:r>
          </w:p>
        </w:tc>
        <w:tc>
          <w:tcPr>
            <w:tcW w:w="869" w:type="dxa"/>
            <w:tcBorders>
              <w:top w:val="nil"/>
              <w:left w:val="nil"/>
              <w:bottom w:val="nil"/>
              <w:right w:val="nil"/>
            </w:tcBorders>
          </w:tcPr>
          <w:p w14:paraId="392F2C5F"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-.353</w:t>
            </w:r>
          </w:p>
        </w:tc>
        <w:tc>
          <w:tcPr>
            <w:tcW w:w="874" w:type="dxa"/>
            <w:tcBorders>
              <w:top w:val="nil"/>
              <w:left w:val="nil"/>
              <w:bottom w:val="nil"/>
              <w:right w:val="nil"/>
            </w:tcBorders>
          </w:tcPr>
          <w:p w14:paraId="61C616D8"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13.31</w:t>
            </w:r>
          </w:p>
        </w:tc>
      </w:tr>
      <w:tr w:rsidR="00BC76B8" w14:paraId="57C0D821" w14:textId="77777777" w:rsidTr="00BC76B8">
        <w:trPr>
          <w:trHeight w:val="322"/>
        </w:trPr>
        <w:tc>
          <w:tcPr>
            <w:tcW w:w="1658" w:type="dxa"/>
            <w:tcBorders>
              <w:top w:val="nil"/>
              <w:left w:val="nil"/>
              <w:bottom w:val="nil"/>
              <w:right w:val="nil"/>
            </w:tcBorders>
          </w:tcPr>
          <w:p w14:paraId="218C38FB"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r>
              <w:rPr>
                <w:rFonts w:ascii="Garamond" w:hAnsi="Garamond"/>
                <w:sz w:val="20"/>
                <w:szCs w:val="20"/>
                <w:lang w:val="en-US"/>
              </w:rPr>
              <w:t xml:space="preserve"> ABCP</w:t>
            </w:r>
          </w:p>
        </w:tc>
        <w:tc>
          <w:tcPr>
            <w:tcW w:w="695" w:type="dxa"/>
            <w:tcBorders>
              <w:top w:val="nil"/>
              <w:left w:val="nil"/>
              <w:bottom w:val="nil"/>
              <w:right w:val="nil"/>
            </w:tcBorders>
          </w:tcPr>
          <w:p w14:paraId="1B72B387"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2605</w:t>
            </w:r>
          </w:p>
        </w:tc>
        <w:tc>
          <w:tcPr>
            <w:tcW w:w="869" w:type="dxa"/>
            <w:tcBorders>
              <w:top w:val="nil"/>
              <w:left w:val="nil"/>
              <w:bottom w:val="nil"/>
              <w:right w:val="nil"/>
            </w:tcBorders>
          </w:tcPr>
          <w:p w14:paraId="1A5DFA51"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.468</w:t>
            </w:r>
          </w:p>
        </w:tc>
        <w:tc>
          <w:tcPr>
            <w:tcW w:w="869" w:type="dxa"/>
            <w:tcBorders>
              <w:top w:val="nil"/>
              <w:left w:val="nil"/>
              <w:bottom w:val="nil"/>
              <w:right w:val="nil"/>
            </w:tcBorders>
          </w:tcPr>
          <w:p w14:paraId="2258B8B7"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.568</w:t>
            </w:r>
          </w:p>
        </w:tc>
        <w:tc>
          <w:tcPr>
            <w:tcW w:w="869" w:type="dxa"/>
            <w:tcBorders>
              <w:top w:val="nil"/>
              <w:left w:val="nil"/>
              <w:bottom w:val="nil"/>
              <w:right w:val="nil"/>
            </w:tcBorders>
          </w:tcPr>
          <w:p w14:paraId="40B2FC4D"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.01</w:t>
            </w:r>
          </w:p>
        </w:tc>
        <w:tc>
          <w:tcPr>
            <w:tcW w:w="869" w:type="dxa"/>
            <w:tcBorders>
              <w:top w:val="nil"/>
              <w:left w:val="nil"/>
              <w:bottom w:val="nil"/>
              <w:right w:val="nil"/>
            </w:tcBorders>
          </w:tcPr>
          <w:p w14:paraId="2D85FC2D"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4.306</w:t>
            </w:r>
          </w:p>
        </w:tc>
        <w:tc>
          <w:tcPr>
            <w:tcW w:w="869" w:type="dxa"/>
            <w:tcBorders>
              <w:top w:val="nil"/>
              <w:left w:val="nil"/>
              <w:bottom w:val="nil"/>
              <w:right w:val="nil"/>
            </w:tcBorders>
          </w:tcPr>
          <w:p w14:paraId="08281AE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1.6e+04</w:t>
            </w:r>
          </w:p>
        </w:tc>
        <w:tc>
          <w:tcPr>
            <w:tcW w:w="869" w:type="dxa"/>
            <w:tcBorders>
              <w:top w:val="nil"/>
              <w:left w:val="nil"/>
              <w:bottom w:val="nil"/>
              <w:right w:val="nil"/>
            </w:tcBorders>
          </w:tcPr>
          <w:p w14:paraId="059CA72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0.0000</w:t>
            </w:r>
          </w:p>
        </w:tc>
        <w:tc>
          <w:tcPr>
            <w:tcW w:w="869" w:type="dxa"/>
            <w:tcBorders>
              <w:top w:val="nil"/>
              <w:left w:val="nil"/>
              <w:bottom w:val="nil"/>
              <w:right w:val="nil"/>
            </w:tcBorders>
          </w:tcPr>
          <w:p w14:paraId="65C51C1E"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2.987</w:t>
            </w:r>
          </w:p>
        </w:tc>
        <w:tc>
          <w:tcPr>
            <w:tcW w:w="874" w:type="dxa"/>
            <w:tcBorders>
              <w:top w:val="nil"/>
              <w:left w:val="nil"/>
              <w:bottom w:val="nil"/>
              <w:right w:val="nil"/>
            </w:tcBorders>
          </w:tcPr>
          <w:p w14:paraId="55D49765"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13.636</w:t>
            </w:r>
          </w:p>
        </w:tc>
      </w:tr>
      <w:tr w:rsidR="00BC76B8" w14:paraId="3570FE73" w14:textId="77777777" w:rsidTr="00BC76B8">
        <w:trPr>
          <w:trHeight w:val="322"/>
        </w:trPr>
        <w:tc>
          <w:tcPr>
            <w:tcW w:w="1658" w:type="dxa"/>
            <w:tcBorders>
              <w:top w:val="nil"/>
              <w:left w:val="nil"/>
              <w:bottom w:val="nil"/>
              <w:right w:val="nil"/>
            </w:tcBorders>
          </w:tcPr>
          <w:p w14:paraId="1C304D0C"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r>
              <w:rPr>
                <w:rFonts w:ascii="Garamond" w:hAnsi="Garamond"/>
                <w:sz w:val="20"/>
                <w:szCs w:val="20"/>
                <w:lang w:val="en-US"/>
              </w:rPr>
              <w:t xml:space="preserve"> TED</w:t>
            </w:r>
          </w:p>
        </w:tc>
        <w:tc>
          <w:tcPr>
            <w:tcW w:w="695" w:type="dxa"/>
            <w:tcBorders>
              <w:top w:val="nil"/>
              <w:left w:val="nil"/>
              <w:bottom w:val="nil"/>
              <w:right w:val="nil"/>
            </w:tcBorders>
          </w:tcPr>
          <w:p w14:paraId="04087DC9"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2605</w:t>
            </w:r>
          </w:p>
        </w:tc>
        <w:tc>
          <w:tcPr>
            <w:tcW w:w="869" w:type="dxa"/>
            <w:tcBorders>
              <w:top w:val="nil"/>
              <w:left w:val="nil"/>
              <w:bottom w:val="nil"/>
              <w:right w:val="nil"/>
            </w:tcBorders>
          </w:tcPr>
          <w:p w14:paraId="54CE32E1"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.509</w:t>
            </w:r>
          </w:p>
        </w:tc>
        <w:tc>
          <w:tcPr>
            <w:tcW w:w="869" w:type="dxa"/>
            <w:tcBorders>
              <w:top w:val="nil"/>
              <w:left w:val="nil"/>
              <w:bottom w:val="nil"/>
              <w:right w:val="nil"/>
            </w:tcBorders>
          </w:tcPr>
          <w:p w14:paraId="0582B7AF"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.523</w:t>
            </w:r>
          </w:p>
        </w:tc>
        <w:tc>
          <w:tcPr>
            <w:tcW w:w="869" w:type="dxa"/>
            <w:tcBorders>
              <w:top w:val="nil"/>
              <w:left w:val="nil"/>
              <w:bottom w:val="nil"/>
              <w:right w:val="nil"/>
            </w:tcBorders>
          </w:tcPr>
          <w:p w14:paraId="02CD752B"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.109</w:t>
            </w:r>
          </w:p>
        </w:tc>
        <w:tc>
          <w:tcPr>
            <w:tcW w:w="869" w:type="dxa"/>
            <w:tcBorders>
              <w:top w:val="nil"/>
              <w:left w:val="nil"/>
              <w:bottom w:val="nil"/>
              <w:right w:val="nil"/>
            </w:tcBorders>
          </w:tcPr>
          <w:p w14:paraId="1F1495C4"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4.485</w:t>
            </w:r>
          </w:p>
        </w:tc>
        <w:tc>
          <w:tcPr>
            <w:tcW w:w="869" w:type="dxa"/>
            <w:tcBorders>
              <w:top w:val="nil"/>
              <w:left w:val="nil"/>
              <w:bottom w:val="nil"/>
              <w:right w:val="nil"/>
            </w:tcBorders>
          </w:tcPr>
          <w:p w14:paraId="73C23AF2"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5.6e+04</w:t>
            </w:r>
          </w:p>
        </w:tc>
        <w:tc>
          <w:tcPr>
            <w:tcW w:w="869" w:type="dxa"/>
            <w:tcBorders>
              <w:top w:val="nil"/>
              <w:left w:val="nil"/>
              <w:bottom w:val="nil"/>
              <w:right w:val="nil"/>
            </w:tcBorders>
          </w:tcPr>
          <w:p w14:paraId="7D5C565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0.0000</w:t>
            </w:r>
          </w:p>
        </w:tc>
        <w:tc>
          <w:tcPr>
            <w:tcW w:w="869" w:type="dxa"/>
            <w:tcBorders>
              <w:top w:val="nil"/>
              <w:left w:val="nil"/>
              <w:bottom w:val="nil"/>
              <w:right w:val="nil"/>
            </w:tcBorders>
          </w:tcPr>
          <w:p w14:paraId="5A692E55"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3.175</w:t>
            </w:r>
          </w:p>
        </w:tc>
        <w:tc>
          <w:tcPr>
            <w:tcW w:w="874" w:type="dxa"/>
            <w:tcBorders>
              <w:top w:val="nil"/>
              <w:left w:val="nil"/>
              <w:bottom w:val="nil"/>
              <w:right w:val="nil"/>
            </w:tcBorders>
          </w:tcPr>
          <w:p w14:paraId="10234DEC"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16.118</w:t>
            </w:r>
          </w:p>
        </w:tc>
      </w:tr>
      <w:tr w:rsidR="00BC76B8" w14:paraId="3599D058" w14:textId="77777777" w:rsidTr="00BC76B8">
        <w:trPr>
          <w:trHeight w:val="322"/>
        </w:trPr>
        <w:tc>
          <w:tcPr>
            <w:tcW w:w="1658" w:type="dxa"/>
            <w:tcBorders>
              <w:top w:val="nil"/>
              <w:left w:val="nil"/>
              <w:bottom w:val="nil"/>
              <w:right w:val="nil"/>
            </w:tcBorders>
          </w:tcPr>
          <w:p w14:paraId="4ADE3F98"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r>
              <w:rPr>
                <w:rFonts w:ascii="Garamond" w:hAnsi="Garamond"/>
                <w:sz w:val="20"/>
                <w:szCs w:val="20"/>
                <w:lang w:val="en-US"/>
              </w:rPr>
              <w:t xml:space="preserve"> OIS</w:t>
            </w:r>
          </w:p>
        </w:tc>
        <w:tc>
          <w:tcPr>
            <w:tcW w:w="695" w:type="dxa"/>
            <w:tcBorders>
              <w:top w:val="nil"/>
              <w:left w:val="nil"/>
              <w:bottom w:val="nil"/>
              <w:right w:val="nil"/>
            </w:tcBorders>
          </w:tcPr>
          <w:p w14:paraId="4B3A7E70"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2605</w:t>
            </w:r>
          </w:p>
        </w:tc>
        <w:tc>
          <w:tcPr>
            <w:tcW w:w="869" w:type="dxa"/>
            <w:tcBorders>
              <w:top w:val="nil"/>
              <w:left w:val="nil"/>
              <w:bottom w:val="nil"/>
              <w:right w:val="nil"/>
            </w:tcBorders>
          </w:tcPr>
          <w:p w14:paraId="1E116ED3"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.293</w:t>
            </w:r>
          </w:p>
        </w:tc>
        <w:tc>
          <w:tcPr>
            <w:tcW w:w="869" w:type="dxa"/>
            <w:tcBorders>
              <w:top w:val="nil"/>
              <w:left w:val="nil"/>
              <w:bottom w:val="nil"/>
              <w:right w:val="nil"/>
            </w:tcBorders>
          </w:tcPr>
          <w:p w14:paraId="1DD549DB"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.396</w:t>
            </w:r>
          </w:p>
        </w:tc>
        <w:tc>
          <w:tcPr>
            <w:tcW w:w="869" w:type="dxa"/>
            <w:tcBorders>
              <w:top w:val="nil"/>
              <w:left w:val="nil"/>
              <w:bottom w:val="nil"/>
              <w:right w:val="nil"/>
            </w:tcBorders>
          </w:tcPr>
          <w:p w14:paraId="1A7F08B0"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.019</w:t>
            </w:r>
          </w:p>
        </w:tc>
        <w:tc>
          <w:tcPr>
            <w:tcW w:w="869" w:type="dxa"/>
            <w:tcBorders>
              <w:top w:val="nil"/>
              <w:left w:val="nil"/>
              <w:bottom w:val="nil"/>
              <w:right w:val="nil"/>
            </w:tcBorders>
          </w:tcPr>
          <w:p w14:paraId="167D0F4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3.644</w:t>
            </w:r>
          </w:p>
        </w:tc>
        <w:tc>
          <w:tcPr>
            <w:tcW w:w="869" w:type="dxa"/>
            <w:tcBorders>
              <w:top w:val="nil"/>
              <w:left w:val="nil"/>
              <w:bottom w:val="nil"/>
              <w:right w:val="nil"/>
            </w:tcBorders>
          </w:tcPr>
          <w:p w14:paraId="56BFA0E8"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2.3e+04</w:t>
            </w:r>
          </w:p>
        </w:tc>
        <w:tc>
          <w:tcPr>
            <w:tcW w:w="869" w:type="dxa"/>
            <w:tcBorders>
              <w:top w:val="nil"/>
              <w:left w:val="nil"/>
              <w:bottom w:val="nil"/>
              <w:right w:val="nil"/>
            </w:tcBorders>
          </w:tcPr>
          <w:p w14:paraId="108CD221"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0.0000</w:t>
            </w:r>
          </w:p>
        </w:tc>
        <w:tc>
          <w:tcPr>
            <w:tcW w:w="869" w:type="dxa"/>
            <w:tcBorders>
              <w:top w:val="nil"/>
              <w:left w:val="nil"/>
              <w:bottom w:val="nil"/>
              <w:right w:val="nil"/>
            </w:tcBorders>
          </w:tcPr>
          <w:p w14:paraId="0565FA68"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3.981</w:t>
            </w:r>
          </w:p>
        </w:tc>
        <w:tc>
          <w:tcPr>
            <w:tcW w:w="874" w:type="dxa"/>
            <w:tcBorders>
              <w:top w:val="nil"/>
              <w:left w:val="nil"/>
              <w:bottom w:val="nil"/>
              <w:right w:val="nil"/>
            </w:tcBorders>
          </w:tcPr>
          <w:p w14:paraId="34442706" w14:textId="77777777" w:rsidR="00BC76B8" w:rsidRDefault="00BC76B8" w:rsidP="00BC76B8">
            <w:pPr>
              <w:widowControl w:val="0"/>
              <w:autoSpaceDE w:val="0"/>
              <w:autoSpaceDN w:val="0"/>
              <w:adjustRightInd w:val="0"/>
              <w:spacing w:after="0" w:line="240" w:lineRule="auto"/>
              <w:jc w:val="right"/>
              <w:rPr>
                <w:rFonts w:ascii="Garamond" w:hAnsi="Garamond"/>
                <w:sz w:val="20"/>
                <w:szCs w:val="20"/>
                <w:lang w:val="en-US"/>
              </w:rPr>
            </w:pPr>
            <w:r>
              <w:rPr>
                <w:rFonts w:ascii="Garamond" w:hAnsi="Garamond"/>
                <w:sz w:val="20"/>
                <w:szCs w:val="20"/>
                <w:lang w:val="en-US"/>
              </w:rPr>
              <w:t>24.283</w:t>
            </w:r>
          </w:p>
        </w:tc>
      </w:tr>
      <w:tr w:rsidR="00BC76B8" w14:paraId="260083BA" w14:textId="77777777" w:rsidTr="00BC76B8">
        <w:trPr>
          <w:trHeight w:val="322"/>
        </w:trPr>
        <w:tc>
          <w:tcPr>
            <w:tcW w:w="9310" w:type="dxa"/>
            <w:gridSpan w:val="10"/>
            <w:tcBorders>
              <w:top w:val="single" w:sz="6" w:space="0" w:color="auto"/>
              <w:left w:val="nil"/>
              <w:bottom w:val="nil"/>
              <w:right w:val="nil"/>
            </w:tcBorders>
          </w:tcPr>
          <w:p w14:paraId="68DA9E87" w14:textId="77777777" w:rsidR="00BC76B8" w:rsidRDefault="00BC76B8" w:rsidP="00BC76B8">
            <w:pPr>
              <w:widowControl w:val="0"/>
              <w:autoSpaceDE w:val="0"/>
              <w:autoSpaceDN w:val="0"/>
              <w:adjustRightInd w:val="0"/>
              <w:spacing w:after="0" w:line="240" w:lineRule="auto"/>
              <w:rPr>
                <w:rFonts w:ascii="Garamond" w:hAnsi="Garamond"/>
                <w:sz w:val="20"/>
                <w:szCs w:val="20"/>
                <w:lang w:val="en-US"/>
              </w:rPr>
            </w:pPr>
          </w:p>
        </w:tc>
      </w:tr>
    </w:tbl>
    <w:p w14:paraId="640CDC71" w14:textId="40FED4DC" w:rsidR="00BC76B8" w:rsidRDefault="00BC76B8" w:rsidP="007F5AE0">
      <w:pPr>
        <w:rPr>
          <w:sz w:val="24"/>
          <w:szCs w:val="24"/>
        </w:rPr>
      </w:pPr>
    </w:p>
    <w:p w14:paraId="0B38DDA2" w14:textId="1CB0F287" w:rsidR="00CC1752" w:rsidRDefault="00CC1752" w:rsidP="00CC1752">
      <w:pPr>
        <w:pStyle w:val="Heading2"/>
      </w:pPr>
      <w:bookmarkStart w:id="93" w:name="_Toc90499959"/>
      <w:r>
        <w:lastRenderedPageBreak/>
        <w:t>1.4.3 Normality</w:t>
      </w:r>
      <w:bookmarkEnd w:id="93"/>
      <w:r>
        <w:t xml:space="preserve"> </w:t>
      </w:r>
    </w:p>
    <w:p w14:paraId="351480DD" w14:textId="77777777" w:rsidR="008128CD" w:rsidRDefault="00B640D7" w:rsidP="008128CD">
      <w:pPr>
        <w:keepNext/>
      </w:pPr>
      <w:r w:rsidRPr="00B640D7">
        <w:rPr>
          <w:noProof/>
          <w:sz w:val="24"/>
          <w:szCs w:val="24"/>
          <w:lang w:eastAsia="en-GB"/>
        </w:rPr>
        <w:drawing>
          <wp:inline distT="0" distB="0" distL="0" distR="0" wp14:anchorId="1C2FCBCF" wp14:editId="1683DB3D">
            <wp:extent cx="5743575" cy="3438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inline>
        </w:drawing>
      </w:r>
    </w:p>
    <w:p w14:paraId="01C40069" w14:textId="527981BE" w:rsidR="00EE03C0" w:rsidRPr="008128CD" w:rsidRDefault="008128CD" w:rsidP="008128CD">
      <w:pPr>
        <w:pStyle w:val="Caption"/>
        <w:rPr>
          <w:rFonts w:ascii="Times New Roman" w:hAnsi="Times New Roman" w:cs="Times New Roman"/>
          <w:color w:val="auto"/>
          <w:sz w:val="24"/>
          <w:szCs w:val="24"/>
        </w:rPr>
      </w:pPr>
      <w:bookmarkStart w:id="94" w:name="_Toc78498678"/>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6</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Quantile-Quantile plots</w:t>
      </w:r>
      <w:bookmarkEnd w:id="94"/>
    </w:p>
    <w:p w14:paraId="7C43CEF3" w14:textId="51C5741B" w:rsidR="00EE03C0" w:rsidRDefault="00AC5F6E" w:rsidP="00EE03C0">
      <w:pPr>
        <w:spacing w:line="360" w:lineRule="auto"/>
        <w:jc w:val="both"/>
        <w:rPr>
          <w:rFonts w:ascii="Times New Roman" w:hAnsi="Times New Roman" w:cs="Times New Roman"/>
          <w:sz w:val="24"/>
          <w:szCs w:val="24"/>
          <w:lang w:eastAsia="zh-CN"/>
        </w:rPr>
      </w:pPr>
      <w:r w:rsidRPr="00723C4E">
        <w:rPr>
          <w:rFonts w:ascii="Times New Roman" w:hAnsi="Times New Roman" w:cs="Times New Roman"/>
          <w:sz w:val="24"/>
          <w:szCs w:val="24"/>
          <w:lang w:eastAsia="zh-CN"/>
        </w:rPr>
        <w:t xml:space="preserve">Figure </w:t>
      </w:r>
      <w:r w:rsidR="00EE03C0">
        <w:rPr>
          <w:rFonts w:ascii="Times New Roman" w:hAnsi="Times New Roman" w:cs="Times New Roman"/>
          <w:sz w:val="24"/>
          <w:szCs w:val="24"/>
          <w:lang w:eastAsia="zh-CN"/>
        </w:rPr>
        <w:t>1.</w:t>
      </w:r>
      <w:r w:rsidRPr="00723C4E">
        <w:rPr>
          <w:rFonts w:ascii="Times New Roman" w:hAnsi="Times New Roman" w:cs="Times New Roman"/>
          <w:sz w:val="24"/>
          <w:szCs w:val="24"/>
          <w:lang w:eastAsia="zh-CN"/>
        </w:rPr>
        <w:t xml:space="preserve">4.6 </w:t>
      </w:r>
      <w:r w:rsidRPr="00723C4E">
        <w:rPr>
          <w:rFonts w:ascii="Times New Roman" w:hAnsi="Times New Roman" w:cs="Times New Roman"/>
          <w:sz w:val="24"/>
          <w:szCs w:val="24"/>
        </w:rPr>
        <w:t xml:space="preserve">Quantile-Quantile plots show deviation from a normal distribution. If the data were normal, the quantiles should match those of normal distribution, which is not the case in this instance. </w:t>
      </w:r>
      <w:proofErr w:type="spellStart"/>
      <w:r w:rsidRPr="00723C4E">
        <w:rPr>
          <w:rFonts w:ascii="Times New Roman" w:hAnsi="Times New Roman" w:cs="Times New Roman"/>
          <w:sz w:val="24"/>
          <w:szCs w:val="24"/>
          <w:lang w:eastAsia="zh-CN"/>
        </w:rPr>
        <w:t>Ljung</w:t>
      </w:r>
      <w:proofErr w:type="spellEnd"/>
      <w:r w:rsidRPr="00723C4E">
        <w:rPr>
          <w:rFonts w:ascii="Times New Roman" w:hAnsi="Times New Roman" w:cs="Times New Roman"/>
          <w:sz w:val="24"/>
          <w:szCs w:val="24"/>
          <w:lang w:eastAsia="zh-CN"/>
        </w:rPr>
        <w:t>-Box tests for lags, calculated for both returns and squared return series reveal that returns are strongly autocorrelated for all the retained spreads.</w:t>
      </w:r>
    </w:p>
    <w:p w14:paraId="4568ED41" w14:textId="77777777" w:rsidR="008128CD" w:rsidRDefault="00A25968" w:rsidP="008128CD">
      <w:pPr>
        <w:keepNext/>
        <w:spacing w:line="360" w:lineRule="auto"/>
        <w:jc w:val="both"/>
      </w:pPr>
      <w:r w:rsidRPr="00A25968">
        <w:rPr>
          <w:noProof/>
          <w:sz w:val="24"/>
          <w:szCs w:val="24"/>
          <w:lang w:eastAsia="en-GB"/>
        </w:rPr>
        <w:drawing>
          <wp:inline distT="0" distB="0" distL="0" distR="0" wp14:anchorId="5743CB2D" wp14:editId="23E1027C">
            <wp:extent cx="5911850" cy="3114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7000" cy="3122657"/>
                    </a:xfrm>
                    <a:prstGeom prst="rect">
                      <a:avLst/>
                    </a:prstGeom>
                    <a:noFill/>
                    <a:ln>
                      <a:noFill/>
                    </a:ln>
                  </pic:spPr>
                </pic:pic>
              </a:graphicData>
            </a:graphic>
          </wp:inline>
        </w:drawing>
      </w:r>
    </w:p>
    <w:p w14:paraId="7A11898C" w14:textId="149A9A2F" w:rsidR="00EE03C0" w:rsidRPr="008128CD" w:rsidRDefault="008128CD" w:rsidP="008128CD">
      <w:pPr>
        <w:pStyle w:val="Caption"/>
        <w:jc w:val="both"/>
        <w:rPr>
          <w:rFonts w:ascii="Times New Roman" w:hAnsi="Times New Roman" w:cs="Times New Roman"/>
          <w:color w:val="auto"/>
          <w:sz w:val="24"/>
          <w:szCs w:val="24"/>
        </w:rPr>
      </w:pPr>
      <w:bookmarkStart w:id="95" w:name="_Toc78498679"/>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7</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Marginal Density Distribution</w:t>
      </w:r>
      <w:bookmarkEnd w:id="95"/>
    </w:p>
    <w:p w14:paraId="36363CBF" w14:textId="79579272" w:rsidR="00A25968" w:rsidRPr="00CA2210" w:rsidRDefault="00A25968" w:rsidP="00A25968">
      <w:pPr>
        <w:spacing w:line="360" w:lineRule="auto"/>
        <w:jc w:val="both"/>
        <w:rPr>
          <w:rFonts w:ascii="Times New Roman" w:hAnsi="Times New Roman" w:cs="Times New Roman"/>
          <w:sz w:val="24"/>
          <w:szCs w:val="24"/>
        </w:rPr>
      </w:pPr>
      <w:r w:rsidRPr="00CA2210">
        <w:rPr>
          <w:rFonts w:ascii="Times New Roman" w:hAnsi="Times New Roman" w:cs="Times New Roman"/>
          <w:sz w:val="24"/>
          <w:szCs w:val="24"/>
        </w:rPr>
        <w:lastRenderedPageBreak/>
        <w:t xml:space="preserve">Figure </w:t>
      </w:r>
      <w:r w:rsidR="00EE03C0">
        <w:rPr>
          <w:rFonts w:ascii="Times New Roman" w:hAnsi="Times New Roman" w:cs="Times New Roman"/>
          <w:sz w:val="24"/>
          <w:szCs w:val="24"/>
        </w:rPr>
        <w:t>1.</w:t>
      </w:r>
      <w:r w:rsidR="00AC5F6E" w:rsidRPr="00CA2210">
        <w:rPr>
          <w:rFonts w:ascii="Times New Roman" w:hAnsi="Times New Roman" w:cs="Times New Roman"/>
          <w:sz w:val="24"/>
          <w:szCs w:val="24"/>
        </w:rPr>
        <w:t>4.7</w:t>
      </w:r>
      <w:r w:rsidRPr="00CA2210">
        <w:rPr>
          <w:rFonts w:ascii="Times New Roman" w:hAnsi="Times New Roman" w:cs="Times New Roman"/>
          <w:sz w:val="24"/>
          <w:szCs w:val="24"/>
        </w:rPr>
        <w:t xml:space="preserve"> shows the marginal density distribution fitting for the four </w:t>
      </w:r>
      <w:r w:rsidR="00E904AE" w:rsidRPr="00CA2210">
        <w:rPr>
          <w:rFonts w:ascii="Times New Roman" w:hAnsi="Times New Roman" w:cs="Times New Roman"/>
          <w:sz w:val="24"/>
          <w:szCs w:val="24"/>
        </w:rPr>
        <w:t>spreads</w:t>
      </w:r>
      <w:r w:rsidRPr="00CA2210">
        <w:rPr>
          <w:rFonts w:ascii="Times New Roman" w:hAnsi="Times New Roman" w:cs="Times New Roman"/>
          <w:sz w:val="24"/>
          <w:szCs w:val="24"/>
        </w:rPr>
        <w:t xml:space="preserve">. Apparently, they all travel away from normal distribution. </w:t>
      </w:r>
    </w:p>
    <w:p w14:paraId="2CD77926" w14:textId="77777777" w:rsidR="008128CD" w:rsidRDefault="00CD63DC" w:rsidP="008128CD">
      <w:pPr>
        <w:keepNext/>
        <w:spacing w:line="360" w:lineRule="auto"/>
        <w:jc w:val="both"/>
      </w:pPr>
      <w:r w:rsidRPr="00566C6F">
        <w:rPr>
          <w:noProof/>
          <w:sz w:val="24"/>
          <w:szCs w:val="24"/>
          <w:lang w:eastAsia="en-GB"/>
        </w:rPr>
        <w:drawing>
          <wp:inline distT="0" distB="0" distL="0" distR="0" wp14:anchorId="5C1B7495" wp14:editId="3CBD9034">
            <wp:extent cx="5730875" cy="55925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5735745" cy="5597286"/>
                    </a:xfrm>
                    <a:prstGeom prst="rect">
                      <a:avLst/>
                    </a:prstGeom>
                    <a:noFill/>
                    <a:ln>
                      <a:noFill/>
                    </a:ln>
                  </pic:spPr>
                </pic:pic>
              </a:graphicData>
            </a:graphic>
          </wp:inline>
        </w:drawing>
      </w:r>
    </w:p>
    <w:p w14:paraId="212250C0" w14:textId="1F2FE4EB" w:rsidR="00EE03C0" w:rsidRDefault="008128CD" w:rsidP="008128CD">
      <w:pPr>
        <w:pStyle w:val="Caption"/>
        <w:jc w:val="both"/>
      </w:pPr>
      <w:bookmarkStart w:id="96" w:name="_Toc78498680"/>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8</w:t>
      </w:r>
      <w:r w:rsidR="00AF7FD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8128CD">
        <w:rPr>
          <w:rFonts w:ascii="Times New Roman" w:hAnsi="Times New Roman" w:cs="Times New Roman"/>
          <w:color w:val="auto"/>
          <w:sz w:val="24"/>
          <w:szCs w:val="24"/>
        </w:rPr>
        <w:t>Marginal Density Distribution for pre, during and post crisis period</w:t>
      </w:r>
      <w:r w:rsidRPr="00472393">
        <w:t>.</w:t>
      </w:r>
      <w:bookmarkEnd w:id="96"/>
    </w:p>
    <w:p w14:paraId="1AE03795" w14:textId="0826DE01" w:rsidR="001E5EB2" w:rsidRDefault="001E5EB2" w:rsidP="001E5EB2">
      <w:pPr>
        <w:pStyle w:val="Heading2"/>
        <w:rPr>
          <w:noProof/>
        </w:rPr>
      </w:pPr>
    </w:p>
    <w:p w14:paraId="561F774C" w14:textId="77777777" w:rsidR="001E5EB2" w:rsidRPr="001E5EB2" w:rsidRDefault="001E5EB2" w:rsidP="001E5EB2"/>
    <w:p w14:paraId="7F8ABAA2" w14:textId="3109AE73" w:rsidR="001E5EB2" w:rsidRDefault="001E5EB2" w:rsidP="001E5EB2">
      <w:pPr>
        <w:pStyle w:val="Heading2"/>
        <w:rPr>
          <w:noProof/>
        </w:rPr>
      </w:pPr>
    </w:p>
    <w:p w14:paraId="5B7643BF" w14:textId="77777777" w:rsidR="00EE03C0" w:rsidRPr="00EE03C0" w:rsidRDefault="00EE03C0" w:rsidP="00EE03C0"/>
    <w:p w14:paraId="2EFF8026" w14:textId="1AE3FBB0" w:rsidR="001E5EB2" w:rsidRDefault="001E5EB2" w:rsidP="001E5EB2"/>
    <w:p w14:paraId="373B4629" w14:textId="77777777" w:rsidR="001E5EB2" w:rsidRPr="001E5EB2" w:rsidRDefault="001E5EB2" w:rsidP="001E5EB2"/>
    <w:p w14:paraId="337B8181" w14:textId="755601AA" w:rsidR="001E5EB2" w:rsidRDefault="001E5EB2" w:rsidP="001E5EB2">
      <w:pPr>
        <w:pStyle w:val="Heading2"/>
        <w:rPr>
          <w:noProof/>
        </w:rPr>
      </w:pPr>
      <w:bookmarkStart w:id="97" w:name="_Toc90499960"/>
      <w:r>
        <w:rPr>
          <w:noProof/>
        </w:rPr>
        <w:lastRenderedPageBreak/>
        <w:t xml:space="preserve">1.4.4 </w:t>
      </w:r>
      <w:r w:rsidRPr="00723C4E">
        <w:rPr>
          <w:noProof/>
        </w:rPr>
        <w:t>Stationarity test</w:t>
      </w:r>
      <w:bookmarkEnd w:id="97"/>
      <w:r w:rsidRPr="00723C4E">
        <w:rPr>
          <w:noProof/>
        </w:rPr>
        <w:t xml:space="preserve"> </w:t>
      </w:r>
    </w:p>
    <w:p w14:paraId="0CD636F3" w14:textId="11753D05" w:rsidR="005116BA" w:rsidRDefault="00CC1752" w:rsidP="007B06D2">
      <w:pPr>
        <w:spacing w:line="360" w:lineRule="auto"/>
        <w:jc w:val="both"/>
        <w:rPr>
          <w:rStyle w:val="Heading3Char"/>
        </w:rPr>
      </w:pPr>
      <w:bookmarkStart w:id="98" w:name="_Toc90499961"/>
      <w:r w:rsidRPr="00CC1752">
        <w:rPr>
          <w:rStyle w:val="Heading3Char"/>
        </w:rPr>
        <w:t>1.4.</w:t>
      </w:r>
      <w:r w:rsidR="001E5EB2">
        <w:rPr>
          <w:rStyle w:val="Heading3Char"/>
        </w:rPr>
        <w:t>4</w:t>
      </w:r>
      <w:r w:rsidRPr="00CC1752">
        <w:rPr>
          <w:rStyle w:val="Heading3Char"/>
        </w:rPr>
        <w:t xml:space="preserve">.1 </w:t>
      </w:r>
      <w:r w:rsidR="00CD63DC" w:rsidRPr="00CC1752">
        <w:rPr>
          <w:rStyle w:val="Heading3Char"/>
        </w:rPr>
        <w:t>Phillips-Perron test for unit root</w:t>
      </w:r>
      <w:bookmarkEnd w:id="98"/>
    </w:p>
    <w:p w14:paraId="774A0135" w14:textId="44D72EB2" w:rsidR="00C93E59" w:rsidRPr="00C93E59" w:rsidRDefault="00C93E59" w:rsidP="00C93E59">
      <w:pPr>
        <w:pStyle w:val="Caption"/>
        <w:keepNext/>
        <w:rPr>
          <w:rFonts w:ascii="Times New Roman" w:hAnsi="Times New Roman" w:cs="Times New Roman"/>
          <w:color w:val="auto"/>
          <w:sz w:val="24"/>
          <w:szCs w:val="24"/>
        </w:rPr>
      </w:pPr>
      <w:bookmarkStart w:id="99" w:name="_Toc78502186"/>
      <w:bookmarkStart w:id="100" w:name="_Toc78502290"/>
      <w:r w:rsidRPr="00C93E59">
        <w:rPr>
          <w:rFonts w:ascii="Times New Roman" w:hAnsi="Times New Roman" w:cs="Times New Roman"/>
          <w:color w:val="auto"/>
          <w:sz w:val="24"/>
          <w:szCs w:val="24"/>
        </w:rPr>
        <w:t>Table 1.4.</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2</w:t>
      </w:r>
      <w:r w:rsidR="00EF0502">
        <w:rPr>
          <w:rFonts w:ascii="Times New Roman" w:hAnsi="Times New Roman" w:cs="Times New Roman"/>
          <w:color w:val="auto"/>
          <w:sz w:val="24"/>
          <w:szCs w:val="24"/>
        </w:rPr>
        <w:fldChar w:fldCharType="end"/>
      </w:r>
      <w:r w:rsidRPr="00C93E59">
        <w:rPr>
          <w:rFonts w:ascii="Times New Roman" w:hAnsi="Times New Roman" w:cs="Times New Roman"/>
          <w:color w:val="auto"/>
          <w:sz w:val="24"/>
          <w:szCs w:val="24"/>
        </w:rPr>
        <w:t xml:space="preserve"> Phillips-Perron test for unit root</w:t>
      </w:r>
      <w:bookmarkEnd w:id="99"/>
      <w:bookmarkEnd w:id="100"/>
    </w:p>
    <w:p w14:paraId="70FD9271" w14:textId="107E01E3" w:rsidR="005116BA" w:rsidRPr="002D4BDF" w:rsidRDefault="005116BA" w:rsidP="005116BA">
      <w:pPr>
        <w:rPr>
          <w:noProof/>
          <w:sz w:val="24"/>
          <w:szCs w:val="24"/>
        </w:rPr>
      </w:pPr>
      <w:r w:rsidRPr="002D4BDF">
        <w:rPr>
          <w:noProof/>
          <w:sz w:val="24"/>
          <w:szCs w:val="24"/>
        </w:rPr>
        <w:t>Phillips-Perron test for unit root                 Number of obs   =      2604</w:t>
      </w:r>
    </w:p>
    <w:p w14:paraId="4AE7E03A" w14:textId="77777777" w:rsidR="005116BA" w:rsidRPr="002D4BDF" w:rsidRDefault="005116BA" w:rsidP="005116BA">
      <w:pPr>
        <w:rPr>
          <w:noProof/>
          <w:sz w:val="24"/>
          <w:szCs w:val="24"/>
        </w:rPr>
      </w:pPr>
      <w:r w:rsidRPr="002D4BDF">
        <w:rPr>
          <w:noProof/>
          <w:sz w:val="24"/>
          <w:szCs w:val="24"/>
        </w:rPr>
        <w:t xml:space="preserve">                                                   Newey-West lags =         2</w:t>
      </w:r>
    </w:p>
    <w:p w14:paraId="3C91EF8E" w14:textId="77777777" w:rsidR="005116BA" w:rsidRPr="002D4BDF" w:rsidRDefault="005116BA" w:rsidP="005116BA">
      <w:pPr>
        <w:rPr>
          <w:noProof/>
          <w:sz w:val="24"/>
          <w:szCs w:val="24"/>
        </w:rPr>
      </w:pPr>
      <w:r w:rsidRPr="002D4BDF">
        <w:rPr>
          <w:noProof/>
          <w:sz w:val="24"/>
          <w:szCs w:val="24"/>
        </w:rPr>
        <w:t xml:space="preserve">                               ---------- Interpolated Dickey-Fuller ---------</w:t>
      </w:r>
    </w:p>
    <w:p w14:paraId="459FF64C" w14:textId="77777777" w:rsidR="005116BA" w:rsidRPr="002D4BDF" w:rsidRDefault="005116BA" w:rsidP="005116BA">
      <w:pPr>
        <w:rPr>
          <w:noProof/>
          <w:sz w:val="24"/>
          <w:szCs w:val="24"/>
        </w:rPr>
      </w:pPr>
      <w:r w:rsidRPr="002D4BDF">
        <w:rPr>
          <w:noProof/>
          <w:sz w:val="24"/>
          <w:szCs w:val="24"/>
        </w:rPr>
        <w:t xml:space="preserve">               </w:t>
      </w:r>
      <w:r>
        <w:rPr>
          <w:noProof/>
          <w:sz w:val="24"/>
          <w:szCs w:val="24"/>
        </w:rPr>
        <w:t xml:space="preserve"> </w:t>
      </w:r>
      <w:r w:rsidRPr="002D4BDF">
        <w:rPr>
          <w:noProof/>
          <w:sz w:val="24"/>
          <w:szCs w:val="24"/>
        </w:rPr>
        <w:t xml:space="preserve"> </w:t>
      </w:r>
      <w:r>
        <w:rPr>
          <w:noProof/>
          <w:sz w:val="24"/>
          <w:szCs w:val="24"/>
        </w:rPr>
        <w:t xml:space="preserve">              </w:t>
      </w:r>
      <w:r w:rsidRPr="002D4BDF">
        <w:rPr>
          <w:noProof/>
          <w:sz w:val="24"/>
          <w:szCs w:val="24"/>
        </w:rPr>
        <w:t xml:space="preserve">  Test         </w:t>
      </w:r>
      <w:r>
        <w:rPr>
          <w:noProof/>
          <w:sz w:val="24"/>
          <w:szCs w:val="24"/>
        </w:rPr>
        <w:t xml:space="preserve">     </w:t>
      </w:r>
      <w:r w:rsidRPr="002D4BDF">
        <w:rPr>
          <w:noProof/>
          <w:sz w:val="24"/>
          <w:szCs w:val="24"/>
        </w:rPr>
        <w:t xml:space="preserve">1% Critical    </w:t>
      </w:r>
      <w:r>
        <w:rPr>
          <w:noProof/>
          <w:sz w:val="24"/>
          <w:szCs w:val="24"/>
        </w:rPr>
        <w:t xml:space="preserve">  </w:t>
      </w:r>
      <w:r w:rsidRPr="002D4BDF">
        <w:rPr>
          <w:noProof/>
          <w:sz w:val="24"/>
          <w:szCs w:val="24"/>
        </w:rPr>
        <w:t>5% Critical      10% Critical</w:t>
      </w:r>
    </w:p>
    <w:p w14:paraId="24B8A80A" w14:textId="77777777" w:rsidR="005116BA" w:rsidRPr="002D4BDF" w:rsidRDefault="005116BA" w:rsidP="005116BA">
      <w:pPr>
        <w:rPr>
          <w:noProof/>
          <w:sz w:val="24"/>
          <w:szCs w:val="24"/>
        </w:rPr>
      </w:pPr>
      <w:r w:rsidRPr="002D4BDF">
        <w:rPr>
          <w:noProof/>
          <w:sz w:val="24"/>
          <w:szCs w:val="24"/>
        </w:rPr>
        <w:t xml:space="preserve">             </w:t>
      </w:r>
      <w:r>
        <w:rPr>
          <w:noProof/>
          <w:sz w:val="24"/>
          <w:szCs w:val="24"/>
        </w:rPr>
        <w:t xml:space="preserve">  </w:t>
      </w:r>
      <w:r w:rsidRPr="002D4BDF">
        <w:rPr>
          <w:noProof/>
          <w:sz w:val="24"/>
          <w:szCs w:val="24"/>
        </w:rPr>
        <w:t xml:space="preserve">  </w:t>
      </w:r>
      <w:r>
        <w:rPr>
          <w:noProof/>
          <w:sz w:val="24"/>
          <w:szCs w:val="24"/>
        </w:rPr>
        <w:t xml:space="preserve">           </w:t>
      </w:r>
      <w:r w:rsidRPr="002D4BDF">
        <w:rPr>
          <w:noProof/>
          <w:sz w:val="24"/>
          <w:szCs w:val="24"/>
        </w:rPr>
        <w:t xml:space="preserve">Statistic         </w:t>
      </w:r>
      <w:r>
        <w:rPr>
          <w:noProof/>
          <w:sz w:val="24"/>
          <w:szCs w:val="24"/>
        </w:rPr>
        <w:t xml:space="preserve">      </w:t>
      </w:r>
      <w:r w:rsidRPr="002D4BDF">
        <w:rPr>
          <w:noProof/>
          <w:sz w:val="24"/>
          <w:szCs w:val="24"/>
        </w:rPr>
        <w:t xml:space="preserve">Value           </w:t>
      </w:r>
      <w:r>
        <w:rPr>
          <w:noProof/>
          <w:sz w:val="24"/>
          <w:szCs w:val="24"/>
        </w:rPr>
        <w:t xml:space="preserve">    </w:t>
      </w:r>
      <w:r w:rsidRPr="002D4BDF">
        <w:rPr>
          <w:noProof/>
          <w:sz w:val="24"/>
          <w:szCs w:val="24"/>
        </w:rPr>
        <w:t xml:space="preserve"> Value            </w:t>
      </w:r>
      <w:r>
        <w:rPr>
          <w:noProof/>
          <w:sz w:val="24"/>
          <w:szCs w:val="24"/>
        </w:rPr>
        <w:t xml:space="preserve"> </w:t>
      </w:r>
      <w:r w:rsidRPr="002D4BDF">
        <w:rPr>
          <w:noProof/>
          <w:sz w:val="24"/>
          <w:szCs w:val="24"/>
        </w:rPr>
        <w:t xml:space="preserve"> Value</w:t>
      </w:r>
    </w:p>
    <w:p w14:paraId="5B1346B9" w14:textId="77777777" w:rsidR="005116BA" w:rsidRPr="002D4BDF" w:rsidRDefault="005116BA" w:rsidP="005116BA">
      <w:pPr>
        <w:rPr>
          <w:noProof/>
          <w:sz w:val="24"/>
          <w:szCs w:val="24"/>
        </w:rPr>
      </w:pPr>
      <w:r w:rsidRPr="002D4BDF">
        <w:rPr>
          <w:noProof/>
          <w:sz w:val="24"/>
          <w:szCs w:val="24"/>
        </w:rPr>
        <w:t>------------------------------------------------------------------------------</w:t>
      </w:r>
      <w:r>
        <w:rPr>
          <w:noProof/>
          <w:sz w:val="24"/>
          <w:szCs w:val="24"/>
        </w:rPr>
        <w:t>----------------</w:t>
      </w:r>
    </w:p>
    <w:p w14:paraId="0D8CFECD" w14:textId="77777777" w:rsidR="005116BA" w:rsidRPr="002D4BDF" w:rsidRDefault="005116BA" w:rsidP="005116BA">
      <w:pPr>
        <w:rPr>
          <w:noProof/>
          <w:sz w:val="24"/>
          <w:szCs w:val="24"/>
        </w:rPr>
      </w:pPr>
      <w:r>
        <w:rPr>
          <w:noProof/>
          <w:sz w:val="24"/>
          <w:szCs w:val="24"/>
        </w:rPr>
        <w:t>SPRT</w:t>
      </w:r>
      <w:r w:rsidRPr="002D4BDF">
        <w:rPr>
          <w:noProof/>
          <w:sz w:val="24"/>
          <w:szCs w:val="24"/>
        </w:rPr>
        <w:t xml:space="preserve"> Z(rho)        -2799.235        </w:t>
      </w:r>
      <w:r>
        <w:rPr>
          <w:noProof/>
          <w:sz w:val="24"/>
          <w:szCs w:val="24"/>
        </w:rPr>
        <w:t xml:space="preserve"> </w:t>
      </w:r>
      <w:r w:rsidRPr="002D4BDF">
        <w:rPr>
          <w:noProof/>
          <w:sz w:val="24"/>
          <w:szCs w:val="24"/>
        </w:rPr>
        <w:t xml:space="preserve">-13.800          </w:t>
      </w:r>
      <w:r>
        <w:rPr>
          <w:noProof/>
          <w:sz w:val="24"/>
          <w:szCs w:val="24"/>
        </w:rPr>
        <w:t xml:space="preserve"> </w:t>
      </w:r>
      <w:r w:rsidRPr="002D4BDF">
        <w:rPr>
          <w:noProof/>
          <w:sz w:val="24"/>
          <w:szCs w:val="24"/>
        </w:rPr>
        <w:t xml:space="preserve">  -8.100           </w:t>
      </w:r>
      <w:r>
        <w:rPr>
          <w:noProof/>
          <w:sz w:val="24"/>
          <w:szCs w:val="24"/>
        </w:rPr>
        <w:t xml:space="preserve"> </w:t>
      </w:r>
      <w:r w:rsidRPr="002D4BDF">
        <w:rPr>
          <w:noProof/>
          <w:sz w:val="24"/>
          <w:szCs w:val="24"/>
        </w:rPr>
        <w:t xml:space="preserve"> -5.700</w:t>
      </w:r>
    </w:p>
    <w:p w14:paraId="7517BEE8" w14:textId="77777777" w:rsidR="005116BA" w:rsidRPr="002D4BDF" w:rsidRDefault="005116BA" w:rsidP="005116BA">
      <w:pPr>
        <w:rPr>
          <w:noProof/>
          <w:sz w:val="24"/>
          <w:szCs w:val="24"/>
        </w:rPr>
      </w:pPr>
      <w:r>
        <w:rPr>
          <w:noProof/>
          <w:sz w:val="24"/>
          <w:szCs w:val="24"/>
        </w:rPr>
        <w:t>SPRT</w:t>
      </w:r>
      <w:r w:rsidRPr="002D4BDF">
        <w:rPr>
          <w:noProof/>
          <w:sz w:val="24"/>
          <w:szCs w:val="24"/>
        </w:rPr>
        <w:t xml:space="preserve"> Z(t)            </w:t>
      </w:r>
      <w:r>
        <w:rPr>
          <w:noProof/>
          <w:sz w:val="24"/>
          <w:szCs w:val="24"/>
        </w:rPr>
        <w:t xml:space="preserve">  </w:t>
      </w:r>
      <w:r w:rsidRPr="002D4BDF">
        <w:rPr>
          <w:noProof/>
          <w:sz w:val="24"/>
          <w:szCs w:val="24"/>
        </w:rPr>
        <w:t xml:space="preserve">-56.240           </w:t>
      </w:r>
      <w:r>
        <w:rPr>
          <w:noProof/>
          <w:sz w:val="24"/>
          <w:szCs w:val="24"/>
        </w:rPr>
        <w:t xml:space="preserve"> </w:t>
      </w:r>
      <w:r w:rsidRPr="002D4BDF">
        <w:rPr>
          <w:noProof/>
          <w:sz w:val="24"/>
          <w:szCs w:val="24"/>
        </w:rPr>
        <w:t xml:space="preserve"> -2.580            </w:t>
      </w:r>
      <w:r>
        <w:rPr>
          <w:noProof/>
          <w:sz w:val="24"/>
          <w:szCs w:val="24"/>
        </w:rPr>
        <w:t xml:space="preserve">  </w:t>
      </w:r>
      <w:r w:rsidRPr="002D4BDF">
        <w:rPr>
          <w:noProof/>
          <w:sz w:val="24"/>
          <w:szCs w:val="24"/>
        </w:rPr>
        <w:t xml:space="preserve">-1.950           </w:t>
      </w:r>
      <w:r>
        <w:rPr>
          <w:noProof/>
          <w:sz w:val="24"/>
          <w:szCs w:val="24"/>
        </w:rPr>
        <w:t xml:space="preserve"> </w:t>
      </w:r>
      <w:r w:rsidRPr="002D4BDF">
        <w:rPr>
          <w:noProof/>
          <w:sz w:val="24"/>
          <w:szCs w:val="24"/>
        </w:rPr>
        <w:t xml:space="preserve"> -1.620</w:t>
      </w:r>
    </w:p>
    <w:p w14:paraId="2B03D294" w14:textId="77777777" w:rsidR="005116BA" w:rsidRPr="008709E8" w:rsidRDefault="005116BA" w:rsidP="005116BA">
      <w:pPr>
        <w:rPr>
          <w:noProof/>
          <w:sz w:val="24"/>
          <w:szCs w:val="24"/>
        </w:rPr>
      </w:pPr>
      <w:r>
        <w:rPr>
          <w:noProof/>
          <w:sz w:val="24"/>
          <w:szCs w:val="24"/>
        </w:rPr>
        <w:t xml:space="preserve">ABCP </w:t>
      </w:r>
      <w:r w:rsidRPr="008709E8">
        <w:rPr>
          <w:noProof/>
          <w:sz w:val="24"/>
          <w:szCs w:val="24"/>
        </w:rPr>
        <w:t xml:space="preserve">Z(rho)        -15.103           </w:t>
      </w:r>
      <w:r>
        <w:rPr>
          <w:noProof/>
          <w:sz w:val="24"/>
          <w:szCs w:val="24"/>
        </w:rPr>
        <w:t xml:space="preserve">  </w:t>
      </w:r>
      <w:r w:rsidRPr="008709E8">
        <w:rPr>
          <w:noProof/>
          <w:sz w:val="24"/>
          <w:szCs w:val="24"/>
        </w:rPr>
        <w:t xml:space="preserve">-13.800            -8.100            </w:t>
      </w:r>
      <w:r>
        <w:rPr>
          <w:noProof/>
          <w:sz w:val="24"/>
          <w:szCs w:val="24"/>
        </w:rPr>
        <w:t xml:space="preserve"> </w:t>
      </w:r>
      <w:r w:rsidRPr="008709E8">
        <w:rPr>
          <w:noProof/>
          <w:sz w:val="24"/>
          <w:szCs w:val="24"/>
        </w:rPr>
        <w:t>-5.700</w:t>
      </w:r>
    </w:p>
    <w:p w14:paraId="4CB23AD3" w14:textId="77777777" w:rsidR="005116BA" w:rsidRDefault="005116BA" w:rsidP="005116BA">
      <w:pPr>
        <w:rPr>
          <w:noProof/>
          <w:sz w:val="24"/>
          <w:szCs w:val="24"/>
        </w:rPr>
      </w:pPr>
      <w:r>
        <w:rPr>
          <w:noProof/>
          <w:sz w:val="24"/>
          <w:szCs w:val="24"/>
        </w:rPr>
        <w:t>ABCP</w:t>
      </w:r>
      <w:r w:rsidRPr="008709E8">
        <w:rPr>
          <w:noProof/>
          <w:sz w:val="24"/>
          <w:szCs w:val="24"/>
        </w:rPr>
        <w:t xml:space="preserve"> Z(t)            </w:t>
      </w:r>
      <w:r>
        <w:rPr>
          <w:noProof/>
          <w:sz w:val="24"/>
          <w:szCs w:val="24"/>
        </w:rPr>
        <w:t xml:space="preserve">  </w:t>
      </w:r>
      <w:r w:rsidRPr="008709E8">
        <w:rPr>
          <w:noProof/>
          <w:sz w:val="24"/>
          <w:szCs w:val="24"/>
        </w:rPr>
        <w:t xml:space="preserve">-2.742           </w:t>
      </w:r>
      <w:r>
        <w:rPr>
          <w:noProof/>
          <w:sz w:val="24"/>
          <w:szCs w:val="24"/>
        </w:rPr>
        <w:t xml:space="preserve">  </w:t>
      </w:r>
      <w:r w:rsidRPr="008709E8">
        <w:rPr>
          <w:noProof/>
          <w:sz w:val="24"/>
          <w:szCs w:val="24"/>
        </w:rPr>
        <w:t xml:space="preserve"> </w:t>
      </w:r>
      <w:r>
        <w:rPr>
          <w:noProof/>
          <w:sz w:val="24"/>
          <w:szCs w:val="24"/>
        </w:rPr>
        <w:t xml:space="preserve"> </w:t>
      </w:r>
      <w:r w:rsidRPr="008709E8">
        <w:rPr>
          <w:noProof/>
          <w:sz w:val="24"/>
          <w:szCs w:val="24"/>
        </w:rPr>
        <w:t xml:space="preserve">-2.580            </w:t>
      </w:r>
      <w:r>
        <w:rPr>
          <w:noProof/>
          <w:sz w:val="24"/>
          <w:szCs w:val="24"/>
        </w:rPr>
        <w:t xml:space="preserve">  </w:t>
      </w:r>
      <w:r w:rsidRPr="008709E8">
        <w:rPr>
          <w:noProof/>
          <w:sz w:val="24"/>
          <w:szCs w:val="24"/>
        </w:rPr>
        <w:t xml:space="preserve">-1.950           </w:t>
      </w:r>
      <w:r>
        <w:rPr>
          <w:noProof/>
          <w:sz w:val="24"/>
          <w:szCs w:val="24"/>
        </w:rPr>
        <w:t xml:space="preserve"> </w:t>
      </w:r>
      <w:r w:rsidRPr="008709E8">
        <w:rPr>
          <w:noProof/>
          <w:sz w:val="24"/>
          <w:szCs w:val="24"/>
        </w:rPr>
        <w:t xml:space="preserve"> -1.620</w:t>
      </w:r>
    </w:p>
    <w:p w14:paraId="6C87A04B" w14:textId="77777777" w:rsidR="005116BA" w:rsidRPr="008709E8" w:rsidRDefault="005116BA" w:rsidP="005116BA">
      <w:pPr>
        <w:rPr>
          <w:noProof/>
          <w:sz w:val="24"/>
          <w:szCs w:val="24"/>
        </w:rPr>
      </w:pPr>
      <w:r>
        <w:rPr>
          <w:noProof/>
          <w:sz w:val="24"/>
          <w:szCs w:val="24"/>
        </w:rPr>
        <w:t xml:space="preserve">OIS </w:t>
      </w:r>
      <w:r w:rsidRPr="008709E8">
        <w:rPr>
          <w:noProof/>
          <w:sz w:val="24"/>
          <w:szCs w:val="24"/>
        </w:rPr>
        <w:t xml:space="preserve">Z(rho)         </w:t>
      </w:r>
      <w:r>
        <w:rPr>
          <w:noProof/>
          <w:sz w:val="24"/>
          <w:szCs w:val="24"/>
        </w:rPr>
        <w:t xml:space="preserve"> </w:t>
      </w:r>
      <w:r w:rsidRPr="008709E8">
        <w:rPr>
          <w:noProof/>
          <w:sz w:val="24"/>
          <w:szCs w:val="24"/>
        </w:rPr>
        <w:t xml:space="preserve">  -7.163           </w:t>
      </w:r>
      <w:r>
        <w:rPr>
          <w:noProof/>
          <w:sz w:val="24"/>
          <w:szCs w:val="24"/>
        </w:rPr>
        <w:t xml:space="preserve">   </w:t>
      </w:r>
      <w:r w:rsidRPr="008709E8">
        <w:rPr>
          <w:noProof/>
          <w:sz w:val="24"/>
          <w:szCs w:val="24"/>
        </w:rPr>
        <w:t xml:space="preserve">-13.800           </w:t>
      </w:r>
      <w:r>
        <w:rPr>
          <w:noProof/>
          <w:sz w:val="24"/>
          <w:szCs w:val="24"/>
        </w:rPr>
        <w:t xml:space="preserve">  </w:t>
      </w:r>
      <w:r w:rsidRPr="008709E8">
        <w:rPr>
          <w:noProof/>
          <w:sz w:val="24"/>
          <w:szCs w:val="24"/>
        </w:rPr>
        <w:t xml:space="preserve"> -8.100           </w:t>
      </w:r>
      <w:r>
        <w:rPr>
          <w:noProof/>
          <w:sz w:val="24"/>
          <w:szCs w:val="24"/>
        </w:rPr>
        <w:t xml:space="preserve">  </w:t>
      </w:r>
      <w:r w:rsidRPr="008709E8">
        <w:rPr>
          <w:noProof/>
          <w:sz w:val="24"/>
          <w:szCs w:val="24"/>
        </w:rPr>
        <w:t>-5.700</w:t>
      </w:r>
    </w:p>
    <w:p w14:paraId="2A1D4FD0" w14:textId="77777777" w:rsidR="005116BA" w:rsidRDefault="005116BA" w:rsidP="005116BA">
      <w:pPr>
        <w:rPr>
          <w:noProof/>
          <w:sz w:val="24"/>
          <w:szCs w:val="24"/>
        </w:rPr>
      </w:pPr>
      <w:r w:rsidRPr="008709E8">
        <w:rPr>
          <w:noProof/>
          <w:sz w:val="24"/>
          <w:szCs w:val="24"/>
        </w:rPr>
        <w:t xml:space="preserve"> </w:t>
      </w:r>
      <w:r>
        <w:rPr>
          <w:noProof/>
          <w:sz w:val="24"/>
          <w:szCs w:val="24"/>
        </w:rPr>
        <w:t xml:space="preserve">OIS </w:t>
      </w:r>
      <w:r w:rsidRPr="008709E8">
        <w:rPr>
          <w:noProof/>
          <w:sz w:val="24"/>
          <w:szCs w:val="24"/>
        </w:rPr>
        <w:t xml:space="preserve">Z(t)           </w:t>
      </w:r>
      <w:r>
        <w:rPr>
          <w:noProof/>
          <w:sz w:val="24"/>
          <w:szCs w:val="24"/>
        </w:rPr>
        <w:t xml:space="preserve"> </w:t>
      </w:r>
      <w:r w:rsidRPr="008709E8">
        <w:rPr>
          <w:noProof/>
          <w:sz w:val="24"/>
          <w:szCs w:val="24"/>
        </w:rPr>
        <w:t xml:space="preserve">  </w:t>
      </w:r>
      <w:r>
        <w:rPr>
          <w:noProof/>
          <w:sz w:val="24"/>
          <w:szCs w:val="24"/>
        </w:rPr>
        <w:t xml:space="preserve"> </w:t>
      </w:r>
      <w:r w:rsidRPr="008709E8">
        <w:rPr>
          <w:noProof/>
          <w:sz w:val="24"/>
          <w:szCs w:val="24"/>
        </w:rPr>
        <w:t xml:space="preserve">-1.881            </w:t>
      </w:r>
      <w:r>
        <w:rPr>
          <w:noProof/>
          <w:sz w:val="24"/>
          <w:szCs w:val="24"/>
        </w:rPr>
        <w:t xml:space="preserve">    </w:t>
      </w:r>
      <w:r w:rsidRPr="008709E8">
        <w:rPr>
          <w:noProof/>
          <w:sz w:val="24"/>
          <w:szCs w:val="24"/>
        </w:rPr>
        <w:t xml:space="preserve">-2.580           </w:t>
      </w:r>
      <w:r>
        <w:rPr>
          <w:noProof/>
          <w:sz w:val="24"/>
          <w:szCs w:val="24"/>
        </w:rPr>
        <w:t xml:space="preserve">  </w:t>
      </w:r>
      <w:r w:rsidRPr="008709E8">
        <w:rPr>
          <w:noProof/>
          <w:sz w:val="24"/>
          <w:szCs w:val="24"/>
        </w:rPr>
        <w:t xml:space="preserve"> -1.950           </w:t>
      </w:r>
      <w:r>
        <w:rPr>
          <w:noProof/>
          <w:sz w:val="24"/>
          <w:szCs w:val="24"/>
        </w:rPr>
        <w:t xml:space="preserve"> </w:t>
      </w:r>
      <w:r w:rsidRPr="008709E8">
        <w:rPr>
          <w:noProof/>
          <w:sz w:val="24"/>
          <w:szCs w:val="24"/>
        </w:rPr>
        <w:t xml:space="preserve"> -1.620</w:t>
      </w:r>
    </w:p>
    <w:p w14:paraId="418BAE10" w14:textId="77777777" w:rsidR="005116BA" w:rsidRPr="008709E8" w:rsidRDefault="005116BA" w:rsidP="005116BA">
      <w:pPr>
        <w:rPr>
          <w:noProof/>
          <w:sz w:val="24"/>
          <w:szCs w:val="24"/>
        </w:rPr>
      </w:pPr>
      <w:r>
        <w:rPr>
          <w:noProof/>
          <w:sz w:val="24"/>
          <w:szCs w:val="24"/>
        </w:rPr>
        <w:t xml:space="preserve">TED </w:t>
      </w:r>
      <w:r w:rsidRPr="008709E8">
        <w:rPr>
          <w:noProof/>
          <w:sz w:val="24"/>
          <w:szCs w:val="24"/>
        </w:rPr>
        <w:t xml:space="preserve">Z(rho)           -9.075          </w:t>
      </w:r>
      <w:r>
        <w:rPr>
          <w:noProof/>
          <w:sz w:val="24"/>
          <w:szCs w:val="24"/>
        </w:rPr>
        <w:t xml:space="preserve">   </w:t>
      </w:r>
      <w:r w:rsidRPr="008709E8">
        <w:rPr>
          <w:noProof/>
          <w:sz w:val="24"/>
          <w:szCs w:val="24"/>
        </w:rPr>
        <w:t xml:space="preserve"> -13.800           </w:t>
      </w:r>
      <w:r>
        <w:rPr>
          <w:noProof/>
          <w:sz w:val="24"/>
          <w:szCs w:val="24"/>
        </w:rPr>
        <w:t xml:space="preserve"> </w:t>
      </w:r>
      <w:r w:rsidRPr="008709E8">
        <w:rPr>
          <w:noProof/>
          <w:sz w:val="24"/>
          <w:szCs w:val="24"/>
        </w:rPr>
        <w:t xml:space="preserve"> -8.100           </w:t>
      </w:r>
      <w:r>
        <w:rPr>
          <w:noProof/>
          <w:sz w:val="24"/>
          <w:szCs w:val="24"/>
        </w:rPr>
        <w:t xml:space="preserve"> </w:t>
      </w:r>
      <w:r w:rsidRPr="008709E8">
        <w:rPr>
          <w:noProof/>
          <w:sz w:val="24"/>
          <w:szCs w:val="24"/>
        </w:rPr>
        <w:t xml:space="preserve"> -5.700</w:t>
      </w:r>
    </w:p>
    <w:p w14:paraId="26A16AF0" w14:textId="77777777" w:rsidR="005116BA" w:rsidRDefault="005116BA" w:rsidP="005116BA">
      <w:pPr>
        <w:rPr>
          <w:noProof/>
          <w:sz w:val="24"/>
          <w:szCs w:val="24"/>
        </w:rPr>
      </w:pPr>
      <w:r w:rsidRPr="008709E8">
        <w:rPr>
          <w:noProof/>
          <w:sz w:val="24"/>
          <w:szCs w:val="24"/>
        </w:rPr>
        <w:t xml:space="preserve"> </w:t>
      </w:r>
      <w:r>
        <w:rPr>
          <w:noProof/>
          <w:sz w:val="24"/>
          <w:szCs w:val="24"/>
        </w:rPr>
        <w:t xml:space="preserve">TED </w:t>
      </w:r>
      <w:r w:rsidRPr="008709E8">
        <w:rPr>
          <w:noProof/>
          <w:sz w:val="24"/>
          <w:szCs w:val="24"/>
        </w:rPr>
        <w:t xml:space="preserve">Z(t)         </w:t>
      </w:r>
      <w:r>
        <w:rPr>
          <w:noProof/>
          <w:sz w:val="24"/>
          <w:szCs w:val="24"/>
        </w:rPr>
        <w:t xml:space="preserve">  </w:t>
      </w:r>
      <w:r w:rsidRPr="008709E8">
        <w:rPr>
          <w:noProof/>
          <w:sz w:val="24"/>
          <w:szCs w:val="24"/>
        </w:rPr>
        <w:t xml:space="preserve">   -2.122            </w:t>
      </w:r>
      <w:r>
        <w:rPr>
          <w:noProof/>
          <w:sz w:val="24"/>
          <w:szCs w:val="24"/>
        </w:rPr>
        <w:t xml:space="preserve">    </w:t>
      </w:r>
      <w:r w:rsidRPr="008709E8">
        <w:rPr>
          <w:noProof/>
          <w:sz w:val="24"/>
          <w:szCs w:val="24"/>
        </w:rPr>
        <w:t xml:space="preserve">-2.580            </w:t>
      </w:r>
      <w:r>
        <w:rPr>
          <w:noProof/>
          <w:sz w:val="24"/>
          <w:szCs w:val="24"/>
        </w:rPr>
        <w:t xml:space="preserve">  </w:t>
      </w:r>
      <w:r w:rsidRPr="008709E8">
        <w:rPr>
          <w:noProof/>
          <w:sz w:val="24"/>
          <w:szCs w:val="24"/>
        </w:rPr>
        <w:t xml:space="preserve">-1.950           </w:t>
      </w:r>
      <w:r>
        <w:rPr>
          <w:noProof/>
          <w:sz w:val="24"/>
          <w:szCs w:val="24"/>
        </w:rPr>
        <w:t xml:space="preserve"> </w:t>
      </w:r>
      <w:r w:rsidRPr="008709E8">
        <w:rPr>
          <w:noProof/>
          <w:sz w:val="24"/>
          <w:szCs w:val="24"/>
        </w:rPr>
        <w:t xml:space="preserve"> -1.620</w:t>
      </w:r>
    </w:p>
    <w:p w14:paraId="3A8FB597" w14:textId="71809D09" w:rsidR="00A25968" w:rsidRPr="00E904AE" w:rsidRDefault="00A25968" w:rsidP="007F5AE0">
      <w:pPr>
        <w:rPr>
          <w:sz w:val="24"/>
          <w:szCs w:val="24"/>
        </w:rPr>
      </w:pPr>
    </w:p>
    <w:p w14:paraId="5F5B26C2" w14:textId="35EEA63A" w:rsidR="00AC5877" w:rsidRPr="00E904AE" w:rsidRDefault="00CC1752" w:rsidP="00CC1752">
      <w:pPr>
        <w:pStyle w:val="Heading3"/>
        <w:rPr>
          <w:lang w:val="en-US"/>
        </w:rPr>
      </w:pPr>
      <w:bookmarkStart w:id="101" w:name="_Toc90499962"/>
      <w:r>
        <w:rPr>
          <w:lang w:val="en-US"/>
        </w:rPr>
        <w:t>1.4.</w:t>
      </w:r>
      <w:r w:rsidR="001E5EB2">
        <w:rPr>
          <w:lang w:val="en-US"/>
        </w:rPr>
        <w:t>4</w:t>
      </w:r>
      <w:r>
        <w:rPr>
          <w:lang w:val="en-US"/>
        </w:rPr>
        <w:t xml:space="preserve">.2 </w:t>
      </w:r>
      <w:r w:rsidR="00AC5877" w:rsidRPr="00E904AE">
        <w:rPr>
          <w:lang w:val="en-US"/>
        </w:rPr>
        <w:t>Dickey-Fuller test for unit root</w:t>
      </w:r>
      <w:bookmarkEnd w:id="101"/>
      <w:r w:rsidR="00AC5877" w:rsidRPr="00E904AE">
        <w:rPr>
          <w:lang w:val="en-US"/>
        </w:rPr>
        <w:t xml:space="preserve">                 </w:t>
      </w:r>
    </w:p>
    <w:p w14:paraId="06480183" w14:textId="77777777" w:rsidR="001E5EB2" w:rsidRDefault="001E5EB2" w:rsidP="007B06D2">
      <w:pPr>
        <w:rPr>
          <w:rFonts w:ascii="Times New Roman" w:hAnsi="Times New Roman" w:cs="Times New Roman"/>
          <w:b/>
          <w:bCs/>
          <w:sz w:val="24"/>
          <w:szCs w:val="24"/>
          <w:lang w:val="en-US"/>
        </w:rPr>
      </w:pPr>
    </w:p>
    <w:p w14:paraId="3FF57887" w14:textId="5BCA90BD" w:rsidR="00C93E59" w:rsidRPr="00C93E59" w:rsidRDefault="00C93E59" w:rsidP="00C93E59">
      <w:pPr>
        <w:pStyle w:val="Caption"/>
        <w:keepNext/>
        <w:rPr>
          <w:rFonts w:ascii="Times New Roman" w:hAnsi="Times New Roman" w:cs="Times New Roman"/>
          <w:color w:val="auto"/>
          <w:sz w:val="24"/>
          <w:szCs w:val="24"/>
        </w:rPr>
      </w:pPr>
      <w:bookmarkStart w:id="102" w:name="_Toc78502187"/>
      <w:bookmarkStart w:id="103" w:name="_Toc78502291"/>
      <w:r w:rsidRPr="00C93E59">
        <w:rPr>
          <w:rFonts w:ascii="Times New Roman" w:hAnsi="Times New Roman" w:cs="Times New Roman"/>
          <w:color w:val="auto"/>
          <w:sz w:val="24"/>
          <w:szCs w:val="24"/>
        </w:rPr>
        <w:t>Table 1.4.</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3</w:t>
      </w:r>
      <w:r w:rsidR="00EF0502">
        <w:rPr>
          <w:rFonts w:ascii="Times New Roman" w:hAnsi="Times New Roman" w:cs="Times New Roman"/>
          <w:color w:val="auto"/>
          <w:sz w:val="24"/>
          <w:szCs w:val="24"/>
        </w:rPr>
        <w:fldChar w:fldCharType="end"/>
      </w:r>
      <w:r w:rsidRPr="00C93E59">
        <w:rPr>
          <w:rFonts w:ascii="Times New Roman" w:hAnsi="Times New Roman" w:cs="Times New Roman"/>
          <w:color w:val="auto"/>
          <w:sz w:val="24"/>
          <w:szCs w:val="24"/>
        </w:rPr>
        <w:t xml:space="preserve"> Dickey-Fuller test for unit root</w:t>
      </w:r>
      <w:bookmarkEnd w:id="102"/>
      <w:bookmarkEnd w:id="103"/>
    </w:p>
    <w:p w14:paraId="2F53AD03" w14:textId="77777777" w:rsidR="00723C4E" w:rsidRDefault="00AC5877" w:rsidP="00AC5877">
      <w:pPr>
        <w:rPr>
          <w:noProof/>
          <w:sz w:val="24"/>
          <w:szCs w:val="24"/>
        </w:rPr>
      </w:pPr>
      <w:r w:rsidRPr="00AC5877">
        <w:rPr>
          <w:noProof/>
          <w:sz w:val="24"/>
          <w:szCs w:val="24"/>
        </w:rPr>
        <w:t xml:space="preserve">****Case  1 ******* </w:t>
      </w:r>
    </w:p>
    <w:p w14:paraId="1E21C1A5" w14:textId="046C7E44" w:rsidR="00AC5877" w:rsidRPr="00AC5877" w:rsidRDefault="00AC5877" w:rsidP="00AC5877">
      <w:pPr>
        <w:rPr>
          <w:noProof/>
          <w:sz w:val="24"/>
          <w:szCs w:val="24"/>
        </w:rPr>
      </w:pPr>
      <w:r w:rsidRPr="00AC5877">
        <w:rPr>
          <w:noProof/>
          <w:sz w:val="24"/>
          <w:szCs w:val="24"/>
        </w:rPr>
        <w:t>no constant, no trent</w:t>
      </w:r>
    </w:p>
    <w:p w14:paraId="6024789E" w14:textId="77777777" w:rsidR="00AC5877" w:rsidRPr="00AC5877" w:rsidRDefault="00AC5877" w:rsidP="00AC5877">
      <w:pPr>
        <w:rPr>
          <w:noProof/>
          <w:sz w:val="24"/>
          <w:szCs w:val="24"/>
        </w:rPr>
      </w:pPr>
      <w:r w:rsidRPr="00AC5877">
        <w:rPr>
          <w:noProof/>
          <w:sz w:val="24"/>
          <w:szCs w:val="24"/>
        </w:rPr>
        <w:t>Augmented Dickey-Fuller test for unit root         Number of obs   =      2602</w:t>
      </w:r>
    </w:p>
    <w:p w14:paraId="58E0A7D1" w14:textId="77777777" w:rsidR="00AC5877" w:rsidRPr="00AC5877" w:rsidRDefault="00AC5877" w:rsidP="00AC5877">
      <w:pPr>
        <w:rPr>
          <w:noProof/>
          <w:sz w:val="24"/>
          <w:szCs w:val="24"/>
        </w:rPr>
      </w:pPr>
      <w:r w:rsidRPr="00AC5877">
        <w:rPr>
          <w:noProof/>
          <w:sz w:val="24"/>
          <w:szCs w:val="24"/>
        </w:rPr>
        <w:t>Interpolated Dickey-Fuller ---------</w:t>
      </w:r>
    </w:p>
    <w:p w14:paraId="3D92E168" w14:textId="2FB0FDE9" w:rsidR="00AC5877" w:rsidRPr="00AC5877" w:rsidRDefault="004B301A" w:rsidP="00AC5877">
      <w:pPr>
        <w:rPr>
          <w:noProof/>
          <w:sz w:val="24"/>
          <w:szCs w:val="24"/>
        </w:rPr>
      </w:pPr>
      <w:r>
        <w:rPr>
          <w:noProof/>
          <w:sz w:val="24"/>
          <w:szCs w:val="24"/>
        </w:rPr>
        <w:t xml:space="preserve">                       </w:t>
      </w:r>
      <w:r w:rsidR="00AC5877" w:rsidRPr="00AC5877">
        <w:rPr>
          <w:noProof/>
          <w:sz w:val="24"/>
          <w:szCs w:val="24"/>
        </w:rPr>
        <w:t xml:space="preserve">Test       </w:t>
      </w:r>
      <w:r>
        <w:rPr>
          <w:noProof/>
          <w:sz w:val="24"/>
          <w:szCs w:val="24"/>
        </w:rPr>
        <w:t xml:space="preserve"> </w:t>
      </w:r>
      <w:r w:rsidR="00AC5877" w:rsidRPr="00AC5877">
        <w:rPr>
          <w:noProof/>
          <w:sz w:val="24"/>
          <w:szCs w:val="24"/>
        </w:rPr>
        <w:t xml:space="preserve">  1% Critical       5% Critical      10% Critical</w:t>
      </w:r>
    </w:p>
    <w:p w14:paraId="46DE1C83" w14:textId="6763243E" w:rsidR="00AC5877" w:rsidRPr="00AC5877" w:rsidRDefault="004B301A" w:rsidP="00AC5877">
      <w:pPr>
        <w:rPr>
          <w:noProof/>
          <w:sz w:val="24"/>
          <w:szCs w:val="24"/>
        </w:rPr>
      </w:pPr>
      <w:r>
        <w:rPr>
          <w:noProof/>
          <w:sz w:val="24"/>
          <w:szCs w:val="24"/>
        </w:rPr>
        <w:t xml:space="preserve">                      </w:t>
      </w:r>
      <w:r w:rsidR="00AC5877" w:rsidRPr="00AC5877">
        <w:rPr>
          <w:noProof/>
          <w:sz w:val="24"/>
          <w:szCs w:val="24"/>
        </w:rPr>
        <w:t>Statistic           Value             Value             Value</w:t>
      </w:r>
    </w:p>
    <w:p w14:paraId="49B50A39" w14:textId="1A039820" w:rsidR="00AC5877" w:rsidRDefault="004B301A" w:rsidP="00AC5877">
      <w:pPr>
        <w:rPr>
          <w:noProof/>
          <w:sz w:val="24"/>
          <w:szCs w:val="24"/>
        </w:rPr>
      </w:pPr>
      <w:r>
        <w:rPr>
          <w:noProof/>
          <w:sz w:val="24"/>
          <w:szCs w:val="24"/>
        </w:rPr>
        <w:lastRenderedPageBreak/>
        <w:t>SPRT</w:t>
      </w:r>
      <w:r w:rsidR="000A4876">
        <w:rPr>
          <w:noProof/>
          <w:sz w:val="24"/>
          <w:szCs w:val="24"/>
        </w:rPr>
        <w:t xml:space="preserve"> </w:t>
      </w:r>
      <w:r w:rsidR="00AC5877" w:rsidRPr="00AC5877">
        <w:rPr>
          <w:noProof/>
          <w:sz w:val="24"/>
          <w:szCs w:val="24"/>
        </w:rPr>
        <w:t>Z(t)      -31.201            -2.580            -1.950           -1.620</w:t>
      </w:r>
    </w:p>
    <w:p w14:paraId="764C1788" w14:textId="1C2030FA" w:rsidR="004B301A" w:rsidRDefault="004B301A" w:rsidP="00AC5877">
      <w:pPr>
        <w:rPr>
          <w:noProof/>
          <w:sz w:val="24"/>
          <w:szCs w:val="24"/>
        </w:rPr>
      </w:pPr>
      <w:r>
        <w:rPr>
          <w:noProof/>
          <w:sz w:val="24"/>
          <w:szCs w:val="24"/>
        </w:rPr>
        <w:t>ABCP</w:t>
      </w:r>
      <w:r w:rsidR="000A4876">
        <w:rPr>
          <w:noProof/>
          <w:sz w:val="24"/>
          <w:szCs w:val="24"/>
        </w:rPr>
        <w:t xml:space="preserve"> </w:t>
      </w:r>
      <w:r w:rsidRPr="004B301A">
        <w:rPr>
          <w:noProof/>
          <w:sz w:val="24"/>
          <w:szCs w:val="24"/>
        </w:rPr>
        <w:t>Z(t)</w:t>
      </w:r>
      <w:r w:rsidR="000A4876">
        <w:rPr>
          <w:noProof/>
          <w:sz w:val="24"/>
          <w:szCs w:val="24"/>
        </w:rPr>
        <w:t xml:space="preserve"> </w:t>
      </w:r>
      <w:r>
        <w:rPr>
          <w:noProof/>
          <w:sz w:val="24"/>
          <w:szCs w:val="24"/>
        </w:rPr>
        <w:t xml:space="preserve">    </w:t>
      </w:r>
      <w:r w:rsidRPr="004B301A">
        <w:rPr>
          <w:noProof/>
          <w:sz w:val="24"/>
          <w:szCs w:val="24"/>
        </w:rPr>
        <w:t>-2.645</w:t>
      </w:r>
      <w:r>
        <w:rPr>
          <w:noProof/>
          <w:sz w:val="24"/>
          <w:szCs w:val="24"/>
        </w:rPr>
        <w:t xml:space="preserve">              </w:t>
      </w:r>
      <w:r w:rsidRPr="004B301A">
        <w:rPr>
          <w:noProof/>
          <w:sz w:val="24"/>
          <w:szCs w:val="24"/>
        </w:rPr>
        <w:t>-2.580</w:t>
      </w:r>
      <w:r>
        <w:rPr>
          <w:noProof/>
          <w:sz w:val="24"/>
          <w:szCs w:val="24"/>
        </w:rPr>
        <w:t xml:space="preserve">            </w:t>
      </w:r>
      <w:r w:rsidRPr="004B301A">
        <w:rPr>
          <w:noProof/>
          <w:sz w:val="24"/>
          <w:szCs w:val="24"/>
        </w:rPr>
        <w:t>-1.950</w:t>
      </w:r>
      <w:r w:rsidRPr="004B301A">
        <w:rPr>
          <w:noProof/>
          <w:sz w:val="24"/>
          <w:szCs w:val="24"/>
        </w:rPr>
        <w:tab/>
      </w:r>
      <w:r>
        <w:rPr>
          <w:noProof/>
          <w:sz w:val="24"/>
          <w:szCs w:val="24"/>
        </w:rPr>
        <w:t xml:space="preserve"> </w:t>
      </w:r>
      <w:r w:rsidRPr="004B301A">
        <w:rPr>
          <w:noProof/>
          <w:sz w:val="24"/>
          <w:szCs w:val="24"/>
        </w:rPr>
        <w:t>-1.620</w:t>
      </w:r>
    </w:p>
    <w:p w14:paraId="0DEA1E06" w14:textId="179AAF62" w:rsidR="004B301A" w:rsidRDefault="000A4876" w:rsidP="00AC5877">
      <w:pPr>
        <w:rPr>
          <w:noProof/>
          <w:sz w:val="24"/>
          <w:szCs w:val="24"/>
        </w:rPr>
      </w:pPr>
      <w:r>
        <w:rPr>
          <w:noProof/>
          <w:sz w:val="24"/>
          <w:szCs w:val="24"/>
        </w:rPr>
        <w:t xml:space="preserve">OIS </w:t>
      </w:r>
      <w:r w:rsidR="000F4F31" w:rsidRPr="000F4F31">
        <w:rPr>
          <w:noProof/>
          <w:sz w:val="24"/>
          <w:szCs w:val="24"/>
        </w:rPr>
        <w:t>Z(t)</w:t>
      </w:r>
      <w:r>
        <w:rPr>
          <w:noProof/>
          <w:sz w:val="24"/>
          <w:szCs w:val="24"/>
        </w:rPr>
        <w:t xml:space="preserve">        </w:t>
      </w:r>
      <w:r w:rsidR="000F4F31" w:rsidRPr="000F4F31">
        <w:rPr>
          <w:noProof/>
          <w:sz w:val="24"/>
          <w:szCs w:val="24"/>
        </w:rPr>
        <w:t>-2.188</w:t>
      </w:r>
      <w:r w:rsidR="000F4F31" w:rsidRPr="000F4F31">
        <w:rPr>
          <w:noProof/>
          <w:sz w:val="24"/>
          <w:szCs w:val="24"/>
        </w:rPr>
        <w:tab/>
      </w:r>
      <w:r>
        <w:rPr>
          <w:noProof/>
          <w:sz w:val="24"/>
          <w:szCs w:val="24"/>
        </w:rPr>
        <w:t xml:space="preserve">       </w:t>
      </w:r>
      <w:r w:rsidR="000F4F31" w:rsidRPr="000F4F31">
        <w:rPr>
          <w:noProof/>
          <w:sz w:val="24"/>
          <w:szCs w:val="24"/>
        </w:rPr>
        <w:t>-2.580</w:t>
      </w:r>
      <w:r w:rsidR="000F4F31" w:rsidRPr="000F4F31">
        <w:rPr>
          <w:noProof/>
          <w:sz w:val="24"/>
          <w:szCs w:val="24"/>
        </w:rPr>
        <w:tab/>
      </w:r>
      <w:r>
        <w:rPr>
          <w:noProof/>
          <w:sz w:val="24"/>
          <w:szCs w:val="24"/>
        </w:rPr>
        <w:t xml:space="preserve">    </w:t>
      </w:r>
      <w:r w:rsidR="000F4F31" w:rsidRPr="000F4F31">
        <w:rPr>
          <w:noProof/>
          <w:sz w:val="24"/>
          <w:szCs w:val="24"/>
        </w:rPr>
        <w:t>-1.950</w:t>
      </w:r>
      <w:r w:rsidR="000F4F31" w:rsidRPr="000F4F31">
        <w:rPr>
          <w:noProof/>
          <w:sz w:val="24"/>
          <w:szCs w:val="24"/>
        </w:rPr>
        <w:tab/>
        <w:t>-1.620</w:t>
      </w:r>
    </w:p>
    <w:p w14:paraId="404312D5" w14:textId="52158B35" w:rsidR="000A4876" w:rsidRPr="000A4876" w:rsidRDefault="000A4876" w:rsidP="000A4876">
      <w:pPr>
        <w:rPr>
          <w:noProof/>
          <w:sz w:val="24"/>
          <w:szCs w:val="24"/>
        </w:rPr>
      </w:pPr>
      <w:r>
        <w:rPr>
          <w:noProof/>
          <w:sz w:val="24"/>
          <w:szCs w:val="24"/>
        </w:rPr>
        <w:t xml:space="preserve">TED </w:t>
      </w:r>
      <w:r w:rsidRPr="000A4876">
        <w:rPr>
          <w:noProof/>
          <w:sz w:val="24"/>
          <w:szCs w:val="24"/>
        </w:rPr>
        <w:t>Z(t)</w:t>
      </w:r>
      <w:r>
        <w:rPr>
          <w:noProof/>
          <w:sz w:val="24"/>
          <w:szCs w:val="24"/>
        </w:rPr>
        <w:t xml:space="preserve">        </w:t>
      </w:r>
      <w:r w:rsidRPr="000A4876">
        <w:rPr>
          <w:noProof/>
          <w:sz w:val="24"/>
          <w:szCs w:val="24"/>
        </w:rPr>
        <w:t>-2.239</w:t>
      </w:r>
      <w:r w:rsidRPr="000A4876">
        <w:rPr>
          <w:noProof/>
          <w:sz w:val="24"/>
          <w:szCs w:val="24"/>
        </w:rPr>
        <w:tab/>
      </w:r>
      <w:r>
        <w:rPr>
          <w:noProof/>
          <w:sz w:val="24"/>
          <w:szCs w:val="24"/>
        </w:rPr>
        <w:t xml:space="preserve">       </w:t>
      </w:r>
      <w:r w:rsidRPr="000A4876">
        <w:rPr>
          <w:noProof/>
          <w:sz w:val="24"/>
          <w:szCs w:val="24"/>
        </w:rPr>
        <w:t>-2.580</w:t>
      </w:r>
      <w:r w:rsidRPr="000A4876">
        <w:rPr>
          <w:noProof/>
          <w:sz w:val="24"/>
          <w:szCs w:val="24"/>
        </w:rPr>
        <w:tab/>
      </w:r>
      <w:r>
        <w:rPr>
          <w:noProof/>
          <w:sz w:val="24"/>
          <w:szCs w:val="24"/>
        </w:rPr>
        <w:t xml:space="preserve">    </w:t>
      </w:r>
      <w:r w:rsidRPr="000A4876">
        <w:rPr>
          <w:noProof/>
          <w:sz w:val="24"/>
          <w:szCs w:val="24"/>
        </w:rPr>
        <w:t>-1.950</w:t>
      </w:r>
      <w:r w:rsidRPr="000A4876">
        <w:rPr>
          <w:noProof/>
          <w:sz w:val="24"/>
          <w:szCs w:val="24"/>
        </w:rPr>
        <w:tab/>
        <w:t>-1.620</w:t>
      </w:r>
    </w:p>
    <w:p w14:paraId="2632AF88" w14:textId="77777777" w:rsidR="00723C4E" w:rsidRDefault="00AC5877" w:rsidP="00AC5877">
      <w:pPr>
        <w:rPr>
          <w:noProof/>
          <w:sz w:val="24"/>
          <w:szCs w:val="24"/>
        </w:rPr>
      </w:pPr>
      <w:r w:rsidRPr="00AC5877">
        <w:rPr>
          <w:noProof/>
          <w:sz w:val="24"/>
          <w:szCs w:val="24"/>
        </w:rPr>
        <w:t xml:space="preserve">**** Case  2 *** </w:t>
      </w:r>
    </w:p>
    <w:p w14:paraId="06FFD753" w14:textId="0184AF28" w:rsidR="00AC5877" w:rsidRPr="00AC5877" w:rsidRDefault="00AC5877" w:rsidP="00AC5877">
      <w:pPr>
        <w:rPr>
          <w:noProof/>
          <w:sz w:val="24"/>
          <w:szCs w:val="24"/>
        </w:rPr>
      </w:pPr>
      <w:r w:rsidRPr="00AC5877">
        <w:rPr>
          <w:noProof/>
          <w:sz w:val="24"/>
          <w:szCs w:val="24"/>
        </w:rPr>
        <w:t xml:space="preserve">Random walk without drift, but a constant term included </w:t>
      </w:r>
    </w:p>
    <w:p w14:paraId="43ACFDE3" w14:textId="77777777" w:rsidR="00AC5877" w:rsidRPr="00AC5877" w:rsidRDefault="00AC5877" w:rsidP="00AC5877">
      <w:pPr>
        <w:rPr>
          <w:noProof/>
          <w:sz w:val="24"/>
          <w:szCs w:val="24"/>
        </w:rPr>
      </w:pPr>
      <w:r w:rsidRPr="00AC5877">
        <w:rPr>
          <w:noProof/>
          <w:sz w:val="24"/>
          <w:szCs w:val="24"/>
        </w:rPr>
        <w:t>Augmented Dickey-Fuller test for unit root         Number of obs   =      2602</w:t>
      </w:r>
    </w:p>
    <w:p w14:paraId="0D66C4BC" w14:textId="77777777" w:rsidR="00AC5877" w:rsidRPr="00AC5877" w:rsidRDefault="00AC5877" w:rsidP="00AC5877">
      <w:pPr>
        <w:rPr>
          <w:noProof/>
          <w:sz w:val="24"/>
          <w:szCs w:val="24"/>
        </w:rPr>
      </w:pPr>
      <w:r w:rsidRPr="00AC5877">
        <w:rPr>
          <w:noProof/>
          <w:sz w:val="24"/>
          <w:szCs w:val="24"/>
        </w:rPr>
        <w:t>Interpolated Dickey-Fuller ---------</w:t>
      </w:r>
    </w:p>
    <w:p w14:paraId="3A96181E" w14:textId="6AF642FD" w:rsidR="00AC5877" w:rsidRPr="00AC5877" w:rsidRDefault="004B301A" w:rsidP="00AC5877">
      <w:pPr>
        <w:rPr>
          <w:noProof/>
          <w:sz w:val="24"/>
          <w:szCs w:val="24"/>
        </w:rPr>
      </w:pPr>
      <w:r>
        <w:rPr>
          <w:noProof/>
          <w:sz w:val="24"/>
          <w:szCs w:val="24"/>
        </w:rPr>
        <w:t xml:space="preserve">                     </w:t>
      </w:r>
      <w:r w:rsidR="000A4876">
        <w:rPr>
          <w:noProof/>
          <w:sz w:val="24"/>
          <w:szCs w:val="24"/>
        </w:rPr>
        <w:t xml:space="preserve">          </w:t>
      </w:r>
      <w:r>
        <w:rPr>
          <w:noProof/>
          <w:sz w:val="24"/>
          <w:szCs w:val="24"/>
        </w:rPr>
        <w:t xml:space="preserve"> </w:t>
      </w:r>
      <w:r w:rsidR="00AC5877" w:rsidRPr="00AC5877">
        <w:rPr>
          <w:noProof/>
          <w:sz w:val="24"/>
          <w:szCs w:val="24"/>
        </w:rPr>
        <w:t xml:space="preserve">Test        </w:t>
      </w:r>
      <w:r>
        <w:rPr>
          <w:noProof/>
          <w:sz w:val="24"/>
          <w:szCs w:val="24"/>
        </w:rPr>
        <w:t xml:space="preserve">  </w:t>
      </w:r>
      <w:r w:rsidR="00AC5877" w:rsidRPr="00AC5877">
        <w:rPr>
          <w:noProof/>
          <w:sz w:val="24"/>
          <w:szCs w:val="24"/>
        </w:rPr>
        <w:t xml:space="preserve"> 1% Critical       5% Critical      10% Critical</w:t>
      </w:r>
    </w:p>
    <w:p w14:paraId="2B281D1A" w14:textId="5031D9E6" w:rsidR="00AC5877" w:rsidRPr="00AC5877" w:rsidRDefault="004B301A" w:rsidP="00AC5877">
      <w:pPr>
        <w:rPr>
          <w:noProof/>
          <w:sz w:val="24"/>
          <w:szCs w:val="24"/>
        </w:rPr>
      </w:pPr>
      <w:r>
        <w:rPr>
          <w:noProof/>
          <w:sz w:val="24"/>
          <w:szCs w:val="24"/>
        </w:rPr>
        <w:t xml:space="preserve">                   </w:t>
      </w:r>
      <w:r w:rsidR="000A4876">
        <w:rPr>
          <w:noProof/>
          <w:sz w:val="24"/>
          <w:szCs w:val="24"/>
        </w:rPr>
        <w:t xml:space="preserve">          </w:t>
      </w:r>
      <w:r w:rsidR="00AC5877" w:rsidRPr="00AC5877">
        <w:rPr>
          <w:noProof/>
          <w:sz w:val="24"/>
          <w:szCs w:val="24"/>
        </w:rPr>
        <w:t xml:space="preserve">Statistic           Value             </w:t>
      </w:r>
      <w:r>
        <w:rPr>
          <w:noProof/>
          <w:sz w:val="24"/>
          <w:szCs w:val="24"/>
        </w:rPr>
        <w:t xml:space="preserve"> </w:t>
      </w:r>
      <w:r w:rsidR="00AC5877" w:rsidRPr="00AC5877">
        <w:rPr>
          <w:noProof/>
          <w:sz w:val="24"/>
          <w:szCs w:val="24"/>
        </w:rPr>
        <w:t>Value             Value</w:t>
      </w:r>
    </w:p>
    <w:p w14:paraId="0E0A7A3B" w14:textId="6A12B2DE" w:rsidR="00AC5877" w:rsidRPr="00AC5877" w:rsidRDefault="000A4876" w:rsidP="00AC5877">
      <w:pPr>
        <w:rPr>
          <w:noProof/>
          <w:sz w:val="24"/>
          <w:szCs w:val="24"/>
        </w:rPr>
      </w:pPr>
      <w:r>
        <w:rPr>
          <w:noProof/>
          <w:sz w:val="24"/>
          <w:szCs w:val="24"/>
        </w:rPr>
        <w:t xml:space="preserve">SPRT </w:t>
      </w:r>
      <w:r w:rsidR="00AC5877" w:rsidRPr="00AC5877">
        <w:rPr>
          <w:noProof/>
          <w:sz w:val="24"/>
          <w:szCs w:val="24"/>
        </w:rPr>
        <w:t>Z(t)            -31.216            -3.430            -2.860            -2.570</w:t>
      </w:r>
    </w:p>
    <w:p w14:paraId="2D835BCD" w14:textId="154195CA" w:rsidR="000F4F31" w:rsidRPr="000F4F31" w:rsidRDefault="000A4876" w:rsidP="000F4F31">
      <w:pPr>
        <w:rPr>
          <w:noProof/>
          <w:sz w:val="24"/>
          <w:szCs w:val="24"/>
        </w:rPr>
      </w:pPr>
      <w:r>
        <w:rPr>
          <w:noProof/>
          <w:sz w:val="24"/>
          <w:szCs w:val="24"/>
        </w:rPr>
        <w:t xml:space="preserve">ABCP </w:t>
      </w:r>
      <w:r w:rsidR="000F4F31" w:rsidRPr="000F4F31">
        <w:rPr>
          <w:noProof/>
          <w:sz w:val="24"/>
          <w:szCs w:val="24"/>
        </w:rPr>
        <w:t>Z(t)</w:t>
      </w:r>
      <w:r w:rsidR="000F4F31" w:rsidRPr="000F4F31">
        <w:rPr>
          <w:noProof/>
          <w:sz w:val="24"/>
          <w:szCs w:val="24"/>
        </w:rPr>
        <w:tab/>
      </w:r>
      <w:r w:rsidR="000F4F31">
        <w:rPr>
          <w:noProof/>
          <w:sz w:val="24"/>
          <w:szCs w:val="24"/>
        </w:rPr>
        <w:t xml:space="preserve">  </w:t>
      </w:r>
      <w:r w:rsidR="000F4F31" w:rsidRPr="000F4F31">
        <w:rPr>
          <w:noProof/>
          <w:sz w:val="24"/>
          <w:szCs w:val="24"/>
        </w:rPr>
        <w:t>-3.476</w:t>
      </w:r>
      <w:r>
        <w:rPr>
          <w:noProof/>
          <w:sz w:val="24"/>
          <w:szCs w:val="24"/>
        </w:rPr>
        <w:t xml:space="preserve">           </w:t>
      </w:r>
      <w:r w:rsidR="000F4F31">
        <w:rPr>
          <w:noProof/>
          <w:sz w:val="24"/>
          <w:szCs w:val="24"/>
        </w:rPr>
        <w:t xml:space="preserve">   </w:t>
      </w:r>
      <w:r w:rsidR="000F4F31" w:rsidRPr="000F4F31">
        <w:rPr>
          <w:noProof/>
          <w:sz w:val="24"/>
          <w:szCs w:val="24"/>
        </w:rPr>
        <w:t>-3.430</w:t>
      </w:r>
      <w:r w:rsidR="000F4F31" w:rsidRPr="000F4F31">
        <w:rPr>
          <w:noProof/>
          <w:sz w:val="24"/>
          <w:szCs w:val="24"/>
        </w:rPr>
        <w:tab/>
      </w:r>
      <w:r w:rsidR="000F4F31">
        <w:rPr>
          <w:noProof/>
          <w:sz w:val="24"/>
          <w:szCs w:val="24"/>
        </w:rPr>
        <w:t xml:space="preserve"> </w:t>
      </w:r>
      <w:r>
        <w:rPr>
          <w:noProof/>
          <w:sz w:val="24"/>
          <w:szCs w:val="24"/>
        </w:rPr>
        <w:t xml:space="preserve">         </w:t>
      </w:r>
      <w:r w:rsidR="000F4F31" w:rsidRPr="000F4F31">
        <w:rPr>
          <w:noProof/>
          <w:sz w:val="24"/>
          <w:szCs w:val="24"/>
        </w:rPr>
        <w:t>-2.860</w:t>
      </w:r>
      <w:r w:rsidR="000F4F31" w:rsidRPr="000F4F31">
        <w:rPr>
          <w:noProof/>
          <w:sz w:val="24"/>
          <w:szCs w:val="24"/>
        </w:rPr>
        <w:tab/>
      </w:r>
      <w:r w:rsidR="000F4F31">
        <w:rPr>
          <w:noProof/>
          <w:sz w:val="24"/>
          <w:szCs w:val="24"/>
        </w:rPr>
        <w:t xml:space="preserve">        </w:t>
      </w:r>
      <w:r w:rsidR="000F4F31" w:rsidRPr="000F4F31">
        <w:rPr>
          <w:noProof/>
          <w:sz w:val="24"/>
          <w:szCs w:val="24"/>
        </w:rPr>
        <w:t>-2.570</w:t>
      </w:r>
    </w:p>
    <w:p w14:paraId="0886B221" w14:textId="285BFD65" w:rsidR="000A4876" w:rsidRDefault="000A4876" w:rsidP="000F4F31">
      <w:pPr>
        <w:rPr>
          <w:noProof/>
          <w:sz w:val="24"/>
          <w:szCs w:val="24"/>
        </w:rPr>
      </w:pPr>
      <w:r>
        <w:rPr>
          <w:noProof/>
          <w:sz w:val="24"/>
          <w:szCs w:val="24"/>
        </w:rPr>
        <w:t xml:space="preserve">OIS </w:t>
      </w:r>
      <w:r w:rsidR="000F4F31" w:rsidRPr="000F4F31">
        <w:rPr>
          <w:noProof/>
          <w:sz w:val="24"/>
          <w:szCs w:val="24"/>
        </w:rPr>
        <w:t>Z(t)</w:t>
      </w:r>
      <w:r w:rsidR="000F4F31" w:rsidRPr="000F4F31">
        <w:rPr>
          <w:noProof/>
          <w:sz w:val="24"/>
          <w:szCs w:val="24"/>
        </w:rPr>
        <w:tab/>
      </w:r>
      <w:r>
        <w:rPr>
          <w:noProof/>
          <w:sz w:val="24"/>
          <w:szCs w:val="24"/>
        </w:rPr>
        <w:t xml:space="preserve"> </w:t>
      </w:r>
      <w:r w:rsidR="000F4F31" w:rsidRPr="000F4F31">
        <w:rPr>
          <w:noProof/>
          <w:sz w:val="24"/>
          <w:szCs w:val="24"/>
        </w:rPr>
        <w:t>-2.773</w:t>
      </w:r>
      <w:r w:rsidR="000F4F31" w:rsidRPr="000F4F31">
        <w:rPr>
          <w:noProof/>
          <w:sz w:val="24"/>
          <w:szCs w:val="24"/>
        </w:rPr>
        <w:tab/>
      </w:r>
      <w:r>
        <w:rPr>
          <w:noProof/>
          <w:sz w:val="24"/>
          <w:szCs w:val="24"/>
        </w:rPr>
        <w:t xml:space="preserve">              </w:t>
      </w:r>
      <w:r w:rsidR="000F4F31" w:rsidRPr="000F4F31">
        <w:rPr>
          <w:noProof/>
          <w:sz w:val="24"/>
          <w:szCs w:val="24"/>
        </w:rPr>
        <w:t>-3.430</w:t>
      </w:r>
      <w:r w:rsidR="000F4F31" w:rsidRPr="000F4F31">
        <w:rPr>
          <w:noProof/>
          <w:sz w:val="24"/>
          <w:szCs w:val="24"/>
        </w:rPr>
        <w:tab/>
      </w:r>
      <w:r>
        <w:rPr>
          <w:noProof/>
          <w:sz w:val="24"/>
          <w:szCs w:val="24"/>
        </w:rPr>
        <w:t xml:space="preserve">          </w:t>
      </w:r>
      <w:r w:rsidR="000F4F31" w:rsidRPr="000F4F31">
        <w:rPr>
          <w:noProof/>
          <w:sz w:val="24"/>
          <w:szCs w:val="24"/>
        </w:rPr>
        <w:t>-2.860</w:t>
      </w:r>
      <w:r w:rsidR="000F4F31" w:rsidRPr="000F4F31">
        <w:rPr>
          <w:noProof/>
          <w:sz w:val="24"/>
          <w:szCs w:val="24"/>
        </w:rPr>
        <w:tab/>
      </w:r>
      <w:r>
        <w:rPr>
          <w:noProof/>
          <w:sz w:val="24"/>
          <w:szCs w:val="24"/>
        </w:rPr>
        <w:t xml:space="preserve">       </w:t>
      </w:r>
      <w:r w:rsidR="000F4F31" w:rsidRPr="000F4F31">
        <w:rPr>
          <w:noProof/>
          <w:sz w:val="24"/>
          <w:szCs w:val="24"/>
        </w:rPr>
        <w:t>-2.570</w:t>
      </w:r>
      <w:r w:rsidR="000F4F31" w:rsidRPr="000F4F31">
        <w:rPr>
          <w:noProof/>
          <w:sz w:val="24"/>
          <w:szCs w:val="24"/>
        </w:rPr>
        <w:tab/>
      </w:r>
      <w:r w:rsidR="000F4F31" w:rsidRPr="000F4F31">
        <w:rPr>
          <w:noProof/>
          <w:sz w:val="24"/>
          <w:szCs w:val="24"/>
        </w:rPr>
        <w:tab/>
      </w:r>
    </w:p>
    <w:p w14:paraId="7AD2A121" w14:textId="37207460" w:rsidR="000F4F31" w:rsidRDefault="000A4876" w:rsidP="000F4F31">
      <w:pPr>
        <w:rPr>
          <w:noProof/>
          <w:sz w:val="24"/>
          <w:szCs w:val="24"/>
        </w:rPr>
      </w:pPr>
      <w:r>
        <w:rPr>
          <w:noProof/>
          <w:sz w:val="24"/>
          <w:szCs w:val="24"/>
        </w:rPr>
        <w:t xml:space="preserve">TED </w:t>
      </w:r>
      <w:r w:rsidRPr="000A4876">
        <w:rPr>
          <w:noProof/>
          <w:sz w:val="24"/>
          <w:szCs w:val="24"/>
        </w:rPr>
        <w:t>Z(t)</w:t>
      </w:r>
      <w:r w:rsidRPr="000A4876">
        <w:rPr>
          <w:noProof/>
          <w:sz w:val="24"/>
          <w:szCs w:val="24"/>
        </w:rPr>
        <w:tab/>
      </w:r>
      <w:r>
        <w:rPr>
          <w:noProof/>
          <w:sz w:val="24"/>
          <w:szCs w:val="24"/>
        </w:rPr>
        <w:t xml:space="preserve"> </w:t>
      </w:r>
      <w:r w:rsidRPr="000A4876">
        <w:rPr>
          <w:noProof/>
          <w:sz w:val="24"/>
          <w:szCs w:val="24"/>
        </w:rPr>
        <w:t>-3.163</w:t>
      </w:r>
      <w:r w:rsidRPr="000A4876">
        <w:rPr>
          <w:noProof/>
          <w:sz w:val="24"/>
          <w:szCs w:val="24"/>
        </w:rPr>
        <w:tab/>
      </w:r>
      <w:r>
        <w:rPr>
          <w:noProof/>
          <w:sz w:val="24"/>
          <w:szCs w:val="24"/>
        </w:rPr>
        <w:t xml:space="preserve">              </w:t>
      </w:r>
      <w:r w:rsidRPr="000A4876">
        <w:rPr>
          <w:noProof/>
          <w:sz w:val="24"/>
          <w:szCs w:val="24"/>
        </w:rPr>
        <w:t>-3.430</w:t>
      </w:r>
      <w:r w:rsidRPr="000A4876">
        <w:rPr>
          <w:noProof/>
          <w:sz w:val="24"/>
          <w:szCs w:val="24"/>
        </w:rPr>
        <w:tab/>
      </w:r>
      <w:r>
        <w:rPr>
          <w:noProof/>
          <w:sz w:val="24"/>
          <w:szCs w:val="24"/>
        </w:rPr>
        <w:t xml:space="preserve">          </w:t>
      </w:r>
      <w:r w:rsidRPr="000A4876">
        <w:rPr>
          <w:noProof/>
          <w:sz w:val="24"/>
          <w:szCs w:val="24"/>
        </w:rPr>
        <w:t>-2.860</w:t>
      </w:r>
      <w:r w:rsidRPr="000A4876">
        <w:rPr>
          <w:noProof/>
          <w:sz w:val="24"/>
          <w:szCs w:val="24"/>
        </w:rPr>
        <w:tab/>
      </w:r>
      <w:r>
        <w:rPr>
          <w:noProof/>
          <w:sz w:val="24"/>
          <w:szCs w:val="24"/>
        </w:rPr>
        <w:t xml:space="preserve">       </w:t>
      </w:r>
      <w:r w:rsidRPr="000A4876">
        <w:rPr>
          <w:noProof/>
          <w:sz w:val="24"/>
          <w:szCs w:val="24"/>
        </w:rPr>
        <w:t>-2.570</w:t>
      </w:r>
      <w:r w:rsidR="000F4F31" w:rsidRPr="000F4F31">
        <w:rPr>
          <w:noProof/>
          <w:sz w:val="24"/>
          <w:szCs w:val="24"/>
        </w:rPr>
        <w:tab/>
      </w:r>
      <w:r w:rsidR="000F4F31" w:rsidRPr="000F4F31">
        <w:rPr>
          <w:noProof/>
          <w:sz w:val="24"/>
          <w:szCs w:val="24"/>
        </w:rPr>
        <w:tab/>
      </w:r>
    </w:p>
    <w:p w14:paraId="6E90D3E1" w14:textId="60742712" w:rsidR="00AC5877" w:rsidRPr="00AC5877" w:rsidRDefault="00AC5877" w:rsidP="00AC5877">
      <w:pPr>
        <w:rPr>
          <w:noProof/>
          <w:sz w:val="24"/>
          <w:szCs w:val="24"/>
        </w:rPr>
      </w:pPr>
      <w:r w:rsidRPr="00AC5877">
        <w:rPr>
          <w:noProof/>
          <w:sz w:val="24"/>
          <w:szCs w:val="24"/>
        </w:rPr>
        <w:t xml:space="preserve">MacKinnon approximate p-value for </w:t>
      </w:r>
      <w:r w:rsidR="000F4F31">
        <w:rPr>
          <w:noProof/>
          <w:sz w:val="24"/>
          <w:szCs w:val="24"/>
        </w:rPr>
        <w:t>SPRT</w:t>
      </w:r>
      <w:r w:rsidRPr="00AC5877">
        <w:rPr>
          <w:noProof/>
          <w:sz w:val="24"/>
          <w:szCs w:val="24"/>
        </w:rPr>
        <w:t>Z(t) = 0.0000</w:t>
      </w:r>
      <w:r w:rsidR="000F4F31">
        <w:rPr>
          <w:noProof/>
          <w:sz w:val="24"/>
          <w:szCs w:val="24"/>
        </w:rPr>
        <w:t>, ABCP</w:t>
      </w:r>
      <w:r w:rsidR="000F4F31" w:rsidRPr="000F4F31">
        <w:t xml:space="preserve"> </w:t>
      </w:r>
      <w:r w:rsidR="000F4F31" w:rsidRPr="000F4F31">
        <w:rPr>
          <w:noProof/>
          <w:sz w:val="24"/>
          <w:szCs w:val="24"/>
        </w:rPr>
        <w:t>Z(t)</w:t>
      </w:r>
      <w:r w:rsidR="000F4F31">
        <w:rPr>
          <w:noProof/>
          <w:sz w:val="24"/>
          <w:szCs w:val="24"/>
        </w:rPr>
        <w:t xml:space="preserve"> </w:t>
      </w:r>
      <w:r w:rsidR="000F4F31" w:rsidRPr="000F4F31">
        <w:rPr>
          <w:noProof/>
          <w:sz w:val="24"/>
          <w:szCs w:val="24"/>
        </w:rPr>
        <w:t>=</w:t>
      </w:r>
      <w:r w:rsidR="000F4F31">
        <w:rPr>
          <w:noProof/>
          <w:sz w:val="24"/>
          <w:szCs w:val="24"/>
        </w:rPr>
        <w:t xml:space="preserve"> </w:t>
      </w:r>
      <w:r w:rsidR="000F4F31" w:rsidRPr="000F4F31">
        <w:rPr>
          <w:noProof/>
          <w:sz w:val="24"/>
          <w:szCs w:val="24"/>
        </w:rPr>
        <w:t>0.0086</w:t>
      </w:r>
      <w:r w:rsidR="000F4F31">
        <w:rPr>
          <w:noProof/>
          <w:sz w:val="24"/>
          <w:szCs w:val="24"/>
        </w:rPr>
        <w:t xml:space="preserve">, </w:t>
      </w:r>
      <w:r w:rsidR="000A4876">
        <w:rPr>
          <w:noProof/>
          <w:sz w:val="24"/>
          <w:szCs w:val="24"/>
        </w:rPr>
        <w:t xml:space="preserve">OIS </w:t>
      </w:r>
      <w:r w:rsidR="000F4F31" w:rsidRPr="000F4F31">
        <w:rPr>
          <w:noProof/>
          <w:sz w:val="24"/>
          <w:szCs w:val="24"/>
        </w:rPr>
        <w:t>Z(t)</w:t>
      </w:r>
      <w:r w:rsidR="000A4876">
        <w:rPr>
          <w:noProof/>
          <w:sz w:val="24"/>
          <w:szCs w:val="24"/>
        </w:rPr>
        <w:t xml:space="preserve"> </w:t>
      </w:r>
      <w:r w:rsidR="000F4F31" w:rsidRPr="000F4F31">
        <w:rPr>
          <w:noProof/>
          <w:sz w:val="24"/>
          <w:szCs w:val="24"/>
        </w:rPr>
        <w:t>=</w:t>
      </w:r>
      <w:r w:rsidR="000A4876">
        <w:rPr>
          <w:noProof/>
          <w:sz w:val="24"/>
          <w:szCs w:val="24"/>
        </w:rPr>
        <w:t xml:space="preserve"> </w:t>
      </w:r>
      <w:r w:rsidR="000F4F31" w:rsidRPr="000F4F31">
        <w:rPr>
          <w:noProof/>
          <w:sz w:val="24"/>
          <w:szCs w:val="24"/>
        </w:rPr>
        <w:t>0.0622</w:t>
      </w:r>
      <w:r w:rsidR="000A4876">
        <w:rPr>
          <w:noProof/>
          <w:sz w:val="24"/>
          <w:szCs w:val="24"/>
        </w:rPr>
        <w:t xml:space="preserve">          and TED </w:t>
      </w:r>
      <w:r w:rsidR="000A4876" w:rsidRPr="000A4876">
        <w:rPr>
          <w:noProof/>
          <w:sz w:val="24"/>
          <w:szCs w:val="24"/>
        </w:rPr>
        <w:t>Z(t)</w:t>
      </w:r>
      <w:r w:rsidR="000A4876">
        <w:rPr>
          <w:noProof/>
          <w:sz w:val="24"/>
          <w:szCs w:val="24"/>
        </w:rPr>
        <w:t xml:space="preserve"> </w:t>
      </w:r>
      <w:r w:rsidR="000A4876" w:rsidRPr="000A4876">
        <w:rPr>
          <w:noProof/>
          <w:sz w:val="24"/>
          <w:szCs w:val="24"/>
        </w:rPr>
        <w:t>=</w:t>
      </w:r>
      <w:r w:rsidR="000A4876">
        <w:rPr>
          <w:noProof/>
          <w:sz w:val="24"/>
          <w:szCs w:val="24"/>
        </w:rPr>
        <w:t xml:space="preserve"> </w:t>
      </w:r>
      <w:r w:rsidR="000A4876" w:rsidRPr="000A4876">
        <w:rPr>
          <w:noProof/>
          <w:sz w:val="24"/>
          <w:szCs w:val="24"/>
        </w:rPr>
        <w:t>0.0222</w:t>
      </w:r>
    </w:p>
    <w:p w14:paraId="46013418" w14:textId="32347F72" w:rsidR="00AC5877" w:rsidRPr="00AC5877" w:rsidRDefault="00AC5877" w:rsidP="00AC5877">
      <w:pPr>
        <w:rPr>
          <w:noProof/>
          <w:sz w:val="24"/>
          <w:szCs w:val="24"/>
        </w:rPr>
      </w:pPr>
      <w:r w:rsidRPr="00AC5877">
        <w:rPr>
          <w:noProof/>
          <w:sz w:val="24"/>
          <w:szCs w:val="24"/>
        </w:rPr>
        <w:t>**** Case  3 ******* include drift, no trent ***</w:t>
      </w:r>
    </w:p>
    <w:p w14:paraId="6DE6C4BC" w14:textId="77777777" w:rsidR="00AC5877" w:rsidRPr="00AC5877" w:rsidRDefault="00AC5877" w:rsidP="00AC5877">
      <w:pPr>
        <w:rPr>
          <w:noProof/>
          <w:sz w:val="24"/>
          <w:szCs w:val="24"/>
        </w:rPr>
      </w:pPr>
      <w:r w:rsidRPr="00AC5877">
        <w:rPr>
          <w:noProof/>
          <w:sz w:val="24"/>
          <w:szCs w:val="24"/>
        </w:rPr>
        <w:t>Augmented Dickey-Fuller test for unit root         Number of obs   =      2602</w:t>
      </w:r>
    </w:p>
    <w:p w14:paraId="7AB77DDC" w14:textId="77777777" w:rsidR="00AC5877" w:rsidRPr="00AC5877" w:rsidRDefault="00AC5877" w:rsidP="00AC5877">
      <w:pPr>
        <w:rPr>
          <w:noProof/>
          <w:sz w:val="24"/>
          <w:szCs w:val="24"/>
        </w:rPr>
      </w:pPr>
      <w:r w:rsidRPr="00AC5877">
        <w:rPr>
          <w:noProof/>
          <w:sz w:val="24"/>
          <w:szCs w:val="24"/>
        </w:rPr>
        <w:t>Z(t) has t-distribution -----------</w:t>
      </w:r>
    </w:p>
    <w:p w14:paraId="6C646D09" w14:textId="6E9FF844" w:rsidR="00AC5877" w:rsidRPr="00AC5877" w:rsidRDefault="004B301A" w:rsidP="004B301A">
      <w:pPr>
        <w:ind w:firstLine="720"/>
        <w:rPr>
          <w:noProof/>
          <w:sz w:val="24"/>
          <w:szCs w:val="24"/>
        </w:rPr>
      </w:pPr>
      <w:r>
        <w:rPr>
          <w:noProof/>
          <w:sz w:val="24"/>
          <w:szCs w:val="24"/>
        </w:rPr>
        <w:t xml:space="preserve">     </w:t>
      </w:r>
      <w:r w:rsidR="00AC5877" w:rsidRPr="00AC5877">
        <w:rPr>
          <w:noProof/>
          <w:sz w:val="24"/>
          <w:szCs w:val="24"/>
        </w:rPr>
        <w:t xml:space="preserve">Test         </w:t>
      </w:r>
      <w:r>
        <w:rPr>
          <w:noProof/>
          <w:sz w:val="24"/>
          <w:szCs w:val="24"/>
        </w:rPr>
        <w:t xml:space="preserve">     </w:t>
      </w:r>
      <w:r w:rsidR="00AC5877" w:rsidRPr="00AC5877">
        <w:rPr>
          <w:noProof/>
          <w:sz w:val="24"/>
          <w:szCs w:val="24"/>
        </w:rPr>
        <w:t>1% Critical       5% Critical      10% Critical</w:t>
      </w:r>
    </w:p>
    <w:p w14:paraId="63B7E5E2" w14:textId="525F7672" w:rsidR="00AC5877" w:rsidRPr="00AC5877" w:rsidRDefault="004B301A" w:rsidP="004B301A">
      <w:pPr>
        <w:ind w:firstLine="720"/>
        <w:rPr>
          <w:noProof/>
          <w:sz w:val="24"/>
          <w:szCs w:val="24"/>
        </w:rPr>
      </w:pPr>
      <w:r>
        <w:rPr>
          <w:noProof/>
          <w:sz w:val="24"/>
          <w:szCs w:val="24"/>
        </w:rPr>
        <w:t xml:space="preserve">   </w:t>
      </w:r>
      <w:r w:rsidR="00ED584C">
        <w:rPr>
          <w:noProof/>
          <w:sz w:val="24"/>
          <w:szCs w:val="24"/>
        </w:rPr>
        <w:t xml:space="preserve">        </w:t>
      </w:r>
      <w:r w:rsidR="00AC5877" w:rsidRPr="00AC5877">
        <w:rPr>
          <w:noProof/>
          <w:sz w:val="24"/>
          <w:szCs w:val="24"/>
        </w:rPr>
        <w:t xml:space="preserve">Statistic         </w:t>
      </w:r>
      <w:r>
        <w:rPr>
          <w:noProof/>
          <w:sz w:val="24"/>
          <w:szCs w:val="24"/>
        </w:rPr>
        <w:t xml:space="preserve">   </w:t>
      </w:r>
      <w:r w:rsidR="00AC5877" w:rsidRPr="00AC5877">
        <w:rPr>
          <w:noProof/>
          <w:sz w:val="24"/>
          <w:szCs w:val="24"/>
        </w:rPr>
        <w:t xml:space="preserve">  Value             Value             Value</w:t>
      </w:r>
    </w:p>
    <w:p w14:paraId="5659A51E" w14:textId="2BA9562D" w:rsidR="00AC5877" w:rsidRPr="00AC5877" w:rsidRDefault="000A4876" w:rsidP="00AC5877">
      <w:pPr>
        <w:rPr>
          <w:noProof/>
          <w:sz w:val="24"/>
          <w:szCs w:val="24"/>
        </w:rPr>
      </w:pPr>
      <w:r>
        <w:rPr>
          <w:noProof/>
          <w:sz w:val="24"/>
          <w:szCs w:val="24"/>
        </w:rPr>
        <w:t xml:space="preserve">SPRT </w:t>
      </w:r>
      <w:r w:rsidR="00AC5877" w:rsidRPr="00AC5877">
        <w:rPr>
          <w:noProof/>
          <w:sz w:val="24"/>
          <w:szCs w:val="24"/>
        </w:rPr>
        <w:t xml:space="preserve">Z(t)            -31.216         -2.328          </w:t>
      </w:r>
      <w:r w:rsidR="00ED584C">
        <w:rPr>
          <w:noProof/>
          <w:sz w:val="24"/>
          <w:szCs w:val="24"/>
        </w:rPr>
        <w:t xml:space="preserve">  </w:t>
      </w:r>
      <w:r w:rsidR="00AC5877" w:rsidRPr="00AC5877">
        <w:rPr>
          <w:noProof/>
          <w:sz w:val="24"/>
          <w:szCs w:val="24"/>
        </w:rPr>
        <w:t xml:space="preserve"> -1.645            -1.282</w:t>
      </w:r>
    </w:p>
    <w:p w14:paraId="25D64268" w14:textId="251B8785" w:rsidR="000F4F31" w:rsidRDefault="000A4876" w:rsidP="00AC5877">
      <w:pPr>
        <w:rPr>
          <w:noProof/>
          <w:sz w:val="24"/>
          <w:szCs w:val="24"/>
        </w:rPr>
      </w:pPr>
      <w:r>
        <w:rPr>
          <w:noProof/>
          <w:sz w:val="24"/>
          <w:szCs w:val="24"/>
        </w:rPr>
        <w:t xml:space="preserve">ABCP </w:t>
      </w:r>
      <w:r w:rsidR="000F4F31" w:rsidRPr="000F4F31">
        <w:rPr>
          <w:noProof/>
          <w:sz w:val="24"/>
          <w:szCs w:val="24"/>
        </w:rPr>
        <w:t>Z(t)</w:t>
      </w:r>
      <w:r w:rsidR="000F4F31" w:rsidRPr="000F4F31">
        <w:rPr>
          <w:noProof/>
          <w:sz w:val="24"/>
          <w:szCs w:val="24"/>
        </w:rPr>
        <w:tab/>
      </w:r>
      <w:r w:rsidR="000F4F31">
        <w:rPr>
          <w:noProof/>
          <w:sz w:val="24"/>
          <w:szCs w:val="24"/>
        </w:rPr>
        <w:t xml:space="preserve">  </w:t>
      </w:r>
      <w:r w:rsidR="000F4F31" w:rsidRPr="000F4F31">
        <w:rPr>
          <w:noProof/>
          <w:sz w:val="24"/>
          <w:szCs w:val="24"/>
        </w:rPr>
        <w:t>-3.476</w:t>
      </w:r>
      <w:r w:rsidR="00ED584C">
        <w:rPr>
          <w:noProof/>
          <w:sz w:val="24"/>
          <w:szCs w:val="24"/>
        </w:rPr>
        <w:t xml:space="preserve">          </w:t>
      </w:r>
      <w:r w:rsidR="000F4F31" w:rsidRPr="000F4F31">
        <w:rPr>
          <w:noProof/>
          <w:sz w:val="24"/>
          <w:szCs w:val="24"/>
        </w:rPr>
        <w:t>-2.328</w:t>
      </w:r>
      <w:r w:rsidR="000F4F31" w:rsidRPr="000F4F31">
        <w:rPr>
          <w:noProof/>
          <w:sz w:val="24"/>
          <w:szCs w:val="24"/>
        </w:rPr>
        <w:tab/>
      </w:r>
      <w:r w:rsidR="00ED584C">
        <w:rPr>
          <w:noProof/>
          <w:sz w:val="24"/>
          <w:szCs w:val="24"/>
        </w:rPr>
        <w:t xml:space="preserve">        </w:t>
      </w:r>
      <w:r w:rsidR="000F4F31" w:rsidRPr="000F4F31">
        <w:rPr>
          <w:noProof/>
          <w:sz w:val="24"/>
          <w:szCs w:val="24"/>
        </w:rPr>
        <w:t>-1.645</w:t>
      </w:r>
      <w:r w:rsidR="000F4F31" w:rsidRPr="000F4F31">
        <w:rPr>
          <w:noProof/>
          <w:sz w:val="24"/>
          <w:szCs w:val="24"/>
        </w:rPr>
        <w:tab/>
      </w:r>
      <w:r w:rsidR="00ED584C">
        <w:rPr>
          <w:noProof/>
          <w:sz w:val="24"/>
          <w:szCs w:val="24"/>
        </w:rPr>
        <w:t xml:space="preserve">     </w:t>
      </w:r>
      <w:r w:rsidR="000F4F31" w:rsidRPr="000F4F31">
        <w:rPr>
          <w:noProof/>
          <w:sz w:val="24"/>
          <w:szCs w:val="24"/>
        </w:rPr>
        <w:t>-1.282</w:t>
      </w:r>
    </w:p>
    <w:p w14:paraId="2F685649" w14:textId="294B1D65" w:rsidR="000A4876" w:rsidRDefault="000A4876" w:rsidP="00AC5877">
      <w:pPr>
        <w:rPr>
          <w:noProof/>
          <w:sz w:val="24"/>
          <w:szCs w:val="24"/>
        </w:rPr>
      </w:pPr>
      <w:r>
        <w:rPr>
          <w:noProof/>
          <w:sz w:val="24"/>
          <w:szCs w:val="24"/>
        </w:rPr>
        <w:t xml:space="preserve">OIS </w:t>
      </w:r>
      <w:r w:rsidRPr="000A4876">
        <w:rPr>
          <w:noProof/>
          <w:sz w:val="24"/>
          <w:szCs w:val="24"/>
        </w:rPr>
        <w:t>Z(t)</w:t>
      </w:r>
      <w:r w:rsidRPr="000A4876">
        <w:rPr>
          <w:noProof/>
          <w:sz w:val="24"/>
          <w:szCs w:val="24"/>
        </w:rPr>
        <w:tab/>
      </w:r>
      <w:r w:rsidR="00ED584C">
        <w:rPr>
          <w:noProof/>
          <w:sz w:val="24"/>
          <w:szCs w:val="24"/>
        </w:rPr>
        <w:t xml:space="preserve"> </w:t>
      </w:r>
      <w:r w:rsidRPr="000A4876">
        <w:rPr>
          <w:noProof/>
          <w:sz w:val="24"/>
          <w:szCs w:val="24"/>
        </w:rPr>
        <w:t>-2.773</w:t>
      </w:r>
      <w:r w:rsidRPr="000A4876">
        <w:rPr>
          <w:noProof/>
          <w:sz w:val="24"/>
          <w:szCs w:val="24"/>
        </w:rPr>
        <w:tab/>
      </w:r>
      <w:r w:rsidR="00ED584C">
        <w:rPr>
          <w:noProof/>
          <w:sz w:val="24"/>
          <w:szCs w:val="24"/>
        </w:rPr>
        <w:t xml:space="preserve">          </w:t>
      </w:r>
      <w:r w:rsidRPr="000A4876">
        <w:rPr>
          <w:noProof/>
          <w:sz w:val="24"/>
          <w:szCs w:val="24"/>
        </w:rPr>
        <w:t>-2.328</w:t>
      </w:r>
      <w:r w:rsidRPr="000A4876">
        <w:rPr>
          <w:noProof/>
          <w:sz w:val="24"/>
          <w:szCs w:val="24"/>
        </w:rPr>
        <w:tab/>
      </w:r>
      <w:r w:rsidR="00ED584C">
        <w:rPr>
          <w:noProof/>
          <w:sz w:val="24"/>
          <w:szCs w:val="24"/>
        </w:rPr>
        <w:t xml:space="preserve">        </w:t>
      </w:r>
      <w:r w:rsidRPr="000A4876">
        <w:rPr>
          <w:noProof/>
          <w:sz w:val="24"/>
          <w:szCs w:val="24"/>
        </w:rPr>
        <w:t>-1.645</w:t>
      </w:r>
      <w:r w:rsidRPr="000A4876">
        <w:rPr>
          <w:noProof/>
          <w:sz w:val="24"/>
          <w:szCs w:val="24"/>
        </w:rPr>
        <w:tab/>
      </w:r>
      <w:r w:rsidR="00ED584C">
        <w:rPr>
          <w:noProof/>
          <w:sz w:val="24"/>
          <w:szCs w:val="24"/>
        </w:rPr>
        <w:t xml:space="preserve">    </w:t>
      </w:r>
      <w:r w:rsidRPr="000A4876">
        <w:rPr>
          <w:noProof/>
          <w:sz w:val="24"/>
          <w:szCs w:val="24"/>
        </w:rPr>
        <w:t>-1.282</w:t>
      </w:r>
    </w:p>
    <w:p w14:paraId="1B17BF73" w14:textId="6E30C45E" w:rsidR="000A4876" w:rsidRDefault="000A4876" w:rsidP="00AC5877">
      <w:pPr>
        <w:rPr>
          <w:noProof/>
          <w:sz w:val="24"/>
          <w:szCs w:val="24"/>
        </w:rPr>
      </w:pPr>
      <w:r>
        <w:rPr>
          <w:noProof/>
          <w:sz w:val="24"/>
          <w:szCs w:val="24"/>
        </w:rPr>
        <w:t xml:space="preserve">TED </w:t>
      </w:r>
      <w:r w:rsidRPr="000A4876">
        <w:rPr>
          <w:noProof/>
          <w:sz w:val="24"/>
          <w:szCs w:val="24"/>
        </w:rPr>
        <w:t>Z(t)</w:t>
      </w:r>
      <w:r w:rsidRPr="000A4876">
        <w:rPr>
          <w:noProof/>
          <w:sz w:val="24"/>
          <w:szCs w:val="24"/>
        </w:rPr>
        <w:tab/>
      </w:r>
      <w:r w:rsidR="00ED584C">
        <w:rPr>
          <w:noProof/>
          <w:sz w:val="24"/>
          <w:szCs w:val="24"/>
        </w:rPr>
        <w:t xml:space="preserve"> </w:t>
      </w:r>
      <w:r w:rsidRPr="000A4876">
        <w:rPr>
          <w:noProof/>
          <w:sz w:val="24"/>
          <w:szCs w:val="24"/>
        </w:rPr>
        <w:t>-3.163</w:t>
      </w:r>
      <w:r w:rsidRPr="000A4876">
        <w:rPr>
          <w:noProof/>
          <w:sz w:val="24"/>
          <w:szCs w:val="24"/>
        </w:rPr>
        <w:tab/>
      </w:r>
      <w:r w:rsidR="00ED584C">
        <w:rPr>
          <w:noProof/>
          <w:sz w:val="24"/>
          <w:szCs w:val="24"/>
        </w:rPr>
        <w:t xml:space="preserve">          </w:t>
      </w:r>
      <w:r w:rsidRPr="000A4876">
        <w:rPr>
          <w:noProof/>
          <w:sz w:val="24"/>
          <w:szCs w:val="24"/>
        </w:rPr>
        <w:t>-2.328</w:t>
      </w:r>
      <w:r w:rsidRPr="000A4876">
        <w:rPr>
          <w:noProof/>
          <w:sz w:val="24"/>
          <w:szCs w:val="24"/>
        </w:rPr>
        <w:tab/>
      </w:r>
      <w:r w:rsidR="00ED584C">
        <w:rPr>
          <w:noProof/>
          <w:sz w:val="24"/>
          <w:szCs w:val="24"/>
        </w:rPr>
        <w:t xml:space="preserve">        </w:t>
      </w:r>
      <w:r w:rsidRPr="000A4876">
        <w:rPr>
          <w:noProof/>
          <w:sz w:val="24"/>
          <w:szCs w:val="24"/>
        </w:rPr>
        <w:t>-1.645</w:t>
      </w:r>
      <w:r w:rsidRPr="000A4876">
        <w:rPr>
          <w:noProof/>
          <w:sz w:val="24"/>
          <w:szCs w:val="24"/>
        </w:rPr>
        <w:tab/>
      </w:r>
      <w:r w:rsidR="00ED584C">
        <w:rPr>
          <w:noProof/>
          <w:sz w:val="24"/>
          <w:szCs w:val="24"/>
        </w:rPr>
        <w:t xml:space="preserve">    </w:t>
      </w:r>
      <w:r w:rsidRPr="000A4876">
        <w:rPr>
          <w:noProof/>
          <w:sz w:val="24"/>
          <w:szCs w:val="24"/>
        </w:rPr>
        <w:t>-1.282</w:t>
      </w:r>
    </w:p>
    <w:p w14:paraId="4B8374DF" w14:textId="59F63A25" w:rsidR="000A4876" w:rsidRPr="000A4876" w:rsidRDefault="00AC5877" w:rsidP="000A4876">
      <w:pPr>
        <w:rPr>
          <w:noProof/>
          <w:sz w:val="24"/>
          <w:szCs w:val="24"/>
        </w:rPr>
      </w:pPr>
      <w:r w:rsidRPr="00AC5877">
        <w:rPr>
          <w:noProof/>
          <w:sz w:val="24"/>
          <w:szCs w:val="24"/>
        </w:rPr>
        <w:t xml:space="preserve">p-value for </w:t>
      </w:r>
      <w:r w:rsidR="000F4F31">
        <w:rPr>
          <w:noProof/>
          <w:sz w:val="24"/>
          <w:szCs w:val="24"/>
        </w:rPr>
        <w:t xml:space="preserve">SPRT </w:t>
      </w:r>
      <w:r w:rsidRPr="00AC5877">
        <w:rPr>
          <w:noProof/>
          <w:sz w:val="24"/>
          <w:szCs w:val="24"/>
        </w:rPr>
        <w:t>Z(t) = 0.0000</w:t>
      </w:r>
      <w:r w:rsidR="000F4F31">
        <w:rPr>
          <w:noProof/>
          <w:sz w:val="24"/>
          <w:szCs w:val="24"/>
        </w:rPr>
        <w:t>, ABCP</w:t>
      </w:r>
      <w:r w:rsidR="000F4F31" w:rsidRPr="000F4F31">
        <w:t xml:space="preserve"> </w:t>
      </w:r>
      <w:r w:rsidR="000F4F31" w:rsidRPr="000F4F31">
        <w:rPr>
          <w:noProof/>
          <w:sz w:val="24"/>
          <w:szCs w:val="24"/>
        </w:rPr>
        <w:t>Z(t) = 0.0003</w:t>
      </w:r>
      <w:r w:rsidR="000A4876">
        <w:rPr>
          <w:noProof/>
          <w:sz w:val="24"/>
          <w:szCs w:val="24"/>
        </w:rPr>
        <w:t xml:space="preserve">, </w:t>
      </w:r>
      <w:r w:rsidR="00ED584C">
        <w:rPr>
          <w:noProof/>
          <w:sz w:val="24"/>
          <w:szCs w:val="24"/>
        </w:rPr>
        <w:t xml:space="preserve">OIS </w:t>
      </w:r>
      <w:r w:rsidR="000A4876" w:rsidRPr="000A4876">
        <w:rPr>
          <w:noProof/>
          <w:sz w:val="24"/>
          <w:szCs w:val="24"/>
        </w:rPr>
        <w:t>Z(t)</w:t>
      </w:r>
      <w:r w:rsidR="00ED584C">
        <w:rPr>
          <w:noProof/>
          <w:sz w:val="24"/>
          <w:szCs w:val="24"/>
        </w:rPr>
        <w:t xml:space="preserve"> </w:t>
      </w:r>
      <w:r w:rsidR="000A4876" w:rsidRPr="000A4876">
        <w:rPr>
          <w:noProof/>
          <w:sz w:val="24"/>
          <w:szCs w:val="24"/>
        </w:rPr>
        <w:t>=</w:t>
      </w:r>
      <w:r w:rsidR="00ED584C">
        <w:rPr>
          <w:noProof/>
          <w:sz w:val="24"/>
          <w:szCs w:val="24"/>
        </w:rPr>
        <w:t xml:space="preserve"> </w:t>
      </w:r>
      <w:r w:rsidR="000A4876" w:rsidRPr="000A4876">
        <w:rPr>
          <w:noProof/>
          <w:sz w:val="24"/>
          <w:szCs w:val="24"/>
        </w:rPr>
        <w:t>0.0028</w:t>
      </w:r>
      <w:r w:rsidR="000A4876">
        <w:rPr>
          <w:noProof/>
          <w:sz w:val="24"/>
          <w:szCs w:val="24"/>
        </w:rPr>
        <w:t xml:space="preserve"> </w:t>
      </w:r>
      <w:r w:rsidR="00ED584C">
        <w:rPr>
          <w:noProof/>
          <w:sz w:val="24"/>
          <w:szCs w:val="24"/>
        </w:rPr>
        <w:t xml:space="preserve">and TED </w:t>
      </w:r>
      <w:r w:rsidR="000A4876">
        <w:rPr>
          <w:noProof/>
          <w:sz w:val="24"/>
          <w:szCs w:val="24"/>
        </w:rPr>
        <w:t xml:space="preserve"> </w:t>
      </w:r>
      <w:r w:rsidR="000A4876" w:rsidRPr="000A4876">
        <w:rPr>
          <w:noProof/>
          <w:sz w:val="24"/>
          <w:szCs w:val="24"/>
        </w:rPr>
        <w:t>Z(t)</w:t>
      </w:r>
      <w:r w:rsidR="000A4876" w:rsidRPr="000A4876">
        <w:rPr>
          <w:noProof/>
          <w:sz w:val="24"/>
          <w:szCs w:val="24"/>
        </w:rPr>
        <w:tab/>
        <w:t>=</w:t>
      </w:r>
      <w:r w:rsidR="00ED584C">
        <w:rPr>
          <w:noProof/>
          <w:sz w:val="24"/>
          <w:szCs w:val="24"/>
        </w:rPr>
        <w:t xml:space="preserve"> </w:t>
      </w:r>
      <w:r w:rsidR="000A4876" w:rsidRPr="000A4876">
        <w:rPr>
          <w:noProof/>
          <w:sz w:val="24"/>
          <w:szCs w:val="24"/>
        </w:rPr>
        <w:t>0.0008</w:t>
      </w:r>
    </w:p>
    <w:p w14:paraId="27B390BB" w14:textId="77777777" w:rsidR="001E5EB2" w:rsidRDefault="001E5EB2" w:rsidP="00AC5877">
      <w:pPr>
        <w:rPr>
          <w:noProof/>
          <w:sz w:val="24"/>
          <w:szCs w:val="24"/>
        </w:rPr>
      </w:pPr>
    </w:p>
    <w:p w14:paraId="2225AD68" w14:textId="1300FB40" w:rsidR="00AC5877" w:rsidRPr="00AC5877" w:rsidRDefault="00AC5877" w:rsidP="00AC5877">
      <w:pPr>
        <w:rPr>
          <w:noProof/>
          <w:sz w:val="24"/>
          <w:szCs w:val="24"/>
        </w:rPr>
      </w:pPr>
      <w:r w:rsidRPr="00AC5877">
        <w:rPr>
          <w:noProof/>
          <w:sz w:val="24"/>
          <w:szCs w:val="24"/>
        </w:rPr>
        <w:t>**** Case  4 **** include drift, include trend and include constant in regression ***</w:t>
      </w:r>
    </w:p>
    <w:p w14:paraId="3F3FFCE9" w14:textId="77777777" w:rsidR="00AC5877" w:rsidRPr="00AC5877" w:rsidRDefault="00AC5877" w:rsidP="00AC5877">
      <w:pPr>
        <w:rPr>
          <w:noProof/>
          <w:sz w:val="24"/>
          <w:szCs w:val="24"/>
        </w:rPr>
      </w:pPr>
      <w:r w:rsidRPr="00AC5877">
        <w:rPr>
          <w:noProof/>
          <w:sz w:val="24"/>
          <w:szCs w:val="24"/>
        </w:rPr>
        <w:t>Augmented Dickey-Fuller test for unit root         Number of obs   =      2602</w:t>
      </w:r>
    </w:p>
    <w:p w14:paraId="7B36C999" w14:textId="77777777" w:rsidR="00AC5877" w:rsidRPr="00AC5877" w:rsidRDefault="00AC5877" w:rsidP="00AC5877">
      <w:pPr>
        <w:rPr>
          <w:noProof/>
          <w:sz w:val="24"/>
          <w:szCs w:val="24"/>
        </w:rPr>
      </w:pPr>
      <w:r w:rsidRPr="00AC5877">
        <w:rPr>
          <w:noProof/>
          <w:sz w:val="24"/>
          <w:szCs w:val="24"/>
        </w:rPr>
        <w:t>Interpolated Dickey-Fuller ---------</w:t>
      </w:r>
    </w:p>
    <w:p w14:paraId="7FE0E631" w14:textId="74FF07FD" w:rsidR="00AC5877" w:rsidRPr="00AC5877" w:rsidRDefault="004B301A" w:rsidP="004B301A">
      <w:pPr>
        <w:ind w:firstLine="720"/>
        <w:rPr>
          <w:noProof/>
          <w:sz w:val="24"/>
          <w:szCs w:val="24"/>
        </w:rPr>
      </w:pPr>
      <w:r>
        <w:rPr>
          <w:noProof/>
          <w:sz w:val="24"/>
          <w:szCs w:val="24"/>
        </w:rPr>
        <w:t xml:space="preserve">      </w:t>
      </w:r>
      <w:r w:rsidR="00ED584C">
        <w:rPr>
          <w:noProof/>
          <w:sz w:val="24"/>
          <w:szCs w:val="24"/>
        </w:rPr>
        <w:t xml:space="preserve">            </w:t>
      </w:r>
      <w:r w:rsidR="00AC5877" w:rsidRPr="00AC5877">
        <w:rPr>
          <w:noProof/>
          <w:sz w:val="24"/>
          <w:szCs w:val="24"/>
        </w:rPr>
        <w:t>Test         1% Critical       5% Critical      10% Critical</w:t>
      </w:r>
    </w:p>
    <w:p w14:paraId="71EBF07E" w14:textId="66F05FA9" w:rsidR="00AC5877" w:rsidRPr="00AC5877" w:rsidRDefault="004B301A" w:rsidP="00AC5877">
      <w:pPr>
        <w:rPr>
          <w:noProof/>
          <w:sz w:val="24"/>
          <w:szCs w:val="24"/>
        </w:rPr>
      </w:pPr>
      <w:r>
        <w:rPr>
          <w:noProof/>
          <w:sz w:val="24"/>
          <w:szCs w:val="24"/>
        </w:rPr>
        <w:t xml:space="preserve">                </w:t>
      </w:r>
      <w:r w:rsidR="00ED584C">
        <w:rPr>
          <w:noProof/>
          <w:sz w:val="24"/>
          <w:szCs w:val="24"/>
        </w:rPr>
        <w:t xml:space="preserve">         </w:t>
      </w:r>
      <w:r>
        <w:rPr>
          <w:noProof/>
          <w:sz w:val="24"/>
          <w:szCs w:val="24"/>
        </w:rPr>
        <w:t xml:space="preserve"> </w:t>
      </w:r>
      <w:r w:rsidR="00ED584C">
        <w:rPr>
          <w:noProof/>
          <w:sz w:val="24"/>
          <w:szCs w:val="24"/>
        </w:rPr>
        <w:t xml:space="preserve">  </w:t>
      </w:r>
      <w:r>
        <w:rPr>
          <w:noProof/>
          <w:sz w:val="24"/>
          <w:szCs w:val="24"/>
        </w:rPr>
        <w:t xml:space="preserve">  </w:t>
      </w:r>
      <w:r w:rsidR="00AC5877" w:rsidRPr="00AC5877">
        <w:rPr>
          <w:noProof/>
          <w:sz w:val="24"/>
          <w:szCs w:val="24"/>
        </w:rPr>
        <w:t>Statistic           Value             Value             Value</w:t>
      </w:r>
    </w:p>
    <w:p w14:paraId="5F1EA94C" w14:textId="34301B38" w:rsidR="00AC5877" w:rsidRDefault="00ED584C" w:rsidP="00AC5877">
      <w:pPr>
        <w:rPr>
          <w:noProof/>
          <w:sz w:val="24"/>
          <w:szCs w:val="24"/>
        </w:rPr>
      </w:pPr>
      <w:r>
        <w:rPr>
          <w:noProof/>
          <w:sz w:val="24"/>
          <w:szCs w:val="24"/>
        </w:rPr>
        <w:t xml:space="preserve">SPRT </w:t>
      </w:r>
      <w:r w:rsidR="00AC5877" w:rsidRPr="00AC5877">
        <w:rPr>
          <w:noProof/>
          <w:sz w:val="24"/>
          <w:szCs w:val="24"/>
        </w:rPr>
        <w:t>Z(t)            -31.224            -3.960            -3.410            -3.120</w:t>
      </w:r>
    </w:p>
    <w:p w14:paraId="36DF5B36" w14:textId="5C49DA8C" w:rsidR="000F4F31" w:rsidRPr="000F4F31" w:rsidRDefault="00ED584C" w:rsidP="000F4F31">
      <w:pPr>
        <w:rPr>
          <w:noProof/>
          <w:sz w:val="24"/>
          <w:szCs w:val="24"/>
        </w:rPr>
      </w:pPr>
      <w:r>
        <w:rPr>
          <w:noProof/>
          <w:sz w:val="24"/>
          <w:szCs w:val="24"/>
        </w:rPr>
        <w:t xml:space="preserve">ABCP </w:t>
      </w:r>
      <w:r w:rsidR="000F4F31" w:rsidRPr="000F4F31">
        <w:rPr>
          <w:noProof/>
          <w:sz w:val="24"/>
          <w:szCs w:val="24"/>
        </w:rPr>
        <w:t>Z(t)</w:t>
      </w:r>
      <w:r w:rsidR="000F4F31" w:rsidRPr="000F4F31">
        <w:rPr>
          <w:noProof/>
          <w:sz w:val="24"/>
          <w:szCs w:val="24"/>
        </w:rPr>
        <w:tab/>
      </w:r>
      <w:r w:rsidR="000F4F31">
        <w:rPr>
          <w:noProof/>
          <w:sz w:val="24"/>
          <w:szCs w:val="24"/>
        </w:rPr>
        <w:t xml:space="preserve">  </w:t>
      </w:r>
      <w:r w:rsidR="000F4F31" w:rsidRPr="000F4F31">
        <w:rPr>
          <w:noProof/>
          <w:sz w:val="24"/>
          <w:szCs w:val="24"/>
        </w:rPr>
        <w:t>-3.760</w:t>
      </w:r>
      <w:r w:rsidR="000F4F31" w:rsidRPr="000F4F31">
        <w:rPr>
          <w:noProof/>
          <w:sz w:val="24"/>
          <w:szCs w:val="24"/>
        </w:rPr>
        <w:tab/>
        <w:t>-3.960</w:t>
      </w:r>
      <w:r w:rsidR="000F4F31" w:rsidRPr="000F4F31">
        <w:rPr>
          <w:noProof/>
          <w:sz w:val="24"/>
          <w:szCs w:val="24"/>
        </w:rPr>
        <w:tab/>
      </w:r>
      <w:r>
        <w:rPr>
          <w:noProof/>
          <w:sz w:val="24"/>
          <w:szCs w:val="24"/>
        </w:rPr>
        <w:t xml:space="preserve">           </w:t>
      </w:r>
      <w:r w:rsidR="000F4F31" w:rsidRPr="000F4F31">
        <w:rPr>
          <w:noProof/>
          <w:sz w:val="24"/>
          <w:szCs w:val="24"/>
        </w:rPr>
        <w:t>-3.410</w:t>
      </w:r>
      <w:r w:rsidR="000F4F31" w:rsidRPr="000F4F31">
        <w:rPr>
          <w:noProof/>
          <w:sz w:val="24"/>
          <w:szCs w:val="24"/>
        </w:rPr>
        <w:tab/>
      </w:r>
      <w:r>
        <w:rPr>
          <w:noProof/>
          <w:sz w:val="24"/>
          <w:szCs w:val="24"/>
        </w:rPr>
        <w:t xml:space="preserve">        </w:t>
      </w:r>
      <w:r w:rsidR="000F4F31" w:rsidRPr="000F4F31">
        <w:rPr>
          <w:noProof/>
          <w:sz w:val="24"/>
          <w:szCs w:val="24"/>
        </w:rPr>
        <w:t>-3.120</w:t>
      </w:r>
    </w:p>
    <w:p w14:paraId="52859EEC" w14:textId="18284774" w:rsidR="000A4876" w:rsidRDefault="00ED584C" w:rsidP="000F4F31">
      <w:pPr>
        <w:rPr>
          <w:noProof/>
          <w:sz w:val="24"/>
          <w:szCs w:val="24"/>
        </w:rPr>
      </w:pPr>
      <w:r>
        <w:rPr>
          <w:noProof/>
          <w:sz w:val="24"/>
          <w:szCs w:val="24"/>
        </w:rPr>
        <w:t xml:space="preserve">OIS </w:t>
      </w:r>
      <w:r w:rsidR="000A4876" w:rsidRPr="000A4876">
        <w:rPr>
          <w:noProof/>
          <w:sz w:val="24"/>
          <w:szCs w:val="24"/>
        </w:rPr>
        <w:t>Z(t)</w:t>
      </w:r>
      <w:r w:rsidR="000A4876" w:rsidRPr="000A4876">
        <w:rPr>
          <w:noProof/>
          <w:sz w:val="24"/>
          <w:szCs w:val="24"/>
        </w:rPr>
        <w:tab/>
      </w:r>
      <w:r>
        <w:rPr>
          <w:noProof/>
          <w:sz w:val="24"/>
          <w:szCs w:val="24"/>
        </w:rPr>
        <w:t xml:space="preserve"> </w:t>
      </w:r>
      <w:r w:rsidR="000A4876" w:rsidRPr="000A4876">
        <w:rPr>
          <w:noProof/>
          <w:sz w:val="24"/>
          <w:szCs w:val="24"/>
        </w:rPr>
        <w:t>-2.815</w:t>
      </w:r>
      <w:r w:rsidR="000A4876" w:rsidRPr="000A4876">
        <w:rPr>
          <w:noProof/>
          <w:sz w:val="24"/>
          <w:szCs w:val="24"/>
        </w:rPr>
        <w:tab/>
      </w:r>
      <w:r>
        <w:rPr>
          <w:noProof/>
          <w:sz w:val="24"/>
          <w:szCs w:val="24"/>
        </w:rPr>
        <w:t xml:space="preserve">              </w:t>
      </w:r>
      <w:r w:rsidR="000A4876" w:rsidRPr="000A4876">
        <w:rPr>
          <w:noProof/>
          <w:sz w:val="24"/>
          <w:szCs w:val="24"/>
        </w:rPr>
        <w:t>-3.960</w:t>
      </w:r>
      <w:r w:rsidR="000A4876" w:rsidRPr="000A4876">
        <w:rPr>
          <w:noProof/>
          <w:sz w:val="24"/>
          <w:szCs w:val="24"/>
        </w:rPr>
        <w:tab/>
      </w:r>
      <w:r>
        <w:rPr>
          <w:noProof/>
          <w:sz w:val="24"/>
          <w:szCs w:val="24"/>
        </w:rPr>
        <w:t xml:space="preserve">          </w:t>
      </w:r>
      <w:r w:rsidR="000A4876" w:rsidRPr="000A4876">
        <w:rPr>
          <w:noProof/>
          <w:sz w:val="24"/>
          <w:szCs w:val="24"/>
        </w:rPr>
        <w:t>-3.410</w:t>
      </w:r>
      <w:r w:rsidR="000A4876" w:rsidRPr="000A4876">
        <w:rPr>
          <w:noProof/>
          <w:sz w:val="24"/>
          <w:szCs w:val="24"/>
        </w:rPr>
        <w:tab/>
      </w:r>
      <w:r>
        <w:rPr>
          <w:noProof/>
          <w:sz w:val="24"/>
          <w:szCs w:val="24"/>
        </w:rPr>
        <w:t xml:space="preserve">       </w:t>
      </w:r>
      <w:r w:rsidR="000A4876" w:rsidRPr="000A4876">
        <w:rPr>
          <w:noProof/>
          <w:sz w:val="24"/>
          <w:szCs w:val="24"/>
        </w:rPr>
        <w:t>-3.120</w:t>
      </w:r>
      <w:r w:rsidR="000F4F31" w:rsidRPr="000F4F31">
        <w:rPr>
          <w:noProof/>
          <w:sz w:val="24"/>
          <w:szCs w:val="24"/>
        </w:rPr>
        <w:tab/>
      </w:r>
    </w:p>
    <w:p w14:paraId="5038B3AA" w14:textId="2B91EC70" w:rsidR="000F4F31" w:rsidRPr="00AC5877" w:rsidRDefault="00ED584C" w:rsidP="000F4F31">
      <w:pPr>
        <w:rPr>
          <w:noProof/>
          <w:sz w:val="24"/>
          <w:szCs w:val="24"/>
        </w:rPr>
      </w:pPr>
      <w:r>
        <w:rPr>
          <w:noProof/>
          <w:sz w:val="24"/>
          <w:szCs w:val="24"/>
        </w:rPr>
        <w:t xml:space="preserve">TED </w:t>
      </w:r>
      <w:r w:rsidR="000A4876" w:rsidRPr="000A4876">
        <w:rPr>
          <w:noProof/>
          <w:sz w:val="24"/>
          <w:szCs w:val="24"/>
        </w:rPr>
        <w:t>Z(t)</w:t>
      </w:r>
      <w:r w:rsidR="000A4876" w:rsidRPr="000A4876">
        <w:rPr>
          <w:noProof/>
          <w:sz w:val="24"/>
          <w:szCs w:val="24"/>
        </w:rPr>
        <w:tab/>
      </w:r>
      <w:r>
        <w:rPr>
          <w:noProof/>
          <w:sz w:val="24"/>
          <w:szCs w:val="24"/>
        </w:rPr>
        <w:t xml:space="preserve"> </w:t>
      </w:r>
      <w:r w:rsidR="000A4876" w:rsidRPr="000A4876">
        <w:rPr>
          <w:noProof/>
          <w:sz w:val="24"/>
          <w:szCs w:val="24"/>
        </w:rPr>
        <w:t>-3.414</w:t>
      </w:r>
      <w:r w:rsidR="000A4876" w:rsidRPr="000A4876">
        <w:rPr>
          <w:noProof/>
          <w:sz w:val="24"/>
          <w:szCs w:val="24"/>
        </w:rPr>
        <w:tab/>
      </w:r>
      <w:r>
        <w:rPr>
          <w:noProof/>
          <w:sz w:val="24"/>
          <w:szCs w:val="24"/>
        </w:rPr>
        <w:t xml:space="preserve">             </w:t>
      </w:r>
      <w:r w:rsidR="000A4876" w:rsidRPr="000A4876">
        <w:rPr>
          <w:noProof/>
          <w:sz w:val="24"/>
          <w:szCs w:val="24"/>
        </w:rPr>
        <w:t>-3.960</w:t>
      </w:r>
      <w:r w:rsidR="000A4876" w:rsidRPr="000A4876">
        <w:rPr>
          <w:noProof/>
          <w:sz w:val="24"/>
          <w:szCs w:val="24"/>
        </w:rPr>
        <w:tab/>
      </w:r>
      <w:r>
        <w:rPr>
          <w:noProof/>
          <w:sz w:val="24"/>
          <w:szCs w:val="24"/>
        </w:rPr>
        <w:t xml:space="preserve">          </w:t>
      </w:r>
      <w:r w:rsidR="000A4876" w:rsidRPr="000A4876">
        <w:rPr>
          <w:noProof/>
          <w:sz w:val="24"/>
          <w:szCs w:val="24"/>
        </w:rPr>
        <w:t>-3.410</w:t>
      </w:r>
      <w:r w:rsidR="000A4876" w:rsidRPr="000A4876">
        <w:rPr>
          <w:noProof/>
          <w:sz w:val="24"/>
          <w:szCs w:val="24"/>
        </w:rPr>
        <w:tab/>
      </w:r>
      <w:r>
        <w:rPr>
          <w:noProof/>
          <w:sz w:val="24"/>
          <w:szCs w:val="24"/>
        </w:rPr>
        <w:t xml:space="preserve">       </w:t>
      </w:r>
      <w:r w:rsidR="000A4876" w:rsidRPr="000A4876">
        <w:rPr>
          <w:noProof/>
          <w:sz w:val="24"/>
          <w:szCs w:val="24"/>
        </w:rPr>
        <w:t>-3.120</w:t>
      </w:r>
      <w:r w:rsidR="000F4F31" w:rsidRPr="000F4F31">
        <w:rPr>
          <w:noProof/>
          <w:sz w:val="24"/>
          <w:szCs w:val="24"/>
        </w:rPr>
        <w:tab/>
      </w:r>
      <w:r w:rsidR="000F4F31" w:rsidRPr="000F4F31">
        <w:rPr>
          <w:noProof/>
          <w:sz w:val="24"/>
          <w:szCs w:val="24"/>
        </w:rPr>
        <w:tab/>
      </w:r>
      <w:r w:rsidR="000F4F31" w:rsidRPr="000F4F31">
        <w:rPr>
          <w:noProof/>
          <w:sz w:val="24"/>
          <w:szCs w:val="24"/>
        </w:rPr>
        <w:tab/>
      </w:r>
      <w:r w:rsidR="000F4F31" w:rsidRPr="000F4F31">
        <w:rPr>
          <w:noProof/>
          <w:sz w:val="24"/>
          <w:szCs w:val="24"/>
        </w:rPr>
        <w:tab/>
      </w:r>
    </w:p>
    <w:p w14:paraId="38886DEA" w14:textId="5229F255" w:rsidR="000A4876" w:rsidRDefault="00AC5877" w:rsidP="000A4876">
      <w:pPr>
        <w:rPr>
          <w:noProof/>
          <w:sz w:val="24"/>
          <w:szCs w:val="24"/>
        </w:rPr>
      </w:pPr>
      <w:r w:rsidRPr="00AC5877">
        <w:rPr>
          <w:noProof/>
          <w:sz w:val="24"/>
          <w:szCs w:val="24"/>
        </w:rPr>
        <w:t xml:space="preserve">MacKinnon approximate p-value for </w:t>
      </w:r>
      <w:r w:rsidR="000F4F31">
        <w:rPr>
          <w:noProof/>
          <w:sz w:val="24"/>
          <w:szCs w:val="24"/>
        </w:rPr>
        <w:t xml:space="preserve">SPRT </w:t>
      </w:r>
      <w:r w:rsidRPr="00AC5877">
        <w:rPr>
          <w:noProof/>
          <w:sz w:val="24"/>
          <w:szCs w:val="24"/>
        </w:rPr>
        <w:t>Z(t) = 0.0000</w:t>
      </w:r>
      <w:r w:rsidR="000F4F31">
        <w:rPr>
          <w:noProof/>
          <w:sz w:val="24"/>
          <w:szCs w:val="24"/>
        </w:rPr>
        <w:t xml:space="preserve">, ABCP </w:t>
      </w:r>
      <w:r w:rsidR="000F4F31" w:rsidRPr="000F4F31">
        <w:rPr>
          <w:noProof/>
          <w:sz w:val="24"/>
          <w:szCs w:val="24"/>
        </w:rPr>
        <w:t>Z(t)</w:t>
      </w:r>
      <w:r w:rsidR="000F4F31" w:rsidRPr="000F4F31">
        <w:rPr>
          <w:noProof/>
          <w:sz w:val="24"/>
          <w:szCs w:val="24"/>
        </w:rPr>
        <w:tab/>
        <w:t>=</w:t>
      </w:r>
      <w:r w:rsidR="000F4F31">
        <w:rPr>
          <w:noProof/>
          <w:sz w:val="24"/>
          <w:szCs w:val="24"/>
        </w:rPr>
        <w:t xml:space="preserve"> </w:t>
      </w:r>
      <w:r w:rsidR="000F4F31" w:rsidRPr="000F4F31">
        <w:rPr>
          <w:noProof/>
          <w:sz w:val="24"/>
          <w:szCs w:val="24"/>
        </w:rPr>
        <w:t>0.0187</w:t>
      </w:r>
      <w:r w:rsidR="000A4876">
        <w:rPr>
          <w:noProof/>
          <w:sz w:val="24"/>
          <w:szCs w:val="24"/>
        </w:rPr>
        <w:t xml:space="preserve">,  </w:t>
      </w:r>
      <w:r w:rsidR="00ED584C">
        <w:rPr>
          <w:noProof/>
          <w:sz w:val="24"/>
          <w:szCs w:val="24"/>
        </w:rPr>
        <w:t xml:space="preserve">OIS </w:t>
      </w:r>
      <w:r w:rsidR="000A4876" w:rsidRPr="000A4876">
        <w:rPr>
          <w:noProof/>
          <w:sz w:val="24"/>
          <w:szCs w:val="24"/>
        </w:rPr>
        <w:t>Z(t)</w:t>
      </w:r>
      <w:r w:rsidR="00ED584C">
        <w:rPr>
          <w:noProof/>
          <w:sz w:val="24"/>
          <w:szCs w:val="24"/>
        </w:rPr>
        <w:t xml:space="preserve"> </w:t>
      </w:r>
      <w:r w:rsidR="000A4876" w:rsidRPr="000A4876">
        <w:rPr>
          <w:noProof/>
          <w:sz w:val="24"/>
          <w:szCs w:val="24"/>
        </w:rPr>
        <w:t>=</w:t>
      </w:r>
      <w:r w:rsidR="00ED584C">
        <w:rPr>
          <w:noProof/>
          <w:sz w:val="24"/>
          <w:szCs w:val="24"/>
        </w:rPr>
        <w:t xml:space="preserve"> </w:t>
      </w:r>
      <w:r w:rsidR="000A4876" w:rsidRPr="000A4876">
        <w:rPr>
          <w:noProof/>
          <w:sz w:val="24"/>
          <w:szCs w:val="24"/>
        </w:rPr>
        <w:t>0.1915</w:t>
      </w:r>
      <w:r w:rsidR="00ED584C">
        <w:rPr>
          <w:noProof/>
          <w:sz w:val="24"/>
          <w:szCs w:val="24"/>
        </w:rPr>
        <w:t xml:space="preserve"> and </w:t>
      </w:r>
      <w:r w:rsidR="000A4876">
        <w:rPr>
          <w:noProof/>
          <w:sz w:val="24"/>
          <w:szCs w:val="24"/>
        </w:rPr>
        <w:t xml:space="preserve"> </w:t>
      </w:r>
      <w:r w:rsidR="00ED584C">
        <w:rPr>
          <w:noProof/>
          <w:sz w:val="24"/>
          <w:szCs w:val="24"/>
        </w:rPr>
        <w:t>TED</w:t>
      </w:r>
      <w:r w:rsidR="000A4876">
        <w:rPr>
          <w:noProof/>
          <w:sz w:val="24"/>
          <w:szCs w:val="24"/>
        </w:rPr>
        <w:t xml:space="preserve"> </w:t>
      </w:r>
      <w:r w:rsidR="000A4876" w:rsidRPr="000A4876">
        <w:rPr>
          <w:noProof/>
          <w:sz w:val="24"/>
          <w:szCs w:val="24"/>
        </w:rPr>
        <w:t>Z(t)</w:t>
      </w:r>
      <w:r w:rsidR="00ED584C">
        <w:rPr>
          <w:noProof/>
          <w:sz w:val="24"/>
          <w:szCs w:val="24"/>
        </w:rPr>
        <w:t xml:space="preserve"> </w:t>
      </w:r>
      <w:r w:rsidR="000A4876" w:rsidRPr="000A4876">
        <w:rPr>
          <w:noProof/>
          <w:sz w:val="24"/>
          <w:szCs w:val="24"/>
        </w:rPr>
        <w:t>=</w:t>
      </w:r>
      <w:r w:rsidR="00ED584C">
        <w:rPr>
          <w:noProof/>
          <w:sz w:val="24"/>
          <w:szCs w:val="24"/>
        </w:rPr>
        <w:t xml:space="preserve"> </w:t>
      </w:r>
      <w:r w:rsidR="000A4876" w:rsidRPr="000A4876">
        <w:rPr>
          <w:noProof/>
          <w:sz w:val="24"/>
          <w:szCs w:val="24"/>
        </w:rPr>
        <w:t>0.0495</w:t>
      </w:r>
    </w:p>
    <w:p w14:paraId="460A44DF" w14:textId="77777777" w:rsidR="001E5EB2" w:rsidRDefault="001E5EB2" w:rsidP="001E5EB2">
      <w:pPr>
        <w:spacing w:line="360" w:lineRule="auto"/>
        <w:jc w:val="both"/>
        <w:rPr>
          <w:rFonts w:ascii="Times New Roman" w:hAnsi="Times New Roman" w:cs="Times New Roman"/>
          <w:sz w:val="24"/>
          <w:szCs w:val="24"/>
          <w:lang w:val="en-US"/>
        </w:rPr>
      </w:pPr>
      <w:r w:rsidRPr="00723C4E">
        <w:rPr>
          <w:rFonts w:ascii="Times New Roman" w:hAnsi="Times New Roman" w:cs="Times New Roman"/>
          <w:sz w:val="24"/>
          <w:szCs w:val="24"/>
        </w:rPr>
        <w:t xml:space="preserve">Stationary testing is conducted by using the Augmented Dickey-Fuller (ADF) test and Phillips-Perron (PP) unit root test, which </w:t>
      </w:r>
      <w:r w:rsidRPr="00723C4E">
        <w:rPr>
          <w:rFonts w:ascii="Times New Roman" w:hAnsi="Times New Roman" w:cs="Times New Roman"/>
          <w:sz w:val="24"/>
          <w:szCs w:val="24"/>
          <w:lang w:val="en-US"/>
        </w:rPr>
        <w:t xml:space="preserve">is known to be robust when a strong ARCH effect exists. The lag lengths used for the ADF test are according to the Bayesian Information Criterion (BIC).  The statistic values reject the null hypothesis that there is a unit root, which indicates that the data are stationary at 1%, 5% and 10% level of significance. If there is a unit root, then the data need to be differenced. </w:t>
      </w:r>
    </w:p>
    <w:p w14:paraId="5FA15E0B" w14:textId="6EC57AD3" w:rsidR="001E5EB2" w:rsidRPr="001E5EB2" w:rsidRDefault="001E5EB2" w:rsidP="001E5EB2">
      <w:pPr>
        <w:pStyle w:val="Heading2"/>
      </w:pPr>
      <w:bookmarkStart w:id="104" w:name="_Toc90499963"/>
      <w:r>
        <w:t>1.4.5 Heteroscedasticity test</w:t>
      </w:r>
      <w:bookmarkEnd w:id="104"/>
    </w:p>
    <w:p w14:paraId="4E2CF2C4" w14:textId="583912A0" w:rsidR="00973EDE" w:rsidRDefault="00973EDE" w:rsidP="00973EDE">
      <w:pPr>
        <w:spacing w:line="360" w:lineRule="auto"/>
        <w:jc w:val="both"/>
        <w:rPr>
          <w:rFonts w:ascii="Times New Roman" w:hAnsi="Times New Roman" w:cs="Times New Roman"/>
          <w:sz w:val="24"/>
          <w:szCs w:val="24"/>
          <w:lang w:val="en-US"/>
        </w:rPr>
      </w:pPr>
      <w:r w:rsidRPr="00723C4E">
        <w:rPr>
          <w:rFonts w:ascii="Times New Roman" w:hAnsi="Times New Roman" w:cs="Times New Roman"/>
          <w:sz w:val="24"/>
          <w:szCs w:val="24"/>
          <w:lang w:val="en-US"/>
        </w:rPr>
        <w:t xml:space="preserve">Heteroscedasticity tests have been undertaken in order to guarantee the application of ARCH type models. Table </w:t>
      </w:r>
      <w:r w:rsidR="00C93E59">
        <w:rPr>
          <w:rFonts w:ascii="Times New Roman" w:hAnsi="Times New Roman" w:cs="Times New Roman"/>
          <w:sz w:val="24"/>
          <w:szCs w:val="24"/>
          <w:lang w:val="en-US"/>
        </w:rPr>
        <w:t>1.</w:t>
      </w:r>
      <w:r w:rsidR="00F67F40">
        <w:rPr>
          <w:rFonts w:ascii="Times New Roman" w:hAnsi="Times New Roman" w:cs="Times New Roman"/>
          <w:sz w:val="24"/>
          <w:szCs w:val="24"/>
          <w:lang w:val="en-US"/>
        </w:rPr>
        <w:t>4.4</w:t>
      </w:r>
      <w:r w:rsidRPr="00723C4E">
        <w:rPr>
          <w:rFonts w:ascii="Times New Roman" w:hAnsi="Times New Roman" w:cs="Times New Roman"/>
          <w:sz w:val="24"/>
          <w:szCs w:val="24"/>
          <w:lang w:val="en-US"/>
        </w:rPr>
        <w:t xml:space="preserve"> displays the results of heteroscedasticity tests for the current data sets. Two tests are adopted, namely </w:t>
      </w:r>
      <w:proofErr w:type="spellStart"/>
      <w:r w:rsidRPr="00723C4E">
        <w:rPr>
          <w:rFonts w:ascii="Times New Roman" w:hAnsi="Times New Roman" w:cs="Times New Roman"/>
          <w:sz w:val="24"/>
          <w:szCs w:val="24"/>
          <w:lang w:val="en-US"/>
        </w:rPr>
        <w:t>Bresuch</w:t>
      </w:r>
      <w:proofErr w:type="spellEnd"/>
      <w:r w:rsidRPr="00723C4E">
        <w:rPr>
          <w:rFonts w:ascii="Times New Roman" w:hAnsi="Times New Roman" w:cs="Times New Roman"/>
          <w:sz w:val="24"/>
          <w:szCs w:val="24"/>
          <w:lang w:val="en-US"/>
        </w:rPr>
        <w:t xml:space="preserve"> and Pagan’s (1980) and the Lagrange multiplier (LM) test with five lags</w:t>
      </w:r>
      <w:r w:rsidRPr="00723C4E">
        <w:rPr>
          <w:rFonts w:ascii="Times New Roman" w:eastAsia="Times New Roman" w:hAnsi="Times New Roman" w:cs="Times New Roman"/>
          <w:bCs/>
          <w:sz w:val="24"/>
          <w:szCs w:val="24"/>
          <w:lang w:val="en-US" w:eastAsia="zh-CN"/>
        </w:rPr>
        <w:t xml:space="preserve"> to conduct the heteroscedasticity test</w:t>
      </w:r>
      <w:r w:rsidRPr="00723C4E">
        <w:rPr>
          <w:rFonts w:ascii="Times New Roman" w:hAnsi="Times New Roman" w:cs="Times New Roman"/>
          <w:sz w:val="24"/>
          <w:szCs w:val="24"/>
          <w:lang w:val="en-US"/>
        </w:rPr>
        <w:t>. The residuals of AR (1) of each return series are tested and this is crucial to establishing whether ARCH/GARCH type models can be used. The BP test regresses the squared residuals on the original regressors by default, while the LM test regresses the squared residuals on lagged squared residuals and a constant.   In detail, the results reject the null hypothesis of no heteroscedasticity for all listed equity indices. The presence of strong heteroscedasticity (ARCH effects) lends support to the employment of the GARCH type model.</w:t>
      </w:r>
    </w:p>
    <w:p w14:paraId="681F8E18" w14:textId="13AB6915" w:rsidR="00BD375E" w:rsidRDefault="00BD375E" w:rsidP="00BD375E">
      <w:pPr>
        <w:pStyle w:val="Heading3"/>
        <w:rPr>
          <w:lang w:val="en-US"/>
        </w:rPr>
      </w:pPr>
      <w:bookmarkStart w:id="105" w:name="_Toc90499964"/>
      <w:r>
        <w:rPr>
          <w:lang w:val="en-US"/>
        </w:rPr>
        <w:lastRenderedPageBreak/>
        <w:t>1.4.5.1 Breusch-Pegan Chi-squared ARCH LM test</w:t>
      </w:r>
      <w:bookmarkEnd w:id="105"/>
    </w:p>
    <w:p w14:paraId="66D8FA6B" w14:textId="3A583777" w:rsidR="00C93E59" w:rsidRPr="00C93E59" w:rsidRDefault="00C93E59" w:rsidP="00C93E59">
      <w:pPr>
        <w:pStyle w:val="Caption"/>
        <w:keepNext/>
        <w:rPr>
          <w:rFonts w:ascii="Times New Roman" w:hAnsi="Times New Roman" w:cs="Times New Roman"/>
          <w:color w:val="auto"/>
          <w:sz w:val="24"/>
          <w:szCs w:val="24"/>
        </w:rPr>
      </w:pPr>
      <w:bookmarkStart w:id="106" w:name="_Toc78502188"/>
      <w:bookmarkStart w:id="107" w:name="_Toc78502292"/>
      <w:r w:rsidRPr="00C93E59">
        <w:rPr>
          <w:rFonts w:ascii="Times New Roman" w:hAnsi="Times New Roman" w:cs="Times New Roman"/>
          <w:color w:val="auto"/>
          <w:sz w:val="24"/>
          <w:szCs w:val="24"/>
        </w:rPr>
        <w:t>Table 1.4.</w:t>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STYLEREF 1 \s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0</w:t>
      </w:r>
      <w:r w:rsidR="00EF0502">
        <w:rPr>
          <w:rFonts w:ascii="Times New Roman" w:hAnsi="Times New Roman" w:cs="Times New Roman"/>
          <w:color w:val="auto"/>
          <w:sz w:val="24"/>
          <w:szCs w:val="24"/>
        </w:rPr>
        <w:fldChar w:fldCharType="end"/>
      </w:r>
      <w:r w:rsidR="00EF0502">
        <w:rPr>
          <w:rFonts w:ascii="Times New Roman" w:hAnsi="Times New Roman" w:cs="Times New Roman"/>
          <w:color w:val="auto"/>
          <w:sz w:val="24"/>
          <w:szCs w:val="24"/>
        </w:rPr>
        <w:noBreakHyphen/>
      </w:r>
      <w:r w:rsidR="00EF0502">
        <w:rPr>
          <w:rFonts w:ascii="Times New Roman" w:hAnsi="Times New Roman" w:cs="Times New Roman"/>
          <w:color w:val="auto"/>
          <w:sz w:val="24"/>
          <w:szCs w:val="24"/>
        </w:rPr>
        <w:fldChar w:fldCharType="begin"/>
      </w:r>
      <w:r w:rsidR="00EF0502">
        <w:rPr>
          <w:rFonts w:ascii="Times New Roman" w:hAnsi="Times New Roman" w:cs="Times New Roman"/>
          <w:color w:val="auto"/>
          <w:sz w:val="24"/>
          <w:szCs w:val="24"/>
        </w:rPr>
        <w:instrText xml:space="preserve"> SEQ Table \* ARABIC \s 1 </w:instrText>
      </w:r>
      <w:r w:rsidR="00EF0502">
        <w:rPr>
          <w:rFonts w:ascii="Times New Roman" w:hAnsi="Times New Roman" w:cs="Times New Roman"/>
          <w:color w:val="auto"/>
          <w:sz w:val="24"/>
          <w:szCs w:val="24"/>
        </w:rPr>
        <w:fldChar w:fldCharType="separate"/>
      </w:r>
      <w:r w:rsidR="00EF0502">
        <w:rPr>
          <w:rFonts w:ascii="Times New Roman" w:hAnsi="Times New Roman" w:cs="Times New Roman"/>
          <w:noProof/>
          <w:color w:val="auto"/>
          <w:sz w:val="24"/>
          <w:szCs w:val="24"/>
        </w:rPr>
        <w:t>4</w:t>
      </w:r>
      <w:r w:rsidR="00EF0502">
        <w:rPr>
          <w:rFonts w:ascii="Times New Roman" w:hAnsi="Times New Roman" w:cs="Times New Roman"/>
          <w:color w:val="auto"/>
          <w:sz w:val="24"/>
          <w:szCs w:val="24"/>
        </w:rPr>
        <w:fldChar w:fldCharType="end"/>
      </w:r>
      <w:r>
        <w:rPr>
          <w:rFonts w:ascii="Times New Roman" w:hAnsi="Times New Roman" w:cs="Times New Roman"/>
          <w:color w:val="auto"/>
          <w:sz w:val="24"/>
          <w:szCs w:val="24"/>
        </w:rPr>
        <w:t>.1</w:t>
      </w:r>
      <w:r w:rsidRPr="00C93E59">
        <w:rPr>
          <w:rFonts w:ascii="Times New Roman" w:hAnsi="Times New Roman" w:cs="Times New Roman"/>
          <w:color w:val="auto"/>
          <w:sz w:val="24"/>
          <w:szCs w:val="24"/>
        </w:rPr>
        <w:t xml:space="preserve"> Breusch-Pegan Chi-squared ARCH LM test</w:t>
      </w:r>
      <w:bookmarkEnd w:id="106"/>
      <w:bookmarkEnd w:id="107"/>
    </w:p>
    <w:tbl>
      <w:tblPr>
        <w:tblW w:w="6570" w:type="dxa"/>
        <w:jc w:val="center"/>
        <w:tblLook w:val="04A0" w:firstRow="1" w:lastRow="0" w:firstColumn="1" w:lastColumn="0" w:noHBand="0" w:noVBand="1"/>
      </w:tblPr>
      <w:tblGrid>
        <w:gridCol w:w="1720"/>
        <w:gridCol w:w="1300"/>
        <w:gridCol w:w="1300"/>
        <w:gridCol w:w="1300"/>
        <w:gridCol w:w="950"/>
      </w:tblGrid>
      <w:tr w:rsidR="001A2C4B" w:rsidRPr="0053691F" w14:paraId="69FD6694" w14:textId="77777777" w:rsidTr="001A2C4B">
        <w:trPr>
          <w:trHeight w:val="320"/>
          <w:jc w:val="center"/>
        </w:trPr>
        <w:tc>
          <w:tcPr>
            <w:tcW w:w="1720" w:type="dxa"/>
            <w:tcBorders>
              <w:top w:val="single" w:sz="8" w:space="0" w:color="auto"/>
              <w:left w:val="nil"/>
              <w:bottom w:val="single" w:sz="8" w:space="0" w:color="auto"/>
              <w:right w:val="nil"/>
            </w:tcBorders>
            <w:shd w:val="clear" w:color="auto" w:fill="auto"/>
            <w:vAlign w:val="center"/>
            <w:hideMark/>
          </w:tcPr>
          <w:p w14:paraId="2CBA8B56" w14:textId="77777777" w:rsidR="001A2C4B" w:rsidRPr="0053691F" w:rsidRDefault="001A2C4B" w:rsidP="00A1158E">
            <w:pPr>
              <w:jc w:val="both"/>
              <w:rPr>
                <w:rFonts w:eastAsia="Times New Roman"/>
                <w:b/>
                <w:bCs/>
                <w:i/>
                <w:iCs/>
                <w:color w:val="000000"/>
                <w:sz w:val="20"/>
                <w:szCs w:val="20"/>
              </w:rPr>
            </w:pPr>
            <w:r w:rsidRPr="0053691F">
              <w:rPr>
                <w:rFonts w:eastAsia="Times New Roman"/>
                <w:b/>
                <w:bCs/>
                <w:i/>
                <w:iCs/>
                <w:color w:val="000000"/>
                <w:sz w:val="20"/>
                <w:szCs w:val="20"/>
              </w:rPr>
              <w:t> </w:t>
            </w:r>
          </w:p>
        </w:tc>
        <w:tc>
          <w:tcPr>
            <w:tcW w:w="3900" w:type="dxa"/>
            <w:gridSpan w:val="3"/>
            <w:tcBorders>
              <w:top w:val="single" w:sz="8" w:space="0" w:color="auto"/>
              <w:left w:val="nil"/>
              <w:bottom w:val="single" w:sz="8" w:space="0" w:color="auto"/>
              <w:right w:val="nil"/>
            </w:tcBorders>
            <w:shd w:val="clear" w:color="auto" w:fill="auto"/>
            <w:noWrap/>
            <w:vAlign w:val="center"/>
            <w:hideMark/>
          </w:tcPr>
          <w:p w14:paraId="0B803BEF" w14:textId="77777777" w:rsidR="001A2C4B" w:rsidRPr="0053691F" w:rsidRDefault="001A2C4B" w:rsidP="00A1158E">
            <w:pPr>
              <w:jc w:val="both"/>
              <w:rPr>
                <w:rFonts w:eastAsia="Times New Roman"/>
                <w:b/>
                <w:bCs/>
                <w:i/>
                <w:iCs/>
                <w:color w:val="000000"/>
              </w:rPr>
            </w:pPr>
            <w:r w:rsidRPr="0053691F">
              <w:rPr>
                <w:rFonts w:eastAsia="Times New Roman"/>
                <w:b/>
                <w:bCs/>
                <w:i/>
                <w:iCs/>
                <w:color w:val="000000"/>
              </w:rPr>
              <w:t>Breusch-Pagan Chi-squared test</w:t>
            </w:r>
          </w:p>
        </w:tc>
        <w:tc>
          <w:tcPr>
            <w:tcW w:w="950" w:type="dxa"/>
            <w:tcBorders>
              <w:top w:val="single" w:sz="8" w:space="0" w:color="auto"/>
              <w:left w:val="nil"/>
              <w:bottom w:val="single" w:sz="8" w:space="0" w:color="auto"/>
              <w:right w:val="nil"/>
            </w:tcBorders>
            <w:shd w:val="clear" w:color="auto" w:fill="auto"/>
            <w:noWrap/>
            <w:vAlign w:val="center"/>
            <w:hideMark/>
          </w:tcPr>
          <w:p w14:paraId="5188038F" w14:textId="77777777" w:rsidR="001A2C4B" w:rsidRPr="0053691F" w:rsidRDefault="001A2C4B" w:rsidP="00A1158E">
            <w:pPr>
              <w:jc w:val="both"/>
              <w:rPr>
                <w:rFonts w:eastAsia="Times New Roman"/>
                <w:i/>
                <w:iCs/>
                <w:color w:val="000000"/>
                <w:sz w:val="20"/>
                <w:szCs w:val="20"/>
              </w:rPr>
            </w:pPr>
            <w:r w:rsidRPr="0053691F">
              <w:rPr>
                <w:rFonts w:eastAsia="Times New Roman"/>
                <w:i/>
                <w:iCs/>
                <w:color w:val="000000"/>
                <w:sz w:val="20"/>
                <w:szCs w:val="20"/>
              </w:rPr>
              <w:t> </w:t>
            </w:r>
          </w:p>
        </w:tc>
      </w:tr>
      <w:tr w:rsidR="001A2C4B" w:rsidRPr="0053691F" w14:paraId="19F57A30" w14:textId="77777777" w:rsidTr="001A2C4B">
        <w:trPr>
          <w:trHeight w:val="300"/>
          <w:jc w:val="center"/>
        </w:trPr>
        <w:tc>
          <w:tcPr>
            <w:tcW w:w="1720" w:type="dxa"/>
            <w:tcBorders>
              <w:top w:val="nil"/>
              <w:left w:val="nil"/>
              <w:bottom w:val="nil"/>
              <w:right w:val="nil"/>
            </w:tcBorders>
            <w:shd w:val="clear" w:color="auto" w:fill="auto"/>
            <w:noWrap/>
            <w:hideMark/>
          </w:tcPr>
          <w:p w14:paraId="39552F9B" w14:textId="77777777" w:rsidR="001A2C4B" w:rsidRPr="0053691F" w:rsidRDefault="001A2C4B" w:rsidP="00A1158E">
            <w:pPr>
              <w:rPr>
                <w:rFonts w:ascii="Arial" w:eastAsia="Times New Roman" w:hAnsi="Arial" w:cs="Arial"/>
                <w:color w:val="000000"/>
                <w:sz w:val="20"/>
                <w:szCs w:val="20"/>
              </w:rPr>
            </w:pPr>
          </w:p>
        </w:tc>
        <w:tc>
          <w:tcPr>
            <w:tcW w:w="1300" w:type="dxa"/>
            <w:tcBorders>
              <w:top w:val="nil"/>
              <w:left w:val="nil"/>
              <w:bottom w:val="nil"/>
              <w:right w:val="nil"/>
            </w:tcBorders>
            <w:shd w:val="clear" w:color="auto" w:fill="auto"/>
            <w:vAlign w:val="center"/>
            <w:hideMark/>
          </w:tcPr>
          <w:p w14:paraId="1410201B" w14:textId="64DC1E5D"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SPRT</w:t>
            </w:r>
          </w:p>
        </w:tc>
        <w:tc>
          <w:tcPr>
            <w:tcW w:w="1300" w:type="dxa"/>
            <w:tcBorders>
              <w:top w:val="nil"/>
              <w:left w:val="nil"/>
              <w:bottom w:val="nil"/>
              <w:right w:val="nil"/>
            </w:tcBorders>
            <w:shd w:val="clear" w:color="auto" w:fill="auto"/>
            <w:vAlign w:val="center"/>
            <w:hideMark/>
          </w:tcPr>
          <w:p w14:paraId="49AC7AA2" w14:textId="3D382E6C"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ABCP</w:t>
            </w:r>
          </w:p>
        </w:tc>
        <w:tc>
          <w:tcPr>
            <w:tcW w:w="1300" w:type="dxa"/>
            <w:tcBorders>
              <w:top w:val="nil"/>
              <w:left w:val="nil"/>
              <w:bottom w:val="nil"/>
              <w:right w:val="nil"/>
            </w:tcBorders>
            <w:shd w:val="clear" w:color="auto" w:fill="auto"/>
            <w:vAlign w:val="center"/>
            <w:hideMark/>
          </w:tcPr>
          <w:p w14:paraId="78E975FC" w14:textId="1E020539"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OIS</w:t>
            </w:r>
          </w:p>
        </w:tc>
        <w:tc>
          <w:tcPr>
            <w:tcW w:w="950" w:type="dxa"/>
            <w:tcBorders>
              <w:top w:val="nil"/>
              <w:left w:val="nil"/>
              <w:bottom w:val="nil"/>
              <w:right w:val="nil"/>
            </w:tcBorders>
            <w:shd w:val="clear" w:color="auto" w:fill="auto"/>
            <w:vAlign w:val="center"/>
            <w:hideMark/>
          </w:tcPr>
          <w:p w14:paraId="2F603C49" w14:textId="11A3E023"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TED</w:t>
            </w:r>
          </w:p>
        </w:tc>
      </w:tr>
      <w:tr w:rsidR="001A2C4B" w:rsidRPr="0053691F" w14:paraId="69978D6E" w14:textId="77777777" w:rsidTr="001A2C4B">
        <w:trPr>
          <w:trHeight w:val="256"/>
          <w:jc w:val="center"/>
        </w:trPr>
        <w:tc>
          <w:tcPr>
            <w:tcW w:w="1720" w:type="dxa"/>
            <w:tcBorders>
              <w:top w:val="nil"/>
              <w:left w:val="nil"/>
              <w:bottom w:val="nil"/>
              <w:right w:val="nil"/>
            </w:tcBorders>
            <w:shd w:val="clear" w:color="auto" w:fill="auto"/>
            <w:noWrap/>
            <w:vAlign w:val="center"/>
            <w:hideMark/>
          </w:tcPr>
          <w:p w14:paraId="795D49B8" w14:textId="20E7C5CE"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Chi 2 (1)</w:t>
            </w:r>
          </w:p>
        </w:tc>
        <w:tc>
          <w:tcPr>
            <w:tcW w:w="1300" w:type="dxa"/>
            <w:tcBorders>
              <w:top w:val="nil"/>
              <w:left w:val="nil"/>
              <w:bottom w:val="nil"/>
              <w:right w:val="nil"/>
            </w:tcBorders>
            <w:shd w:val="clear" w:color="auto" w:fill="auto"/>
            <w:noWrap/>
            <w:vAlign w:val="center"/>
            <w:hideMark/>
          </w:tcPr>
          <w:p w14:paraId="0AE20039" w14:textId="77777777"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3639.97</w:t>
            </w:r>
          </w:p>
        </w:tc>
        <w:tc>
          <w:tcPr>
            <w:tcW w:w="1300" w:type="dxa"/>
            <w:tcBorders>
              <w:top w:val="nil"/>
              <w:left w:val="nil"/>
              <w:bottom w:val="nil"/>
              <w:right w:val="nil"/>
            </w:tcBorders>
            <w:shd w:val="clear" w:color="auto" w:fill="auto"/>
            <w:noWrap/>
            <w:vAlign w:val="center"/>
            <w:hideMark/>
          </w:tcPr>
          <w:p w14:paraId="1B2F3F3C" w14:textId="77777777"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1357.15</w:t>
            </w:r>
          </w:p>
        </w:tc>
        <w:tc>
          <w:tcPr>
            <w:tcW w:w="1300" w:type="dxa"/>
            <w:tcBorders>
              <w:top w:val="nil"/>
              <w:left w:val="nil"/>
              <w:bottom w:val="nil"/>
              <w:right w:val="nil"/>
            </w:tcBorders>
            <w:shd w:val="clear" w:color="auto" w:fill="auto"/>
            <w:noWrap/>
            <w:vAlign w:val="center"/>
            <w:hideMark/>
          </w:tcPr>
          <w:p w14:paraId="7E99A0EF" w14:textId="77777777"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2109.42</w:t>
            </w:r>
          </w:p>
        </w:tc>
        <w:tc>
          <w:tcPr>
            <w:tcW w:w="950" w:type="dxa"/>
            <w:tcBorders>
              <w:top w:val="nil"/>
              <w:left w:val="nil"/>
              <w:bottom w:val="nil"/>
              <w:right w:val="nil"/>
            </w:tcBorders>
            <w:shd w:val="clear" w:color="auto" w:fill="auto"/>
            <w:noWrap/>
            <w:vAlign w:val="center"/>
            <w:hideMark/>
          </w:tcPr>
          <w:p w14:paraId="66BFDD3E" w14:textId="77777777"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829.34</w:t>
            </w:r>
          </w:p>
        </w:tc>
      </w:tr>
      <w:tr w:rsidR="001A2C4B" w:rsidRPr="0053691F" w14:paraId="48CB9670" w14:textId="77777777" w:rsidTr="001A2C4B">
        <w:trPr>
          <w:trHeight w:val="320"/>
          <w:jc w:val="center"/>
        </w:trPr>
        <w:tc>
          <w:tcPr>
            <w:tcW w:w="1720" w:type="dxa"/>
            <w:tcBorders>
              <w:top w:val="nil"/>
              <w:left w:val="nil"/>
              <w:bottom w:val="single" w:sz="8" w:space="0" w:color="auto"/>
              <w:right w:val="nil"/>
            </w:tcBorders>
            <w:shd w:val="clear" w:color="auto" w:fill="auto"/>
            <w:noWrap/>
            <w:vAlign w:val="center"/>
            <w:hideMark/>
          </w:tcPr>
          <w:p w14:paraId="5671CB7E"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P value</w:t>
            </w:r>
          </w:p>
        </w:tc>
        <w:tc>
          <w:tcPr>
            <w:tcW w:w="1300" w:type="dxa"/>
            <w:tcBorders>
              <w:top w:val="nil"/>
              <w:left w:val="nil"/>
              <w:bottom w:val="single" w:sz="8" w:space="0" w:color="auto"/>
              <w:right w:val="nil"/>
            </w:tcBorders>
            <w:shd w:val="clear" w:color="auto" w:fill="auto"/>
            <w:noWrap/>
            <w:vAlign w:val="center"/>
            <w:hideMark/>
          </w:tcPr>
          <w:p w14:paraId="6698784A"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c>
          <w:tcPr>
            <w:tcW w:w="1300" w:type="dxa"/>
            <w:tcBorders>
              <w:top w:val="nil"/>
              <w:left w:val="nil"/>
              <w:bottom w:val="single" w:sz="8" w:space="0" w:color="auto"/>
              <w:right w:val="nil"/>
            </w:tcBorders>
            <w:shd w:val="clear" w:color="auto" w:fill="auto"/>
            <w:noWrap/>
            <w:vAlign w:val="center"/>
            <w:hideMark/>
          </w:tcPr>
          <w:p w14:paraId="024B8EB8"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c>
          <w:tcPr>
            <w:tcW w:w="1300" w:type="dxa"/>
            <w:tcBorders>
              <w:top w:val="nil"/>
              <w:left w:val="nil"/>
              <w:bottom w:val="single" w:sz="8" w:space="0" w:color="auto"/>
              <w:right w:val="nil"/>
            </w:tcBorders>
            <w:shd w:val="clear" w:color="auto" w:fill="auto"/>
            <w:noWrap/>
            <w:vAlign w:val="center"/>
            <w:hideMark/>
          </w:tcPr>
          <w:p w14:paraId="27AEE889"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0.0001</w:t>
            </w:r>
          </w:p>
        </w:tc>
        <w:tc>
          <w:tcPr>
            <w:tcW w:w="950" w:type="dxa"/>
            <w:tcBorders>
              <w:top w:val="nil"/>
              <w:left w:val="nil"/>
              <w:bottom w:val="single" w:sz="8" w:space="0" w:color="auto"/>
              <w:right w:val="nil"/>
            </w:tcBorders>
            <w:shd w:val="clear" w:color="auto" w:fill="auto"/>
            <w:noWrap/>
            <w:vAlign w:val="center"/>
            <w:hideMark/>
          </w:tcPr>
          <w:p w14:paraId="7C1B9261"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r>
      <w:tr w:rsidR="001A2C4B" w:rsidRPr="0053691F" w14:paraId="3AD82918" w14:textId="77777777" w:rsidTr="001A2C4B">
        <w:trPr>
          <w:trHeight w:val="320"/>
          <w:jc w:val="center"/>
        </w:trPr>
        <w:tc>
          <w:tcPr>
            <w:tcW w:w="6570" w:type="dxa"/>
            <w:gridSpan w:val="5"/>
            <w:tcBorders>
              <w:top w:val="single" w:sz="8" w:space="0" w:color="auto"/>
              <w:left w:val="nil"/>
              <w:bottom w:val="single" w:sz="8" w:space="0" w:color="auto"/>
              <w:right w:val="nil"/>
            </w:tcBorders>
            <w:shd w:val="clear" w:color="auto" w:fill="auto"/>
            <w:noWrap/>
            <w:vAlign w:val="center"/>
            <w:hideMark/>
          </w:tcPr>
          <w:p w14:paraId="66395F0E" w14:textId="77777777" w:rsidR="00BD375E" w:rsidRDefault="00BD375E" w:rsidP="00BD375E">
            <w:pPr>
              <w:rPr>
                <w:rFonts w:eastAsia="Times New Roman"/>
                <w:b/>
                <w:bCs/>
                <w:color w:val="000000"/>
              </w:rPr>
            </w:pPr>
          </w:p>
          <w:p w14:paraId="5AA2396B" w14:textId="5E61BA6A" w:rsidR="001A2C4B" w:rsidRDefault="001A2C4B" w:rsidP="00A1158E">
            <w:pPr>
              <w:jc w:val="center"/>
              <w:rPr>
                <w:rFonts w:eastAsia="Times New Roman"/>
                <w:b/>
                <w:bCs/>
                <w:color w:val="000000"/>
              </w:rPr>
            </w:pPr>
            <w:r w:rsidRPr="0053691F">
              <w:rPr>
                <w:rFonts w:eastAsia="Times New Roman"/>
                <w:b/>
                <w:bCs/>
                <w:color w:val="000000"/>
              </w:rPr>
              <w:t>ARCH LM test</w:t>
            </w:r>
          </w:p>
          <w:p w14:paraId="455722A0" w14:textId="33C565DC" w:rsidR="001A2C4B" w:rsidRPr="0053691F" w:rsidRDefault="001A2C4B" w:rsidP="00A1158E">
            <w:pPr>
              <w:jc w:val="center"/>
              <w:rPr>
                <w:rFonts w:eastAsia="Times New Roman"/>
                <w:b/>
                <w:bCs/>
                <w:color w:val="000000"/>
              </w:rPr>
            </w:pPr>
            <w:r w:rsidRPr="001A2C4B">
              <w:rPr>
                <w:rFonts w:eastAsia="Times New Roman"/>
                <w:b/>
                <w:bCs/>
                <w:color w:val="000000"/>
              </w:rPr>
              <w:t>LM test for autoregressive conditional heteroskedasticity (ARCH)</w:t>
            </w:r>
          </w:p>
        </w:tc>
      </w:tr>
      <w:tr w:rsidR="001A2C4B" w:rsidRPr="0053691F" w14:paraId="055676CB" w14:textId="77777777" w:rsidTr="001A2C4B">
        <w:trPr>
          <w:trHeight w:val="300"/>
          <w:jc w:val="center"/>
        </w:trPr>
        <w:tc>
          <w:tcPr>
            <w:tcW w:w="1720" w:type="dxa"/>
            <w:tcBorders>
              <w:top w:val="nil"/>
              <w:left w:val="nil"/>
              <w:bottom w:val="nil"/>
              <w:right w:val="nil"/>
            </w:tcBorders>
            <w:shd w:val="clear" w:color="auto" w:fill="auto"/>
            <w:noWrap/>
            <w:vAlign w:val="center"/>
            <w:hideMark/>
          </w:tcPr>
          <w:p w14:paraId="21653150" w14:textId="77777777" w:rsidR="00BD375E" w:rsidRDefault="00BD375E" w:rsidP="00A1158E">
            <w:pPr>
              <w:jc w:val="both"/>
              <w:rPr>
                <w:rFonts w:ascii="Arial" w:eastAsia="Times New Roman" w:hAnsi="Arial" w:cs="Arial"/>
                <w:color w:val="000000"/>
                <w:sz w:val="20"/>
                <w:szCs w:val="20"/>
              </w:rPr>
            </w:pPr>
          </w:p>
          <w:p w14:paraId="11AD56D0" w14:textId="0AA2C4D1"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Chi 2 (1)</w:t>
            </w:r>
          </w:p>
        </w:tc>
        <w:tc>
          <w:tcPr>
            <w:tcW w:w="1300" w:type="dxa"/>
            <w:tcBorders>
              <w:top w:val="nil"/>
              <w:left w:val="nil"/>
              <w:bottom w:val="nil"/>
              <w:right w:val="nil"/>
            </w:tcBorders>
            <w:shd w:val="clear" w:color="auto" w:fill="auto"/>
            <w:noWrap/>
            <w:vAlign w:val="center"/>
            <w:hideMark/>
          </w:tcPr>
          <w:p w14:paraId="0E646162" w14:textId="3D4861C1" w:rsidR="00BD375E" w:rsidRDefault="00BD375E"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SPRT</w:t>
            </w:r>
          </w:p>
          <w:p w14:paraId="41E81BEA" w14:textId="0085218A"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90.374</w:t>
            </w:r>
          </w:p>
        </w:tc>
        <w:tc>
          <w:tcPr>
            <w:tcW w:w="1300" w:type="dxa"/>
            <w:tcBorders>
              <w:top w:val="nil"/>
              <w:left w:val="nil"/>
              <w:bottom w:val="nil"/>
              <w:right w:val="nil"/>
            </w:tcBorders>
            <w:shd w:val="clear" w:color="auto" w:fill="auto"/>
            <w:noWrap/>
            <w:vAlign w:val="center"/>
            <w:hideMark/>
          </w:tcPr>
          <w:p w14:paraId="4F0D5AD0" w14:textId="29D9774F" w:rsidR="00BD375E" w:rsidRDefault="00BD375E"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ABCP</w:t>
            </w:r>
          </w:p>
          <w:p w14:paraId="0083BC40" w14:textId="3BF8B38F"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1051.108</w:t>
            </w:r>
          </w:p>
        </w:tc>
        <w:tc>
          <w:tcPr>
            <w:tcW w:w="1300" w:type="dxa"/>
            <w:tcBorders>
              <w:top w:val="nil"/>
              <w:left w:val="nil"/>
              <w:bottom w:val="nil"/>
              <w:right w:val="nil"/>
            </w:tcBorders>
            <w:shd w:val="clear" w:color="auto" w:fill="auto"/>
            <w:noWrap/>
            <w:vAlign w:val="center"/>
            <w:hideMark/>
          </w:tcPr>
          <w:p w14:paraId="184C7EFF" w14:textId="36C2038E" w:rsidR="00BD375E" w:rsidRDefault="00BD375E"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OIS</w:t>
            </w:r>
          </w:p>
          <w:p w14:paraId="58D9875D" w14:textId="4E61C843"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1910.746</w:t>
            </w:r>
          </w:p>
        </w:tc>
        <w:tc>
          <w:tcPr>
            <w:tcW w:w="950" w:type="dxa"/>
            <w:tcBorders>
              <w:top w:val="nil"/>
              <w:left w:val="nil"/>
              <w:bottom w:val="nil"/>
              <w:right w:val="nil"/>
            </w:tcBorders>
            <w:shd w:val="clear" w:color="auto" w:fill="auto"/>
            <w:noWrap/>
            <w:vAlign w:val="center"/>
            <w:hideMark/>
          </w:tcPr>
          <w:p w14:paraId="1955C63D" w14:textId="4F969121" w:rsidR="00BD375E" w:rsidRDefault="00BD375E"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TED</w:t>
            </w:r>
          </w:p>
          <w:p w14:paraId="2C2AE9C2" w14:textId="49B0A925" w:rsidR="001A2C4B" w:rsidRPr="0053691F" w:rsidRDefault="001A2C4B" w:rsidP="00A1158E">
            <w:pPr>
              <w:jc w:val="both"/>
              <w:rPr>
                <w:rFonts w:ascii="Arial" w:eastAsia="Times New Roman" w:hAnsi="Arial" w:cs="Arial"/>
                <w:color w:val="000000"/>
                <w:sz w:val="20"/>
                <w:szCs w:val="20"/>
              </w:rPr>
            </w:pPr>
            <w:r>
              <w:rPr>
                <w:rFonts w:ascii="Arial" w:eastAsia="Times New Roman" w:hAnsi="Arial" w:cs="Arial"/>
                <w:color w:val="000000"/>
                <w:sz w:val="20"/>
                <w:szCs w:val="20"/>
              </w:rPr>
              <w:t>867.345</w:t>
            </w:r>
          </w:p>
        </w:tc>
      </w:tr>
      <w:tr w:rsidR="001A2C4B" w:rsidRPr="0053691F" w14:paraId="1BCB1B0F" w14:textId="77777777" w:rsidTr="001A2C4B">
        <w:trPr>
          <w:trHeight w:val="320"/>
          <w:jc w:val="center"/>
        </w:trPr>
        <w:tc>
          <w:tcPr>
            <w:tcW w:w="1720" w:type="dxa"/>
            <w:tcBorders>
              <w:top w:val="nil"/>
              <w:left w:val="nil"/>
              <w:bottom w:val="single" w:sz="8" w:space="0" w:color="auto"/>
              <w:right w:val="nil"/>
            </w:tcBorders>
            <w:shd w:val="clear" w:color="auto" w:fill="auto"/>
            <w:noWrap/>
            <w:vAlign w:val="center"/>
            <w:hideMark/>
          </w:tcPr>
          <w:p w14:paraId="5D4D99AD"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P Value</w:t>
            </w:r>
          </w:p>
        </w:tc>
        <w:tc>
          <w:tcPr>
            <w:tcW w:w="1300" w:type="dxa"/>
            <w:tcBorders>
              <w:top w:val="nil"/>
              <w:left w:val="nil"/>
              <w:bottom w:val="single" w:sz="8" w:space="0" w:color="auto"/>
              <w:right w:val="nil"/>
            </w:tcBorders>
            <w:shd w:val="clear" w:color="auto" w:fill="auto"/>
            <w:noWrap/>
            <w:vAlign w:val="center"/>
            <w:hideMark/>
          </w:tcPr>
          <w:p w14:paraId="050D6AAD"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c>
          <w:tcPr>
            <w:tcW w:w="1300" w:type="dxa"/>
            <w:tcBorders>
              <w:top w:val="nil"/>
              <w:left w:val="nil"/>
              <w:bottom w:val="single" w:sz="8" w:space="0" w:color="auto"/>
              <w:right w:val="nil"/>
            </w:tcBorders>
            <w:shd w:val="clear" w:color="auto" w:fill="auto"/>
            <w:noWrap/>
            <w:vAlign w:val="center"/>
            <w:hideMark/>
          </w:tcPr>
          <w:p w14:paraId="6EC226BE"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c>
          <w:tcPr>
            <w:tcW w:w="1300" w:type="dxa"/>
            <w:tcBorders>
              <w:top w:val="nil"/>
              <w:left w:val="nil"/>
              <w:bottom w:val="single" w:sz="8" w:space="0" w:color="auto"/>
              <w:right w:val="nil"/>
            </w:tcBorders>
            <w:shd w:val="clear" w:color="auto" w:fill="auto"/>
            <w:noWrap/>
            <w:vAlign w:val="center"/>
            <w:hideMark/>
          </w:tcPr>
          <w:p w14:paraId="29553432"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c>
          <w:tcPr>
            <w:tcW w:w="950" w:type="dxa"/>
            <w:tcBorders>
              <w:top w:val="nil"/>
              <w:left w:val="nil"/>
              <w:bottom w:val="single" w:sz="8" w:space="0" w:color="auto"/>
              <w:right w:val="nil"/>
            </w:tcBorders>
            <w:shd w:val="clear" w:color="auto" w:fill="auto"/>
            <w:noWrap/>
            <w:vAlign w:val="center"/>
            <w:hideMark/>
          </w:tcPr>
          <w:p w14:paraId="44C02EAA" w14:textId="77777777" w:rsidR="001A2C4B" w:rsidRPr="0053691F" w:rsidRDefault="001A2C4B" w:rsidP="00A1158E">
            <w:pPr>
              <w:jc w:val="both"/>
              <w:rPr>
                <w:rFonts w:ascii="Arial" w:eastAsia="Times New Roman" w:hAnsi="Arial" w:cs="Arial"/>
                <w:color w:val="000000"/>
                <w:sz w:val="20"/>
                <w:szCs w:val="20"/>
              </w:rPr>
            </w:pPr>
            <w:r w:rsidRPr="0053691F">
              <w:rPr>
                <w:rFonts w:ascii="Arial" w:eastAsia="Times New Roman" w:hAnsi="Arial" w:cs="Arial"/>
                <w:color w:val="000000"/>
                <w:sz w:val="20"/>
                <w:szCs w:val="20"/>
              </w:rPr>
              <w:t>0.0000</w:t>
            </w:r>
          </w:p>
        </w:tc>
      </w:tr>
    </w:tbl>
    <w:p w14:paraId="4DF4AE0A" w14:textId="3CECE020" w:rsidR="001A2C4B" w:rsidRDefault="001A2C4B" w:rsidP="001A2C4B">
      <w:pPr>
        <w:ind w:left="2160"/>
        <w:rPr>
          <w:sz w:val="24"/>
          <w:szCs w:val="24"/>
          <w:lang w:val="en-US"/>
        </w:rPr>
      </w:pPr>
      <w:r w:rsidRPr="001A2C4B">
        <w:rPr>
          <w:sz w:val="24"/>
          <w:szCs w:val="24"/>
          <w:lang w:val="en-US"/>
        </w:rPr>
        <w:t>H0: no ARCH effects      vs.  H1: ARCH(p) disturbance</w:t>
      </w:r>
    </w:p>
    <w:p w14:paraId="5550C3F9" w14:textId="4713BC18" w:rsidR="00265387" w:rsidRDefault="008E01BD" w:rsidP="008E01BD">
      <w:pPr>
        <w:jc w:val="both"/>
      </w:pPr>
      <w:r w:rsidRPr="0053691F">
        <w:rPr>
          <w:i/>
          <w:sz w:val="20"/>
          <w:szCs w:val="20"/>
        </w:rPr>
        <w:t xml:space="preserve">Note: </w:t>
      </w:r>
      <w:r w:rsidRPr="0053691F">
        <w:rPr>
          <w:sz w:val="20"/>
          <w:szCs w:val="20"/>
        </w:rPr>
        <w:t xml:space="preserve">Critical values for Chi-squared (1) are 6.63, 3.84 and 2.71 at 1%, 5% and 10% levels of significance. The ARCH test is important in this study in order to comment on the acceptance or rejection of an ARCH type model. The critical values for ARCH (5) are 1.84, 2.21 and 3.02 at 1%, 5% and 10% levels of significance. </w:t>
      </w:r>
      <w:r w:rsidRPr="0053691F">
        <w:t xml:space="preserve"> </w:t>
      </w:r>
    </w:p>
    <w:p w14:paraId="1B1A4E4C" w14:textId="7FA72204" w:rsidR="00C93E59" w:rsidRPr="00C93E59" w:rsidRDefault="00C93E59" w:rsidP="00C93E59">
      <w:pPr>
        <w:pStyle w:val="Caption"/>
        <w:keepNext/>
        <w:jc w:val="both"/>
        <w:rPr>
          <w:rFonts w:ascii="Times New Roman" w:hAnsi="Times New Roman" w:cs="Times New Roman"/>
          <w:color w:val="auto"/>
          <w:sz w:val="24"/>
          <w:szCs w:val="24"/>
        </w:rPr>
      </w:pPr>
      <w:r w:rsidRPr="00C93E59">
        <w:rPr>
          <w:rFonts w:ascii="Times New Roman" w:hAnsi="Times New Roman" w:cs="Times New Roman"/>
          <w:color w:val="auto"/>
          <w:sz w:val="24"/>
          <w:szCs w:val="24"/>
        </w:rPr>
        <w:t>Table 1.4.4.</w:t>
      </w:r>
      <w:r>
        <w:rPr>
          <w:rFonts w:ascii="Times New Roman" w:hAnsi="Times New Roman" w:cs="Times New Roman"/>
          <w:color w:val="auto"/>
          <w:sz w:val="24"/>
          <w:szCs w:val="24"/>
        </w:rPr>
        <w:t>2</w:t>
      </w:r>
      <w:r w:rsidRPr="00C93E59">
        <w:rPr>
          <w:rFonts w:ascii="Times New Roman" w:hAnsi="Times New Roman" w:cs="Times New Roman"/>
          <w:color w:val="auto"/>
          <w:sz w:val="24"/>
          <w:szCs w:val="24"/>
        </w:rPr>
        <w:t xml:space="preserve"> </w:t>
      </w:r>
      <w:proofErr w:type="spellStart"/>
      <w:r w:rsidRPr="00C93E59">
        <w:rPr>
          <w:rFonts w:ascii="Times New Roman" w:hAnsi="Times New Roman" w:cs="Times New Roman"/>
          <w:color w:val="auto"/>
          <w:sz w:val="24"/>
          <w:szCs w:val="24"/>
        </w:rPr>
        <w:t>Ljung</w:t>
      </w:r>
      <w:proofErr w:type="spellEnd"/>
      <w:r w:rsidRPr="00C93E59">
        <w:rPr>
          <w:rFonts w:ascii="Times New Roman" w:hAnsi="Times New Roman" w:cs="Times New Roman"/>
          <w:color w:val="auto"/>
          <w:sz w:val="24"/>
          <w:szCs w:val="24"/>
        </w:rPr>
        <w:t>-Box Autocorrelation</w:t>
      </w:r>
    </w:p>
    <w:p w14:paraId="3283E821" w14:textId="50D6B60E" w:rsidR="00265387" w:rsidRDefault="00265387" w:rsidP="008E01BD">
      <w:pPr>
        <w:jc w:val="both"/>
        <w:rPr>
          <w:sz w:val="20"/>
          <w:szCs w:val="20"/>
        </w:rPr>
      </w:pPr>
      <w:r w:rsidRPr="00A1158E">
        <w:rPr>
          <w:noProof/>
          <w:lang w:eastAsia="en-GB"/>
        </w:rPr>
        <w:drawing>
          <wp:inline distT="0" distB="0" distL="0" distR="0" wp14:anchorId="0C7F9AF5" wp14:editId="7FFCED56">
            <wp:extent cx="5731510" cy="299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6">
                      <a:extLst>
                        <a:ext uri="{28A0092B-C50C-407E-A947-70E740481C1C}">
                          <a14:useLocalDpi xmlns:a14="http://schemas.microsoft.com/office/drawing/2010/main" val="0"/>
                        </a:ext>
                      </a:extLst>
                    </a:blip>
                    <a:srcRect r="38178"/>
                    <a:stretch/>
                  </pic:blipFill>
                  <pic:spPr bwMode="auto">
                    <a:xfrm>
                      <a:off x="0" y="0"/>
                      <a:ext cx="5731510" cy="2994760"/>
                    </a:xfrm>
                    <a:prstGeom prst="rect">
                      <a:avLst/>
                    </a:prstGeom>
                    <a:noFill/>
                    <a:ln>
                      <a:noFill/>
                    </a:ln>
                    <a:extLst>
                      <a:ext uri="{53640926-AAD7-44D8-BBD7-CCE9431645EC}">
                        <a14:shadowObscured xmlns:a14="http://schemas.microsoft.com/office/drawing/2010/main"/>
                      </a:ext>
                    </a:extLst>
                  </pic:spPr>
                </pic:pic>
              </a:graphicData>
            </a:graphic>
          </wp:inline>
        </w:drawing>
      </w:r>
    </w:p>
    <w:p w14:paraId="58131558" w14:textId="451817E5" w:rsidR="00265387" w:rsidRDefault="00265387" w:rsidP="008E01BD">
      <w:pPr>
        <w:jc w:val="both"/>
        <w:rPr>
          <w:sz w:val="20"/>
          <w:szCs w:val="20"/>
        </w:rPr>
      </w:pPr>
    </w:p>
    <w:p w14:paraId="48598881" w14:textId="62A9EE86" w:rsidR="00265387" w:rsidRDefault="00265387" w:rsidP="008E01BD">
      <w:pPr>
        <w:jc w:val="both"/>
        <w:rPr>
          <w:sz w:val="20"/>
          <w:szCs w:val="20"/>
        </w:rPr>
      </w:pPr>
      <w:r w:rsidRPr="00984D4E">
        <w:rPr>
          <w:noProof/>
          <w:lang w:eastAsia="en-GB"/>
        </w:rPr>
        <w:lastRenderedPageBreak/>
        <w:drawing>
          <wp:inline distT="0" distB="0" distL="0" distR="0" wp14:anchorId="0D498A54" wp14:editId="26E41C49">
            <wp:extent cx="5676482" cy="2762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a:extLst>
                        <a:ext uri="{28A0092B-C50C-407E-A947-70E740481C1C}">
                          <a14:useLocalDpi xmlns:a14="http://schemas.microsoft.com/office/drawing/2010/main" val="0"/>
                        </a:ext>
                      </a:extLst>
                    </a:blip>
                    <a:srcRect r="38677"/>
                    <a:stretch/>
                  </pic:blipFill>
                  <pic:spPr bwMode="auto">
                    <a:xfrm>
                      <a:off x="0" y="0"/>
                      <a:ext cx="5686211" cy="2766984"/>
                    </a:xfrm>
                    <a:prstGeom prst="rect">
                      <a:avLst/>
                    </a:prstGeom>
                    <a:noFill/>
                    <a:ln>
                      <a:noFill/>
                    </a:ln>
                    <a:extLst>
                      <a:ext uri="{53640926-AAD7-44D8-BBD7-CCE9431645EC}">
                        <a14:shadowObscured xmlns:a14="http://schemas.microsoft.com/office/drawing/2010/main"/>
                      </a:ext>
                    </a:extLst>
                  </pic:spPr>
                </pic:pic>
              </a:graphicData>
            </a:graphic>
          </wp:inline>
        </w:drawing>
      </w:r>
    </w:p>
    <w:p w14:paraId="67DDAEDD" w14:textId="237B572D" w:rsidR="00265387" w:rsidRDefault="00265387" w:rsidP="008E01BD">
      <w:pPr>
        <w:jc w:val="both"/>
        <w:rPr>
          <w:sz w:val="20"/>
          <w:szCs w:val="20"/>
        </w:rPr>
      </w:pPr>
      <w:r w:rsidRPr="00984D4E">
        <w:rPr>
          <w:noProof/>
          <w:lang w:eastAsia="en-GB"/>
        </w:rPr>
        <w:drawing>
          <wp:inline distT="0" distB="0" distL="0" distR="0" wp14:anchorId="4DCC264C" wp14:editId="2BE6205B">
            <wp:extent cx="5629275" cy="29338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8">
                      <a:extLst>
                        <a:ext uri="{28A0092B-C50C-407E-A947-70E740481C1C}">
                          <a14:useLocalDpi xmlns:a14="http://schemas.microsoft.com/office/drawing/2010/main" val="0"/>
                        </a:ext>
                      </a:extLst>
                    </a:blip>
                    <a:srcRect r="38012"/>
                    <a:stretch/>
                  </pic:blipFill>
                  <pic:spPr bwMode="auto">
                    <a:xfrm>
                      <a:off x="0" y="0"/>
                      <a:ext cx="5631720" cy="2935137"/>
                    </a:xfrm>
                    <a:prstGeom prst="rect">
                      <a:avLst/>
                    </a:prstGeom>
                    <a:noFill/>
                    <a:ln>
                      <a:noFill/>
                    </a:ln>
                    <a:extLst>
                      <a:ext uri="{53640926-AAD7-44D8-BBD7-CCE9431645EC}">
                        <a14:shadowObscured xmlns:a14="http://schemas.microsoft.com/office/drawing/2010/main"/>
                      </a:ext>
                    </a:extLst>
                  </pic:spPr>
                </pic:pic>
              </a:graphicData>
            </a:graphic>
          </wp:inline>
        </w:drawing>
      </w:r>
    </w:p>
    <w:p w14:paraId="08B3AE0B" w14:textId="34B26796" w:rsidR="00265387" w:rsidRPr="00723C4E" w:rsidRDefault="00265387" w:rsidP="008E01BD">
      <w:pPr>
        <w:jc w:val="both"/>
        <w:rPr>
          <w:sz w:val="20"/>
          <w:szCs w:val="20"/>
        </w:rPr>
      </w:pPr>
      <w:r w:rsidRPr="00984D4E">
        <w:rPr>
          <w:noProof/>
          <w:lang w:eastAsia="en-GB"/>
        </w:rPr>
        <w:drawing>
          <wp:inline distT="0" distB="0" distL="0" distR="0" wp14:anchorId="3B3CA4A8" wp14:editId="38DACAE8">
            <wp:extent cx="569214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9">
                      <a:extLst>
                        <a:ext uri="{28A0092B-C50C-407E-A947-70E740481C1C}">
                          <a14:useLocalDpi xmlns:a14="http://schemas.microsoft.com/office/drawing/2010/main" val="0"/>
                        </a:ext>
                      </a:extLst>
                    </a:blip>
                    <a:srcRect r="37514"/>
                    <a:stretch/>
                  </pic:blipFill>
                  <pic:spPr bwMode="auto">
                    <a:xfrm>
                      <a:off x="0" y="0"/>
                      <a:ext cx="5698276" cy="2746157"/>
                    </a:xfrm>
                    <a:prstGeom prst="rect">
                      <a:avLst/>
                    </a:prstGeom>
                    <a:noFill/>
                    <a:ln>
                      <a:noFill/>
                    </a:ln>
                    <a:extLst>
                      <a:ext uri="{53640926-AAD7-44D8-BBD7-CCE9431645EC}">
                        <a14:shadowObscured xmlns:a14="http://schemas.microsoft.com/office/drawing/2010/main"/>
                      </a:ext>
                    </a:extLst>
                  </pic:spPr>
                </pic:pic>
              </a:graphicData>
            </a:graphic>
          </wp:inline>
        </w:drawing>
      </w:r>
    </w:p>
    <w:p w14:paraId="0C7ACE39" w14:textId="77777777" w:rsidR="008128CD" w:rsidRDefault="001E5EB2" w:rsidP="008128CD">
      <w:pPr>
        <w:keepNext/>
      </w:pPr>
      <w:bookmarkStart w:id="108" w:name="_Toc344928759"/>
      <w:bookmarkStart w:id="109" w:name="_Toc360480600"/>
      <w:bookmarkStart w:id="110" w:name="_Toc361167151"/>
      <w:bookmarkStart w:id="111" w:name="_Toc363499321"/>
      <w:bookmarkStart w:id="112" w:name="_Toc363499492"/>
      <w:bookmarkStart w:id="113" w:name="_Toc366175875"/>
      <w:r w:rsidRPr="005A4EF9">
        <w:rPr>
          <w:noProof/>
          <w:lang w:eastAsia="en-GB"/>
        </w:rPr>
        <w:lastRenderedPageBreak/>
        <w:drawing>
          <wp:inline distT="0" distB="0" distL="0" distR="0" wp14:anchorId="567FDD9C" wp14:editId="02658CBB">
            <wp:extent cx="5731510" cy="3745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102EC185" w14:textId="0335EEB8" w:rsidR="00EE03C0" w:rsidRPr="008128CD" w:rsidRDefault="008128CD" w:rsidP="008128CD">
      <w:pPr>
        <w:pStyle w:val="Caption"/>
        <w:rPr>
          <w:rFonts w:ascii="Times New Roman" w:hAnsi="Times New Roman" w:cs="Times New Roman"/>
          <w:color w:val="auto"/>
          <w:sz w:val="24"/>
          <w:szCs w:val="24"/>
        </w:rPr>
      </w:pPr>
      <w:bookmarkStart w:id="114" w:name="_Toc78498681"/>
      <w:r w:rsidRPr="008128CD">
        <w:rPr>
          <w:rFonts w:ascii="Times New Roman" w:hAnsi="Times New Roman" w:cs="Times New Roman"/>
          <w:color w:val="auto"/>
          <w:sz w:val="24"/>
          <w:szCs w:val="24"/>
        </w:rPr>
        <w:t xml:space="preserve">Figure </w:t>
      </w:r>
      <w:r w:rsidR="00D238B8">
        <w:rPr>
          <w:rFonts w:ascii="Times New Roman" w:hAnsi="Times New Roman" w:cs="Times New Roman"/>
          <w:color w:val="auto"/>
          <w:sz w:val="24"/>
          <w:szCs w:val="24"/>
        </w:rPr>
        <w:t>1.4.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9</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Graphical Evidence of Volatility</w:t>
      </w:r>
      <w:bookmarkEnd w:id="114"/>
    </w:p>
    <w:p w14:paraId="3C7B051C" w14:textId="4E80423F" w:rsidR="001E5EB2" w:rsidRDefault="001E5EB2" w:rsidP="001E5EB2">
      <w:pPr>
        <w:spacing w:line="360" w:lineRule="auto"/>
        <w:jc w:val="both"/>
        <w:rPr>
          <w:rFonts w:ascii="Times New Roman" w:hAnsi="Times New Roman" w:cs="Times New Roman"/>
          <w:sz w:val="24"/>
          <w:szCs w:val="24"/>
        </w:rPr>
      </w:pPr>
      <w:r w:rsidRPr="00723C4E">
        <w:rPr>
          <w:rFonts w:ascii="Times New Roman" w:hAnsi="Times New Roman" w:cs="Times New Roman"/>
          <w:sz w:val="24"/>
          <w:szCs w:val="24"/>
        </w:rPr>
        <w:t xml:space="preserve">Figure </w:t>
      </w:r>
      <w:r w:rsidR="00EE03C0">
        <w:rPr>
          <w:rFonts w:ascii="Times New Roman" w:hAnsi="Times New Roman" w:cs="Times New Roman"/>
          <w:sz w:val="24"/>
          <w:szCs w:val="24"/>
        </w:rPr>
        <w:t>1.</w:t>
      </w:r>
      <w:r w:rsidRPr="00723C4E">
        <w:rPr>
          <w:rFonts w:ascii="Times New Roman" w:hAnsi="Times New Roman" w:cs="Times New Roman"/>
          <w:sz w:val="24"/>
          <w:szCs w:val="24"/>
        </w:rPr>
        <w:t>4.</w:t>
      </w:r>
      <w:r w:rsidR="009E6C64">
        <w:rPr>
          <w:rFonts w:ascii="Times New Roman" w:hAnsi="Times New Roman" w:cs="Times New Roman"/>
          <w:sz w:val="24"/>
          <w:szCs w:val="24"/>
        </w:rPr>
        <w:t>9</w:t>
      </w:r>
      <w:r w:rsidRPr="00723C4E">
        <w:rPr>
          <w:rFonts w:ascii="Times New Roman" w:hAnsi="Times New Roman" w:cs="Times New Roman"/>
          <w:sz w:val="24"/>
          <w:szCs w:val="24"/>
        </w:rPr>
        <w:t xml:space="preserve"> graphically describe the volatility clustering feature of the spread and S&amp;P500, which implies that the volatility type models might be suitable for the current data. It can be observed that for each spread, large changes are followed by large changes while small changes follow small changes historically.  Further discussion and analysis are given in the next subsection.  </w:t>
      </w:r>
    </w:p>
    <w:p w14:paraId="04C39D8D" w14:textId="5F7FDCB9" w:rsidR="00265387" w:rsidRDefault="00265387" w:rsidP="001E5EB2">
      <w:pPr>
        <w:spacing w:line="360" w:lineRule="auto"/>
        <w:jc w:val="both"/>
        <w:rPr>
          <w:rFonts w:ascii="Times New Roman" w:hAnsi="Times New Roman" w:cs="Times New Roman"/>
          <w:sz w:val="24"/>
          <w:szCs w:val="24"/>
        </w:rPr>
      </w:pPr>
    </w:p>
    <w:p w14:paraId="47438F61" w14:textId="05E064D8" w:rsidR="00265387" w:rsidRDefault="00265387" w:rsidP="001E5EB2">
      <w:pPr>
        <w:spacing w:line="360" w:lineRule="auto"/>
        <w:jc w:val="both"/>
        <w:rPr>
          <w:rFonts w:ascii="Times New Roman" w:hAnsi="Times New Roman" w:cs="Times New Roman"/>
          <w:sz w:val="24"/>
          <w:szCs w:val="24"/>
        </w:rPr>
      </w:pPr>
    </w:p>
    <w:p w14:paraId="0C895577" w14:textId="0BA0630B" w:rsidR="00265387" w:rsidRDefault="00265387" w:rsidP="001E5EB2">
      <w:pPr>
        <w:spacing w:line="360" w:lineRule="auto"/>
        <w:jc w:val="both"/>
        <w:rPr>
          <w:rFonts w:ascii="Times New Roman" w:hAnsi="Times New Roman" w:cs="Times New Roman"/>
          <w:sz w:val="24"/>
          <w:szCs w:val="24"/>
        </w:rPr>
      </w:pPr>
    </w:p>
    <w:p w14:paraId="230441F0" w14:textId="75625CB7" w:rsidR="00265387" w:rsidRDefault="00265387" w:rsidP="001E5EB2">
      <w:pPr>
        <w:spacing w:line="360" w:lineRule="auto"/>
        <w:jc w:val="both"/>
        <w:rPr>
          <w:rFonts w:ascii="Times New Roman" w:hAnsi="Times New Roman" w:cs="Times New Roman"/>
          <w:sz w:val="24"/>
          <w:szCs w:val="24"/>
        </w:rPr>
      </w:pPr>
    </w:p>
    <w:p w14:paraId="598BD216" w14:textId="64078EB3" w:rsidR="00265387" w:rsidRDefault="00265387" w:rsidP="001E5EB2">
      <w:pPr>
        <w:spacing w:line="360" w:lineRule="auto"/>
        <w:jc w:val="both"/>
        <w:rPr>
          <w:rFonts w:ascii="Times New Roman" w:hAnsi="Times New Roman" w:cs="Times New Roman"/>
          <w:sz w:val="24"/>
          <w:szCs w:val="24"/>
        </w:rPr>
      </w:pPr>
    </w:p>
    <w:p w14:paraId="10FA5AC6" w14:textId="6F790710" w:rsidR="00265387" w:rsidRDefault="00265387" w:rsidP="001E5EB2">
      <w:pPr>
        <w:spacing w:line="360" w:lineRule="auto"/>
        <w:jc w:val="both"/>
        <w:rPr>
          <w:rFonts w:ascii="Times New Roman" w:hAnsi="Times New Roman" w:cs="Times New Roman"/>
          <w:sz w:val="24"/>
          <w:szCs w:val="24"/>
        </w:rPr>
      </w:pPr>
    </w:p>
    <w:p w14:paraId="1110E64E" w14:textId="505FEA9E" w:rsidR="00265387" w:rsidRDefault="00265387" w:rsidP="001E5EB2">
      <w:pPr>
        <w:spacing w:line="360" w:lineRule="auto"/>
        <w:jc w:val="both"/>
        <w:rPr>
          <w:rFonts w:ascii="Times New Roman" w:hAnsi="Times New Roman" w:cs="Times New Roman"/>
          <w:sz w:val="24"/>
          <w:szCs w:val="24"/>
        </w:rPr>
      </w:pPr>
    </w:p>
    <w:p w14:paraId="0AB896A7" w14:textId="77777777" w:rsidR="00265387" w:rsidRPr="00723C4E" w:rsidRDefault="00265387" w:rsidP="001E5EB2">
      <w:pPr>
        <w:spacing w:line="360" w:lineRule="auto"/>
        <w:jc w:val="both"/>
        <w:rPr>
          <w:rFonts w:ascii="Times New Roman" w:hAnsi="Times New Roman" w:cs="Times New Roman"/>
          <w:sz w:val="24"/>
          <w:szCs w:val="24"/>
        </w:rPr>
      </w:pPr>
    </w:p>
    <w:p w14:paraId="216AA93B" w14:textId="5DA4318D" w:rsidR="00BD375E" w:rsidRDefault="00BD375E" w:rsidP="00BD375E">
      <w:pPr>
        <w:pStyle w:val="Heading3"/>
      </w:pPr>
      <w:bookmarkStart w:id="115" w:name="_Toc90499965"/>
      <w:r>
        <w:lastRenderedPageBreak/>
        <w:t>1.4.5.2 Serial Autocorrelation</w:t>
      </w:r>
      <w:bookmarkEnd w:id="115"/>
      <w:r>
        <w:t xml:space="preserve"> </w:t>
      </w:r>
    </w:p>
    <w:p w14:paraId="7F0DE8E0" w14:textId="77777777" w:rsidR="00265387" w:rsidRPr="00265387" w:rsidRDefault="00265387" w:rsidP="00265387"/>
    <w:p w14:paraId="705E9EE6" w14:textId="77777777" w:rsidR="008128CD" w:rsidRDefault="00CA2210" w:rsidP="008128CD">
      <w:pPr>
        <w:keepNext/>
        <w:widowControl w:val="0"/>
        <w:autoSpaceDE w:val="0"/>
        <w:autoSpaceDN w:val="0"/>
        <w:adjustRightInd w:val="0"/>
        <w:spacing w:line="360" w:lineRule="auto"/>
        <w:jc w:val="both"/>
      </w:pPr>
      <w:r w:rsidRPr="000162D2">
        <w:rPr>
          <w:noProof/>
          <w:lang w:eastAsia="en-GB"/>
        </w:rPr>
        <w:drawing>
          <wp:inline distT="0" distB="0" distL="0" distR="0" wp14:anchorId="2496797D" wp14:editId="4D16B952">
            <wp:extent cx="5704500" cy="3133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13124" cy="3138463"/>
                    </a:xfrm>
                    <a:prstGeom prst="rect">
                      <a:avLst/>
                    </a:prstGeom>
                    <a:noFill/>
                    <a:ln>
                      <a:noFill/>
                    </a:ln>
                  </pic:spPr>
                </pic:pic>
              </a:graphicData>
            </a:graphic>
          </wp:inline>
        </w:drawing>
      </w:r>
    </w:p>
    <w:p w14:paraId="766216EB" w14:textId="13D40228" w:rsidR="00EE03C0" w:rsidRPr="008128CD" w:rsidRDefault="008128CD" w:rsidP="008128CD">
      <w:pPr>
        <w:pStyle w:val="Caption"/>
        <w:jc w:val="both"/>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Figure </w:t>
      </w:r>
      <w:r w:rsidR="009E6C64">
        <w:rPr>
          <w:rFonts w:ascii="Times New Roman" w:hAnsi="Times New Roman" w:cs="Times New Roman"/>
          <w:color w:val="auto"/>
          <w:sz w:val="24"/>
          <w:szCs w:val="24"/>
        </w:rPr>
        <w:t>1.4.10</w:t>
      </w:r>
      <w:r w:rsidRPr="008128CD">
        <w:rPr>
          <w:rFonts w:ascii="Times New Roman" w:hAnsi="Times New Roman" w:cs="Times New Roman"/>
          <w:color w:val="auto"/>
          <w:sz w:val="24"/>
          <w:szCs w:val="24"/>
        </w:rPr>
        <w:t xml:space="preserve"> Autocorrelation</w:t>
      </w:r>
    </w:p>
    <w:p w14:paraId="069FE420" w14:textId="77777777" w:rsidR="00984D4E" w:rsidRPr="00CA2210" w:rsidRDefault="00984D4E" w:rsidP="00984D4E">
      <w:pPr>
        <w:jc w:val="both"/>
        <w:rPr>
          <w:rFonts w:ascii="Times New Roman" w:hAnsi="Times New Roman" w:cs="Times New Roman"/>
          <w:sz w:val="20"/>
          <w:szCs w:val="20"/>
        </w:rPr>
      </w:pPr>
      <w:r w:rsidRPr="00CA2210">
        <w:rPr>
          <w:rFonts w:ascii="Times New Roman" w:hAnsi="Times New Roman" w:cs="Times New Roman"/>
          <w:i/>
          <w:sz w:val="20"/>
          <w:szCs w:val="20"/>
        </w:rPr>
        <w:t>Note:</w:t>
      </w:r>
      <w:r w:rsidRPr="00CA2210">
        <w:rPr>
          <w:rFonts w:ascii="Times New Roman" w:hAnsi="Times New Roman" w:cs="Times New Roman"/>
          <w:b/>
          <w:sz w:val="20"/>
          <w:szCs w:val="20"/>
        </w:rPr>
        <w:t xml:space="preserve"> </w:t>
      </w:r>
      <w:r w:rsidRPr="00CA2210">
        <w:rPr>
          <w:rFonts w:ascii="Times New Roman" w:hAnsi="Times New Roman" w:cs="Times New Roman"/>
          <w:sz w:val="20"/>
          <w:szCs w:val="20"/>
        </w:rPr>
        <w:t>SAC and PSAC do not show the ARCH/GARCH effect directly. The returns series are stationary with some showing autocorrelation, which could imply the underlying ARCH/GARCH effect.</w:t>
      </w:r>
    </w:p>
    <w:p w14:paraId="4FF7D35A" w14:textId="0D90B6FF" w:rsidR="00BD375E" w:rsidRDefault="00BD375E" w:rsidP="00BD375E">
      <w:pPr>
        <w:pStyle w:val="Heading3"/>
        <w:rPr>
          <w:lang w:eastAsia="hu-HU"/>
        </w:rPr>
      </w:pPr>
      <w:bookmarkStart w:id="116" w:name="_Toc90499966"/>
      <w:r>
        <w:rPr>
          <w:lang w:eastAsia="hu-HU"/>
        </w:rPr>
        <w:t>1.4.5.3 Partial Serial Autocorrelation</w:t>
      </w:r>
      <w:bookmarkEnd w:id="116"/>
      <w:r>
        <w:rPr>
          <w:lang w:eastAsia="hu-HU"/>
        </w:rPr>
        <w:t xml:space="preserve"> </w:t>
      </w:r>
    </w:p>
    <w:p w14:paraId="08C6FC43" w14:textId="77777777" w:rsidR="008128CD" w:rsidRDefault="008E01BD" w:rsidP="008128CD">
      <w:pPr>
        <w:keepNext/>
      </w:pPr>
      <w:r w:rsidRPr="008E01BD">
        <w:rPr>
          <w:noProof/>
          <w:lang w:eastAsia="en-GB"/>
        </w:rPr>
        <w:drawing>
          <wp:inline distT="0" distB="0" distL="0" distR="0" wp14:anchorId="249B8C2A" wp14:editId="4102DD09">
            <wp:extent cx="5514975" cy="3343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3212" cy="3348268"/>
                    </a:xfrm>
                    <a:prstGeom prst="rect">
                      <a:avLst/>
                    </a:prstGeom>
                    <a:noFill/>
                    <a:ln>
                      <a:noFill/>
                    </a:ln>
                  </pic:spPr>
                </pic:pic>
              </a:graphicData>
            </a:graphic>
          </wp:inline>
        </w:drawing>
      </w:r>
    </w:p>
    <w:p w14:paraId="31E73E0F" w14:textId="4B9261A4" w:rsidR="00EE03C0" w:rsidRPr="008128CD" w:rsidRDefault="008128CD" w:rsidP="008128CD">
      <w:pPr>
        <w:pStyle w:val="Caption"/>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Figure </w:t>
      </w:r>
      <w:r w:rsidR="009E6C64">
        <w:rPr>
          <w:rFonts w:ascii="Times New Roman" w:hAnsi="Times New Roman" w:cs="Times New Roman"/>
          <w:color w:val="auto"/>
          <w:sz w:val="24"/>
          <w:szCs w:val="24"/>
        </w:rPr>
        <w:t>1.4.11</w:t>
      </w:r>
      <w:r w:rsidRPr="008128CD">
        <w:rPr>
          <w:rFonts w:ascii="Times New Roman" w:hAnsi="Times New Roman" w:cs="Times New Roman"/>
          <w:color w:val="auto"/>
          <w:sz w:val="24"/>
          <w:szCs w:val="24"/>
        </w:rPr>
        <w:t xml:space="preserve"> Partial Autocorrelation</w:t>
      </w:r>
    </w:p>
    <w:p w14:paraId="22474DCF" w14:textId="34CA2BCB" w:rsidR="00BD375E" w:rsidRDefault="00BD375E" w:rsidP="00BD375E">
      <w:pPr>
        <w:widowControl w:val="0"/>
        <w:autoSpaceDE w:val="0"/>
        <w:autoSpaceDN w:val="0"/>
        <w:adjustRightInd w:val="0"/>
        <w:spacing w:line="360" w:lineRule="auto"/>
        <w:jc w:val="both"/>
        <w:rPr>
          <w:rFonts w:ascii="Times New Roman" w:hAnsi="Times New Roman" w:cs="Times New Roman"/>
          <w:sz w:val="24"/>
          <w:szCs w:val="24"/>
        </w:rPr>
      </w:pPr>
      <w:r w:rsidRPr="00723C4E">
        <w:rPr>
          <w:rFonts w:ascii="Times New Roman" w:hAnsi="Times New Roman" w:cs="Times New Roman"/>
          <w:sz w:val="24"/>
          <w:szCs w:val="24"/>
        </w:rPr>
        <w:t xml:space="preserve">Figures </w:t>
      </w:r>
      <w:r w:rsidR="00EE03C0">
        <w:rPr>
          <w:rFonts w:ascii="Times New Roman" w:hAnsi="Times New Roman" w:cs="Times New Roman"/>
          <w:sz w:val="24"/>
          <w:szCs w:val="24"/>
        </w:rPr>
        <w:t>1.</w:t>
      </w:r>
      <w:r w:rsidRPr="00723C4E">
        <w:rPr>
          <w:rFonts w:ascii="Times New Roman" w:hAnsi="Times New Roman" w:cs="Times New Roman"/>
          <w:sz w:val="24"/>
          <w:szCs w:val="24"/>
        </w:rPr>
        <w:t>4.</w:t>
      </w:r>
      <w:r w:rsidR="009E6C64">
        <w:rPr>
          <w:rFonts w:ascii="Times New Roman" w:hAnsi="Times New Roman" w:cs="Times New Roman"/>
          <w:sz w:val="24"/>
          <w:szCs w:val="24"/>
        </w:rPr>
        <w:t>10</w:t>
      </w:r>
      <w:r w:rsidRPr="00723C4E">
        <w:rPr>
          <w:rFonts w:ascii="Times New Roman" w:hAnsi="Times New Roman" w:cs="Times New Roman"/>
          <w:sz w:val="24"/>
          <w:szCs w:val="24"/>
        </w:rPr>
        <w:t xml:space="preserve"> and </w:t>
      </w:r>
      <w:r w:rsidR="00EE03C0">
        <w:rPr>
          <w:rFonts w:ascii="Times New Roman" w:hAnsi="Times New Roman" w:cs="Times New Roman"/>
          <w:sz w:val="24"/>
          <w:szCs w:val="24"/>
        </w:rPr>
        <w:t>1.</w:t>
      </w:r>
      <w:r w:rsidRPr="00723C4E">
        <w:rPr>
          <w:rFonts w:ascii="Times New Roman" w:hAnsi="Times New Roman" w:cs="Times New Roman"/>
          <w:sz w:val="24"/>
          <w:szCs w:val="24"/>
        </w:rPr>
        <w:t>4.1</w:t>
      </w:r>
      <w:r w:rsidR="009E6C64">
        <w:rPr>
          <w:rFonts w:ascii="Times New Roman" w:hAnsi="Times New Roman" w:cs="Times New Roman"/>
          <w:sz w:val="24"/>
          <w:szCs w:val="24"/>
        </w:rPr>
        <w:t>1</w:t>
      </w:r>
      <w:r w:rsidRPr="00723C4E">
        <w:rPr>
          <w:rFonts w:ascii="Times New Roman" w:hAnsi="Times New Roman" w:cs="Times New Roman"/>
          <w:sz w:val="24"/>
          <w:szCs w:val="24"/>
        </w:rPr>
        <w:t xml:space="preserve"> show the sample autocorrelation (SAC), which indicates the ARCH </w:t>
      </w:r>
      <w:r w:rsidRPr="00723C4E">
        <w:rPr>
          <w:rFonts w:ascii="Times New Roman" w:hAnsi="Times New Roman" w:cs="Times New Roman"/>
          <w:sz w:val="24"/>
          <w:szCs w:val="24"/>
        </w:rPr>
        <w:lastRenderedPageBreak/>
        <w:t xml:space="preserve">effects and sample partial autocorrelation (PSAC), which displays the GARCH effects for the four stock indices. Both SAC and PSAC are calculated up to 40 lags by using the classical homoscedastic standard errors. It is quite obvious that all the series exhibit significant autocorrelation. </w:t>
      </w:r>
    </w:p>
    <w:p w14:paraId="523A5121" w14:textId="3AD7FDF6" w:rsidR="00BD375E" w:rsidRDefault="00BD375E" w:rsidP="00BD375E">
      <w:pPr>
        <w:pStyle w:val="Heading2"/>
      </w:pPr>
      <w:bookmarkStart w:id="117" w:name="_Toc90499967"/>
      <w:r>
        <w:t>1.4.6 Model selection for optimal conditional mean order</w:t>
      </w:r>
      <w:bookmarkEnd w:id="117"/>
    </w:p>
    <w:p w14:paraId="66428275" w14:textId="29A0E0C0" w:rsidR="00AA01EF" w:rsidRPr="00CA2210" w:rsidRDefault="00AA01EF" w:rsidP="00AA01EF">
      <w:pPr>
        <w:spacing w:line="360" w:lineRule="auto"/>
        <w:jc w:val="both"/>
        <w:rPr>
          <w:rFonts w:ascii="Times New Roman" w:hAnsi="Times New Roman" w:cs="Times New Roman"/>
          <w:sz w:val="24"/>
          <w:szCs w:val="24"/>
        </w:rPr>
      </w:pPr>
      <w:r w:rsidRPr="00CA2210">
        <w:rPr>
          <w:rFonts w:ascii="Times New Roman" w:hAnsi="Times New Roman" w:cs="Times New Roman"/>
          <w:sz w:val="24"/>
          <w:szCs w:val="24"/>
        </w:rPr>
        <w:t xml:space="preserve">According to the AIC and BIC criteria, mean-orders for the examined spreads and S&amp;P500 are selected to achieve the optimal  </w:t>
      </w:r>
      <m:oMath>
        <m:r>
          <w:rPr>
            <w:rFonts w:ascii="Cambria Math" w:hAnsi="Cambria Math" w:cs="Times New Roman"/>
            <w:sz w:val="24"/>
            <w:szCs w:val="24"/>
          </w:rPr>
          <m:t>ARMA</m:t>
        </m:r>
      </m:oMath>
      <w:r w:rsidRPr="00CA2210">
        <w:rPr>
          <w:rFonts w:ascii="Times New Roman" w:hAnsi="Times New Roman" w:cs="Times New Roman"/>
          <w:sz w:val="24"/>
          <w:szCs w:val="24"/>
        </w:rPr>
        <w:t xml:space="preserve"> to obtain the conditional mean for the data.</w:t>
      </w:r>
    </w:p>
    <w:p w14:paraId="54CC8BA0" w14:textId="537258EC" w:rsidR="00C93E59" w:rsidRPr="00C93E59" w:rsidRDefault="00C93E59" w:rsidP="00C93E59">
      <w:pPr>
        <w:pStyle w:val="Caption"/>
        <w:keepNext/>
        <w:rPr>
          <w:rFonts w:ascii="Times New Roman" w:hAnsi="Times New Roman" w:cs="Times New Roman"/>
          <w:color w:val="auto"/>
          <w:sz w:val="24"/>
          <w:szCs w:val="24"/>
        </w:rPr>
      </w:pPr>
      <w:r w:rsidRPr="00C93E59">
        <w:rPr>
          <w:rFonts w:ascii="Times New Roman" w:hAnsi="Times New Roman" w:cs="Times New Roman"/>
          <w:color w:val="auto"/>
          <w:sz w:val="24"/>
          <w:szCs w:val="24"/>
        </w:rPr>
        <w:t>Table 1.4.5 Optimal Conditional Mean-order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839"/>
        <w:gridCol w:w="2839"/>
      </w:tblGrid>
      <w:tr w:rsidR="00AA01EF" w:rsidRPr="0053691F" w14:paraId="374EE452" w14:textId="77777777" w:rsidTr="00A1158E">
        <w:trPr>
          <w:jc w:val="center"/>
        </w:trPr>
        <w:tc>
          <w:tcPr>
            <w:tcW w:w="2838" w:type="dxa"/>
            <w:shd w:val="clear" w:color="auto" w:fill="auto"/>
          </w:tcPr>
          <w:p w14:paraId="3D0BA824" w14:textId="1847493A" w:rsidR="00AA01EF" w:rsidRPr="0053691F" w:rsidRDefault="00AA01EF" w:rsidP="00A1158E">
            <w:pPr>
              <w:jc w:val="center"/>
              <w:rPr>
                <w:rFonts w:ascii="Arial" w:hAnsi="Arial" w:cs="Arial"/>
              </w:rPr>
            </w:pPr>
            <w:r>
              <w:rPr>
                <w:rFonts w:ascii="Arial" w:hAnsi="Arial" w:cs="Arial"/>
              </w:rPr>
              <w:t>Data</w:t>
            </w:r>
          </w:p>
        </w:tc>
        <w:tc>
          <w:tcPr>
            <w:tcW w:w="2839" w:type="dxa"/>
            <w:shd w:val="clear" w:color="auto" w:fill="auto"/>
          </w:tcPr>
          <w:p w14:paraId="033E3AA2" w14:textId="77777777" w:rsidR="00AA01EF" w:rsidRPr="0053691F" w:rsidRDefault="00AA01EF" w:rsidP="00A1158E">
            <w:pPr>
              <w:jc w:val="center"/>
              <w:rPr>
                <w:rFonts w:ascii="Arial" w:hAnsi="Arial" w:cs="Arial"/>
              </w:rPr>
            </w:pPr>
            <w:r w:rsidRPr="0053691F">
              <w:rPr>
                <w:rFonts w:ascii="Arial" w:hAnsi="Arial" w:cs="Arial"/>
              </w:rPr>
              <w:t>AR</w:t>
            </w:r>
          </w:p>
        </w:tc>
        <w:tc>
          <w:tcPr>
            <w:tcW w:w="2839" w:type="dxa"/>
            <w:shd w:val="clear" w:color="auto" w:fill="auto"/>
          </w:tcPr>
          <w:p w14:paraId="055C0C42" w14:textId="77777777" w:rsidR="00AA01EF" w:rsidRPr="0053691F" w:rsidRDefault="00AA01EF" w:rsidP="00A1158E">
            <w:pPr>
              <w:jc w:val="center"/>
              <w:rPr>
                <w:rFonts w:ascii="Arial" w:hAnsi="Arial" w:cs="Arial"/>
              </w:rPr>
            </w:pPr>
            <w:r w:rsidRPr="0053691F">
              <w:rPr>
                <w:rFonts w:ascii="Arial" w:hAnsi="Arial" w:cs="Arial"/>
              </w:rPr>
              <w:t>MA</w:t>
            </w:r>
          </w:p>
        </w:tc>
      </w:tr>
      <w:tr w:rsidR="00AA01EF" w:rsidRPr="0053691F" w14:paraId="54130874" w14:textId="77777777" w:rsidTr="00A1158E">
        <w:trPr>
          <w:jc w:val="center"/>
        </w:trPr>
        <w:tc>
          <w:tcPr>
            <w:tcW w:w="2838" w:type="dxa"/>
            <w:shd w:val="clear" w:color="auto" w:fill="auto"/>
          </w:tcPr>
          <w:p w14:paraId="6899EBEE" w14:textId="76F221C2" w:rsidR="00AA01EF" w:rsidRPr="0053691F" w:rsidRDefault="00AA01EF" w:rsidP="00A1158E">
            <w:pPr>
              <w:jc w:val="center"/>
              <w:rPr>
                <w:rFonts w:ascii="Arial" w:hAnsi="Arial" w:cs="Arial"/>
              </w:rPr>
            </w:pPr>
            <w:r>
              <w:rPr>
                <w:rFonts w:ascii="Arial" w:hAnsi="Arial" w:cs="Arial"/>
              </w:rPr>
              <w:t>S&amp;P500(return)</w:t>
            </w:r>
          </w:p>
        </w:tc>
        <w:tc>
          <w:tcPr>
            <w:tcW w:w="2839" w:type="dxa"/>
            <w:shd w:val="clear" w:color="auto" w:fill="auto"/>
          </w:tcPr>
          <w:p w14:paraId="73FCE552" w14:textId="7C6F2525" w:rsidR="00AA01EF" w:rsidRPr="0053691F" w:rsidRDefault="00AA01EF" w:rsidP="00A1158E">
            <w:pPr>
              <w:jc w:val="center"/>
              <w:rPr>
                <w:rFonts w:ascii="Arial" w:hAnsi="Arial" w:cs="Arial"/>
              </w:rPr>
            </w:pPr>
            <w:r>
              <w:rPr>
                <w:rFonts w:ascii="Arial" w:hAnsi="Arial" w:cs="Arial"/>
              </w:rPr>
              <w:t>2</w:t>
            </w:r>
          </w:p>
        </w:tc>
        <w:tc>
          <w:tcPr>
            <w:tcW w:w="2839" w:type="dxa"/>
            <w:shd w:val="clear" w:color="auto" w:fill="auto"/>
          </w:tcPr>
          <w:p w14:paraId="47F66F27" w14:textId="71B97409" w:rsidR="00AA01EF" w:rsidRPr="0053691F" w:rsidRDefault="00AA01EF" w:rsidP="00A1158E">
            <w:pPr>
              <w:jc w:val="center"/>
              <w:rPr>
                <w:rFonts w:ascii="Arial" w:hAnsi="Arial" w:cs="Arial"/>
              </w:rPr>
            </w:pPr>
            <w:r>
              <w:rPr>
                <w:rFonts w:ascii="Arial" w:hAnsi="Arial" w:cs="Arial"/>
              </w:rPr>
              <w:t>0</w:t>
            </w:r>
          </w:p>
        </w:tc>
      </w:tr>
      <w:tr w:rsidR="00AA01EF" w:rsidRPr="0053691F" w14:paraId="6D08C63F" w14:textId="77777777" w:rsidTr="00A1158E">
        <w:trPr>
          <w:jc w:val="center"/>
        </w:trPr>
        <w:tc>
          <w:tcPr>
            <w:tcW w:w="2838" w:type="dxa"/>
            <w:shd w:val="clear" w:color="auto" w:fill="auto"/>
          </w:tcPr>
          <w:p w14:paraId="79382972" w14:textId="346AC365" w:rsidR="00AA01EF" w:rsidRPr="0053691F" w:rsidRDefault="00AA01EF" w:rsidP="00A1158E">
            <w:pPr>
              <w:jc w:val="center"/>
              <w:rPr>
                <w:rFonts w:ascii="Arial" w:hAnsi="Arial" w:cs="Arial"/>
              </w:rPr>
            </w:pPr>
            <w:r>
              <w:rPr>
                <w:rFonts w:ascii="Arial" w:hAnsi="Arial" w:cs="Arial"/>
              </w:rPr>
              <w:t>ABCP</w:t>
            </w:r>
          </w:p>
        </w:tc>
        <w:tc>
          <w:tcPr>
            <w:tcW w:w="2839" w:type="dxa"/>
            <w:shd w:val="clear" w:color="auto" w:fill="auto"/>
          </w:tcPr>
          <w:p w14:paraId="7A9AFC69" w14:textId="0ED3EF36" w:rsidR="00AA01EF" w:rsidRPr="0053691F" w:rsidRDefault="00AA01EF" w:rsidP="00A1158E">
            <w:pPr>
              <w:jc w:val="center"/>
              <w:rPr>
                <w:rFonts w:ascii="Arial" w:hAnsi="Arial" w:cs="Arial"/>
              </w:rPr>
            </w:pPr>
            <w:r>
              <w:rPr>
                <w:rFonts w:ascii="Arial" w:hAnsi="Arial" w:cs="Arial"/>
              </w:rPr>
              <w:t>2</w:t>
            </w:r>
          </w:p>
        </w:tc>
        <w:tc>
          <w:tcPr>
            <w:tcW w:w="2839" w:type="dxa"/>
            <w:shd w:val="clear" w:color="auto" w:fill="auto"/>
          </w:tcPr>
          <w:p w14:paraId="26D24E0B" w14:textId="77777777" w:rsidR="00AA01EF" w:rsidRPr="0053691F" w:rsidRDefault="00AA01EF" w:rsidP="00A1158E">
            <w:pPr>
              <w:jc w:val="center"/>
              <w:rPr>
                <w:rFonts w:ascii="Arial" w:hAnsi="Arial" w:cs="Arial"/>
              </w:rPr>
            </w:pPr>
            <w:r w:rsidRPr="0053691F">
              <w:rPr>
                <w:rFonts w:ascii="Arial" w:hAnsi="Arial" w:cs="Arial"/>
              </w:rPr>
              <w:t>0</w:t>
            </w:r>
          </w:p>
        </w:tc>
      </w:tr>
      <w:tr w:rsidR="00AA01EF" w:rsidRPr="0053691F" w14:paraId="6231D370" w14:textId="77777777" w:rsidTr="00A1158E">
        <w:trPr>
          <w:jc w:val="center"/>
        </w:trPr>
        <w:tc>
          <w:tcPr>
            <w:tcW w:w="2838" w:type="dxa"/>
            <w:shd w:val="clear" w:color="auto" w:fill="auto"/>
          </w:tcPr>
          <w:p w14:paraId="04AA5F51" w14:textId="1ED21976" w:rsidR="00AA01EF" w:rsidRPr="0053691F" w:rsidRDefault="00AA01EF" w:rsidP="00A1158E">
            <w:pPr>
              <w:jc w:val="center"/>
              <w:rPr>
                <w:rFonts w:ascii="Arial" w:hAnsi="Arial" w:cs="Arial"/>
              </w:rPr>
            </w:pPr>
            <w:r>
              <w:rPr>
                <w:rFonts w:ascii="Arial" w:hAnsi="Arial" w:cs="Arial"/>
              </w:rPr>
              <w:t>OIS</w:t>
            </w:r>
          </w:p>
        </w:tc>
        <w:tc>
          <w:tcPr>
            <w:tcW w:w="2839" w:type="dxa"/>
            <w:shd w:val="clear" w:color="auto" w:fill="auto"/>
          </w:tcPr>
          <w:p w14:paraId="171766CB" w14:textId="74A27000" w:rsidR="00AA01EF" w:rsidRPr="0053691F" w:rsidRDefault="00AA01EF" w:rsidP="00A1158E">
            <w:pPr>
              <w:jc w:val="center"/>
              <w:rPr>
                <w:rFonts w:ascii="Arial" w:hAnsi="Arial" w:cs="Arial"/>
              </w:rPr>
            </w:pPr>
            <w:r>
              <w:rPr>
                <w:rFonts w:ascii="Arial" w:hAnsi="Arial" w:cs="Arial"/>
              </w:rPr>
              <w:t>2</w:t>
            </w:r>
          </w:p>
        </w:tc>
        <w:tc>
          <w:tcPr>
            <w:tcW w:w="2839" w:type="dxa"/>
            <w:shd w:val="clear" w:color="auto" w:fill="auto"/>
          </w:tcPr>
          <w:p w14:paraId="77CF2E58" w14:textId="4D78AE92" w:rsidR="00AA01EF" w:rsidRPr="0053691F" w:rsidRDefault="00AA01EF" w:rsidP="00A1158E">
            <w:pPr>
              <w:jc w:val="center"/>
              <w:rPr>
                <w:rFonts w:ascii="Arial" w:hAnsi="Arial" w:cs="Arial"/>
              </w:rPr>
            </w:pPr>
            <w:r>
              <w:rPr>
                <w:rFonts w:ascii="Arial" w:hAnsi="Arial" w:cs="Arial"/>
              </w:rPr>
              <w:t>1</w:t>
            </w:r>
          </w:p>
        </w:tc>
      </w:tr>
      <w:tr w:rsidR="00AA01EF" w:rsidRPr="0053691F" w14:paraId="6466EA92" w14:textId="77777777" w:rsidTr="00A1158E">
        <w:trPr>
          <w:jc w:val="center"/>
        </w:trPr>
        <w:tc>
          <w:tcPr>
            <w:tcW w:w="2838" w:type="dxa"/>
            <w:shd w:val="clear" w:color="auto" w:fill="auto"/>
          </w:tcPr>
          <w:p w14:paraId="2C895810" w14:textId="0573EBAD" w:rsidR="00AA01EF" w:rsidRPr="0053691F" w:rsidRDefault="00AA01EF" w:rsidP="00A1158E">
            <w:pPr>
              <w:jc w:val="center"/>
              <w:rPr>
                <w:rFonts w:ascii="Arial" w:hAnsi="Arial" w:cs="Arial"/>
              </w:rPr>
            </w:pPr>
            <w:r>
              <w:rPr>
                <w:rFonts w:ascii="Arial" w:hAnsi="Arial" w:cs="Arial"/>
              </w:rPr>
              <w:t>TED</w:t>
            </w:r>
          </w:p>
        </w:tc>
        <w:tc>
          <w:tcPr>
            <w:tcW w:w="2839" w:type="dxa"/>
            <w:shd w:val="clear" w:color="auto" w:fill="auto"/>
          </w:tcPr>
          <w:p w14:paraId="2C0438A1" w14:textId="77777777" w:rsidR="00AA01EF" w:rsidRPr="0053691F" w:rsidRDefault="00AA01EF" w:rsidP="00A1158E">
            <w:pPr>
              <w:jc w:val="center"/>
              <w:rPr>
                <w:rFonts w:ascii="Arial" w:hAnsi="Arial" w:cs="Arial"/>
              </w:rPr>
            </w:pPr>
            <w:r w:rsidRPr="0053691F">
              <w:rPr>
                <w:rFonts w:ascii="Arial" w:hAnsi="Arial" w:cs="Arial"/>
              </w:rPr>
              <w:t>2</w:t>
            </w:r>
          </w:p>
        </w:tc>
        <w:tc>
          <w:tcPr>
            <w:tcW w:w="2839" w:type="dxa"/>
            <w:shd w:val="clear" w:color="auto" w:fill="auto"/>
          </w:tcPr>
          <w:p w14:paraId="38FD31A9" w14:textId="5AF54C8D" w:rsidR="00AA01EF" w:rsidRPr="0053691F" w:rsidRDefault="00AA01EF" w:rsidP="00A1158E">
            <w:pPr>
              <w:jc w:val="center"/>
              <w:rPr>
                <w:rFonts w:ascii="Arial" w:hAnsi="Arial" w:cs="Arial"/>
              </w:rPr>
            </w:pPr>
            <w:r>
              <w:rPr>
                <w:rFonts w:ascii="Arial" w:hAnsi="Arial" w:cs="Arial"/>
              </w:rPr>
              <w:t>2</w:t>
            </w:r>
          </w:p>
        </w:tc>
      </w:tr>
    </w:tbl>
    <w:p w14:paraId="5B41DC7F" w14:textId="5AA90F33" w:rsidR="00AA01EF" w:rsidRPr="0053691F" w:rsidRDefault="00AA01EF" w:rsidP="00AA01EF">
      <w:pPr>
        <w:spacing w:line="480" w:lineRule="auto"/>
        <w:jc w:val="both"/>
        <w:rPr>
          <w:rFonts w:ascii="Cambria Math" w:hAnsi="Cambria Math"/>
          <w:sz w:val="20"/>
          <w:szCs w:val="20"/>
          <w:oMath/>
        </w:rPr>
      </w:pPr>
      <w:r w:rsidRPr="0053691F">
        <w:rPr>
          <w:i/>
          <w:sz w:val="20"/>
          <w:szCs w:val="20"/>
        </w:rPr>
        <w:t xml:space="preserve">Note: </w:t>
      </w:r>
      <m:oMath>
        <m:r>
          <w:rPr>
            <w:rFonts w:ascii="Cambria Math" w:hAnsi="Cambria Math"/>
            <w:sz w:val="20"/>
            <w:szCs w:val="20"/>
          </w:rPr>
          <m:t xml:space="preserve">ARMA(2,0) </m:t>
        </m:r>
      </m:oMath>
      <w:r w:rsidRPr="0053691F">
        <w:rPr>
          <w:sz w:val="20"/>
          <w:szCs w:val="20"/>
        </w:rPr>
        <w:t xml:space="preserve">is used for </w:t>
      </w:r>
      <w:r>
        <w:rPr>
          <w:sz w:val="20"/>
          <w:szCs w:val="20"/>
        </w:rPr>
        <w:t>S&amp;P500</w:t>
      </w:r>
      <w:r w:rsidRPr="0053691F">
        <w:rPr>
          <w:sz w:val="20"/>
          <w:szCs w:val="20"/>
        </w:rPr>
        <w:t xml:space="preserve">, </w:t>
      </w:r>
      <m:oMath>
        <m:r>
          <w:rPr>
            <w:rFonts w:ascii="Cambria Math" w:hAnsi="Cambria Math"/>
            <w:sz w:val="20"/>
            <w:szCs w:val="20"/>
          </w:rPr>
          <m:t>ARMA</m:t>
        </m:r>
        <m:d>
          <m:dPr>
            <m:ctrlPr>
              <w:rPr>
                <w:rFonts w:ascii="Cambria Math" w:hAnsi="Cambria Math"/>
                <w:i/>
                <w:sz w:val="20"/>
                <w:szCs w:val="20"/>
              </w:rPr>
            </m:ctrlPr>
          </m:dPr>
          <m:e>
            <m:r>
              <w:rPr>
                <w:rFonts w:ascii="Cambria Math" w:hAnsi="Cambria Math"/>
                <w:sz w:val="20"/>
                <w:szCs w:val="20"/>
              </w:rPr>
              <m:t>2,0</m:t>
            </m:r>
          </m:e>
        </m:d>
      </m:oMath>
      <w:r w:rsidRPr="0053691F">
        <w:rPr>
          <w:sz w:val="20"/>
          <w:szCs w:val="20"/>
        </w:rPr>
        <w:t xml:space="preserve"> for </w:t>
      </w:r>
      <w:r w:rsidR="00667B90">
        <w:rPr>
          <w:sz w:val="20"/>
          <w:szCs w:val="20"/>
        </w:rPr>
        <w:t>ABCP</w:t>
      </w:r>
      <w:r w:rsidRPr="0053691F">
        <w:rPr>
          <w:sz w:val="20"/>
          <w:szCs w:val="20"/>
        </w:rPr>
        <w:t xml:space="preserve">, </w:t>
      </w:r>
      <m:oMath>
        <m:r>
          <w:rPr>
            <w:rFonts w:ascii="Cambria Math" w:hAnsi="Cambria Math"/>
            <w:sz w:val="20"/>
            <w:szCs w:val="20"/>
          </w:rPr>
          <m:t>ARMA(2,1)</m:t>
        </m:r>
      </m:oMath>
      <w:r w:rsidRPr="0053691F">
        <w:rPr>
          <w:sz w:val="20"/>
          <w:szCs w:val="20"/>
        </w:rPr>
        <w:t xml:space="preserve"> for </w:t>
      </w:r>
      <w:r w:rsidR="00667B90">
        <w:rPr>
          <w:sz w:val="20"/>
          <w:szCs w:val="20"/>
        </w:rPr>
        <w:t>OIS</w:t>
      </w:r>
      <w:r w:rsidRPr="0053691F">
        <w:rPr>
          <w:sz w:val="20"/>
          <w:szCs w:val="20"/>
        </w:rPr>
        <w:t xml:space="preserve"> and </w:t>
      </w:r>
      <m:oMath>
        <m:r>
          <w:rPr>
            <w:rFonts w:ascii="Cambria Math" w:hAnsi="Cambria Math"/>
            <w:sz w:val="20"/>
            <w:szCs w:val="20"/>
          </w:rPr>
          <m:t>ARMA(2,2)</m:t>
        </m:r>
      </m:oMath>
      <w:r w:rsidRPr="0053691F">
        <w:rPr>
          <w:sz w:val="20"/>
          <w:szCs w:val="20"/>
        </w:rPr>
        <w:t xml:space="preserve"> for </w:t>
      </w:r>
      <w:r w:rsidR="00667B90">
        <w:rPr>
          <w:sz w:val="20"/>
          <w:szCs w:val="20"/>
        </w:rPr>
        <w:t>TED</w:t>
      </w:r>
      <w:r w:rsidRPr="0053691F">
        <w:rPr>
          <w:sz w:val="20"/>
          <w:szCs w:val="20"/>
        </w:rPr>
        <w:t>.</w:t>
      </w:r>
    </w:p>
    <w:p w14:paraId="57D31CDC" w14:textId="0FD9DE1E" w:rsidR="0084314D" w:rsidRDefault="00265387" w:rsidP="00265387">
      <w:pPr>
        <w:pStyle w:val="Heading3"/>
      </w:pPr>
      <w:bookmarkStart w:id="118" w:name="_Toc90499968"/>
      <w:r>
        <w:t xml:space="preserve">1.4.6.1 </w:t>
      </w:r>
      <w:r w:rsidRPr="00B47399">
        <w:rPr>
          <w:lang w:eastAsia="hu-HU"/>
        </w:rPr>
        <w:t>Autocorrelation after best ARMA</w:t>
      </w:r>
      <w:bookmarkEnd w:id="118"/>
    </w:p>
    <w:p w14:paraId="2CB5D884" w14:textId="77777777" w:rsidR="008128CD" w:rsidRDefault="00A1158E" w:rsidP="008128CD">
      <w:pPr>
        <w:keepNext/>
      </w:pPr>
      <w:r w:rsidRPr="00A1158E">
        <w:rPr>
          <w:noProof/>
          <w:lang w:eastAsia="en-GB"/>
        </w:rPr>
        <w:drawing>
          <wp:inline distT="0" distB="0" distL="0" distR="0" wp14:anchorId="7D9BA03F" wp14:editId="5335A14C">
            <wp:extent cx="5181600" cy="3390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81600" cy="3390900"/>
                    </a:xfrm>
                    <a:prstGeom prst="rect">
                      <a:avLst/>
                    </a:prstGeom>
                    <a:noFill/>
                    <a:ln>
                      <a:noFill/>
                    </a:ln>
                  </pic:spPr>
                </pic:pic>
              </a:graphicData>
            </a:graphic>
          </wp:inline>
        </w:drawing>
      </w:r>
    </w:p>
    <w:p w14:paraId="06674905" w14:textId="5F7EE5FD" w:rsidR="00EE03C0" w:rsidRPr="008128CD" w:rsidRDefault="008128CD" w:rsidP="008128CD">
      <w:pPr>
        <w:pStyle w:val="Caption"/>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Figure </w:t>
      </w:r>
      <w:r w:rsidR="009E6C64">
        <w:rPr>
          <w:rFonts w:ascii="Times New Roman" w:hAnsi="Times New Roman" w:cs="Times New Roman"/>
          <w:color w:val="auto"/>
          <w:sz w:val="24"/>
          <w:szCs w:val="24"/>
        </w:rPr>
        <w:t>1.4.12</w:t>
      </w:r>
      <w:r w:rsidRPr="008128CD">
        <w:rPr>
          <w:rFonts w:ascii="Times New Roman" w:hAnsi="Times New Roman" w:cs="Times New Roman"/>
          <w:color w:val="auto"/>
          <w:sz w:val="24"/>
          <w:szCs w:val="24"/>
        </w:rPr>
        <w:t xml:space="preserve"> Autocorrelation after best ARMA</w:t>
      </w:r>
    </w:p>
    <w:p w14:paraId="20742A85" w14:textId="17D902E2" w:rsidR="0084314D" w:rsidRDefault="0084314D" w:rsidP="0084314D">
      <w:pPr>
        <w:spacing w:line="360" w:lineRule="auto"/>
        <w:jc w:val="both"/>
        <w:rPr>
          <w:rFonts w:ascii="Times New Roman" w:hAnsi="Times New Roman" w:cs="Times New Roman"/>
        </w:rPr>
      </w:pPr>
      <w:r w:rsidRPr="0084314D">
        <w:rPr>
          <w:rFonts w:ascii="Times New Roman" w:hAnsi="Times New Roman" w:cs="Times New Roman"/>
        </w:rPr>
        <w:t xml:space="preserve">Figure </w:t>
      </w:r>
      <w:r w:rsidR="00EE03C0">
        <w:rPr>
          <w:rFonts w:ascii="Times New Roman" w:hAnsi="Times New Roman" w:cs="Times New Roman"/>
        </w:rPr>
        <w:t>1.</w:t>
      </w:r>
      <w:r>
        <w:rPr>
          <w:rFonts w:ascii="Times New Roman" w:hAnsi="Times New Roman" w:cs="Times New Roman"/>
        </w:rPr>
        <w:t>4.1</w:t>
      </w:r>
      <w:r w:rsidR="009E6C64">
        <w:rPr>
          <w:rFonts w:ascii="Times New Roman" w:hAnsi="Times New Roman" w:cs="Times New Roman"/>
        </w:rPr>
        <w:t>3</w:t>
      </w:r>
      <w:r w:rsidRPr="0084314D">
        <w:rPr>
          <w:rFonts w:ascii="Times New Roman" w:hAnsi="Times New Roman" w:cs="Times New Roman"/>
        </w:rPr>
        <w:t xml:space="preserve"> shows the LB diagnose test for the optimal ARMA residuals. There is no evidence of remaining autocorrelation from optimal models for the mean. </w:t>
      </w:r>
    </w:p>
    <w:p w14:paraId="20673F3F" w14:textId="3A9F9226" w:rsidR="00A1158E" w:rsidRDefault="00265387" w:rsidP="00F25718">
      <w:pPr>
        <w:pStyle w:val="Heading3"/>
        <w:rPr>
          <w:lang w:eastAsia="hu-HU"/>
        </w:rPr>
      </w:pPr>
      <w:bookmarkStart w:id="119" w:name="_Toc90499969"/>
      <w:r>
        <w:rPr>
          <w:lang w:eastAsia="hu-HU"/>
        </w:rPr>
        <w:lastRenderedPageBreak/>
        <w:t xml:space="preserve">1.4.6.2 </w:t>
      </w:r>
      <w:r w:rsidRPr="00B47399">
        <w:rPr>
          <w:lang w:eastAsia="hu-HU"/>
        </w:rPr>
        <w:t>Partial Autocorrelation after best ARMA</w:t>
      </w:r>
      <w:bookmarkEnd w:id="119"/>
    </w:p>
    <w:p w14:paraId="2F5FA150" w14:textId="77777777" w:rsidR="008128CD" w:rsidRDefault="00A1158E" w:rsidP="008128CD">
      <w:pPr>
        <w:keepNext/>
      </w:pPr>
      <w:r w:rsidRPr="00A1158E">
        <w:rPr>
          <w:noProof/>
          <w:lang w:eastAsia="en-GB"/>
        </w:rPr>
        <w:drawing>
          <wp:inline distT="0" distB="0" distL="0" distR="0" wp14:anchorId="2051D412" wp14:editId="3F167C08">
            <wp:extent cx="5219700" cy="3457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9700" cy="3457575"/>
                    </a:xfrm>
                    <a:prstGeom prst="rect">
                      <a:avLst/>
                    </a:prstGeom>
                    <a:noFill/>
                    <a:ln>
                      <a:noFill/>
                    </a:ln>
                  </pic:spPr>
                </pic:pic>
              </a:graphicData>
            </a:graphic>
          </wp:inline>
        </w:drawing>
      </w:r>
    </w:p>
    <w:p w14:paraId="550476CB" w14:textId="11ACC9AA" w:rsidR="00EE03C0" w:rsidRPr="008128CD" w:rsidRDefault="008128CD" w:rsidP="008128CD">
      <w:pPr>
        <w:pStyle w:val="Caption"/>
        <w:rPr>
          <w:rFonts w:ascii="Times New Roman" w:hAnsi="Times New Roman" w:cs="Times New Roman"/>
          <w:color w:val="auto"/>
          <w:sz w:val="24"/>
          <w:szCs w:val="24"/>
        </w:rPr>
      </w:pPr>
      <w:bookmarkStart w:id="120" w:name="_Toc78498682"/>
      <w:r w:rsidRPr="008128CD">
        <w:rPr>
          <w:rFonts w:ascii="Times New Roman" w:hAnsi="Times New Roman" w:cs="Times New Roman"/>
          <w:color w:val="auto"/>
          <w:sz w:val="24"/>
          <w:szCs w:val="24"/>
        </w:rPr>
        <w:t xml:space="preserve">Figure </w:t>
      </w:r>
      <w:r w:rsidR="009730F8">
        <w:rPr>
          <w:rFonts w:ascii="Times New Roman" w:hAnsi="Times New Roman" w:cs="Times New Roman"/>
          <w:color w:val="auto"/>
          <w:sz w:val="24"/>
          <w:szCs w:val="24"/>
        </w:rPr>
        <w:t>1.4.13</w:t>
      </w:r>
      <w:r w:rsidRPr="008128CD">
        <w:rPr>
          <w:rFonts w:ascii="Times New Roman" w:hAnsi="Times New Roman" w:cs="Times New Roman"/>
          <w:color w:val="auto"/>
          <w:sz w:val="24"/>
          <w:szCs w:val="24"/>
        </w:rPr>
        <w:t xml:space="preserve"> Partial Autocorrelation after best ARMA</w:t>
      </w:r>
      <w:bookmarkEnd w:id="120"/>
    </w:p>
    <w:p w14:paraId="39FA045E" w14:textId="77777777" w:rsidR="00075A19" w:rsidRDefault="00075A19" w:rsidP="00A1158E">
      <w:pPr>
        <w:rPr>
          <w:lang w:eastAsia="hu-HU"/>
        </w:rPr>
      </w:pPr>
    </w:p>
    <w:p w14:paraId="0A286217" w14:textId="12DF7DB2" w:rsidR="00B97006" w:rsidRPr="007B06D2" w:rsidRDefault="00F25718" w:rsidP="007B06D2">
      <w:pPr>
        <w:pStyle w:val="Heading2"/>
      </w:pPr>
      <w:bookmarkStart w:id="121" w:name="_Toc90499970"/>
      <w:r>
        <w:t>1.</w:t>
      </w:r>
      <w:r w:rsidR="0022256D">
        <w:t>4.</w:t>
      </w:r>
      <w:r>
        <w:t>7</w:t>
      </w:r>
      <w:r w:rsidR="0022256D">
        <w:t xml:space="preserve"> </w:t>
      </w:r>
      <w:r w:rsidR="00B97006" w:rsidRPr="007B06D2">
        <w:t>Analysis and Interpretation of Liquidity Transmission Findings</w:t>
      </w:r>
      <w:bookmarkEnd w:id="121"/>
    </w:p>
    <w:p w14:paraId="3CC93CF8" w14:textId="77777777" w:rsidR="00FB5817" w:rsidRDefault="00FB5817" w:rsidP="00B97006">
      <w:pPr>
        <w:spacing w:after="0" w:line="360" w:lineRule="auto"/>
        <w:jc w:val="both"/>
        <w:rPr>
          <w:rFonts w:ascii="Times New Roman" w:hAnsi="Times New Roman"/>
          <w:sz w:val="24"/>
          <w:szCs w:val="24"/>
        </w:rPr>
      </w:pPr>
    </w:p>
    <w:p w14:paraId="4A47C394" w14:textId="46FB5641" w:rsidR="00B97006" w:rsidRDefault="00B97006" w:rsidP="00B97006">
      <w:pPr>
        <w:spacing w:after="0" w:line="360" w:lineRule="auto"/>
        <w:jc w:val="both"/>
        <w:rPr>
          <w:rFonts w:ascii="Times New Roman" w:hAnsi="Times New Roman"/>
          <w:sz w:val="24"/>
          <w:szCs w:val="24"/>
        </w:rPr>
      </w:pPr>
      <w:r w:rsidRPr="0084314D">
        <w:rPr>
          <w:rFonts w:ascii="Times New Roman" w:hAnsi="Times New Roman"/>
          <w:sz w:val="24"/>
          <w:szCs w:val="24"/>
        </w:rPr>
        <w:t xml:space="preserve">Applying the methodologies discussed in </w:t>
      </w:r>
      <w:r w:rsidR="00EE03C0">
        <w:rPr>
          <w:rFonts w:ascii="Times New Roman" w:hAnsi="Times New Roman"/>
          <w:sz w:val="24"/>
          <w:szCs w:val="24"/>
        </w:rPr>
        <w:t>section</w:t>
      </w:r>
      <w:r w:rsidRPr="0084314D">
        <w:rPr>
          <w:rFonts w:ascii="Times New Roman" w:hAnsi="Times New Roman"/>
          <w:sz w:val="24"/>
          <w:szCs w:val="24"/>
        </w:rPr>
        <w:t xml:space="preserve"> </w:t>
      </w:r>
      <w:r w:rsidR="00EE03C0">
        <w:rPr>
          <w:rFonts w:ascii="Times New Roman" w:hAnsi="Times New Roman"/>
          <w:sz w:val="24"/>
          <w:szCs w:val="24"/>
        </w:rPr>
        <w:t>1.</w:t>
      </w:r>
      <w:r w:rsidRPr="0084314D">
        <w:rPr>
          <w:rFonts w:ascii="Times New Roman" w:hAnsi="Times New Roman"/>
          <w:sz w:val="24"/>
          <w:szCs w:val="24"/>
        </w:rPr>
        <w:t xml:space="preserve">3, S&amp;P 500 is selected as a proxy of overall market volatility and estimated daily volatility by using GARCH (1, 1). Compared to the other four spreads which were observed, daily volatility is derived from an econometric model, which does not display any interdependence from other variables. Based on the results of maximum log likelihood values, it is determined that the daily volatility derived from the </w:t>
      </w:r>
      <w:r w:rsidR="00D854FC" w:rsidRPr="0084314D">
        <w:rPr>
          <w:rFonts w:ascii="Times New Roman" w:hAnsi="Times New Roman"/>
          <w:sz w:val="24"/>
          <w:szCs w:val="24"/>
        </w:rPr>
        <w:t>ARMA</w:t>
      </w:r>
      <w:r w:rsidRPr="0084314D">
        <w:rPr>
          <w:rFonts w:ascii="Times New Roman" w:hAnsi="Times New Roman"/>
          <w:sz w:val="24"/>
          <w:szCs w:val="24"/>
        </w:rPr>
        <w:t xml:space="preserve"> was the optimal selection. The optimisations were conducted using </w:t>
      </w:r>
      <w:r w:rsidR="00D854FC" w:rsidRPr="0084314D">
        <w:rPr>
          <w:rFonts w:ascii="Times New Roman" w:hAnsi="Times New Roman"/>
          <w:sz w:val="24"/>
          <w:szCs w:val="24"/>
        </w:rPr>
        <w:t>STATA</w:t>
      </w:r>
      <w:r w:rsidRPr="0084314D">
        <w:rPr>
          <w:rFonts w:ascii="Times New Roman" w:hAnsi="Times New Roman"/>
          <w:sz w:val="24"/>
          <w:szCs w:val="24"/>
        </w:rPr>
        <w:t xml:space="preserve">; the results are summarised in Table </w:t>
      </w:r>
      <w:r w:rsidR="00EE03C0">
        <w:rPr>
          <w:rFonts w:ascii="Times New Roman" w:hAnsi="Times New Roman"/>
          <w:sz w:val="24"/>
          <w:szCs w:val="24"/>
        </w:rPr>
        <w:t>1.</w:t>
      </w:r>
      <w:r w:rsidRPr="0084314D">
        <w:rPr>
          <w:rFonts w:ascii="Times New Roman" w:hAnsi="Times New Roman"/>
          <w:sz w:val="24"/>
          <w:szCs w:val="24"/>
        </w:rPr>
        <w:t>4.1 below.</w:t>
      </w:r>
    </w:p>
    <w:p w14:paraId="3F135B99" w14:textId="77777777" w:rsidR="00F25718" w:rsidRPr="0084314D" w:rsidRDefault="00F25718" w:rsidP="00B97006">
      <w:pPr>
        <w:spacing w:after="0" w:line="360" w:lineRule="auto"/>
        <w:jc w:val="both"/>
        <w:rPr>
          <w:rFonts w:ascii="Times New Roman" w:hAnsi="Times New Roman"/>
          <w:sz w:val="24"/>
          <w:szCs w:val="24"/>
        </w:rPr>
      </w:pPr>
    </w:p>
    <w:p w14:paraId="04F52F8E" w14:textId="2D1CFB31" w:rsidR="00B97006" w:rsidRPr="0084314D" w:rsidRDefault="00B97006" w:rsidP="00B97006">
      <w:pPr>
        <w:tabs>
          <w:tab w:val="left" w:pos="9923"/>
        </w:tabs>
        <w:spacing w:after="0" w:line="360" w:lineRule="auto"/>
        <w:jc w:val="both"/>
        <w:rPr>
          <w:rFonts w:ascii="Times New Roman" w:hAnsi="Times New Roman"/>
          <w:sz w:val="24"/>
          <w:szCs w:val="24"/>
        </w:rPr>
      </w:pPr>
      <w:r w:rsidRPr="0084314D">
        <w:rPr>
          <w:rFonts w:ascii="Times New Roman" w:hAnsi="Times New Roman"/>
          <w:sz w:val="24"/>
          <w:szCs w:val="24"/>
        </w:rPr>
        <w:t xml:space="preserve">The conditional correlation between ABCP and OIS spread and OIS and TED spread follows a mean reversion process up to the summer of 2007. There is clear evidence of increased correlation within the bank funding liquidity market. This investigation finds the first structural break during the summer of 2007, which is reflected by the start of the subprime mortgage crisis.  Because of the extended data set, this study was able to identify another larger jump in correlation in September 2008 across all liquidity channels. This can be explained by the collapse of Lehman Brothers and the fact that the general market perception of financial </w:t>
      </w:r>
      <w:r w:rsidRPr="0084314D">
        <w:rPr>
          <w:rFonts w:ascii="Times New Roman" w:hAnsi="Times New Roman"/>
          <w:sz w:val="24"/>
          <w:szCs w:val="24"/>
        </w:rPr>
        <w:lastRenderedPageBreak/>
        <w:t xml:space="preserve">distress led to higher market volatility and also liquidity being withdrawn from the market within a short period of time. There is clear evidence of liquidity shock transmission across the interbank lending markets during the crisis period. The implied conditional correlation between ABCP and OIS spread rose from a pre-crisis average of approximately 0.25 to 0.5, followed by fluctuations for a short period, then by a larger jump to reach its peak at above 0.6. The strong interactions and correlations between overall market liquidity and the interbank lending market demonstrate the </w:t>
      </w:r>
      <w:proofErr w:type="spellStart"/>
      <w:r w:rsidRPr="0084314D">
        <w:rPr>
          <w:rFonts w:ascii="Times New Roman" w:hAnsi="Times New Roman"/>
          <w:sz w:val="24"/>
          <w:szCs w:val="24"/>
        </w:rPr>
        <w:t>spillover</w:t>
      </w:r>
      <w:proofErr w:type="spellEnd"/>
      <w:r w:rsidRPr="0084314D">
        <w:rPr>
          <w:rFonts w:ascii="Times New Roman" w:hAnsi="Times New Roman"/>
          <w:sz w:val="24"/>
          <w:szCs w:val="24"/>
        </w:rPr>
        <w:t xml:space="preserve"> effect from one channel to another. </w:t>
      </w:r>
    </w:p>
    <w:p w14:paraId="4BDD4763" w14:textId="77777777" w:rsidR="00D854FC" w:rsidRPr="0084314D" w:rsidRDefault="00D854FC" w:rsidP="00B97006">
      <w:pPr>
        <w:tabs>
          <w:tab w:val="left" w:pos="9923"/>
        </w:tabs>
        <w:spacing w:after="0" w:line="360" w:lineRule="auto"/>
        <w:jc w:val="both"/>
        <w:rPr>
          <w:rFonts w:ascii="Times New Roman" w:hAnsi="Times New Roman"/>
          <w:sz w:val="24"/>
          <w:szCs w:val="24"/>
        </w:rPr>
      </w:pPr>
    </w:p>
    <w:p w14:paraId="3A1D5B18" w14:textId="4A92A9F2" w:rsidR="00B97006" w:rsidRPr="0084314D" w:rsidRDefault="00B97006" w:rsidP="00B97006">
      <w:pPr>
        <w:tabs>
          <w:tab w:val="left" w:pos="9923"/>
        </w:tabs>
        <w:spacing w:after="0" w:line="360" w:lineRule="auto"/>
        <w:jc w:val="both"/>
        <w:rPr>
          <w:rFonts w:ascii="Times New Roman" w:hAnsi="Times New Roman"/>
          <w:sz w:val="24"/>
          <w:szCs w:val="24"/>
        </w:rPr>
      </w:pPr>
      <w:r w:rsidRPr="0084314D">
        <w:rPr>
          <w:rFonts w:ascii="Times New Roman" w:hAnsi="Times New Roman"/>
          <w:sz w:val="24"/>
          <w:szCs w:val="24"/>
        </w:rPr>
        <w:t xml:space="preserve">The structural breaks indicate that there is a significant sign of direction change; the liquidity market clearly suffered from a lack of funding within a short period of time. With </w:t>
      </w:r>
      <w:r w:rsidR="00075A19" w:rsidRPr="0084314D">
        <w:rPr>
          <w:rFonts w:ascii="Times New Roman" w:hAnsi="Times New Roman"/>
          <w:sz w:val="24"/>
          <w:szCs w:val="24"/>
        </w:rPr>
        <w:t>these early signs of liquidity</w:t>
      </w:r>
      <w:r w:rsidRPr="0084314D">
        <w:rPr>
          <w:rFonts w:ascii="Times New Roman" w:hAnsi="Times New Roman"/>
          <w:sz w:val="24"/>
          <w:szCs w:val="24"/>
        </w:rPr>
        <w:t xml:space="preserve"> transmission and movement, the </w:t>
      </w:r>
      <w:r w:rsidR="00D854FC" w:rsidRPr="0084314D">
        <w:rPr>
          <w:rFonts w:ascii="Times New Roman" w:hAnsi="Times New Roman"/>
          <w:sz w:val="24"/>
          <w:szCs w:val="24"/>
        </w:rPr>
        <w:t>T</w:t>
      </w:r>
      <w:r w:rsidRPr="0084314D">
        <w:rPr>
          <w:rFonts w:ascii="Times New Roman" w:hAnsi="Times New Roman"/>
          <w:sz w:val="24"/>
          <w:szCs w:val="24"/>
        </w:rPr>
        <w:t>ED spread and OIS spread might be able to serve for risk management purposes as an indicator for incoming liquidity shocks.</w:t>
      </w:r>
    </w:p>
    <w:p w14:paraId="5532731F" w14:textId="6E2F0726" w:rsidR="00882027" w:rsidRDefault="00882027" w:rsidP="00B97006">
      <w:pPr>
        <w:tabs>
          <w:tab w:val="left" w:pos="9923"/>
        </w:tabs>
        <w:spacing w:after="0" w:line="360" w:lineRule="auto"/>
        <w:jc w:val="both"/>
        <w:rPr>
          <w:rFonts w:ascii="Times New Roman" w:hAnsi="Times New Roman"/>
          <w:b/>
          <w:szCs w:val="24"/>
        </w:rPr>
      </w:pPr>
    </w:p>
    <w:p w14:paraId="77D7613F" w14:textId="77777777" w:rsidR="008128CD" w:rsidRDefault="00B97006" w:rsidP="008128CD">
      <w:pPr>
        <w:keepNext/>
      </w:pPr>
      <w:r w:rsidRPr="008555E4">
        <w:rPr>
          <w:rFonts w:ascii="Times New Roman" w:hAnsi="Times New Roman" w:cs="Times New Roman"/>
          <w:noProof/>
          <w:sz w:val="24"/>
          <w:szCs w:val="24"/>
          <w:lang w:eastAsia="en-GB"/>
        </w:rPr>
        <w:drawing>
          <wp:inline distT="0" distB="0" distL="0" distR="0" wp14:anchorId="742EE0C6" wp14:editId="6D700015">
            <wp:extent cx="5731510" cy="29063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2906395"/>
                    </a:xfrm>
                    <a:prstGeom prst="rect">
                      <a:avLst/>
                    </a:prstGeom>
                    <a:noFill/>
                    <a:ln>
                      <a:noFill/>
                    </a:ln>
                  </pic:spPr>
                </pic:pic>
              </a:graphicData>
            </a:graphic>
          </wp:inline>
        </w:drawing>
      </w:r>
    </w:p>
    <w:p w14:paraId="19B9DC33" w14:textId="0F4F19E4" w:rsidR="00EE03C0" w:rsidRPr="008128CD" w:rsidRDefault="008128CD" w:rsidP="008128CD">
      <w:pPr>
        <w:pStyle w:val="Caption"/>
        <w:rPr>
          <w:rFonts w:ascii="Times New Roman" w:hAnsi="Times New Roman" w:cs="Times New Roman"/>
          <w:color w:val="auto"/>
          <w:sz w:val="24"/>
          <w:szCs w:val="24"/>
        </w:rPr>
      </w:pPr>
      <w:bookmarkStart w:id="122" w:name="_Toc78498683"/>
      <w:r w:rsidRPr="008128CD">
        <w:rPr>
          <w:rFonts w:ascii="Times New Roman" w:hAnsi="Times New Roman" w:cs="Times New Roman"/>
          <w:color w:val="auto"/>
          <w:sz w:val="24"/>
          <w:szCs w:val="24"/>
        </w:rPr>
        <w:t xml:space="preserve">Figure </w:t>
      </w:r>
      <w:r w:rsidR="009730F8">
        <w:rPr>
          <w:rFonts w:ascii="Times New Roman" w:hAnsi="Times New Roman" w:cs="Times New Roman"/>
          <w:color w:val="auto"/>
          <w:sz w:val="24"/>
          <w:szCs w:val="24"/>
        </w:rPr>
        <w:t xml:space="preserve">1.4.14 </w:t>
      </w:r>
      <w:r w:rsidRPr="008128CD">
        <w:rPr>
          <w:rFonts w:ascii="Times New Roman" w:hAnsi="Times New Roman" w:cs="Times New Roman"/>
          <w:color w:val="auto"/>
          <w:sz w:val="24"/>
          <w:szCs w:val="24"/>
        </w:rPr>
        <w:t>Conditional correlation implied in DCC Pre-Crisis period.</w:t>
      </w:r>
      <w:bookmarkEnd w:id="122"/>
    </w:p>
    <w:p w14:paraId="009D41F6" w14:textId="0D21A332" w:rsidR="00132481" w:rsidRDefault="00132481" w:rsidP="00173345">
      <w:pPr>
        <w:spacing w:line="360" w:lineRule="auto"/>
        <w:rPr>
          <w:rFonts w:ascii="Times New Roman" w:hAnsi="Times New Roman"/>
          <w:sz w:val="24"/>
          <w:szCs w:val="24"/>
        </w:rPr>
      </w:pPr>
      <w:r w:rsidRPr="0084314D">
        <w:rPr>
          <w:rFonts w:ascii="Times New Roman" w:hAnsi="Times New Roman"/>
          <w:sz w:val="24"/>
          <w:szCs w:val="24"/>
        </w:rPr>
        <w:t xml:space="preserve">This </w:t>
      </w:r>
      <w:proofErr w:type="spellStart"/>
      <w:r w:rsidRPr="0084314D">
        <w:rPr>
          <w:rFonts w:ascii="Times New Roman" w:hAnsi="Times New Roman"/>
          <w:sz w:val="24"/>
          <w:szCs w:val="24"/>
        </w:rPr>
        <w:t>spillover</w:t>
      </w:r>
      <w:proofErr w:type="spellEnd"/>
      <w:r w:rsidRPr="0084314D">
        <w:rPr>
          <w:rFonts w:ascii="Times New Roman" w:hAnsi="Times New Roman"/>
          <w:sz w:val="24"/>
          <w:szCs w:val="24"/>
        </w:rPr>
        <w:t xml:space="preserve"> effect is captured by the clear signs of three structural breaks (pre-crisis, during-crisis and post-crisis), where there was a reversal in movement of the trend during the subprime mortgage crisis period. In addition, the structural break</w:t>
      </w:r>
      <w:r w:rsidR="00F25718">
        <w:rPr>
          <w:rFonts w:ascii="Times New Roman" w:hAnsi="Times New Roman"/>
          <w:sz w:val="24"/>
          <w:szCs w:val="24"/>
        </w:rPr>
        <w:t xml:space="preserve"> pre-crisis</w:t>
      </w:r>
      <w:r w:rsidRPr="0084314D">
        <w:rPr>
          <w:rFonts w:ascii="Times New Roman" w:hAnsi="Times New Roman"/>
          <w:sz w:val="24"/>
          <w:szCs w:val="24"/>
        </w:rPr>
        <w:t xml:space="preserve"> is identified in both the OIS </w:t>
      </w:r>
      <w:r w:rsidR="0051308C" w:rsidRPr="0084314D">
        <w:rPr>
          <w:rFonts w:ascii="Times New Roman" w:hAnsi="Times New Roman"/>
          <w:sz w:val="24"/>
          <w:szCs w:val="24"/>
        </w:rPr>
        <w:t>spread,</w:t>
      </w:r>
      <w:r w:rsidRPr="0084314D">
        <w:rPr>
          <w:rFonts w:ascii="Times New Roman" w:hAnsi="Times New Roman"/>
          <w:sz w:val="24"/>
          <w:szCs w:val="24"/>
        </w:rPr>
        <w:t xml:space="preserve"> and TED spread at approximately the same time period. However, there are some points of interest to be noted in the bottom four charts.  Firstly, the sharp rise in correlation in both spreads occurred before the subprime mortgage crisis.</w:t>
      </w:r>
    </w:p>
    <w:p w14:paraId="39DA35B8" w14:textId="77777777" w:rsidR="008128CD" w:rsidRDefault="00B97006" w:rsidP="008128CD">
      <w:pPr>
        <w:keepNext/>
      </w:pPr>
      <w:r w:rsidRPr="008555E4">
        <w:rPr>
          <w:noProof/>
          <w:lang w:eastAsia="en-GB"/>
        </w:rPr>
        <w:lastRenderedPageBreak/>
        <w:drawing>
          <wp:inline distT="0" distB="0" distL="0" distR="0" wp14:anchorId="522D62D3" wp14:editId="6E0A3D7D">
            <wp:extent cx="5731510" cy="2781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781300"/>
                    </a:xfrm>
                    <a:prstGeom prst="rect">
                      <a:avLst/>
                    </a:prstGeom>
                    <a:noFill/>
                    <a:ln>
                      <a:noFill/>
                    </a:ln>
                  </pic:spPr>
                </pic:pic>
              </a:graphicData>
            </a:graphic>
          </wp:inline>
        </w:drawing>
      </w:r>
    </w:p>
    <w:p w14:paraId="2E92D602" w14:textId="25E30C43" w:rsidR="00EE03C0" w:rsidRPr="008128CD" w:rsidRDefault="008128CD" w:rsidP="008128CD">
      <w:pPr>
        <w:pStyle w:val="Caption"/>
        <w:rPr>
          <w:rFonts w:ascii="Times New Roman" w:hAnsi="Times New Roman" w:cs="Times New Roman"/>
          <w:color w:val="auto"/>
          <w:sz w:val="24"/>
          <w:szCs w:val="24"/>
        </w:rPr>
      </w:pPr>
      <w:bookmarkStart w:id="123" w:name="_Toc78498684"/>
      <w:r w:rsidRPr="008128CD">
        <w:rPr>
          <w:rFonts w:ascii="Times New Roman" w:hAnsi="Times New Roman" w:cs="Times New Roman"/>
          <w:color w:val="auto"/>
          <w:sz w:val="24"/>
          <w:szCs w:val="24"/>
        </w:rPr>
        <w:t xml:space="preserve">Figure </w:t>
      </w:r>
      <w:r w:rsidR="009730F8">
        <w:rPr>
          <w:rFonts w:ascii="Times New Roman" w:hAnsi="Times New Roman" w:cs="Times New Roman"/>
          <w:color w:val="auto"/>
          <w:sz w:val="24"/>
          <w:szCs w:val="24"/>
        </w:rPr>
        <w:t>1.4.15</w:t>
      </w:r>
      <w:r w:rsidRPr="008128CD">
        <w:rPr>
          <w:rFonts w:ascii="Times New Roman" w:hAnsi="Times New Roman" w:cs="Times New Roman"/>
          <w:color w:val="auto"/>
          <w:sz w:val="24"/>
          <w:szCs w:val="24"/>
        </w:rPr>
        <w:t xml:space="preserve"> Conditional correlation implied in DCC During-Crisis period.</w:t>
      </w:r>
      <w:bookmarkEnd w:id="123"/>
    </w:p>
    <w:p w14:paraId="56280B79" w14:textId="05677E73" w:rsidR="00132481" w:rsidRPr="0084314D" w:rsidRDefault="00132481" w:rsidP="00132481">
      <w:pPr>
        <w:tabs>
          <w:tab w:val="left" w:pos="9923"/>
        </w:tabs>
        <w:spacing w:after="0" w:line="360" w:lineRule="auto"/>
        <w:jc w:val="both"/>
        <w:rPr>
          <w:rFonts w:ascii="Times New Roman" w:hAnsi="Times New Roman" w:cs="Times New Roman"/>
          <w:sz w:val="24"/>
          <w:szCs w:val="24"/>
        </w:rPr>
      </w:pPr>
      <w:r w:rsidRPr="0084314D">
        <w:rPr>
          <w:rFonts w:ascii="Times New Roman" w:hAnsi="Times New Roman" w:cs="Times New Roman"/>
          <w:sz w:val="24"/>
          <w:szCs w:val="24"/>
        </w:rPr>
        <w:t xml:space="preserve">Secondly, there are no signs of significant structural breaks </w:t>
      </w:r>
      <w:r w:rsidR="00F25718">
        <w:rPr>
          <w:rFonts w:ascii="Times New Roman" w:hAnsi="Times New Roman" w:cs="Times New Roman"/>
          <w:sz w:val="24"/>
          <w:szCs w:val="24"/>
        </w:rPr>
        <w:t xml:space="preserve">during crisis period </w:t>
      </w:r>
      <w:r w:rsidRPr="0084314D">
        <w:rPr>
          <w:rFonts w:ascii="Times New Roman" w:hAnsi="Times New Roman" w:cs="Times New Roman"/>
          <w:sz w:val="24"/>
          <w:szCs w:val="24"/>
        </w:rPr>
        <w:t>after the peak at the beginning of 2007, even when the collapse of Lehman Brothers occurred.  The possible explanations for these unexpected results might be that the markets underwent speculation activity with private information, hence driving the correlation between market volatility and TED/ABCP spread to increase significantly prior to the crash of 2007. The structural breaks indicate that there is a significant sign of direction change; the liquidity market clearly suffered from a lack of funding within a short period of time. With these early signs of liquidity transmission and movement, the TED spread and OIS spread might be able to serve for risk management purposes as an indicator for incoming liquidity shocks.</w:t>
      </w:r>
    </w:p>
    <w:p w14:paraId="0B6369E8" w14:textId="7FE2A43F" w:rsidR="00B97006" w:rsidRDefault="00B97006" w:rsidP="00E13183">
      <w:pPr>
        <w:pStyle w:val="Heading2"/>
        <w:spacing w:before="0" w:line="360" w:lineRule="auto"/>
        <w:rPr>
          <w:rFonts w:ascii="Times New Roman" w:hAnsi="Times New Roman" w:cs="Times New Roman"/>
          <w:color w:val="auto"/>
          <w:sz w:val="24"/>
          <w:szCs w:val="24"/>
          <w:lang w:eastAsia="hu-HU"/>
        </w:rPr>
      </w:pPr>
    </w:p>
    <w:p w14:paraId="206A8F6A" w14:textId="77777777" w:rsidR="008128CD" w:rsidRDefault="00B97006" w:rsidP="008128CD">
      <w:pPr>
        <w:keepNext/>
      </w:pPr>
      <w:r w:rsidRPr="008555E4">
        <w:rPr>
          <w:rFonts w:ascii="Times New Roman" w:hAnsi="Times New Roman" w:cs="Times New Roman"/>
          <w:noProof/>
          <w:sz w:val="24"/>
          <w:szCs w:val="24"/>
          <w:lang w:eastAsia="en-GB"/>
        </w:rPr>
        <w:drawing>
          <wp:inline distT="0" distB="0" distL="0" distR="0" wp14:anchorId="4B4D0007" wp14:editId="6CEA9869">
            <wp:extent cx="5695610" cy="26289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03726" cy="2632646"/>
                    </a:xfrm>
                    <a:prstGeom prst="rect">
                      <a:avLst/>
                    </a:prstGeom>
                    <a:noFill/>
                    <a:ln>
                      <a:noFill/>
                    </a:ln>
                  </pic:spPr>
                </pic:pic>
              </a:graphicData>
            </a:graphic>
          </wp:inline>
        </w:drawing>
      </w:r>
    </w:p>
    <w:p w14:paraId="683B42F8" w14:textId="02BA9181" w:rsidR="00173345" w:rsidRPr="008128CD" w:rsidRDefault="008128CD" w:rsidP="008128CD">
      <w:pPr>
        <w:pStyle w:val="Caption"/>
        <w:rPr>
          <w:rFonts w:ascii="Times New Roman" w:hAnsi="Times New Roman" w:cs="Times New Roman"/>
          <w:color w:val="auto"/>
          <w:sz w:val="24"/>
          <w:szCs w:val="24"/>
        </w:rPr>
      </w:pPr>
      <w:bookmarkStart w:id="124" w:name="_Toc78498685"/>
      <w:r w:rsidRPr="008128CD">
        <w:rPr>
          <w:rFonts w:ascii="Times New Roman" w:hAnsi="Times New Roman" w:cs="Times New Roman"/>
          <w:color w:val="auto"/>
          <w:sz w:val="24"/>
          <w:szCs w:val="24"/>
        </w:rPr>
        <w:t xml:space="preserve">Figure </w:t>
      </w:r>
      <w:r w:rsidR="009730F8">
        <w:rPr>
          <w:rFonts w:ascii="Times New Roman" w:hAnsi="Times New Roman" w:cs="Times New Roman"/>
          <w:color w:val="auto"/>
          <w:sz w:val="24"/>
          <w:szCs w:val="24"/>
        </w:rPr>
        <w:t>1.4.16</w:t>
      </w:r>
      <w:r w:rsidRPr="008128CD">
        <w:rPr>
          <w:rFonts w:ascii="Times New Roman" w:hAnsi="Times New Roman" w:cs="Times New Roman"/>
          <w:color w:val="auto"/>
          <w:sz w:val="24"/>
          <w:szCs w:val="24"/>
        </w:rPr>
        <w:t xml:space="preserve"> Conditional correlation implied in DCC Post-Crisis period.</w:t>
      </w:r>
      <w:bookmarkEnd w:id="124"/>
    </w:p>
    <w:p w14:paraId="6C381042" w14:textId="3F702947" w:rsidR="00132481" w:rsidRPr="0084314D" w:rsidRDefault="00132481" w:rsidP="0084314D">
      <w:pPr>
        <w:spacing w:line="360" w:lineRule="auto"/>
        <w:jc w:val="both"/>
        <w:rPr>
          <w:rFonts w:ascii="Times New Roman" w:hAnsi="Times New Roman" w:cs="Times New Roman"/>
          <w:sz w:val="24"/>
          <w:szCs w:val="24"/>
        </w:rPr>
      </w:pPr>
      <w:r w:rsidRPr="0084314D">
        <w:rPr>
          <w:rFonts w:ascii="Times New Roman" w:hAnsi="Times New Roman" w:cs="Times New Roman"/>
          <w:sz w:val="24"/>
          <w:szCs w:val="24"/>
        </w:rPr>
        <w:lastRenderedPageBreak/>
        <w:t xml:space="preserve">There is clear evidence of increased correlation during the subprime mortgage crisis period. Several interesting evolutions can be observed. First of all, dynamic conditional correlations widely exist across different liquidity channels.  This confirms the reason for our earlier strategy of choosing the ABCP, OIS, TED and S&amp;P500 volatility as the representatives of liquidity channels is appropriate. </w:t>
      </w:r>
      <w:r w:rsidR="00B47399" w:rsidRPr="0084314D">
        <w:rPr>
          <w:rFonts w:ascii="Times New Roman" w:hAnsi="Times New Roman" w:cs="Times New Roman"/>
          <w:sz w:val="24"/>
          <w:szCs w:val="24"/>
        </w:rPr>
        <w:t>Also,</w:t>
      </w:r>
      <w:r w:rsidRPr="0084314D">
        <w:rPr>
          <w:rFonts w:ascii="Times New Roman" w:hAnsi="Times New Roman" w:cs="Times New Roman"/>
          <w:sz w:val="24"/>
          <w:szCs w:val="24"/>
        </w:rPr>
        <w:t xml:space="preserve"> this fact shows a macro picture of the different liquidity channels tend to affect each other. Moreover, the first structural break is found during mid-2007 which is consistent with the results of Frank </w:t>
      </w:r>
      <w:r w:rsidRPr="0084314D">
        <w:rPr>
          <w:rFonts w:ascii="Times New Roman" w:hAnsi="Times New Roman" w:cs="Times New Roman"/>
          <w:i/>
          <w:sz w:val="24"/>
          <w:szCs w:val="24"/>
        </w:rPr>
        <w:t xml:space="preserve">et al. </w:t>
      </w:r>
      <w:r w:rsidRPr="0084314D">
        <w:rPr>
          <w:rFonts w:ascii="Times New Roman" w:hAnsi="Times New Roman" w:cs="Times New Roman"/>
          <w:sz w:val="24"/>
          <w:szCs w:val="24"/>
        </w:rPr>
        <w:t xml:space="preserve">(2008). In addition, another structural break occurred in September 2008, likely to be explained by the effect from the collapse of the Lehman Brothers in September 2008. The failure of Lehman Brothers intensified the fragile liquidity market and led to significant liquidity shortages across different interbank markets. Thirdly, we observe a mean reverting process in the conditional correlation prior to the structural breaks. The implication is that after a liquidity shock occurs, the correlations tend to immediately return to the long-term unconditional level. </w:t>
      </w:r>
    </w:p>
    <w:p w14:paraId="4D019654" w14:textId="0DD1D0B5" w:rsidR="00B97006" w:rsidRPr="0084314D" w:rsidRDefault="00B97006" w:rsidP="00B97006">
      <w:pPr>
        <w:spacing w:line="360" w:lineRule="auto"/>
        <w:jc w:val="both"/>
        <w:rPr>
          <w:rFonts w:ascii="Times New Roman" w:hAnsi="Times New Roman"/>
          <w:sz w:val="24"/>
          <w:szCs w:val="24"/>
        </w:rPr>
      </w:pPr>
      <w:r w:rsidRPr="0084314D">
        <w:rPr>
          <w:rFonts w:ascii="Times New Roman" w:hAnsi="Times New Roman"/>
          <w:sz w:val="24"/>
          <w:szCs w:val="24"/>
        </w:rPr>
        <w:t xml:space="preserve">The DCC specification allows this investigation to detect liquidity shock transmission in different lending channels and to identify whether there is a linear relationship. However, although the model explicitly shows that there is clear evidence of a volatility </w:t>
      </w:r>
      <w:proofErr w:type="spellStart"/>
      <w:r w:rsidRPr="0084314D">
        <w:rPr>
          <w:rFonts w:ascii="Times New Roman" w:hAnsi="Times New Roman"/>
          <w:sz w:val="24"/>
          <w:szCs w:val="24"/>
        </w:rPr>
        <w:t>spillover</w:t>
      </w:r>
      <w:proofErr w:type="spellEnd"/>
      <w:r w:rsidRPr="0084314D">
        <w:rPr>
          <w:rFonts w:ascii="Times New Roman" w:hAnsi="Times New Roman"/>
          <w:sz w:val="24"/>
          <w:szCs w:val="24"/>
        </w:rPr>
        <w:t xml:space="preserve"> effect among various liquidity channels, it fails to answer the question of which liquidity channels were transmitting shocks from one to another. Without a thorough investigation of the source of liquidity shocks, there is not much practical application in the evidence of correlation between liquidity channels.  This is the reason why this study employs the BEKK model to overcome this issue. The BEKK specification model is able to provide more detailed transmission information, apart from conditional correlation. The off-diagonal elements in the variance-covariance matrix generated from the BEKK model show the transmission percentage across different liquidity channels. Considering the difficulty of discerning the large number of coefficients obtained from the BEKK model (</w:t>
      </w:r>
      <w:r w:rsidR="00B47399" w:rsidRPr="0084314D">
        <w:rPr>
          <w:rFonts w:ascii="Times New Roman" w:hAnsi="Times New Roman"/>
          <w:sz w:val="24"/>
          <w:szCs w:val="24"/>
        </w:rPr>
        <w:t>e.g.,</w:t>
      </w:r>
      <w:r w:rsidRPr="0084314D">
        <w:rPr>
          <w:rFonts w:ascii="Times New Roman" w:hAnsi="Times New Roman"/>
          <w:sz w:val="24"/>
          <w:szCs w:val="24"/>
        </w:rPr>
        <w:t xml:space="preserve"> k=4, No. Parameters=42 for a </w:t>
      </w:r>
      <w:r w:rsidR="0084314D" w:rsidRPr="0084314D">
        <w:rPr>
          <w:rFonts w:ascii="Times New Roman" w:hAnsi="Times New Roman"/>
          <w:sz w:val="24"/>
          <w:szCs w:val="24"/>
        </w:rPr>
        <w:t>four-dimension</w:t>
      </w:r>
      <w:r w:rsidRPr="0084314D">
        <w:rPr>
          <w:rFonts w:ascii="Times New Roman" w:hAnsi="Times New Roman"/>
          <w:sz w:val="24"/>
          <w:szCs w:val="24"/>
        </w:rPr>
        <w:t xml:space="preserve"> BEKK), the pair-wise bivariate BEKK model is used to investigate liquidity transmission between different measurements. </w:t>
      </w:r>
      <w:r w:rsidRPr="0084314D">
        <w:rPr>
          <w:rFonts w:ascii="Times New Roman" w:hAnsi="Times New Roman"/>
          <w:sz w:val="24"/>
          <w:szCs w:val="24"/>
          <w:lang w:eastAsia="zh-CN"/>
        </w:rPr>
        <w:t xml:space="preserve">The second moment of a bivariate full BEKK can be represented as, </w:t>
      </w:r>
    </w:p>
    <w:p w14:paraId="50F0FBFE" w14:textId="77777777" w:rsidR="00B97006" w:rsidRPr="007D34CC" w:rsidRDefault="002C15FD" w:rsidP="00B97006">
      <w:pPr>
        <w:tabs>
          <w:tab w:val="left" w:pos="3260"/>
        </w:tabs>
        <w:jc w:val="both"/>
        <w:rPr>
          <w:rFonts w:ascii="Times New Roman" w:hAnsi="Times New Roman"/>
        </w:rPr>
      </w:pPr>
      <w:r>
        <w:rPr>
          <w:noProof/>
          <w:sz w:val="24"/>
          <w:szCs w:val="24"/>
          <w:lang w:eastAsia="en-GB"/>
        </w:rPr>
        <w:object w:dxaOrig="1440" w:dyaOrig="1440" w14:anchorId="4C8DFA0D">
          <v:shape id="_x0000_s1053" type="#_x0000_t75" style="position:absolute;left:0;text-align:left;margin-left:22.85pt;margin-top:14.95pt;width:386pt;height:42pt;z-index:251672576">
            <v:imagedata r:id="rId78" o:title=""/>
            <w10:wrap type="square" side="right"/>
          </v:shape>
          <o:OLEObject Type="Embed" ProgID="Equation.3" ShapeID="_x0000_s1053" DrawAspect="Content" ObjectID="_1704578354" r:id="rId79"/>
        </w:object>
      </w:r>
      <w:r w:rsidR="00B97006" w:rsidRPr="007D34CC">
        <w:rPr>
          <w:rFonts w:ascii="Times New Roman" w:hAnsi="Times New Roman"/>
        </w:rPr>
        <w:t xml:space="preserve">  </w:t>
      </w:r>
    </w:p>
    <w:p w14:paraId="4A69E425" w14:textId="77777777" w:rsidR="00D854FC" w:rsidRDefault="00D854FC" w:rsidP="00B97006">
      <w:pPr>
        <w:tabs>
          <w:tab w:val="left" w:pos="-142"/>
          <w:tab w:val="left" w:pos="709"/>
        </w:tabs>
        <w:spacing w:line="360" w:lineRule="auto"/>
        <w:jc w:val="both"/>
        <w:rPr>
          <w:rFonts w:ascii="Times New Roman" w:hAnsi="Times New Roman"/>
        </w:rPr>
      </w:pPr>
    </w:p>
    <w:p w14:paraId="62FA084A" w14:textId="77777777" w:rsidR="00D854FC" w:rsidRDefault="00D854FC" w:rsidP="00B97006">
      <w:pPr>
        <w:tabs>
          <w:tab w:val="left" w:pos="-142"/>
          <w:tab w:val="left" w:pos="709"/>
        </w:tabs>
        <w:spacing w:line="360" w:lineRule="auto"/>
        <w:jc w:val="both"/>
        <w:rPr>
          <w:rFonts w:ascii="Times New Roman" w:hAnsi="Times New Roman"/>
        </w:rPr>
      </w:pPr>
    </w:p>
    <w:p w14:paraId="48001331" w14:textId="20C212DB" w:rsidR="00B97006" w:rsidRPr="0084314D" w:rsidRDefault="00B97006" w:rsidP="00B97006">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lastRenderedPageBreak/>
        <w:t xml:space="preserve">The parameter vector consists of elements of C, which is a lower triangular matrix. The 2×2 matrix </w:t>
      </w:r>
      <w:proofErr w:type="spellStart"/>
      <w:r w:rsidRPr="0084314D">
        <w:rPr>
          <w:rFonts w:ascii="Times New Roman" w:hAnsi="Times New Roman"/>
          <w:sz w:val="24"/>
          <w:szCs w:val="24"/>
        </w:rPr>
        <w:t>A</w:t>
      </w:r>
      <w:r w:rsidRPr="0084314D">
        <w:rPr>
          <w:rFonts w:ascii="Times New Roman" w:hAnsi="Times New Roman"/>
          <w:sz w:val="24"/>
          <w:szCs w:val="24"/>
          <w:vertAlign w:val="subscript"/>
        </w:rPr>
        <w:t>ij</w:t>
      </w:r>
      <w:proofErr w:type="spellEnd"/>
      <w:r w:rsidRPr="0084314D">
        <w:rPr>
          <w:rFonts w:ascii="Times New Roman" w:hAnsi="Times New Roman"/>
          <w:sz w:val="24"/>
          <w:szCs w:val="24"/>
          <w:vertAlign w:val="subscript"/>
        </w:rPr>
        <w:t xml:space="preserve"> </w:t>
      </w:r>
      <w:r w:rsidRPr="0084314D">
        <w:rPr>
          <w:rFonts w:ascii="Times New Roman" w:hAnsi="Times New Roman"/>
          <w:sz w:val="24"/>
          <w:szCs w:val="24"/>
        </w:rPr>
        <w:t xml:space="preserve">shows the ARCH effects and there is particular interest in the 2×2 matrix </w:t>
      </w:r>
      <w:proofErr w:type="spellStart"/>
      <w:r w:rsidRPr="0084314D">
        <w:rPr>
          <w:rFonts w:ascii="Times New Roman" w:hAnsi="Times New Roman"/>
          <w:sz w:val="24"/>
          <w:szCs w:val="24"/>
        </w:rPr>
        <w:t>G</w:t>
      </w:r>
      <w:r w:rsidRPr="0084314D">
        <w:rPr>
          <w:rFonts w:ascii="Times New Roman" w:hAnsi="Times New Roman"/>
          <w:sz w:val="24"/>
          <w:szCs w:val="24"/>
          <w:vertAlign w:val="subscript"/>
        </w:rPr>
        <w:t>ij</w:t>
      </w:r>
      <w:proofErr w:type="spellEnd"/>
      <w:r w:rsidRPr="0084314D">
        <w:rPr>
          <w:rFonts w:ascii="Times New Roman" w:hAnsi="Times New Roman"/>
          <w:sz w:val="24"/>
          <w:szCs w:val="24"/>
          <w:vertAlign w:val="subscript"/>
        </w:rPr>
        <w:t>,</w:t>
      </w:r>
      <w:r w:rsidRPr="0084314D">
        <w:rPr>
          <w:rFonts w:ascii="Times New Roman" w:hAnsi="Times New Roman"/>
          <w:sz w:val="24"/>
          <w:szCs w:val="24"/>
        </w:rPr>
        <w:t xml:space="preserve"> which reveals the GARCH effects. The diagonal elements in the parameter matrix G measure the effect of lagged liquidity and the off-diagonal elements capture the </w:t>
      </w:r>
      <w:r w:rsidR="00B47399" w:rsidRPr="0084314D">
        <w:rPr>
          <w:rFonts w:ascii="Times New Roman" w:hAnsi="Times New Roman"/>
          <w:sz w:val="24"/>
          <w:szCs w:val="24"/>
        </w:rPr>
        <w:t>cross-liquidity</w:t>
      </w:r>
      <w:r w:rsidRPr="0084314D">
        <w:rPr>
          <w:rFonts w:ascii="Times New Roman" w:hAnsi="Times New Roman"/>
          <w:sz w:val="24"/>
          <w:szCs w:val="24"/>
        </w:rPr>
        <w:t xml:space="preserve"> channel effects. As a result, the BEKK model is selected to investigate liquidity transmission</w:t>
      </w:r>
      <w:r w:rsidRPr="0084314D">
        <w:rPr>
          <w:rFonts w:ascii="Times New Roman" w:hAnsi="Times New Roman"/>
          <w:sz w:val="24"/>
          <w:szCs w:val="24"/>
          <w:lang w:eastAsia="zh-TW"/>
        </w:rPr>
        <w:t xml:space="preserve"> because it is able to determine the direction of transmission (from A to B or B to A) and its degree, i.e. to what extent was the shock transmitted.</w:t>
      </w:r>
      <w:r w:rsidRPr="0084314D">
        <w:rPr>
          <w:rFonts w:ascii="Times New Roman" w:hAnsi="Times New Roman"/>
          <w:sz w:val="24"/>
          <w:szCs w:val="24"/>
        </w:rPr>
        <w:t xml:space="preserve">  </w:t>
      </w:r>
    </w:p>
    <w:p w14:paraId="45ED296C" w14:textId="286C7701" w:rsidR="00B97006" w:rsidRPr="0084314D" w:rsidRDefault="00B97006" w:rsidP="00B97006">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t xml:space="preserve">Table </w:t>
      </w:r>
      <w:r w:rsidR="00E6304B">
        <w:rPr>
          <w:rFonts w:ascii="Times New Roman" w:hAnsi="Times New Roman"/>
          <w:sz w:val="24"/>
          <w:szCs w:val="24"/>
        </w:rPr>
        <w:t>1.</w:t>
      </w:r>
      <w:r w:rsidR="00AF20FB">
        <w:rPr>
          <w:rFonts w:ascii="Times New Roman" w:hAnsi="Times New Roman"/>
          <w:sz w:val="24"/>
          <w:szCs w:val="24"/>
        </w:rPr>
        <w:t>4.6</w:t>
      </w:r>
      <w:r w:rsidRPr="0084314D">
        <w:rPr>
          <w:rFonts w:ascii="Times New Roman" w:hAnsi="Times New Roman"/>
          <w:sz w:val="24"/>
          <w:szCs w:val="24"/>
        </w:rPr>
        <w:t xml:space="preserve"> displays three pair-wise results which exhibit significant liquidity transmission. Firstly, the numbers in parentheses</w:t>
      </w:r>
      <w:r w:rsidRPr="0084314D" w:rsidDel="00941644">
        <w:rPr>
          <w:rFonts w:ascii="Times New Roman" w:hAnsi="Times New Roman"/>
          <w:sz w:val="24"/>
          <w:szCs w:val="24"/>
        </w:rPr>
        <w:t xml:space="preserve"> </w:t>
      </w:r>
      <w:r w:rsidRPr="0084314D">
        <w:rPr>
          <w:rFonts w:ascii="Times New Roman" w:hAnsi="Times New Roman"/>
          <w:sz w:val="24"/>
          <w:szCs w:val="24"/>
        </w:rPr>
        <w:t xml:space="preserve">are the standard error of the estimations. All standard errors are close to zero, which indicates that the estimations are statistically significant. There is evidence of liquidity shock transmission across all different liquidity channels during the crisis period. This also indicates that, to some extent, there was a systemic liquidity transmission in the financial market. In other words, once the liquidity shortage occurred in one of the liquidity channels, it affected the others and thus induced the whole market to collapse. There was a possibility of systemic risk in the financial market and a contagion effect can be observed within the liquidity market during the crisis period. The interbank lending market was under stressed conditions, as indicated by the widening spread in the ABCP channel and OIS channel. The cost of short-term funding became increasingly </w:t>
      </w:r>
      <w:r w:rsidR="00B47399" w:rsidRPr="0084314D">
        <w:rPr>
          <w:rFonts w:ascii="Times New Roman" w:hAnsi="Times New Roman"/>
          <w:sz w:val="24"/>
          <w:szCs w:val="24"/>
        </w:rPr>
        <w:t>expensive,</w:t>
      </w:r>
      <w:r w:rsidRPr="0084314D">
        <w:rPr>
          <w:rFonts w:ascii="Times New Roman" w:hAnsi="Times New Roman"/>
          <w:sz w:val="24"/>
          <w:szCs w:val="24"/>
        </w:rPr>
        <w:t xml:space="preserve"> and it was difficult to obtain. Market participants were not willing to lend to one another, as the associated credit risk was difficult to assess. Financial institutions in a poor liquidity position were </w:t>
      </w:r>
      <w:r w:rsidR="00B47399" w:rsidRPr="0084314D">
        <w:rPr>
          <w:rFonts w:ascii="Times New Roman" w:hAnsi="Times New Roman"/>
          <w:sz w:val="24"/>
          <w:szCs w:val="24"/>
        </w:rPr>
        <w:t>opened</w:t>
      </w:r>
      <w:r w:rsidRPr="0084314D">
        <w:rPr>
          <w:rFonts w:ascii="Times New Roman" w:hAnsi="Times New Roman"/>
          <w:sz w:val="24"/>
          <w:szCs w:val="24"/>
        </w:rPr>
        <w:t xml:space="preserve"> to suffering a possible liquidity crisis. </w:t>
      </w:r>
    </w:p>
    <w:p w14:paraId="75CCEF67" w14:textId="7B554054" w:rsidR="006F0FF8" w:rsidRDefault="00132481" w:rsidP="00B47399">
      <w:pPr>
        <w:spacing w:line="360" w:lineRule="auto"/>
        <w:rPr>
          <w:rFonts w:ascii="Times New Roman" w:hAnsi="Times New Roman" w:cs="Times New Roman"/>
          <w:sz w:val="24"/>
          <w:szCs w:val="24"/>
        </w:rPr>
      </w:pPr>
      <w:r w:rsidRPr="0084314D">
        <w:rPr>
          <w:rFonts w:ascii="Times New Roman" w:hAnsi="Times New Roman" w:cs="Times New Roman"/>
          <w:sz w:val="24"/>
          <w:szCs w:val="24"/>
        </w:rPr>
        <w:t>The estimated BEKK-GARCH model can be obtained by substituting the following matrices into equation</w:t>
      </w:r>
      <w:r w:rsidR="001E59EE" w:rsidRPr="0084314D">
        <w:rPr>
          <w:rFonts w:ascii="Times New Roman" w:hAnsi="Times New Roman" w:cs="Times New Roman"/>
          <w:sz w:val="24"/>
          <w:szCs w:val="24"/>
        </w:rPr>
        <w:t xml:space="preserve"> for all three periods</w:t>
      </w:r>
      <w:r w:rsidRPr="0084314D">
        <w:rPr>
          <w:rFonts w:ascii="Times New Roman" w:hAnsi="Times New Roman" w:cs="Times New Roman"/>
          <w:sz w:val="24"/>
          <w:szCs w:val="24"/>
        </w:rPr>
        <w:t>.</w:t>
      </w:r>
    </w:p>
    <w:p w14:paraId="1091E0E9" w14:textId="77777777" w:rsidR="006F0FF8" w:rsidRDefault="006F0FF8">
      <w:pPr>
        <w:rPr>
          <w:rFonts w:ascii="Times New Roman" w:hAnsi="Times New Roman" w:cs="Times New Roman"/>
          <w:sz w:val="24"/>
          <w:szCs w:val="24"/>
        </w:rPr>
      </w:pPr>
      <w:r>
        <w:rPr>
          <w:rFonts w:ascii="Times New Roman" w:hAnsi="Times New Roman" w:cs="Times New Roman"/>
          <w:sz w:val="24"/>
          <w:szCs w:val="24"/>
        </w:rPr>
        <w:br w:type="page"/>
      </w:r>
    </w:p>
    <w:p w14:paraId="5E5FAE53" w14:textId="31E2F82C" w:rsidR="001E59EE" w:rsidRPr="0084314D" w:rsidRDefault="00F25718" w:rsidP="00C83870">
      <w:pPr>
        <w:pStyle w:val="Heading3"/>
      </w:pPr>
      <w:bookmarkStart w:id="125" w:name="_Toc90499971"/>
      <w:r>
        <w:lastRenderedPageBreak/>
        <w:t>1.</w:t>
      </w:r>
      <w:r w:rsidR="0022256D">
        <w:t>4.</w:t>
      </w:r>
      <w:r w:rsidR="00FB5817">
        <w:t>7.1</w:t>
      </w:r>
      <w:r w:rsidR="0022256D">
        <w:t xml:space="preserve"> </w:t>
      </w:r>
      <w:r w:rsidR="001E59EE" w:rsidRPr="0084314D">
        <w:t>Pre-crisis Period</w:t>
      </w:r>
      <w:r w:rsidR="00B47399">
        <w:t xml:space="preserve"> </w:t>
      </w:r>
      <w:r w:rsidR="00B47399" w:rsidRPr="0084314D">
        <w:t>BEKK-GARCH</w:t>
      </w:r>
      <w:bookmarkEnd w:id="125"/>
    </w:p>
    <w:p w14:paraId="309672BB" w14:textId="77777777" w:rsidR="00AF20FB" w:rsidRDefault="00AF20FB" w:rsidP="00891587">
      <w:pPr>
        <w:jc w:val="center"/>
        <w:rPr>
          <w:rFonts w:asciiTheme="majorHAnsi" w:eastAsiaTheme="majorEastAsia" w:hAnsiTheme="majorHAnsi" w:cstheme="majorBidi"/>
        </w:rPr>
      </w:pPr>
    </w:p>
    <w:p w14:paraId="6125A055" w14:textId="7737BE8F" w:rsidR="001E59EE" w:rsidRDefault="00891587" w:rsidP="00891587">
      <w:pPr>
        <w:jc w:val="center"/>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0.00578</m:t>
                        </m:r>
                      </m:e>
                      <m:e>
                        <m:r>
                          <w:rPr>
                            <w:rFonts w:ascii="Cambria Math" w:hAnsi="Cambria Math" w:cs="Times New Roman"/>
                          </w:rPr>
                          <m:t>0.01973</m:t>
                        </m:r>
                      </m:e>
                      <m:e>
                        <m:r>
                          <w:rPr>
                            <w:rFonts w:ascii="Cambria Math" w:hAnsi="Cambria Math" w:cs="Times New Roman"/>
                          </w:rPr>
                          <m:t>-0.04182</m:t>
                        </m:r>
                      </m:e>
                    </m:mr>
                    <m:mr>
                      <m:e>
                        <m:r>
                          <w:rPr>
                            <w:rFonts w:ascii="Cambria Math" w:hAnsi="Cambria Math" w:cs="Times New Roman"/>
                          </w:rPr>
                          <m:t>0.017983</m:t>
                        </m:r>
                      </m:e>
                      <m:e>
                        <m:r>
                          <w:rPr>
                            <w:rFonts w:ascii="Cambria Math" w:hAnsi="Cambria Math" w:cs="Times New Roman"/>
                          </w:rPr>
                          <m:t>0.32008</m:t>
                        </m:r>
                      </m:e>
                      <m:e>
                        <m:r>
                          <w:rPr>
                            <w:rFonts w:ascii="Cambria Math" w:hAnsi="Cambria Math" w:cs="Times New Roman"/>
                          </w:rPr>
                          <m:t>-0.00488</m:t>
                        </m:r>
                      </m:e>
                    </m:mr>
                    <m:mr>
                      <m:e>
                        <m:r>
                          <w:rPr>
                            <w:rFonts w:ascii="Cambria Math" w:hAnsi="Cambria Math" w:cs="Times New Roman"/>
                          </w:rPr>
                          <m:t>-0.04182</m:t>
                        </m:r>
                      </m:e>
                      <m:e>
                        <m:r>
                          <w:rPr>
                            <w:rFonts w:ascii="Cambria Math" w:hAnsi="Cambria Math" w:cs="Times New Roman"/>
                          </w:rPr>
                          <m:t>-0.00488</m:t>
                        </m:r>
                      </m:e>
                      <m:e>
                        <m:r>
                          <w:rPr>
                            <w:rFonts w:ascii="Cambria Math" w:hAnsi="Cambria Math" w:cs="Times New Roman"/>
                          </w:rPr>
                          <m:t>0.53070</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-0.00532</m:t>
                        </m:r>
                      </m:e>
                    </m:mr>
                    <m:mr>
                      <m:e>
                        <m:r>
                          <w:rPr>
                            <w:rFonts w:ascii="Cambria Math" w:hAnsi="Cambria Math" w:cs="Times New Roman"/>
                          </w:rPr>
                          <m:t>-0.33320</m:t>
                        </m:r>
                      </m:e>
                    </m:mr>
                    <m:mr>
                      <m:e>
                        <m:r>
                          <w:rPr>
                            <w:rFonts w:ascii="Cambria Math" w:hAnsi="Cambria Math" w:cs="Times New Roman"/>
                          </w:rPr>
                          <m:t>-0.13914</m:t>
                        </m:r>
                      </m:e>
                    </m:mr>
                  </m:m>
                </m:e>
                <m:e>
                  <m:r>
                    <w:rPr>
                      <w:rFonts w:ascii="Cambria Math" w:hAnsi="Cambria Math" w:cs="Times New Roman"/>
                    </w:rPr>
                    <m:t>-0.00532   -0.33321 -0.13914        0.53080</m:t>
                  </m:r>
                </m:e>
              </m:eqArr>
            </m:e>
          </m:d>
        </m:oMath>
      </m:oMathPara>
    </w:p>
    <w:p w14:paraId="598FF9A2" w14:textId="21CA904A" w:rsidR="00AD4AC5" w:rsidRDefault="00145A72" w:rsidP="00B97006">
      <w:pPr>
        <w:rPr>
          <w:rFonts w:ascii="Times New Roman" w:eastAsiaTheme="minorEastAsia" w:hAnsi="Times New Roman" w:cs="Times New Roman"/>
        </w:rPr>
      </w:pPr>
      <w:r w:rsidRPr="00145A72">
        <w:rPr>
          <w:rFonts w:ascii="Times New Roman" w:eastAsiaTheme="minorEastAsia" w:hAnsi="Times New Roman" w:cs="Times New Roman"/>
        </w:rPr>
        <w:t>K by K by P matrix of symmetric innovation parameters</w:t>
      </w:r>
    </w:p>
    <w:p w14:paraId="7D529000" w14:textId="3A8876DC" w:rsidR="00891587" w:rsidRDefault="00891587" w:rsidP="00891587">
      <w:pPr>
        <w:rPr>
          <w:rFonts w:ascii="Times New Roman" w:eastAsiaTheme="minorEastAsia" w:hAnsi="Times New Roman" w:cs="Times New Roman"/>
        </w:rPr>
      </w:pPr>
      <m:oMathPara>
        <m:oMath>
          <m:r>
            <w:rPr>
              <w:rFonts w:ascii="Cambria Math" w:hAnsi="Cambria Math" w:cs="Times New Roman"/>
            </w:rPr>
            <m:t>A=</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0..21286</m:t>
                        </m:r>
                      </m:e>
                      <m:e>
                        <m:r>
                          <w:rPr>
                            <w:rFonts w:ascii="Cambria Math" w:hAnsi="Cambria Math" w:cs="Times New Roman"/>
                          </w:rPr>
                          <m:t>0.01651</m:t>
                        </m:r>
                      </m:e>
                      <m:e>
                        <m:r>
                          <w:rPr>
                            <w:rFonts w:ascii="Cambria Math" w:hAnsi="Cambria Math" w:cs="Times New Roman"/>
                          </w:rPr>
                          <m:t>-0.00686</m:t>
                        </m:r>
                      </m:e>
                    </m:mr>
                    <m:mr>
                      <m:e>
                        <m:r>
                          <w:rPr>
                            <w:rFonts w:ascii="Cambria Math" w:hAnsi="Cambria Math" w:cs="Times New Roman"/>
                          </w:rPr>
                          <m:t>-0.023179</m:t>
                        </m:r>
                      </m:e>
                      <m:e>
                        <m:r>
                          <w:rPr>
                            <w:rFonts w:ascii="Cambria Math" w:hAnsi="Cambria Math" w:cs="Times New Roman"/>
                          </w:rPr>
                          <m:t>0.24227</m:t>
                        </m:r>
                      </m:e>
                      <m:e>
                        <m:r>
                          <w:rPr>
                            <w:rFonts w:ascii="Cambria Math" w:hAnsi="Cambria Math" w:cs="Times New Roman"/>
                          </w:rPr>
                          <m:t>0.01257</m:t>
                        </m:r>
                      </m:e>
                    </m:mr>
                    <m:mr>
                      <m:e>
                        <m:r>
                          <w:rPr>
                            <w:rFonts w:ascii="Cambria Math" w:hAnsi="Cambria Math" w:cs="Times New Roman"/>
                          </w:rPr>
                          <m:t>0.02934</m:t>
                        </m:r>
                      </m:e>
                      <m:e>
                        <m:r>
                          <w:rPr>
                            <w:rFonts w:ascii="Cambria Math" w:hAnsi="Cambria Math" w:cs="Times New Roman"/>
                          </w:rPr>
                          <m:t>-0.01224</m:t>
                        </m:r>
                      </m:e>
                      <m:e>
                        <m:r>
                          <w:rPr>
                            <w:rFonts w:ascii="Cambria Math" w:hAnsi="Cambria Math" w:cs="Times New Roman"/>
                          </w:rPr>
                          <m:t>0.19447</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0.02010</m:t>
                        </m:r>
                      </m:e>
                    </m:mr>
                    <m:mr>
                      <m:e>
                        <m:r>
                          <w:rPr>
                            <w:rFonts w:ascii="Cambria Math" w:hAnsi="Cambria Math" w:cs="Times New Roman"/>
                          </w:rPr>
                          <m:t>-0.01115</m:t>
                        </m:r>
                      </m:e>
                    </m:mr>
                    <m:mr>
                      <m:e>
                        <m:r>
                          <w:rPr>
                            <w:rFonts w:ascii="Cambria Math" w:hAnsi="Cambria Math" w:cs="Times New Roman"/>
                          </w:rPr>
                          <m:t>0.03273</m:t>
                        </m:r>
                      </m:e>
                    </m:mr>
                  </m:m>
                </m:e>
                <m:e>
                  <m:r>
                    <w:rPr>
                      <w:rFonts w:ascii="Cambria Math" w:hAnsi="Cambria Math" w:cs="Times New Roman"/>
                    </w:rPr>
                    <m:t>0.02723   -0.04389 -0.10817         0.22473</m:t>
                  </m:r>
                </m:e>
              </m:eqArr>
            </m:e>
          </m:d>
        </m:oMath>
      </m:oMathPara>
    </w:p>
    <w:p w14:paraId="090454B1" w14:textId="2B2A1AC6" w:rsidR="00AD4AC5" w:rsidRDefault="00145A72" w:rsidP="00B97006">
      <w:pPr>
        <w:rPr>
          <w:rFonts w:ascii="Times New Roman" w:hAnsi="Times New Roman" w:cs="Times New Roman"/>
        </w:rPr>
      </w:pPr>
      <w:r w:rsidRPr="00145A72">
        <w:rPr>
          <w:rFonts w:ascii="Times New Roman" w:hAnsi="Times New Roman" w:cs="Times New Roman"/>
        </w:rPr>
        <w:t>K by K by Q matrix of smoothing parameters</w:t>
      </w:r>
    </w:p>
    <w:p w14:paraId="253040D0" w14:textId="62EEA638" w:rsidR="00891587" w:rsidRDefault="00D74862" w:rsidP="00891587">
      <w:pPr>
        <w:rPr>
          <w:rFonts w:ascii="Times New Roman" w:eastAsiaTheme="minorEastAsia" w:hAnsi="Times New Roman" w:cs="Times New Roman"/>
        </w:rPr>
      </w:pPr>
      <m:oMathPara>
        <m:oMath>
          <m:r>
            <w:rPr>
              <w:rFonts w:ascii="Cambria Math" w:hAnsi="Cambria Math" w:cs="Times New Roman"/>
            </w:rPr>
            <m:t>G=</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0.91700</m:t>
                        </m:r>
                      </m:e>
                      <m:e>
                        <m:r>
                          <w:rPr>
                            <w:rFonts w:ascii="Cambria Math" w:hAnsi="Cambria Math" w:cs="Times New Roman"/>
                          </w:rPr>
                          <m:t>-0.01295</m:t>
                        </m:r>
                      </m:e>
                      <m:e>
                        <m:r>
                          <w:rPr>
                            <w:rFonts w:ascii="Cambria Math" w:hAnsi="Cambria Math" w:cs="Times New Roman"/>
                          </w:rPr>
                          <m:t>-0.00953</m:t>
                        </m:r>
                      </m:e>
                    </m:mr>
                    <m:mr>
                      <m:e>
                        <m:r>
                          <w:rPr>
                            <w:rFonts w:ascii="Cambria Math" w:hAnsi="Cambria Math" w:cs="Times New Roman"/>
                          </w:rPr>
                          <m:t>0.00070</m:t>
                        </m:r>
                      </m:e>
                      <m:e>
                        <m:r>
                          <w:rPr>
                            <w:rFonts w:ascii="Cambria Math" w:hAnsi="Cambria Math" w:cs="Times New Roman"/>
                          </w:rPr>
                          <m:t>0.91519</m:t>
                        </m:r>
                      </m:e>
                      <m:e>
                        <m:r>
                          <w:rPr>
                            <w:rFonts w:ascii="Cambria Math" w:hAnsi="Cambria Math" w:cs="Times New Roman"/>
                          </w:rPr>
                          <m:t>-0.00097</m:t>
                        </m:r>
                      </m:e>
                    </m:mr>
                    <m:mr>
                      <m:e>
                        <m:r>
                          <w:rPr>
                            <w:rFonts w:ascii="Cambria Math" w:hAnsi="Cambria Math" w:cs="Times New Roman"/>
                          </w:rPr>
                          <m:t>-0.00968</m:t>
                        </m:r>
                      </m:e>
                      <m:e>
                        <m:r>
                          <w:rPr>
                            <w:rFonts w:ascii="Cambria Math" w:hAnsi="Cambria Math" w:cs="Times New Roman"/>
                          </w:rPr>
                          <m:t>-0.02750</m:t>
                        </m:r>
                      </m:e>
                      <m:e>
                        <m:r>
                          <w:rPr>
                            <w:rFonts w:ascii="Cambria Math" w:hAnsi="Cambria Math" w:cs="Times New Roman"/>
                          </w:rPr>
                          <m:t>0.91711</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-0.03863</m:t>
                        </m:r>
                      </m:e>
                    </m:mr>
                    <m:mr>
                      <m:e>
                        <m:r>
                          <w:rPr>
                            <w:rFonts w:ascii="Cambria Math" w:hAnsi="Cambria Math" w:cs="Times New Roman"/>
                          </w:rPr>
                          <m:t>0.01084</m:t>
                        </m:r>
                      </m:e>
                    </m:mr>
                    <m:mr>
                      <m:e>
                        <m:r>
                          <w:rPr>
                            <w:rFonts w:ascii="Cambria Math" w:hAnsi="Cambria Math" w:cs="Times New Roman"/>
                          </w:rPr>
                          <m:t>-0.02371</m:t>
                        </m:r>
                      </m:e>
                    </m:mr>
                  </m:m>
                </m:e>
                <m:e>
                  <m:r>
                    <w:rPr>
                      <w:rFonts w:ascii="Cambria Math" w:hAnsi="Cambria Math" w:cs="Times New Roman"/>
                    </w:rPr>
                    <m:t>0.00800       0.00893         0.00379       0.91751</m:t>
                  </m:r>
                </m:e>
              </m:eqArr>
            </m:e>
          </m:d>
        </m:oMath>
      </m:oMathPara>
    </w:p>
    <w:p w14:paraId="3FB841D8" w14:textId="684F0840" w:rsidR="001E2983" w:rsidRDefault="002C15FD" w:rsidP="001E2983">
      <w:pPr>
        <w:jc w:val="both"/>
        <w:rPr>
          <w:sz w:val="20"/>
          <w:szCs w:val="20"/>
          <w:lang w:eastAsia="zh-CN"/>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=α+</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p</m:t>
            </m:r>
          </m:sup>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t-1</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q</m:t>
                </m:r>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m:t>
                    </m:r>
                  </m:sub>
                </m:sSub>
              </m:e>
            </m:nary>
          </m:e>
        </m:nary>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m:t>
            </m:r>
          </m:sub>
        </m:sSub>
      </m:oMath>
      <w:r w:rsidR="001E2983" w:rsidRPr="0053691F">
        <w:t xml:space="preserve">. </w:t>
      </w:r>
      <w:r w:rsidR="001E2983" w:rsidRPr="0053691F">
        <w:rPr>
          <w:sz w:val="20"/>
          <w:szCs w:val="20"/>
          <w:lang w:eastAsia="zh-CN"/>
        </w:rPr>
        <w:t xml:space="preserve"> The off-diagonal elements of matrix </w:t>
      </w:r>
      <m:oMath>
        <m:r>
          <m:rPr>
            <m:sty m:val="bi"/>
          </m:rPr>
          <w:rPr>
            <w:rFonts w:ascii="Cambria Math" w:eastAsia="Times New Roman" w:hAnsi="Cambria Math"/>
            <w:color w:val="000000"/>
            <w:sz w:val="20"/>
            <w:szCs w:val="20"/>
          </w:rPr>
          <m:t>θ</m:t>
        </m:r>
      </m:oMath>
      <w:r w:rsidR="001E2983" w:rsidRPr="0053691F">
        <w:rPr>
          <w:sz w:val="20"/>
          <w:szCs w:val="20"/>
          <w:lang w:eastAsia="zh-CN"/>
        </w:rPr>
        <w:t xml:space="preserve"> measure cross-market effects such as return spillovers among the three </w:t>
      </w:r>
      <w:r w:rsidR="001E2983">
        <w:rPr>
          <w:sz w:val="20"/>
          <w:szCs w:val="20"/>
          <w:lang w:eastAsia="zh-CN"/>
        </w:rPr>
        <w:t>spreads</w:t>
      </w:r>
      <w:r w:rsidR="001E2983" w:rsidRPr="0053691F">
        <w:rPr>
          <w:sz w:val="20"/>
          <w:szCs w:val="20"/>
          <w:lang w:eastAsia="zh-CN"/>
        </w:rPr>
        <w:t xml:space="preserve">. The parameters with asterisks are, significant at 5% level of significance.  </w:t>
      </w:r>
    </w:p>
    <w:p w14:paraId="2C938EF4" w14:textId="0A3B67ED" w:rsidR="00145A72" w:rsidRPr="00173345" w:rsidRDefault="001E2983" w:rsidP="00145A72">
      <w:pPr>
        <w:jc w:val="center"/>
        <w:rPr>
          <w:rFonts w:ascii="Times New Roman" w:eastAsiaTheme="minorEastAsia" w:hAnsi="Times New Roman" w:cs="Times New Roman"/>
        </w:rPr>
      </w:pPr>
      <m:oMathPara>
        <m:oMath>
          <m:r>
            <w:rPr>
              <w:rFonts w:ascii="Cambria Math" w:hAnsi="Cambria Math" w:cs="Times New Roman"/>
            </w:rPr>
            <m:t>θ=</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-0.07608</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-0.25929</m:t>
                        </m:r>
                      </m:e>
                      <m:e>
                        <m:r>
                          <w:rPr>
                            <w:rFonts w:ascii="Cambria Math" w:hAnsi="Cambria Math" w:cs="Times New Roman"/>
                          </w:rPr>
                          <m:t>0.54963</m:t>
                        </m:r>
                      </m:e>
                      <m:e>
                        <m:r>
                          <w:rPr>
                            <w:rFonts w:ascii="Cambria Math" w:hAnsi="Cambria Math" w:cs="Times New Roman"/>
                          </w:rPr>
                          <m:t>0</m:t>
                        </m:r>
                      </m:e>
                    </m:mr>
                    <m:mr>
                      <m:e>
                        <m:r>
                          <w:rPr>
                            <w:rFonts w:ascii="Cambria Math" w:hAnsi="Cambria Math" w:cs="Times New Roman"/>
                          </w:rPr>
                          <m:t>0.06700</m:t>
                        </m:r>
                      </m:e>
                      <m:e>
                        <m:r>
                          <w:rPr>
                            <w:rFonts w:ascii="Cambria Math" w:hAnsi="Cambria Math" w:cs="Times New Roman"/>
                          </w:rPr>
                          <m:t>-0.50284</m:t>
                        </m:r>
                      </m:e>
                      <m:e>
                        <m:r>
                          <w:rPr>
                            <w:rFonts w:ascii="Cambria Math" w:hAnsi="Cambria Math" w:cs="Times New Roman"/>
                          </w:rPr>
                          <m:t xml:space="preserve">          -0.27371       </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m:t>
                        </m:r>
                      </m:e>
                    </m:mr>
                    <m:mr>
                      <m:e>
                        <m:r>
                          <w:rPr>
                            <w:rFonts w:ascii="Cambria Math" w:hAnsi="Cambria Math" w:cs="Times New Roman"/>
                          </w:rPr>
                          <m:t>0</m:t>
                        </m:r>
                      </m:e>
                    </m:mr>
                    <m:mr>
                      <m:e>
                        <m:r>
                          <w:rPr>
                            <w:rFonts w:ascii="Cambria Math" w:hAnsi="Cambria Math" w:cs="Times New Roman"/>
                          </w:rPr>
                          <m:t>0</m:t>
                        </m:r>
                      </m:e>
                    </m:mr>
                  </m:m>
                </m:e>
                <m:e>
                  <m:r>
                    <w:rPr>
                      <w:rFonts w:ascii="Cambria Math" w:hAnsi="Cambria Math" w:cs="Times New Roman"/>
                    </w:rPr>
                    <m:t xml:space="preserve">        0.62659         0.39203               -0.01551       0.36476</m:t>
                  </m:r>
                </m:e>
              </m:eqArr>
            </m:e>
          </m:d>
        </m:oMath>
      </m:oMathPara>
    </w:p>
    <w:p w14:paraId="48A28B98" w14:textId="77D41210" w:rsidR="009730F8" w:rsidRPr="009730F8" w:rsidRDefault="009730F8" w:rsidP="009730F8">
      <w:pPr>
        <w:pStyle w:val="Caption"/>
        <w:keepNext/>
        <w:rPr>
          <w:rFonts w:ascii="Times New Roman" w:hAnsi="Times New Roman" w:cs="Times New Roman"/>
          <w:color w:val="auto"/>
          <w:sz w:val="24"/>
          <w:szCs w:val="24"/>
        </w:rPr>
      </w:pPr>
      <w:r w:rsidRPr="009730F8">
        <w:rPr>
          <w:rFonts w:ascii="Times New Roman" w:hAnsi="Times New Roman" w:cs="Times New Roman"/>
          <w:color w:val="auto"/>
          <w:sz w:val="24"/>
          <w:szCs w:val="24"/>
        </w:rPr>
        <w:t xml:space="preserve">Table 1.4.6 </w:t>
      </w:r>
      <w:r w:rsidRPr="009730F8">
        <w:rPr>
          <w:rFonts w:ascii="Times New Roman" w:hAnsi="Times New Roman" w:cs="Times New Roman"/>
          <w:bCs w:val="0"/>
          <w:color w:val="auto"/>
          <w:sz w:val="24"/>
          <w:szCs w:val="24"/>
        </w:rPr>
        <w:t xml:space="preserve">Pre-Crisis: </w:t>
      </w:r>
      <w:r w:rsidRPr="009730F8">
        <w:rPr>
          <w:rFonts w:ascii="Times New Roman" w:hAnsi="Times New Roman" w:cs="Times New Roman"/>
          <w:color w:val="auto"/>
          <w:sz w:val="24"/>
          <w:szCs w:val="24"/>
        </w:rPr>
        <w:t>Liquidity Transmission Implied in bivariate BEKK model</w:t>
      </w:r>
    </w:p>
    <w:tbl>
      <w:tblPr>
        <w:tblStyle w:val="TableGrid"/>
        <w:tblW w:w="9240" w:type="dxa"/>
        <w:tblLook w:val="04A0" w:firstRow="1" w:lastRow="0" w:firstColumn="1" w:lastColumn="0" w:noHBand="0" w:noVBand="1"/>
      </w:tblPr>
      <w:tblGrid>
        <w:gridCol w:w="6678"/>
        <w:gridCol w:w="2562"/>
      </w:tblGrid>
      <w:tr w:rsidR="00B40466" w14:paraId="320020AF" w14:textId="77777777" w:rsidTr="00FB5817">
        <w:trPr>
          <w:trHeight w:val="361"/>
        </w:trPr>
        <w:tc>
          <w:tcPr>
            <w:tcW w:w="6678" w:type="dxa"/>
          </w:tcPr>
          <w:p w14:paraId="73E0FEE9"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S&amp;P500 Volatility to ABCP</w:t>
            </w:r>
          </w:p>
        </w:tc>
        <w:tc>
          <w:tcPr>
            <w:tcW w:w="2562" w:type="dxa"/>
          </w:tcPr>
          <w:p w14:paraId="19A03439"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1.29%</w:t>
            </w:r>
          </w:p>
        </w:tc>
      </w:tr>
      <w:tr w:rsidR="00B40466" w14:paraId="09A95A77" w14:textId="77777777" w:rsidTr="00FB5817">
        <w:trPr>
          <w:trHeight w:val="340"/>
        </w:trPr>
        <w:tc>
          <w:tcPr>
            <w:tcW w:w="6678" w:type="dxa"/>
          </w:tcPr>
          <w:p w14:paraId="49F2B955"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 xml:space="preserve">Liquidity transmit ABCP to S&amp;P500 Volatility </w:t>
            </w:r>
          </w:p>
        </w:tc>
        <w:tc>
          <w:tcPr>
            <w:tcW w:w="2562" w:type="dxa"/>
          </w:tcPr>
          <w:p w14:paraId="7FBCD0F6"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0.07%</w:t>
            </w:r>
          </w:p>
        </w:tc>
      </w:tr>
      <w:tr w:rsidR="00B40466" w14:paraId="42688BBF" w14:textId="77777777" w:rsidTr="00FB5817">
        <w:trPr>
          <w:trHeight w:val="361"/>
        </w:trPr>
        <w:tc>
          <w:tcPr>
            <w:tcW w:w="6678" w:type="dxa"/>
          </w:tcPr>
          <w:p w14:paraId="41004CB0"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S&amp;P500 Volatility to OIS</w:t>
            </w:r>
          </w:p>
        </w:tc>
        <w:tc>
          <w:tcPr>
            <w:tcW w:w="2562" w:type="dxa"/>
          </w:tcPr>
          <w:p w14:paraId="438AE463"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0.95%</w:t>
            </w:r>
          </w:p>
        </w:tc>
      </w:tr>
      <w:tr w:rsidR="00B40466" w14:paraId="7193F41D" w14:textId="77777777" w:rsidTr="00FB5817">
        <w:trPr>
          <w:trHeight w:val="340"/>
        </w:trPr>
        <w:tc>
          <w:tcPr>
            <w:tcW w:w="6678" w:type="dxa"/>
          </w:tcPr>
          <w:p w14:paraId="3FC5F9CD"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 xml:space="preserve">Liquidity transmit OIS to S&amp;P500 Volatility </w:t>
            </w:r>
          </w:p>
        </w:tc>
        <w:tc>
          <w:tcPr>
            <w:tcW w:w="2562" w:type="dxa"/>
          </w:tcPr>
          <w:p w14:paraId="290CF807"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0.97%</w:t>
            </w:r>
          </w:p>
        </w:tc>
      </w:tr>
      <w:tr w:rsidR="00B40466" w14:paraId="2BBFB79C" w14:textId="77777777" w:rsidTr="00FB5817">
        <w:trPr>
          <w:trHeight w:val="361"/>
        </w:trPr>
        <w:tc>
          <w:tcPr>
            <w:tcW w:w="6678" w:type="dxa"/>
          </w:tcPr>
          <w:p w14:paraId="5408F8FD"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S&amp;P500 Volatility to TED</w:t>
            </w:r>
          </w:p>
        </w:tc>
        <w:tc>
          <w:tcPr>
            <w:tcW w:w="2562" w:type="dxa"/>
          </w:tcPr>
          <w:p w14:paraId="7744F6DF"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3.86%</w:t>
            </w:r>
          </w:p>
        </w:tc>
      </w:tr>
      <w:tr w:rsidR="00B40466" w14:paraId="6B66822C" w14:textId="77777777" w:rsidTr="00FB5817">
        <w:trPr>
          <w:trHeight w:val="340"/>
        </w:trPr>
        <w:tc>
          <w:tcPr>
            <w:tcW w:w="6678" w:type="dxa"/>
          </w:tcPr>
          <w:p w14:paraId="74F3930A"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 xml:space="preserve">Liquidity transmit TED to S&amp;P500 Volatility </w:t>
            </w:r>
          </w:p>
        </w:tc>
        <w:tc>
          <w:tcPr>
            <w:tcW w:w="2562" w:type="dxa"/>
          </w:tcPr>
          <w:p w14:paraId="3F5CEFC1"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0.80%</w:t>
            </w:r>
          </w:p>
        </w:tc>
      </w:tr>
      <w:tr w:rsidR="00B40466" w14:paraId="2D2F5A78" w14:textId="77777777" w:rsidTr="00FB5817">
        <w:trPr>
          <w:trHeight w:val="361"/>
        </w:trPr>
        <w:tc>
          <w:tcPr>
            <w:tcW w:w="6678" w:type="dxa"/>
          </w:tcPr>
          <w:p w14:paraId="569CC1A0"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ABCP to OIS</w:t>
            </w:r>
          </w:p>
        </w:tc>
        <w:tc>
          <w:tcPr>
            <w:tcW w:w="2562" w:type="dxa"/>
          </w:tcPr>
          <w:p w14:paraId="56BD09D7"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0.10%</w:t>
            </w:r>
          </w:p>
        </w:tc>
      </w:tr>
      <w:tr w:rsidR="00B40466" w14:paraId="507FB7DB" w14:textId="77777777" w:rsidTr="00FB5817">
        <w:trPr>
          <w:trHeight w:val="340"/>
        </w:trPr>
        <w:tc>
          <w:tcPr>
            <w:tcW w:w="6678" w:type="dxa"/>
          </w:tcPr>
          <w:p w14:paraId="0CAE6D83"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 xml:space="preserve">Liquidity transmit OIS to ABCP </w:t>
            </w:r>
          </w:p>
        </w:tc>
        <w:tc>
          <w:tcPr>
            <w:tcW w:w="2562" w:type="dxa"/>
          </w:tcPr>
          <w:p w14:paraId="1AABEBBF"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2.75%</w:t>
            </w:r>
          </w:p>
        </w:tc>
      </w:tr>
      <w:tr w:rsidR="00B40466" w14:paraId="28A06D24" w14:textId="77777777" w:rsidTr="00FB5817">
        <w:trPr>
          <w:trHeight w:val="361"/>
        </w:trPr>
        <w:tc>
          <w:tcPr>
            <w:tcW w:w="6678" w:type="dxa"/>
          </w:tcPr>
          <w:p w14:paraId="4EBD329C"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ABCP to TED</w:t>
            </w:r>
          </w:p>
        </w:tc>
        <w:tc>
          <w:tcPr>
            <w:tcW w:w="2562" w:type="dxa"/>
          </w:tcPr>
          <w:p w14:paraId="4B4B73A5"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1.08%</w:t>
            </w:r>
          </w:p>
        </w:tc>
      </w:tr>
      <w:tr w:rsidR="00B40466" w14:paraId="431C032F" w14:textId="77777777" w:rsidTr="00FB5817">
        <w:trPr>
          <w:trHeight w:val="340"/>
        </w:trPr>
        <w:tc>
          <w:tcPr>
            <w:tcW w:w="6678" w:type="dxa"/>
          </w:tcPr>
          <w:p w14:paraId="2D87BCA5"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TED to ABCP</w:t>
            </w:r>
          </w:p>
        </w:tc>
        <w:tc>
          <w:tcPr>
            <w:tcW w:w="2562" w:type="dxa"/>
          </w:tcPr>
          <w:p w14:paraId="4B5CD31E"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2.75%</w:t>
            </w:r>
          </w:p>
        </w:tc>
      </w:tr>
      <w:tr w:rsidR="00B40466" w14:paraId="42024B9E" w14:textId="77777777" w:rsidTr="00FB5817">
        <w:trPr>
          <w:trHeight w:val="361"/>
        </w:trPr>
        <w:tc>
          <w:tcPr>
            <w:tcW w:w="6678" w:type="dxa"/>
          </w:tcPr>
          <w:p w14:paraId="24B30163"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Liquidity transmit OIS to TED</w:t>
            </w:r>
          </w:p>
        </w:tc>
        <w:tc>
          <w:tcPr>
            <w:tcW w:w="2562" w:type="dxa"/>
          </w:tcPr>
          <w:p w14:paraId="0248E83E"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2.37%</w:t>
            </w:r>
          </w:p>
        </w:tc>
      </w:tr>
      <w:tr w:rsidR="00B40466" w14:paraId="13B6912F" w14:textId="77777777" w:rsidTr="00FB5817">
        <w:trPr>
          <w:trHeight w:val="340"/>
        </w:trPr>
        <w:tc>
          <w:tcPr>
            <w:tcW w:w="6678" w:type="dxa"/>
          </w:tcPr>
          <w:p w14:paraId="6D1BD5F9"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 xml:space="preserve">Liquidity transmit TED to OIS </w:t>
            </w:r>
          </w:p>
        </w:tc>
        <w:tc>
          <w:tcPr>
            <w:tcW w:w="2562" w:type="dxa"/>
          </w:tcPr>
          <w:p w14:paraId="5FEC9FAD" w14:textId="77777777" w:rsidR="00B40466" w:rsidRDefault="00B40466" w:rsidP="00BC76B8">
            <w:pPr>
              <w:rPr>
                <w:rFonts w:ascii="Times New Roman" w:hAnsi="Times New Roman" w:cs="Times New Roman"/>
                <w:lang w:eastAsia="hu-HU"/>
              </w:rPr>
            </w:pPr>
            <w:r>
              <w:rPr>
                <w:rFonts w:ascii="Times New Roman" w:hAnsi="Times New Roman" w:cs="Times New Roman"/>
                <w:lang w:eastAsia="hu-HU"/>
              </w:rPr>
              <w:t>0.38%</w:t>
            </w:r>
          </w:p>
        </w:tc>
      </w:tr>
    </w:tbl>
    <w:p w14:paraId="5DEC69AD" w14:textId="579F5A8B" w:rsidR="00B40466" w:rsidRDefault="00B40466" w:rsidP="00B40466">
      <w:pPr>
        <w:rPr>
          <w:rFonts w:ascii="Times New Roman" w:hAnsi="Times New Roman" w:cs="Times New Roman"/>
          <w:lang w:eastAsia="hu-HU"/>
        </w:rPr>
      </w:pPr>
      <w:r w:rsidRPr="001752EC">
        <w:rPr>
          <w:rFonts w:ascii="Times New Roman" w:eastAsiaTheme="minorEastAsia" w:hAnsi="Times New Roman"/>
          <w:i/>
          <w:szCs w:val="24"/>
        </w:rPr>
        <w:t xml:space="preserve">Note: liquidity transmission between different </w:t>
      </w:r>
      <w:r w:rsidR="00B47399" w:rsidRPr="001752EC">
        <w:rPr>
          <w:rFonts w:ascii="Times New Roman" w:eastAsiaTheme="minorEastAsia" w:hAnsi="Times New Roman"/>
          <w:i/>
          <w:szCs w:val="24"/>
        </w:rPr>
        <w:t>pairwise</w:t>
      </w:r>
      <w:r w:rsidRPr="001752EC">
        <w:rPr>
          <w:rFonts w:ascii="Times New Roman" w:eastAsiaTheme="minorEastAsia" w:hAnsi="Times New Roman"/>
          <w:i/>
          <w:szCs w:val="24"/>
        </w:rPr>
        <w:t xml:space="preserve"> is described as percentage and the corresponding standard errors. The transmission percentage is indicated by the parameter G</w:t>
      </w:r>
      <w:r>
        <w:rPr>
          <w:rFonts w:ascii="Times New Roman" w:eastAsiaTheme="minorEastAsia" w:hAnsi="Times New Roman"/>
          <w:i/>
          <w:szCs w:val="24"/>
        </w:rPr>
        <w:t xml:space="preserve">. </w:t>
      </w:r>
      <w:r w:rsidRPr="001752EC">
        <w:rPr>
          <w:rFonts w:ascii="Times New Roman" w:eastAsiaTheme="minorEastAsia" w:hAnsi="Times New Roman"/>
          <w:i/>
          <w:szCs w:val="24"/>
        </w:rPr>
        <w:t>For example, the liquidity transmit from OIS to S&amp;P500 volatility is 0.</w:t>
      </w:r>
      <w:r w:rsidR="00165BC4">
        <w:rPr>
          <w:rFonts w:ascii="Times New Roman" w:eastAsiaTheme="minorEastAsia" w:hAnsi="Times New Roman"/>
          <w:i/>
          <w:szCs w:val="24"/>
        </w:rPr>
        <w:t>97</w:t>
      </w:r>
      <w:r w:rsidRPr="001752EC">
        <w:rPr>
          <w:rFonts w:ascii="Times New Roman" w:eastAsiaTheme="minorEastAsia" w:hAnsi="Times New Roman"/>
          <w:i/>
          <w:szCs w:val="24"/>
        </w:rPr>
        <w:t xml:space="preserve">% because the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12</m:t>
            </m:r>
          </m:sub>
        </m:sSub>
      </m:oMath>
      <w:r w:rsidRPr="00040E5A">
        <w:rPr>
          <w:rFonts w:ascii="Times New Roman" w:eastAsiaTheme="minorEastAsia" w:hAnsi="Times New Roman"/>
          <w:i/>
          <w:szCs w:val="24"/>
        </w:rPr>
        <w:t xml:space="preserve"> parameter is 0.00</w:t>
      </w:r>
      <w:r w:rsidR="00165BC4">
        <w:rPr>
          <w:rFonts w:ascii="Times New Roman" w:eastAsiaTheme="minorEastAsia" w:hAnsi="Times New Roman"/>
          <w:i/>
          <w:szCs w:val="24"/>
        </w:rPr>
        <w:t>97</w:t>
      </w:r>
      <w:r w:rsidRPr="00040E5A">
        <w:rPr>
          <w:rFonts w:ascii="Times New Roman" w:eastAsiaTheme="minorEastAsia" w:hAnsi="Times New Roman"/>
          <w:i/>
          <w:szCs w:val="24"/>
        </w:rPr>
        <w:t xml:space="preserve"> and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21</m:t>
            </m:r>
          </m:sub>
        </m:sSub>
      </m:oMath>
      <w:r w:rsidRPr="001752EC">
        <w:rPr>
          <w:rFonts w:ascii="Times New Roman" w:eastAsiaTheme="minorEastAsia" w:hAnsi="Times New Roman"/>
          <w:i/>
          <w:szCs w:val="24"/>
        </w:rPr>
        <w:t xml:space="preserve"> parameter is 0.0</w:t>
      </w:r>
      <w:r w:rsidR="00165BC4">
        <w:rPr>
          <w:rFonts w:ascii="Times New Roman" w:eastAsiaTheme="minorEastAsia" w:hAnsi="Times New Roman"/>
          <w:i/>
          <w:szCs w:val="24"/>
        </w:rPr>
        <w:t>095</w:t>
      </w:r>
      <w:r w:rsidRPr="001752EC">
        <w:rPr>
          <w:rFonts w:ascii="Times New Roman" w:eastAsiaTheme="minorEastAsia" w:hAnsi="Times New Roman"/>
          <w:i/>
          <w:szCs w:val="24"/>
        </w:rPr>
        <w:t xml:space="preserve"> which tell us the liquidity transmission percentage from S&amp;P500 volatility to </w:t>
      </w:r>
      <w:r w:rsidR="00165BC4">
        <w:rPr>
          <w:rFonts w:ascii="Times New Roman" w:eastAsiaTheme="minorEastAsia" w:hAnsi="Times New Roman"/>
          <w:i/>
          <w:szCs w:val="24"/>
        </w:rPr>
        <w:t>OIS</w:t>
      </w:r>
      <w:r w:rsidRPr="001752EC">
        <w:rPr>
          <w:rFonts w:ascii="Times New Roman" w:eastAsiaTheme="minorEastAsia" w:hAnsi="Times New Roman"/>
          <w:i/>
          <w:szCs w:val="24"/>
        </w:rPr>
        <w:t>.</w:t>
      </w:r>
    </w:p>
    <w:p w14:paraId="54941D33" w14:textId="450B56AF" w:rsidR="00145A72" w:rsidRDefault="00FB5817" w:rsidP="00C83870">
      <w:pPr>
        <w:pStyle w:val="Heading3"/>
        <w:rPr>
          <w:szCs w:val="24"/>
        </w:rPr>
      </w:pPr>
      <w:bookmarkStart w:id="126" w:name="_Toc90499972"/>
      <w:r>
        <w:lastRenderedPageBreak/>
        <w:t>1.</w:t>
      </w:r>
      <w:r w:rsidR="0022256D">
        <w:t>4.7</w:t>
      </w:r>
      <w:r>
        <w:t>.2</w:t>
      </w:r>
      <w:r w:rsidR="0022256D">
        <w:t xml:space="preserve"> </w:t>
      </w:r>
      <w:r w:rsidR="00145A72">
        <w:t xml:space="preserve">During Crisis </w:t>
      </w:r>
      <w:r w:rsidR="00B47399">
        <w:t xml:space="preserve">Period </w:t>
      </w:r>
      <w:r w:rsidR="00B47399" w:rsidRPr="0084314D">
        <w:rPr>
          <w:szCs w:val="24"/>
        </w:rPr>
        <w:t>BEKK-GARCH</w:t>
      </w:r>
      <w:bookmarkEnd w:id="126"/>
    </w:p>
    <w:p w14:paraId="5F094D5E" w14:textId="77777777" w:rsidR="00FB5817" w:rsidRPr="00FB5817" w:rsidRDefault="00FB5817" w:rsidP="00FB5817"/>
    <w:p w14:paraId="01594698" w14:textId="55ED3561" w:rsidR="00145A72" w:rsidRDefault="00145A72" w:rsidP="00145A72">
      <w:pPr>
        <w:jc w:val="center"/>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0.00018</m:t>
                        </m:r>
                      </m:e>
                      <m:e>
                        <m:r>
                          <w:rPr>
                            <w:rFonts w:ascii="Cambria Math" w:hAnsi="Cambria Math" w:cs="Times New Roman"/>
                          </w:rPr>
                          <m:t>0.00064</m:t>
                        </m:r>
                      </m:e>
                      <m:e>
                        <m:r>
                          <w:rPr>
                            <w:rFonts w:ascii="Cambria Math" w:hAnsi="Cambria Math" w:cs="Times New Roman"/>
                          </w:rPr>
                          <m:t>-0.00079</m:t>
                        </m:r>
                      </m:e>
                    </m:mr>
                    <m:mr>
                      <m:e>
                        <m:r>
                          <w:rPr>
                            <w:rFonts w:ascii="Cambria Math" w:hAnsi="Cambria Math" w:cs="Times New Roman"/>
                          </w:rPr>
                          <m:t>0.00064</m:t>
                        </m:r>
                      </m:e>
                      <m:e>
                        <m:r>
                          <w:rPr>
                            <w:rFonts w:ascii="Cambria Math" w:hAnsi="Cambria Math" w:cs="Times New Roman"/>
                          </w:rPr>
                          <m:t>-0.00079</m:t>
                        </m:r>
                      </m:e>
                      <m:e>
                        <m:r>
                          <w:rPr>
                            <w:rFonts w:ascii="Cambria Math" w:hAnsi="Cambria Math" w:cs="Times New Roman"/>
                          </w:rPr>
                          <m:t>0.06651</m:t>
                        </m:r>
                      </m:e>
                    </m:mr>
                    <m:mr>
                      <m:e>
                        <m:r>
                          <w:rPr>
                            <w:rFonts w:ascii="Cambria Math" w:hAnsi="Cambria Math" w:cs="Times New Roman"/>
                          </w:rPr>
                          <m:t>-0.00079</m:t>
                        </m:r>
                      </m:e>
                      <m:e>
                        <m:r>
                          <w:rPr>
                            <w:rFonts w:ascii="Cambria Math" w:hAnsi="Cambria Math" w:cs="Times New Roman"/>
                          </w:rPr>
                          <m:t>0.06651</m:t>
                        </m:r>
                      </m:e>
                      <m:e>
                        <m:r>
                          <w:rPr>
                            <w:rFonts w:ascii="Cambria Math" w:hAnsi="Cambria Math" w:cs="Times New Roman"/>
                          </w:rPr>
                          <m:t>0.27385</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0.00331</m:t>
                        </m:r>
                      </m:e>
                    </m:mr>
                    <m:mr>
                      <m:e>
                        <m:r>
                          <w:rPr>
                            <w:rFonts w:ascii="Cambria Math" w:hAnsi="Cambria Math" w:cs="Times New Roman"/>
                          </w:rPr>
                          <m:t>-0.06355</m:t>
                        </m:r>
                      </m:e>
                    </m:mr>
                    <m:mr>
                      <m:e>
                        <m:r>
                          <w:rPr>
                            <w:rFonts w:ascii="Cambria Math" w:hAnsi="Cambria Math" w:cs="Times New Roman"/>
                          </w:rPr>
                          <m:t>-0.24050</m:t>
                        </m:r>
                      </m:e>
                    </m:mr>
                  </m:m>
                </m:e>
                <m:e>
                  <m:r>
                    <w:rPr>
                      <w:rFonts w:ascii="Cambria Math" w:hAnsi="Cambria Math" w:cs="Times New Roman"/>
                    </w:rPr>
                    <m:t>0.00331   -0.06355 -0.24050         0.54141</m:t>
                  </m:r>
                </m:e>
              </m:eqArr>
            </m:e>
          </m:d>
        </m:oMath>
      </m:oMathPara>
    </w:p>
    <w:p w14:paraId="58F5D703" w14:textId="77777777" w:rsidR="00145A72" w:rsidRDefault="00145A72" w:rsidP="00145A72">
      <w:pPr>
        <w:rPr>
          <w:rFonts w:ascii="Times New Roman" w:eastAsiaTheme="minorEastAsia" w:hAnsi="Times New Roman" w:cs="Times New Roman"/>
        </w:rPr>
      </w:pPr>
      <w:r w:rsidRPr="00145A72">
        <w:rPr>
          <w:rFonts w:ascii="Times New Roman" w:eastAsiaTheme="minorEastAsia" w:hAnsi="Times New Roman" w:cs="Times New Roman"/>
        </w:rPr>
        <w:t>K by K by P matrix of symmetric innovation parameters</w:t>
      </w:r>
    </w:p>
    <w:p w14:paraId="299817E7" w14:textId="49C87618" w:rsidR="00145A72" w:rsidRDefault="00145A72" w:rsidP="00145A72">
      <w:pPr>
        <w:rPr>
          <w:rFonts w:ascii="Times New Roman" w:hAnsi="Times New Roman" w:cs="Times New Roman"/>
        </w:rPr>
      </w:pPr>
      <m:oMathPara>
        <m:oMath>
          <m:r>
            <w:rPr>
              <w:rFonts w:ascii="Cambria Math" w:hAnsi="Cambria Math" w:cs="Times New Roman"/>
            </w:rPr>
            <m:t>A=</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0.27214</m:t>
                        </m:r>
                      </m:e>
                      <m:e>
                        <m:r>
                          <w:rPr>
                            <w:rFonts w:ascii="Cambria Math" w:hAnsi="Cambria Math" w:cs="Times New Roman"/>
                          </w:rPr>
                          <m:t>0.03018</m:t>
                        </m:r>
                      </m:e>
                      <m:e>
                        <m:r>
                          <w:rPr>
                            <w:rFonts w:ascii="Cambria Math" w:hAnsi="Cambria Math" w:cs="Times New Roman"/>
                          </w:rPr>
                          <m:t>0.00764</m:t>
                        </m:r>
                      </m:e>
                    </m:mr>
                    <m:mr>
                      <m:e>
                        <m:r>
                          <w:rPr>
                            <w:rFonts w:ascii="Cambria Math" w:hAnsi="Cambria Math" w:cs="Times New Roman"/>
                          </w:rPr>
                          <m:t>0.02553</m:t>
                        </m:r>
                      </m:e>
                      <m:e>
                        <m:r>
                          <w:rPr>
                            <w:rFonts w:ascii="Cambria Math" w:hAnsi="Cambria Math" w:cs="Times New Roman"/>
                          </w:rPr>
                          <m:t>0.32954</m:t>
                        </m:r>
                      </m:e>
                      <m:e>
                        <m:r>
                          <w:rPr>
                            <w:rFonts w:ascii="Cambria Math" w:hAnsi="Cambria Math" w:cs="Times New Roman"/>
                          </w:rPr>
                          <m:t>-0.03709</m:t>
                        </m:r>
                      </m:e>
                    </m:mr>
                    <m:mr>
                      <m:e>
                        <m:r>
                          <w:rPr>
                            <w:rFonts w:ascii="Cambria Math" w:hAnsi="Cambria Math" w:cs="Times New Roman"/>
                          </w:rPr>
                          <m:t>0.01676</m:t>
                        </m:r>
                      </m:e>
                      <m:e>
                        <m:r>
                          <w:rPr>
                            <w:rFonts w:ascii="Cambria Math" w:hAnsi="Cambria Math" w:cs="Times New Roman"/>
                          </w:rPr>
                          <m:t>0.04230</m:t>
                        </m:r>
                      </m:e>
                      <m:e>
                        <m:r>
                          <w:rPr>
                            <w:rFonts w:ascii="Cambria Math" w:hAnsi="Cambria Math" w:cs="Times New Roman"/>
                          </w:rPr>
                          <m:t xml:space="preserve"> 0.25413</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0.02084</m:t>
                        </m:r>
                      </m:e>
                    </m:mr>
                    <m:mr>
                      <m:e>
                        <m:r>
                          <w:rPr>
                            <w:rFonts w:ascii="Cambria Math" w:hAnsi="Cambria Math" w:cs="Times New Roman"/>
                          </w:rPr>
                          <m:t>-0.02662</m:t>
                        </m:r>
                      </m:e>
                    </m:mr>
                    <m:mr>
                      <m:e>
                        <m:r>
                          <w:rPr>
                            <w:rFonts w:ascii="Cambria Math" w:hAnsi="Cambria Math" w:cs="Times New Roman"/>
                          </w:rPr>
                          <m:t xml:space="preserve"> 0.01643</m:t>
                        </m:r>
                      </m:e>
                    </m:mr>
                  </m:m>
                </m:e>
                <m:e>
                  <m:r>
                    <w:rPr>
                      <w:rFonts w:ascii="Cambria Math" w:hAnsi="Cambria Math" w:cs="Times New Roman"/>
                    </w:rPr>
                    <m:t>0.0092   -0.01013      0.04325      0.26365</m:t>
                  </m:r>
                </m:e>
              </m:eqArr>
            </m:e>
          </m:d>
        </m:oMath>
      </m:oMathPara>
    </w:p>
    <w:p w14:paraId="4AD9B370" w14:textId="77777777" w:rsidR="00145A72" w:rsidRDefault="00145A72" w:rsidP="00145A72">
      <w:pPr>
        <w:rPr>
          <w:rFonts w:ascii="Times New Roman" w:hAnsi="Times New Roman" w:cs="Times New Roman"/>
        </w:rPr>
      </w:pPr>
      <w:r w:rsidRPr="00145A72">
        <w:rPr>
          <w:rFonts w:ascii="Times New Roman" w:hAnsi="Times New Roman" w:cs="Times New Roman"/>
        </w:rPr>
        <w:t>K by K by Q matrix of smoothing parameters</w:t>
      </w:r>
    </w:p>
    <w:p w14:paraId="1CC5A436" w14:textId="647629AE" w:rsidR="00145A72" w:rsidRDefault="00145A72" w:rsidP="00145A72">
      <w:pPr>
        <w:rPr>
          <w:rFonts w:ascii="Times New Roman" w:eastAsiaTheme="minorEastAsia" w:hAnsi="Times New Roman" w:cs="Times New Roman"/>
        </w:rPr>
      </w:pPr>
      <m:oMathPara>
        <m:oMath>
          <m:r>
            <w:rPr>
              <w:rFonts w:ascii="Cambria Math" w:hAnsi="Cambria Math" w:cs="Times New Roman"/>
            </w:rPr>
            <m:t>G=</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0.89973</m:t>
                        </m:r>
                      </m:e>
                      <m:e>
                        <m:r>
                          <w:rPr>
                            <w:rFonts w:ascii="Cambria Math" w:hAnsi="Cambria Math" w:cs="Times New Roman"/>
                          </w:rPr>
                          <m:t xml:space="preserve"> 0.00764</m:t>
                        </m:r>
                      </m:e>
                      <m:e>
                        <m:r>
                          <w:rPr>
                            <w:rFonts w:ascii="Cambria Math" w:hAnsi="Cambria Math" w:cs="Times New Roman"/>
                          </w:rPr>
                          <m:t>-0.03578</m:t>
                        </m:r>
                      </m:e>
                    </m:mr>
                    <m:mr>
                      <m:e>
                        <m:r>
                          <w:rPr>
                            <w:rFonts w:ascii="Cambria Math" w:hAnsi="Cambria Math" w:cs="Times New Roman"/>
                          </w:rPr>
                          <m:t>-0.00653</m:t>
                        </m:r>
                      </m:e>
                      <m:e>
                        <m:r>
                          <w:rPr>
                            <w:rFonts w:ascii="Cambria Math" w:hAnsi="Cambria Math" w:cs="Times New Roman"/>
                          </w:rPr>
                          <m:t xml:space="preserve"> 0.90232</m:t>
                        </m:r>
                      </m:e>
                      <m:e>
                        <m:r>
                          <w:rPr>
                            <w:rFonts w:ascii="Cambria Math" w:hAnsi="Cambria Math" w:cs="Times New Roman"/>
                          </w:rPr>
                          <m:t>-0.01178</m:t>
                        </m:r>
                      </m:e>
                    </m:mr>
                    <m:mr>
                      <m:e>
                        <m:r>
                          <w:rPr>
                            <w:rFonts w:ascii="Cambria Math" w:hAnsi="Cambria Math" w:cs="Times New Roman"/>
                          </w:rPr>
                          <m:t>-0.00016</m:t>
                        </m:r>
                      </m:e>
                      <m:e>
                        <m:r>
                          <w:rPr>
                            <w:rFonts w:ascii="Cambria Math" w:hAnsi="Cambria Math" w:cs="Times New Roman"/>
                          </w:rPr>
                          <m:t xml:space="preserve"> 0.02497</m:t>
                        </m:r>
                      </m:e>
                      <m:e>
                        <m:r>
                          <w:rPr>
                            <w:rFonts w:ascii="Cambria Math" w:hAnsi="Cambria Math" w:cs="Times New Roman"/>
                          </w:rPr>
                          <m:t xml:space="preserve">  0.90718</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0.02708</m:t>
                        </m:r>
                      </m:e>
                    </m:mr>
                    <m:mr>
                      <m:e>
                        <m:r>
                          <w:rPr>
                            <w:rFonts w:ascii="Cambria Math" w:hAnsi="Cambria Math" w:cs="Times New Roman"/>
                          </w:rPr>
                          <m:t>0.01071</m:t>
                        </m:r>
                      </m:e>
                    </m:mr>
                    <m:mr>
                      <m:e>
                        <m:r>
                          <w:rPr>
                            <w:rFonts w:ascii="Cambria Math" w:hAnsi="Cambria Math" w:cs="Times New Roman"/>
                          </w:rPr>
                          <m:t>-0.01675</m:t>
                        </m:r>
                      </m:e>
                    </m:mr>
                  </m:m>
                </m:e>
                <m:e>
                  <m:r>
                    <w:rPr>
                      <w:rFonts w:ascii="Cambria Math" w:hAnsi="Cambria Math" w:cs="Times New Roman"/>
                    </w:rPr>
                    <m:t xml:space="preserve"> -0.03097  -0.00815     0.03835       0.90699</m:t>
                  </m:r>
                </m:e>
              </m:eqArr>
            </m:e>
          </m:d>
        </m:oMath>
      </m:oMathPara>
    </w:p>
    <w:p w14:paraId="4A8A521E" w14:textId="77777777" w:rsidR="001E2983" w:rsidRDefault="002C15FD" w:rsidP="001E2983">
      <w:pPr>
        <w:jc w:val="both"/>
        <w:rPr>
          <w:sz w:val="20"/>
          <w:szCs w:val="20"/>
          <w:lang w:eastAsia="zh-CN"/>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=α+</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p</m:t>
            </m:r>
          </m:sup>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t-1</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q</m:t>
                </m:r>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m:t>
                    </m:r>
                  </m:sub>
                </m:sSub>
              </m:e>
            </m:nary>
          </m:e>
        </m:nary>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m:t>
            </m:r>
          </m:sub>
        </m:sSub>
      </m:oMath>
      <w:r w:rsidR="001E2983" w:rsidRPr="0053691F">
        <w:t xml:space="preserve">. </w:t>
      </w:r>
      <w:r w:rsidR="001E2983" w:rsidRPr="0053691F">
        <w:rPr>
          <w:sz w:val="20"/>
          <w:szCs w:val="20"/>
          <w:lang w:eastAsia="zh-CN"/>
        </w:rPr>
        <w:t xml:space="preserve"> The off-diagonal elements of matrix </w:t>
      </w:r>
      <m:oMath>
        <m:r>
          <m:rPr>
            <m:sty m:val="bi"/>
          </m:rPr>
          <w:rPr>
            <w:rFonts w:ascii="Cambria Math" w:eastAsia="Times New Roman" w:hAnsi="Cambria Math"/>
            <w:color w:val="000000"/>
            <w:sz w:val="20"/>
            <w:szCs w:val="20"/>
          </w:rPr>
          <m:t>θ</m:t>
        </m:r>
      </m:oMath>
      <w:r w:rsidR="001E2983" w:rsidRPr="0053691F">
        <w:rPr>
          <w:sz w:val="20"/>
          <w:szCs w:val="20"/>
          <w:lang w:eastAsia="zh-CN"/>
        </w:rPr>
        <w:t xml:space="preserve"> measure cross-market effects such as return spillovers among the three </w:t>
      </w:r>
      <w:r w:rsidR="001E2983">
        <w:rPr>
          <w:sz w:val="20"/>
          <w:szCs w:val="20"/>
          <w:lang w:eastAsia="zh-CN"/>
        </w:rPr>
        <w:t>spreads</w:t>
      </w:r>
      <w:r w:rsidR="001E2983" w:rsidRPr="0053691F">
        <w:rPr>
          <w:sz w:val="20"/>
          <w:szCs w:val="20"/>
          <w:lang w:eastAsia="zh-CN"/>
        </w:rPr>
        <w:t xml:space="preserve">. The parameters with asterisks are, significant at 5% level of significance.  </w:t>
      </w:r>
    </w:p>
    <w:p w14:paraId="6460F4A2" w14:textId="579C0A78" w:rsidR="00145A72" w:rsidRDefault="001E2983" w:rsidP="00145A72">
      <w:pPr>
        <w:jc w:val="center"/>
        <w:rPr>
          <w:rFonts w:ascii="Times New Roman" w:eastAsiaTheme="minorEastAsia" w:hAnsi="Times New Roman" w:cs="Times New Roman"/>
        </w:rPr>
      </w:pPr>
      <m:oMathPara>
        <m:oMath>
          <m:r>
            <w:rPr>
              <w:rFonts w:ascii="Cambria Math" w:hAnsi="Cambria Math" w:cs="Times New Roman"/>
            </w:rPr>
            <m:t>θ=</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-0.01350</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-0.04761</m:t>
                        </m:r>
                      </m:e>
                      <m:e>
                        <m:r>
                          <w:rPr>
                            <w:rFonts w:ascii="Cambria Math" w:hAnsi="Cambria Math" w:cs="Times New Roman"/>
                          </w:rPr>
                          <m:t xml:space="preserve">    0.05836</m:t>
                        </m:r>
                      </m:e>
                      <m:e>
                        <m:r>
                          <w:rPr>
                            <w:rFonts w:ascii="Cambria Math" w:hAnsi="Cambria Math" w:cs="Times New Roman"/>
                          </w:rPr>
                          <m:t>0</m:t>
                        </m:r>
                      </m:e>
                    </m:mr>
                    <m:mr>
                      <m:e>
                        <m:r>
                          <w:rPr>
                            <w:rFonts w:ascii="Cambria Math" w:hAnsi="Cambria Math" w:cs="Times New Roman"/>
                          </w:rPr>
                          <m:t>-0.24474</m:t>
                        </m:r>
                      </m:e>
                      <m:e>
                        <m:r>
                          <w:rPr>
                            <w:rFonts w:ascii="Cambria Math" w:hAnsi="Cambria Math" w:cs="Times New Roman"/>
                          </w:rPr>
                          <m:t>-0.17839</m:t>
                        </m:r>
                      </m:e>
                      <m:e>
                        <m:r>
                          <w:rPr>
                            <w:rFonts w:ascii="Cambria Math" w:hAnsi="Cambria Math" w:cs="Times New Roman"/>
                          </w:rPr>
                          <m:t xml:space="preserve">          -0.38841       </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m:t>
                        </m:r>
                      </m:e>
                    </m:mr>
                    <m:mr>
                      <m:e>
                        <m:r>
                          <w:rPr>
                            <w:rFonts w:ascii="Cambria Math" w:hAnsi="Cambria Math" w:cs="Times New Roman"/>
                          </w:rPr>
                          <m:t>0</m:t>
                        </m:r>
                      </m:e>
                    </m:mr>
                    <m:mr>
                      <m:e>
                        <m:r>
                          <w:rPr>
                            <w:rFonts w:ascii="Cambria Math" w:hAnsi="Cambria Math" w:cs="Times New Roman"/>
                          </w:rPr>
                          <m:t>0</m:t>
                        </m:r>
                      </m:e>
                    </m:mr>
                  </m:m>
                </m:e>
                <m:e>
                  <m:r>
                    <w:rPr>
                      <w:rFonts w:ascii="Cambria Math" w:hAnsi="Cambria Math" w:cs="Times New Roman"/>
                    </w:rPr>
                    <m:t xml:space="preserve">             0.42156     -0.34581               0.18068       0.52073</m:t>
                  </m:r>
                </m:e>
              </m:eqArr>
            </m:e>
          </m:d>
        </m:oMath>
      </m:oMathPara>
    </w:p>
    <w:p w14:paraId="57003826" w14:textId="7B791252" w:rsidR="009730F8" w:rsidRPr="009730F8" w:rsidRDefault="009730F8" w:rsidP="009730F8">
      <w:pPr>
        <w:pStyle w:val="Caption"/>
        <w:keepNext/>
        <w:rPr>
          <w:rFonts w:ascii="Times New Roman" w:hAnsi="Times New Roman" w:cs="Times New Roman"/>
          <w:sz w:val="24"/>
          <w:szCs w:val="24"/>
        </w:rPr>
      </w:pPr>
      <w:r w:rsidRPr="009730F8">
        <w:rPr>
          <w:rFonts w:ascii="Times New Roman" w:hAnsi="Times New Roman" w:cs="Times New Roman"/>
          <w:color w:val="auto"/>
          <w:sz w:val="24"/>
          <w:szCs w:val="24"/>
        </w:rPr>
        <w:t>Table 1.4.7 During Crisis: Liquidity Transmission Implied in bivariate BEKK model</w:t>
      </w:r>
    </w:p>
    <w:tbl>
      <w:tblPr>
        <w:tblStyle w:val="TableGrid"/>
        <w:tblW w:w="9299" w:type="dxa"/>
        <w:tblLook w:val="04A0" w:firstRow="1" w:lastRow="0" w:firstColumn="1" w:lastColumn="0" w:noHBand="0" w:noVBand="1"/>
      </w:tblPr>
      <w:tblGrid>
        <w:gridCol w:w="6721"/>
        <w:gridCol w:w="2578"/>
      </w:tblGrid>
      <w:tr w:rsidR="00165BC4" w14:paraId="697D2310" w14:textId="77777777" w:rsidTr="00FB5817">
        <w:trPr>
          <w:trHeight w:val="349"/>
        </w:trPr>
        <w:tc>
          <w:tcPr>
            <w:tcW w:w="6721" w:type="dxa"/>
          </w:tcPr>
          <w:p w14:paraId="24577BBB"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ABCP</w:t>
            </w:r>
          </w:p>
        </w:tc>
        <w:tc>
          <w:tcPr>
            <w:tcW w:w="2578" w:type="dxa"/>
          </w:tcPr>
          <w:p w14:paraId="4B327346" w14:textId="12889AC2" w:rsidR="00165BC4" w:rsidRDefault="00165BC4" w:rsidP="00BC76B8">
            <w:pPr>
              <w:rPr>
                <w:rFonts w:ascii="Times New Roman" w:hAnsi="Times New Roman" w:cs="Times New Roman"/>
                <w:lang w:eastAsia="hu-HU"/>
              </w:rPr>
            </w:pPr>
            <w:r>
              <w:rPr>
                <w:rFonts w:ascii="Times New Roman" w:hAnsi="Times New Roman" w:cs="Times New Roman"/>
                <w:lang w:eastAsia="hu-HU"/>
              </w:rPr>
              <w:t>0.76%</w:t>
            </w:r>
          </w:p>
        </w:tc>
      </w:tr>
      <w:tr w:rsidR="00165BC4" w14:paraId="2737C7EE" w14:textId="77777777" w:rsidTr="00FB5817">
        <w:trPr>
          <w:trHeight w:val="329"/>
        </w:trPr>
        <w:tc>
          <w:tcPr>
            <w:tcW w:w="6721" w:type="dxa"/>
          </w:tcPr>
          <w:p w14:paraId="00B70677"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ABCP to S&amp;P500 Volatility </w:t>
            </w:r>
          </w:p>
        </w:tc>
        <w:tc>
          <w:tcPr>
            <w:tcW w:w="2578" w:type="dxa"/>
          </w:tcPr>
          <w:p w14:paraId="087FBB0E" w14:textId="03F3306B" w:rsidR="00165BC4" w:rsidRDefault="00165BC4" w:rsidP="00BC76B8">
            <w:pPr>
              <w:rPr>
                <w:rFonts w:ascii="Times New Roman" w:hAnsi="Times New Roman" w:cs="Times New Roman"/>
                <w:lang w:eastAsia="hu-HU"/>
              </w:rPr>
            </w:pPr>
            <w:r>
              <w:rPr>
                <w:rFonts w:ascii="Times New Roman" w:hAnsi="Times New Roman" w:cs="Times New Roman"/>
                <w:lang w:eastAsia="hu-HU"/>
              </w:rPr>
              <w:t>0.65%</w:t>
            </w:r>
          </w:p>
        </w:tc>
      </w:tr>
      <w:tr w:rsidR="00165BC4" w14:paraId="3BE49516" w14:textId="77777777" w:rsidTr="00FB5817">
        <w:trPr>
          <w:trHeight w:val="349"/>
        </w:trPr>
        <w:tc>
          <w:tcPr>
            <w:tcW w:w="6721" w:type="dxa"/>
          </w:tcPr>
          <w:p w14:paraId="21FDAB26"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OIS</w:t>
            </w:r>
          </w:p>
        </w:tc>
        <w:tc>
          <w:tcPr>
            <w:tcW w:w="2578" w:type="dxa"/>
          </w:tcPr>
          <w:p w14:paraId="1B9B9D0C" w14:textId="6D323FB4" w:rsidR="00165BC4" w:rsidRDefault="00165BC4" w:rsidP="00BC76B8">
            <w:pPr>
              <w:rPr>
                <w:rFonts w:ascii="Times New Roman" w:hAnsi="Times New Roman" w:cs="Times New Roman"/>
                <w:lang w:eastAsia="hu-HU"/>
              </w:rPr>
            </w:pPr>
            <w:r>
              <w:rPr>
                <w:rFonts w:ascii="Times New Roman" w:hAnsi="Times New Roman" w:cs="Times New Roman"/>
                <w:lang w:eastAsia="hu-HU"/>
              </w:rPr>
              <w:t>3.58%</w:t>
            </w:r>
          </w:p>
        </w:tc>
      </w:tr>
      <w:tr w:rsidR="00165BC4" w14:paraId="3828E0FF" w14:textId="77777777" w:rsidTr="00FB5817">
        <w:trPr>
          <w:trHeight w:val="329"/>
        </w:trPr>
        <w:tc>
          <w:tcPr>
            <w:tcW w:w="6721" w:type="dxa"/>
          </w:tcPr>
          <w:p w14:paraId="4B384645"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OIS to S&amp;P500 Volatility </w:t>
            </w:r>
          </w:p>
        </w:tc>
        <w:tc>
          <w:tcPr>
            <w:tcW w:w="2578" w:type="dxa"/>
          </w:tcPr>
          <w:p w14:paraId="48EC9BFC" w14:textId="5AA8C7BE" w:rsidR="00165BC4" w:rsidRDefault="00165BC4" w:rsidP="00BC76B8">
            <w:pPr>
              <w:rPr>
                <w:rFonts w:ascii="Times New Roman" w:hAnsi="Times New Roman" w:cs="Times New Roman"/>
                <w:lang w:eastAsia="hu-HU"/>
              </w:rPr>
            </w:pPr>
            <w:r>
              <w:rPr>
                <w:rFonts w:ascii="Times New Roman" w:hAnsi="Times New Roman" w:cs="Times New Roman"/>
                <w:lang w:eastAsia="hu-HU"/>
              </w:rPr>
              <w:t>0.02%</w:t>
            </w:r>
          </w:p>
        </w:tc>
      </w:tr>
      <w:tr w:rsidR="00165BC4" w14:paraId="6BF092B6" w14:textId="77777777" w:rsidTr="00FB5817">
        <w:trPr>
          <w:trHeight w:val="349"/>
        </w:trPr>
        <w:tc>
          <w:tcPr>
            <w:tcW w:w="6721" w:type="dxa"/>
          </w:tcPr>
          <w:p w14:paraId="134C774C"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TED</w:t>
            </w:r>
          </w:p>
        </w:tc>
        <w:tc>
          <w:tcPr>
            <w:tcW w:w="2578" w:type="dxa"/>
          </w:tcPr>
          <w:p w14:paraId="77895E38" w14:textId="728A9D92" w:rsidR="00165BC4" w:rsidRDefault="00165BC4" w:rsidP="00BC76B8">
            <w:pPr>
              <w:rPr>
                <w:rFonts w:ascii="Times New Roman" w:hAnsi="Times New Roman" w:cs="Times New Roman"/>
                <w:lang w:eastAsia="hu-HU"/>
              </w:rPr>
            </w:pPr>
            <w:r>
              <w:rPr>
                <w:rFonts w:ascii="Times New Roman" w:hAnsi="Times New Roman" w:cs="Times New Roman"/>
                <w:lang w:eastAsia="hu-HU"/>
              </w:rPr>
              <w:t>2.71%</w:t>
            </w:r>
          </w:p>
        </w:tc>
      </w:tr>
      <w:tr w:rsidR="00165BC4" w14:paraId="0702564F" w14:textId="77777777" w:rsidTr="00FB5817">
        <w:trPr>
          <w:trHeight w:val="329"/>
        </w:trPr>
        <w:tc>
          <w:tcPr>
            <w:tcW w:w="6721" w:type="dxa"/>
          </w:tcPr>
          <w:p w14:paraId="07394070"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TED to S&amp;P500 Volatility </w:t>
            </w:r>
          </w:p>
        </w:tc>
        <w:tc>
          <w:tcPr>
            <w:tcW w:w="2578" w:type="dxa"/>
          </w:tcPr>
          <w:p w14:paraId="3A69C6F4" w14:textId="3B5BA143" w:rsidR="00165BC4" w:rsidRDefault="00165BC4" w:rsidP="00BC76B8">
            <w:pPr>
              <w:rPr>
                <w:rFonts w:ascii="Times New Roman" w:hAnsi="Times New Roman" w:cs="Times New Roman"/>
                <w:lang w:eastAsia="hu-HU"/>
              </w:rPr>
            </w:pPr>
            <w:r>
              <w:rPr>
                <w:rFonts w:ascii="Times New Roman" w:hAnsi="Times New Roman" w:cs="Times New Roman"/>
                <w:lang w:eastAsia="hu-HU"/>
              </w:rPr>
              <w:t>3.10%</w:t>
            </w:r>
          </w:p>
        </w:tc>
      </w:tr>
      <w:tr w:rsidR="00165BC4" w14:paraId="2014F820" w14:textId="77777777" w:rsidTr="00FB5817">
        <w:trPr>
          <w:trHeight w:val="349"/>
        </w:trPr>
        <w:tc>
          <w:tcPr>
            <w:tcW w:w="6721" w:type="dxa"/>
          </w:tcPr>
          <w:p w14:paraId="7FB5DC1A"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ABCP to OIS</w:t>
            </w:r>
          </w:p>
        </w:tc>
        <w:tc>
          <w:tcPr>
            <w:tcW w:w="2578" w:type="dxa"/>
          </w:tcPr>
          <w:p w14:paraId="7EC9D59E" w14:textId="0720E02E" w:rsidR="00165BC4" w:rsidRDefault="00165BC4" w:rsidP="00BC76B8">
            <w:pPr>
              <w:rPr>
                <w:rFonts w:ascii="Times New Roman" w:hAnsi="Times New Roman" w:cs="Times New Roman"/>
                <w:lang w:eastAsia="hu-HU"/>
              </w:rPr>
            </w:pPr>
            <w:r>
              <w:rPr>
                <w:rFonts w:ascii="Times New Roman" w:hAnsi="Times New Roman" w:cs="Times New Roman"/>
                <w:lang w:eastAsia="hu-HU"/>
              </w:rPr>
              <w:t>1.18%</w:t>
            </w:r>
          </w:p>
        </w:tc>
      </w:tr>
      <w:tr w:rsidR="00165BC4" w14:paraId="3BC541AB" w14:textId="77777777" w:rsidTr="00FB5817">
        <w:trPr>
          <w:trHeight w:val="329"/>
        </w:trPr>
        <w:tc>
          <w:tcPr>
            <w:tcW w:w="6721" w:type="dxa"/>
          </w:tcPr>
          <w:p w14:paraId="5F7FA27D"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OIS to ABCP </w:t>
            </w:r>
          </w:p>
        </w:tc>
        <w:tc>
          <w:tcPr>
            <w:tcW w:w="2578" w:type="dxa"/>
          </w:tcPr>
          <w:p w14:paraId="3E897E76" w14:textId="5B578172" w:rsidR="00165BC4" w:rsidRDefault="00165BC4" w:rsidP="00BC76B8">
            <w:pPr>
              <w:rPr>
                <w:rFonts w:ascii="Times New Roman" w:hAnsi="Times New Roman" w:cs="Times New Roman"/>
                <w:lang w:eastAsia="hu-HU"/>
              </w:rPr>
            </w:pPr>
            <w:r>
              <w:rPr>
                <w:rFonts w:ascii="Times New Roman" w:hAnsi="Times New Roman" w:cs="Times New Roman"/>
                <w:lang w:eastAsia="hu-HU"/>
              </w:rPr>
              <w:t>2.5%</w:t>
            </w:r>
          </w:p>
        </w:tc>
      </w:tr>
      <w:tr w:rsidR="00165BC4" w14:paraId="43D5A9DB" w14:textId="77777777" w:rsidTr="00FB5817">
        <w:trPr>
          <w:trHeight w:val="349"/>
        </w:trPr>
        <w:tc>
          <w:tcPr>
            <w:tcW w:w="6721" w:type="dxa"/>
          </w:tcPr>
          <w:p w14:paraId="19751DEE"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ABCP to TED</w:t>
            </w:r>
          </w:p>
        </w:tc>
        <w:tc>
          <w:tcPr>
            <w:tcW w:w="2578" w:type="dxa"/>
          </w:tcPr>
          <w:p w14:paraId="3D0A0103" w14:textId="7747CC72" w:rsidR="00165BC4" w:rsidRDefault="00165BC4" w:rsidP="00BC76B8">
            <w:pPr>
              <w:rPr>
                <w:rFonts w:ascii="Times New Roman" w:hAnsi="Times New Roman" w:cs="Times New Roman"/>
                <w:lang w:eastAsia="hu-HU"/>
              </w:rPr>
            </w:pPr>
            <w:r>
              <w:rPr>
                <w:rFonts w:ascii="Times New Roman" w:hAnsi="Times New Roman" w:cs="Times New Roman"/>
                <w:lang w:eastAsia="hu-HU"/>
              </w:rPr>
              <w:t>1.07%</w:t>
            </w:r>
          </w:p>
        </w:tc>
      </w:tr>
      <w:tr w:rsidR="00165BC4" w14:paraId="49F92D0C" w14:textId="77777777" w:rsidTr="00FB5817">
        <w:trPr>
          <w:trHeight w:val="329"/>
        </w:trPr>
        <w:tc>
          <w:tcPr>
            <w:tcW w:w="6721" w:type="dxa"/>
          </w:tcPr>
          <w:p w14:paraId="76E20142"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TED to ABCP</w:t>
            </w:r>
          </w:p>
        </w:tc>
        <w:tc>
          <w:tcPr>
            <w:tcW w:w="2578" w:type="dxa"/>
          </w:tcPr>
          <w:p w14:paraId="575744D9" w14:textId="3EF27823" w:rsidR="00165BC4" w:rsidRDefault="00165BC4" w:rsidP="00BC76B8">
            <w:pPr>
              <w:rPr>
                <w:rFonts w:ascii="Times New Roman" w:hAnsi="Times New Roman" w:cs="Times New Roman"/>
                <w:lang w:eastAsia="hu-HU"/>
              </w:rPr>
            </w:pPr>
            <w:r>
              <w:rPr>
                <w:rFonts w:ascii="Times New Roman" w:hAnsi="Times New Roman" w:cs="Times New Roman"/>
                <w:lang w:eastAsia="hu-HU"/>
              </w:rPr>
              <w:t>0.82%</w:t>
            </w:r>
          </w:p>
        </w:tc>
      </w:tr>
      <w:tr w:rsidR="00165BC4" w14:paraId="5B534068" w14:textId="77777777" w:rsidTr="00FB5817">
        <w:trPr>
          <w:trHeight w:val="349"/>
        </w:trPr>
        <w:tc>
          <w:tcPr>
            <w:tcW w:w="6721" w:type="dxa"/>
          </w:tcPr>
          <w:p w14:paraId="7741F4A1"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OIS to TED</w:t>
            </w:r>
          </w:p>
        </w:tc>
        <w:tc>
          <w:tcPr>
            <w:tcW w:w="2578" w:type="dxa"/>
          </w:tcPr>
          <w:p w14:paraId="3852CB6F" w14:textId="096C887F" w:rsidR="00165BC4" w:rsidRDefault="00165BC4" w:rsidP="00BC76B8">
            <w:pPr>
              <w:rPr>
                <w:rFonts w:ascii="Times New Roman" w:hAnsi="Times New Roman" w:cs="Times New Roman"/>
                <w:lang w:eastAsia="hu-HU"/>
              </w:rPr>
            </w:pPr>
            <w:r>
              <w:rPr>
                <w:rFonts w:ascii="Times New Roman" w:hAnsi="Times New Roman" w:cs="Times New Roman"/>
                <w:lang w:eastAsia="hu-HU"/>
              </w:rPr>
              <w:t>1.68%</w:t>
            </w:r>
          </w:p>
        </w:tc>
      </w:tr>
      <w:tr w:rsidR="00165BC4" w14:paraId="4782219D" w14:textId="77777777" w:rsidTr="00FB5817">
        <w:trPr>
          <w:trHeight w:val="329"/>
        </w:trPr>
        <w:tc>
          <w:tcPr>
            <w:tcW w:w="6721" w:type="dxa"/>
          </w:tcPr>
          <w:p w14:paraId="23DAC2E1"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TED to OIS </w:t>
            </w:r>
          </w:p>
        </w:tc>
        <w:tc>
          <w:tcPr>
            <w:tcW w:w="2578" w:type="dxa"/>
          </w:tcPr>
          <w:p w14:paraId="1A72F733" w14:textId="61D24BAB" w:rsidR="00165BC4" w:rsidRDefault="00165BC4" w:rsidP="00BC76B8">
            <w:pPr>
              <w:rPr>
                <w:rFonts w:ascii="Times New Roman" w:hAnsi="Times New Roman" w:cs="Times New Roman"/>
                <w:lang w:eastAsia="hu-HU"/>
              </w:rPr>
            </w:pPr>
            <w:r>
              <w:rPr>
                <w:rFonts w:ascii="Times New Roman" w:hAnsi="Times New Roman" w:cs="Times New Roman"/>
                <w:lang w:eastAsia="hu-HU"/>
              </w:rPr>
              <w:t>3.84%</w:t>
            </w:r>
          </w:p>
        </w:tc>
      </w:tr>
    </w:tbl>
    <w:p w14:paraId="665065D1" w14:textId="2D583948" w:rsidR="00165BC4" w:rsidRDefault="00165BC4" w:rsidP="00165BC4">
      <w:pPr>
        <w:rPr>
          <w:rFonts w:ascii="Times New Roman" w:hAnsi="Times New Roman" w:cs="Times New Roman"/>
          <w:lang w:eastAsia="hu-HU"/>
        </w:rPr>
      </w:pPr>
      <w:r w:rsidRPr="001752EC">
        <w:rPr>
          <w:rFonts w:ascii="Times New Roman" w:eastAsiaTheme="minorEastAsia" w:hAnsi="Times New Roman"/>
          <w:i/>
          <w:szCs w:val="24"/>
        </w:rPr>
        <w:t xml:space="preserve">Note: liquidity transmission between different </w:t>
      </w:r>
      <w:r w:rsidR="00B47399" w:rsidRPr="001752EC">
        <w:rPr>
          <w:rFonts w:ascii="Times New Roman" w:eastAsiaTheme="minorEastAsia" w:hAnsi="Times New Roman"/>
          <w:i/>
          <w:szCs w:val="24"/>
        </w:rPr>
        <w:t>pairwise</w:t>
      </w:r>
      <w:r w:rsidRPr="001752EC">
        <w:rPr>
          <w:rFonts w:ascii="Times New Roman" w:eastAsiaTheme="minorEastAsia" w:hAnsi="Times New Roman"/>
          <w:i/>
          <w:szCs w:val="24"/>
        </w:rPr>
        <w:t xml:space="preserve"> is described as percentage and the corresponding standard errors. The transmission percentage is indicated by the parameter G</w:t>
      </w:r>
      <w:r>
        <w:rPr>
          <w:rFonts w:ascii="Times New Roman" w:eastAsiaTheme="minorEastAsia" w:hAnsi="Times New Roman"/>
          <w:i/>
          <w:szCs w:val="24"/>
        </w:rPr>
        <w:t xml:space="preserve">. </w:t>
      </w:r>
      <w:r w:rsidRPr="001752EC">
        <w:rPr>
          <w:rFonts w:ascii="Times New Roman" w:eastAsiaTheme="minorEastAsia" w:hAnsi="Times New Roman"/>
          <w:i/>
          <w:szCs w:val="24"/>
        </w:rPr>
        <w:t xml:space="preserve">For example, the liquidity transmit from </w:t>
      </w:r>
      <w:r w:rsidR="00630AE8">
        <w:rPr>
          <w:rFonts w:ascii="Times New Roman" w:eastAsiaTheme="minorEastAsia" w:hAnsi="Times New Roman"/>
          <w:i/>
          <w:szCs w:val="24"/>
        </w:rPr>
        <w:t>ABCP</w:t>
      </w:r>
      <w:r w:rsidRPr="001752EC">
        <w:rPr>
          <w:rFonts w:ascii="Times New Roman" w:eastAsiaTheme="minorEastAsia" w:hAnsi="Times New Roman"/>
          <w:i/>
          <w:szCs w:val="24"/>
        </w:rPr>
        <w:t xml:space="preserve"> to S&amp;P500 volatility is 0.</w:t>
      </w:r>
      <w:r w:rsidR="00630AE8">
        <w:rPr>
          <w:rFonts w:ascii="Times New Roman" w:eastAsiaTheme="minorEastAsia" w:hAnsi="Times New Roman"/>
          <w:i/>
          <w:szCs w:val="24"/>
        </w:rPr>
        <w:t>65</w:t>
      </w:r>
      <w:r w:rsidRPr="001752EC">
        <w:rPr>
          <w:rFonts w:ascii="Times New Roman" w:eastAsiaTheme="minorEastAsia" w:hAnsi="Times New Roman"/>
          <w:i/>
          <w:szCs w:val="24"/>
        </w:rPr>
        <w:t xml:space="preserve">% because the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12</m:t>
            </m:r>
          </m:sub>
        </m:sSub>
      </m:oMath>
      <w:r w:rsidRPr="00040E5A">
        <w:rPr>
          <w:rFonts w:ascii="Times New Roman" w:eastAsiaTheme="minorEastAsia" w:hAnsi="Times New Roman"/>
          <w:i/>
          <w:szCs w:val="24"/>
        </w:rPr>
        <w:t xml:space="preserve"> parameter is 0.00</w:t>
      </w:r>
      <w:r w:rsidR="00630AE8">
        <w:rPr>
          <w:rFonts w:ascii="Times New Roman" w:eastAsiaTheme="minorEastAsia" w:hAnsi="Times New Roman"/>
          <w:i/>
          <w:szCs w:val="24"/>
        </w:rPr>
        <w:t>65</w:t>
      </w:r>
      <w:r w:rsidRPr="00040E5A">
        <w:rPr>
          <w:rFonts w:ascii="Times New Roman" w:eastAsiaTheme="minorEastAsia" w:hAnsi="Times New Roman"/>
          <w:i/>
          <w:szCs w:val="24"/>
        </w:rPr>
        <w:t xml:space="preserve"> and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21</m:t>
            </m:r>
          </m:sub>
        </m:sSub>
      </m:oMath>
      <w:r w:rsidRPr="001752EC">
        <w:rPr>
          <w:rFonts w:ascii="Times New Roman" w:eastAsiaTheme="minorEastAsia" w:hAnsi="Times New Roman"/>
          <w:i/>
          <w:szCs w:val="24"/>
        </w:rPr>
        <w:t xml:space="preserve"> parameter is 0.0</w:t>
      </w:r>
      <w:r>
        <w:rPr>
          <w:rFonts w:ascii="Times New Roman" w:eastAsiaTheme="minorEastAsia" w:hAnsi="Times New Roman"/>
          <w:i/>
          <w:szCs w:val="24"/>
        </w:rPr>
        <w:t>0</w:t>
      </w:r>
      <w:r w:rsidR="00630AE8">
        <w:rPr>
          <w:rFonts w:ascii="Times New Roman" w:eastAsiaTheme="minorEastAsia" w:hAnsi="Times New Roman"/>
          <w:i/>
          <w:szCs w:val="24"/>
        </w:rPr>
        <w:t>76</w:t>
      </w:r>
      <w:r w:rsidRPr="001752EC">
        <w:rPr>
          <w:rFonts w:ascii="Times New Roman" w:eastAsiaTheme="minorEastAsia" w:hAnsi="Times New Roman"/>
          <w:i/>
          <w:szCs w:val="24"/>
        </w:rPr>
        <w:t xml:space="preserve"> which tell us the liquidity transmission percentage from S&amp;P500 volatility to</w:t>
      </w:r>
      <w:r w:rsidR="00630AE8">
        <w:rPr>
          <w:rFonts w:ascii="Times New Roman" w:eastAsiaTheme="minorEastAsia" w:hAnsi="Times New Roman"/>
          <w:i/>
          <w:szCs w:val="24"/>
        </w:rPr>
        <w:t xml:space="preserve"> ABCP</w:t>
      </w:r>
      <w:r w:rsidRPr="001752EC">
        <w:rPr>
          <w:rFonts w:ascii="Times New Roman" w:eastAsiaTheme="minorEastAsia" w:hAnsi="Times New Roman"/>
          <w:i/>
          <w:szCs w:val="24"/>
        </w:rPr>
        <w:t>.</w:t>
      </w:r>
    </w:p>
    <w:p w14:paraId="5B23177A" w14:textId="74FADB3D" w:rsidR="00EF54D9" w:rsidRDefault="00FB5817" w:rsidP="00C83870">
      <w:pPr>
        <w:pStyle w:val="Heading3"/>
        <w:rPr>
          <w:lang w:eastAsia="hu-HU"/>
        </w:rPr>
      </w:pPr>
      <w:bookmarkStart w:id="127" w:name="_Toc90499973"/>
      <w:r>
        <w:rPr>
          <w:lang w:eastAsia="hu-HU"/>
        </w:rPr>
        <w:lastRenderedPageBreak/>
        <w:t>1.4.7.3</w:t>
      </w:r>
      <w:r w:rsidR="0022256D">
        <w:rPr>
          <w:lang w:eastAsia="hu-HU"/>
        </w:rPr>
        <w:t xml:space="preserve"> </w:t>
      </w:r>
      <w:r w:rsidR="00EF54D9">
        <w:rPr>
          <w:lang w:eastAsia="hu-HU"/>
        </w:rPr>
        <w:t>Post Crisis</w:t>
      </w:r>
      <w:r w:rsidR="00B47399">
        <w:rPr>
          <w:lang w:eastAsia="hu-HU"/>
        </w:rPr>
        <w:t xml:space="preserve"> Period </w:t>
      </w:r>
      <w:r w:rsidR="00B47399" w:rsidRPr="0084314D">
        <w:rPr>
          <w:szCs w:val="24"/>
        </w:rPr>
        <w:t>BEKK-GARCH</w:t>
      </w:r>
      <w:bookmarkEnd w:id="127"/>
    </w:p>
    <w:p w14:paraId="1A8DD4FC" w14:textId="4E30897C" w:rsidR="00EF54D9" w:rsidRDefault="00EF54D9" w:rsidP="00B97006">
      <w:pPr>
        <w:rPr>
          <w:rFonts w:ascii="Times New Roman" w:hAnsi="Times New Roman" w:cs="Times New Roman"/>
          <w:lang w:eastAsia="hu-HU"/>
        </w:rPr>
      </w:pPr>
    </w:p>
    <w:p w14:paraId="0F48677C" w14:textId="24E9CCD9" w:rsidR="00EF54D9" w:rsidRDefault="00EF54D9" w:rsidP="00EF54D9">
      <w:pPr>
        <w:jc w:val="center"/>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2.16E-06</m:t>
                        </m:r>
                      </m:e>
                      <m:e>
                        <m:r>
                          <w:rPr>
                            <w:rFonts w:ascii="Cambria Math" w:hAnsi="Cambria Math" w:cs="Times New Roman"/>
                          </w:rPr>
                          <m:t>-3.66E-07</m:t>
                        </m:r>
                      </m:e>
                      <m:e>
                        <m:r>
                          <w:rPr>
                            <w:rFonts w:ascii="Cambria Math" w:hAnsi="Cambria Math" w:cs="Times New Roman"/>
                          </w:rPr>
                          <m:t>-1.46E-07</m:t>
                        </m:r>
                      </m:e>
                    </m:mr>
                    <m:mr>
                      <m:e>
                        <m:r>
                          <w:rPr>
                            <w:rFonts w:ascii="Cambria Math" w:hAnsi="Cambria Math" w:cs="Times New Roman"/>
                          </w:rPr>
                          <m:t>-3.66E-07</m:t>
                        </m:r>
                      </m:e>
                      <m:e>
                        <m:r>
                          <w:rPr>
                            <w:rFonts w:ascii="Cambria Math" w:hAnsi="Cambria Math" w:cs="Times New Roman"/>
                          </w:rPr>
                          <m:t>2.99E-05</m:t>
                        </m:r>
                      </m:e>
                      <m:e>
                        <m:r>
                          <w:rPr>
                            <w:rFonts w:ascii="Cambria Math" w:hAnsi="Cambria Math" w:cs="Times New Roman"/>
                          </w:rPr>
                          <m:t>-1.12E-06</m:t>
                        </m:r>
                      </m:e>
                    </m:mr>
                    <m:mr>
                      <m:e>
                        <m:r>
                          <w:rPr>
                            <w:rFonts w:ascii="Cambria Math" w:hAnsi="Cambria Math" w:cs="Times New Roman"/>
                          </w:rPr>
                          <m:t>-1.46E-07</m:t>
                        </m:r>
                      </m:e>
                      <m:e>
                        <m:r>
                          <w:rPr>
                            <w:rFonts w:ascii="Cambria Math" w:hAnsi="Cambria Math" w:cs="Times New Roman"/>
                          </w:rPr>
                          <m:t>-1.12E-06</m:t>
                        </m:r>
                      </m:e>
                      <m:e>
                        <m:r>
                          <w:rPr>
                            <w:rFonts w:ascii="Cambria Math" w:hAnsi="Cambria Math" w:cs="Times New Roman"/>
                          </w:rPr>
                          <m:t>3.76E-06</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-17.1E-07</m:t>
                        </m:r>
                      </m:e>
                    </m:mr>
                    <m:mr>
                      <m:e>
                        <m:r>
                          <w:rPr>
                            <w:rFonts w:ascii="Cambria Math" w:hAnsi="Cambria Math" w:cs="Times New Roman"/>
                          </w:rPr>
                          <m:t>3.54E-06</m:t>
                        </m:r>
                      </m:e>
                    </m:mr>
                    <m:mr>
                      <m:e>
                        <m:r>
                          <w:rPr>
                            <w:rFonts w:ascii="Cambria Math" w:hAnsi="Cambria Math" w:cs="Times New Roman"/>
                          </w:rPr>
                          <m:t>5.38E-07</m:t>
                        </m:r>
                      </m:e>
                    </m:mr>
                  </m:m>
                </m:e>
                <m:e>
                  <m:r>
                    <w:rPr>
                      <w:rFonts w:ascii="Cambria Math" w:hAnsi="Cambria Math" w:cs="Times New Roman"/>
                    </w:rPr>
                    <m:t>-1.71E-07     3.54E-06        5.38E-07     2.95E-06</m:t>
                  </m:r>
                </m:e>
              </m:eqArr>
            </m:e>
          </m:d>
        </m:oMath>
      </m:oMathPara>
    </w:p>
    <w:p w14:paraId="67B6C9D9" w14:textId="77777777" w:rsidR="00EF54D9" w:rsidRDefault="00EF54D9" w:rsidP="00EF54D9">
      <w:pPr>
        <w:rPr>
          <w:rFonts w:ascii="Times New Roman" w:eastAsiaTheme="minorEastAsia" w:hAnsi="Times New Roman" w:cs="Times New Roman"/>
        </w:rPr>
      </w:pPr>
      <w:r w:rsidRPr="00145A72">
        <w:rPr>
          <w:rFonts w:ascii="Times New Roman" w:eastAsiaTheme="minorEastAsia" w:hAnsi="Times New Roman" w:cs="Times New Roman"/>
        </w:rPr>
        <w:t>K by K by P matrix of symmetric innovation parameters</w:t>
      </w:r>
    </w:p>
    <w:p w14:paraId="6A6A86CF" w14:textId="38DF9F15" w:rsidR="00EF54D9" w:rsidRDefault="00EF54D9" w:rsidP="00EF54D9">
      <w:pPr>
        <w:rPr>
          <w:rFonts w:ascii="Times New Roman" w:hAnsi="Times New Roman" w:cs="Times New Roman"/>
        </w:rPr>
      </w:pPr>
      <m:oMathPara>
        <m:oMath>
          <m:r>
            <w:rPr>
              <w:rFonts w:ascii="Cambria Math" w:hAnsi="Cambria Math" w:cs="Times New Roman"/>
            </w:rPr>
            <m:t>A=</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0.00253</m:t>
                        </m:r>
                      </m:e>
                      <m:e>
                        <m:r>
                          <w:rPr>
                            <w:rFonts w:ascii="Cambria Math" w:hAnsi="Cambria Math" w:cs="Times New Roman"/>
                          </w:rPr>
                          <m:t>-0.02855</m:t>
                        </m:r>
                      </m:e>
                      <m:e>
                        <m:r>
                          <w:rPr>
                            <w:rFonts w:ascii="Cambria Math" w:hAnsi="Cambria Math" w:cs="Times New Roman"/>
                          </w:rPr>
                          <m:t>-0.06515</m:t>
                        </m:r>
                      </m:e>
                    </m:mr>
                    <m:mr>
                      <m:e>
                        <m:r>
                          <w:rPr>
                            <w:rFonts w:ascii="Cambria Math" w:hAnsi="Cambria Math" w:cs="Times New Roman"/>
                          </w:rPr>
                          <m:t>-0.16134</m:t>
                        </m:r>
                      </m:e>
                      <m:e>
                        <m:r>
                          <w:rPr>
                            <w:rFonts w:ascii="Cambria Math" w:hAnsi="Cambria Math" w:cs="Times New Roman"/>
                          </w:rPr>
                          <m:t>0.06399</m:t>
                        </m:r>
                      </m:e>
                      <m:e>
                        <m:r>
                          <w:rPr>
                            <w:rFonts w:ascii="Cambria Math" w:hAnsi="Cambria Math" w:cs="Times New Roman"/>
                          </w:rPr>
                          <m:t>0.09407</m:t>
                        </m:r>
                      </m:e>
                    </m:mr>
                    <m:mr>
                      <m:e>
                        <m:r>
                          <w:rPr>
                            <w:rFonts w:ascii="Cambria Math" w:hAnsi="Cambria Math" w:cs="Times New Roman"/>
                          </w:rPr>
                          <m:t>0.01157</m:t>
                        </m:r>
                      </m:e>
                      <m:e>
                        <m:r>
                          <w:rPr>
                            <w:rFonts w:ascii="Cambria Math" w:hAnsi="Cambria Math" w:cs="Times New Roman"/>
                          </w:rPr>
                          <m:t>-0.02037</m:t>
                        </m:r>
                      </m:e>
                      <m:e>
                        <m:r>
                          <w:rPr>
                            <w:rFonts w:ascii="Cambria Math" w:hAnsi="Cambria Math" w:cs="Times New Roman"/>
                          </w:rPr>
                          <m:t xml:space="preserve"> 0.09804</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0.02084</m:t>
                        </m:r>
                      </m:e>
                    </m:mr>
                    <m:mr>
                      <m:e>
                        <m:r>
                          <w:rPr>
                            <w:rFonts w:ascii="Cambria Math" w:hAnsi="Cambria Math" w:cs="Times New Roman"/>
                          </w:rPr>
                          <m:t>-0.02662</m:t>
                        </m:r>
                      </m:e>
                    </m:mr>
                    <m:mr>
                      <m:e>
                        <m:r>
                          <w:rPr>
                            <w:rFonts w:ascii="Cambria Math" w:hAnsi="Cambria Math" w:cs="Times New Roman"/>
                          </w:rPr>
                          <m:t xml:space="preserve"> 0.01643</m:t>
                        </m:r>
                      </m:e>
                    </m:mr>
                  </m:m>
                </m:e>
                <m:e>
                  <m:r>
                    <w:rPr>
                      <w:rFonts w:ascii="Cambria Math" w:hAnsi="Cambria Math" w:cs="Times New Roman"/>
                    </w:rPr>
                    <m:t>-0.04675      0.04705         0.06198       0.03641</m:t>
                  </m:r>
                </m:e>
              </m:eqArr>
            </m:e>
          </m:d>
        </m:oMath>
      </m:oMathPara>
    </w:p>
    <w:p w14:paraId="13C2B281" w14:textId="77777777" w:rsidR="00EF54D9" w:rsidRDefault="00EF54D9" w:rsidP="00EF54D9">
      <w:pPr>
        <w:rPr>
          <w:rFonts w:ascii="Times New Roman" w:hAnsi="Times New Roman" w:cs="Times New Roman"/>
        </w:rPr>
      </w:pPr>
      <w:r w:rsidRPr="00145A72">
        <w:rPr>
          <w:rFonts w:ascii="Times New Roman" w:hAnsi="Times New Roman" w:cs="Times New Roman"/>
        </w:rPr>
        <w:t>K by K by Q matrix of smoothing parameters</w:t>
      </w:r>
    </w:p>
    <w:p w14:paraId="2F46C9A5" w14:textId="3465BD24" w:rsidR="00EF54D9" w:rsidRDefault="00EF54D9" w:rsidP="00EF54D9">
      <w:pPr>
        <w:rPr>
          <w:rFonts w:ascii="Times New Roman" w:eastAsiaTheme="minorEastAsia" w:hAnsi="Times New Roman" w:cs="Times New Roman"/>
        </w:rPr>
      </w:pPr>
      <m:oMathPara>
        <m:oMath>
          <m:r>
            <w:rPr>
              <w:rFonts w:ascii="Cambria Math" w:hAnsi="Cambria Math" w:cs="Times New Roman"/>
            </w:rPr>
            <m:t>G=</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0.93289</m:t>
                        </m:r>
                      </m:e>
                      <m:e>
                        <m:r>
                          <w:rPr>
                            <w:rFonts w:ascii="Cambria Math" w:hAnsi="Cambria Math" w:cs="Times New Roman"/>
                          </w:rPr>
                          <m:t xml:space="preserve"> 0.05138</m:t>
                        </m:r>
                      </m:e>
                      <m:e>
                        <m:r>
                          <w:rPr>
                            <w:rFonts w:ascii="Cambria Math" w:hAnsi="Cambria Math" w:cs="Times New Roman"/>
                          </w:rPr>
                          <m:t>-0.07435</m:t>
                        </m:r>
                      </m:e>
                    </m:mr>
                    <m:mr>
                      <m:e>
                        <m:r>
                          <w:rPr>
                            <w:rFonts w:ascii="Cambria Math" w:hAnsi="Cambria Math" w:cs="Times New Roman"/>
                          </w:rPr>
                          <m:t>-0.13744</m:t>
                        </m:r>
                      </m:e>
                      <m:e>
                        <m:r>
                          <w:rPr>
                            <w:rFonts w:ascii="Cambria Math" w:hAnsi="Cambria Math" w:cs="Times New Roman"/>
                          </w:rPr>
                          <m:t xml:space="preserve"> 0.93284</m:t>
                        </m:r>
                      </m:e>
                      <m:e>
                        <m:r>
                          <w:rPr>
                            <w:rFonts w:ascii="Cambria Math" w:hAnsi="Cambria Math" w:cs="Times New Roman"/>
                          </w:rPr>
                          <m:t>-0.01247</m:t>
                        </m:r>
                      </m:e>
                    </m:mr>
                    <m:mr>
                      <m:e>
                        <m:r>
                          <w:rPr>
                            <w:rFonts w:ascii="Cambria Math" w:hAnsi="Cambria Math" w:cs="Times New Roman"/>
                          </w:rPr>
                          <m:t>-0.05323</m:t>
                        </m:r>
                      </m:e>
                      <m:e>
                        <m:r>
                          <w:rPr>
                            <w:rFonts w:ascii="Cambria Math" w:hAnsi="Cambria Math" w:cs="Times New Roman"/>
                          </w:rPr>
                          <m:t>-0.00223</m:t>
                        </m:r>
                      </m:e>
                      <m:e>
                        <m:r>
                          <w:rPr>
                            <w:rFonts w:ascii="Cambria Math" w:hAnsi="Cambria Math" w:cs="Times New Roman"/>
                          </w:rPr>
                          <m:t xml:space="preserve">  0.93617</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-0.05838</m:t>
                        </m:r>
                      </m:e>
                    </m:mr>
                    <m:mr>
                      <m:e>
                        <m:r>
                          <w:rPr>
                            <w:rFonts w:ascii="Cambria Math" w:hAnsi="Cambria Math" w:cs="Times New Roman"/>
                          </w:rPr>
                          <m:t>-0.02694</m:t>
                        </m:r>
                      </m:e>
                    </m:mr>
                    <m:mr>
                      <m:e>
                        <m:r>
                          <w:rPr>
                            <w:rFonts w:ascii="Cambria Math" w:hAnsi="Cambria Math" w:cs="Times New Roman"/>
                          </w:rPr>
                          <m:t>-0.02892</m:t>
                        </m:r>
                      </m:e>
                    </m:mr>
                  </m:m>
                </m:e>
                <m:e>
                  <m:r>
                    <w:rPr>
                      <w:rFonts w:ascii="Cambria Math" w:hAnsi="Cambria Math" w:cs="Times New Roman"/>
                    </w:rPr>
                    <m:t xml:space="preserve"> -0.05412  -0.02090     0.03344       0.93604</m:t>
                  </m:r>
                </m:e>
              </m:eqArr>
            </m:e>
          </m:d>
        </m:oMath>
      </m:oMathPara>
    </w:p>
    <w:p w14:paraId="184A9362" w14:textId="77777777" w:rsidR="001E2983" w:rsidRDefault="002C15FD" w:rsidP="001E2983">
      <w:pPr>
        <w:jc w:val="both"/>
        <w:rPr>
          <w:sz w:val="20"/>
          <w:szCs w:val="20"/>
          <w:lang w:eastAsia="zh-CN"/>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=α+</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p</m:t>
            </m:r>
          </m:sup>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t-1</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q</m:t>
                </m:r>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m:t>
                    </m:r>
                  </m:sub>
                </m:sSub>
              </m:e>
            </m:nary>
          </m:e>
        </m:nary>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t</m:t>
            </m:r>
          </m:sub>
        </m:sSub>
      </m:oMath>
      <w:r w:rsidR="001E2983" w:rsidRPr="0053691F">
        <w:t xml:space="preserve">. </w:t>
      </w:r>
      <w:r w:rsidR="001E2983" w:rsidRPr="0053691F">
        <w:rPr>
          <w:sz w:val="20"/>
          <w:szCs w:val="20"/>
          <w:lang w:eastAsia="zh-CN"/>
        </w:rPr>
        <w:t xml:space="preserve"> The off-diagonal elements of matrix </w:t>
      </w:r>
      <m:oMath>
        <m:r>
          <m:rPr>
            <m:sty m:val="bi"/>
          </m:rPr>
          <w:rPr>
            <w:rFonts w:ascii="Cambria Math" w:eastAsia="Times New Roman" w:hAnsi="Cambria Math"/>
            <w:color w:val="000000"/>
            <w:sz w:val="20"/>
            <w:szCs w:val="20"/>
          </w:rPr>
          <m:t>θ</m:t>
        </m:r>
      </m:oMath>
      <w:r w:rsidR="001E2983" w:rsidRPr="0053691F">
        <w:rPr>
          <w:sz w:val="20"/>
          <w:szCs w:val="20"/>
          <w:lang w:eastAsia="zh-CN"/>
        </w:rPr>
        <w:t xml:space="preserve"> measure cross-market effects such as return spillovers among the three </w:t>
      </w:r>
      <w:r w:rsidR="001E2983">
        <w:rPr>
          <w:sz w:val="20"/>
          <w:szCs w:val="20"/>
          <w:lang w:eastAsia="zh-CN"/>
        </w:rPr>
        <w:t>spreads</w:t>
      </w:r>
      <w:r w:rsidR="001E2983" w:rsidRPr="0053691F">
        <w:rPr>
          <w:sz w:val="20"/>
          <w:szCs w:val="20"/>
          <w:lang w:eastAsia="zh-CN"/>
        </w:rPr>
        <w:t xml:space="preserve">. The parameters with asterisks are, significant at 5% level of significance.  </w:t>
      </w:r>
    </w:p>
    <w:p w14:paraId="5F74722D" w14:textId="55E28F3E" w:rsidR="00EF54D9" w:rsidRDefault="001E2983" w:rsidP="00EF54D9">
      <w:pPr>
        <w:jc w:val="center"/>
        <w:rPr>
          <w:rFonts w:ascii="Times New Roman" w:eastAsiaTheme="minorEastAsia" w:hAnsi="Times New Roman" w:cs="Times New Roman"/>
        </w:rPr>
      </w:pPr>
      <m:oMathPara>
        <m:oMath>
          <m:r>
            <w:rPr>
              <w:rFonts w:ascii="Cambria Math" w:hAnsi="Cambria Math" w:cs="Times New Roman"/>
            </w:rPr>
            <m:t>θ=</m:t>
          </m:r>
          <m:d>
            <m:dPr>
              <m:ctrlPr>
                <w:rPr>
                  <w:rFonts w:ascii="Cambria Math" w:hAnsi="Cambria Math" w:cs="Times New Roman"/>
                  <w:i/>
                </w:rPr>
              </m:ctrlPr>
            </m:dPr>
            <m:e>
              <m:eqArr>
                <m:eqArrPr>
                  <m:ctrlPr>
                    <w:rPr>
                      <w:rFonts w:ascii="Cambria Math" w:hAnsi="Cambria Math" w:cs="Times New Roman"/>
                      <w:i/>
                    </w:rPr>
                  </m:ctrlPr>
                </m:eqArrPr>
                <m:e>
                  <m:m>
                    <m:mPr>
                      <m:mcs>
                        <m:mc>
                          <m:mcPr>
                            <m:count m:val="3"/>
                            <m:mcJc m:val="center"/>
                          </m:mcPr>
                        </m:mc>
                      </m:mcs>
                      <m:ctrlPr>
                        <w:rPr>
                          <w:rFonts w:ascii="Cambria Math" w:hAnsi="Cambria Math" w:cs="Times New Roman"/>
                          <w:i/>
                        </w:rPr>
                      </m:ctrlPr>
                    </m:mPr>
                    <m:mr>
                      <m:e>
                        <m:r>
                          <w:rPr>
                            <w:rFonts w:ascii="Cambria Math" w:hAnsi="Cambria Math" w:cs="Times New Roman"/>
                          </w:rPr>
                          <m:t>0.00147</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-0.00025</m:t>
                        </m:r>
                      </m:e>
                      <m:e>
                        <m:r>
                          <w:rPr>
                            <w:rFonts w:ascii="Cambria Math" w:hAnsi="Cambria Math" w:cs="Times New Roman"/>
                          </w:rPr>
                          <m:t xml:space="preserve">   -0.00010</m:t>
                        </m:r>
                      </m:e>
                      <m:e>
                        <m:r>
                          <w:rPr>
                            <w:rFonts w:ascii="Cambria Math" w:hAnsi="Cambria Math" w:cs="Times New Roman"/>
                          </w:rPr>
                          <m:t>0</m:t>
                        </m:r>
                      </m:e>
                    </m:mr>
                    <m:mr>
                      <m:e>
                        <m:r>
                          <w:rPr>
                            <w:rFonts w:ascii="Cambria Math" w:hAnsi="Cambria Math" w:cs="Times New Roman"/>
                          </w:rPr>
                          <m:t>-0.00012</m:t>
                        </m:r>
                      </m:e>
                      <m:e>
                        <m:r>
                          <w:rPr>
                            <w:rFonts w:ascii="Cambria Math" w:hAnsi="Cambria Math" w:cs="Times New Roman"/>
                          </w:rPr>
                          <m:t>0.00547</m:t>
                        </m:r>
                      </m:e>
                      <m:e>
                        <m:r>
                          <w:rPr>
                            <w:rFonts w:ascii="Cambria Math" w:hAnsi="Cambria Math" w:cs="Times New Roman"/>
                          </w:rPr>
                          <m:t xml:space="preserve">          -0.00021       </m:t>
                        </m:r>
                      </m:e>
                    </m:mr>
                  </m:m>
                  <m:r>
                    <w:rPr>
                      <w:rFonts w:ascii="Cambria Math" w:hAnsi="Cambria Math" w:cs="Times New Roman"/>
                    </w:rPr>
                    <m:t xml:space="preserve">    </m:t>
                  </m:r>
                  <m:m>
                    <m:mPr>
                      <m:mcs>
                        <m:mc>
                          <m:mcPr>
                            <m:count m:val="1"/>
                            <m:mcJc m:val="center"/>
                          </m:mcPr>
                        </m:mc>
                      </m:mcs>
                      <m:ctrlPr>
                        <w:rPr>
                          <w:rFonts w:ascii="Cambria Math" w:hAnsi="Cambria Math" w:cs="Times New Roman"/>
                          <w:i/>
                        </w:rPr>
                      </m:ctrlPr>
                    </m:mPr>
                    <m:mr>
                      <m:e>
                        <m:r>
                          <w:rPr>
                            <w:rFonts w:ascii="Cambria Math" w:hAnsi="Cambria Math" w:cs="Times New Roman"/>
                          </w:rPr>
                          <m:t>0</m:t>
                        </m:r>
                      </m:e>
                    </m:mr>
                    <m:mr>
                      <m:e>
                        <m:r>
                          <w:rPr>
                            <w:rFonts w:ascii="Cambria Math" w:hAnsi="Cambria Math" w:cs="Times New Roman"/>
                          </w:rPr>
                          <m:t>0</m:t>
                        </m:r>
                      </m:e>
                    </m:mr>
                    <m:mr>
                      <m:e>
                        <m:r>
                          <w:rPr>
                            <w:rFonts w:ascii="Cambria Math" w:hAnsi="Cambria Math" w:cs="Times New Roman"/>
                          </w:rPr>
                          <m:t>0</m:t>
                        </m:r>
                      </m:e>
                    </m:mr>
                  </m:m>
                </m:e>
                <m:e>
                  <m:r>
                    <w:rPr>
                      <w:rFonts w:ascii="Cambria Math" w:hAnsi="Cambria Math" w:cs="Times New Roman"/>
                    </w:rPr>
                    <m:t xml:space="preserve">           0.00064         0.00193                     0.00034       0.00155</m:t>
                  </m:r>
                </m:e>
              </m:eqArr>
            </m:e>
          </m:d>
        </m:oMath>
      </m:oMathPara>
    </w:p>
    <w:p w14:paraId="4DFB5EE2" w14:textId="387C5D77" w:rsidR="009730F8" w:rsidRPr="009730F8" w:rsidRDefault="009730F8" w:rsidP="009730F8">
      <w:pPr>
        <w:pStyle w:val="Caption"/>
        <w:keepNext/>
        <w:rPr>
          <w:rFonts w:ascii="Times New Roman" w:hAnsi="Times New Roman" w:cs="Times New Roman"/>
          <w:color w:val="auto"/>
          <w:sz w:val="24"/>
          <w:szCs w:val="24"/>
        </w:rPr>
      </w:pPr>
      <w:r w:rsidRPr="009730F8">
        <w:rPr>
          <w:rFonts w:ascii="Times New Roman" w:hAnsi="Times New Roman" w:cs="Times New Roman"/>
          <w:color w:val="auto"/>
          <w:sz w:val="24"/>
          <w:szCs w:val="24"/>
        </w:rPr>
        <w:t>Table 1.4.8 Post Crisis: Liquidity Transmission Implied in bivariate BEKK model</w:t>
      </w:r>
    </w:p>
    <w:tbl>
      <w:tblPr>
        <w:tblStyle w:val="TableGrid"/>
        <w:tblW w:w="9120" w:type="dxa"/>
        <w:tblLook w:val="04A0" w:firstRow="1" w:lastRow="0" w:firstColumn="1" w:lastColumn="0" w:noHBand="0" w:noVBand="1"/>
      </w:tblPr>
      <w:tblGrid>
        <w:gridCol w:w="6591"/>
        <w:gridCol w:w="2529"/>
      </w:tblGrid>
      <w:tr w:rsidR="00165BC4" w14:paraId="69D3D919" w14:textId="77777777" w:rsidTr="00FB5817">
        <w:trPr>
          <w:trHeight w:val="339"/>
        </w:trPr>
        <w:tc>
          <w:tcPr>
            <w:tcW w:w="6591" w:type="dxa"/>
          </w:tcPr>
          <w:p w14:paraId="20AA4486"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ABCP</w:t>
            </w:r>
          </w:p>
        </w:tc>
        <w:tc>
          <w:tcPr>
            <w:tcW w:w="2529" w:type="dxa"/>
          </w:tcPr>
          <w:p w14:paraId="3F137DF4" w14:textId="6C9278F1" w:rsidR="00165BC4" w:rsidRDefault="00165BC4" w:rsidP="00BC76B8">
            <w:pPr>
              <w:rPr>
                <w:rFonts w:ascii="Times New Roman" w:hAnsi="Times New Roman" w:cs="Times New Roman"/>
                <w:lang w:eastAsia="hu-HU"/>
              </w:rPr>
            </w:pPr>
            <w:r>
              <w:rPr>
                <w:rFonts w:ascii="Times New Roman" w:hAnsi="Times New Roman" w:cs="Times New Roman"/>
                <w:lang w:eastAsia="hu-HU"/>
              </w:rPr>
              <w:t>5.14%</w:t>
            </w:r>
          </w:p>
        </w:tc>
      </w:tr>
      <w:tr w:rsidR="00165BC4" w14:paraId="6E44F435" w14:textId="77777777" w:rsidTr="00FB5817">
        <w:trPr>
          <w:trHeight w:val="319"/>
        </w:trPr>
        <w:tc>
          <w:tcPr>
            <w:tcW w:w="6591" w:type="dxa"/>
          </w:tcPr>
          <w:p w14:paraId="7F3C7DA7"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ABCP to S&amp;P500 Volatility </w:t>
            </w:r>
          </w:p>
        </w:tc>
        <w:tc>
          <w:tcPr>
            <w:tcW w:w="2529" w:type="dxa"/>
          </w:tcPr>
          <w:p w14:paraId="4EAD6D3F" w14:textId="36468C8E" w:rsidR="00165BC4" w:rsidRDefault="00165BC4" w:rsidP="00BC76B8">
            <w:pPr>
              <w:rPr>
                <w:rFonts w:ascii="Times New Roman" w:hAnsi="Times New Roman" w:cs="Times New Roman"/>
                <w:lang w:eastAsia="hu-HU"/>
              </w:rPr>
            </w:pPr>
            <w:r>
              <w:rPr>
                <w:rFonts w:ascii="Times New Roman" w:hAnsi="Times New Roman" w:cs="Times New Roman"/>
                <w:lang w:eastAsia="hu-HU"/>
              </w:rPr>
              <w:t>13.74%</w:t>
            </w:r>
          </w:p>
        </w:tc>
      </w:tr>
      <w:tr w:rsidR="00165BC4" w14:paraId="0F57AA96" w14:textId="77777777" w:rsidTr="00FB5817">
        <w:trPr>
          <w:trHeight w:val="339"/>
        </w:trPr>
        <w:tc>
          <w:tcPr>
            <w:tcW w:w="6591" w:type="dxa"/>
          </w:tcPr>
          <w:p w14:paraId="66598BCA"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OIS</w:t>
            </w:r>
          </w:p>
        </w:tc>
        <w:tc>
          <w:tcPr>
            <w:tcW w:w="2529" w:type="dxa"/>
          </w:tcPr>
          <w:p w14:paraId="1454AC03" w14:textId="7F8E656C" w:rsidR="00165BC4" w:rsidRDefault="00165BC4" w:rsidP="00BC76B8">
            <w:pPr>
              <w:rPr>
                <w:rFonts w:ascii="Times New Roman" w:hAnsi="Times New Roman" w:cs="Times New Roman"/>
                <w:lang w:eastAsia="hu-HU"/>
              </w:rPr>
            </w:pPr>
            <w:r>
              <w:rPr>
                <w:rFonts w:ascii="Times New Roman" w:hAnsi="Times New Roman" w:cs="Times New Roman"/>
                <w:lang w:eastAsia="hu-HU"/>
              </w:rPr>
              <w:t>7.43%</w:t>
            </w:r>
          </w:p>
        </w:tc>
      </w:tr>
      <w:tr w:rsidR="00165BC4" w14:paraId="444D3621" w14:textId="77777777" w:rsidTr="00FB5817">
        <w:trPr>
          <w:trHeight w:val="319"/>
        </w:trPr>
        <w:tc>
          <w:tcPr>
            <w:tcW w:w="6591" w:type="dxa"/>
          </w:tcPr>
          <w:p w14:paraId="3137F883"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OIS to S&amp;P500 Volatility </w:t>
            </w:r>
          </w:p>
        </w:tc>
        <w:tc>
          <w:tcPr>
            <w:tcW w:w="2529" w:type="dxa"/>
          </w:tcPr>
          <w:p w14:paraId="4B458006" w14:textId="721F806A" w:rsidR="00165BC4" w:rsidRDefault="00165BC4" w:rsidP="00BC76B8">
            <w:pPr>
              <w:rPr>
                <w:rFonts w:ascii="Times New Roman" w:hAnsi="Times New Roman" w:cs="Times New Roman"/>
                <w:lang w:eastAsia="hu-HU"/>
              </w:rPr>
            </w:pPr>
            <w:r>
              <w:rPr>
                <w:rFonts w:ascii="Times New Roman" w:hAnsi="Times New Roman" w:cs="Times New Roman"/>
                <w:lang w:eastAsia="hu-HU"/>
              </w:rPr>
              <w:t>5.32%</w:t>
            </w:r>
          </w:p>
        </w:tc>
      </w:tr>
      <w:tr w:rsidR="00165BC4" w14:paraId="527908EF" w14:textId="77777777" w:rsidTr="00FB5817">
        <w:trPr>
          <w:trHeight w:val="339"/>
        </w:trPr>
        <w:tc>
          <w:tcPr>
            <w:tcW w:w="6591" w:type="dxa"/>
          </w:tcPr>
          <w:p w14:paraId="6122628F"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S&amp;P500 Volatility to TED</w:t>
            </w:r>
          </w:p>
        </w:tc>
        <w:tc>
          <w:tcPr>
            <w:tcW w:w="2529" w:type="dxa"/>
          </w:tcPr>
          <w:p w14:paraId="7F2BE83B" w14:textId="4AE325F7" w:rsidR="00165BC4" w:rsidRDefault="00165BC4" w:rsidP="00BC76B8">
            <w:pPr>
              <w:rPr>
                <w:rFonts w:ascii="Times New Roman" w:hAnsi="Times New Roman" w:cs="Times New Roman"/>
                <w:lang w:eastAsia="hu-HU"/>
              </w:rPr>
            </w:pPr>
            <w:r>
              <w:rPr>
                <w:rFonts w:ascii="Times New Roman" w:hAnsi="Times New Roman" w:cs="Times New Roman"/>
                <w:lang w:eastAsia="hu-HU"/>
              </w:rPr>
              <w:t>5.84%</w:t>
            </w:r>
          </w:p>
        </w:tc>
      </w:tr>
      <w:tr w:rsidR="00165BC4" w14:paraId="63484458" w14:textId="77777777" w:rsidTr="00FB5817">
        <w:trPr>
          <w:trHeight w:val="319"/>
        </w:trPr>
        <w:tc>
          <w:tcPr>
            <w:tcW w:w="6591" w:type="dxa"/>
          </w:tcPr>
          <w:p w14:paraId="08588913"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TED to S&amp;P500 Volatility </w:t>
            </w:r>
          </w:p>
        </w:tc>
        <w:tc>
          <w:tcPr>
            <w:tcW w:w="2529" w:type="dxa"/>
          </w:tcPr>
          <w:p w14:paraId="478F65FC" w14:textId="1092794D" w:rsidR="00165BC4" w:rsidRDefault="00165BC4" w:rsidP="00BC76B8">
            <w:pPr>
              <w:rPr>
                <w:rFonts w:ascii="Times New Roman" w:hAnsi="Times New Roman" w:cs="Times New Roman"/>
                <w:lang w:eastAsia="hu-HU"/>
              </w:rPr>
            </w:pPr>
            <w:r>
              <w:rPr>
                <w:rFonts w:ascii="Times New Roman" w:hAnsi="Times New Roman" w:cs="Times New Roman"/>
                <w:lang w:eastAsia="hu-HU"/>
              </w:rPr>
              <w:t>5.41%</w:t>
            </w:r>
          </w:p>
        </w:tc>
      </w:tr>
      <w:tr w:rsidR="00165BC4" w14:paraId="497B205D" w14:textId="77777777" w:rsidTr="00FB5817">
        <w:trPr>
          <w:trHeight w:val="339"/>
        </w:trPr>
        <w:tc>
          <w:tcPr>
            <w:tcW w:w="6591" w:type="dxa"/>
          </w:tcPr>
          <w:p w14:paraId="6672CEF7"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ABCP to OIS</w:t>
            </w:r>
          </w:p>
        </w:tc>
        <w:tc>
          <w:tcPr>
            <w:tcW w:w="2529" w:type="dxa"/>
          </w:tcPr>
          <w:p w14:paraId="5D7AC241" w14:textId="7A77FD47" w:rsidR="00165BC4" w:rsidRDefault="00165BC4" w:rsidP="00BC76B8">
            <w:pPr>
              <w:rPr>
                <w:rFonts w:ascii="Times New Roman" w:hAnsi="Times New Roman" w:cs="Times New Roman"/>
                <w:lang w:eastAsia="hu-HU"/>
              </w:rPr>
            </w:pPr>
            <w:r>
              <w:rPr>
                <w:rFonts w:ascii="Times New Roman" w:hAnsi="Times New Roman" w:cs="Times New Roman"/>
                <w:lang w:eastAsia="hu-HU"/>
              </w:rPr>
              <w:t>1.25%</w:t>
            </w:r>
          </w:p>
        </w:tc>
      </w:tr>
      <w:tr w:rsidR="00165BC4" w14:paraId="4E258B37" w14:textId="77777777" w:rsidTr="00FB5817">
        <w:trPr>
          <w:trHeight w:val="319"/>
        </w:trPr>
        <w:tc>
          <w:tcPr>
            <w:tcW w:w="6591" w:type="dxa"/>
          </w:tcPr>
          <w:p w14:paraId="13956714"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OIS to ABCP </w:t>
            </w:r>
          </w:p>
        </w:tc>
        <w:tc>
          <w:tcPr>
            <w:tcW w:w="2529" w:type="dxa"/>
          </w:tcPr>
          <w:p w14:paraId="65A03531" w14:textId="088EB23C" w:rsidR="00165BC4" w:rsidRDefault="00165BC4" w:rsidP="00BC76B8">
            <w:pPr>
              <w:rPr>
                <w:rFonts w:ascii="Times New Roman" w:hAnsi="Times New Roman" w:cs="Times New Roman"/>
                <w:lang w:eastAsia="hu-HU"/>
              </w:rPr>
            </w:pPr>
            <w:r>
              <w:rPr>
                <w:rFonts w:ascii="Times New Roman" w:hAnsi="Times New Roman" w:cs="Times New Roman"/>
                <w:lang w:eastAsia="hu-HU"/>
              </w:rPr>
              <w:t>0.22%</w:t>
            </w:r>
          </w:p>
        </w:tc>
      </w:tr>
      <w:tr w:rsidR="00165BC4" w14:paraId="056B5B51" w14:textId="77777777" w:rsidTr="00FB5817">
        <w:trPr>
          <w:trHeight w:val="339"/>
        </w:trPr>
        <w:tc>
          <w:tcPr>
            <w:tcW w:w="6591" w:type="dxa"/>
          </w:tcPr>
          <w:p w14:paraId="115AA4D6"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ABCP to TED</w:t>
            </w:r>
          </w:p>
        </w:tc>
        <w:tc>
          <w:tcPr>
            <w:tcW w:w="2529" w:type="dxa"/>
          </w:tcPr>
          <w:p w14:paraId="5D724FC7" w14:textId="0E410EBC" w:rsidR="00165BC4" w:rsidRDefault="00165BC4" w:rsidP="00BC76B8">
            <w:pPr>
              <w:rPr>
                <w:rFonts w:ascii="Times New Roman" w:hAnsi="Times New Roman" w:cs="Times New Roman"/>
                <w:lang w:eastAsia="hu-HU"/>
              </w:rPr>
            </w:pPr>
            <w:r>
              <w:rPr>
                <w:rFonts w:ascii="Times New Roman" w:hAnsi="Times New Roman" w:cs="Times New Roman"/>
                <w:lang w:eastAsia="hu-HU"/>
              </w:rPr>
              <w:t>2.69%</w:t>
            </w:r>
          </w:p>
        </w:tc>
      </w:tr>
      <w:tr w:rsidR="00165BC4" w14:paraId="2C6AACED" w14:textId="77777777" w:rsidTr="00FB5817">
        <w:trPr>
          <w:trHeight w:val="319"/>
        </w:trPr>
        <w:tc>
          <w:tcPr>
            <w:tcW w:w="6591" w:type="dxa"/>
          </w:tcPr>
          <w:p w14:paraId="029AD3A0"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TED to ABCP</w:t>
            </w:r>
          </w:p>
        </w:tc>
        <w:tc>
          <w:tcPr>
            <w:tcW w:w="2529" w:type="dxa"/>
          </w:tcPr>
          <w:p w14:paraId="08B54026" w14:textId="7B752DBC" w:rsidR="00165BC4" w:rsidRDefault="00165BC4" w:rsidP="00BC76B8">
            <w:pPr>
              <w:rPr>
                <w:rFonts w:ascii="Times New Roman" w:hAnsi="Times New Roman" w:cs="Times New Roman"/>
                <w:lang w:eastAsia="hu-HU"/>
              </w:rPr>
            </w:pPr>
            <w:r>
              <w:rPr>
                <w:rFonts w:ascii="Times New Roman" w:hAnsi="Times New Roman" w:cs="Times New Roman"/>
                <w:lang w:eastAsia="hu-HU"/>
              </w:rPr>
              <w:t>2.09%</w:t>
            </w:r>
          </w:p>
        </w:tc>
      </w:tr>
      <w:tr w:rsidR="00165BC4" w14:paraId="20CB35DF" w14:textId="77777777" w:rsidTr="00FB5817">
        <w:trPr>
          <w:trHeight w:val="339"/>
        </w:trPr>
        <w:tc>
          <w:tcPr>
            <w:tcW w:w="6591" w:type="dxa"/>
          </w:tcPr>
          <w:p w14:paraId="1378D6A2"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Liquidity transmit OIS to TED</w:t>
            </w:r>
          </w:p>
        </w:tc>
        <w:tc>
          <w:tcPr>
            <w:tcW w:w="2529" w:type="dxa"/>
          </w:tcPr>
          <w:p w14:paraId="1DCEC794" w14:textId="6A4FB40C" w:rsidR="00165BC4" w:rsidRDefault="00165BC4" w:rsidP="00BC76B8">
            <w:pPr>
              <w:rPr>
                <w:rFonts w:ascii="Times New Roman" w:hAnsi="Times New Roman" w:cs="Times New Roman"/>
                <w:lang w:eastAsia="hu-HU"/>
              </w:rPr>
            </w:pPr>
            <w:r>
              <w:rPr>
                <w:rFonts w:ascii="Times New Roman" w:hAnsi="Times New Roman" w:cs="Times New Roman"/>
                <w:lang w:eastAsia="hu-HU"/>
              </w:rPr>
              <w:t>2.89%</w:t>
            </w:r>
          </w:p>
        </w:tc>
      </w:tr>
      <w:tr w:rsidR="00165BC4" w14:paraId="7B9DCADD" w14:textId="77777777" w:rsidTr="00FB5817">
        <w:trPr>
          <w:trHeight w:val="319"/>
        </w:trPr>
        <w:tc>
          <w:tcPr>
            <w:tcW w:w="6591" w:type="dxa"/>
          </w:tcPr>
          <w:p w14:paraId="2EDE7794" w14:textId="77777777" w:rsidR="00165BC4" w:rsidRDefault="00165BC4" w:rsidP="00BC76B8">
            <w:pPr>
              <w:rPr>
                <w:rFonts w:ascii="Times New Roman" w:hAnsi="Times New Roman" w:cs="Times New Roman"/>
                <w:lang w:eastAsia="hu-HU"/>
              </w:rPr>
            </w:pPr>
            <w:r>
              <w:rPr>
                <w:rFonts w:ascii="Times New Roman" w:hAnsi="Times New Roman" w:cs="Times New Roman"/>
                <w:lang w:eastAsia="hu-HU"/>
              </w:rPr>
              <w:t xml:space="preserve">Liquidity transmit TED to OIS </w:t>
            </w:r>
          </w:p>
        </w:tc>
        <w:tc>
          <w:tcPr>
            <w:tcW w:w="2529" w:type="dxa"/>
          </w:tcPr>
          <w:p w14:paraId="279E3681" w14:textId="0FEE3FD1" w:rsidR="00165BC4" w:rsidRDefault="00630AE8" w:rsidP="00BC76B8">
            <w:pPr>
              <w:rPr>
                <w:rFonts w:ascii="Times New Roman" w:hAnsi="Times New Roman" w:cs="Times New Roman"/>
                <w:lang w:eastAsia="hu-HU"/>
              </w:rPr>
            </w:pPr>
            <w:r>
              <w:rPr>
                <w:rFonts w:ascii="Times New Roman" w:hAnsi="Times New Roman" w:cs="Times New Roman"/>
                <w:lang w:eastAsia="hu-HU"/>
              </w:rPr>
              <w:t>3.34</w:t>
            </w:r>
            <w:r w:rsidR="00165BC4">
              <w:rPr>
                <w:rFonts w:ascii="Times New Roman" w:hAnsi="Times New Roman" w:cs="Times New Roman"/>
                <w:lang w:eastAsia="hu-HU"/>
              </w:rPr>
              <w:t>%</w:t>
            </w:r>
          </w:p>
        </w:tc>
      </w:tr>
    </w:tbl>
    <w:p w14:paraId="6F7C7A3A" w14:textId="641135BE" w:rsidR="00165BC4" w:rsidRDefault="00165BC4" w:rsidP="00165BC4">
      <w:pPr>
        <w:rPr>
          <w:rFonts w:ascii="Times New Roman" w:hAnsi="Times New Roman" w:cs="Times New Roman"/>
          <w:lang w:eastAsia="hu-HU"/>
        </w:rPr>
      </w:pPr>
      <w:r w:rsidRPr="001752EC">
        <w:rPr>
          <w:rFonts w:ascii="Times New Roman" w:eastAsiaTheme="minorEastAsia" w:hAnsi="Times New Roman"/>
          <w:i/>
          <w:szCs w:val="24"/>
        </w:rPr>
        <w:t xml:space="preserve">Note: liquidity transmission between different </w:t>
      </w:r>
      <w:r w:rsidR="00B47399" w:rsidRPr="001752EC">
        <w:rPr>
          <w:rFonts w:ascii="Times New Roman" w:eastAsiaTheme="minorEastAsia" w:hAnsi="Times New Roman"/>
          <w:i/>
          <w:szCs w:val="24"/>
        </w:rPr>
        <w:t>pairwise</w:t>
      </w:r>
      <w:r w:rsidRPr="001752EC">
        <w:rPr>
          <w:rFonts w:ascii="Times New Roman" w:eastAsiaTheme="minorEastAsia" w:hAnsi="Times New Roman"/>
          <w:i/>
          <w:szCs w:val="24"/>
        </w:rPr>
        <w:t xml:space="preserve"> is described as percentage and th</w:t>
      </w:r>
      <w:r w:rsidR="00B4412B">
        <w:rPr>
          <w:rFonts w:ascii="Times New Roman" w:eastAsiaTheme="minorEastAsia" w:hAnsi="Times New Roman"/>
          <w:i/>
          <w:szCs w:val="24"/>
        </w:rPr>
        <w:t>e corresponding standard errors.</w:t>
      </w:r>
      <w:r w:rsidRPr="001752EC">
        <w:rPr>
          <w:rFonts w:ascii="Times New Roman" w:eastAsiaTheme="minorEastAsia" w:hAnsi="Times New Roman"/>
          <w:i/>
          <w:szCs w:val="24"/>
        </w:rPr>
        <w:t xml:space="preserve"> The transmission percentage is indicated by the parameter G</w:t>
      </w:r>
      <w:r>
        <w:rPr>
          <w:rFonts w:ascii="Times New Roman" w:eastAsiaTheme="minorEastAsia" w:hAnsi="Times New Roman"/>
          <w:i/>
          <w:szCs w:val="24"/>
        </w:rPr>
        <w:t xml:space="preserve">. </w:t>
      </w:r>
      <w:r w:rsidRPr="001752EC">
        <w:rPr>
          <w:rFonts w:ascii="Times New Roman" w:eastAsiaTheme="minorEastAsia" w:hAnsi="Times New Roman"/>
          <w:i/>
          <w:szCs w:val="24"/>
        </w:rPr>
        <w:t xml:space="preserve">For example, the liquidity transmit from OIS to S&amp;P500 volatility is </w:t>
      </w:r>
      <w:r w:rsidR="00630AE8">
        <w:rPr>
          <w:rFonts w:ascii="Times New Roman" w:eastAsiaTheme="minorEastAsia" w:hAnsi="Times New Roman"/>
          <w:i/>
          <w:szCs w:val="24"/>
        </w:rPr>
        <w:t>5.32</w:t>
      </w:r>
      <w:r w:rsidRPr="001752EC">
        <w:rPr>
          <w:rFonts w:ascii="Times New Roman" w:eastAsiaTheme="minorEastAsia" w:hAnsi="Times New Roman"/>
          <w:i/>
          <w:szCs w:val="24"/>
        </w:rPr>
        <w:t xml:space="preserve">% because the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12</m:t>
            </m:r>
          </m:sub>
        </m:sSub>
      </m:oMath>
      <w:r w:rsidRPr="00040E5A">
        <w:rPr>
          <w:rFonts w:ascii="Times New Roman" w:eastAsiaTheme="minorEastAsia" w:hAnsi="Times New Roman"/>
          <w:i/>
          <w:szCs w:val="24"/>
        </w:rPr>
        <w:t xml:space="preserve"> parameter is 0.</w:t>
      </w:r>
      <w:r w:rsidR="00630AE8">
        <w:rPr>
          <w:rFonts w:ascii="Times New Roman" w:eastAsiaTheme="minorEastAsia" w:hAnsi="Times New Roman"/>
          <w:i/>
          <w:szCs w:val="24"/>
        </w:rPr>
        <w:t>0532</w:t>
      </w:r>
      <w:r w:rsidRPr="00040E5A">
        <w:rPr>
          <w:rFonts w:ascii="Times New Roman" w:eastAsiaTheme="minorEastAsia" w:hAnsi="Times New Roman"/>
          <w:i/>
          <w:szCs w:val="24"/>
        </w:rPr>
        <w:t xml:space="preserve"> and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21</m:t>
            </m:r>
          </m:sub>
        </m:sSub>
      </m:oMath>
      <w:r w:rsidRPr="001752EC">
        <w:rPr>
          <w:rFonts w:ascii="Times New Roman" w:eastAsiaTheme="minorEastAsia" w:hAnsi="Times New Roman"/>
          <w:i/>
          <w:szCs w:val="24"/>
        </w:rPr>
        <w:t xml:space="preserve"> parameter is 0.0</w:t>
      </w:r>
      <w:r w:rsidR="00630AE8">
        <w:rPr>
          <w:rFonts w:ascii="Times New Roman" w:eastAsiaTheme="minorEastAsia" w:hAnsi="Times New Roman"/>
          <w:i/>
          <w:szCs w:val="24"/>
        </w:rPr>
        <w:t>743</w:t>
      </w:r>
      <w:r w:rsidRPr="001752EC">
        <w:rPr>
          <w:rFonts w:ascii="Times New Roman" w:eastAsiaTheme="minorEastAsia" w:hAnsi="Times New Roman"/>
          <w:i/>
          <w:szCs w:val="24"/>
        </w:rPr>
        <w:t xml:space="preserve"> which tell us the liquidity transmission percentage from S&amp;P500 volatility to </w:t>
      </w:r>
      <w:r>
        <w:rPr>
          <w:rFonts w:ascii="Times New Roman" w:eastAsiaTheme="minorEastAsia" w:hAnsi="Times New Roman"/>
          <w:i/>
          <w:szCs w:val="24"/>
        </w:rPr>
        <w:t>OIS</w:t>
      </w:r>
      <w:r w:rsidRPr="001752EC">
        <w:rPr>
          <w:rFonts w:ascii="Times New Roman" w:eastAsiaTheme="minorEastAsia" w:hAnsi="Times New Roman"/>
          <w:i/>
          <w:szCs w:val="24"/>
        </w:rPr>
        <w:t>.</w:t>
      </w:r>
    </w:p>
    <w:p w14:paraId="43C6E2C8" w14:textId="3F65745E" w:rsidR="002E765A" w:rsidRPr="009730F8" w:rsidRDefault="008B6FA0" w:rsidP="008B6FA0">
      <w:pPr>
        <w:pStyle w:val="Heading3"/>
      </w:pPr>
      <w:bookmarkStart w:id="128" w:name="_Toc90499974"/>
      <w:r w:rsidRPr="00F717E4">
        <w:lastRenderedPageBreak/>
        <w:t xml:space="preserve">1.4.7.4 </w:t>
      </w:r>
      <w:bookmarkStart w:id="129" w:name="_Hlk90299351"/>
      <w:r w:rsidR="002E765A" w:rsidRPr="00F717E4">
        <w:t>Liquidity Transmission Implied in bivariate BEKK model (pre, during and post crisis</w:t>
      </w:r>
      <w:bookmarkEnd w:id="129"/>
      <w:r w:rsidR="002E765A" w:rsidRPr="00F717E4">
        <w:t>)</w:t>
      </w:r>
      <w:bookmarkEnd w:id="128"/>
      <w:r w:rsidR="002E765A">
        <w:t xml:space="preserve"> </w:t>
      </w:r>
    </w:p>
    <w:p w14:paraId="7C4C334B"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B06DC4">
        <w:rPr>
          <w:rFonts w:ascii="Times New Roman" w:hAnsi="Times New Roman"/>
          <w:b/>
          <w:sz w:val="24"/>
          <w:szCs w:val="24"/>
        </w:rPr>
        <w:t>S&amp;P500 volatility to ABCP</w:t>
      </w:r>
    </w:p>
    <w:p w14:paraId="1258B085" w14:textId="77777777" w:rsidR="002E765A" w:rsidRDefault="002E765A" w:rsidP="002E765A">
      <w:pPr>
        <w:tabs>
          <w:tab w:val="left" w:pos="-142"/>
          <w:tab w:val="left" w:pos="2160"/>
        </w:tabs>
        <w:spacing w:line="360" w:lineRule="auto"/>
        <w:ind w:firstLine="1440"/>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20704" behindDoc="0" locked="0" layoutInCell="1" allowOverlap="1" wp14:anchorId="35F705D8" wp14:editId="60A7F740">
                <wp:simplePos x="0" y="0"/>
                <wp:positionH relativeFrom="column">
                  <wp:posOffset>2734310</wp:posOffset>
                </wp:positionH>
                <wp:positionV relativeFrom="paragraph">
                  <wp:posOffset>354753</wp:posOffset>
                </wp:positionV>
                <wp:extent cx="779357" cy="0"/>
                <wp:effectExtent l="0" t="76200" r="20955" b="95250"/>
                <wp:wrapNone/>
                <wp:docPr id="238" name="Straight Arrow Connector 238"/>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A6545D" id="_x0000_t32" coordsize="21600,21600" o:spt="32" o:oned="t" path="m,l21600,21600e" filled="f">
                <v:path arrowok="t" fillok="f" o:connecttype="none"/>
                <o:lock v:ext="edit" shapetype="t"/>
              </v:shapetype>
              <v:shape id="Straight Arrow Connector 238" o:spid="_x0000_s1026" type="#_x0000_t32" style="position:absolute;margin-left:215.3pt;margin-top:27.95pt;width:61.3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19680" behindDoc="0" locked="0" layoutInCell="1" allowOverlap="1" wp14:anchorId="26C52C8A" wp14:editId="754A7F40">
                <wp:simplePos x="0" y="0"/>
                <wp:positionH relativeFrom="column">
                  <wp:posOffset>4418965</wp:posOffset>
                </wp:positionH>
                <wp:positionV relativeFrom="paragraph">
                  <wp:posOffset>337397</wp:posOffset>
                </wp:positionV>
                <wp:extent cx="813223" cy="0"/>
                <wp:effectExtent l="0" t="76200" r="25400" b="95250"/>
                <wp:wrapNone/>
                <wp:docPr id="237" name="Straight Arrow Connector 237"/>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C3B2B5" id="Straight Arrow Connector 237" o:spid="_x0000_s1026" type="#_x0000_t32" style="position:absolute;margin-left:347.95pt;margin-top:26.55pt;width:64.0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U7QLqd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16608" behindDoc="0" locked="0" layoutInCell="1" allowOverlap="1" wp14:anchorId="4600A147" wp14:editId="2137F158">
                <wp:simplePos x="0" y="0"/>
                <wp:positionH relativeFrom="column">
                  <wp:posOffset>1803399</wp:posOffset>
                </wp:positionH>
                <wp:positionV relativeFrom="paragraph">
                  <wp:posOffset>134620</wp:posOffset>
                </wp:positionV>
                <wp:extent cx="931333" cy="422910"/>
                <wp:effectExtent l="0" t="0" r="21590" b="15240"/>
                <wp:wrapNone/>
                <wp:docPr id="217" name="Text Box 217"/>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412015C"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0A147" id="Text Box 217" o:spid="_x0000_s1038" type="#_x0000_t202" style="position:absolute;left:0;text-align:left;margin-left:142pt;margin-top:10.6pt;width:73.35pt;height:33.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Pnk54ZgAgAADQUAAA4AAAAAAAAAAAAAAAAALgIAAGRycy9lMm9E&#10;b2MueG1sUEsBAi0AFAAGAAgAAAAhAKJt8CbeAAAACQEAAA8AAAAAAAAAAAAAAAAAugQAAGRycy9k&#10;b3ducmV2LnhtbFBLBQYAAAAABAAEAPMAAADFBQAAAAA=&#10;" fillcolor="white [3201]" strokecolor="#4f81bd [3204]" strokeweight="2pt">
                <v:textbox>
                  <w:txbxContent>
                    <w:p w14:paraId="1412015C"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18656" behindDoc="0" locked="0" layoutInCell="1" allowOverlap="1" wp14:anchorId="7A327A8E" wp14:editId="7D94A5A0">
                <wp:simplePos x="0" y="0"/>
                <wp:positionH relativeFrom="column">
                  <wp:posOffset>965200</wp:posOffset>
                </wp:positionH>
                <wp:positionV relativeFrom="paragraph">
                  <wp:posOffset>354753</wp:posOffset>
                </wp:positionV>
                <wp:extent cx="855133" cy="0"/>
                <wp:effectExtent l="0" t="76200" r="21590" b="95250"/>
                <wp:wrapNone/>
                <wp:docPr id="235" name="Straight Arrow Connector 235"/>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7C2E3" id="Straight Arrow Connector 235" o:spid="_x0000_s1026" type="#_x0000_t32" style="position:absolute;margin-left:76pt;margin-top:27.95pt;width:67.3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3zJ72d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17632" behindDoc="0" locked="0" layoutInCell="1" allowOverlap="1" wp14:anchorId="4AA2D7B2" wp14:editId="6439A925">
                <wp:simplePos x="0" y="0"/>
                <wp:positionH relativeFrom="column">
                  <wp:posOffset>3513032</wp:posOffset>
                </wp:positionH>
                <wp:positionV relativeFrom="paragraph">
                  <wp:posOffset>142240</wp:posOffset>
                </wp:positionV>
                <wp:extent cx="905934" cy="423334"/>
                <wp:effectExtent l="0" t="0" r="27940" b="15240"/>
                <wp:wrapNone/>
                <wp:docPr id="218" name="Text Box 218"/>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CAE91C"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2D7B2" id="Text Box 218" o:spid="_x0000_s1039" type="#_x0000_t202" style="position:absolute;left:0;text-align:left;margin-left:276.6pt;margin-top:11.2pt;width:71.35pt;height:33.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BU4oUjXwIAAA0FAAAOAAAAAAAAAAAAAAAAAC4CAABkcnMvZTJvRG9j&#10;LnhtbFBLAQItABQABgAIAAAAIQAG8D9F3QAAAAkBAAAPAAAAAAAAAAAAAAAAALkEAABkcnMvZG93&#10;bnJldi54bWxQSwUGAAAAAAQABADzAAAAwwUAAAAA&#10;" fillcolor="white [3201]" strokecolor="#4f81bd [3204]" strokeweight="2pt">
                <v:textbox>
                  <w:txbxContent>
                    <w:p w14:paraId="11CAE91C"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15584" behindDoc="0" locked="0" layoutInCell="1" allowOverlap="1" wp14:anchorId="131AD659" wp14:editId="079DC903">
                <wp:simplePos x="0" y="0"/>
                <wp:positionH relativeFrom="column">
                  <wp:posOffset>42333</wp:posOffset>
                </wp:positionH>
                <wp:positionV relativeFrom="paragraph">
                  <wp:posOffset>126153</wp:posOffset>
                </wp:positionV>
                <wp:extent cx="905934" cy="423334"/>
                <wp:effectExtent l="0" t="0" r="27940" b="15240"/>
                <wp:wrapNone/>
                <wp:docPr id="216" name="Text Box 216"/>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5DA3FA"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AD659" id="Text Box 216" o:spid="_x0000_s1040" type="#_x0000_t202" style="position:absolute;left:0;text-align:left;margin-left:3.35pt;margin-top:9.95pt;width:71.35pt;height:33.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BXezB4XwIAAA0FAAAOAAAAAAAAAAAAAAAAAC4CAABkcnMvZTJvRG9jLnht&#10;bFBLAQItABQABgAIAAAAIQAfxjNj2gAAAAcBAAAPAAAAAAAAAAAAAAAAALkEAABkcnMvZG93bnJl&#10;di54bWxQSwUGAAAAAAQABADzAAAAwAUAAAAA&#10;" fillcolor="white [3201]" strokecolor="#4f81bd [3204]" strokeweight="2pt">
                <v:textbox>
                  <w:txbxContent>
                    <w:p w14:paraId="305DA3FA" w14:textId="77777777" w:rsidR="00D94FFE" w:rsidRDefault="00D94FFE" w:rsidP="002E765A">
                      <w:r>
                        <w:t>Pre-Crisis</w:t>
                      </w:r>
                    </w:p>
                  </w:txbxContent>
                </v:textbox>
              </v:shape>
            </w:pict>
          </mc:Fallback>
        </mc:AlternateContent>
      </w:r>
      <w:r>
        <w:rPr>
          <w:rFonts w:ascii="Times New Roman" w:hAnsi="Times New Roman"/>
          <w:sz w:val="24"/>
          <w:szCs w:val="24"/>
        </w:rPr>
        <w:t xml:space="preserve">     1.29%</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0.76%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5.14%</w:t>
      </w:r>
    </w:p>
    <w:p w14:paraId="6F78A3EC"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02358B20"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 xml:space="preserve">ABCP to S&amp;P500 volatility </w:t>
      </w:r>
    </w:p>
    <w:p w14:paraId="5B26FDCD"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26848" behindDoc="0" locked="0" layoutInCell="1" allowOverlap="1" wp14:anchorId="4B351FCD" wp14:editId="5011DFA7">
                <wp:simplePos x="0" y="0"/>
                <wp:positionH relativeFrom="column">
                  <wp:posOffset>2734310</wp:posOffset>
                </wp:positionH>
                <wp:positionV relativeFrom="paragraph">
                  <wp:posOffset>354753</wp:posOffset>
                </wp:positionV>
                <wp:extent cx="779357" cy="0"/>
                <wp:effectExtent l="0" t="76200" r="20955" b="95250"/>
                <wp:wrapNone/>
                <wp:docPr id="239" name="Straight Arrow Connector 239"/>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B3673" id="Straight Arrow Connector 239" o:spid="_x0000_s1026" type="#_x0000_t32" style="position:absolute;margin-left:215.3pt;margin-top:27.95pt;width:61.3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MR4GVj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5824" behindDoc="0" locked="0" layoutInCell="1" allowOverlap="1" wp14:anchorId="58BDDDE3" wp14:editId="06F62D9A">
                <wp:simplePos x="0" y="0"/>
                <wp:positionH relativeFrom="column">
                  <wp:posOffset>4418965</wp:posOffset>
                </wp:positionH>
                <wp:positionV relativeFrom="paragraph">
                  <wp:posOffset>337397</wp:posOffset>
                </wp:positionV>
                <wp:extent cx="813223" cy="0"/>
                <wp:effectExtent l="0" t="76200" r="25400" b="95250"/>
                <wp:wrapNone/>
                <wp:docPr id="240" name="Straight Arrow Connector 240"/>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04A9EF" id="Straight Arrow Connector 240" o:spid="_x0000_s1026" type="#_x0000_t32" style="position:absolute;margin-left:347.95pt;margin-top:26.55pt;width:64.0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VZFpHd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2752" behindDoc="0" locked="0" layoutInCell="1" allowOverlap="1" wp14:anchorId="2D402225" wp14:editId="106ABDEF">
                <wp:simplePos x="0" y="0"/>
                <wp:positionH relativeFrom="column">
                  <wp:posOffset>1803399</wp:posOffset>
                </wp:positionH>
                <wp:positionV relativeFrom="paragraph">
                  <wp:posOffset>134620</wp:posOffset>
                </wp:positionV>
                <wp:extent cx="931333" cy="422910"/>
                <wp:effectExtent l="0" t="0" r="21590" b="15240"/>
                <wp:wrapNone/>
                <wp:docPr id="241" name="Text Box 241"/>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3686844"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02225" id="Text Box 241" o:spid="_x0000_s1041" type="#_x0000_t202" style="position:absolute;left:0;text-align:left;margin-left:142pt;margin-top:10.6pt;width:73.35pt;height:33.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Pp9Ut1gAgAADQUAAA4AAAAAAAAAAAAAAAAALgIAAGRycy9lMm9E&#10;b2MueG1sUEsBAi0AFAAGAAgAAAAhAKJt8CbeAAAACQEAAA8AAAAAAAAAAAAAAAAAugQAAGRycy9k&#10;b3ducmV2LnhtbFBLBQYAAAAABAAEAPMAAADFBQAAAAA=&#10;" fillcolor="white [3201]" strokecolor="#4f81bd [3204]" strokeweight="2pt">
                <v:textbox>
                  <w:txbxContent>
                    <w:p w14:paraId="13686844"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4800" behindDoc="0" locked="0" layoutInCell="1" allowOverlap="1" wp14:anchorId="6A054127" wp14:editId="66A1725F">
                <wp:simplePos x="0" y="0"/>
                <wp:positionH relativeFrom="column">
                  <wp:posOffset>965200</wp:posOffset>
                </wp:positionH>
                <wp:positionV relativeFrom="paragraph">
                  <wp:posOffset>354753</wp:posOffset>
                </wp:positionV>
                <wp:extent cx="855133" cy="0"/>
                <wp:effectExtent l="0" t="76200" r="21590" b="95250"/>
                <wp:wrapNone/>
                <wp:docPr id="242" name="Straight Arrow Connector 242"/>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83B006" id="Straight Arrow Connector 242" o:spid="_x0000_s1026" type="#_x0000_t32" style="position:absolute;margin-left:76pt;margin-top:27.95pt;width:67.3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2RcZbd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3776" behindDoc="0" locked="0" layoutInCell="1" allowOverlap="1" wp14:anchorId="5AAD945B" wp14:editId="50214BD6">
                <wp:simplePos x="0" y="0"/>
                <wp:positionH relativeFrom="column">
                  <wp:posOffset>3513032</wp:posOffset>
                </wp:positionH>
                <wp:positionV relativeFrom="paragraph">
                  <wp:posOffset>142240</wp:posOffset>
                </wp:positionV>
                <wp:extent cx="905934" cy="423334"/>
                <wp:effectExtent l="0" t="0" r="27940" b="15240"/>
                <wp:wrapNone/>
                <wp:docPr id="243" name="Text Box 243"/>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74C641"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D945B" id="Text Box 243" o:spid="_x0000_s1042" type="#_x0000_t202" style="position:absolute;left:0;text-align:left;margin-left:276.6pt;margin-top:11.2pt;width:71.35pt;height:33.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" fillcolor="white [3201]" strokecolor="#4f81bd [3204]" strokeweight="2pt">
                <v:textbox>
                  <w:txbxContent>
                    <w:p w14:paraId="2774C641"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1728" behindDoc="0" locked="0" layoutInCell="1" allowOverlap="1" wp14:anchorId="28673659" wp14:editId="1A9CB380">
                <wp:simplePos x="0" y="0"/>
                <wp:positionH relativeFrom="column">
                  <wp:posOffset>42333</wp:posOffset>
                </wp:positionH>
                <wp:positionV relativeFrom="paragraph">
                  <wp:posOffset>126153</wp:posOffset>
                </wp:positionV>
                <wp:extent cx="905934" cy="423334"/>
                <wp:effectExtent l="0" t="0" r="27940" b="15240"/>
                <wp:wrapNone/>
                <wp:docPr id="244" name="Text Box 244"/>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E68561"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73659" id="Text Box 244" o:spid="_x0000_s1043" type="#_x0000_t202" style="position:absolute;left:0;text-align:left;margin-left:3.35pt;margin-top:9.95pt;width:71.35pt;height:33.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" fillcolor="white [3201]" strokecolor="#4f81bd [3204]" strokeweight="2pt">
                <v:textbox>
                  <w:txbxContent>
                    <w:p w14:paraId="45E68561"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0.07%</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0.65%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13.74</w:t>
      </w:r>
    </w:p>
    <w:p w14:paraId="01E37DA4"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0F57B0BB"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S&amp;P500 volatility to OIS</w:t>
      </w:r>
    </w:p>
    <w:p w14:paraId="3223B999"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32992" behindDoc="0" locked="0" layoutInCell="1" allowOverlap="1" wp14:anchorId="089EEDB3" wp14:editId="5411A858">
                <wp:simplePos x="0" y="0"/>
                <wp:positionH relativeFrom="column">
                  <wp:posOffset>2734310</wp:posOffset>
                </wp:positionH>
                <wp:positionV relativeFrom="paragraph">
                  <wp:posOffset>354753</wp:posOffset>
                </wp:positionV>
                <wp:extent cx="779357" cy="0"/>
                <wp:effectExtent l="0" t="76200" r="20955" b="95250"/>
                <wp:wrapNone/>
                <wp:docPr id="245" name="Straight Arrow Connector 245"/>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57F8D" id="Straight Arrow Connector 245" o:spid="_x0000_s1026" type="#_x0000_t32" style="position:absolute;margin-left:215.3pt;margin-top:27.95pt;width:61.3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KUTBY/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1968" behindDoc="0" locked="0" layoutInCell="1" allowOverlap="1" wp14:anchorId="44741A46" wp14:editId="3520D542">
                <wp:simplePos x="0" y="0"/>
                <wp:positionH relativeFrom="column">
                  <wp:posOffset>4418965</wp:posOffset>
                </wp:positionH>
                <wp:positionV relativeFrom="paragraph">
                  <wp:posOffset>337397</wp:posOffset>
                </wp:positionV>
                <wp:extent cx="813223" cy="0"/>
                <wp:effectExtent l="0" t="76200" r="25400" b="95250"/>
                <wp:wrapNone/>
                <wp:docPr id="246" name="Straight Arrow Connector 246"/>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EE3ED2" id="Straight Arrow Connector 246" o:spid="_x0000_s1026" type="#_x0000_t32" style="position:absolute;margin-left:347.95pt;margin-top:26.55pt;width:64.0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8896" behindDoc="0" locked="0" layoutInCell="1" allowOverlap="1" wp14:anchorId="47A2190C" wp14:editId="30A7B38F">
                <wp:simplePos x="0" y="0"/>
                <wp:positionH relativeFrom="column">
                  <wp:posOffset>1803399</wp:posOffset>
                </wp:positionH>
                <wp:positionV relativeFrom="paragraph">
                  <wp:posOffset>134620</wp:posOffset>
                </wp:positionV>
                <wp:extent cx="931333" cy="422910"/>
                <wp:effectExtent l="0" t="0" r="21590" b="15240"/>
                <wp:wrapNone/>
                <wp:docPr id="247" name="Text Box 247"/>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97A4F1"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2190C" id="Text Box 247" o:spid="_x0000_s1044" type="#_x0000_t202" style="position:absolute;left:0;text-align:left;margin-left:142pt;margin-top:10.6pt;width:73.35pt;height:33.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OdC+/5gAgAADQUAAA4AAAAAAAAAAAAAAAAALgIAAGRycy9lMm9E&#10;b2MueG1sUEsBAi0AFAAGAAgAAAAhAKJt8CbeAAAACQEAAA8AAAAAAAAAAAAAAAAAugQAAGRycy9k&#10;b3ducmV2LnhtbFBLBQYAAAAABAAEAPMAAADFBQAAAAA=&#10;" fillcolor="white [3201]" strokecolor="#4f81bd [3204]" strokeweight="2pt">
                <v:textbox>
                  <w:txbxContent>
                    <w:p w14:paraId="3797A4F1"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0944" behindDoc="0" locked="0" layoutInCell="1" allowOverlap="1" wp14:anchorId="2CA03264" wp14:editId="18B9FE12">
                <wp:simplePos x="0" y="0"/>
                <wp:positionH relativeFrom="column">
                  <wp:posOffset>965200</wp:posOffset>
                </wp:positionH>
                <wp:positionV relativeFrom="paragraph">
                  <wp:posOffset>354753</wp:posOffset>
                </wp:positionV>
                <wp:extent cx="855133" cy="0"/>
                <wp:effectExtent l="0" t="76200" r="21590" b="95250"/>
                <wp:wrapNone/>
                <wp:docPr id="248" name="Straight Arrow Connector 248"/>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B1F86" id="Straight Arrow Connector 248" o:spid="_x0000_s1026" type="#_x0000_t32" style="position:absolute;margin-left:76pt;margin-top:27.95pt;width:67.3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1Q5dYt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9920" behindDoc="0" locked="0" layoutInCell="1" allowOverlap="1" wp14:anchorId="3254C6EA" wp14:editId="795FD8B2">
                <wp:simplePos x="0" y="0"/>
                <wp:positionH relativeFrom="column">
                  <wp:posOffset>3513032</wp:posOffset>
                </wp:positionH>
                <wp:positionV relativeFrom="paragraph">
                  <wp:posOffset>142240</wp:posOffset>
                </wp:positionV>
                <wp:extent cx="905934" cy="423334"/>
                <wp:effectExtent l="0" t="0" r="27940" b="15240"/>
                <wp:wrapNone/>
                <wp:docPr id="249" name="Text Box 249"/>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9F8F10"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4C6EA" id="Text Box 249" o:spid="_x0000_s1045" type="#_x0000_t202" style="position:absolute;left:0;text-align:left;margin-left:276.6pt;margin-top:11.2pt;width:71.35pt;height:33.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BKRJlbXwIAAA0FAAAOAAAAAAAAAAAAAAAAAC4CAABkcnMvZTJvRG9j&#10;LnhtbFBLAQItABQABgAIAAAAIQAG8D9F3QAAAAkBAAAPAAAAAAAAAAAAAAAAALkEAABkcnMvZG93&#10;bnJldi54bWxQSwUGAAAAAAQABADzAAAAwwUAAAAA&#10;" fillcolor="white [3201]" strokecolor="#4f81bd [3204]" strokeweight="2pt">
                <v:textbox>
                  <w:txbxContent>
                    <w:p w14:paraId="4F9F8F10"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27872" behindDoc="0" locked="0" layoutInCell="1" allowOverlap="1" wp14:anchorId="6D090EC3" wp14:editId="0F88307A">
                <wp:simplePos x="0" y="0"/>
                <wp:positionH relativeFrom="column">
                  <wp:posOffset>42333</wp:posOffset>
                </wp:positionH>
                <wp:positionV relativeFrom="paragraph">
                  <wp:posOffset>126153</wp:posOffset>
                </wp:positionV>
                <wp:extent cx="905934" cy="423334"/>
                <wp:effectExtent l="0" t="0" r="27940" b="15240"/>
                <wp:wrapNone/>
                <wp:docPr id="250" name="Text Box 250"/>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4026AA"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90EC3" id="Text Box 250" o:spid="_x0000_s1046" type="#_x0000_t202" style="position:absolute;left:0;text-align:left;margin-left:3.35pt;margin-top:9.95pt;width:71.35pt;height:33.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" fillcolor="white [3201]" strokecolor="#4f81bd [3204]" strokeweight="2pt">
                <v:textbox>
                  <w:txbxContent>
                    <w:p w14:paraId="374026AA"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0.95%                                    3.58%                                 7.43%</w:t>
      </w:r>
    </w:p>
    <w:p w14:paraId="1F93EDE3"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0919E600"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 xml:space="preserve">OIS to S&amp;P500 volatility </w:t>
      </w:r>
    </w:p>
    <w:p w14:paraId="41993AE2"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39136" behindDoc="0" locked="0" layoutInCell="1" allowOverlap="1" wp14:anchorId="76B85F81" wp14:editId="1A34D7FE">
                <wp:simplePos x="0" y="0"/>
                <wp:positionH relativeFrom="column">
                  <wp:posOffset>2734310</wp:posOffset>
                </wp:positionH>
                <wp:positionV relativeFrom="paragraph">
                  <wp:posOffset>354753</wp:posOffset>
                </wp:positionV>
                <wp:extent cx="779357" cy="0"/>
                <wp:effectExtent l="0" t="76200" r="20955" b="95250"/>
                <wp:wrapNone/>
                <wp:docPr id="251" name="Straight Arrow Connector 251"/>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5A71B" id="Straight Arrow Connector 251" o:spid="_x0000_s1026" type="#_x0000_t32" style="position:absolute;margin-left:215.3pt;margin-top:27.95pt;width:61.3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M/KkT7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8112" behindDoc="0" locked="0" layoutInCell="1" allowOverlap="1" wp14:anchorId="784EF620" wp14:editId="08451513">
                <wp:simplePos x="0" y="0"/>
                <wp:positionH relativeFrom="column">
                  <wp:posOffset>4418965</wp:posOffset>
                </wp:positionH>
                <wp:positionV relativeFrom="paragraph">
                  <wp:posOffset>337397</wp:posOffset>
                </wp:positionV>
                <wp:extent cx="813223" cy="0"/>
                <wp:effectExtent l="0" t="76200" r="25400" b="95250"/>
                <wp:wrapNone/>
                <wp:docPr id="252" name="Straight Arrow Connector 252"/>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D6CE36" id="Straight Arrow Connector 252" o:spid="_x0000_s1026" type="#_x0000_t32" style="position:absolute;margin-left:347.95pt;margin-top:26.55pt;width:64.0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BL0RH9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5040" behindDoc="0" locked="0" layoutInCell="1" allowOverlap="1" wp14:anchorId="5D463FA9" wp14:editId="6B05145A">
                <wp:simplePos x="0" y="0"/>
                <wp:positionH relativeFrom="column">
                  <wp:posOffset>1803399</wp:posOffset>
                </wp:positionH>
                <wp:positionV relativeFrom="paragraph">
                  <wp:posOffset>134620</wp:posOffset>
                </wp:positionV>
                <wp:extent cx="931333" cy="422910"/>
                <wp:effectExtent l="0" t="0" r="21590" b="15240"/>
                <wp:wrapNone/>
                <wp:docPr id="253" name="Text Box 253"/>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181708"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63FA9" id="Text Box 253" o:spid="_x0000_s1047" type="#_x0000_t202" style="position:absolute;left:0;text-align:left;margin-left:142pt;margin-top:10.6pt;width:73.35pt;height:33.3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FlXhrlgAgAADQUAAA4AAAAAAAAAAAAAAAAALgIAAGRycy9lMm9E&#10;b2MueG1sUEsBAi0AFAAGAAgAAAAhAKJt8CbeAAAACQEAAA8AAAAAAAAAAAAAAAAAugQAAGRycy9k&#10;b3ducmV2LnhtbFBLBQYAAAAABAAEAPMAAADFBQAAAAA=&#10;" fillcolor="white [3201]" strokecolor="#4f81bd [3204]" strokeweight="2pt">
                <v:textbox>
                  <w:txbxContent>
                    <w:p w14:paraId="33181708"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7088" behindDoc="0" locked="0" layoutInCell="1" allowOverlap="1" wp14:anchorId="3CEAB85B" wp14:editId="13AF580C">
                <wp:simplePos x="0" y="0"/>
                <wp:positionH relativeFrom="column">
                  <wp:posOffset>965200</wp:posOffset>
                </wp:positionH>
                <wp:positionV relativeFrom="paragraph">
                  <wp:posOffset>354753</wp:posOffset>
                </wp:positionV>
                <wp:extent cx="855133" cy="0"/>
                <wp:effectExtent l="0" t="76200" r="21590" b="95250"/>
                <wp:wrapNone/>
                <wp:docPr id="254" name="Straight Arrow Connector 254"/>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5894B" id="Straight Arrow Connector 254" o:spid="_x0000_s1026" type="#_x0000_t32" style="position:absolute;margin-left:76pt;margin-top:27.95pt;width:67.3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ZWD5BN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6064" behindDoc="0" locked="0" layoutInCell="1" allowOverlap="1" wp14:anchorId="48D187CB" wp14:editId="295362DF">
                <wp:simplePos x="0" y="0"/>
                <wp:positionH relativeFrom="column">
                  <wp:posOffset>3513032</wp:posOffset>
                </wp:positionH>
                <wp:positionV relativeFrom="paragraph">
                  <wp:posOffset>142240</wp:posOffset>
                </wp:positionV>
                <wp:extent cx="905934" cy="423334"/>
                <wp:effectExtent l="0" t="0" r="27940" b="15240"/>
                <wp:wrapNone/>
                <wp:docPr id="255" name="Text Box 255"/>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386E7D"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187CB" id="Text Box 255" o:spid="_x0000_s1048" type="#_x0000_t202" style="position:absolute;left:0;text-align:left;margin-left:276.6pt;margin-top:11.2pt;width:71.35pt;height:33.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BLMwptXwIAAA0FAAAOAAAAAAAAAAAAAAAAAC4CAABkcnMvZTJvRG9j&#10;LnhtbFBLAQItABQABgAIAAAAIQAG8D9F3QAAAAkBAAAPAAAAAAAAAAAAAAAAALkEAABkcnMvZG93&#10;bnJldi54bWxQSwUGAAAAAAQABADzAAAAwwUAAAAA&#10;" fillcolor="white [3201]" strokecolor="#4f81bd [3204]" strokeweight="2pt">
                <v:textbox>
                  <w:txbxContent>
                    <w:p w14:paraId="3E386E7D"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34016" behindDoc="0" locked="0" layoutInCell="1" allowOverlap="1" wp14:anchorId="7F04BC9B" wp14:editId="73C47DF7">
                <wp:simplePos x="0" y="0"/>
                <wp:positionH relativeFrom="column">
                  <wp:posOffset>42333</wp:posOffset>
                </wp:positionH>
                <wp:positionV relativeFrom="paragraph">
                  <wp:posOffset>126153</wp:posOffset>
                </wp:positionV>
                <wp:extent cx="905934" cy="423334"/>
                <wp:effectExtent l="0" t="0" r="27940" b="15240"/>
                <wp:wrapNone/>
                <wp:docPr id="256" name="Text Box 256"/>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F3906C"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4BC9B" id="Text Box 256" o:spid="_x0000_s1049" type="#_x0000_t202" style="position:absolute;left:0;text-align:left;margin-left:3.35pt;margin-top:9.95pt;width:71.35pt;height:33.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A0gUW4XwIAAA0FAAAOAAAAAAAAAAAAAAAAAC4CAABkcnMvZTJvRG9jLnht&#10;bFBLAQItABQABgAIAAAAIQAfxjNj2gAAAAcBAAAPAAAAAAAAAAAAAAAAALkEAABkcnMvZG93bnJl&#10;di54bWxQSwUGAAAAAAQABADzAAAAwAUAAAAA&#10;" fillcolor="white [3201]" strokecolor="#4f81bd [3204]" strokeweight="2pt">
                <v:textbox>
                  <w:txbxContent>
                    <w:p w14:paraId="15F3906C"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0.97%                                    0.02%                                 5.32%</w:t>
      </w:r>
    </w:p>
    <w:p w14:paraId="2E74C260"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5051A149"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S&amp;P500 volatility to TED</w:t>
      </w:r>
    </w:p>
    <w:p w14:paraId="66A54123"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45280" behindDoc="0" locked="0" layoutInCell="1" allowOverlap="1" wp14:anchorId="54217014" wp14:editId="21D59924">
                <wp:simplePos x="0" y="0"/>
                <wp:positionH relativeFrom="column">
                  <wp:posOffset>2734310</wp:posOffset>
                </wp:positionH>
                <wp:positionV relativeFrom="paragraph">
                  <wp:posOffset>354753</wp:posOffset>
                </wp:positionV>
                <wp:extent cx="779357" cy="0"/>
                <wp:effectExtent l="0" t="76200" r="20955" b="95250"/>
                <wp:wrapNone/>
                <wp:docPr id="257" name="Straight Arrow Connector 257"/>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E694F" id="Straight Arrow Connector 257" o:spid="_x0000_s1026" type="#_x0000_t32" style="position:absolute;margin-left:215.3pt;margin-top:27.95pt;width:61.3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4256" behindDoc="0" locked="0" layoutInCell="1" allowOverlap="1" wp14:anchorId="1A60C6CF" wp14:editId="0DB7A6AE">
                <wp:simplePos x="0" y="0"/>
                <wp:positionH relativeFrom="column">
                  <wp:posOffset>4418965</wp:posOffset>
                </wp:positionH>
                <wp:positionV relativeFrom="paragraph">
                  <wp:posOffset>337397</wp:posOffset>
                </wp:positionV>
                <wp:extent cx="813223" cy="0"/>
                <wp:effectExtent l="0" t="76200" r="25400" b="95250"/>
                <wp:wrapNone/>
                <wp:docPr id="258" name="Straight Arrow Connector 258"/>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50694F" id="Straight Arrow Connector 258" o:spid="_x0000_s1026" type="#_x0000_t32" style="position:absolute;margin-left:347.95pt;margin-top:26.55pt;width:64.0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CKRVEN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1184" behindDoc="0" locked="0" layoutInCell="1" allowOverlap="1" wp14:anchorId="59820C85" wp14:editId="6D2723B4">
                <wp:simplePos x="0" y="0"/>
                <wp:positionH relativeFrom="column">
                  <wp:posOffset>1803399</wp:posOffset>
                </wp:positionH>
                <wp:positionV relativeFrom="paragraph">
                  <wp:posOffset>134620</wp:posOffset>
                </wp:positionV>
                <wp:extent cx="931333" cy="422910"/>
                <wp:effectExtent l="0" t="0" r="21590" b="15240"/>
                <wp:wrapNone/>
                <wp:docPr id="259" name="Text Box 259"/>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F83F00"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20C85" id="Text Box 259" o:spid="_x0000_s1050" type="#_x0000_t202" style="position:absolute;left:0;text-align:left;margin-left:142pt;margin-top:10.6pt;width:73.35pt;height:33.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OWs3ZNgAgAADQUAAA4AAAAAAAAAAAAAAAAALgIAAGRycy9lMm9E&#10;b2MueG1sUEsBAi0AFAAGAAgAAAAhAKJt8CbeAAAACQEAAA8AAAAAAAAAAAAAAAAAugQAAGRycy9k&#10;b3ducmV2LnhtbFBLBQYAAAAABAAEAPMAAADFBQAAAAA=&#10;" fillcolor="white [3201]" strokecolor="#4f81bd [3204]" strokeweight="2pt">
                <v:textbox>
                  <w:txbxContent>
                    <w:p w14:paraId="3BF83F00"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3232" behindDoc="0" locked="0" layoutInCell="1" allowOverlap="1" wp14:anchorId="1191A4FB" wp14:editId="1B72FCF0">
                <wp:simplePos x="0" y="0"/>
                <wp:positionH relativeFrom="column">
                  <wp:posOffset>965200</wp:posOffset>
                </wp:positionH>
                <wp:positionV relativeFrom="paragraph">
                  <wp:posOffset>354753</wp:posOffset>
                </wp:positionV>
                <wp:extent cx="855133" cy="0"/>
                <wp:effectExtent l="0" t="76200" r="21590" b="95250"/>
                <wp:wrapNone/>
                <wp:docPr id="260" name="Straight Arrow Connector 260"/>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0F96D0" id="Straight Arrow Connector 260" o:spid="_x0000_s1026" type="#_x0000_t32" style="position:absolute;margin-left:76pt;margin-top:27.95pt;width:67.3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QLoF2t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2208" behindDoc="0" locked="0" layoutInCell="1" allowOverlap="1" wp14:anchorId="255E4F2B" wp14:editId="2E0FDF24">
                <wp:simplePos x="0" y="0"/>
                <wp:positionH relativeFrom="column">
                  <wp:posOffset>3513032</wp:posOffset>
                </wp:positionH>
                <wp:positionV relativeFrom="paragraph">
                  <wp:posOffset>142240</wp:posOffset>
                </wp:positionV>
                <wp:extent cx="905934" cy="423334"/>
                <wp:effectExtent l="0" t="0" r="27940" b="15240"/>
                <wp:wrapNone/>
                <wp:docPr id="261" name="Text Box 261"/>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95AC94"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E4F2B" id="Text Box 261" o:spid="_x0000_s1051" type="#_x0000_t202" style="position:absolute;left:0;text-align:left;margin-left:276.6pt;margin-top:11.2pt;width:71.35pt;height:33.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BIqr82XwIAAA0FAAAOAAAAAAAAAAAAAAAAAC4CAABkcnMvZTJvRG9j&#10;LnhtbFBLAQItABQABgAIAAAAIQAG8D9F3QAAAAkBAAAPAAAAAAAAAAAAAAAAALkEAABkcnMvZG93&#10;bnJldi54bWxQSwUGAAAAAAQABADzAAAAwwUAAAAA&#10;" fillcolor="white [3201]" strokecolor="#4f81bd [3204]" strokeweight="2pt">
                <v:textbox>
                  <w:txbxContent>
                    <w:p w14:paraId="3D95AC94"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0160" behindDoc="0" locked="0" layoutInCell="1" allowOverlap="1" wp14:anchorId="31F03C99" wp14:editId="68518F39">
                <wp:simplePos x="0" y="0"/>
                <wp:positionH relativeFrom="column">
                  <wp:posOffset>42333</wp:posOffset>
                </wp:positionH>
                <wp:positionV relativeFrom="paragraph">
                  <wp:posOffset>126153</wp:posOffset>
                </wp:positionV>
                <wp:extent cx="905934" cy="423334"/>
                <wp:effectExtent l="0" t="0" r="27940" b="15240"/>
                <wp:wrapNone/>
                <wp:docPr id="262" name="Text Box 262"/>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20A91D8"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03C99" id="Text Box 262" o:spid="_x0000_s1052" type="#_x0000_t202" style="position:absolute;left:0;text-align:left;margin-left:3.35pt;margin-top:9.95pt;width:71.35pt;height:33.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" fillcolor="white [3201]" strokecolor="#4f81bd [3204]" strokeweight="2pt">
                <v:textbox>
                  <w:txbxContent>
                    <w:p w14:paraId="320A91D8"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3.86%                                    2.71%                                  5.84%</w:t>
      </w:r>
    </w:p>
    <w:p w14:paraId="6CC0D0D3"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3C182B2F"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 xml:space="preserve">TED to S&amp;P500 volatility </w:t>
      </w:r>
    </w:p>
    <w:p w14:paraId="063D7FB9"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51424" behindDoc="0" locked="0" layoutInCell="1" allowOverlap="1" wp14:anchorId="1BF06F27" wp14:editId="71E4DECA">
                <wp:simplePos x="0" y="0"/>
                <wp:positionH relativeFrom="column">
                  <wp:posOffset>2734310</wp:posOffset>
                </wp:positionH>
                <wp:positionV relativeFrom="paragraph">
                  <wp:posOffset>354753</wp:posOffset>
                </wp:positionV>
                <wp:extent cx="779357" cy="0"/>
                <wp:effectExtent l="0" t="76200" r="20955" b="95250"/>
                <wp:wrapNone/>
                <wp:docPr id="263" name="Straight Arrow Connector 263"/>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891644" id="Straight Arrow Connector 263" o:spid="_x0000_s1026" type="#_x0000_t32" style="position:absolute;margin-left:215.3pt;margin-top:27.95pt;width:61.3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NHlgVP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0400" behindDoc="0" locked="0" layoutInCell="1" allowOverlap="1" wp14:anchorId="7443F15A" wp14:editId="6D8F0134">
                <wp:simplePos x="0" y="0"/>
                <wp:positionH relativeFrom="column">
                  <wp:posOffset>4418965</wp:posOffset>
                </wp:positionH>
                <wp:positionV relativeFrom="paragraph">
                  <wp:posOffset>337397</wp:posOffset>
                </wp:positionV>
                <wp:extent cx="813223" cy="0"/>
                <wp:effectExtent l="0" t="76200" r="25400" b="95250"/>
                <wp:wrapNone/>
                <wp:docPr id="264" name="Straight Arrow Connector 264"/>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68C17" id="Straight Arrow Connector 264" o:spid="_x0000_s1026" type="#_x0000_t32" style="position:absolute;margin-left:347.95pt;margin-top:26.55pt;width:64.0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7328" behindDoc="0" locked="0" layoutInCell="1" allowOverlap="1" wp14:anchorId="222E1D4E" wp14:editId="5E270516">
                <wp:simplePos x="0" y="0"/>
                <wp:positionH relativeFrom="column">
                  <wp:posOffset>1803399</wp:posOffset>
                </wp:positionH>
                <wp:positionV relativeFrom="paragraph">
                  <wp:posOffset>134620</wp:posOffset>
                </wp:positionV>
                <wp:extent cx="931333" cy="422910"/>
                <wp:effectExtent l="0" t="0" r="21590" b="15240"/>
                <wp:wrapNone/>
                <wp:docPr id="265" name="Text Box 265"/>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89CA68"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E1D4E" id="Text Box 265" o:spid="_x0000_s1053" type="#_x0000_t202" style="position:absolute;left:0;text-align:left;margin-left:142pt;margin-top:10.6pt;width:73.35pt;height:33.3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" fillcolor="white [3201]" strokecolor="#4f81bd [3204]" strokeweight="2pt">
                <v:textbox>
                  <w:txbxContent>
                    <w:p w14:paraId="5A89CA68"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9376" behindDoc="0" locked="0" layoutInCell="1" allowOverlap="1" wp14:anchorId="19FB0F56" wp14:editId="4F8810C3">
                <wp:simplePos x="0" y="0"/>
                <wp:positionH relativeFrom="column">
                  <wp:posOffset>965200</wp:posOffset>
                </wp:positionH>
                <wp:positionV relativeFrom="paragraph">
                  <wp:posOffset>354753</wp:posOffset>
                </wp:positionV>
                <wp:extent cx="855133" cy="0"/>
                <wp:effectExtent l="0" t="76200" r="21590" b="95250"/>
                <wp:wrapNone/>
                <wp:docPr id="266" name="Straight Arrow Connector 266"/>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EBA7B5" id="Straight Arrow Connector 266" o:spid="_x0000_s1026" type="#_x0000_t32" style="position:absolute;margin-left:76pt;margin-top:27.95pt;width:67.3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e0/pad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8352" behindDoc="0" locked="0" layoutInCell="1" allowOverlap="1" wp14:anchorId="31F7DD5C" wp14:editId="0CF3E811">
                <wp:simplePos x="0" y="0"/>
                <wp:positionH relativeFrom="column">
                  <wp:posOffset>3513032</wp:posOffset>
                </wp:positionH>
                <wp:positionV relativeFrom="paragraph">
                  <wp:posOffset>142240</wp:posOffset>
                </wp:positionV>
                <wp:extent cx="905934" cy="423334"/>
                <wp:effectExtent l="0" t="0" r="27940" b="15240"/>
                <wp:wrapNone/>
                <wp:docPr id="267" name="Text Box 267"/>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26E7CC"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7DD5C" id="Text Box 267" o:spid="_x0000_s1054" type="#_x0000_t202" style="position:absolute;left:0;text-align:left;margin-left:276.6pt;margin-top:11.2pt;width:71.35pt;height:33.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Aq1blOXwIAAA0FAAAOAAAAAAAAAAAAAAAAAC4CAABkcnMvZTJvRG9j&#10;LnhtbFBLAQItABQABgAIAAAAIQAG8D9F3QAAAAkBAAAPAAAAAAAAAAAAAAAAALkEAABkcnMvZG93&#10;bnJldi54bWxQSwUGAAAAAAQABADzAAAAwwUAAAAA&#10;" fillcolor="white [3201]" strokecolor="#4f81bd [3204]" strokeweight="2pt">
                <v:textbox>
                  <w:txbxContent>
                    <w:p w14:paraId="7326E7CC"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46304" behindDoc="0" locked="0" layoutInCell="1" allowOverlap="1" wp14:anchorId="041A9F42" wp14:editId="0C5C5A9B">
                <wp:simplePos x="0" y="0"/>
                <wp:positionH relativeFrom="column">
                  <wp:posOffset>42333</wp:posOffset>
                </wp:positionH>
                <wp:positionV relativeFrom="paragraph">
                  <wp:posOffset>126153</wp:posOffset>
                </wp:positionV>
                <wp:extent cx="905934" cy="423334"/>
                <wp:effectExtent l="0" t="0" r="27940" b="15240"/>
                <wp:wrapNone/>
                <wp:docPr id="268" name="Text Box 268"/>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976C27"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A9F42" id="Text Box 268" o:spid="_x0000_s1055" type="#_x0000_t202" style="position:absolute;left:0;text-align:left;margin-left:3.35pt;margin-top:9.95pt;width:71.35pt;height:33.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BVZ/abXwIAAA0FAAAOAAAAAAAAAAAAAAAAAC4CAABkcnMvZTJvRG9jLnht&#10;bFBLAQItABQABgAIAAAAIQAfxjNj2gAAAAcBAAAPAAAAAAAAAAAAAAAAALkEAABkcnMvZG93bnJl&#10;di54bWxQSwUGAAAAAAQABADzAAAAwAUAAAAA&#10;" fillcolor="white [3201]" strokecolor="#4f81bd [3204]" strokeweight="2pt">
                <v:textbox>
                  <w:txbxContent>
                    <w:p w14:paraId="36976C27"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0.80%                                   3.10%                                  5.41%</w:t>
      </w:r>
    </w:p>
    <w:p w14:paraId="005980ED"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1003A71B"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 xml:space="preserve">ABCP to </w:t>
      </w:r>
      <w:r>
        <w:rPr>
          <w:rFonts w:ascii="Times New Roman" w:hAnsi="Times New Roman"/>
          <w:b/>
          <w:sz w:val="24"/>
          <w:szCs w:val="24"/>
        </w:rPr>
        <w:t>OIS</w:t>
      </w:r>
    </w:p>
    <w:p w14:paraId="772E7A8A"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57568" behindDoc="0" locked="0" layoutInCell="1" allowOverlap="1" wp14:anchorId="4E0CA58E" wp14:editId="563809BB">
                <wp:simplePos x="0" y="0"/>
                <wp:positionH relativeFrom="column">
                  <wp:posOffset>2734310</wp:posOffset>
                </wp:positionH>
                <wp:positionV relativeFrom="paragraph">
                  <wp:posOffset>354753</wp:posOffset>
                </wp:positionV>
                <wp:extent cx="779357" cy="0"/>
                <wp:effectExtent l="0" t="76200" r="20955" b="95250"/>
                <wp:wrapNone/>
                <wp:docPr id="275" name="Straight Arrow Connector 275"/>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95BBE" id="Straight Arrow Connector 275" o:spid="_x0000_s1026" type="#_x0000_t32" style="position:absolute;margin-left:215.3pt;margin-top:27.95pt;width:61.3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6544" behindDoc="0" locked="0" layoutInCell="1" allowOverlap="1" wp14:anchorId="3EDA4046" wp14:editId="55E08223">
                <wp:simplePos x="0" y="0"/>
                <wp:positionH relativeFrom="column">
                  <wp:posOffset>4418965</wp:posOffset>
                </wp:positionH>
                <wp:positionV relativeFrom="paragraph">
                  <wp:posOffset>337397</wp:posOffset>
                </wp:positionV>
                <wp:extent cx="813223" cy="0"/>
                <wp:effectExtent l="0" t="76200" r="25400" b="95250"/>
                <wp:wrapNone/>
                <wp:docPr id="276" name="Straight Arrow Connector 276"/>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64EB1" id="Straight Arrow Connector 276" o:spid="_x0000_s1026" type="#_x0000_t32" style="position:absolute;margin-left:347.95pt;margin-top:26.55pt;width:64.0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3472" behindDoc="0" locked="0" layoutInCell="1" allowOverlap="1" wp14:anchorId="20ED6836" wp14:editId="4EC39DE2">
                <wp:simplePos x="0" y="0"/>
                <wp:positionH relativeFrom="column">
                  <wp:posOffset>1803399</wp:posOffset>
                </wp:positionH>
                <wp:positionV relativeFrom="paragraph">
                  <wp:posOffset>134620</wp:posOffset>
                </wp:positionV>
                <wp:extent cx="931333" cy="422910"/>
                <wp:effectExtent l="0" t="0" r="21590" b="15240"/>
                <wp:wrapNone/>
                <wp:docPr id="277" name="Text Box 277"/>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A1CF57F"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D6836" id="Text Box 277" o:spid="_x0000_s1056" type="#_x0000_t202" style="position:absolute;left:0;text-align:left;margin-left:142pt;margin-top:10.6pt;width:73.35pt;height:33.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DnGpqxgAgAADQUAAA4AAAAAAAAAAAAAAAAALgIAAGRycy9lMm9E&#10;b2MueG1sUEsBAi0AFAAGAAgAAAAhAKJt8CbeAAAACQEAAA8AAAAAAAAAAAAAAAAAugQAAGRycy9k&#10;b3ducmV2LnhtbFBLBQYAAAAABAAEAPMAAADFBQAAAAA=&#10;" fillcolor="white [3201]" strokecolor="#4f81bd [3204]" strokeweight="2pt">
                <v:textbox>
                  <w:txbxContent>
                    <w:p w14:paraId="6A1CF57F"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5520" behindDoc="0" locked="0" layoutInCell="1" allowOverlap="1" wp14:anchorId="418CBEC5" wp14:editId="4F7F52F9">
                <wp:simplePos x="0" y="0"/>
                <wp:positionH relativeFrom="column">
                  <wp:posOffset>965200</wp:posOffset>
                </wp:positionH>
                <wp:positionV relativeFrom="paragraph">
                  <wp:posOffset>354753</wp:posOffset>
                </wp:positionV>
                <wp:extent cx="855133" cy="0"/>
                <wp:effectExtent l="0" t="76200" r="21590" b="95250"/>
                <wp:wrapNone/>
                <wp:docPr id="278" name="Straight Arrow Connector 278"/>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FA3CF2" id="Straight Arrow Connector 278" o:spid="_x0000_s1026" type="#_x0000_t32" style="position:absolute;margin-left:76pt;margin-top:27.95pt;width:67.3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HY8519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4496" behindDoc="0" locked="0" layoutInCell="1" allowOverlap="1" wp14:anchorId="629EF844" wp14:editId="07A7326E">
                <wp:simplePos x="0" y="0"/>
                <wp:positionH relativeFrom="column">
                  <wp:posOffset>3513032</wp:posOffset>
                </wp:positionH>
                <wp:positionV relativeFrom="paragraph">
                  <wp:posOffset>142240</wp:posOffset>
                </wp:positionV>
                <wp:extent cx="905934" cy="423334"/>
                <wp:effectExtent l="0" t="0" r="27940" b="15240"/>
                <wp:wrapNone/>
                <wp:docPr id="279" name="Text Box 279"/>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030777"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EF844" id="Text Box 279" o:spid="_x0000_s1057" type="#_x0000_t202" style="position:absolute;left:0;text-align:left;margin-left:276.6pt;margin-top:11.2pt;width:71.35pt;height:33.3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CUwMQJXwIAAA0FAAAOAAAAAAAAAAAAAAAAAC4CAABkcnMvZTJvRG9j&#10;LnhtbFBLAQItABQABgAIAAAAIQAG8D9F3QAAAAkBAAAPAAAAAAAAAAAAAAAAALkEAABkcnMvZG93&#10;bnJldi54bWxQSwUGAAAAAAQABADzAAAAwwUAAAAA&#10;" fillcolor="white [3201]" strokecolor="#4f81bd [3204]" strokeweight="2pt">
                <v:textbox>
                  <w:txbxContent>
                    <w:p w14:paraId="74030777"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2448" behindDoc="0" locked="0" layoutInCell="1" allowOverlap="1" wp14:anchorId="344664C0" wp14:editId="0B93FBD6">
                <wp:simplePos x="0" y="0"/>
                <wp:positionH relativeFrom="column">
                  <wp:posOffset>42333</wp:posOffset>
                </wp:positionH>
                <wp:positionV relativeFrom="paragraph">
                  <wp:posOffset>126153</wp:posOffset>
                </wp:positionV>
                <wp:extent cx="905934" cy="423334"/>
                <wp:effectExtent l="0" t="0" r="27940" b="15240"/>
                <wp:wrapNone/>
                <wp:docPr id="280" name="Text Box 280"/>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424383"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664C0" id="Text Box 280" o:spid="_x0000_s1058" type="#_x0000_t202" style="position:absolute;left:0;text-align:left;margin-left:3.35pt;margin-top:9.95pt;width:71.35pt;height:33.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BUEGWtXwIAAA0FAAAOAAAAAAAAAAAAAAAAAC4CAABkcnMvZTJvRG9jLnht&#10;bFBLAQItABQABgAIAAAAIQAfxjNj2gAAAAcBAAAPAAAAAAAAAAAAAAAAALkEAABkcnMvZG93bnJl&#10;di54bWxQSwUGAAAAAAQABADzAAAAwAUAAAAA&#10;" fillcolor="white [3201]" strokecolor="#4f81bd [3204]" strokeweight="2pt">
                <v:textbox>
                  <w:txbxContent>
                    <w:p w14:paraId="33424383"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0.10%                                    1.18%                                  1.25%</w:t>
      </w:r>
    </w:p>
    <w:p w14:paraId="4D200821"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0B965B27" w14:textId="77777777" w:rsidR="00B63F17" w:rsidRDefault="00B63F17" w:rsidP="002E765A">
      <w:pPr>
        <w:tabs>
          <w:tab w:val="left" w:pos="-142"/>
          <w:tab w:val="left" w:pos="709"/>
        </w:tabs>
        <w:spacing w:line="360" w:lineRule="auto"/>
        <w:jc w:val="both"/>
        <w:rPr>
          <w:rFonts w:ascii="Times New Roman" w:hAnsi="Times New Roman"/>
          <w:b/>
          <w:sz w:val="24"/>
          <w:szCs w:val="24"/>
        </w:rPr>
      </w:pPr>
    </w:p>
    <w:p w14:paraId="60E4A78A" w14:textId="13CBC6CD" w:rsidR="002E765A" w:rsidRPr="00EA6D1D" w:rsidRDefault="002E765A" w:rsidP="002E765A">
      <w:pPr>
        <w:tabs>
          <w:tab w:val="left" w:pos="-142"/>
          <w:tab w:val="left" w:pos="709"/>
        </w:tabs>
        <w:spacing w:line="360" w:lineRule="auto"/>
        <w:jc w:val="both"/>
        <w:rPr>
          <w:rFonts w:ascii="Times New Roman" w:hAnsi="Times New Roman"/>
          <w:sz w:val="24"/>
          <w:szCs w:val="24"/>
          <w:u w:val="single"/>
        </w:rPr>
      </w:pPr>
      <w:r>
        <w:rPr>
          <w:rFonts w:ascii="Times New Roman" w:hAnsi="Times New Roman"/>
          <w:b/>
          <w:sz w:val="24"/>
          <w:szCs w:val="24"/>
        </w:rPr>
        <w:lastRenderedPageBreak/>
        <w:t xml:space="preserve">OIS to </w:t>
      </w:r>
      <w:r w:rsidRPr="0016681D">
        <w:rPr>
          <w:rFonts w:ascii="Times New Roman" w:hAnsi="Times New Roman"/>
          <w:b/>
          <w:sz w:val="24"/>
          <w:szCs w:val="24"/>
        </w:rPr>
        <w:t xml:space="preserve">ABCP </w:t>
      </w:r>
    </w:p>
    <w:p w14:paraId="3EFC32E6"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63712" behindDoc="0" locked="0" layoutInCell="1" allowOverlap="1" wp14:anchorId="4730EB4D" wp14:editId="3ABFC968">
                <wp:simplePos x="0" y="0"/>
                <wp:positionH relativeFrom="column">
                  <wp:posOffset>2734310</wp:posOffset>
                </wp:positionH>
                <wp:positionV relativeFrom="paragraph">
                  <wp:posOffset>354753</wp:posOffset>
                </wp:positionV>
                <wp:extent cx="779357" cy="0"/>
                <wp:effectExtent l="0" t="76200" r="20955" b="95250"/>
                <wp:wrapNone/>
                <wp:docPr id="281" name="Straight Arrow Connector 281"/>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BE641" id="Straight Arrow Connector 281" o:spid="_x0000_s1026" type="#_x0000_t32" style="position:absolute;margin-left:215.3pt;margin-top:27.95pt;width:61.3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2688" behindDoc="0" locked="0" layoutInCell="1" allowOverlap="1" wp14:anchorId="6A9E6BDA" wp14:editId="5A9C7890">
                <wp:simplePos x="0" y="0"/>
                <wp:positionH relativeFrom="column">
                  <wp:posOffset>4418965</wp:posOffset>
                </wp:positionH>
                <wp:positionV relativeFrom="paragraph">
                  <wp:posOffset>337397</wp:posOffset>
                </wp:positionV>
                <wp:extent cx="813223" cy="0"/>
                <wp:effectExtent l="0" t="76200" r="25400" b="95250"/>
                <wp:wrapNone/>
                <wp:docPr id="282" name="Straight Arrow Connector 282"/>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4A4BE" id="Straight Arrow Connector 282" o:spid="_x0000_s1026" type="#_x0000_t32" style="position:absolute;margin-left:347.95pt;margin-top:26.55pt;width:64.0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YDIcfd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9616" behindDoc="0" locked="0" layoutInCell="1" allowOverlap="1" wp14:anchorId="3FCA1B82" wp14:editId="478E12FB">
                <wp:simplePos x="0" y="0"/>
                <wp:positionH relativeFrom="column">
                  <wp:posOffset>1803399</wp:posOffset>
                </wp:positionH>
                <wp:positionV relativeFrom="paragraph">
                  <wp:posOffset>134620</wp:posOffset>
                </wp:positionV>
                <wp:extent cx="931333" cy="422910"/>
                <wp:effectExtent l="0" t="0" r="21590" b="15240"/>
                <wp:wrapNone/>
                <wp:docPr id="283" name="Text Box 283"/>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24C5FE"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A1B82" id="Text Box 283" o:spid="_x0000_s1059" type="#_x0000_t202" style="position:absolute;left:0;text-align:left;margin-left:142pt;margin-top:10.6pt;width:73.35pt;height:33.3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" fillcolor="white [3201]" strokecolor="#4f81bd [3204]" strokeweight="2pt">
                <v:textbox>
                  <w:txbxContent>
                    <w:p w14:paraId="1024C5FE"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1664" behindDoc="0" locked="0" layoutInCell="1" allowOverlap="1" wp14:anchorId="307B0F56" wp14:editId="7C081C26">
                <wp:simplePos x="0" y="0"/>
                <wp:positionH relativeFrom="column">
                  <wp:posOffset>965200</wp:posOffset>
                </wp:positionH>
                <wp:positionV relativeFrom="paragraph">
                  <wp:posOffset>354753</wp:posOffset>
                </wp:positionV>
                <wp:extent cx="855133" cy="0"/>
                <wp:effectExtent l="0" t="76200" r="21590" b="95250"/>
                <wp:wrapNone/>
                <wp:docPr id="284" name="Straight Arrow Connector 284"/>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DC88DD" id="Straight Arrow Connector 284" o:spid="_x0000_s1026" type="#_x0000_t32" style="position:absolute;margin-left:76pt;margin-top:27.95pt;width:67.3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Ae/0Zt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0640" behindDoc="0" locked="0" layoutInCell="1" allowOverlap="1" wp14:anchorId="5E2CC9B3" wp14:editId="7742C771">
                <wp:simplePos x="0" y="0"/>
                <wp:positionH relativeFrom="column">
                  <wp:posOffset>3513032</wp:posOffset>
                </wp:positionH>
                <wp:positionV relativeFrom="paragraph">
                  <wp:posOffset>142240</wp:posOffset>
                </wp:positionV>
                <wp:extent cx="905934" cy="423334"/>
                <wp:effectExtent l="0" t="0" r="27940" b="15240"/>
                <wp:wrapNone/>
                <wp:docPr id="285" name="Text Box 285"/>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CC6D19"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CC9B3" id="Text Box 285" o:spid="_x0000_s1060" type="#_x0000_t202" style="position:absolute;left:0;text-align:left;margin-left:276.6pt;margin-top:11.2pt;width:71.35pt;height:33.3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AoO58jXwIAAA0FAAAOAAAAAAAAAAAAAAAAAC4CAABkcnMvZTJvRG9j&#10;LnhtbFBLAQItABQABgAIAAAAIQAG8D9F3QAAAAkBAAAPAAAAAAAAAAAAAAAAALkEAABkcnMvZG93&#10;bnJldi54bWxQSwUGAAAAAAQABADzAAAAwwUAAAAA&#10;" fillcolor="white [3201]" strokecolor="#4f81bd [3204]" strokeweight="2pt">
                <v:textbox>
                  <w:txbxContent>
                    <w:p w14:paraId="6DCC6D19"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8592" behindDoc="0" locked="0" layoutInCell="1" allowOverlap="1" wp14:anchorId="57EA3E13" wp14:editId="505C3AD7">
                <wp:simplePos x="0" y="0"/>
                <wp:positionH relativeFrom="column">
                  <wp:posOffset>42333</wp:posOffset>
                </wp:positionH>
                <wp:positionV relativeFrom="paragraph">
                  <wp:posOffset>126153</wp:posOffset>
                </wp:positionV>
                <wp:extent cx="905934" cy="423334"/>
                <wp:effectExtent l="0" t="0" r="27940" b="15240"/>
                <wp:wrapNone/>
                <wp:docPr id="286" name="Text Box 286"/>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825164"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A3E13" id="Text Box 286" o:spid="_x0000_s1061" type="#_x0000_t202" style="position:absolute;left:0;text-align:left;margin-left:3.35pt;margin-top:9.95pt;width:71.35pt;height:33.3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BXidD2XwIAAA0FAAAOAAAAAAAAAAAAAAAAAC4CAABkcnMvZTJvRG9jLnht&#10;bFBLAQItABQABgAIAAAAIQAfxjNj2gAAAAcBAAAPAAAAAAAAAAAAAAAAALkEAABkcnMvZG93bnJl&#10;di54bWxQSwUGAAAAAAQABADzAAAAwAUAAAAA&#10;" fillcolor="white [3201]" strokecolor="#4f81bd [3204]" strokeweight="2pt">
                <v:textbox>
                  <w:txbxContent>
                    <w:p w14:paraId="56825164"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2.75%                                   2.5%                                    0.22%</w:t>
      </w:r>
    </w:p>
    <w:p w14:paraId="6C396C41"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71FAFD7C" w14:textId="77777777" w:rsidR="002E765A" w:rsidRPr="0016681D" w:rsidRDefault="002E765A" w:rsidP="002E765A">
      <w:pPr>
        <w:tabs>
          <w:tab w:val="left" w:pos="-142"/>
          <w:tab w:val="left" w:pos="709"/>
        </w:tabs>
        <w:spacing w:line="360" w:lineRule="auto"/>
        <w:jc w:val="both"/>
        <w:rPr>
          <w:rFonts w:ascii="Times New Roman" w:hAnsi="Times New Roman"/>
          <w:b/>
          <w:sz w:val="24"/>
          <w:szCs w:val="24"/>
        </w:rPr>
      </w:pPr>
      <w:r w:rsidRPr="0016681D">
        <w:rPr>
          <w:rFonts w:ascii="Times New Roman" w:hAnsi="Times New Roman"/>
          <w:b/>
          <w:sz w:val="24"/>
          <w:szCs w:val="24"/>
        </w:rPr>
        <w:t xml:space="preserve">ABCP to </w:t>
      </w:r>
      <w:r>
        <w:rPr>
          <w:rFonts w:ascii="Times New Roman" w:hAnsi="Times New Roman"/>
          <w:b/>
          <w:sz w:val="24"/>
          <w:szCs w:val="24"/>
        </w:rPr>
        <w:t>TED</w:t>
      </w:r>
    </w:p>
    <w:p w14:paraId="44DB7243"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69856" behindDoc="0" locked="0" layoutInCell="1" allowOverlap="1" wp14:anchorId="7D4A1F12" wp14:editId="1F96F4FF">
                <wp:simplePos x="0" y="0"/>
                <wp:positionH relativeFrom="column">
                  <wp:posOffset>2734310</wp:posOffset>
                </wp:positionH>
                <wp:positionV relativeFrom="paragraph">
                  <wp:posOffset>354753</wp:posOffset>
                </wp:positionV>
                <wp:extent cx="779357" cy="0"/>
                <wp:effectExtent l="0" t="76200" r="20955" b="95250"/>
                <wp:wrapNone/>
                <wp:docPr id="287" name="Straight Arrow Connector 287"/>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0F0447" id="Straight Arrow Connector 287" o:spid="_x0000_s1026" type="#_x0000_t32" style="position:absolute;margin-left:215.3pt;margin-top:27.95pt;width:61.3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8832" behindDoc="0" locked="0" layoutInCell="1" allowOverlap="1" wp14:anchorId="7D418D0F" wp14:editId="56CD8204">
                <wp:simplePos x="0" y="0"/>
                <wp:positionH relativeFrom="column">
                  <wp:posOffset>4418965</wp:posOffset>
                </wp:positionH>
                <wp:positionV relativeFrom="paragraph">
                  <wp:posOffset>337397</wp:posOffset>
                </wp:positionV>
                <wp:extent cx="813223" cy="0"/>
                <wp:effectExtent l="0" t="76200" r="25400" b="95250"/>
                <wp:wrapNone/>
                <wp:docPr id="288" name="Straight Arrow Connector 288"/>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BCEED" id="Straight Arrow Connector 288" o:spid="_x0000_s1026" type="#_x0000_t32" style="position:absolute;margin-left:347.95pt;margin-top:26.55pt;width:64.0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bCtYct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5760" behindDoc="0" locked="0" layoutInCell="1" allowOverlap="1" wp14:anchorId="2501C02D" wp14:editId="4F364754">
                <wp:simplePos x="0" y="0"/>
                <wp:positionH relativeFrom="column">
                  <wp:posOffset>1803399</wp:posOffset>
                </wp:positionH>
                <wp:positionV relativeFrom="paragraph">
                  <wp:posOffset>134620</wp:posOffset>
                </wp:positionV>
                <wp:extent cx="931333" cy="422910"/>
                <wp:effectExtent l="0" t="0" r="21590" b="15240"/>
                <wp:wrapNone/>
                <wp:docPr id="289" name="Text Box 289"/>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79462A"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1C02D" id="Text Box 289" o:spid="_x0000_s1062" type="#_x0000_t202" style="position:absolute;left:0;text-align:left;margin-left:142pt;margin-top:10.6pt;width:73.35pt;height:33.3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" fillcolor="white [3201]" strokecolor="#4f81bd [3204]" strokeweight="2pt">
                <v:textbox>
                  <w:txbxContent>
                    <w:p w14:paraId="6079462A"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7808" behindDoc="0" locked="0" layoutInCell="1" allowOverlap="1" wp14:anchorId="705B3834" wp14:editId="76882929">
                <wp:simplePos x="0" y="0"/>
                <wp:positionH relativeFrom="column">
                  <wp:posOffset>965200</wp:posOffset>
                </wp:positionH>
                <wp:positionV relativeFrom="paragraph">
                  <wp:posOffset>354753</wp:posOffset>
                </wp:positionV>
                <wp:extent cx="855133" cy="0"/>
                <wp:effectExtent l="0" t="76200" r="21590" b="95250"/>
                <wp:wrapNone/>
                <wp:docPr id="290" name="Straight Arrow Connector 290"/>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C324C" id="Straight Arrow Connector 290" o:spid="_x0000_s1026" type="#_x0000_t32" style="position:absolute;margin-left:76pt;margin-top:27.95pt;width:67.3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azZg19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6784" behindDoc="0" locked="0" layoutInCell="1" allowOverlap="1" wp14:anchorId="609FF6EA" wp14:editId="73D053EF">
                <wp:simplePos x="0" y="0"/>
                <wp:positionH relativeFrom="column">
                  <wp:posOffset>3513032</wp:posOffset>
                </wp:positionH>
                <wp:positionV relativeFrom="paragraph">
                  <wp:posOffset>142240</wp:posOffset>
                </wp:positionV>
                <wp:extent cx="905934" cy="423334"/>
                <wp:effectExtent l="0" t="0" r="27940" b="15240"/>
                <wp:wrapNone/>
                <wp:docPr id="291" name="Text Box 291"/>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85951F"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FF6EA" id="Text Box 291" o:spid="_x0000_s1063" type="#_x0000_t202" style="position:absolute;left:0;text-align:left;margin-left:276.6pt;margin-top:11.2pt;width:71.35pt;height:33.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" fillcolor="white [3201]" strokecolor="#4f81bd [3204]" strokeweight="2pt">
                <v:textbox>
                  <w:txbxContent>
                    <w:p w14:paraId="2785951F"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4736" behindDoc="0" locked="0" layoutInCell="1" allowOverlap="1" wp14:anchorId="1A30EB5E" wp14:editId="61C22C38">
                <wp:simplePos x="0" y="0"/>
                <wp:positionH relativeFrom="column">
                  <wp:posOffset>42333</wp:posOffset>
                </wp:positionH>
                <wp:positionV relativeFrom="paragraph">
                  <wp:posOffset>126153</wp:posOffset>
                </wp:positionV>
                <wp:extent cx="905934" cy="423334"/>
                <wp:effectExtent l="0" t="0" r="27940" b="15240"/>
                <wp:wrapNone/>
                <wp:docPr id="292" name="Text Box 292"/>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B69443"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0EB5E" id="Text Box 292" o:spid="_x0000_s1064" type="#_x0000_t202" style="position:absolute;left:0;text-align:left;margin-left:3.35pt;margin-top:9.95pt;width:71.35pt;height:33.3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" fillcolor="white [3201]" strokecolor="#4f81bd [3204]" strokeweight="2pt">
                <v:textbox>
                  <w:txbxContent>
                    <w:p w14:paraId="4AB69443"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1.08%</w:t>
      </w:r>
      <w:r>
        <w:rPr>
          <w:rFonts w:ascii="Times New Roman" w:hAnsi="Times New Roman"/>
          <w:sz w:val="24"/>
          <w:szCs w:val="24"/>
        </w:rPr>
        <w:tab/>
        <w:t xml:space="preserve">                           1.07%                                  2.69%</w:t>
      </w:r>
    </w:p>
    <w:p w14:paraId="31BB43B1"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78209E7C"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b/>
          <w:sz w:val="24"/>
          <w:szCs w:val="24"/>
        </w:rPr>
        <w:t xml:space="preserve">TED to </w:t>
      </w:r>
      <w:r w:rsidRPr="0016681D">
        <w:rPr>
          <w:rFonts w:ascii="Times New Roman" w:hAnsi="Times New Roman"/>
          <w:b/>
          <w:sz w:val="24"/>
          <w:szCs w:val="24"/>
        </w:rPr>
        <w:t xml:space="preserve">ABCP </w:t>
      </w:r>
    </w:p>
    <w:p w14:paraId="166CFC4D"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76000" behindDoc="0" locked="0" layoutInCell="1" allowOverlap="1" wp14:anchorId="71274D96" wp14:editId="0BD86D41">
                <wp:simplePos x="0" y="0"/>
                <wp:positionH relativeFrom="column">
                  <wp:posOffset>2734310</wp:posOffset>
                </wp:positionH>
                <wp:positionV relativeFrom="paragraph">
                  <wp:posOffset>354753</wp:posOffset>
                </wp:positionV>
                <wp:extent cx="779357" cy="0"/>
                <wp:effectExtent l="0" t="76200" r="20955" b="95250"/>
                <wp:wrapNone/>
                <wp:docPr id="293" name="Straight Arrow Connector 293"/>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37F71B" id="Straight Arrow Connector 293" o:spid="_x0000_s1026" type="#_x0000_t32" style="position:absolute;margin-left:215.3pt;margin-top:27.95pt;width:61.3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Ppp5F7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4976" behindDoc="0" locked="0" layoutInCell="1" allowOverlap="1" wp14:anchorId="08E41089" wp14:editId="305B1AE8">
                <wp:simplePos x="0" y="0"/>
                <wp:positionH relativeFrom="column">
                  <wp:posOffset>4418965</wp:posOffset>
                </wp:positionH>
                <wp:positionV relativeFrom="paragraph">
                  <wp:posOffset>337397</wp:posOffset>
                </wp:positionV>
                <wp:extent cx="813223" cy="0"/>
                <wp:effectExtent l="0" t="76200" r="25400" b="95250"/>
                <wp:wrapNone/>
                <wp:docPr id="294" name="Straight Arrow Connector 294"/>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784F70" id="Straight Arrow Connector 294" o:spid="_x0000_s1026" type="#_x0000_t32" style="position:absolute;margin-left:347.95pt;margin-top:26.55pt;width:64.0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1904" behindDoc="0" locked="0" layoutInCell="1" allowOverlap="1" wp14:anchorId="32240688" wp14:editId="2B1B577D">
                <wp:simplePos x="0" y="0"/>
                <wp:positionH relativeFrom="column">
                  <wp:posOffset>1803399</wp:posOffset>
                </wp:positionH>
                <wp:positionV relativeFrom="paragraph">
                  <wp:posOffset>134620</wp:posOffset>
                </wp:positionV>
                <wp:extent cx="931333" cy="422910"/>
                <wp:effectExtent l="0" t="0" r="21590" b="15240"/>
                <wp:wrapNone/>
                <wp:docPr id="295" name="Text Box 295"/>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62AB8D"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40688" id="Text Box 295" o:spid="_x0000_s1065" type="#_x0000_t202" style="position:absolute;left:0;text-align:left;margin-left:142pt;margin-top:10.6pt;width:73.35pt;height:33.3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" fillcolor="white [3201]" strokecolor="#4f81bd [3204]" strokeweight="2pt">
                <v:textbox>
                  <w:txbxContent>
                    <w:p w14:paraId="5962AB8D"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3952" behindDoc="0" locked="0" layoutInCell="1" allowOverlap="1" wp14:anchorId="52F82635" wp14:editId="14DEAA41">
                <wp:simplePos x="0" y="0"/>
                <wp:positionH relativeFrom="column">
                  <wp:posOffset>965200</wp:posOffset>
                </wp:positionH>
                <wp:positionV relativeFrom="paragraph">
                  <wp:posOffset>354753</wp:posOffset>
                </wp:positionV>
                <wp:extent cx="855133" cy="0"/>
                <wp:effectExtent l="0" t="76200" r="21590" b="95250"/>
                <wp:wrapNone/>
                <wp:docPr id="296" name="Straight Arrow Connector 296"/>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A6F94" id="Straight Arrow Connector 296" o:spid="_x0000_s1026" type="#_x0000_t32" style="position:absolute;margin-left:76pt;margin-top:27.95pt;width:67.3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2928" behindDoc="0" locked="0" layoutInCell="1" allowOverlap="1" wp14:anchorId="3D3641C7" wp14:editId="658631AD">
                <wp:simplePos x="0" y="0"/>
                <wp:positionH relativeFrom="column">
                  <wp:posOffset>3513032</wp:posOffset>
                </wp:positionH>
                <wp:positionV relativeFrom="paragraph">
                  <wp:posOffset>142240</wp:posOffset>
                </wp:positionV>
                <wp:extent cx="905934" cy="423334"/>
                <wp:effectExtent l="0" t="0" r="27940" b="15240"/>
                <wp:wrapNone/>
                <wp:docPr id="297" name="Text Box 297"/>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5C1890"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641C7" id="Text Box 297" o:spid="_x0000_s1066" type="#_x0000_t202" style="position:absolute;left:0;text-align:left;margin-left:276.6pt;margin-top:11.2pt;width:71.35pt;height:33.3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" fillcolor="white [3201]" strokecolor="#4f81bd [3204]" strokeweight="2pt">
                <v:textbox>
                  <w:txbxContent>
                    <w:p w14:paraId="395C1890"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0880" behindDoc="0" locked="0" layoutInCell="1" allowOverlap="1" wp14:anchorId="682CB780" wp14:editId="16889ACB">
                <wp:simplePos x="0" y="0"/>
                <wp:positionH relativeFrom="column">
                  <wp:posOffset>42333</wp:posOffset>
                </wp:positionH>
                <wp:positionV relativeFrom="paragraph">
                  <wp:posOffset>126153</wp:posOffset>
                </wp:positionV>
                <wp:extent cx="905934" cy="423334"/>
                <wp:effectExtent l="0" t="0" r="27940" b="15240"/>
                <wp:wrapNone/>
                <wp:docPr id="298" name="Text Box 298"/>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D272C13"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CB780" id="Text Box 298" o:spid="_x0000_s1067" type="#_x0000_t202" style="position:absolute;left:0;text-align:left;margin-left:3.35pt;margin-top:9.95pt;width:71.35pt;height:33.3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AKI1olXwIAAA0FAAAOAAAAAAAAAAAAAAAAAC4CAABkcnMvZTJvRG9jLnht&#10;bFBLAQItABQABgAIAAAAIQAfxjNj2gAAAAcBAAAPAAAAAAAAAAAAAAAAALkEAABkcnMvZG93bnJl&#10;di54bWxQSwUGAAAAAAQABADzAAAAwAUAAAAA&#10;" fillcolor="white [3201]" strokecolor="#4f81bd [3204]" strokeweight="2pt">
                <v:textbox>
                  <w:txbxContent>
                    <w:p w14:paraId="1D272C13"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2.75%                                    0.82%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2.09%</w:t>
      </w:r>
    </w:p>
    <w:p w14:paraId="6E17D62F"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2380BC77"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b/>
          <w:sz w:val="24"/>
          <w:szCs w:val="24"/>
        </w:rPr>
        <w:t xml:space="preserve">OIS to TED </w:t>
      </w:r>
    </w:p>
    <w:p w14:paraId="1CCAF095"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82144" behindDoc="0" locked="0" layoutInCell="1" allowOverlap="1" wp14:anchorId="11A729CD" wp14:editId="54FB5EF6">
                <wp:simplePos x="0" y="0"/>
                <wp:positionH relativeFrom="column">
                  <wp:posOffset>2734310</wp:posOffset>
                </wp:positionH>
                <wp:positionV relativeFrom="paragraph">
                  <wp:posOffset>354753</wp:posOffset>
                </wp:positionV>
                <wp:extent cx="779357" cy="0"/>
                <wp:effectExtent l="0" t="76200" r="20955" b="95250"/>
                <wp:wrapNone/>
                <wp:docPr id="299" name="Straight Arrow Connector 299"/>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C0258" id="Straight Arrow Connector 299" o:spid="_x0000_s1026" type="#_x0000_t32" style="position:absolute;margin-left:215.3pt;margin-top:27.95pt;width:61.3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1120" behindDoc="0" locked="0" layoutInCell="1" allowOverlap="1" wp14:anchorId="4A76D3C4" wp14:editId="4BA6DC38">
                <wp:simplePos x="0" y="0"/>
                <wp:positionH relativeFrom="column">
                  <wp:posOffset>4418965</wp:posOffset>
                </wp:positionH>
                <wp:positionV relativeFrom="paragraph">
                  <wp:posOffset>337397</wp:posOffset>
                </wp:positionV>
                <wp:extent cx="813223" cy="0"/>
                <wp:effectExtent l="0" t="76200" r="25400" b="95250"/>
                <wp:wrapNone/>
                <wp:docPr id="300" name="Straight Arrow Connector 300"/>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A6245C" id="Straight Arrow Connector 300" o:spid="_x0000_s1026" type="#_x0000_t32" style="position:absolute;margin-left:347.95pt;margin-top:26.55pt;width:64.0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8048" behindDoc="0" locked="0" layoutInCell="1" allowOverlap="1" wp14:anchorId="5B5B3E43" wp14:editId="56707C16">
                <wp:simplePos x="0" y="0"/>
                <wp:positionH relativeFrom="column">
                  <wp:posOffset>1803399</wp:posOffset>
                </wp:positionH>
                <wp:positionV relativeFrom="paragraph">
                  <wp:posOffset>134620</wp:posOffset>
                </wp:positionV>
                <wp:extent cx="931333" cy="422910"/>
                <wp:effectExtent l="0" t="0" r="21590" b="15240"/>
                <wp:wrapNone/>
                <wp:docPr id="301" name="Text Box 301"/>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2D28DA1"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B3E43" id="Text Box 301" o:spid="_x0000_s1068" type="#_x0000_t202" style="position:absolute;left:0;text-align:left;margin-left:142pt;margin-top:10.6pt;width:73.35pt;height:33.3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" fillcolor="white [3201]" strokecolor="#4f81bd [3204]" strokeweight="2pt">
                <v:textbox>
                  <w:txbxContent>
                    <w:p w14:paraId="02D28DA1"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0096" behindDoc="0" locked="0" layoutInCell="1" allowOverlap="1" wp14:anchorId="3455397A" wp14:editId="448ABCDC">
                <wp:simplePos x="0" y="0"/>
                <wp:positionH relativeFrom="column">
                  <wp:posOffset>965200</wp:posOffset>
                </wp:positionH>
                <wp:positionV relativeFrom="paragraph">
                  <wp:posOffset>354753</wp:posOffset>
                </wp:positionV>
                <wp:extent cx="855133" cy="0"/>
                <wp:effectExtent l="0" t="76200" r="21590" b="95250"/>
                <wp:wrapNone/>
                <wp:docPr id="302" name="Straight Arrow Connector 302"/>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77D2BF" id="Straight Arrow Connector 302" o:spid="_x0000_s1026" type="#_x0000_t32" style="position:absolute;margin-left:76pt;margin-top:27.95pt;width:67.35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9072" behindDoc="0" locked="0" layoutInCell="1" allowOverlap="1" wp14:anchorId="197C1EF6" wp14:editId="49BC9171">
                <wp:simplePos x="0" y="0"/>
                <wp:positionH relativeFrom="column">
                  <wp:posOffset>3513032</wp:posOffset>
                </wp:positionH>
                <wp:positionV relativeFrom="paragraph">
                  <wp:posOffset>142240</wp:posOffset>
                </wp:positionV>
                <wp:extent cx="905934" cy="423334"/>
                <wp:effectExtent l="0" t="0" r="27940" b="15240"/>
                <wp:wrapNone/>
                <wp:docPr id="303" name="Text Box 303"/>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8FF9DB"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C1EF6" id="Text Box 303" o:spid="_x0000_s1069" type="#_x0000_t202" style="position:absolute;left:0;text-align:left;margin-left:276.6pt;margin-top:11.2pt;width:71.35pt;height:33.3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" fillcolor="white [3201]" strokecolor="#4f81bd [3204]" strokeweight="2pt">
                <v:textbox>
                  <w:txbxContent>
                    <w:p w14:paraId="628FF9DB"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7024" behindDoc="0" locked="0" layoutInCell="1" allowOverlap="1" wp14:anchorId="6224803A" wp14:editId="2D582BA8">
                <wp:simplePos x="0" y="0"/>
                <wp:positionH relativeFrom="column">
                  <wp:posOffset>42333</wp:posOffset>
                </wp:positionH>
                <wp:positionV relativeFrom="paragraph">
                  <wp:posOffset>126153</wp:posOffset>
                </wp:positionV>
                <wp:extent cx="905934" cy="423334"/>
                <wp:effectExtent l="0" t="0" r="27940" b="15240"/>
                <wp:wrapNone/>
                <wp:docPr id="304" name="Text Box 304"/>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713262"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4803A" id="Text Box 304" o:spid="_x0000_s1070" type="#_x0000_t202" style="position:absolute;left:0;text-align:left;margin-left:3.35pt;margin-top:9.95pt;width:71.35pt;height:33.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" fillcolor="white [3201]" strokecolor="#4f81bd [3204]" strokeweight="2pt">
                <v:textbox>
                  <w:txbxContent>
                    <w:p w14:paraId="48713262"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2.37%                                    1.68%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2.89%</w:t>
      </w:r>
    </w:p>
    <w:p w14:paraId="307C4551" w14:textId="77777777" w:rsidR="002E765A" w:rsidRDefault="002E765A" w:rsidP="002E765A">
      <w:pPr>
        <w:tabs>
          <w:tab w:val="left" w:pos="-142"/>
          <w:tab w:val="left" w:pos="709"/>
        </w:tabs>
        <w:spacing w:line="360" w:lineRule="auto"/>
        <w:jc w:val="both"/>
        <w:rPr>
          <w:rFonts w:ascii="Times New Roman" w:hAnsi="Times New Roman"/>
          <w:sz w:val="24"/>
          <w:szCs w:val="24"/>
        </w:rPr>
      </w:pPr>
    </w:p>
    <w:p w14:paraId="2A7C0F51"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b/>
          <w:sz w:val="24"/>
          <w:szCs w:val="24"/>
        </w:rPr>
        <w:t>TED</w:t>
      </w:r>
      <w:r w:rsidRPr="0016681D">
        <w:rPr>
          <w:rFonts w:ascii="Times New Roman" w:hAnsi="Times New Roman"/>
          <w:b/>
          <w:sz w:val="24"/>
          <w:szCs w:val="24"/>
        </w:rPr>
        <w:t xml:space="preserve"> to </w:t>
      </w:r>
      <w:r>
        <w:rPr>
          <w:rFonts w:ascii="Times New Roman" w:hAnsi="Times New Roman"/>
          <w:b/>
          <w:sz w:val="24"/>
          <w:szCs w:val="24"/>
        </w:rPr>
        <w:t>OIS</w:t>
      </w:r>
    </w:p>
    <w:p w14:paraId="74645690" w14:textId="77777777" w:rsidR="002E765A" w:rsidRDefault="002E765A" w:rsidP="002E765A">
      <w:pPr>
        <w:tabs>
          <w:tab w:val="left" w:pos="-142"/>
          <w:tab w:val="left" w:pos="709"/>
        </w:tabs>
        <w:spacing w:line="360" w:lineRule="auto"/>
        <w:jc w:val="both"/>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88288" behindDoc="0" locked="0" layoutInCell="1" allowOverlap="1" wp14:anchorId="2A8F85CD" wp14:editId="5F0CE509">
                <wp:simplePos x="0" y="0"/>
                <wp:positionH relativeFrom="column">
                  <wp:posOffset>2734310</wp:posOffset>
                </wp:positionH>
                <wp:positionV relativeFrom="paragraph">
                  <wp:posOffset>354753</wp:posOffset>
                </wp:positionV>
                <wp:extent cx="779357" cy="0"/>
                <wp:effectExtent l="0" t="76200" r="20955" b="95250"/>
                <wp:wrapNone/>
                <wp:docPr id="305" name="Straight Arrow Connector 305"/>
                <wp:cNvGraphicFramePr/>
                <a:graphic xmlns:a="http://schemas.openxmlformats.org/drawingml/2006/main">
                  <a:graphicData uri="http://schemas.microsoft.com/office/word/2010/wordprocessingShape">
                    <wps:wsp>
                      <wps:cNvCnPr/>
                      <wps:spPr>
                        <a:xfrm>
                          <a:off x="0" y="0"/>
                          <a:ext cx="779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E33B0E" id="Straight Arrow Connector 305" o:spid="_x0000_s1026" type="#_x0000_t32" style="position:absolute;margin-left:215.3pt;margin-top:27.95pt;width:61.3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7264" behindDoc="0" locked="0" layoutInCell="1" allowOverlap="1" wp14:anchorId="0CBB62C3" wp14:editId="0BC89A2D">
                <wp:simplePos x="0" y="0"/>
                <wp:positionH relativeFrom="column">
                  <wp:posOffset>4418965</wp:posOffset>
                </wp:positionH>
                <wp:positionV relativeFrom="paragraph">
                  <wp:posOffset>337397</wp:posOffset>
                </wp:positionV>
                <wp:extent cx="813223" cy="0"/>
                <wp:effectExtent l="0" t="76200" r="25400" b="95250"/>
                <wp:wrapNone/>
                <wp:docPr id="306" name="Straight Arrow Connector 306"/>
                <wp:cNvGraphicFramePr/>
                <a:graphic xmlns:a="http://schemas.openxmlformats.org/drawingml/2006/main">
                  <a:graphicData uri="http://schemas.microsoft.com/office/word/2010/wordprocessingShape">
                    <wps:wsp>
                      <wps:cNvCnPr/>
                      <wps:spPr>
                        <a:xfrm>
                          <a:off x="0" y="0"/>
                          <a:ext cx="8132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9CC6AA" id="Straight Arrow Connector 306" o:spid="_x0000_s1026" type="#_x0000_t32" style="position:absolute;margin-left:347.95pt;margin-top:26.55pt;width:64.05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4192" behindDoc="0" locked="0" layoutInCell="1" allowOverlap="1" wp14:anchorId="29CF60D4" wp14:editId="13C26C80">
                <wp:simplePos x="0" y="0"/>
                <wp:positionH relativeFrom="column">
                  <wp:posOffset>1803399</wp:posOffset>
                </wp:positionH>
                <wp:positionV relativeFrom="paragraph">
                  <wp:posOffset>134620</wp:posOffset>
                </wp:positionV>
                <wp:extent cx="931333" cy="422910"/>
                <wp:effectExtent l="0" t="0" r="21590" b="15240"/>
                <wp:wrapNone/>
                <wp:docPr id="307" name="Text Box 307"/>
                <wp:cNvGraphicFramePr/>
                <a:graphic xmlns:a="http://schemas.openxmlformats.org/drawingml/2006/main">
                  <a:graphicData uri="http://schemas.microsoft.com/office/word/2010/wordprocessingShape">
                    <wps:wsp>
                      <wps:cNvSpPr txBox="1"/>
                      <wps:spPr>
                        <a:xfrm>
                          <a:off x="0" y="0"/>
                          <a:ext cx="931333" cy="4229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A6B2B1" w14:textId="77777777" w:rsidR="00D94FFE" w:rsidRDefault="00D94FFE" w:rsidP="002E765A">
                            <w:r>
                              <w:t>During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F60D4" id="Text Box 307" o:spid="_x0000_s1071" type="#_x0000_t202" style="position:absolute;left:0;text-align:left;margin-left:142pt;margin-top:10.6pt;width:73.35pt;height:33.3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" fillcolor="white [3201]" strokecolor="#4f81bd [3204]" strokeweight="2pt">
                <v:textbox>
                  <w:txbxContent>
                    <w:p w14:paraId="39A6B2B1" w14:textId="77777777" w:rsidR="00D94FFE" w:rsidRDefault="00D94FFE" w:rsidP="002E765A">
                      <w:r>
                        <w:t>During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6240" behindDoc="0" locked="0" layoutInCell="1" allowOverlap="1" wp14:anchorId="24C928EB" wp14:editId="54337E9C">
                <wp:simplePos x="0" y="0"/>
                <wp:positionH relativeFrom="column">
                  <wp:posOffset>965200</wp:posOffset>
                </wp:positionH>
                <wp:positionV relativeFrom="paragraph">
                  <wp:posOffset>354753</wp:posOffset>
                </wp:positionV>
                <wp:extent cx="855133" cy="0"/>
                <wp:effectExtent l="0" t="76200" r="21590" b="95250"/>
                <wp:wrapNone/>
                <wp:docPr id="308" name="Straight Arrow Connector 308"/>
                <wp:cNvGraphicFramePr/>
                <a:graphic xmlns:a="http://schemas.openxmlformats.org/drawingml/2006/main">
                  <a:graphicData uri="http://schemas.microsoft.com/office/word/2010/wordprocessingShape">
                    <wps:wsp>
                      <wps:cNvCnPr/>
                      <wps:spPr>
                        <a:xfrm>
                          <a:off x="0" y="0"/>
                          <a:ext cx="855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49F33" id="Straight Arrow Connector 308" o:spid="_x0000_s1026" type="#_x0000_t32" style="position:absolute;margin-left:76pt;margin-top:27.95pt;width:67.3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" strokecolor="black [3040]">
                <v:stroke endarrow="block"/>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5216" behindDoc="0" locked="0" layoutInCell="1" allowOverlap="1" wp14:anchorId="568D0C33" wp14:editId="7C19DF15">
                <wp:simplePos x="0" y="0"/>
                <wp:positionH relativeFrom="column">
                  <wp:posOffset>3513032</wp:posOffset>
                </wp:positionH>
                <wp:positionV relativeFrom="paragraph">
                  <wp:posOffset>142240</wp:posOffset>
                </wp:positionV>
                <wp:extent cx="905934" cy="423334"/>
                <wp:effectExtent l="0" t="0" r="27940" b="15240"/>
                <wp:wrapNone/>
                <wp:docPr id="309" name="Text Box 309"/>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B220904" w14:textId="77777777" w:rsidR="00D94FFE" w:rsidRDefault="00D94FFE" w:rsidP="002E765A">
                            <w:r>
                              <w:t>Post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D0C33" id="Text Box 309" o:spid="_x0000_s1072" type="#_x0000_t202" style="position:absolute;left:0;text-align:left;margin-left:276.6pt;margin-top:11.2pt;width:71.35pt;height:33.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" fillcolor="white [3201]" strokecolor="#4f81bd [3204]" strokeweight="2pt">
                <v:textbox>
                  <w:txbxContent>
                    <w:p w14:paraId="4B220904" w14:textId="77777777" w:rsidR="00D94FFE" w:rsidRDefault="00D94FFE" w:rsidP="002E765A">
                      <w:r>
                        <w:t>Post Crisis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3168" behindDoc="0" locked="0" layoutInCell="1" allowOverlap="1" wp14:anchorId="079031AD" wp14:editId="41CE75DE">
                <wp:simplePos x="0" y="0"/>
                <wp:positionH relativeFrom="column">
                  <wp:posOffset>42333</wp:posOffset>
                </wp:positionH>
                <wp:positionV relativeFrom="paragraph">
                  <wp:posOffset>126153</wp:posOffset>
                </wp:positionV>
                <wp:extent cx="905934" cy="423334"/>
                <wp:effectExtent l="0" t="0" r="27940" b="15240"/>
                <wp:wrapNone/>
                <wp:docPr id="310" name="Text Box 310"/>
                <wp:cNvGraphicFramePr/>
                <a:graphic xmlns:a="http://schemas.openxmlformats.org/drawingml/2006/main">
                  <a:graphicData uri="http://schemas.microsoft.com/office/word/2010/wordprocessingShape">
                    <wps:wsp>
                      <wps:cNvSpPr txBox="1"/>
                      <wps:spPr>
                        <a:xfrm>
                          <a:off x="0" y="0"/>
                          <a:ext cx="905934" cy="423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C0BAB0" w14:textId="77777777" w:rsidR="00D94FFE" w:rsidRDefault="00D94FFE" w:rsidP="002E765A">
                            <w:r>
                              <w:t>Pre-Crisis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031AD" id="Text Box 310" o:spid="_x0000_s1073" type="#_x0000_t202" style="position:absolute;left:0;text-align:left;margin-left:3.35pt;margin-top:9.95pt;width:71.35pt;height:33.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" fillcolor="white [3201]" strokecolor="#4f81bd [3204]" strokeweight="2pt">
                <v:textbox>
                  <w:txbxContent>
                    <w:p w14:paraId="73C0BAB0" w14:textId="77777777" w:rsidR="00D94FFE" w:rsidRDefault="00D94FFE" w:rsidP="002E765A">
                      <w:r>
                        <w:t>Pre-Crisis</w:t>
                      </w:r>
                    </w:p>
                  </w:txbxContent>
                </v:textbox>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0.38%</w:t>
      </w:r>
      <w:r>
        <w:rPr>
          <w:rFonts w:ascii="Times New Roman" w:hAnsi="Times New Roman"/>
          <w:sz w:val="24"/>
          <w:szCs w:val="24"/>
        </w:rPr>
        <w:tab/>
        <w:t xml:space="preserve">                            3.84%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3.34%</w:t>
      </w:r>
    </w:p>
    <w:p w14:paraId="4859BEBC" w14:textId="59939AFE" w:rsidR="002E765A" w:rsidRDefault="002E765A" w:rsidP="002E765A">
      <w:pPr>
        <w:tabs>
          <w:tab w:val="left" w:pos="-142"/>
          <w:tab w:val="left" w:pos="709"/>
        </w:tabs>
        <w:spacing w:line="360" w:lineRule="auto"/>
        <w:jc w:val="both"/>
        <w:rPr>
          <w:rFonts w:ascii="Times New Roman" w:hAnsi="Times New Roman"/>
          <w:sz w:val="24"/>
          <w:szCs w:val="24"/>
        </w:rPr>
      </w:pPr>
    </w:p>
    <w:tbl>
      <w:tblPr>
        <w:tblpPr w:leftFromText="180" w:rightFromText="180" w:vertAnchor="text" w:horzAnchor="margin" w:tblpY="353"/>
        <w:tblW w:w="9223" w:type="dxa"/>
        <w:tblLook w:val="04A0" w:firstRow="1" w:lastRow="0" w:firstColumn="1" w:lastColumn="0" w:noHBand="0" w:noVBand="1"/>
      </w:tblPr>
      <w:tblGrid>
        <w:gridCol w:w="5208"/>
        <w:gridCol w:w="1981"/>
        <w:gridCol w:w="1098"/>
        <w:gridCol w:w="936"/>
      </w:tblGrid>
      <w:tr w:rsidR="00B63F17" w:rsidRPr="00357ECB" w14:paraId="6D9D495C" w14:textId="77777777" w:rsidTr="00B63F17">
        <w:trPr>
          <w:trHeight w:val="90"/>
        </w:trPr>
        <w:tc>
          <w:tcPr>
            <w:tcW w:w="52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F658DE" w14:textId="77777777" w:rsidR="00B63F17" w:rsidRPr="00B06DC4" w:rsidRDefault="00B63F17" w:rsidP="00B63F17">
            <w:pPr>
              <w:spacing w:after="0" w:line="240" w:lineRule="auto"/>
              <w:jc w:val="center"/>
              <w:rPr>
                <w:rFonts w:ascii="Times New Roman" w:eastAsia="Times New Roman" w:hAnsi="Times New Roman" w:cs="Times New Roman"/>
                <w:b/>
                <w:bCs/>
                <w:color w:val="000000"/>
                <w:sz w:val="24"/>
                <w:szCs w:val="24"/>
                <w:lang w:eastAsia="en-GB"/>
              </w:rPr>
            </w:pPr>
            <w:r w:rsidRPr="00B06DC4">
              <w:rPr>
                <w:rFonts w:ascii="Times New Roman" w:eastAsia="Times New Roman" w:hAnsi="Times New Roman" w:cs="Times New Roman"/>
                <w:b/>
                <w:bCs/>
                <w:color w:val="000000"/>
                <w:sz w:val="24"/>
                <w:szCs w:val="24"/>
                <w:lang w:eastAsia="en-GB"/>
              </w:rPr>
              <w:t>Liquidity Transmission Implied in bivariate BEKK model</w:t>
            </w:r>
          </w:p>
        </w:tc>
        <w:tc>
          <w:tcPr>
            <w:tcW w:w="1981" w:type="dxa"/>
            <w:tcBorders>
              <w:top w:val="single" w:sz="8" w:space="0" w:color="auto"/>
              <w:left w:val="nil"/>
              <w:bottom w:val="single" w:sz="4" w:space="0" w:color="auto"/>
              <w:right w:val="single" w:sz="4" w:space="0" w:color="auto"/>
            </w:tcBorders>
            <w:shd w:val="clear" w:color="auto" w:fill="auto"/>
            <w:noWrap/>
            <w:vAlign w:val="bottom"/>
            <w:hideMark/>
          </w:tcPr>
          <w:p w14:paraId="34BC325D" w14:textId="77777777" w:rsidR="00B63F17" w:rsidRPr="00B06DC4" w:rsidRDefault="00B63F17" w:rsidP="00B63F17">
            <w:pPr>
              <w:spacing w:after="0" w:line="240" w:lineRule="auto"/>
              <w:jc w:val="center"/>
              <w:rPr>
                <w:rFonts w:ascii="Calibri" w:eastAsia="Times New Roman" w:hAnsi="Calibri" w:cs="Times New Roman"/>
                <w:b/>
                <w:bCs/>
                <w:color w:val="000000"/>
                <w:lang w:eastAsia="en-GB"/>
              </w:rPr>
            </w:pPr>
            <w:r w:rsidRPr="00B06DC4">
              <w:rPr>
                <w:rFonts w:ascii="Calibri" w:eastAsia="Times New Roman" w:hAnsi="Calibri" w:cs="Times New Roman"/>
                <w:b/>
                <w:bCs/>
                <w:color w:val="000000"/>
                <w:lang w:eastAsia="en-GB"/>
              </w:rPr>
              <w:t>Pre-Crisis</w:t>
            </w:r>
          </w:p>
        </w:tc>
        <w:tc>
          <w:tcPr>
            <w:tcW w:w="1098" w:type="dxa"/>
            <w:tcBorders>
              <w:top w:val="single" w:sz="8" w:space="0" w:color="auto"/>
              <w:left w:val="nil"/>
              <w:bottom w:val="single" w:sz="4" w:space="0" w:color="auto"/>
              <w:right w:val="single" w:sz="4" w:space="0" w:color="auto"/>
            </w:tcBorders>
            <w:shd w:val="clear" w:color="auto" w:fill="auto"/>
            <w:noWrap/>
            <w:vAlign w:val="bottom"/>
            <w:hideMark/>
          </w:tcPr>
          <w:p w14:paraId="32E4DB0C" w14:textId="77777777" w:rsidR="00B63F17" w:rsidRPr="00B06DC4" w:rsidRDefault="00B63F17" w:rsidP="00B63F17">
            <w:pPr>
              <w:spacing w:after="0" w:line="240" w:lineRule="auto"/>
              <w:jc w:val="center"/>
              <w:rPr>
                <w:rFonts w:ascii="Calibri" w:eastAsia="Times New Roman" w:hAnsi="Calibri" w:cs="Times New Roman"/>
                <w:b/>
                <w:bCs/>
                <w:color w:val="000000"/>
                <w:lang w:eastAsia="en-GB"/>
              </w:rPr>
            </w:pPr>
            <w:r w:rsidRPr="00B06DC4">
              <w:rPr>
                <w:rFonts w:ascii="Calibri" w:eastAsia="Times New Roman" w:hAnsi="Calibri" w:cs="Times New Roman"/>
                <w:b/>
                <w:bCs/>
                <w:color w:val="000000"/>
                <w:lang w:eastAsia="en-GB"/>
              </w:rPr>
              <w:t>During Crisis</w:t>
            </w:r>
          </w:p>
        </w:tc>
        <w:tc>
          <w:tcPr>
            <w:tcW w:w="936" w:type="dxa"/>
            <w:tcBorders>
              <w:top w:val="single" w:sz="8" w:space="0" w:color="auto"/>
              <w:left w:val="nil"/>
              <w:bottom w:val="single" w:sz="4" w:space="0" w:color="auto"/>
              <w:right w:val="single" w:sz="8" w:space="0" w:color="auto"/>
            </w:tcBorders>
            <w:shd w:val="clear" w:color="auto" w:fill="auto"/>
            <w:noWrap/>
            <w:vAlign w:val="bottom"/>
            <w:hideMark/>
          </w:tcPr>
          <w:p w14:paraId="10B43D38" w14:textId="77777777" w:rsidR="00B63F17" w:rsidRPr="00B06DC4" w:rsidRDefault="00B63F17" w:rsidP="00B63F17">
            <w:pPr>
              <w:spacing w:after="0" w:line="240" w:lineRule="auto"/>
              <w:jc w:val="center"/>
              <w:rPr>
                <w:rFonts w:ascii="Calibri" w:eastAsia="Times New Roman" w:hAnsi="Calibri" w:cs="Times New Roman"/>
                <w:b/>
                <w:bCs/>
                <w:color w:val="000000"/>
                <w:lang w:eastAsia="en-GB"/>
              </w:rPr>
            </w:pPr>
            <w:r w:rsidRPr="00B06DC4">
              <w:rPr>
                <w:rFonts w:ascii="Calibri" w:eastAsia="Times New Roman" w:hAnsi="Calibri" w:cs="Times New Roman"/>
                <w:b/>
                <w:bCs/>
                <w:color w:val="000000"/>
                <w:lang w:eastAsia="en-GB"/>
              </w:rPr>
              <w:t>Post-Crisis</w:t>
            </w:r>
          </w:p>
        </w:tc>
      </w:tr>
      <w:tr w:rsidR="00B63F17" w:rsidRPr="00357ECB" w14:paraId="71D0FAC0"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46143B38"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S&amp;P500 Volatility to ABCP</w:t>
            </w:r>
          </w:p>
        </w:tc>
        <w:tc>
          <w:tcPr>
            <w:tcW w:w="1981" w:type="dxa"/>
            <w:tcBorders>
              <w:top w:val="nil"/>
              <w:left w:val="nil"/>
              <w:bottom w:val="single" w:sz="4" w:space="0" w:color="auto"/>
              <w:right w:val="single" w:sz="4" w:space="0" w:color="auto"/>
            </w:tcBorders>
            <w:shd w:val="clear" w:color="auto" w:fill="auto"/>
            <w:vAlign w:val="center"/>
            <w:hideMark/>
          </w:tcPr>
          <w:p w14:paraId="1130A34C"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1.29%</w:t>
            </w:r>
          </w:p>
        </w:tc>
        <w:tc>
          <w:tcPr>
            <w:tcW w:w="1098" w:type="dxa"/>
            <w:tcBorders>
              <w:top w:val="nil"/>
              <w:left w:val="nil"/>
              <w:bottom w:val="single" w:sz="4" w:space="0" w:color="auto"/>
              <w:right w:val="single" w:sz="4" w:space="0" w:color="auto"/>
            </w:tcBorders>
            <w:shd w:val="clear" w:color="auto" w:fill="auto"/>
            <w:vAlign w:val="center"/>
            <w:hideMark/>
          </w:tcPr>
          <w:p w14:paraId="11F546D2"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0.76%</w:t>
            </w:r>
          </w:p>
        </w:tc>
        <w:tc>
          <w:tcPr>
            <w:tcW w:w="936" w:type="dxa"/>
            <w:tcBorders>
              <w:top w:val="nil"/>
              <w:left w:val="nil"/>
              <w:bottom w:val="single" w:sz="4" w:space="0" w:color="auto"/>
              <w:right w:val="single" w:sz="8" w:space="0" w:color="auto"/>
            </w:tcBorders>
            <w:shd w:val="clear" w:color="auto" w:fill="auto"/>
            <w:vAlign w:val="center"/>
            <w:hideMark/>
          </w:tcPr>
          <w:p w14:paraId="09AAA036"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5.14%</w:t>
            </w:r>
          </w:p>
        </w:tc>
      </w:tr>
      <w:tr w:rsidR="00B63F17" w:rsidRPr="00357ECB" w14:paraId="17CA93C4"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79308E5C"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 xml:space="preserve">ABCP to S&amp;P500 Volatility </w:t>
            </w:r>
          </w:p>
        </w:tc>
        <w:tc>
          <w:tcPr>
            <w:tcW w:w="1981" w:type="dxa"/>
            <w:tcBorders>
              <w:top w:val="nil"/>
              <w:left w:val="nil"/>
              <w:bottom w:val="single" w:sz="4" w:space="0" w:color="auto"/>
              <w:right w:val="single" w:sz="4" w:space="0" w:color="auto"/>
            </w:tcBorders>
            <w:shd w:val="clear" w:color="auto" w:fill="auto"/>
            <w:vAlign w:val="center"/>
            <w:hideMark/>
          </w:tcPr>
          <w:p w14:paraId="56D24DF1"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0.07%</w:t>
            </w:r>
          </w:p>
        </w:tc>
        <w:tc>
          <w:tcPr>
            <w:tcW w:w="1098" w:type="dxa"/>
            <w:tcBorders>
              <w:top w:val="nil"/>
              <w:left w:val="nil"/>
              <w:bottom w:val="single" w:sz="4" w:space="0" w:color="auto"/>
              <w:right w:val="single" w:sz="4" w:space="0" w:color="auto"/>
            </w:tcBorders>
            <w:shd w:val="clear" w:color="auto" w:fill="auto"/>
            <w:vAlign w:val="center"/>
            <w:hideMark/>
          </w:tcPr>
          <w:p w14:paraId="5D04ED64"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0.65%</w:t>
            </w:r>
          </w:p>
        </w:tc>
        <w:tc>
          <w:tcPr>
            <w:tcW w:w="936" w:type="dxa"/>
            <w:tcBorders>
              <w:top w:val="nil"/>
              <w:left w:val="nil"/>
              <w:bottom w:val="single" w:sz="4" w:space="0" w:color="auto"/>
              <w:right w:val="single" w:sz="8" w:space="0" w:color="auto"/>
            </w:tcBorders>
            <w:shd w:val="clear" w:color="auto" w:fill="auto"/>
            <w:vAlign w:val="center"/>
            <w:hideMark/>
          </w:tcPr>
          <w:p w14:paraId="2114032D"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13.74%</w:t>
            </w:r>
          </w:p>
        </w:tc>
      </w:tr>
      <w:tr w:rsidR="00B63F17" w:rsidRPr="00357ECB" w14:paraId="7D13BCAE"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51938571"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S&amp;P500 Volatility to OIS</w:t>
            </w:r>
          </w:p>
        </w:tc>
        <w:tc>
          <w:tcPr>
            <w:tcW w:w="1981" w:type="dxa"/>
            <w:tcBorders>
              <w:top w:val="nil"/>
              <w:left w:val="nil"/>
              <w:bottom w:val="single" w:sz="4" w:space="0" w:color="auto"/>
              <w:right w:val="single" w:sz="4" w:space="0" w:color="auto"/>
            </w:tcBorders>
            <w:shd w:val="clear" w:color="auto" w:fill="auto"/>
            <w:vAlign w:val="center"/>
            <w:hideMark/>
          </w:tcPr>
          <w:p w14:paraId="23732595"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0.95%</w:t>
            </w:r>
          </w:p>
        </w:tc>
        <w:tc>
          <w:tcPr>
            <w:tcW w:w="1098" w:type="dxa"/>
            <w:tcBorders>
              <w:top w:val="nil"/>
              <w:left w:val="nil"/>
              <w:bottom w:val="single" w:sz="4" w:space="0" w:color="auto"/>
              <w:right w:val="single" w:sz="4" w:space="0" w:color="auto"/>
            </w:tcBorders>
            <w:shd w:val="clear" w:color="auto" w:fill="auto"/>
            <w:vAlign w:val="center"/>
            <w:hideMark/>
          </w:tcPr>
          <w:p w14:paraId="13757D54"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3.58%</w:t>
            </w:r>
          </w:p>
        </w:tc>
        <w:tc>
          <w:tcPr>
            <w:tcW w:w="936" w:type="dxa"/>
            <w:tcBorders>
              <w:top w:val="nil"/>
              <w:left w:val="nil"/>
              <w:bottom w:val="single" w:sz="4" w:space="0" w:color="auto"/>
              <w:right w:val="single" w:sz="8" w:space="0" w:color="auto"/>
            </w:tcBorders>
            <w:shd w:val="clear" w:color="auto" w:fill="auto"/>
            <w:vAlign w:val="center"/>
            <w:hideMark/>
          </w:tcPr>
          <w:p w14:paraId="1D55BBD6"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7.43%</w:t>
            </w:r>
          </w:p>
        </w:tc>
      </w:tr>
      <w:tr w:rsidR="00B63F17" w:rsidRPr="00357ECB" w14:paraId="3DB92F5F"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793A6B66"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 xml:space="preserve">OIS to S&amp;P500 Volatility </w:t>
            </w:r>
          </w:p>
        </w:tc>
        <w:tc>
          <w:tcPr>
            <w:tcW w:w="1981" w:type="dxa"/>
            <w:tcBorders>
              <w:top w:val="nil"/>
              <w:left w:val="nil"/>
              <w:bottom w:val="single" w:sz="4" w:space="0" w:color="auto"/>
              <w:right w:val="single" w:sz="4" w:space="0" w:color="auto"/>
            </w:tcBorders>
            <w:shd w:val="clear" w:color="auto" w:fill="auto"/>
            <w:vAlign w:val="center"/>
            <w:hideMark/>
          </w:tcPr>
          <w:p w14:paraId="51372290"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0.97%</w:t>
            </w:r>
          </w:p>
        </w:tc>
        <w:tc>
          <w:tcPr>
            <w:tcW w:w="1098" w:type="dxa"/>
            <w:tcBorders>
              <w:top w:val="nil"/>
              <w:left w:val="nil"/>
              <w:bottom w:val="single" w:sz="4" w:space="0" w:color="auto"/>
              <w:right w:val="single" w:sz="4" w:space="0" w:color="auto"/>
            </w:tcBorders>
            <w:shd w:val="clear" w:color="auto" w:fill="auto"/>
            <w:vAlign w:val="center"/>
            <w:hideMark/>
          </w:tcPr>
          <w:p w14:paraId="4B35C78D"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0.02%</w:t>
            </w:r>
          </w:p>
        </w:tc>
        <w:tc>
          <w:tcPr>
            <w:tcW w:w="936" w:type="dxa"/>
            <w:tcBorders>
              <w:top w:val="nil"/>
              <w:left w:val="nil"/>
              <w:bottom w:val="single" w:sz="4" w:space="0" w:color="auto"/>
              <w:right w:val="single" w:sz="8" w:space="0" w:color="auto"/>
            </w:tcBorders>
            <w:shd w:val="clear" w:color="auto" w:fill="auto"/>
            <w:vAlign w:val="center"/>
            <w:hideMark/>
          </w:tcPr>
          <w:p w14:paraId="693552DF"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5.32%</w:t>
            </w:r>
          </w:p>
        </w:tc>
      </w:tr>
      <w:tr w:rsidR="00B63F17" w:rsidRPr="00357ECB" w14:paraId="18203A39"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045B1ABE"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S&amp;P500 Volatility to TED</w:t>
            </w:r>
          </w:p>
        </w:tc>
        <w:tc>
          <w:tcPr>
            <w:tcW w:w="1981" w:type="dxa"/>
            <w:tcBorders>
              <w:top w:val="nil"/>
              <w:left w:val="nil"/>
              <w:bottom w:val="single" w:sz="4" w:space="0" w:color="auto"/>
              <w:right w:val="single" w:sz="4" w:space="0" w:color="auto"/>
            </w:tcBorders>
            <w:shd w:val="clear" w:color="auto" w:fill="auto"/>
            <w:vAlign w:val="center"/>
            <w:hideMark/>
          </w:tcPr>
          <w:p w14:paraId="361DAC96"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3.86%</w:t>
            </w:r>
          </w:p>
        </w:tc>
        <w:tc>
          <w:tcPr>
            <w:tcW w:w="1098" w:type="dxa"/>
            <w:tcBorders>
              <w:top w:val="nil"/>
              <w:left w:val="nil"/>
              <w:bottom w:val="single" w:sz="4" w:space="0" w:color="auto"/>
              <w:right w:val="single" w:sz="4" w:space="0" w:color="auto"/>
            </w:tcBorders>
            <w:shd w:val="clear" w:color="auto" w:fill="auto"/>
            <w:vAlign w:val="center"/>
            <w:hideMark/>
          </w:tcPr>
          <w:p w14:paraId="2B72CDDC"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2.71%</w:t>
            </w:r>
          </w:p>
        </w:tc>
        <w:tc>
          <w:tcPr>
            <w:tcW w:w="936" w:type="dxa"/>
            <w:tcBorders>
              <w:top w:val="nil"/>
              <w:left w:val="nil"/>
              <w:bottom w:val="single" w:sz="4" w:space="0" w:color="auto"/>
              <w:right w:val="single" w:sz="8" w:space="0" w:color="auto"/>
            </w:tcBorders>
            <w:shd w:val="clear" w:color="auto" w:fill="auto"/>
            <w:vAlign w:val="center"/>
            <w:hideMark/>
          </w:tcPr>
          <w:p w14:paraId="6E5042D1"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5.84%</w:t>
            </w:r>
          </w:p>
        </w:tc>
      </w:tr>
      <w:tr w:rsidR="00B63F17" w:rsidRPr="00357ECB" w14:paraId="732034EA"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27665E92"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 xml:space="preserve">TED to S&amp;P500 Volatility </w:t>
            </w:r>
          </w:p>
        </w:tc>
        <w:tc>
          <w:tcPr>
            <w:tcW w:w="1981" w:type="dxa"/>
            <w:tcBorders>
              <w:top w:val="nil"/>
              <w:left w:val="nil"/>
              <w:bottom w:val="single" w:sz="4" w:space="0" w:color="auto"/>
              <w:right w:val="single" w:sz="4" w:space="0" w:color="auto"/>
            </w:tcBorders>
            <w:shd w:val="clear" w:color="auto" w:fill="auto"/>
            <w:vAlign w:val="center"/>
            <w:hideMark/>
          </w:tcPr>
          <w:p w14:paraId="1D46D3EB"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0.80%</w:t>
            </w:r>
          </w:p>
        </w:tc>
        <w:tc>
          <w:tcPr>
            <w:tcW w:w="1098" w:type="dxa"/>
            <w:tcBorders>
              <w:top w:val="nil"/>
              <w:left w:val="nil"/>
              <w:bottom w:val="single" w:sz="4" w:space="0" w:color="auto"/>
              <w:right w:val="single" w:sz="4" w:space="0" w:color="auto"/>
            </w:tcBorders>
            <w:shd w:val="clear" w:color="auto" w:fill="auto"/>
            <w:vAlign w:val="center"/>
            <w:hideMark/>
          </w:tcPr>
          <w:p w14:paraId="413C9FC9"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3.10%</w:t>
            </w:r>
          </w:p>
        </w:tc>
        <w:tc>
          <w:tcPr>
            <w:tcW w:w="936" w:type="dxa"/>
            <w:tcBorders>
              <w:top w:val="nil"/>
              <w:left w:val="nil"/>
              <w:bottom w:val="single" w:sz="4" w:space="0" w:color="auto"/>
              <w:right w:val="single" w:sz="8" w:space="0" w:color="auto"/>
            </w:tcBorders>
            <w:shd w:val="clear" w:color="auto" w:fill="auto"/>
            <w:vAlign w:val="center"/>
            <w:hideMark/>
          </w:tcPr>
          <w:p w14:paraId="4DCAAB73"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5.41%</w:t>
            </w:r>
          </w:p>
        </w:tc>
      </w:tr>
      <w:tr w:rsidR="00B63F17" w:rsidRPr="00357ECB" w14:paraId="22665F50"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359AE28E"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ABCP to OIS</w:t>
            </w:r>
          </w:p>
        </w:tc>
        <w:tc>
          <w:tcPr>
            <w:tcW w:w="1981" w:type="dxa"/>
            <w:tcBorders>
              <w:top w:val="nil"/>
              <w:left w:val="nil"/>
              <w:bottom w:val="single" w:sz="4" w:space="0" w:color="auto"/>
              <w:right w:val="single" w:sz="4" w:space="0" w:color="auto"/>
            </w:tcBorders>
            <w:shd w:val="clear" w:color="auto" w:fill="auto"/>
            <w:vAlign w:val="center"/>
            <w:hideMark/>
          </w:tcPr>
          <w:p w14:paraId="11F22AA5"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0.10%</w:t>
            </w:r>
          </w:p>
        </w:tc>
        <w:tc>
          <w:tcPr>
            <w:tcW w:w="1098" w:type="dxa"/>
            <w:tcBorders>
              <w:top w:val="nil"/>
              <w:left w:val="nil"/>
              <w:bottom w:val="single" w:sz="4" w:space="0" w:color="auto"/>
              <w:right w:val="single" w:sz="4" w:space="0" w:color="auto"/>
            </w:tcBorders>
            <w:shd w:val="clear" w:color="auto" w:fill="auto"/>
            <w:vAlign w:val="center"/>
            <w:hideMark/>
          </w:tcPr>
          <w:p w14:paraId="125AB33E"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1.18%</w:t>
            </w:r>
          </w:p>
        </w:tc>
        <w:tc>
          <w:tcPr>
            <w:tcW w:w="936" w:type="dxa"/>
            <w:tcBorders>
              <w:top w:val="nil"/>
              <w:left w:val="nil"/>
              <w:bottom w:val="single" w:sz="4" w:space="0" w:color="auto"/>
              <w:right w:val="single" w:sz="8" w:space="0" w:color="auto"/>
            </w:tcBorders>
            <w:shd w:val="clear" w:color="auto" w:fill="auto"/>
            <w:vAlign w:val="center"/>
            <w:hideMark/>
          </w:tcPr>
          <w:p w14:paraId="3C9B06F3"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1.25%</w:t>
            </w:r>
          </w:p>
        </w:tc>
      </w:tr>
      <w:tr w:rsidR="00B63F17" w:rsidRPr="00357ECB" w14:paraId="24220943"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4C633B08"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 xml:space="preserve">OIS to ABCP </w:t>
            </w:r>
          </w:p>
        </w:tc>
        <w:tc>
          <w:tcPr>
            <w:tcW w:w="1981" w:type="dxa"/>
            <w:tcBorders>
              <w:top w:val="nil"/>
              <w:left w:val="nil"/>
              <w:bottom w:val="single" w:sz="4" w:space="0" w:color="auto"/>
              <w:right w:val="single" w:sz="4" w:space="0" w:color="auto"/>
            </w:tcBorders>
            <w:shd w:val="clear" w:color="auto" w:fill="auto"/>
            <w:vAlign w:val="center"/>
            <w:hideMark/>
          </w:tcPr>
          <w:p w14:paraId="15DC79E0"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2.75%</w:t>
            </w:r>
          </w:p>
        </w:tc>
        <w:tc>
          <w:tcPr>
            <w:tcW w:w="1098" w:type="dxa"/>
            <w:tcBorders>
              <w:top w:val="nil"/>
              <w:left w:val="nil"/>
              <w:bottom w:val="single" w:sz="4" w:space="0" w:color="auto"/>
              <w:right w:val="single" w:sz="4" w:space="0" w:color="auto"/>
            </w:tcBorders>
            <w:shd w:val="clear" w:color="auto" w:fill="auto"/>
            <w:vAlign w:val="center"/>
            <w:hideMark/>
          </w:tcPr>
          <w:p w14:paraId="463C434B"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2.50%</w:t>
            </w:r>
          </w:p>
        </w:tc>
        <w:tc>
          <w:tcPr>
            <w:tcW w:w="936" w:type="dxa"/>
            <w:tcBorders>
              <w:top w:val="nil"/>
              <w:left w:val="nil"/>
              <w:bottom w:val="single" w:sz="4" w:space="0" w:color="auto"/>
              <w:right w:val="single" w:sz="8" w:space="0" w:color="auto"/>
            </w:tcBorders>
            <w:shd w:val="clear" w:color="auto" w:fill="auto"/>
            <w:vAlign w:val="center"/>
            <w:hideMark/>
          </w:tcPr>
          <w:p w14:paraId="10EE6193"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0.22%</w:t>
            </w:r>
          </w:p>
        </w:tc>
      </w:tr>
      <w:tr w:rsidR="00B63F17" w:rsidRPr="00357ECB" w14:paraId="7B724EAC"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48CA2668"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ABCP to TED</w:t>
            </w:r>
          </w:p>
        </w:tc>
        <w:tc>
          <w:tcPr>
            <w:tcW w:w="1981" w:type="dxa"/>
            <w:tcBorders>
              <w:top w:val="nil"/>
              <w:left w:val="nil"/>
              <w:bottom w:val="single" w:sz="4" w:space="0" w:color="auto"/>
              <w:right w:val="single" w:sz="4" w:space="0" w:color="auto"/>
            </w:tcBorders>
            <w:shd w:val="clear" w:color="auto" w:fill="auto"/>
            <w:vAlign w:val="center"/>
            <w:hideMark/>
          </w:tcPr>
          <w:p w14:paraId="0E30402C"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1.08%</w:t>
            </w:r>
          </w:p>
        </w:tc>
        <w:tc>
          <w:tcPr>
            <w:tcW w:w="1098" w:type="dxa"/>
            <w:tcBorders>
              <w:top w:val="nil"/>
              <w:left w:val="nil"/>
              <w:bottom w:val="single" w:sz="4" w:space="0" w:color="auto"/>
              <w:right w:val="single" w:sz="4" w:space="0" w:color="auto"/>
            </w:tcBorders>
            <w:shd w:val="clear" w:color="auto" w:fill="auto"/>
            <w:vAlign w:val="center"/>
            <w:hideMark/>
          </w:tcPr>
          <w:p w14:paraId="6C1A8A09"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1.07%</w:t>
            </w:r>
          </w:p>
        </w:tc>
        <w:tc>
          <w:tcPr>
            <w:tcW w:w="936" w:type="dxa"/>
            <w:tcBorders>
              <w:top w:val="nil"/>
              <w:left w:val="nil"/>
              <w:bottom w:val="single" w:sz="4" w:space="0" w:color="auto"/>
              <w:right w:val="single" w:sz="8" w:space="0" w:color="auto"/>
            </w:tcBorders>
            <w:shd w:val="clear" w:color="auto" w:fill="auto"/>
            <w:vAlign w:val="center"/>
            <w:hideMark/>
          </w:tcPr>
          <w:p w14:paraId="512E61FF"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2.69%</w:t>
            </w:r>
          </w:p>
        </w:tc>
      </w:tr>
      <w:tr w:rsidR="00B63F17" w:rsidRPr="00357ECB" w14:paraId="35427FC0"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6B4110EC"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TED to ABCP</w:t>
            </w:r>
          </w:p>
        </w:tc>
        <w:tc>
          <w:tcPr>
            <w:tcW w:w="1981" w:type="dxa"/>
            <w:tcBorders>
              <w:top w:val="nil"/>
              <w:left w:val="nil"/>
              <w:bottom w:val="single" w:sz="4" w:space="0" w:color="auto"/>
              <w:right w:val="single" w:sz="4" w:space="0" w:color="auto"/>
            </w:tcBorders>
            <w:shd w:val="clear" w:color="auto" w:fill="auto"/>
            <w:vAlign w:val="center"/>
            <w:hideMark/>
          </w:tcPr>
          <w:p w14:paraId="3A331210"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2.75%</w:t>
            </w:r>
          </w:p>
        </w:tc>
        <w:tc>
          <w:tcPr>
            <w:tcW w:w="1098" w:type="dxa"/>
            <w:tcBorders>
              <w:top w:val="nil"/>
              <w:left w:val="nil"/>
              <w:bottom w:val="single" w:sz="4" w:space="0" w:color="auto"/>
              <w:right w:val="single" w:sz="4" w:space="0" w:color="auto"/>
            </w:tcBorders>
            <w:shd w:val="clear" w:color="auto" w:fill="auto"/>
            <w:vAlign w:val="center"/>
            <w:hideMark/>
          </w:tcPr>
          <w:p w14:paraId="5448D20B"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0.82%</w:t>
            </w:r>
          </w:p>
        </w:tc>
        <w:tc>
          <w:tcPr>
            <w:tcW w:w="936" w:type="dxa"/>
            <w:tcBorders>
              <w:top w:val="nil"/>
              <w:left w:val="nil"/>
              <w:bottom w:val="single" w:sz="4" w:space="0" w:color="auto"/>
              <w:right w:val="single" w:sz="8" w:space="0" w:color="auto"/>
            </w:tcBorders>
            <w:shd w:val="clear" w:color="auto" w:fill="auto"/>
            <w:vAlign w:val="center"/>
            <w:hideMark/>
          </w:tcPr>
          <w:p w14:paraId="08AECEDC"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2.09%</w:t>
            </w:r>
          </w:p>
        </w:tc>
      </w:tr>
      <w:tr w:rsidR="00B63F17" w:rsidRPr="00357ECB" w14:paraId="237EE892" w14:textId="77777777" w:rsidTr="00B63F17">
        <w:trPr>
          <w:trHeight w:val="114"/>
        </w:trPr>
        <w:tc>
          <w:tcPr>
            <w:tcW w:w="5208" w:type="dxa"/>
            <w:tcBorders>
              <w:top w:val="nil"/>
              <w:left w:val="single" w:sz="8" w:space="0" w:color="auto"/>
              <w:bottom w:val="single" w:sz="4" w:space="0" w:color="auto"/>
              <w:right w:val="single" w:sz="4" w:space="0" w:color="auto"/>
            </w:tcBorders>
            <w:shd w:val="clear" w:color="auto" w:fill="auto"/>
            <w:vAlign w:val="center"/>
            <w:hideMark/>
          </w:tcPr>
          <w:p w14:paraId="532BBA92"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OIS to TED</w:t>
            </w:r>
          </w:p>
        </w:tc>
        <w:tc>
          <w:tcPr>
            <w:tcW w:w="1981" w:type="dxa"/>
            <w:tcBorders>
              <w:top w:val="nil"/>
              <w:left w:val="nil"/>
              <w:bottom w:val="single" w:sz="4" w:space="0" w:color="auto"/>
              <w:right w:val="single" w:sz="4" w:space="0" w:color="auto"/>
            </w:tcBorders>
            <w:shd w:val="clear" w:color="auto" w:fill="auto"/>
            <w:vAlign w:val="center"/>
            <w:hideMark/>
          </w:tcPr>
          <w:p w14:paraId="4FA15A5D"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2.37%</w:t>
            </w:r>
          </w:p>
        </w:tc>
        <w:tc>
          <w:tcPr>
            <w:tcW w:w="1098" w:type="dxa"/>
            <w:tcBorders>
              <w:top w:val="nil"/>
              <w:left w:val="nil"/>
              <w:bottom w:val="single" w:sz="4" w:space="0" w:color="auto"/>
              <w:right w:val="single" w:sz="4" w:space="0" w:color="auto"/>
            </w:tcBorders>
            <w:shd w:val="clear" w:color="auto" w:fill="auto"/>
            <w:vAlign w:val="center"/>
            <w:hideMark/>
          </w:tcPr>
          <w:p w14:paraId="7C148E21"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1.68%</w:t>
            </w:r>
          </w:p>
        </w:tc>
        <w:tc>
          <w:tcPr>
            <w:tcW w:w="936" w:type="dxa"/>
            <w:tcBorders>
              <w:top w:val="nil"/>
              <w:left w:val="nil"/>
              <w:bottom w:val="single" w:sz="4" w:space="0" w:color="auto"/>
              <w:right w:val="single" w:sz="8" w:space="0" w:color="auto"/>
            </w:tcBorders>
            <w:shd w:val="clear" w:color="auto" w:fill="auto"/>
            <w:vAlign w:val="center"/>
            <w:hideMark/>
          </w:tcPr>
          <w:p w14:paraId="3B9D7ADB" w14:textId="77777777" w:rsidR="00B63F17" w:rsidRPr="00357ECB" w:rsidRDefault="00B63F17" w:rsidP="00B63F17">
            <w:pPr>
              <w:spacing w:after="0" w:line="240" w:lineRule="auto"/>
              <w:jc w:val="right"/>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2.89%</w:t>
            </w:r>
          </w:p>
        </w:tc>
      </w:tr>
      <w:tr w:rsidR="00B63F17" w:rsidRPr="00357ECB" w14:paraId="7E4ACC71" w14:textId="77777777" w:rsidTr="00B63F17">
        <w:trPr>
          <w:trHeight w:val="114"/>
        </w:trPr>
        <w:tc>
          <w:tcPr>
            <w:tcW w:w="5208" w:type="dxa"/>
            <w:tcBorders>
              <w:top w:val="nil"/>
              <w:left w:val="single" w:sz="8" w:space="0" w:color="auto"/>
              <w:bottom w:val="single" w:sz="8" w:space="0" w:color="auto"/>
              <w:right w:val="single" w:sz="4" w:space="0" w:color="auto"/>
            </w:tcBorders>
            <w:shd w:val="clear" w:color="auto" w:fill="auto"/>
            <w:vAlign w:val="center"/>
            <w:hideMark/>
          </w:tcPr>
          <w:p w14:paraId="56ACE7AE" w14:textId="77777777" w:rsidR="00B63F17" w:rsidRPr="00357ECB" w:rsidRDefault="00B63F17" w:rsidP="00B63F17">
            <w:pPr>
              <w:spacing w:after="0" w:line="240" w:lineRule="auto"/>
              <w:rPr>
                <w:rFonts w:ascii="Times New Roman" w:eastAsia="Times New Roman" w:hAnsi="Times New Roman" w:cs="Times New Roman"/>
                <w:color w:val="000000"/>
                <w:lang w:eastAsia="en-GB"/>
              </w:rPr>
            </w:pPr>
            <w:r w:rsidRPr="00357ECB">
              <w:rPr>
                <w:rFonts w:ascii="Times New Roman" w:eastAsia="Times New Roman" w:hAnsi="Times New Roman" w:cs="Times New Roman"/>
                <w:color w:val="000000"/>
                <w:lang w:eastAsia="hu-HU"/>
              </w:rPr>
              <w:t xml:space="preserve">TED to OIS </w:t>
            </w:r>
          </w:p>
        </w:tc>
        <w:tc>
          <w:tcPr>
            <w:tcW w:w="1981" w:type="dxa"/>
            <w:tcBorders>
              <w:top w:val="nil"/>
              <w:left w:val="nil"/>
              <w:bottom w:val="single" w:sz="8" w:space="0" w:color="auto"/>
              <w:right w:val="single" w:sz="4" w:space="0" w:color="auto"/>
            </w:tcBorders>
            <w:shd w:val="clear" w:color="auto" w:fill="auto"/>
            <w:vAlign w:val="center"/>
            <w:hideMark/>
          </w:tcPr>
          <w:p w14:paraId="4240D25B"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0.38%</w:t>
            </w:r>
          </w:p>
        </w:tc>
        <w:tc>
          <w:tcPr>
            <w:tcW w:w="1098" w:type="dxa"/>
            <w:tcBorders>
              <w:top w:val="nil"/>
              <w:left w:val="nil"/>
              <w:bottom w:val="single" w:sz="8" w:space="0" w:color="auto"/>
              <w:right w:val="single" w:sz="4" w:space="0" w:color="auto"/>
            </w:tcBorders>
            <w:shd w:val="clear" w:color="auto" w:fill="auto"/>
            <w:vAlign w:val="center"/>
            <w:hideMark/>
          </w:tcPr>
          <w:p w14:paraId="4BD2C639"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3.84%</w:t>
            </w:r>
          </w:p>
        </w:tc>
        <w:tc>
          <w:tcPr>
            <w:tcW w:w="936" w:type="dxa"/>
            <w:tcBorders>
              <w:top w:val="nil"/>
              <w:left w:val="nil"/>
              <w:bottom w:val="single" w:sz="8" w:space="0" w:color="auto"/>
              <w:right w:val="single" w:sz="8" w:space="0" w:color="auto"/>
            </w:tcBorders>
            <w:shd w:val="clear" w:color="auto" w:fill="auto"/>
            <w:vAlign w:val="center"/>
            <w:hideMark/>
          </w:tcPr>
          <w:p w14:paraId="700B5863" w14:textId="77777777" w:rsidR="00B63F17" w:rsidRPr="00357ECB" w:rsidRDefault="00B63F17" w:rsidP="00B63F17">
            <w:pPr>
              <w:spacing w:after="0" w:line="240" w:lineRule="auto"/>
              <w:jc w:val="right"/>
              <w:rPr>
                <w:rFonts w:ascii="Times New Roman" w:eastAsia="Times New Roman" w:hAnsi="Times New Roman" w:cs="Times New Roman"/>
                <w:b/>
                <w:color w:val="000000"/>
                <w:lang w:eastAsia="en-GB"/>
              </w:rPr>
            </w:pPr>
            <w:r w:rsidRPr="00357ECB">
              <w:rPr>
                <w:rFonts w:ascii="Times New Roman" w:eastAsia="Times New Roman" w:hAnsi="Times New Roman" w:cs="Times New Roman"/>
                <w:b/>
                <w:color w:val="000000"/>
                <w:lang w:eastAsia="hu-HU"/>
              </w:rPr>
              <w:t>3.34%</w:t>
            </w:r>
          </w:p>
        </w:tc>
      </w:tr>
    </w:tbl>
    <w:p w14:paraId="0EADDC6A" w14:textId="77777777" w:rsidR="00357ECB" w:rsidRPr="0084314D" w:rsidRDefault="00357ECB" w:rsidP="002E765A">
      <w:pPr>
        <w:tabs>
          <w:tab w:val="left" w:pos="-142"/>
          <w:tab w:val="left" w:pos="709"/>
        </w:tabs>
        <w:spacing w:line="360" w:lineRule="auto"/>
        <w:jc w:val="both"/>
        <w:rPr>
          <w:rFonts w:ascii="Times New Roman" w:hAnsi="Times New Roman"/>
          <w:sz w:val="24"/>
          <w:szCs w:val="24"/>
        </w:rPr>
      </w:pPr>
    </w:p>
    <w:p w14:paraId="272D6896" w14:textId="05300A55" w:rsidR="002E765A" w:rsidRPr="00BD6AF2" w:rsidRDefault="00BD6AF2" w:rsidP="00BD6AF2">
      <w:pPr>
        <w:pStyle w:val="Caption"/>
        <w:jc w:val="center"/>
        <w:rPr>
          <w:color w:val="auto"/>
          <w:sz w:val="24"/>
          <w:szCs w:val="24"/>
        </w:rPr>
      </w:pPr>
      <w:r w:rsidRPr="00BD6AF2">
        <w:rPr>
          <w:color w:val="auto"/>
          <w:sz w:val="24"/>
          <w:szCs w:val="24"/>
        </w:rPr>
        <w:t>Comparison</w:t>
      </w:r>
      <w:r w:rsidR="00B63F17" w:rsidRPr="00BD6AF2">
        <w:rPr>
          <w:color w:val="auto"/>
          <w:sz w:val="24"/>
          <w:szCs w:val="24"/>
        </w:rPr>
        <w:t xml:space="preserve"> table for </w:t>
      </w:r>
      <w:r w:rsidRPr="00BD6AF2">
        <w:rPr>
          <w:color w:val="auto"/>
          <w:sz w:val="24"/>
          <w:szCs w:val="24"/>
        </w:rPr>
        <w:t>pre, during and post financial crisis.</w:t>
      </w:r>
    </w:p>
    <w:p w14:paraId="7F18073C" w14:textId="55E9656A" w:rsidR="00AA7A4C" w:rsidRPr="00AA7A4C" w:rsidRDefault="00AA7A4C" w:rsidP="00AA7A4C">
      <w:pPr>
        <w:pStyle w:val="NormalWeb"/>
        <w:spacing w:before="0" w:beforeAutospacing="0" w:after="240" w:afterAutospacing="0" w:line="360" w:lineRule="auto"/>
        <w:jc w:val="both"/>
      </w:pPr>
      <w:r w:rsidRPr="00AA7A4C">
        <w:lastRenderedPageBreak/>
        <w:t xml:space="preserve">For the subprime crisis period, study found multidirectional lead–lag relations between these three spreads. Overall, the result implies that the subprime turmoil had a universal impact on the spreads, and that these three markets were very closely related during the crisis. For the volatility transmissions before the crisis period, the conditional variances for all three spreads were independent of each other, although the volatilities for the three spreads were persistent. For the volatility transmissions during the crisis period however, that there were significant one-way volatility transmissions from the spread. These findings reveal that, in contrast to the independent behaviour of the spreads during </w:t>
      </w:r>
      <w:r w:rsidR="000D006E">
        <w:t>(</w:t>
      </w:r>
      <w:r w:rsidRPr="00AA7A4C">
        <w:t>pre, during and post-crisis</w:t>
      </w:r>
      <w:r w:rsidR="000D006E">
        <w:t>)</w:t>
      </w:r>
      <w:r w:rsidRPr="00AA7A4C">
        <w:t xml:space="preserve"> period</w:t>
      </w:r>
      <w:r>
        <w:t>s</w:t>
      </w:r>
      <w:r w:rsidRPr="00AA7A4C">
        <w:t xml:space="preserve"> these three markets were closely linked and interrelated.</w:t>
      </w:r>
    </w:p>
    <w:p w14:paraId="57DA803B" w14:textId="0EE3305F" w:rsidR="00AA7A4C" w:rsidRPr="00AA7A4C" w:rsidRDefault="00AA7A4C" w:rsidP="00AA7A4C">
      <w:pPr>
        <w:pStyle w:val="NormalWeb"/>
        <w:spacing w:before="0" w:beforeAutospacing="0" w:after="240" w:afterAutospacing="0" w:line="360" w:lineRule="auto"/>
        <w:jc w:val="both"/>
      </w:pPr>
      <w:r w:rsidRPr="00AA7A4C">
        <w:t xml:space="preserve">Once the </w:t>
      </w:r>
      <w:r w:rsidR="000D006E">
        <w:t>s</w:t>
      </w:r>
      <w:r w:rsidRPr="00AA7A4C">
        <w:t xml:space="preserve">ubprime </w:t>
      </w:r>
      <w:r w:rsidR="000D006E">
        <w:t>c</w:t>
      </w:r>
      <w:r w:rsidRPr="00AA7A4C">
        <w:t>risis started, the relevance of financial variables, particularly those related to banks' credit and funding risks, acquired greater prominence. A common metric of banks' credit risks is the TED spread, or the difference between the interest rates on inter-bank loans (we use the US dollar, 3-month LIBOR) and short-term U.S. government debt (3-month US Treasury bills). This captures the risk premium on bank borrowing, since LIBOR is the rate at which banks borrow and Treasury bills (T-bills) are commonly considered risk-free.</w:t>
      </w:r>
    </w:p>
    <w:p w14:paraId="747645F3" w14:textId="2C7A5347" w:rsidR="00AA7A4C" w:rsidRPr="00AA7A4C" w:rsidRDefault="00AA7A4C" w:rsidP="00AA7A4C">
      <w:pPr>
        <w:pStyle w:val="NormalWeb"/>
        <w:spacing w:before="0" w:beforeAutospacing="0" w:after="0" w:afterAutospacing="0" w:line="360" w:lineRule="auto"/>
        <w:jc w:val="both"/>
      </w:pPr>
      <w:r w:rsidRPr="00AA7A4C">
        <w:t>However, the TED spread reflects not just banking-sector credit risk but also includes liquidity or flight-to-quality risk. These two categories of risks can be approximately decomposed. TED = (LIBOR-OIS) + (OIS-T</w:t>
      </w:r>
      <w:r>
        <w:t>-</w:t>
      </w:r>
      <w:r w:rsidRPr="00AA7A4C">
        <w:t>bill), where the OIS is an “overnight index swap” which measures the expected daily average Federal Funds rate over the next 3 months. Thus, the TED spread can be decomposed into the banking-sector credit risk premium (LIBOR-OIS) and liquidity or flight-to-quality premium (OIS-T-bill).</w:t>
      </w:r>
      <w:r w:rsidR="000D006E" w:rsidRPr="00AA7A4C">
        <w:t xml:space="preserve"> </w:t>
      </w:r>
    </w:p>
    <w:p w14:paraId="78667868" w14:textId="722FFD52" w:rsidR="00AA7A4C" w:rsidRPr="00AA7A4C" w:rsidRDefault="00AA7A4C" w:rsidP="00AA7A4C">
      <w:pPr>
        <w:pStyle w:val="NormalWeb"/>
        <w:spacing w:before="0" w:beforeAutospacing="0" w:after="0" w:afterAutospacing="0" w:line="360" w:lineRule="auto"/>
        <w:jc w:val="both"/>
      </w:pPr>
      <w:r w:rsidRPr="00AA7A4C">
        <w:t xml:space="preserve">The TED spread rose sharply in the post-Lehman-crisis period. While the liquidity premium also increased, the more substantial increase was in credit risk. Note also the spike after the start of the </w:t>
      </w:r>
      <w:r w:rsidR="000D006E">
        <w:t>s</w:t>
      </w:r>
      <w:r w:rsidRPr="00AA7A4C">
        <w:t xml:space="preserve">ubprime </w:t>
      </w:r>
      <w:r w:rsidR="000D006E">
        <w:t>c</w:t>
      </w:r>
      <w:r w:rsidRPr="00AA7A4C">
        <w:t>risis in the spread on ABCP. Since banks use these instruments for their short-term funding, the rise in these spread proxies the risks associated with rollover in short-term funding. That the trading in market for ABCP issued by banks and conduits decreased substantially within days of the Lehman bankruptcy is well known; e.g. see </w:t>
      </w:r>
      <w:hyperlink r:id="rId80" w:anchor="bib21" w:history="1">
        <w:r w:rsidRPr="000D006E">
          <w:rPr>
            <w:rStyle w:val="Hyperlink"/>
            <w:rFonts w:eastAsiaTheme="majorEastAsia"/>
            <w:color w:val="auto"/>
            <w:u w:val="none"/>
          </w:rPr>
          <w:t xml:space="preserve">Dwyer and </w:t>
        </w:r>
        <w:proofErr w:type="spellStart"/>
        <w:r w:rsidRPr="000D006E">
          <w:rPr>
            <w:rStyle w:val="Hyperlink"/>
            <w:rFonts w:eastAsiaTheme="majorEastAsia"/>
            <w:color w:val="auto"/>
            <w:u w:val="none"/>
          </w:rPr>
          <w:t>Tkac</w:t>
        </w:r>
        <w:proofErr w:type="spellEnd"/>
        <w:r w:rsidRPr="000D006E">
          <w:rPr>
            <w:rStyle w:val="Hyperlink"/>
            <w:rFonts w:eastAsiaTheme="majorEastAsia"/>
            <w:color w:val="auto"/>
            <w:u w:val="none"/>
          </w:rPr>
          <w:t xml:space="preserve"> (2009)</w:t>
        </w:r>
      </w:hyperlink>
      <w:r w:rsidRPr="000D006E">
        <w:t> </w:t>
      </w:r>
      <w:r w:rsidRPr="00AA7A4C">
        <w:t>for an overview of events in fixed-income markets before March 2009.</w:t>
      </w:r>
    </w:p>
    <w:p w14:paraId="001D598B" w14:textId="6F16704F" w:rsidR="008D0BD1" w:rsidRPr="0084314D" w:rsidRDefault="008D0BD1" w:rsidP="008D0BD1">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t xml:space="preserve">The collapse of Northern Rock, Bear Stearns and Lehman Brothers are classic examples of such phenomena.  Secondly, as an indicator of the whole financial market, during crisis the S&amp;P 500 volatility transmitted 3.58% to the OIS spread and 2.71% to the TED spread, respectively. Although there is no direct transmission between S&amp;P500 and ABCP, it is </w:t>
      </w:r>
      <w:r w:rsidRPr="0084314D">
        <w:rPr>
          <w:rFonts w:ascii="Times New Roman" w:hAnsi="Times New Roman"/>
          <w:sz w:val="24"/>
          <w:szCs w:val="24"/>
        </w:rPr>
        <w:lastRenderedPageBreak/>
        <w:t xml:space="preserve">interesting to note that the TED measurement transmitted 0.76% to the ABCP spread. There was a significant amplifying effect on liquidity shock from S&amp;P 500 through the liquidity channel of the TED spread, which eventually severely impacted on the ABCP spread. The logic of such phenomena can be explained by the elements of the TED spread and its connection to the ABCP spread channel. </w:t>
      </w:r>
    </w:p>
    <w:p w14:paraId="1137A96F" w14:textId="0A887970" w:rsidR="008D0BD1" w:rsidRPr="0084314D" w:rsidRDefault="008D0BD1" w:rsidP="008D0BD1">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t xml:space="preserve">As previously discussed, the TED spread is the spread between the three-month Treasury bill and the </w:t>
      </w:r>
      <w:r w:rsidR="00B74FA6" w:rsidRPr="0084314D">
        <w:rPr>
          <w:rFonts w:ascii="Times New Roman" w:hAnsi="Times New Roman"/>
          <w:sz w:val="24"/>
          <w:szCs w:val="24"/>
        </w:rPr>
        <w:t>three-month</w:t>
      </w:r>
      <w:r w:rsidRPr="0084314D">
        <w:rPr>
          <w:rFonts w:ascii="Times New Roman" w:hAnsi="Times New Roman"/>
          <w:sz w:val="24"/>
          <w:szCs w:val="24"/>
        </w:rPr>
        <w:t xml:space="preserve"> LIBOR. The Treasury bill is perceived to be a </w:t>
      </w:r>
      <w:r w:rsidR="00B74FA6" w:rsidRPr="0084314D">
        <w:rPr>
          <w:rFonts w:ascii="Times New Roman" w:hAnsi="Times New Roman"/>
          <w:sz w:val="24"/>
          <w:szCs w:val="24"/>
        </w:rPr>
        <w:t>risk-free</w:t>
      </w:r>
      <w:r w:rsidRPr="0084314D">
        <w:rPr>
          <w:rFonts w:ascii="Times New Roman" w:hAnsi="Times New Roman"/>
          <w:sz w:val="24"/>
          <w:szCs w:val="24"/>
        </w:rPr>
        <w:t xml:space="preserve"> rate, while the LIBOR rate is an indicator of financial institutions willingness to lend. A wider TED spread indicates that the market is undergoing a liquidity shortage, as funding is more difficult and expensive to obtain. Given the LIBOR rate is the basis of the interbank lending rate, and the basis of the TED spread and the ABCP spread are the </w:t>
      </w:r>
      <w:r w:rsidR="00B47399" w:rsidRPr="0084314D">
        <w:rPr>
          <w:rFonts w:ascii="Times New Roman" w:hAnsi="Times New Roman"/>
          <w:sz w:val="24"/>
          <w:szCs w:val="24"/>
        </w:rPr>
        <w:t>three-month</w:t>
      </w:r>
      <w:r w:rsidRPr="0084314D">
        <w:rPr>
          <w:rFonts w:ascii="Times New Roman" w:hAnsi="Times New Roman"/>
          <w:sz w:val="24"/>
          <w:szCs w:val="24"/>
        </w:rPr>
        <w:t xml:space="preserve"> Treasury bill, if the LIBOR rate increases as banks are not willing to lend to one another, the alternative method of raising short term funding by issuing ABCP papers is therefore more expensive. </w:t>
      </w:r>
    </w:p>
    <w:p w14:paraId="1F6BB7F4" w14:textId="6B7CD6A9" w:rsidR="008D0BD1" w:rsidRDefault="008D0BD1" w:rsidP="008D0BD1">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t xml:space="preserve">The interconnection of the TED spread and ABCP spread explains the amplifying effect of the liquidity shock transmission across the two channels. Also, it is interesting to observe that the transmission is bidirectional, but not symmetric, as there was a dominant source of liquidity shock transmission from market volatility. For example, the S&amp;P500 transmitted 3.58% to OIS spread, but only about 1% the other way around. A similar pattern is observed for pair-wise comparison of S&amp;P500 and TED. This suggests that the S&amp;P500 volatility has a significant impact on the liquidity transmission mechanism. This particular result also answers the question of whether liquidity shock was transmitted from A to B or vice versa. Liquidity shock was transmitted from S&amp;P 500 channel to both the TED and OIS spreads, respectively. There were few liquidity shock transmissions towards S&amp;P 500 from both interbank lending channels. </w:t>
      </w:r>
    </w:p>
    <w:p w14:paraId="0DEF41B4" w14:textId="4EDE8363" w:rsidR="006B4F6C" w:rsidRDefault="008D0BD1" w:rsidP="008D0BD1">
      <w:pPr>
        <w:tabs>
          <w:tab w:val="left" w:pos="-142"/>
          <w:tab w:val="left" w:pos="709"/>
        </w:tabs>
        <w:spacing w:line="360" w:lineRule="auto"/>
        <w:jc w:val="both"/>
        <w:rPr>
          <w:rFonts w:ascii="Times New Roman" w:hAnsi="Times New Roman"/>
          <w:sz w:val="24"/>
          <w:szCs w:val="24"/>
        </w:rPr>
      </w:pPr>
      <w:r w:rsidRPr="0084314D">
        <w:rPr>
          <w:rFonts w:ascii="Times New Roman" w:hAnsi="Times New Roman"/>
          <w:sz w:val="24"/>
          <w:szCs w:val="24"/>
        </w:rPr>
        <w:t xml:space="preserve">The interpretation of such phenomena is that the liquidity channels within the interbank market were the victims of a sudden shock. The large jump in the S&amp;P 500 channel caused significant volatility and widened the lending spread, leading to potential bank runs.  The liquidity measurement of the TED spread introduced in this doctoral study was involved in two of the three significant liquidity transmission pairs. When the TED spread increases, it is a sign that lenders believe the risk of default on interbank loans is increasing. Interbank lenders, therefore, demand a higher rate of interest, or accept lower returns on safe investments such as T-bills. Nevertheless, the question of how and why the TED spread was the most significant among </w:t>
      </w:r>
      <w:r w:rsidRPr="0084314D">
        <w:rPr>
          <w:rFonts w:ascii="Times New Roman" w:hAnsi="Times New Roman"/>
          <w:sz w:val="24"/>
          <w:szCs w:val="24"/>
        </w:rPr>
        <w:lastRenderedPageBreak/>
        <w:t xml:space="preserve">other liquidity channels remain unclear.  This empirical result of the test confirms the appropriateness of the selection of the TED spread measurement in the model, and also suggests a new direction to undertake further investigation of the role of TED in liquidity transmission. All the results presented are statistically significant, which confirms that the initial selection of these spread measurements was suitable as a proxy of liquidity channels.  </w:t>
      </w:r>
    </w:p>
    <w:p w14:paraId="2EB84958" w14:textId="4C5DB413" w:rsidR="006B4F6C" w:rsidRPr="0022256D" w:rsidRDefault="00FB5817" w:rsidP="00C83870">
      <w:pPr>
        <w:pStyle w:val="Heading3"/>
      </w:pPr>
      <w:bookmarkStart w:id="130" w:name="_Toc90499975"/>
      <w:r>
        <w:t>1.</w:t>
      </w:r>
      <w:r w:rsidR="0022256D" w:rsidRPr="0022256D">
        <w:t>4.</w:t>
      </w:r>
      <w:r>
        <w:t>7.</w:t>
      </w:r>
      <w:r w:rsidR="008B6FA0">
        <w:t>5</w:t>
      </w:r>
      <w:r w:rsidR="0022256D" w:rsidRPr="0022256D">
        <w:t xml:space="preserve"> </w:t>
      </w:r>
      <w:r w:rsidR="006B4F6C" w:rsidRPr="0022256D">
        <w:t>Graphic representation of   ARMA-GJR-DCC (1, 1)</w:t>
      </w:r>
      <w:bookmarkEnd w:id="130"/>
    </w:p>
    <w:p w14:paraId="6EE27C39" w14:textId="2D9CD54F" w:rsidR="006B4F6C" w:rsidRPr="00FB5817" w:rsidRDefault="006B4F6C" w:rsidP="006B4F6C">
      <w:pPr>
        <w:spacing w:line="360" w:lineRule="auto"/>
        <w:jc w:val="both"/>
        <w:rPr>
          <w:rFonts w:ascii="Times New Roman" w:hAnsi="Times New Roman" w:cs="Times New Roman"/>
          <w:sz w:val="24"/>
          <w:szCs w:val="24"/>
        </w:rPr>
      </w:pPr>
      <w:r w:rsidRPr="00FB5817">
        <w:rPr>
          <w:rFonts w:ascii="Times New Roman" w:hAnsi="Times New Roman" w:cs="Times New Roman"/>
          <w:sz w:val="24"/>
          <w:szCs w:val="24"/>
        </w:rPr>
        <w:t xml:space="preserve">The dynamic conditional correlations implied in the DCC model are plotted in Figure </w:t>
      </w:r>
      <w:r w:rsidR="00173345">
        <w:rPr>
          <w:rFonts w:ascii="Times New Roman" w:hAnsi="Times New Roman" w:cs="Times New Roman"/>
          <w:sz w:val="24"/>
          <w:szCs w:val="24"/>
        </w:rPr>
        <w:t>1.</w:t>
      </w:r>
      <w:r w:rsidRPr="00FB5817">
        <w:rPr>
          <w:rFonts w:ascii="Times New Roman" w:hAnsi="Times New Roman" w:cs="Times New Roman"/>
          <w:sz w:val="24"/>
          <w:szCs w:val="24"/>
        </w:rPr>
        <w:t>4.1</w:t>
      </w:r>
      <w:r w:rsidR="009E6C64">
        <w:rPr>
          <w:rFonts w:ascii="Times New Roman" w:hAnsi="Times New Roman" w:cs="Times New Roman"/>
          <w:sz w:val="24"/>
          <w:szCs w:val="24"/>
        </w:rPr>
        <w:t>7</w:t>
      </w:r>
      <w:r w:rsidRPr="00FB5817">
        <w:rPr>
          <w:rFonts w:ascii="Times New Roman" w:hAnsi="Times New Roman" w:cs="Times New Roman"/>
          <w:sz w:val="24"/>
          <w:szCs w:val="24"/>
        </w:rPr>
        <w:t xml:space="preserve">, as demonstrated by the blue curves. Without exception, the figures represent time-varying patterns in the correlation dynamic path. Accordingly, the current strategy of using the DCC model is testified. In general, all three spreads exhibit relatively high conditional correlation, which is consistent with unconditional correlation. The TED and ABCP show the highest correlation for returns between Jan 2005-Dec-2009. These figures also offer visual evidence showing the conditional correlation obtained from the DCC (1,1) model versus actual semi-annual (e.g., six months) sample correlation (in dash lines). By visually evaluating these figures, it is clear that forecasting from the ARMA-GJR-DCC (1, 1) is too noisy to represent true correlation. In particular, the fluctuations often exceed long-term changes in sample correlations. Last but not least, from the implied time-varying conditional correlation in ARMA-GJR-DCC (1, 1), it is effortless to distinguish dynamic conditional correlation and unconditional correlations between the </w:t>
      </w:r>
      <w:r w:rsidR="00E57423" w:rsidRPr="00FB5817">
        <w:rPr>
          <w:rFonts w:ascii="Times New Roman" w:hAnsi="Times New Roman" w:cs="Times New Roman"/>
          <w:sz w:val="24"/>
          <w:szCs w:val="24"/>
        </w:rPr>
        <w:t>spreads and S&amp;P 500</w:t>
      </w:r>
      <w:r w:rsidR="00B47399" w:rsidRPr="00FB5817">
        <w:rPr>
          <w:rFonts w:ascii="Times New Roman" w:hAnsi="Times New Roman" w:cs="Times New Roman"/>
          <w:sz w:val="24"/>
          <w:szCs w:val="24"/>
        </w:rPr>
        <w:t>.</w:t>
      </w:r>
      <w:r w:rsidRPr="00FB5817">
        <w:rPr>
          <w:rFonts w:ascii="Times New Roman" w:hAnsi="Times New Roman" w:cs="Times New Roman"/>
          <w:sz w:val="24"/>
          <w:szCs w:val="24"/>
        </w:rPr>
        <w:t xml:space="preserve">  </w:t>
      </w:r>
    </w:p>
    <w:p w14:paraId="22AA470C" w14:textId="77777777" w:rsidR="008128CD" w:rsidRDefault="008D0BD1" w:rsidP="008128CD">
      <w:pPr>
        <w:keepNext/>
        <w:tabs>
          <w:tab w:val="left" w:pos="-142"/>
          <w:tab w:val="left" w:pos="709"/>
        </w:tabs>
        <w:spacing w:line="360" w:lineRule="auto"/>
        <w:jc w:val="both"/>
      </w:pPr>
      <w:r w:rsidRPr="0084314D">
        <w:rPr>
          <w:rFonts w:ascii="Times New Roman" w:hAnsi="Times New Roman"/>
          <w:sz w:val="24"/>
          <w:szCs w:val="24"/>
        </w:rPr>
        <w:lastRenderedPageBreak/>
        <w:t xml:space="preserve"> </w:t>
      </w:r>
      <w:r w:rsidR="00E57423" w:rsidRPr="00D84CEF">
        <w:rPr>
          <w:noProof/>
          <w:lang w:eastAsia="en-GB"/>
        </w:rPr>
        <w:drawing>
          <wp:inline distT="0" distB="0" distL="0" distR="0" wp14:anchorId="5C82BDA3" wp14:editId="70DCE1BB">
            <wp:extent cx="5552440" cy="49434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7399" t="2827" r="6324" b="5488"/>
                    <a:stretch/>
                  </pic:blipFill>
                  <pic:spPr bwMode="auto">
                    <a:xfrm>
                      <a:off x="0" y="0"/>
                      <a:ext cx="5552440" cy="4943467"/>
                    </a:xfrm>
                    <a:prstGeom prst="rect">
                      <a:avLst/>
                    </a:prstGeom>
                    <a:noFill/>
                    <a:ln>
                      <a:noFill/>
                    </a:ln>
                    <a:extLst>
                      <a:ext uri="{53640926-AAD7-44D8-BBD7-CCE9431645EC}">
                        <a14:shadowObscured xmlns:a14="http://schemas.microsoft.com/office/drawing/2010/main"/>
                      </a:ext>
                    </a:extLst>
                  </pic:spPr>
                </pic:pic>
              </a:graphicData>
            </a:graphic>
          </wp:inline>
        </w:drawing>
      </w:r>
    </w:p>
    <w:p w14:paraId="68787F0F" w14:textId="00986567" w:rsidR="00173345" w:rsidRPr="008128CD" w:rsidRDefault="008128CD" w:rsidP="008128CD">
      <w:pPr>
        <w:pStyle w:val="Caption"/>
        <w:jc w:val="both"/>
        <w:rPr>
          <w:rFonts w:ascii="Times New Roman" w:hAnsi="Times New Roman" w:cs="Times New Roman"/>
          <w:color w:val="auto"/>
          <w:sz w:val="24"/>
          <w:szCs w:val="24"/>
        </w:rPr>
      </w:pPr>
      <w:bookmarkStart w:id="131" w:name="_Toc78498686"/>
      <w:r w:rsidRPr="008128CD">
        <w:rPr>
          <w:rFonts w:ascii="Times New Roman" w:hAnsi="Times New Roman" w:cs="Times New Roman"/>
          <w:color w:val="auto"/>
          <w:sz w:val="24"/>
          <w:szCs w:val="24"/>
        </w:rPr>
        <w:t xml:space="preserve">Figure </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9730F8">
        <w:rPr>
          <w:rFonts w:ascii="Times New Roman" w:hAnsi="Times New Roman" w:cs="Times New Roman"/>
          <w:noProof/>
          <w:color w:val="auto"/>
          <w:sz w:val="24"/>
          <w:szCs w:val="24"/>
        </w:rPr>
        <w:t>.</w:t>
      </w:r>
      <w:r w:rsidR="00AF7FD4">
        <w:rPr>
          <w:rFonts w:ascii="Times New Roman" w:hAnsi="Times New Roman" w:cs="Times New Roman"/>
          <w:noProof/>
          <w:color w:val="auto"/>
          <w:sz w:val="24"/>
          <w:szCs w:val="24"/>
        </w:rPr>
        <w:t>4</w:t>
      </w:r>
      <w:r w:rsidR="00AF7FD4">
        <w:rPr>
          <w:rFonts w:ascii="Times New Roman" w:hAnsi="Times New Roman" w:cs="Times New Roman"/>
          <w:color w:val="auto"/>
          <w:sz w:val="24"/>
          <w:szCs w:val="24"/>
        </w:rPr>
        <w:fldChar w:fldCharType="end"/>
      </w:r>
      <w:r w:rsidR="009730F8">
        <w:rPr>
          <w:rFonts w:ascii="Times New Roman" w:hAnsi="Times New Roman" w:cs="Times New Roman"/>
          <w:color w:val="auto"/>
          <w:sz w:val="24"/>
          <w:szCs w:val="24"/>
        </w:rPr>
        <w:t>.17</w:t>
      </w:r>
      <w:r w:rsidRPr="008128CD">
        <w:rPr>
          <w:rFonts w:ascii="Times New Roman" w:hAnsi="Times New Roman" w:cs="Times New Roman"/>
          <w:color w:val="auto"/>
          <w:sz w:val="24"/>
          <w:szCs w:val="24"/>
        </w:rPr>
        <w:t xml:space="preserve"> Time-varying Conditional Correlations</w:t>
      </w:r>
      <w:bookmarkEnd w:id="131"/>
    </w:p>
    <w:p w14:paraId="22F7FC32" w14:textId="6A2D69E5"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6B445C51" w14:textId="38967F5F" w:rsidR="00B47399" w:rsidRDefault="00B47399" w:rsidP="008D0BD1">
      <w:pPr>
        <w:tabs>
          <w:tab w:val="left" w:pos="1537"/>
        </w:tabs>
        <w:spacing w:after="0" w:line="240" w:lineRule="auto"/>
        <w:rPr>
          <w:rFonts w:ascii="Times New Roman" w:eastAsiaTheme="minorEastAsia" w:hAnsi="Times New Roman"/>
          <w:b/>
          <w:szCs w:val="24"/>
          <w:lang w:val="en-US" w:eastAsia="hu-HU"/>
        </w:rPr>
      </w:pPr>
    </w:p>
    <w:p w14:paraId="00A12161" w14:textId="408A2CC0" w:rsidR="00B47399" w:rsidRDefault="00B47399" w:rsidP="008D0BD1">
      <w:pPr>
        <w:tabs>
          <w:tab w:val="left" w:pos="1537"/>
        </w:tabs>
        <w:spacing w:after="0" w:line="240" w:lineRule="auto"/>
        <w:rPr>
          <w:rFonts w:ascii="Times New Roman" w:eastAsiaTheme="minorEastAsia" w:hAnsi="Times New Roman"/>
          <w:b/>
          <w:szCs w:val="24"/>
          <w:lang w:val="en-US" w:eastAsia="hu-HU"/>
        </w:rPr>
      </w:pPr>
    </w:p>
    <w:p w14:paraId="0FE3A988" w14:textId="2BEB74F0" w:rsidR="00B47399" w:rsidRDefault="00B47399" w:rsidP="008D0BD1">
      <w:pPr>
        <w:tabs>
          <w:tab w:val="left" w:pos="1537"/>
        </w:tabs>
        <w:spacing w:after="0" w:line="240" w:lineRule="auto"/>
        <w:rPr>
          <w:rFonts w:ascii="Times New Roman" w:eastAsiaTheme="minorEastAsia" w:hAnsi="Times New Roman"/>
          <w:b/>
          <w:szCs w:val="24"/>
          <w:lang w:val="en-US" w:eastAsia="hu-HU"/>
        </w:rPr>
      </w:pPr>
    </w:p>
    <w:p w14:paraId="02F1ED50" w14:textId="77777777" w:rsidR="00B47399" w:rsidRDefault="00B47399" w:rsidP="008D0BD1">
      <w:pPr>
        <w:tabs>
          <w:tab w:val="left" w:pos="1537"/>
        </w:tabs>
        <w:spacing w:after="0" w:line="240" w:lineRule="auto"/>
        <w:rPr>
          <w:rFonts w:ascii="Times New Roman" w:eastAsiaTheme="minorEastAsia" w:hAnsi="Times New Roman"/>
          <w:b/>
          <w:szCs w:val="24"/>
          <w:lang w:val="en-US" w:eastAsia="hu-HU"/>
        </w:rPr>
      </w:pPr>
    </w:p>
    <w:p w14:paraId="01A6EA0B" w14:textId="476E1101"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648F1C57" w14:textId="613F32A9" w:rsidR="006F0FF8" w:rsidRDefault="006F0FF8" w:rsidP="008D0BD1">
      <w:pPr>
        <w:tabs>
          <w:tab w:val="left" w:pos="1537"/>
        </w:tabs>
        <w:spacing w:after="0" w:line="240" w:lineRule="auto"/>
        <w:rPr>
          <w:rFonts w:ascii="Times New Roman" w:eastAsiaTheme="minorEastAsia" w:hAnsi="Times New Roman"/>
          <w:b/>
          <w:szCs w:val="24"/>
          <w:lang w:val="en-US" w:eastAsia="hu-HU"/>
        </w:rPr>
      </w:pPr>
    </w:p>
    <w:p w14:paraId="50875D4D" w14:textId="74133FFE" w:rsidR="006F0FF8" w:rsidRDefault="006F0FF8" w:rsidP="008D0BD1">
      <w:pPr>
        <w:tabs>
          <w:tab w:val="left" w:pos="1537"/>
        </w:tabs>
        <w:spacing w:after="0" w:line="240" w:lineRule="auto"/>
        <w:rPr>
          <w:rFonts w:ascii="Times New Roman" w:eastAsiaTheme="minorEastAsia" w:hAnsi="Times New Roman"/>
          <w:b/>
          <w:szCs w:val="24"/>
          <w:lang w:val="en-US" w:eastAsia="hu-HU"/>
        </w:rPr>
      </w:pPr>
    </w:p>
    <w:p w14:paraId="218AD821" w14:textId="66923058" w:rsidR="006F0FF8" w:rsidRDefault="006F0FF8" w:rsidP="008D0BD1">
      <w:pPr>
        <w:tabs>
          <w:tab w:val="left" w:pos="1537"/>
        </w:tabs>
        <w:spacing w:after="0" w:line="240" w:lineRule="auto"/>
        <w:rPr>
          <w:rFonts w:ascii="Times New Roman" w:eastAsiaTheme="minorEastAsia" w:hAnsi="Times New Roman"/>
          <w:b/>
          <w:szCs w:val="24"/>
          <w:lang w:val="en-US" w:eastAsia="hu-HU"/>
        </w:rPr>
      </w:pPr>
    </w:p>
    <w:p w14:paraId="11558F51" w14:textId="1A67C6C2" w:rsidR="006F0FF8" w:rsidRDefault="006F0FF8" w:rsidP="008D0BD1">
      <w:pPr>
        <w:tabs>
          <w:tab w:val="left" w:pos="1537"/>
        </w:tabs>
        <w:spacing w:after="0" w:line="240" w:lineRule="auto"/>
        <w:rPr>
          <w:rFonts w:ascii="Times New Roman" w:eastAsiaTheme="minorEastAsia" w:hAnsi="Times New Roman"/>
          <w:b/>
          <w:szCs w:val="24"/>
          <w:lang w:val="en-US" w:eastAsia="hu-HU"/>
        </w:rPr>
      </w:pPr>
    </w:p>
    <w:p w14:paraId="1A40BA06" w14:textId="77777777" w:rsidR="006F0FF8" w:rsidRDefault="006F0FF8" w:rsidP="008D0BD1">
      <w:pPr>
        <w:tabs>
          <w:tab w:val="left" w:pos="1537"/>
        </w:tabs>
        <w:spacing w:after="0" w:line="240" w:lineRule="auto"/>
        <w:rPr>
          <w:rFonts w:ascii="Times New Roman" w:eastAsiaTheme="minorEastAsia" w:hAnsi="Times New Roman"/>
          <w:b/>
          <w:szCs w:val="24"/>
          <w:lang w:val="en-US" w:eastAsia="hu-HU"/>
        </w:rPr>
      </w:pPr>
    </w:p>
    <w:p w14:paraId="2CD6C895"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2985CFB9"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4F8CB98E"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67563275"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10B61F0D"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50EC1B33" w14:textId="77777777" w:rsidR="00E57423" w:rsidRDefault="00E57423" w:rsidP="008D0BD1">
      <w:pPr>
        <w:tabs>
          <w:tab w:val="left" w:pos="1537"/>
        </w:tabs>
        <w:spacing w:after="0" w:line="240" w:lineRule="auto"/>
        <w:rPr>
          <w:rFonts w:ascii="Times New Roman" w:eastAsiaTheme="minorEastAsia" w:hAnsi="Times New Roman"/>
          <w:b/>
          <w:szCs w:val="24"/>
          <w:lang w:val="en-US" w:eastAsia="hu-HU"/>
        </w:rPr>
      </w:pPr>
    </w:p>
    <w:p w14:paraId="0FFD415C" w14:textId="08BF3731" w:rsidR="008D0BD1" w:rsidRDefault="00FB5817" w:rsidP="00B47399">
      <w:pPr>
        <w:pStyle w:val="Heading1"/>
        <w:rPr>
          <w:rFonts w:eastAsiaTheme="minorEastAsia"/>
          <w:lang w:val="en-US" w:eastAsia="hu-HU"/>
        </w:rPr>
      </w:pPr>
      <w:bookmarkStart w:id="132" w:name="_Toc90499976"/>
      <w:r>
        <w:rPr>
          <w:rFonts w:eastAsiaTheme="minorEastAsia"/>
          <w:lang w:val="en-US" w:eastAsia="hu-HU"/>
        </w:rPr>
        <w:lastRenderedPageBreak/>
        <w:t>1.5</w:t>
      </w:r>
      <w:r w:rsidR="00B47399">
        <w:rPr>
          <w:rFonts w:eastAsiaTheme="minorEastAsia"/>
          <w:lang w:val="en-US" w:eastAsia="hu-HU"/>
        </w:rPr>
        <w:t xml:space="preserve"> </w:t>
      </w:r>
      <w:r w:rsidR="008D0BD1" w:rsidRPr="001752EC">
        <w:rPr>
          <w:rFonts w:eastAsiaTheme="minorEastAsia"/>
          <w:lang w:val="en-US" w:eastAsia="hu-HU"/>
        </w:rPr>
        <w:t>Conclusions</w:t>
      </w:r>
      <w:bookmarkEnd w:id="132"/>
    </w:p>
    <w:p w14:paraId="2521FA43" w14:textId="238AB4C2" w:rsidR="008D0BD1" w:rsidRDefault="008D0BD1" w:rsidP="008D0BD1">
      <w:pPr>
        <w:tabs>
          <w:tab w:val="left" w:pos="1537"/>
        </w:tabs>
        <w:spacing w:after="0" w:line="240" w:lineRule="auto"/>
        <w:rPr>
          <w:rFonts w:ascii="Times New Roman" w:eastAsiaTheme="minorEastAsia" w:hAnsi="Times New Roman"/>
          <w:b/>
          <w:szCs w:val="24"/>
          <w:lang w:val="en-US" w:eastAsia="hu-HU"/>
        </w:rPr>
      </w:pPr>
    </w:p>
    <w:p w14:paraId="4955B111" w14:textId="347DA9EA" w:rsidR="008D0BD1" w:rsidRPr="0084314D" w:rsidRDefault="008D0BD1" w:rsidP="008D0BD1">
      <w:pPr>
        <w:spacing w:after="0" w:line="360" w:lineRule="auto"/>
        <w:jc w:val="both"/>
        <w:rPr>
          <w:rFonts w:ascii="Times New Roman" w:hAnsi="Times New Roman"/>
          <w:sz w:val="24"/>
          <w:szCs w:val="24"/>
        </w:rPr>
      </w:pPr>
      <w:r w:rsidRPr="0084314D">
        <w:rPr>
          <w:rFonts w:ascii="Times New Roman" w:hAnsi="Times New Roman"/>
          <w:sz w:val="24"/>
          <w:szCs w:val="24"/>
        </w:rPr>
        <w:t xml:space="preserve">The subprime mortgage crisis has had a significant impact on the extent to which financial institutions trust each other, especially with regard to extending credit and dealing in securities and other financial products. Trust and creditability are vital to whether banks succeed or fail in a highly competitive market. In the case of financial markets, trust can be defined as “faith or confidence in the loyalty, strength, veracity of a person or thing without examination”. During the subprime mortgage crisis, issues of trust or mistrust led to the failures of some commercial banks, for example, Northern Rock, and some investment banks such as Lehman Brothers. In the financial world, trust means a number of things to the people who run the institutions. A lack of trust in banks or in financial markets can undermine the system as a whole. This is observed during the subprime mortgage crisis, as banks stopped lending to each other due to liquidity constraints and fears the counterparty might not be able to repay. The development of a relationship of trust between bankers and their clients leads to the build-up of informational capital. </w:t>
      </w:r>
    </w:p>
    <w:p w14:paraId="53EC504C" w14:textId="77777777" w:rsidR="008D0BD1" w:rsidRPr="0084314D" w:rsidRDefault="008D0BD1" w:rsidP="008D0BD1">
      <w:pPr>
        <w:spacing w:after="0" w:line="360" w:lineRule="auto"/>
        <w:jc w:val="both"/>
        <w:rPr>
          <w:rFonts w:ascii="Times New Roman" w:hAnsi="Times New Roman"/>
          <w:sz w:val="24"/>
          <w:szCs w:val="24"/>
        </w:rPr>
      </w:pPr>
    </w:p>
    <w:p w14:paraId="22687229" w14:textId="77777777" w:rsidR="008D0BD1" w:rsidRPr="0084314D" w:rsidRDefault="008D0BD1" w:rsidP="008D0BD1">
      <w:pPr>
        <w:spacing w:after="0" w:line="360" w:lineRule="auto"/>
        <w:jc w:val="both"/>
        <w:rPr>
          <w:rFonts w:ascii="Times New Roman" w:hAnsi="Times New Roman"/>
          <w:sz w:val="24"/>
          <w:szCs w:val="24"/>
        </w:rPr>
      </w:pPr>
      <w:r w:rsidRPr="0084314D">
        <w:rPr>
          <w:rFonts w:ascii="Times New Roman" w:hAnsi="Times New Roman"/>
          <w:sz w:val="24"/>
          <w:szCs w:val="24"/>
        </w:rPr>
        <w:t xml:space="preserve">As bankers move further away from their clients and trust is lost, this knowledge is lost as well. Real investment in an economy, which generates economic growth and jobs, requires funding. Similarly, households require funding to finance housing and other forms of expenditure, whether of a longer-term investment nature, such as education, or more consumer-type expenditure. Banks and other financial intermediaries play a unique role in channelling savings to investors. Both savers and investors face risk and uncertainty. Savers cannot always easily assess the risk of an investment, and by pooling savings, banks allow for increased returns for savers. Investors who require funds for investment projects, on the other hand, can take advantage of the pooling of savings and the intermediation services of banks or other financial agents. A healthy, well-functioning financial sector is essential for economic growth. When the banking sector becomes dysfunctional and stops lending, the implications for the real economy can be extremely serious. According to the financial accelerator theory, which helps to explain the procyclical nature of bank lending, adverse conditions in the financial markets impact on the real economy, which in turn reinforces the negative conditions in financial markets.  This negative feedback loop propagates and amplifies the downturn. The opposite is true for favourable feedback loops.  </w:t>
      </w:r>
    </w:p>
    <w:p w14:paraId="1B4536D8" w14:textId="7123F47C" w:rsidR="008D0BD1" w:rsidRPr="0084314D" w:rsidRDefault="008D0BD1" w:rsidP="008D0BD1">
      <w:pPr>
        <w:tabs>
          <w:tab w:val="left" w:pos="1537"/>
        </w:tabs>
        <w:spacing w:after="0" w:line="240" w:lineRule="auto"/>
        <w:rPr>
          <w:rFonts w:ascii="Times New Roman" w:eastAsiaTheme="minorEastAsia" w:hAnsi="Times New Roman"/>
          <w:b/>
          <w:sz w:val="24"/>
          <w:szCs w:val="24"/>
          <w:lang w:eastAsia="hu-HU"/>
        </w:rPr>
      </w:pPr>
    </w:p>
    <w:p w14:paraId="4516F442" w14:textId="1D7EAE3D" w:rsidR="008D0BD1" w:rsidRPr="0084314D" w:rsidRDefault="008D0BD1" w:rsidP="008D0BD1">
      <w:pPr>
        <w:spacing w:after="0" w:line="360" w:lineRule="auto"/>
        <w:jc w:val="both"/>
        <w:rPr>
          <w:rFonts w:ascii="Times New Roman" w:hAnsi="Times New Roman"/>
          <w:sz w:val="24"/>
          <w:szCs w:val="24"/>
          <w:lang w:eastAsia="zh-TW"/>
        </w:rPr>
      </w:pPr>
      <w:r w:rsidRPr="0084314D">
        <w:rPr>
          <w:rFonts w:ascii="Times New Roman" w:hAnsi="Times New Roman"/>
          <w:sz w:val="24"/>
          <w:szCs w:val="24"/>
        </w:rPr>
        <w:lastRenderedPageBreak/>
        <w:t>This accelerator principle implies that there are disproportionate increases or decreases in credit extension in response to changes in underlying conditions.  For example, during a boom, asset prices rise, and this increases the value of collateral available, allowing for increased leverage and credit expansion. More investment is undertaken, and more jobs are created, which in turn leads to further expansion in the financial sector. Conversely, when asset values fall, deleveraging occurs as the value of existing collateral declines, with negative implications for the real economy.</w:t>
      </w:r>
      <w:r w:rsidRPr="0084314D">
        <w:rPr>
          <w:rFonts w:ascii="Times New Roman" w:hAnsi="Times New Roman"/>
          <w:sz w:val="24"/>
          <w:szCs w:val="24"/>
          <w:lang w:eastAsia="zh-TW"/>
        </w:rPr>
        <w:t xml:space="preserve"> Normal cyclical downturns are often reinforced by tight monetary policies in response to an overheating economy and inflationary pressures, and the downturn can be effectively moderated by a reversal in the monetary policy stance. There are differing views as to the origins of the global financial crisis, but it is widely accepted that a combination of weak or light-touch regulation of the banking system, coupled with some rather questionable innovations in the banking sector, were at the epicentre of the crisis. It became clear in the aftermath of the crisis that many of the senior bank executives did not fully understand these complex products and the risks associated with them. </w:t>
      </w:r>
    </w:p>
    <w:p w14:paraId="3C468688" w14:textId="4910FD4D" w:rsidR="008D0BD1" w:rsidRPr="00B74FA6" w:rsidRDefault="008D0BD1" w:rsidP="00B74FA6">
      <w:pPr>
        <w:spacing w:line="360" w:lineRule="auto"/>
        <w:jc w:val="both"/>
        <w:rPr>
          <w:rFonts w:ascii="Times New Roman" w:eastAsiaTheme="minorEastAsia" w:hAnsi="Times New Roman" w:cs="Times New Roman"/>
          <w:sz w:val="24"/>
          <w:szCs w:val="24"/>
          <w:lang w:val="en-US" w:eastAsia="hu-HU"/>
        </w:rPr>
      </w:pPr>
      <w:r w:rsidRPr="0084314D">
        <w:rPr>
          <w:rFonts w:ascii="Times New Roman" w:hAnsi="Times New Roman" w:cs="Times New Roman"/>
          <w:sz w:val="24"/>
          <w:szCs w:val="24"/>
        </w:rPr>
        <w:t xml:space="preserve">The DCC analysis shows </w:t>
      </w:r>
      <w:r w:rsidR="00E67F8F" w:rsidRPr="0084314D">
        <w:rPr>
          <w:rFonts w:ascii="Times New Roman" w:hAnsi="Times New Roman" w:cs="Times New Roman"/>
          <w:sz w:val="24"/>
          <w:szCs w:val="24"/>
        </w:rPr>
        <w:t>three</w:t>
      </w:r>
      <w:r w:rsidRPr="0084314D">
        <w:rPr>
          <w:rFonts w:ascii="Times New Roman" w:hAnsi="Times New Roman" w:cs="Times New Roman"/>
          <w:sz w:val="24"/>
          <w:szCs w:val="24"/>
        </w:rPr>
        <w:t xml:space="preserve"> structural breaks. The first one is matched with the finding of Frank </w:t>
      </w:r>
      <w:r w:rsidRPr="0084314D">
        <w:rPr>
          <w:rFonts w:ascii="Times New Roman" w:hAnsi="Times New Roman" w:cs="Times New Roman"/>
          <w:i/>
          <w:sz w:val="24"/>
          <w:szCs w:val="24"/>
        </w:rPr>
        <w:t>et al.</w:t>
      </w:r>
      <w:r w:rsidRPr="0084314D">
        <w:rPr>
          <w:rFonts w:ascii="Times New Roman" w:hAnsi="Times New Roman" w:cs="Times New Roman"/>
          <w:sz w:val="24"/>
          <w:szCs w:val="24"/>
        </w:rPr>
        <w:t xml:space="preserve"> (2008)</w:t>
      </w:r>
      <w:r w:rsidR="00E67F8F" w:rsidRPr="0084314D">
        <w:rPr>
          <w:rFonts w:ascii="Times New Roman" w:hAnsi="Times New Roman" w:cs="Times New Roman"/>
          <w:sz w:val="24"/>
          <w:szCs w:val="24"/>
        </w:rPr>
        <w:t>,</w:t>
      </w:r>
      <w:r w:rsidRPr="0084314D">
        <w:rPr>
          <w:rFonts w:ascii="Times New Roman" w:hAnsi="Times New Roman" w:cs="Times New Roman"/>
          <w:sz w:val="24"/>
          <w:szCs w:val="24"/>
        </w:rPr>
        <w:t xml:space="preserve"> the second structural break is found in September 2008 which can be explained by the collapse of Lehman Brothers and that the general market perception of financial distress leads to higher market volatility</w:t>
      </w:r>
      <w:r w:rsidR="00E67F8F" w:rsidRPr="0084314D">
        <w:rPr>
          <w:rFonts w:ascii="Times New Roman" w:hAnsi="Times New Roman" w:cs="Times New Roman"/>
          <w:sz w:val="24"/>
          <w:szCs w:val="24"/>
        </w:rPr>
        <w:t xml:space="preserve"> and the third structural break express the aftershock mechanism</w:t>
      </w:r>
      <w:r w:rsidRPr="0084314D">
        <w:rPr>
          <w:rFonts w:ascii="Times New Roman" w:hAnsi="Times New Roman" w:cs="Times New Roman"/>
          <w:sz w:val="24"/>
          <w:szCs w:val="24"/>
        </w:rPr>
        <w:t xml:space="preserve">. The results from the bivariate BEKK estimation show that there are three exceptionally significant LTs </w:t>
      </w:r>
      <w:r w:rsidR="00286D2A" w:rsidRPr="0084314D">
        <w:rPr>
          <w:rFonts w:ascii="Times New Roman" w:hAnsi="Times New Roman" w:cs="Times New Roman"/>
          <w:sz w:val="24"/>
          <w:szCs w:val="24"/>
        </w:rPr>
        <w:t>pairwise</w:t>
      </w:r>
      <w:r w:rsidRPr="0084314D">
        <w:rPr>
          <w:rFonts w:ascii="Times New Roman" w:hAnsi="Times New Roman" w:cs="Times New Roman"/>
          <w:sz w:val="24"/>
          <w:szCs w:val="24"/>
        </w:rPr>
        <w:t xml:space="preserve"> across the four liquidity measurements and moreover, two of them involve the TED indicator</w:t>
      </w:r>
      <w:r w:rsidRPr="0084314D">
        <w:rPr>
          <w:rFonts w:ascii="Times New Roman" w:eastAsiaTheme="minorEastAsia" w:hAnsi="Times New Roman" w:cs="Times New Roman"/>
          <w:sz w:val="24"/>
          <w:szCs w:val="24"/>
          <w:lang w:val="en-US" w:eastAsia="hu-HU"/>
        </w:rPr>
        <w:t xml:space="preserve">. The dynamics of LT within the interbank market found significant evidence that there were liquidity shocks spillovers in the four different liquidity measurements across the U.S. market. Banks are able to obtain short-term funding from the ABCP market under normal market condition. However, in the event of bank failures the confidence of the interbank market reduced significantly. Banks with an unhealthy balance sheet such as high leverage ratio may become illiquid but still solvent, where they possess </w:t>
      </w:r>
      <w:r w:rsidRPr="00B74FA6">
        <w:rPr>
          <w:rFonts w:ascii="Times New Roman" w:eastAsiaTheme="minorEastAsia" w:hAnsi="Times New Roman" w:cs="Times New Roman"/>
          <w:sz w:val="24"/>
          <w:szCs w:val="24"/>
          <w:lang w:val="en-US" w:eastAsia="hu-HU"/>
        </w:rPr>
        <w:t xml:space="preserve">sufficient assets against their liabilities but are unable to meet the short-term financial obligations. This is demonstrated by the drying up of the ABCP market during the crisis period. In addition, as the interbank market was intensified by a series of negative events during the SMC, the TED spread jumped up significantly. This indicates that as the overall perceived credit risk rose in the interbank market the willingness of banks to lend to each other is significantly diminished. </w:t>
      </w:r>
    </w:p>
    <w:p w14:paraId="42A26E49" w14:textId="77146A77" w:rsidR="008D0BD1" w:rsidRPr="0084314D" w:rsidRDefault="008D0BD1" w:rsidP="00B74FA6">
      <w:pPr>
        <w:spacing w:line="360" w:lineRule="auto"/>
        <w:jc w:val="both"/>
        <w:rPr>
          <w:rFonts w:ascii="Times New Roman" w:hAnsi="Times New Roman" w:cs="Times New Roman"/>
          <w:sz w:val="24"/>
          <w:szCs w:val="24"/>
        </w:rPr>
      </w:pPr>
      <w:r w:rsidRPr="00B74FA6">
        <w:rPr>
          <w:rFonts w:ascii="Times New Roman" w:hAnsi="Times New Roman" w:cs="Times New Roman"/>
          <w:sz w:val="24"/>
          <w:szCs w:val="24"/>
        </w:rPr>
        <w:lastRenderedPageBreak/>
        <w:t xml:space="preserve">The Ted spread was the most significant of the shock transmitting forces, while the APCB spread was the least influential among all sample lending channels. Furthermore, there was an amplifying effect of the liquidity shock transmission through the TED spread channel. The market-wide study provides an insight into the sources of liquidity shock transmission within the banking system during the time of financial distress. Interbank lending channels can turn into channels which transmit liquidity </w:t>
      </w:r>
      <w:r w:rsidR="00B74FA6" w:rsidRPr="00B74FA6">
        <w:rPr>
          <w:rFonts w:ascii="Times New Roman" w:hAnsi="Times New Roman" w:cs="Times New Roman"/>
          <w:sz w:val="24"/>
          <w:szCs w:val="24"/>
        </w:rPr>
        <w:t>shocks.</w:t>
      </w:r>
      <w:r w:rsidR="00B74FA6" w:rsidRPr="00B74FA6">
        <w:rPr>
          <w:rFonts w:ascii="Times New Roman" w:eastAsiaTheme="minorEastAsia" w:hAnsi="Times New Roman" w:cs="Times New Roman"/>
          <w:sz w:val="24"/>
          <w:szCs w:val="24"/>
          <w:lang w:val="en-US" w:eastAsia="hu-HU"/>
        </w:rPr>
        <w:t xml:space="preserve"> Further</w:t>
      </w:r>
      <w:r w:rsidRPr="00B74FA6">
        <w:rPr>
          <w:rFonts w:ascii="Times New Roman" w:eastAsiaTheme="minorEastAsia" w:hAnsi="Times New Roman" w:cs="Times New Roman"/>
          <w:sz w:val="24"/>
          <w:szCs w:val="24"/>
          <w:lang w:val="en-US" w:eastAsia="hu-HU"/>
        </w:rPr>
        <w:t xml:space="preserve"> research should focus on </w:t>
      </w:r>
      <w:r w:rsidR="00B74FA6" w:rsidRPr="00B74FA6">
        <w:rPr>
          <w:rFonts w:ascii="Times New Roman" w:eastAsiaTheme="minorEastAsia" w:hAnsi="Times New Roman" w:cs="Times New Roman"/>
          <w:sz w:val="24"/>
          <w:szCs w:val="24"/>
          <w:lang w:val="en-US" w:eastAsia="hu-HU"/>
        </w:rPr>
        <w:t>analyzing</w:t>
      </w:r>
      <w:r w:rsidRPr="00B74FA6">
        <w:rPr>
          <w:rFonts w:ascii="Times New Roman" w:eastAsiaTheme="minorEastAsia" w:hAnsi="Times New Roman" w:cs="Times New Roman"/>
          <w:sz w:val="24"/>
          <w:szCs w:val="24"/>
          <w:lang w:val="en-US" w:eastAsia="hu-HU"/>
        </w:rPr>
        <w:t xml:space="preserve"> other, not so profound, crisis. Also, the parameters considered have to be adapted to various</w:t>
      </w:r>
      <w:r w:rsidRPr="0084314D">
        <w:rPr>
          <w:rFonts w:ascii="Times New Roman" w:eastAsiaTheme="minorEastAsia" w:hAnsi="Times New Roman" w:cs="Times New Roman"/>
          <w:sz w:val="24"/>
          <w:szCs w:val="24"/>
          <w:lang w:val="en-US" w:eastAsia="hu-HU"/>
        </w:rPr>
        <w:t xml:space="preserve"> types of crisis, for instance in specific industries and regions.</w:t>
      </w:r>
    </w:p>
    <w:p w14:paraId="13C590A6" w14:textId="3A935F71" w:rsidR="00E67F8F" w:rsidRDefault="00E67F8F" w:rsidP="00B74FA6">
      <w:pPr>
        <w:spacing w:line="360" w:lineRule="auto"/>
        <w:jc w:val="both"/>
        <w:rPr>
          <w:rFonts w:ascii="Times New Roman" w:hAnsi="Times New Roman"/>
          <w:sz w:val="24"/>
          <w:szCs w:val="24"/>
        </w:rPr>
      </w:pPr>
      <w:r w:rsidRPr="0084314D">
        <w:rPr>
          <w:rFonts w:ascii="Times New Roman" w:hAnsi="Times New Roman" w:cs="Times New Roman"/>
          <w:sz w:val="24"/>
          <w:szCs w:val="24"/>
        </w:rPr>
        <w:t xml:space="preserve">The lending mechanism under the OTD model describes the degree of complexity in interbank holdings between financial institutions. The cross holdings of structured products within the banking system might not pose a problem during normal economic conditions. However, in the event of financial distress such as the subprime mortgage crisis, liquidity shocks can be transmitted through these lending channels. Based on quantitative analysis, this study has found evidence of the existence of liquidity shock transmission during the subprime mortgage crisis. </w:t>
      </w:r>
      <w:r w:rsidRPr="0084314D">
        <w:rPr>
          <w:rFonts w:ascii="Times New Roman" w:hAnsi="Times New Roman"/>
          <w:sz w:val="24"/>
          <w:szCs w:val="24"/>
        </w:rPr>
        <w:t xml:space="preserve">Liquidity shocks can be transmitted through these lending channels. The contribution here relates to the empirical study of liquidity shock transmission within the interbank market. This study, based on quantitative analysis, found evidence of the existence of liquidity shock transmission during the subprime mortgage crisis. The Ted spread was the most significant of the shock transmitting forces, while the APCB spread was the least influential among all sample lending channels. Furthermore, there was an amplifying effect of the liquidity shock transmission through the Ted spread channel. The market-wide study provides an insight into the sources of liquidity shock transmission within the banking system during the time of financial distress. Interbank lending channels can turn into channels which transmit liquidity shocks. </w:t>
      </w:r>
    </w:p>
    <w:p w14:paraId="42C139AF" w14:textId="7DDC693F" w:rsidR="0084314D" w:rsidRDefault="0084314D" w:rsidP="00B74FA6">
      <w:pPr>
        <w:spacing w:line="360" w:lineRule="auto"/>
        <w:jc w:val="both"/>
        <w:rPr>
          <w:rFonts w:ascii="Times New Roman" w:hAnsi="Times New Roman"/>
          <w:sz w:val="24"/>
          <w:szCs w:val="24"/>
        </w:rPr>
      </w:pPr>
    </w:p>
    <w:p w14:paraId="0BBE823D" w14:textId="77777777" w:rsidR="00343760" w:rsidRDefault="00343760" w:rsidP="00B74FA6">
      <w:pPr>
        <w:spacing w:line="360" w:lineRule="auto"/>
        <w:jc w:val="both"/>
        <w:rPr>
          <w:rFonts w:ascii="Times New Roman" w:hAnsi="Times New Roman"/>
          <w:sz w:val="24"/>
          <w:szCs w:val="24"/>
        </w:rPr>
      </w:pPr>
    </w:p>
    <w:p w14:paraId="410B3FAA" w14:textId="67962570" w:rsidR="00286D2A" w:rsidRDefault="00286D2A" w:rsidP="00B74FA6">
      <w:pPr>
        <w:spacing w:line="360" w:lineRule="auto"/>
        <w:jc w:val="both"/>
        <w:rPr>
          <w:rFonts w:ascii="Times New Roman" w:hAnsi="Times New Roman"/>
          <w:sz w:val="24"/>
          <w:szCs w:val="24"/>
        </w:rPr>
      </w:pPr>
    </w:p>
    <w:p w14:paraId="06271AE0" w14:textId="77777777" w:rsidR="00286D2A" w:rsidRDefault="00286D2A" w:rsidP="00B74FA6">
      <w:pPr>
        <w:spacing w:line="360" w:lineRule="auto"/>
        <w:jc w:val="both"/>
        <w:rPr>
          <w:rFonts w:ascii="Times New Roman" w:hAnsi="Times New Roman"/>
          <w:sz w:val="24"/>
          <w:szCs w:val="24"/>
        </w:rPr>
      </w:pPr>
    </w:p>
    <w:p w14:paraId="5AE5F375" w14:textId="77777777" w:rsidR="0084314D" w:rsidRPr="0084314D" w:rsidRDefault="0084314D" w:rsidP="00B74FA6">
      <w:pPr>
        <w:spacing w:line="360" w:lineRule="auto"/>
        <w:jc w:val="both"/>
        <w:rPr>
          <w:rFonts w:ascii="Times New Roman" w:eastAsiaTheme="minorEastAsia" w:hAnsi="Times New Roman" w:cs="Times New Roman"/>
          <w:sz w:val="24"/>
          <w:szCs w:val="24"/>
          <w:lang w:val="en-US" w:eastAsia="hu-HU"/>
        </w:rPr>
      </w:pPr>
    </w:p>
    <w:p w14:paraId="17572F0A" w14:textId="7FFD8999" w:rsidR="00E13183" w:rsidRPr="00286D2A" w:rsidRDefault="00FB5817" w:rsidP="00286D2A">
      <w:pPr>
        <w:pStyle w:val="Heading2"/>
      </w:pPr>
      <w:bookmarkStart w:id="133" w:name="_Toc90499977"/>
      <w:r>
        <w:lastRenderedPageBreak/>
        <w:t>1.</w:t>
      </w:r>
      <w:r w:rsidR="0022256D">
        <w:t xml:space="preserve">5.1 </w:t>
      </w:r>
      <w:r w:rsidR="00E13183" w:rsidRPr="00286D2A">
        <w:t>Contribution</w:t>
      </w:r>
      <w:bookmarkEnd w:id="108"/>
      <w:bookmarkEnd w:id="109"/>
      <w:bookmarkEnd w:id="110"/>
      <w:bookmarkEnd w:id="111"/>
      <w:bookmarkEnd w:id="112"/>
      <w:bookmarkEnd w:id="113"/>
      <w:r w:rsidR="00E13183" w:rsidRPr="00286D2A">
        <w:t xml:space="preserve"> to knowledge</w:t>
      </w:r>
      <w:bookmarkEnd w:id="133"/>
    </w:p>
    <w:p w14:paraId="78FAA369" w14:textId="77777777" w:rsidR="001E0D12" w:rsidRPr="001E0D12" w:rsidRDefault="001E0D12" w:rsidP="001E0D12">
      <w:pPr>
        <w:rPr>
          <w:lang w:eastAsia="hu-HU"/>
        </w:rPr>
      </w:pPr>
    </w:p>
    <w:p w14:paraId="06B45F37" w14:textId="77777777" w:rsidR="00E13183" w:rsidRPr="00B06DC4" w:rsidRDefault="00E13183" w:rsidP="00E13183">
      <w:pPr>
        <w:spacing w:after="0" w:line="360" w:lineRule="auto"/>
        <w:jc w:val="both"/>
        <w:rPr>
          <w:rFonts w:ascii="Times New Roman" w:hAnsi="Times New Roman" w:cs="Times New Roman"/>
          <w:sz w:val="24"/>
          <w:szCs w:val="24"/>
        </w:rPr>
      </w:pPr>
      <w:r w:rsidRPr="00B06DC4">
        <w:rPr>
          <w:rFonts w:ascii="Times New Roman" w:hAnsi="Times New Roman" w:cs="Times New Roman"/>
          <w:sz w:val="24"/>
          <w:szCs w:val="24"/>
        </w:rPr>
        <w:t>Several seminal findings from the planned analysis above contribute to the existing knowledge on liquidity shocks, risk transmission and the financial crisis. The contributions are summarised as follows:</w:t>
      </w:r>
    </w:p>
    <w:p w14:paraId="50B56685" w14:textId="7D2BF84F" w:rsidR="00E13183" w:rsidRPr="00B06DC4" w:rsidRDefault="00E13183" w:rsidP="00990265">
      <w:pPr>
        <w:pStyle w:val="a"/>
        <w:numPr>
          <w:ilvl w:val="0"/>
          <w:numId w:val="2"/>
        </w:numPr>
        <w:spacing w:after="0" w:line="360" w:lineRule="auto"/>
        <w:ind w:left="0"/>
        <w:jc w:val="both"/>
        <w:rPr>
          <w:rFonts w:ascii="Times New Roman" w:hAnsi="Times New Roman"/>
          <w:szCs w:val="24"/>
        </w:rPr>
      </w:pPr>
      <w:r w:rsidRPr="00B06DC4">
        <w:rPr>
          <w:rFonts w:ascii="Times New Roman" w:hAnsi="Times New Roman"/>
          <w:szCs w:val="24"/>
        </w:rPr>
        <w:t xml:space="preserve">First of all, the research finds evidence of liquidity shock transmissions </w:t>
      </w:r>
      <w:r w:rsidR="00056A8D" w:rsidRPr="00B06DC4">
        <w:rPr>
          <w:rFonts w:ascii="Times New Roman" w:hAnsi="Times New Roman"/>
          <w:szCs w:val="24"/>
        </w:rPr>
        <w:t xml:space="preserve">pre, </w:t>
      </w:r>
      <w:r w:rsidRPr="00B06DC4">
        <w:rPr>
          <w:rFonts w:ascii="Times New Roman" w:hAnsi="Times New Roman"/>
          <w:szCs w:val="24"/>
        </w:rPr>
        <w:t>during</w:t>
      </w:r>
      <w:r w:rsidR="00056A8D" w:rsidRPr="00B06DC4">
        <w:rPr>
          <w:rFonts w:ascii="Times New Roman" w:hAnsi="Times New Roman"/>
          <w:szCs w:val="24"/>
        </w:rPr>
        <w:t xml:space="preserve"> and post</w:t>
      </w:r>
      <w:r w:rsidRPr="00B06DC4">
        <w:rPr>
          <w:rFonts w:ascii="Times New Roman" w:hAnsi="Times New Roman"/>
          <w:szCs w:val="24"/>
        </w:rPr>
        <w:t xml:space="preserve"> subprime crisis period by identifying structural breaks across many liquidity channels, whereby interbank liquidity channels became the sources of risk transmission. This is confirmed by the findings of Frank et al. (2008). Moreover, by extending the data set, another structural break across interbank channels with strong persistence was found during the </w:t>
      </w:r>
      <w:r w:rsidR="0084314D" w:rsidRPr="00B06DC4">
        <w:rPr>
          <w:rFonts w:ascii="Times New Roman" w:hAnsi="Times New Roman"/>
          <w:szCs w:val="24"/>
        </w:rPr>
        <w:t>period of 2008 and</w:t>
      </w:r>
      <w:r w:rsidRPr="00B06DC4">
        <w:rPr>
          <w:rFonts w:ascii="Times New Roman" w:hAnsi="Times New Roman"/>
          <w:szCs w:val="24"/>
        </w:rPr>
        <w:t xml:space="preserve"> was followed by a mean reverting process. The strong co-movement of different spreads in the findings suggest that interbank funding liquidity, general market liquidity and stock market volatility are interrelated and interdependent during the crisis period. The contagion effect of liquidity shock transmission on the interbank market is also observed during the subprime mortgage crisis. The finding is crucial in that it serves as an early indicator for liquidity shock and hence provides a warning so as to avoid substantial future losses in extreme events.    </w:t>
      </w:r>
    </w:p>
    <w:p w14:paraId="5A2AD63B" w14:textId="3B69D54C" w:rsidR="00E13183" w:rsidRPr="00B06DC4" w:rsidRDefault="00E13183" w:rsidP="00990265">
      <w:pPr>
        <w:pStyle w:val="a"/>
        <w:numPr>
          <w:ilvl w:val="0"/>
          <w:numId w:val="2"/>
        </w:numPr>
        <w:spacing w:after="0" w:line="360" w:lineRule="auto"/>
        <w:ind w:left="0"/>
        <w:jc w:val="both"/>
        <w:rPr>
          <w:rFonts w:ascii="Times New Roman" w:hAnsi="Times New Roman"/>
          <w:szCs w:val="24"/>
        </w:rPr>
      </w:pPr>
      <w:r w:rsidRPr="00B06DC4">
        <w:rPr>
          <w:rFonts w:ascii="Times New Roman" w:hAnsi="Times New Roman"/>
          <w:szCs w:val="24"/>
        </w:rPr>
        <w:t xml:space="preserve">Secondly, the TED spread, which is the difference between the </w:t>
      </w:r>
      <w:r w:rsidR="0084314D" w:rsidRPr="00B06DC4">
        <w:rPr>
          <w:rFonts w:ascii="Times New Roman" w:hAnsi="Times New Roman"/>
          <w:szCs w:val="24"/>
        </w:rPr>
        <w:t>three-month</w:t>
      </w:r>
      <w:r w:rsidRPr="00B06DC4">
        <w:rPr>
          <w:rFonts w:ascii="Times New Roman" w:hAnsi="Times New Roman"/>
          <w:szCs w:val="24"/>
        </w:rPr>
        <w:t xml:space="preserve"> Treasury bill (T-bill) and </w:t>
      </w:r>
      <w:r w:rsidR="00286D2A" w:rsidRPr="00B06DC4">
        <w:rPr>
          <w:rFonts w:ascii="Times New Roman" w:hAnsi="Times New Roman"/>
          <w:szCs w:val="24"/>
        </w:rPr>
        <w:t>three-month</w:t>
      </w:r>
      <w:r w:rsidRPr="00B06DC4">
        <w:rPr>
          <w:rFonts w:ascii="Times New Roman" w:hAnsi="Times New Roman"/>
          <w:szCs w:val="24"/>
        </w:rPr>
        <w:t xml:space="preserve"> LIBOR rate, is added into the model to explicitly measure the attitude of the overall market towards lending within the interbank market. The inclusion of the TED spread variable yielded a significant result in that it was one of the major sources of liquidity shock transmission.</w:t>
      </w:r>
    </w:p>
    <w:p w14:paraId="671F1952" w14:textId="77777777" w:rsidR="00056A8D" w:rsidRPr="00B06DC4" w:rsidRDefault="00E13183" w:rsidP="00056A8D">
      <w:pPr>
        <w:pStyle w:val="a"/>
        <w:numPr>
          <w:ilvl w:val="0"/>
          <w:numId w:val="2"/>
        </w:numPr>
        <w:spacing w:after="0" w:line="360" w:lineRule="auto"/>
        <w:ind w:left="0"/>
        <w:jc w:val="both"/>
        <w:rPr>
          <w:rFonts w:ascii="Times New Roman" w:hAnsi="Times New Roman"/>
          <w:szCs w:val="24"/>
        </w:rPr>
      </w:pPr>
      <w:r w:rsidRPr="00B06DC4">
        <w:rPr>
          <w:rFonts w:ascii="Times New Roman" w:hAnsi="Times New Roman"/>
          <w:szCs w:val="24"/>
        </w:rPr>
        <w:t xml:space="preserve">In addition, the findings in correlation between market volatility and ABCP/TED spreads show that the correlation increased before the subprime mortgage crisis of 2007. The interactions and interrelations exhibited in the patterns suggest that there are speculation activities in the pre-crisis period which may have been caused by private information. The analysis of liquidity risk transmission reflects how different liquidity channels interacted and were interdependent within the interbank market. </w:t>
      </w:r>
    </w:p>
    <w:p w14:paraId="75D6F552" w14:textId="48C15B31" w:rsidR="00056A8D" w:rsidRPr="00B06DC4" w:rsidRDefault="00056A8D" w:rsidP="00056A8D">
      <w:pPr>
        <w:pStyle w:val="a"/>
        <w:numPr>
          <w:ilvl w:val="0"/>
          <w:numId w:val="2"/>
        </w:numPr>
        <w:spacing w:after="0" w:line="360" w:lineRule="auto"/>
        <w:ind w:left="0"/>
        <w:jc w:val="both"/>
        <w:rPr>
          <w:rFonts w:ascii="Times New Roman" w:hAnsi="Times New Roman"/>
          <w:szCs w:val="24"/>
        </w:rPr>
      </w:pPr>
      <w:r w:rsidRPr="00B06DC4">
        <w:rPr>
          <w:rFonts w:ascii="Times New Roman" w:hAnsi="Times New Roman"/>
          <w:szCs w:val="24"/>
        </w:rPr>
        <w:t xml:space="preserve">This research makes several important contributions to the emerging literature on liquidity shocks during the recent subprime crisis. First, as far as we can tell, this is the first attempt to model empirically the transmission of liquidity shocks across U.S. financial markets specifically during the recent period of financial stress. Second, the GARCH model explicitly addresses the links between market and funding liquidity effects and the dynamics of bank insolvency pressures among the largest complex financial institutions. This connection is of </w:t>
      </w:r>
      <w:r w:rsidRPr="00B06DC4">
        <w:rPr>
          <w:rFonts w:ascii="Times New Roman" w:hAnsi="Times New Roman"/>
          <w:szCs w:val="24"/>
        </w:rPr>
        <w:lastRenderedPageBreak/>
        <w:t>critical importance since this latest crisis, which in its early stages was perceived as a temporary liquidity episode, eventually metastasized into one of solvency for a number of major global banks.</w:t>
      </w:r>
    </w:p>
    <w:p w14:paraId="7696FA95" w14:textId="7A209B50" w:rsidR="00E13183" w:rsidRPr="00056A8D" w:rsidRDefault="00E13183" w:rsidP="00056A8D">
      <w:pPr>
        <w:pStyle w:val="a"/>
        <w:spacing w:after="0" w:line="360" w:lineRule="auto"/>
        <w:ind w:left="0"/>
        <w:jc w:val="both"/>
        <w:rPr>
          <w:rFonts w:ascii="Times New Roman" w:hAnsi="Times New Roman"/>
          <w:szCs w:val="24"/>
        </w:rPr>
      </w:pPr>
      <w:r w:rsidRPr="00B06DC4">
        <w:rPr>
          <w:rFonts w:ascii="Times New Roman" w:hAnsi="Times New Roman"/>
          <w:szCs w:val="24"/>
        </w:rPr>
        <w:t xml:space="preserve">Furthermore, the author also analyses </w:t>
      </w:r>
      <w:r w:rsidR="00056A8D" w:rsidRPr="00B06DC4">
        <w:rPr>
          <w:rFonts w:ascii="Times New Roman" w:hAnsi="Times New Roman"/>
          <w:szCs w:val="24"/>
        </w:rPr>
        <w:t xml:space="preserve">optimal </w:t>
      </w:r>
      <w:r w:rsidRPr="00B06DC4">
        <w:rPr>
          <w:rFonts w:ascii="Times New Roman" w:hAnsi="Times New Roman"/>
          <w:szCs w:val="24"/>
        </w:rPr>
        <w:t>GARCH to determine the most appropriate model for the liquidity shock transmission. The findings suggest that there is significant evidence of liquidity shock transmission during the subprime mortgage crisis. This is of importance, as it will serve for future policy making decisions.</w:t>
      </w:r>
    </w:p>
    <w:p w14:paraId="2583169F" w14:textId="77777777" w:rsidR="00940F7A" w:rsidRPr="001668E0" w:rsidRDefault="00940F7A" w:rsidP="00286D2A">
      <w:pPr>
        <w:pStyle w:val="Heading1"/>
        <w:rPr>
          <w:rFonts w:eastAsia="Lucida Sans"/>
        </w:rPr>
      </w:pPr>
      <w:bookmarkStart w:id="134" w:name="_Toc90499978"/>
      <w:r w:rsidRPr="001668E0">
        <w:rPr>
          <w:w w:val="105"/>
        </w:rPr>
        <w:t>References</w:t>
      </w:r>
      <w:bookmarkEnd w:id="134"/>
    </w:p>
    <w:p w14:paraId="4392F699" w14:textId="77777777" w:rsidR="00F717E4" w:rsidRPr="007C6747" w:rsidRDefault="00F717E4" w:rsidP="007C6747">
      <w:pPr>
        <w:spacing w:before="8"/>
        <w:rPr>
          <w:rFonts w:ascii="Times New Roman" w:eastAsia="Lucida Sans" w:hAnsi="Times New Roman" w:cs="Times New Roman"/>
          <w:sz w:val="24"/>
          <w:szCs w:val="24"/>
        </w:rPr>
      </w:pPr>
    </w:p>
    <w:p w14:paraId="780B12D6"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
    <w:p w14:paraId="5BDE91FA"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Abounoori</w:t>
      </w:r>
      <w:proofErr w:type="spellEnd"/>
      <w:r w:rsidRPr="00F717E4">
        <w:rPr>
          <w:rFonts w:ascii="Times New Roman" w:hAnsi="Times New Roman" w:cs="Times New Roman"/>
          <w:sz w:val="24"/>
          <w:szCs w:val="24"/>
        </w:rPr>
        <w:t xml:space="preserve">, A.A., </w:t>
      </w:r>
      <w:proofErr w:type="spellStart"/>
      <w:r w:rsidRPr="00F717E4">
        <w:rPr>
          <w:rFonts w:ascii="Times New Roman" w:hAnsi="Times New Roman" w:cs="Times New Roman"/>
          <w:sz w:val="24"/>
          <w:szCs w:val="24"/>
        </w:rPr>
        <w:t>Naderi</w:t>
      </w:r>
      <w:proofErr w:type="spellEnd"/>
      <w:r w:rsidRPr="00F717E4">
        <w:rPr>
          <w:rFonts w:ascii="Times New Roman" w:hAnsi="Times New Roman" w:cs="Times New Roman"/>
          <w:sz w:val="24"/>
          <w:szCs w:val="24"/>
        </w:rPr>
        <w:t xml:space="preserve">, E., </w:t>
      </w:r>
      <w:proofErr w:type="spellStart"/>
      <w:r w:rsidRPr="00F717E4">
        <w:rPr>
          <w:rFonts w:ascii="Times New Roman" w:hAnsi="Times New Roman" w:cs="Times New Roman"/>
          <w:sz w:val="24"/>
          <w:szCs w:val="24"/>
        </w:rPr>
        <w:t>Alikhani</w:t>
      </w:r>
      <w:proofErr w:type="spellEnd"/>
      <w:r w:rsidRPr="00F717E4">
        <w:rPr>
          <w:rFonts w:ascii="Times New Roman" w:hAnsi="Times New Roman" w:cs="Times New Roman"/>
          <w:sz w:val="24"/>
          <w:szCs w:val="24"/>
        </w:rPr>
        <w:t xml:space="preserve">, N.G., Amiri, A. (2013), Financial Time Series Forecasting by Developing a Hybrid Intelligent System, </w:t>
      </w:r>
      <w:r w:rsidRPr="00F717E4">
        <w:rPr>
          <w:rFonts w:ascii="Times New Roman" w:hAnsi="Times New Roman" w:cs="Times New Roman"/>
          <w:i/>
          <w:sz w:val="24"/>
          <w:szCs w:val="24"/>
        </w:rPr>
        <w:t>MPRA Paper</w:t>
      </w:r>
      <w:r w:rsidRPr="00F717E4">
        <w:rPr>
          <w:rFonts w:ascii="Times New Roman" w:hAnsi="Times New Roman" w:cs="Times New Roman"/>
          <w:sz w:val="24"/>
          <w:szCs w:val="24"/>
        </w:rPr>
        <w:t xml:space="preserve"> 45615. Germany: University Library of Munich. </w:t>
      </w:r>
    </w:p>
    <w:p w14:paraId="049315F1" w14:textId="77777777" w:rsidR="00F717E4" w:rsidRPr="008401B8" w:rsidRDefault="00F717E4" w:rsidP="00990265">
      <w:pPr>
        <w:pStyle w:val="ListParagraph"/>
        <w:numPr>
          <w:ilvl w:val="0"/>
          <w:numId w:val="5"/>
        </w:numPr>
        <w:jc w:val="both"/>
        <w:rPr>
          <w:rFonts w:ascii="Times New Roman" w:hAnsi="Times New Roman" w:cs="Times New Roman"/>
          <w:sz w:val="24"/>
          <w:szCs w:val="24"/>
        </w:rPr>
      </w:pPr>
      <w:r w:rsidRPr="008401B8">
        <w:rPr>
          <w:rFonts w:ascii="Times New Roman" w:hAnsi="Times New Roman" w:cs="Times New Roman"/>
          <w:sz w:val="24"/>
          <w:szCs w:val="24"/>
        </w:rPr>
        <w:t>Acharya,</w:t>
      </w:r>
      <w:r w:rsidRPr="008401B8">
        <w:rPr>
          <w:rFonts w:ascii="Times New Roman" w:hAnsi="Times New Roman" w:cs="Times New Roman"/>
          <w:spacing w:val="-8"/>
          <w:sz w:val="24"/>
          <w:szCs w:val="24"/>
        </w:rPr>
        <w:t xml:space="preserve"> </w:t>
      </w:r>
      <w:r w:rsidRPr="008401B8">
        <w:rPr>
          <w:rFonts w:ascii="Times New Roman" w:hAnsi="Times New Roman" w:cs="Times New Roman"/>
          <w:sz w:val="24"/>
          <w:szCs w:val="24"/>
        </w:rPr>
        <w:t>V.,</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Johnson,</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T.,</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2007.</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Insider</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trading</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in</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credit</w:t>
      </w:r>
      <w:r w:rsidRPr="008401B8">
        <w:rPr>
          <w:rFonts w:ascii="Times New Roman" w:hAnsi="Times New Roman" w:cs="Times New Roman"/>
          <w:spacing w:val="-7"/>
          <w:sz w:val="24"/>
          <w:szCs w:val="24"/>
        </w:rPr>
        <w:t xml:space="preserve"> </w:t>
      </w:r>
      <w:r w:rsidRPr="008401B8">
        <w:rPr>
          <w:rFonts w:ascii="Times New Roman" w:hAnsi="Times New Roman" w:cs="Times New Roman"/>
          <w:sz w:val="24"/>
          <w:szCs w:val="24"/>
        </w:rPr>
        <w:t>derivatives.</w:t>
      </w:r>
      <w:r w:rsidRPr="008401B8">
        <w:rPr>
          <w:rFonts w:ascii="Times New Roman" w:hAnsi="Times New Roman" w:cs="Times New Roman"/>
          <w:spacing w:val="-7"/>
          <w:sz w:val="24"/>
          <w:szCs w:val="24"/>
        </w:rPr>
        <w:t xml:space="preserve"> </w:t>
      </w:r>
      <w:r w:rsidRPr="008401B8">
        <w:rPr>
          <w:rFonts w:ascii="Times New Roman" w:hAnsi="Times New Roman" w:cs="Times New Roman"/>
          <w:i/>
          <w:iCs/>
          <w:sz w:val="24"/>
          <w:szCs w:val="24"/>
        </w:rPr>
        <w:t>Journal</w:t>
      </w:r>
      <w:r w:rsidRPr="008401B8">
        <w:rPr>
          <w:rFonts w:ascii="Times New Roman" w:hAnsi="Times New Roman" w:cs="Times New Roman"/>
          <w:i/>
          <w:iCs/>
          <w:spacing w:val="-7"/>
          <w:sz w:val="24"/>
          <w:szCs w:val="24"/>
        </w:rPr>
        <w:t xml:space="preserve"> </w:t>
      </w:r>
      <w:r w:rsidRPr="008401B8">
        <w:rPr>
          <w:rFonts w:ascii="Times New Roman" w:hAnsi="Times New Roman" w:cs="Times New Roman"/>
          <w:i/>
          <w:iCs/>
          <w:sz w:val="24"/>
          <w:szCs w:val="24"/>
        </w:rPr>
        <w:t>of</w:t>
      </w:r>
      <w:r w:rsidRPr="008401B8">
        <w:rPr>
          <w:rFonts w:ascii="Times New Roman" w:hAnsi="Times New Roman" w:cs="Times New Roman"/>
          <w:i/>
          <w:iCs/>
          <w:spacing w:val="-7"/>
          <w:sz w:val="24"/>
          <w:szCs w:val="24"/>
        </w:rPr>
        <w:t xml:space="preserve"> </w:t>
      </w:r>
      <w:r w:rsidRPr="008401B8">
        <w:rPr>
          <w:rFonts w:ascii="Times New Roman" w:hAnsi="Times New Roman" w:cs="Times New Roman"/>
          <w:i/>
          <w:iCs/>
          <w:sz w:val="24"/>
          <w:szCs w:val="24"/>
        </w:rPr>
        <w:t>Financial</w:t>
      </w:r>
      <w:r w:rsidRPr="008401B8">
        <w:rPr>
          <w:rFonts w:ascii="Times New Roman" w:hAnsi="Times New Roman" w:cs="Times New Roman"/>
          <w:i/>
          <w:iCs/>
          <w:spacing w:val="6"/>
          <w:sz w:val="24"/>
          <w:szCs w:val="24"/>
        </w:rPr>
        <w:t xml:space="preserve"> </w:t>
      </w:r>
      <w:r w:rsidRPr="008401B8">
        <w:rPr>
          <w:rFonts w:ascii="Times New Roman" w:hAnsi="Times New Roman" w:cs="Times New Roman"/>
          <w:i/>
          <w:iCs/>
          <w:sz w:val="24"/>
          <w:szCs w:val="24"/>
        </w:rPr>
        <w:t>Economics</w:t>
      </w:r>
      <w:r w:rsidRPr="008401B8">
        <w:rPr>
          <w:rFonts w:ascii="Times New Roman" w:hAnsi="Times New Roman" w:cs="Times New Roman"/>
          <w:spacing w:val="6"/>
          <w:sz w:val="24"/>
          <w:szCs w:val="24"/>
        </w:rPr>
        <w:t xml:space="preserve">, </w:t>
      </w:r>
      <w:r w:rsidRPr="008401B8">
        <w:rPr>
          <w:rFonts w:ascii="Times New Roman" w:hAnsi="Times New Roman" w:cs="Times New Roman"/>
          <w:sz w:val="24"/>
          <w:szCs w:val="24"/>
        </w:rPr>
        <w:t>84,</w:t>
      </w:r>
      <w:r w:rsidRPr="008401B8">
        <w:rPr>
          <w:rFonts w:ascii="Times New Roman" w:hAnsi="Times New Roman" w:cs="Times New Roman"/>
          <w:spacing w:val="6"/>
          <w:sz w:val="24"/>
          <w:szCs w:val="24"/>
        </w:rPr>
        <w:t xml:space="preserve"> </w:t>
      </w:r>
      <w:r w:rsidRPr="008401B8">
        <w:rPr>
          <w:rFonts w:ascii="Times New Roman" w:hAnsi="Times New Roman" w:cs="Times New Roman"/>
          <w:sz w:val="24"/>
          <w:szCs w:val="24"/>
        </w:rPr>
        <w:t>110–141.</w:t>
      </w:r>
    </w:p>
    <w:p w14:paraId="19BD642B" w14:textId="77777777" w:rsidR="00F717E4" w:rsidRPr="008401B8" w:rsidRDefault="00F717E4" w:rsidP="00990265">
      <w:pPr>
        <w:pStyle w:val="ListParagraph"/>
        <w:numPr>
          <w:ilvl w:val="0"/>
          <w:numId w:val="5"/>
        </w:numPr>
        <w:jc w:val="both"/>
        <w:rPr>
          <w:rFonts w:ascii="Times New Roman" w:hAnsi="Times New Roman" w:cs="Times New Roman"/>
          <w:sz w:val="24"/>
          <w:szCs w:val="24"/>
        </w:rPr>
      </w:pPr>
      <w:r w:rsidRPr="008401B8">
        <w:rPr>
          <w:rFonts w:ascii="Times New Roman" w:hAnsi="Times New Roman" w:cs="Times New Roman"/>
          <w:sz w:val="24"/>
          <w:szCs w:val="24"/>
        </w:rPr>
        <w:t>Acharya,</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V.,</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Pedersen,</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L.H.,</w:t>
      </w:r>
      <w:r w:rsidRPr="008401B8">
        <w:rPr>
          <w:rFonts w:ascii="Times New Roman" w:hAnsi="Times New Roman" w:cs="Times New Roman"/>
          <w:spacing w:val="-14"/>
          <w:sz w:val="24"/>
          <w:szCs w:val="24"/>
        </w:rPr>
        <w:t xml:space="preserve"> </w:t>
      </w:r>
      <w:r w:rsidRPr="008401B8">
        <w:rPr>
          <w:rFonts w:ascii="Times New Roman" w:hAnsi="Times New Roman" w:cs="Times New Roman"/>
          <w:sz w:val="24"/>
          <w:szCs w:val="24"/>
        </w:rPr>
        <w:t>2005.</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Asset</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pricing</w:t>
      </w:r>
      <w:r w:rsidRPr="008401B8">
        <w:rPr>
          <w:rFonts w:ascii="Times New Roman" w:hAnsi="Times New Roman" w:cs="Times New Roman"/>
          <w:spacing w:val="-14"/>
          <w:sz w:val="24"/>
          <w:szCs w:val="24"/>
        </w:rPr>
        <w:t xml:space="preserve"> </w:t>
      </w:r>
      <w:r w:rsidRPr="008401B8">
        <w:rPr>
          <w:rFonts w:ascii="Times New Roman" w:hAnsi="Times New Roman" w:cs="Times New Roman"/>
          <w:sz w:val="24"/>
          <w:szCs w:val="24"/>
        </w:rPr>
        <w:t>with</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liquidity</w:t>
      </w:r>
      <w:r w:rsidRPr="008401B8">
        <w:rPr>
          <w:rFonts w:ascii="Times New Roman" w:hAnsi="Times New Roman" w:cs="Times New Roman"/>
          <w:spacing w:val="-15"/>
          <w:sz w:val="24"/>
          <w:szCs w:val="24"/>
        </w:rPr>
        <w:t xml:space="preserve"> </w:t>
      </w:r>
      <w:r w:rsidRPr="008401B8">
        <w:rPr>
          <w:rFonts w:ascii="Times New Roman" w:hAnsi="Times New Roman" w:cs="Times New Roman"/>
          <w:sz w:val="24"/>
          <w:szCs w:val="24"/>
        </w:rPr>
        <w:t>risk.</w:t>
      </w:r>
      <w:r w:rsidRPr="008401B8">
        <w:rPr>
          <w:rFonts w:ascii="Times New Roman" w:hAnsi="Times New Roman" w:cs="Times New Roman"/>
          <w:spacing w:val="-14"/>
          <w:sz w:val="24"/>
          <w:szCs w:val="24"/>
        </w:rPr>
        <w:t xml:space="preserve"> </w:t>
      </w:r>
      <w:r w:rsidRPr="008401B8">
        <w:rPr>
          <w:rFonts w:ascii="Times New Roman" w:hAnsi="Times New Roman" w:cs="Times New Roman"/>
          <w:i/>
          <w:iCs/>
          <w:sz w:val="24"/>
          <w:szCs w:val="24"/>
        </w:rPr>
        <w:t>Journal</w:t>
      </w:r>
      <w:r w:rsidRPr="008401B8">
        <w:rPr>
          <w:rFonts w:ascii="Times New Roman" w:hAnsi="Times New Roman" w:cs="Times New Roman"/>
          <w:i/>
          <w:iCs/>
          <w:spacing w:val="-15"/>
          <w:sz w:val="24"/>
          <w:szCs w:val="24"/>
        </w:rPr>
        <w:t xml:space="preserve"> </w:t>
      </w:r>
      <w:r w:rsidRPr="008401B8">
        <w:rPr>
          <w:rFonts w:ascii="Times New Roman" w:hAnsi="Times New Roman" w:cs="Times New Roman"/>
          <w:i/>
          <w:iCs/>
          <w:sz w:val="24"/>
          <w:szCs w:val="24"/>
        </w:rPr>
        <w:t>of</w:t>
      </w:r>
      <w:r w:rsidRPr="008401B8">
        <w:rPr>
          <w:rFonts w:ascii="Times New Roman" w:hAnsi="Times New Roman" w:cs="Times New Roman"/>
          <w:i/>
          <w:iCs/>
          <w:spacing w:val="-15"/>
          <w:sz w:val="24"/>
          <w:szCs w:val="24"/>
        </w:rPr>
        <w:t xml:space="preserve"> </w:t>
      </w:r>
      <w:r w:rsidRPr="008401B8">
        <w:rPr>
          <w:rFonts w:ascii="Times New Roman" w:hAnsi="Times New Roman" w:cs="Times New Roman"/>
          <w:i/>
          <w:iCs/>
          <w:sz w:val="24"/>
          <w:szCs w:val="24"/>
        </w:rPr>
        <w:t>Financial Economics</w:t>
      </w:r>
      <w:r w:rsidRPr="008401B8">
        <w:rPr>
          <w:rFonts w:ascii="Times New Roman" w:hAnsi="Times New Roman" w:cs="Times New Roman"/>
          <w:sz w:val="24"/>
          <w:szCs w:val="24"/>
        </w:rPr>
        <w:t>,</w:t>
      </w:r>
      <w:r w:rsidRPr="008401B8">
        <w:rPr>
          <w:rFonts w:ascii="Times New Roman" w:hAnsi="Times New Roman" w:cs="Times New Roman"/>
          <w:spacing w:val="9"/>
          <w:sz w:val="24"/>
          <w:szCs w:val="24"/>
        </w:rPr>
        <w:t xml:space="preserve"> </w:t>
      </w:r>
      <w:r w:rsidRPr="008401B8">
        <w:rPr>
          <w:rFonts w:ascii="Times New Roman" w:hAnsi="Times New Roman" w:cs="Times New Roman"/>
          <w:sz w:val="24"/>
          <w:szCs w:val="24"/>
        </w:rPr>
        <w:t>77,</w:t>
      </w:r>
      <w:r w:rsidRPr="008401B8">
        <w:rPr>
          <w:rFonts w:ascii="Times New Roman" w:hAnsi="Times New Roman" w:cs="Times New Roman"/>
          <w:spacing w:val="9"/>
          <w:sz w:val="24"/>
          <w:szCs w:val="24"/>
        </w:rPr>
        <w:t xml:space="preserve"> </w:t>
      </w:r>
      <w:r w:rsidRPr="008401B8">
        <w:rPr>
          <w:rFonts w:ascii="Times New Roman" w:hAnsi="Times New Roman" w:cs="Times New Roman"/>
          <w:sz w:val="24"/>
          <w:szCs w:val="24"/>
        </w:rPr>
        <w:t>375–410.</w:t>
      </w:r>
    </w:p>
    <w:p w14:paraId="11B88025" w14:textId="77777777" w:rsidR="00F717E4" w:rsidRPr="008401B8" w:rsidRDefault="00F717E4" w:rsidP="00990265">
      <w:pPr>
        <w:pStyle w:val="ListParagraph"/>
        <w:numPr>
          <w:ilvl w:val="0"/>
          <w:numId w:val="5"/>
        </w:numPr>
        <w:jc w:val="both"/>
        <w:rPr>
          <w:rFonts w:ascii="Times New Roman" w:hAnsi="Times New Roman" w:cs="Times New Roman"/>
          <w:sz w:val="24"/>
          <w:szCs w:val="24"/>
        </w:rPr>
      </w:pPr>
      <w:r w:rsidRPr="008401B8">
        <w:rPr>
          <w:rFonts w:ascii="Times New Roman" w:hAnsi="Times New Roman" w:cs="Times New Roman"/>
          <w:w w:val="105"/>
          <w:sz w:val="24"/>
          <w:szCs w:val="24"/>
        </w:rPr>
        <w:t>Acharya,</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V.,</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Schaefer,</w:t>
      </w:r>
      <w:r w:rsidRPr="008401B8">
        <w:rPr>
          <w:rFonts w:ascii="Times New Roman" w:hAnsi="Times New Roman" w:cs="Times New Roman"/>
          <w:spacing w:val="-19"/>
          <w:w w:val="105"/>
          <w:sz w:val="24"/>
          <w:szCs w:val="24"/>
        </w:rPr>
        <w:t xml:space="preserve"> </w:t>
      </w:r>
      <w:r w:rsidRPr="008401B8">
        <w:rPr>
          <w:rFonts w:ascii="Times New Roman" w:hAnsi="Times New Roman" w:cs="Times New Roman"/>
          <w:w w:val="105"/>
          <w:sz w:val="24"/>
          <w:szCs w:val="24"/>
        </w:rPr>
        <w:t>S.,</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2006.</w:t>
      </w:r>
      <w:r w:rsidRPr="008401B8">
        <w:rPr>
          <w:rFonts w:ascii="Times New Roman" w:hAnsi="Times New Roman" w:cs="Times New Roman"/>
          <w:spacing w:val="-19"/>
          <w:w w:val="105"/>
          <w:sz w:val="24"/>
          <w:szCs w:val="24"/>
        </w:rPr>
        <w:t xml:space="preserve"> </w:t>
      </w:r>
      <w:r w:rsidRPr="008401B8">
        <w:rPr>
          <w:rFonts w:ascii="Times New Roman" w:hAnsi="Times New Roman" w:cs="Times New Roman"/>
          <w:w w:val="105"/>
          <w:sz w:val="24"/>
          <w:szCs w:val="24"/>
        </w:rPr>
        <w:t>Liquidity</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Risk</w:t>
      </w:r>
      <w:r w:rsidRPr="008401B8">
        <w:rPr>
          <w:rFonts w:ascii="Times New Roman" w:hAnsi="Times New Roman" w:cs="Times New Roman"/>
          <w:spacing w:val="-19"/>
          <w:w w:val="105"/>
          <w:sz w:val="24"/>
          <w:szCs w:val="24"/>
        </w:rPr>
        <w:t xml:space="preserve"> </w:t>
      </w:r>
      <w:r w:rsidRPr="008401B8">
        <w:rPr>
          <w:rFonts w:ascii="Times New Roman" w:hAnsi="Times New Roman" w:cs="Times New Roman"/>
          <w:w w:val="105"/>
          <w:sz w:val="24"/>
          <w:szCs w:val="24"/>
        </w:rPr>
        <w:t>and</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Correlation</w:t>
      </w:r>
      <w:r w:rsidRPr="008401B8">
        <w:rPr>
          <w:rFonts w:ascii="Times New Roman" w:hAnsi="Times New Roman" w:cs="Times New Roman"/>
          <w:spacing w:val="-19"/>
          <w:w w:val="105"/>
          <w:sz w:val="24"/>
          <w:szCs w:val="24"/>
        </w:rPr>
        <w:t xml:space="preserve"> </w:t>
      </w:r>
      <w:r w:rsidRPr="008401B8">
        <w:rPr>
          <w:rFonts w:ascii="Times New Roman" w:hAnsi="Times New Roman" w:cs="Times New Roman"/>
          <w:w w:val="105"/>
          <w:sz w:val="24"/>
          <w:szCs w:val="24"/>
        </w:rPr>
        <w:t>Risk:</w:t>
      </w:r>
      <w:r w:rsidRPr="008401B8">
        <w:rPr>
          <w:rFonts w:ascii="Times New Roman" w:hAnsi="Times New Roman" w:cs="Times New Roman"/>
          <w:spacing w:val="-20"/>
          <w:w w:val="105"/>
          <w:sz w:val="24"/>
          <w:szCs w:val="24"/>
        </w:rPr>
        <w:t xml:space="preserve"> </w:t>
      </w:r>
      <w:r w:rsidRPr="008401B8">
        <w:rPr>
          <w:rFonts w:ascii="Times New Roman" w:hAnsi="Times New Roman" w:cs="Times New Roman"/>
          <w:w w:val="105"/>
          <w:sz w:val="24"/>
          <w:szCs w:val="24"/>
        </w:rPr>
        <w:t>Implications</w:t>
      </w:r>
      <w:r w:rsidRPr="008401B8">
        <w:rPr>
          <w:rFonts w:ascii="Times New Roman" w:hAnsi="Times New Roman" w:cs="Times New Roman"/>
          <w:spacing w:val="-19"/>
          <w:w w:val="105"/>
          <w:sz w:val="24"/>
          <w:szCs w:val="24"/>
        </w:rPr>
        <w:t xml:space="preserve"> </w:t>
      </w:r>
      <w:r w:rsidRPr="008401B8">
        <w:rPr>
          <w:rFonts w:ascii="Times New Roman" w:hAnsi="Times New Roman" w:cs="Times New Roman"/>
          <w:w w:val="105"/>
          <w:sz w:val="24"/>
          <w:szCs w:val="24"/>
        </w:rPr>
        <w:t>for</w:t>
      </w:r>
      <w:r w:rsidRPr="008401B8">
        <w:rPr>
          <w:rFonts w:ascii="Times New Roman" w:hAnsi="Times New Roman" w:cs="Times New Roman"/>
          <w:w w:val="109"/>
          <w:sz w:val="24"/>
          <w:szCs w:val="24"/>
        </w:rPr>
        <w:t xml:space="preserve"> </w:t>
      </w:r>
      <w:r w:rsidRPr="008401B8">
        <w:rPr>
          <w:rFonts w:ascii="Times New Roman" w:hAnsi="Times New Roman" w:cs="Times New Roman"/>
          <w:w w:val="105"/>
          <w:sz w:val="24"/>
          <w:szCs w:val="24"/>
        </w:rPr>
        <w:t>Risk</w:t>
      </w:r>
      <w:r w:rsidRPr="008401B8">
        <w:rPr>
          <w:rFonts w:ascii="Times New Roman" w:hAnsi="Times New Roman" w:cs="Times New Roman"/>
          <w:spacing w:val="-15"/>
          <w:w w:val="105"/>
          <w:sz w:val="24"/>
          <w:szCs w:val="24"/>
        </w:rPr>
        <w:t xml:space="preserve"> </w:t>
      </w:r>
      <w:r w:rsidRPr="008401B8">
        <w:rPr>
          <w:rFonts w:ascii="Times New Roman" w:hAnsi="Times New Roman" w:cs="Times New Roman"/>
          <w:w w:val="105"/>
          <w:sz w:val="24"/>
          <w:szCs w:val="24"/>
        </w:rPr>
        <w:t>Management.</w:t>
      </w:r>
      <w:r w:rsidRPr="008401B8">
        <w:rPr>
          <w:rFonts w:ascii="Times New Roman" w:hAnsi="Times New Roman" w:cs="Times New Roman"/>
          <w:spacing w:val="-14"/>
          <w:w w:val="105"/>
          <w:sz w:val="24"/>
          <w:szCs w:val="24"/>
        </w:rPr>
        <w:t xml:space="preserve"> </w:t>
      </w:r>
      <w:r w:rsidRPr="008401B8">
        <w:rPr>
          <w:rFonts w:ascii="Times New Roman" w:hAnsi="Times New Roman" w:cs="Times New Roman"/>
          <w:w w:val="105"/>
          <w:sz w:val="24"/>
          <w:szCs w:val="24"/>
        </w:rPr>
        <w:t>Working</w:t>
      </w:r>
      <w:r w:rsidRPr="008401B8">
        <w:rPr>
          <w:rFonts w:ascii="Times New Roman" w:hAnsi="Times New Roman" w:cs="Times New Roman"/>
          <w:spacing w:val="-14"/>
          <w:w w:val="105"/>
          <w:sz w:val="24"/>
          <w:szCs w:val="24"/>
        </w:rPr>
        <w:t xml:space="preserve"> </w:t>
      </w:r>
      <w:r w:rsidRPr="008401B8">
        <w:rPr>
          <w:rFonts w:ascii="Times New Roman" w:hAnsi="Times New Roman" w:cs="Times New Roman"/>
          <w:w w:val="105"/>
          <w:sz w:val="24"/>
          <w:szCs w:val="24"/>
        </w:rPr>
        <w:t>Paper.</w:t>
      </w:r>
    </w:p>
    <w:p w14:paraId="6E18B99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Adrian,</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T.,</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Shin</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H.,</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2008.</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Intermediaries,</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w w:val="107"/>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Paper</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presented</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at</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i/>
          <w:iCs/>
          <w:w w:val="105"/>
          <w:sz w:val="24"/>
          <w:szCs w:val="24"/>
        </w:rPr>
        <w:t>Federal</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Reserve</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Bank</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Kansas</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City</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 xml:space="preserve">Symposium. </w:t>
      </w:r>
      <w:r w:rsidRPr="006545C7">
        <w:rPr>
          <w:rFonts w:ascii="Times New Roman" w:hAnsi="Times New Roman" w:cs="Times New Roman"/>
          <w:w w:val="105"/>
          <w:sz w:val="24"/>
          <w:szCs w:val="24"/>
        </w:rPr>
        <w:t>at</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Jackson</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Hole,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Wyoming,</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August</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21–23.</w:t>
      </w:r>
    </w:p>
    <w:p w14:paraId="4594F83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8401B8">
        <w:rPr>
          <w:rFonts w:ascii="Times New Roman" w:hAnsi="Times New Roman" w:cs="Times New Roman"/>
          <w:w w:val="105"/>
          <w:sz w:val="24"/>
          <w:szCs w:val="24"/>
        </w:rPr>
        <w:t>Adrian,</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T.,</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Shin,</w:t>
      </w:r>
      <w:r w:rsidRPr="008401B8">
        <w:rPr>
          <w:rFonts w:ascii="Times New Roman" w:hAnsi="Times New Roman" w:cs="Times New Roman"/>
          <w:spacing w:val="-22"/>
          <w:w w:val="105"/>
          <w:sz w:val="24"/>
          <w:szCs w:val="24"/>
        </w:rPr>
        <w:t xml:space="preserve"> </w:t>
      </w:r>
      <w:r w:rsidRPr="008401B8">
        <w:rPr>
          <w:rFonts w:ascii="Times New Roman" w:hAnsi="Times New Roman" w:cs="Times New Roman"/>
          <w:w w:val="105"/>
          <w:sz w:val="24"/>
          <w:szCs w:val="24"/>
        </w:rPr>
        <w:t>H.,</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2008a.</w:t>
      </w:r>
      <w:r w:rsidRPr="008401B8">
        <w:rPr>
          <w:rFonts w:ascii="Times New Roman" w:hAnsi="Times New Roman" w:cs="Times New Roman"/>
          <w:spacing w:val="-22"/>
          <w:w w:val="105"/>
          <w:sz w:val="24"/>
          <w:szCs w:val="24"/>
        </w:rPr>
        <w:t xml:space="preserve"> </w:t>
      </w:r>
      <w:r w:rsidRPr="008401B8">
        <w:rPr>
          <w:rFonts w:ascii="Times New Roman" w:hAnsi="Times New Roman" w:cs="Times New Roman"/>
          <w:w w:val="105"/>
          <w:sz w:val="24"/>
          <w:szCs w:val="24"/>
        </w:rPr>
        <w:t>Liquidity</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and</w:t>
      </w:r>
      <w:r w:rsidRPr="008401B8">
        <w:rPr>
          <w:rFonts w:ascii="Times New Roman" w:hAnsi="Times New Roman" w:cs="Times New Roman"/>
          <w:spacing w:val="-22"/>
          <w:w w:val="105"/>
          <w:sz w:val="24"/>
          <w:szCs w:val="24"/>
        </w:rPr>
        <w:t xml:space="preserve"> </w:t>
      </w:r>
      <w:r w:rsidRPr="008401B8">
        <w:rPr>
          <w:rFonts w:ascii="Times New Roman" w:hAnsi="Times New Roman" w:cs="Times New Roman"/>
          <w:w w:val="105"/>
          <w:sz w:val="24"/>
          <w:szCs w:val="24"/>
        </w:rPr>
        <w:t>financial</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cycles.</w:t>
      </w:r>
      <w:r w:rsidRPr="008401B8">
        <w:rPr>
          <w:rFonts w:ascii="Times New Roman" w:hAnsi="Times New Roman" w:cs="Times New Roman"/>
          <w:spacing w:val="-22"/>
          <w:w w:val="105"/>
          <w:sz w:val="24"/>
          <w:szCs w:val="24"/>
        </w:rPr>
        <w:t xml:space="preserve"> </w:t>
      </w:r>
      <w:r w:rsidRPr="008401B8">
        <w:rPr>
          <w:rFonts w:ascii="Times New Roman" w:hAnsi="Times New Roman" w:cs="Times New Roman"/>
          <w:i/>
          <w:iCs/>
          <w:w w:val="105"/>
          <w:sz w:val="24"/>
          <w:szCs w:val="24"/>
        </w:rPr>
        <w:t>BIS</w:t>
      </w:r>
      <w:r w:rsidRPr="008401B8">
        <w:rPr>
          <w:rFonts w:ascii="Times New Roman" w:hAnsi="Times New Roman" w:cs="Times New Roman"/>
          <w:i/>
          <w:iCs/>
          <w:spacing w:val="-23"/>
          <w:w w:val="105"/>
          <w:sz w:val="24"/>
          <w:szCs w:val="24"/>
        </w:rPr>
        <w:t xml:space="preserve"> </w:t>
      </w:r>
      <w:r w:rsidRPr="008401B8">
        <w:rPr>
          <w:rFonts w:ascii="Times New Roman" w:hAnsi="Times New Roman" w:cs="Times New Roman"/>
          <w:i/>
          <w:iCs/>
          <w:w w:val="105"/>
          <w:sz w:val="24"/>
          <w:szCs w:val="24"/>
        </w:rPr>
        <w:t>Working</w:t>
      </w:r>
      <w:r w:rsidRPr="008401B8">
        <w:rPr>
          <w:rFonts w:ascii="Times New Roman" w:hAnsi="Times New Roman" w:cs="Times New Roman"/>
          <w:i/>
          <w:iCs/>
          <w:spacing w:val="-22"/>
          <w:w w:val="105"/>
          <w:sz w:val="24"/>
          <w:szCs w:val="24"/>
        </w:rPr>
        <w:t xml:space="preserve"> </w:t>
      </w:r>
      <w:r w:rsidRPr="008401B8">
        <w:rPr>
          <w:rFonts w:ascii="Times New Roman" w:hAnsi="Times New Roman" w:cs="Times New Roman"/>
          <w:i/>
          <w:iCs/>
          <w:w w:val="105"/>
          <w:sz w:val="24"/>
          <w:szCs w:val="24"/>
        </w:rPr>
        <w:t>Papers</w:t>
      </w:r>
      <w:r w:rsidRPr="008401B8">
        <w:rPr>
          <w:rFonts w:ascii="Times New Roman" w:hAnsi="Times New Roman" w:cs="Times New Roman"/>
          <w:spacing w:val="-23"/>
          <w:w w:val="105"/>
          <w:sz w:val="24"/>
          <w:szCs w:val="24"/>
        </w:rPr>
        <w:t xml:space="preserve"> </w:t>
      </w:r>
      <w:r w:rsidRPr="008401B8">
        <w:rPr>
          <w:rFonts w:ascii="Times New Roman" w:hAnsi="Times New Roman" w:cs="Times New Roman"/>
          <w:w w:val="105"/>
          <w:sz w:val="24"/>
          <w:szCs w:val="24"/>
        </w:rPr>
        <w:t>25,</w:t>
      </w:r>
    </w:p>
    <w:p w14:paraId="7F03943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Adrian,</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T.,</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Shin,</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H.,</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2010.</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intermediaries</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economics.</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Friedman,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Woodford,</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(Eds.),</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Handbook</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Monetary</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Elsevier,</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York,</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pp.</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601–650.</w:t>
      </w:r>
    </w:p>
    <w:p w14:paraId="475A2FAA"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Ahmed, A.E.M., Suliman, S.Z. (2011), </w:t>
      </w:r>
      <w:proofErr w:type="spellStart"/>
      <w:r w:rsidRPr="00F717E4">
        <w:rPr>
          <w:rFonts w:ascii="Times New Roman" w:hAnsi="Times New Roman" w:cs="Times New Roman"/>
          <w:sz w:val="24"/>
          <w:szCs w:val="24"/>
        </w:rPr>
        <w:t>Modeling</w:t>
      </w:r>
      <w:proofErr w:type="spellEnd"/>
      <w:r w:rsidRPr="00F717E4">
        <w:rPr>
          <w:rFonts w:ascii="Times New Roman" w:hAnsi="Times New Roman" w:cs="Times New Roman"/>
          <w:sz w:val="24"/>
          <w:szCs w:val="24"/>
        </w:rPr>
        <w:t xml:space="preserve"> stock market volatility using GARCH models’ evidence from Sudan. </w:t>
      </w:r>
      <w:r w:rsidRPr="00F717E4">
        <w:rPr>
          <w:rFonts w:ascii="Times New Roman" w:hAnsi="Times New Roman" w:cs="Times New Roman"/>
          <w:i/>
          <w:sz w:val="24"/>
          <w:szCs w:val="24"/>
        </w:rPr>
        <w:t>International Journal of Business and Social Science</w:t>
      </w:r>
      <w:r w:rsidRPr="00F717E4">
        <w:rPr>
          <w:rFonts w:ascii="Times New Roman" w:hAnsi="Times New Roman" w:cs="Times New Roman"/>
          <w:sz w:val="24"/>
          <w:szCs w:val="24"/>
        </w:rPr>
        <w:t xml:space="preserve">, 2(23), 114. </w:t>
      </w:r>
    </w:p>
    <w:p w14:paraId="69E36865" w14:textId="77777777" w:rsidR="00F717E4" w:rsidRPr="006545C7" w:rsidRDefault="00F717E4" w:rsidP="00990265">
      <w:pPr>
        <w:pStyle w:val="ListParagraph"/>
        <w:numPr>
          <w:ilvl w:val="0"/>
          <w:numId w:val="5"/>
        </w:numPr>
        <w:jc w:val="both"/>
        <w:rPr>
          <w:rFonts w:ascii="Times New Roman" w:hAnsi="Times New Roman" w:cs="Times New Roman"/>
          <w:sz w:val="24"/>
          <w:szCs w:val="24"/>
          <w:lang w:val="es-AR"/>
        </w:rPr>
      </w:pPr>
      <w:r w:rsidRPr="006545C7">
        <w:rPr>
          <w:rFonts w:ascii="Times New Roman" w:hAnsi="Times New Roman" w:cs="Times New Roman"/>
          <w:w w:val="105"/>
          <w:sz w:val="24"/>
          <w:szCs w:val="24"/>
        </w:rPr>
        <w:t>Altman,</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E.,</w:t>
      </w:r>
      <w:r w:rsidRPr="006545C7">
        <w:rPr>
          <w:rFonts w:ascii="Times New Roman" w:hAnsi="Times New Roman" w:cs="Times New Roman"/>
          <w:spacing w:val="-18"/>
          <w:w w:val="105"/>
          <w:sz w:val="24"/>
          <w:szCs w:val="24"/>
        </w:rPr>
        <w:t xml:space="preserve"> </w:t>
      </w:r>
      <w:proofErr w:type="spellStart"/>
      <w:r w:rsidRPr="006545C7">
        <w:rPr>
          <w:rFonts w:ascii="Times New Roman" w:hAnsi="Times New Roman" w:cs="Times New Roman"/>
          <w:w w:val="105"/>
          <w:sz w:val="24"/>
          <w:szCs w:val="24"/>
        </w:rPr>
        <w:t>Rijken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H.,</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How</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rating</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agencies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achieve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rating</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28,</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2679–2714.</w:t>
      </w:r>
    </w:p>
    <w:p w14:paraId="5428CA2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Altman,</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E.,</w:t>
      </w:r>
      <w:r w:rsidRPr="006545C7">
        <w:rPr>
          <w:rFonts w:ascii="Times New Roman" w:hAnsi="Times New Roman" w:cs="Times New Roman"/>
          <w:spacing w:val="20"/>
          <w:w w:val="105"/>
          <w:sz w:val="24"/>
          <w:szCs w:val="24"/>
        </w:rPr>
        <w:t xml:space="preserve"> </w:t>
      </w:r>
      <w:proofErr w:type="spellStart"/>
      <w:r w:rsidRPr="006545C7">
        <w:rPr>
          <w:rFonts w:ascii="Times New Roman" w:hAnsi="Times New Roman" w:cs="Times New Roman"/>
          <w:w w:val="105"/>
          <w:sz w:val="24"/>
          <w:szCs w:val="24"/>
        </w:rPr>
        <w:t>Rijken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H.,</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2005.</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impact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rating</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agencies’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through-the-cycle</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methodology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rating</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dynamics.</w:t>
      </w:r>
      <w:r w:rsidRPr="006545C7">
        <w:rPr>
          <w:rFonts w:ascii="Times New Roman" w:hAnsi="Times New Roman" w:cs="Times New Roman"/>
          <w:spacing w:val="-2"/>
          <w:w w:val="105"/>
          <w:sz w:val="24"/>
          <w:szCs w:val="24"/>
        </w:rPr>
        <w:t xml:space="preserve"> </w:t>
      </w:r>
      <w:proofErr w:type="spellStart"/>
      <w:r w:rsidRPr="006545C7">
        <w:rPr>
          <w:rFonts w:ascii="Times New Roman" w:hAnsi="Times New Roman" w:cs="Times New Roman"/>
          <w:i/>
          <w:iCs/>
          <w:w w:val="105"/>
          <w:sz w:val="24"/>
          <w:szCs w:val="24"/>
          <w:lang w:val="es-AR"/>
        </w:rPr>
        <w:t>Economic</w:t>
      </w:r>
      <w:proofErr w:type="spellEnd"/>
      <w:r w:rsidRPr="006545C7">
        <w:rPr>
          <w:rFonts w:ascii="Times New Roman" w:hAnsi="Times New Roman" w:cs="Times New Roman"/>
          <w:i/>
          <w:iCs/>
          <w:spacing w:val="-3"/>
          <w:w w:val="105"/>
          <w:sz w:val="24"/>
          <w:szCs w:val="24"/>
          <w:lang w:val="es-AR"/>
        </w:rPr>
        <w:t xml:space="preserve"> </w:t>
      </w:r>
      <w:r w:rsidRPr="006545C7">
        <w:rPr>
          <w:rFonts w:ascii="Times New Roman" w:hAnsi="Times New Roman" w:cs="Times New Roman"/>
          <w:i/>
          <w:iCs/>
          <w:w w:val="105"/>
          <w:sz w:val="24"/>
          <w:szCs w:val="24"/>
          <w:lang w:val="es-AR"/>
        </w:rPr>
        <w:t>Notes</w:t>
      </w:r>
      <w:r w:rsidRPr="006545C7">
        <w:rPr>
          <w:rFonts w:ascii="Times New Roman" w:hAnsi="Times New Roman" w:cs="Times New Roman"/>
          <w:i/>
          <w:iCs/>
          <w:spacing w:val="-3"/>
          <w:w w:val="105"/>
          <w:sz w:val="24"/>
          <w:szCs w:val="24"/>
          <w:lang w:val="es-AR"/>
        </w:rPr>
        <w:t xml:space="preserve"> </w:t>
      </w:r>
      <w:proofErr w:type="spellStart"/>
      <w:r w:rsidRPr="006545C7">
        <w:rPr>
          <w:rFonts w:ascii="Times New Roman" w:hAnsi="Times New Roman" w:cs="Times New Roman"/>
          <w:i/>
          <w:iCs/>
          <w:w w:val="105"/>
          <w:sz w:val="24"/>
          <w:szCs w:val="24"/>
          <w:lang w:val="es-AR"/>
        </w:rPr>
        <w:t>by</w:t>
      </w:r>
      <w:proofErr w:type="spellEnd"/>
      <w:r w:rsidRPr="006545C7">
        <w:rPr>
          <w:rFonts w:ascii="Times New Roman" w:hAnsi="Times New Roman" w:cs="Times New Roman"/>
          <w:i/>
          <w:iCs/>
          <w:spacing w:val="-3"/>
          <w:w w:val="105"/>
          <w:sz w:val="24"/>
          <w:szCs w:val="24"/>
          <w:lang w:val="es-AR"/>
        </w:rPr>
        <w:t xml:space="preserve"> </w:t>
      </w:r>
      <w:r w:rsidRPr="006545C7">
        <w:rPr>
          <w:rFonts w:ascii="Times New Roman" w:hAnsi="Times New Roman" w:cs="Times New Roman"/>
          <w:i/>
          <w:iCs/>
          <w:w w:val="105"/>
          <w:sz w:val="24"/>
          <w:szCs w:val="24"/>
          <w:lang w:val="es-AR"/>
        </w:rPr>
        <w:t>Banca</w:t>
      </w:r>
      <w:r w:rsidRPr="006545C7">
        <w:rPr>
          <w:rFonts w:ascii="Times New Roman" w:hAnsi="Times New Roman" w:cs="Times New Roman"/>
          <w:i/>
          <w:iCs/>
          <w:spacing w:val="-2"/>
          <w:w w:val="105"/>
          <w:sz w:val="24"/>
          <w:szCs w:val="24"/>
          <w:lang w:val="es-AR"/>
        </w:rPr>
        <w:t xml:space="preserve"> </w:t>
      </w:r>
      <w:r w:rsidRPr="006545C7">
        <w:rPr>
          <w:rFonts w:ascii="Times New Roman" w:hAnsi="Times New Roman" w:cs="Times New Roman"/>
          <w:i/>
          <w:iCs/>
          <w:w w:val="105"/>
          <w:sz w:val="24"/>
          <w:szCs w:val="24"/>
          <w:lang w:val="es-AR"/>
        </w:rPr>
        <w:t>Monte</w:t>
      </w:r>
      <w:r w:rsidRPr="006545C7">
        <w:rPr>
          <w:rFonts w:ascii="Times New Roman" w:hAnsi="Times New Roman" w:cs="Times New Roman"/>
          <w:i/>
          <w:iCs/>
          <w:spacing w:val="-3"/>
          <w:w w:val="105"/>
          <w:sz w:val="24"/>
          <w:szCs w:val="24"/>
          <w:lang w:val="es-AR"/>
        </w:rPr>
        <w:t xml:space="preserve"> </w:t>
      </w:r>
      <w:proofErr w:type="spellStart"/>
      <w:r w:rsidRPr="006545C7">
        <w:rPr>
          <w:rFonts w:ascii="Times New Roman" w:hAnsi="Times New Roman" w:cs="Times New Roman"/>
          <w:i/>
          <w:iCs/>
          <w:w w:val="105"/>
          <w:sz w:val="24"/>
          <w:szCs w:val="24"/>
          <w:lang w:val="es-AR"/>
        </w:rPr>
        <w:t>dei</w:t>
      </w:r>
      <w:proofErr w:type="spellEnd"/>
      <w:r w:rsidRPr="006545C7">
        <w:rPr>
          <w:rFonts w:ascii="Times New Roman" w:hAnsi="Times New Roman" w:cs="Times New Roman"/>
          <w:i/>
          <w:iCs/>
          <w:spacing w:val="-3"/>
          <w:w w:val="105"/>
          <w:sz w:val="24"/>
          <w:szCs w:val="24"/>
          <w:lang w:val="es-AR"/>
        </w:rPr>
        <w:t xml:space="preserve"> </w:t>
      </w:r>
      <w:proofErr w:type="spellStart"/>
      <w:r w:rsidRPr="006545C7">
        <w:rPr>
          <w:rFonts w:ascii="Times New Roman" w:hAnsi="Times New Roman" w:cs="Times New Roman"/>
          <w:i/>
          <w:iCs/>
          <w:w w:val="105"/>
          <w:sz w:val="24"/>
          <w:szCs w:val="24"/>
          <w:lang w:val="es-AR"/>
        </w:rPr>
        <w:t>Paschi</w:t>
      </w:r>
      <w:proofErr w:type="spellEnd"/>
      <w:r w:rsidRPr="006545C7">
        <w:rPr>
          <w:rFonts w:ascii="Times New Roman" w:hAnsi="Times New Roman" w:cs="Times New Roman"/>
          <w:i/>
          <w:iCs/>
          <w:sz w:val="24"/>
          <w:szCs w:val="24"/>
          <w:lang w:val="es-AR"/>
        </w:rPr>
        <w:t xml:space="preserve"> </w:t>
      </w:r>
      <w:r w:rsidRPr="006545C7">
        <w:rPr>
          <w:rFonts w:ascii="Times New Roman" w:hAnsi="Times New Roman" w:cs="Times New Roman"/>
          <w:i/>
          <w:iCs/>
          <w:w w:val="105"/>
          <w:sz w:val="24"/>
          <w:szCs w:val="24"/>
          <w:lang w:val="es-AR"/>
        </w:rPr>
        <w:t>di</w:t>
      </w:r>
      <w:r w:rsidRPr="006545C7">
        <w:rPr>
          <w:rFonts w:ascii="Times New Roman" w:hAnsi="Times New Roman" w:cs="Times New Roman"/>
          <w:i/>
          <w:iCs/>
          <w:spacing w:val="-20"/>
          <w:w w:val="105"/>
          <w:sz w:val="24"/>
          <w:szCs w:val="24"/>
          <w:lang w:val="es-AR"/>
        </w:rPr>
        <w:t xml:space="preserve"> </w:t>
      </w:r>
      <w:r w:rsidRPr="006545C7">
        <w:rPr>
          <w:rFonts w:ascii="Times New Roman" w:hAnsi="Times New Roman" w:cs="Times New Roman"/>
          <w:i/>
          <w:iCs/>
          <w:w w:val="105"/>
          <w:sz w:val="24"/>
          <w:szCs w:val="24"/>
          <w:lang w:val="es-AR"/>
        </w:rPr>
        <w:t>Siena</w:t>
      </w:r>
      <w:r w:rsidRPr="006545C7">
        <w:rPr>
          <w:rFonts w:ascii="Times New Roman" w:hAnsi="Times New Roman" w:cs="Times New Roman"/>
          <w:i/>
          <w:iCs/>
          <w:spacing w:val="-19"/>
          <w:w w:val="105"/>
          <w:sz w:val="24"/>
          <w:szCs w:val="24"/>
          <w:lang w:val="es-AR"/>
        </w:rPr>
        <w:t xml:space="preserve"> </w:t>
      </w:r>
      <w:proofErr w:type="spellStart"/>
      <w:r w:rsidRPr="006545C7">
        <w:rPr>
          <w:rFonts w:ascii="Times New Roman" w:hAnsi="Times New Roman" w:cs="Times New Roman"/>
          <w:i/>
          <w:iCs/>
          <w:w w:val="105"/>
          <w:sz w:val="24"/>
          <w:szCs w:val="24"/>
          <w:lang w:val="es-AR"/>
        </w:rPr>
        <w:t>SpA</w:t>
      </w:r>
      <w:proofErr w:type="spellEnd"/>
      <w:r w:rsidRPr="006545C7">
        <w:rPr>
          <w:rFonts w:ascii="Times New Roman" w:hAnsi="Times New Roman" w:cs="Times New Roman"/>
          <w:spacing w:val="-19"/>
          <w:w w:val="105"/>
          <w:sz w:val="24"/>
          <w:szCs w:val="24"/>
          <w:lang w:val="es-AR"/>
        </w:rPr>
        <w:t xml:space="preserve"> </w:t>
      </w:r>
      <w:r w:rsidRPr="006545C7">
        <w:rPr>
          <w:rFonts w:ascii="Times New Roman" w:hAnsi="Times New Roman" w:cs="Times New Roman"/>
          <w:w w:val="105"/>
          <w:sz w:val="24"/>
          <w:szCs w:val="24"/>
          <w:lang w:val="es-AR"/>
        </w:rPr>
        <w:t>34,</w:t>
      </w:r>
      <w:r w:rsidRPr="006545C7">
        <w:rPr>
          <w:rFonts w:ascii="Times New Roman" w:hAnsi="Times New Roman" w:cs="Times New Roman"/>
          <w:spacing w:val="-19"/>
          <w:w w:val="105"/>
          <w:sz w:val="24"/>
          <w:szCs w:val="24"/>
          <w:lang w:val="es-AR"/>
        </w:rPr>
        <w:t xml:space="preserve"> </w:t>
      </w:r>
      <w:r w:rsidRPr="006545C7">
        <w:rPr>
          <w:rFonts w:ascii="Times New Roman" w:hAnsi="Times New Roman" w:cs="Times New Roman"/>
          <w:w w:val="105"/>
          <w:sz w:val="24"/>
          <w:szCs w:val="24"/>
          <w:lang w:val="es-AR"/>
        </w:rPr>
        <w:t>127–154.</w:t>
      </w:r>
    </w:p>
    <w:p w14:paraId="3BDFFD61"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Altunbas</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lang w:val="es-AR"/>
        </w:rPr>
        <w:t>Y.,</w:t>
      </w:r>
      <w:r w:rsidRPr="006545C7">
        <w:rPr>
          <w:rFonts w:ascii="Times New Roman" w:hAnsi="Times New Roman" w:cs="Times New Roman"/>
          <w:spacing w:val="6"/>
          <w:sz w:val="24"/>
          <w:szCs w:val="24"/>
          <w:lang w:val="es-AR"/>
        </w:rPr>
        <w:t xml:space="preserve"> </w:t>
      </w:r>
      <w:proofErr w:type="spellStart"/>
      <w:r w:rsidRPr="006545C7">
        <w:rPr>
          <w:rFonts w:ascii="Times New Roman" w:hAnsi="Times New Roman" w:cs="Times New Roman"/>
          <w:sz w:val="24"/>
          <w:szCs w:val="24"/>
          <w:lang w:val="es-AR"/>
        </w:rPr>
        <w:t>Gambacorta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L.,</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lang w:val="es-AR"/>
        </w:rPr>
        <w:t>Marques,</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D.,</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2010.</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rPr>
        <w:t>Does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Affect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w w:val="97"/>
          <w:sz w:val="24"/>
          <w:szCs w:val="24"/>
        </w:rPr>
        <w:t xml:space="preserve"> </w:t>
      </w:r>
      <w:r w:rsidRPr="006545C7">
        <w:rPr>
          <w:rFonts w:ascii="Times New Roman" w:hAnsi="Times New Roman" w:cs="Times New Roman"/>
          <w:sz w:val="24"/>
          <w:szCs w:val="24"/>
        </w:rPr>
        <w:t>Risk-Taking?</w:t>
      </w:r>
      <w:r w:rsidRPr="006545C7">
        <w:rPr>
          <w:rFonts w:ascii="Times New Roman" w:hAnsi="Times New Roman" w:cs="Times New Roman"/>
          <w:spacing w:val="3"/>
          <w:sz w:val="24"/>
          <w:szCs w:val="24"/>
        </w:rPr>
        <w:t xml:space="preserve"> </w:t>
      </w:r>
      <w:r w:rsidRPr="00F717E4">
        <w:rPr>
          <w:rFonts w:ascii="Times New Roman" w:hAnsi="Times New Roman" w:cs="Times New Roman"/>
          <w:i/>
          <w:sz w:val="24"/>
          <w:szCs w:val="24"/>
        </w:rPr>
        <w:t>ECB</w:t>
      </w:r>
      <w:r w:rsidRPr="00F717E4">
        <w:rPr>
          <w:rFonts w:ascii="Times New Roman" w:hAnsi="Times New Roman" w:cs="Times New Roman"/>
          <w:i/>
          <w:spacing w:val="3"/>
          <w:sz w:val="24"/>
          <w:szCs w:val="24"/>
        </w:rPr>
        <w:t xml:space="preserve"> </w:t>
      </w:r>
      <w:r w:rsidRPr="00F717E4">
        <w:rPr>
          <w:rFonts w:ascii="Times New Roman" w:hAnsi="Times New Roman" w:cs="Times New Roman"/>
          <w:i/>
          <w:sz w:val="24"/>
          <w:szCs w:val="24"/>
        </w:rPr>
        <w:t>Working</w:t>
      </w:r>
      <w:r w:rsidRPr="00F717E4">
        <w:rPr>
          <w:rFonts w:ascii="Times New Roman" w:hAnsi="Times New Roman" w:cs="Times New Roman"/>
          <w:i/>
          <w:spacing w:val="3"/>
          <w:sz w:val="24"/>
          <w:szCs w:val="24"/>
        </w:rPr>
        <w:t xml:space="preserve"> </w:t>
      </w:r>
      <w:r w:rsidRPr="00F717E4">
        <w:rPr>
          <w:rFonts w:ascii="Times New Roman" w:hAnsi="Times New Roman" w:cs="Times New Roman"/>
          <w:i/>
          <w:sz w:val="24"/>
          <w:szCs w:val="24"/>
        </w:rPr>
        <w:t>Paper</w:t>
      </w:r>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1166.</w:t>
      </w:r>
    </w:p>
    <w:p w14:paraId="1B084975"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Amato,</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aversion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premia</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CDS</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15"/>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15"/>
          <w:sz w:val="24"/>
          <w:szCs w:val="24"/>
        </w:rPr>
        <w:t xml:space="preserve"> </w:t>
      </w:r>
      <w:r w:rsidRPr="006545C7">
        <w:rPr>
          <w:rFonts w:ascii="Times New Roman" w:hAnsi="Times New Roman" w:cs="Times New Roman"/>
          <w:i/>
          <w:iCs/>
          <w:sz w:val="24"/>
          <w:szCs w:val="24"/>
        </w:rPr>
        <w:t>Quarterly</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34"/>
          <w:sz w:val="24"/>
          <w:szCs w:val="24"/>
        </w:rPr>
        <w:t xml:space="preserve"> </w:t>
      </w:r>
      <w:r w:rsidRPr="006545C7">
        <w:rPr>
          <w:rFonts w:ascii="Times New Roman" w:hAnsi="Times New Roman" w:cs="Times New Roman"/>
          <w:sz w:val="24"/>
          <w:szCs w:val="24"/>
        </w:rPr>
        <w:t>December,</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55–68.</w:t>
      </w:r>
    </w:p>
    <w:p w14:paraId="27F6D177"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lastRenderedPageBreak/>
        <w:t>Amato,</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8"/>
          <w:sz w:val="24"/>
          <w:szCs w:val="24"/>
        </w:rPr>
        <w:t xml:space="preserve"> </w:t>
      </w:r>
      <w:proofErr w:type="spellStart"/>
      <w:r w:rsidRPr="006545C7">
        <w:rPr>
          <w:rFonts w:ascii="Times New Roman" w:hAnsi="Times New Roman" w:cs="Times New Roman"/>
          <w:sz w:val="24"/>
          <w:szCs w:val="24"/>
        </w:rPr>
        <w:t>Furfine</w:t>
      </w:r>
      <w:proofErr w:type="spellEnd"/>
      <w:r w:rsidRPr="006545C7">
        <w:rPr>
          <w:rFonts w:ascii="Times New Roman" w:hAnsi="Times New Roman" w:cs="Times New Roman"/>
          <w:sz w:val="24"/>
          <w:szCs w:val="24"/>
        </w:rPr>
        <w: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8"/>
          <w:sz w:val="24"/>
          <w:szCs w:val="24"/>
        </w:rPr>
        <w:t xml:space="preserve"> </w:t>
      </w:r>
      <w:proofErr w:type="gramStart"/>
      <w:r w:rsidRPr="006545C7">
        <w:rPr>
          <w:rFonts w:ascii="Times New Roman" w:hAnsi="Times New Roman" w:cs="Times New Roman"/>
          <w:sz w:val="24"/>
          <w:szCs w:val="24"/>
        </w:rPr>
        <w:t>Are</w:t>
      </w:r>
      <w:proofErr w:type="gramEnd"/>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ratings</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procyclical?</w:t>
      </w:r>
      <w:r w:rsidRPr="006545C7">
        <w:rPr>
          <w:rFonts w:ascii="Times New Roman" w:hAnsi="Times New Roman" w:cs="Times New Roman"/>
          <w:spacing w:val="7"/>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w w:val="102"/>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z w:val="24"/>
          <w:szCs w:val="24"/>
        </w:rPr>
        <w:t>, 28,</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2641–2677.</w:t>
      </w:r>
    </w:p>
    <w:p w14:paraId="42CE9267"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Amato, J.,</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Luisi,</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Macro</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factors in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term</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structure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 xml:space="preserve">spreads. </w:t>
      </w:r>
      <w:r w:rsidRPr="008329B9">
        <w:rPr>
          <w:rFonts w:ascii="Times New Roman" w:hAnsi="Times New Roman" w:cs="Times New Roman"/>
          <w:i/>
          <w:sz w:val="24"/>
          <w:szCs w:val="24"/>
        </w:rPr>
        <w:t>BIS</w:t>
      </w:r>
      <w:r w:rsidRPr="008329B9">
        <w:rPr>
          <w:rFonts w:ascii="Times New Roman" w:hAnsi="Times New Roman" w:cs="Times New Roman"/>
          <w:i/>
          <w:w w:val="91"/>
          <w:sz w:val="24"/>
          <w:szCs w:val="24"/>
        </w:rPr>
        <w:t xml:space="preserve"> </w:t>
      </w:r>
      <w:r w:rsidRPr="008329B9">
        <w:rPr>
          <w:rFonts w:ascii="Times New Roman" w:hAnsi="Times New Roman" w:cs="Times New Roman"/>
          <w:i/>
          <w:sz w:val="24"/>
          <w:szCs w:val="24"/>
        </w:rPr>
        <w:t>Working</w:t>
      </w:r>
      <w:r w:rsidRPr="008329B9">
        <w:rPr>
          <w:rFonts w:ascii="Times New Roman" w:hAnsi="Times New Roman" w:cs="Times New Roman"/>
          <w:i/>
          <w:spacing w:val="6"/>
          <w:sz w:val="24"/>
          <w:szCs w:val="24"/>
        </w:rPr>
        <w:t xml:space="preserve"> </w:t>
      </w:r>
      <w:r w:rsidRPr="008329B9">
        <w:rPr>
          <w:rFonts w:ascii="Times New Roman" w:hAnsi="Times New Roman" w:cs="Times New Roman"/>
          <w:i/>
          <w:sz w:val="24"/>
          <w:szCs w:val="24"/>
        </w:rPr>
        <w:t>Papers</w:t>
      </w:r>
      <w:r w:rsidRPr="008329B9">
        <w:rPr>
          <w:rFonts w:ascii="Times New Roman" w:hAnsi="Times New Roman" w:cs="Times New Roman"/>
          <w:i/>
          <w:spacing w:val="7"/>
          <w:sz w:val="24"/>
          <w:szCs w:val="24"/>
        </w:rPr>
        <w:t xml:space="preserve"> </w:t>
      </w:r>
      <w:r w:rsidRPr="006545C7">
        <w:rPr>
          <w:rFonts w:ascii="Times New Roman" w:hAnsi="Times New Roman" w:cs="Times New Roman"/>
          <w:sz w:val="24"/>
          <w:szCs w:val="24"/>
        </w:rPr>
        <w:t>20,</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3.</w:t>
      </w:r>
    </w:p>
    <w:p w14:paraId="09D360E6"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Ang,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Joe,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2002.</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Asymmetric</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correlations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equity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portfolios.</w:t>
      </w:r>
      <w:r w:rsidRPr="006545C7">
        <w:rPr>
          <w:rFonts w:ascii="Times New Roman" w:hAnsi="Times New Roman" w:cs="Times New Roman"/>
          <w:spacing w:val="-3"/>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63,</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443–494.</w:t>
      </w:r>
    </w:p>
    <w:p w14:paraId="0D39051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Angeloni</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I.,</w:t>
      </w:r>
      <w:r w:rsidRPr="006545C7">
        <w:rPr>
          <w:rFonts w:ascii="Times New Roman" w:hAnsi="Times New Roman" w:cs="Times New Roman"/>
          <w:spacing w:val="4"/>
          <w:sz w:val="24"/>
          <w:szCs w:val="24"/>
        </w:rPr>
        <w:t xml:space="preserve"> </w:t>
      </w:r>
      <w:proofErr w:type="spellStart"/>
      <w:r w:rsidRPr="006545C7">
        <w:rPr>
          <w:rFonts w:ascii="Times New Roman" w:hAnsi="Times New Roman" w:cs="Times New Roman"/>
          <w:sz w:val="24"/>
          <w:szCs w:val="24"/>
        </w:rPr>
        <w:t>Faia</w:t>
      </w:r>
      <w:proofErr w:type="spellEnd"/>
      <w:r w:rsidRPr="006545C7">
        <w:rPr>
          <w:rFonts w:ascii="Times New Roman" w:hAnsi="Times New Roman" w:cs="Times New Roman"/>
          <w:sz w:val="24"/>
          <w:szCs w:val="24"/>
        </w:rPr>
        <w: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Tale</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Two</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Policies: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Prudential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with</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Fragile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9"/>
          <w:sz w:val="24"/>
          <w:szCs w:val="24"/>
        </w:rPr>
        <w:t xml:space="preserve"> </w:t>
      </w:r>
      <w:r w:rsidRPr="006545C7">
        <w:rPr>
          <w:rFonts w:ascii="Times New Roman" w:hAnsi="Times New Roman" w:cs="Times New Roman"/>
          <w:i/>
          <w:iCs/>
          <w:sz w:val="24"/>
          <w:szCs w:val="24"/>
        </w:rPr>
        <w:t>Kiel</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1569.</w:t>
      </w:r>
    </w:p>
    <w:p w14:paraId="5F85EDCB"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Angeloni</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I.,</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Kashyap,</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
          <w:sz w:val="24"/>
          <w:szCs w:val="24"/>
        </w:rPr>
        <w:t xml:space="preserve"> </w:t>
      </w:r>
      <w:proofErr w:type="spellStart"/>
      <w:r w:rsidRPr="006545C7">
        <w:rPr>
          <w:rFonts w:ascii="Times New Roman" w:hAnsi="Times New Roman" w:cs="Times New Roman"/>
          <w:sz w:val="24"/>
          <w:szCs w:val="24"/>
        </w:rPr>
        <w:t>Mojon</w:t>
      </w:r>
      <w:proofErr w:type="spellEnd"/>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2003.</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Euro</w:t>
      </w:r>
      <w:r w:rsidRPr="006545C7">
        <w:rPr>
          <w:rFonts w:ascii="Times New Roman" w:hAnsi="Times New Roman" w:cs="Times New Roman"/>
          <w:w w:val="98"/>
          <w:sz w:val="24"/>
          <w:szCs w:val="24"/>
        </w:rPr>
        <w:t xml:space="preserve"> </w:t>
      </w:r>
      <w:r w:rsidRPr="006545C7">
        <w:rPr>
          <w:rFonts w:ascii="Times New Roman" w:hAnsi="Times New Roman" w:cs="Times New Roman"/>
          <w:sz w:val="24"/>
          <w:szCs w:val="24"/>
        </w:rPr>
        <w:t>Area.</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Cambridge</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University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Press.</w:t>
      </w:r>
    </w:p>
    <w:p w14:paraId="300070CB"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Ashcraft,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Santos,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Has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default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swap</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lowered</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cost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corporate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debt?</w:t>
      </w:r>
      <w:r w:rsidRPr="006545C7">
        <w:rPr>
          <w:rFonts w:ascii="Times New Roman" w:hAnsi="Times New Roman" w:cs="Times New Roman"/>
          <w:spacing w:val="11"/>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Monetary</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56,</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514–523.</w:t>
      </w:r>
    </w:p>
    <w:p w14:paraId="1BF3F2B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Auerbach,</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Taxation</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corporate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Auerbach,</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Feld-</w:t>
      </w:r>
      <w:r w:rsidRPr="006545C7">
        <w:rPr>
          <w:rFonts w:ascii="Times New Roman" w:hAnsi="Times New Roman" w:cs="Times New Roman"/>
          <w:w w:val="104"/>
          <w:sz w:val="24"/>
          <w:szCs w:val="24"/>
        </w:rPr>
        <w:t xml:space="preserve"> </w:t>
      </w:r>
      <w:r w:rsidRPr="006545C7">
        <w:rPr>
          <w:rFonts w:ascii="Times New Roman" w:hAnsi="Times New Roman" w:cs="Times New Roman"/>
          <w:w w:val="105"/>
          <w:sz w:val="24"/>
          <w:szCs w:val="24"/>
        </w:rPr>
        <w:t>stein,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i/>
          <w:iCs/>
          <w:w w:val="105"/>
          <w:sz w:val="24"/>
          <w:szCs w:val="24"/>
        </w:rPr>
        <w:t>Handbook</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Public</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w w:val="105"/>
          <w:sz w:val="24"/>
          <w:szCs w:val="24"/>
        </w:rPr>
        <w: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vol.</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3.</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Elsevier</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North-Holland, Amsterdam,</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pp.</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1251–1292.</w:t>
      </w:r>
    </w:p>
    <w:p w14:paraId="78B41213"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Awartani</w:t>
      </w:r>
      <w:proofErr w:type="spellEnd"/>
      <w:r w:rsidRPr="00F717E4">
        <w:rPr>
          <w:rFonts w:ascii="Times New Roman" w:hAnsi="Times New Roman" w:cs="Times New Roman"/>
          <w:sz w:val="24"/>
          <w:szCs w:val="24"/>
        </w:rPr>
        <w:t xml:space="preserve">, B.M., </w:t>
      </w:r>
      <w:proofErr w:type="spellStart"/>
      <w:r w:rsidRPr="00F717E4">
        <w:rPr>
          <w:rFonts w:ascii="Times New Roman" w:hAnsi="Times New Roman" w:cs="Times New Roman"/>
          <w:sz w:val="24"/>
          <w:szCs w:val="24"/>
        </w:rPr>
        <w:t>Corradi</w:t>
      </w:r>
      <w:proofErr w:type="spellEnd"/>
      <w:r w:rsidRPr="00F717E4">
        <w:rPr>
          <w:rFonts w:ascii="Times New Roman" w:hAnsi="Times New Roman" w:cs="Times New Roman"/>
          <w:sz w:val="24"/>
          <w:szCs w:val="24"/>
        </w:rPr>
        <w:t xml:space="preserve">, V. (2005), Predicting the volatility of the S&amp;P500 stock index via GARCH models: The role of asymmetries. </w:t>
      </w:r>
      <w:r w:rsidRPr="008329B9">
        <w:rPr>
          <w:rFonts w:ascii="Times New Roman" w:hAnsi="Times New Roman" w:cs="Times New Roman"/>
          <w:i/>
          <w:sz w:val="24"/>
          <w:szCs w:val="24"/>
        </w:rPr>
        <w:t>International Journal of Forecasting</w:t>
      </w:r>
      <w:r w:rsidRPr="00F717E4">
        <w:rPr>
          <w:rFonts w:ascii="Times New Roman" w:hAnsi="Times New Roman" w:cs="Times New Roman"/>
          <w:sz w:val="24"/>
          <w:szCs w:val="24"/>
        </w:rPr>
        <w:t>, 21(1), 167-183.</w:t>
      </w:r>
    </w:p>
    <w:p w14:paraId="2F2665CE"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lang w:val="es-AR"/>
        </w:rPr>
        <w:t>Ayuso,</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J.,</w:t>
      </w:r>
      <w:r w:rsidRPr="006545C7">
        <w:rPr>
          <w:rFonts w:ascii="Times New Roman" w:hAnsi="Times New Roman" w:cs="Times New Roman"/>
          <w:spacing w:val="-6"/>
          <w:sz w:val="24"/>
          <w:szCs w:val="24"/>
          <w:lang w:val="es-AR"/>
        </w:rPr>
        <w:t xml:space="preserve"> </w:t>
      </w:r>
      <w:proofErr w:type="spellStart"/>
      <w:r w:rsidRPr="006545C7">
        <w:rPr>
          <w:rFonts w:ascii="Times New Roman" w:hAnsi="Times New Roman" w:cs="Times New Roman"/>
          <w:sz w:val="24"/>
          <w:szCs w:val="24"/>
          <w:lang w:val="es-AR"/>
        </w:rPr>
        <w:t>Perez</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lang w:val="es-AR"/>
        </w:rPr>
        <w:t>D.,</w:t>
      </w:r>
      <w:r w:rsidRPr="006545C7">
        <w:rPr>
          <w:rFonts w:ascii="Times New Roman" w:hAnsi="Times New Roman" w:cs="Times New Roman"/>
          <w:spacing w:val="-6"/>
          <w:sz w:val="24"/>
          <w:szCs w:val="24"/>
          <w:lang w:val="es-AR"/>
        </w:rPr>
        <w:t xml:space="preserve"> </w:t>
      </w:r>
      <w:proofErr w:type="spellStart"/>
      <w:r w:rsidRPr="006545C7">
        <w:rPr>
          <w:rFonts w:ascii="Times New Roman" w:hAnsi="Times New Roman" w:cs="Times New Roman"/>
          <w:sz w:val="24"/>
          <w:szCs w:val="24"/>
          <w:lang w:val="es-AR"/>
        </w:rPr>
        <w:t>Saurina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lang w:val="es-AR"/>
        </w:rPr>
        <w:t>J.,</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2004.</w:t>
      </w:r>
      <w:r w:rsidRPr="006545C7">
        <w:rPr>
          <w:rFonts w:ascii="Times New Roman" w:hAnsi="Times New Roman" w:cs="Times New Roman"/>
          <w:spacing w:val="-5"/>
          <w:sz w:val="24"/>
          <w:szCs w:val="24"/>
          <w:lang w:val="es-AR"/>
        </w:rPr>
        <w:t xml:space="preserve"> </w:t>
      </w:r>
      <w:r w:rsidRPr="006545C7">
        <w:rPr>
          <w:rFonts w:ascii="Times New Roman" w:hAnsi="Times New Roman" w:cs="Times New Roman"/>
          <w:sz w:val="24"/>
          <w:szCs w:val="24"/>
        </w:rPr>
        <w:t>Are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buffers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pro-cyclical? Evidence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from</w:t>
      </w:r>
      <w:r w:rsidRPr="006545C7">
        <w:rPr>
          <w:rFonts w:ascii="Times New Roman" w:hAnsi="Times New Roman" w:cs="Times New Roman"/>
          <w:w w:val="109"/>
          <w:sz w:val="24"/>
          <w:szCs w:val="24"/>
        </w:rPr>
        <w:t xml:space="preserve"> </w:t>
      </w:r>
      <w:r w:rsidRPr="006545C7">
        <w:rPr>
          <w:rFonts w:ascii="Times New Roman" w:hAnsi="Times New Roman" w:cs="Times New Roman"/>
          <w:sz w:val="24"/>
          <w:szCs w:val="24"/>
        </w:rPr>
        <w:t>Spanish</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panel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data.</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Intermediation,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13,</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249–264.</w:t>
      </w:r>
    </w:p>
    <w:p w14:paraId="6F1C4FE6"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Bank</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International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Settlements,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1995.</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65th</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Annual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Report,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June,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w w:val="97"/>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for</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International</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Settlements</w:t>
      </w:r>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74th</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Annual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Report,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June,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w w:val="97"/>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for</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International</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Settlements</w:t>
      </w:r>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77th</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Annual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Report,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June,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Basel.</w:t>
      </w:r>
    </w:p>
    <w:p w14:paraId="2C321002"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Banking</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Supervision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Committee,</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2000.</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EU</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Banks’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Margins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 xml:space="preserve">Standards. </w:t>
      </w:r>
      <w:r w:rsidRPr="006545C7">
        <w:rPr>
          <w:rFonts w:ascii="Times New Roman" w:hAnsi="Times New Roman" w:cs="Times New Roman"/>
          <w:i/>
          <w:iCs/>
          <w:sz w:val="24"/>
          <w:szCs w:val="24"/>
        </w:rPr>
        <w:t>European</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Central</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Frankfurt</w:t>
      </w:r>
      <w:r w:rsidRPr="006545C7">
        <w:rPr>
          <w:rFonts w:ascii="Times New Roman" w:hAnsi="Times New Roman" w:cs="Times New Roman"/>
          <w:sz w:val="24"/>
          <w:szCs w:val="24"/>
        </w:rPr>
        <w: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December.</w:t>
      </w:r>
    </w:p>
    <w:p w14:paraId="179CF47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Barth, J.,</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Caprio,</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Levine,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supervision: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what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works</w:t>
      </w:r>
      <w:r w:rsidRPr="006545C7">
        <w:rPr>
          <w:rFonts w:ascii="Times New Roman" w:hAnsi="Times New Roman" w:cs="Times New Roman"/>
          <w:w w:val="107"/>
          <w:sz w:val="24"/>
          <w:szCs w:val="24"/>
        </w:rPr>
        <w:t xml:space="preserve"> </w:t>
      </w:r>
      <w:r w:rsidRPr="006545C7">
        <w:rPr>
          <w:rFonts w:ascii="Times New Roman" w:hAnsi="Times New Roman" w:cs="Times New Roman"/>
          <w:sz w:val="24"/>
          <w:szCs w:val="24"/>
        </w:rPr>
        <w:t>best?</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Intermediation,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13,</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205–248.</w:t>
      </w:r>
    </w:p>
    <w:p w14:paraId="7B5B6DF7"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Basel</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Committee</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Supervision,</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Basel</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II:</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International</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Con-</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vergence</w:t>
      </w:r>
      <w:r w:rsidRPr="006545C7">
        <w:rPr>
          <w:rFonts w:ascii="Times New Roman" w:hAnsi="Times New Roman" w:cs="Times New Roman"/>
          <w:spacing w:val="35"/>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36"/>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35"/>
          <w:w w:val="105"/>
          <w:sz w:val="24"/>
          <w:szCs w:val="24"/>
        </w:rPr>
        <w:t xml:space="preserve"> </w:t>
      </w:r>
      <w:r w:rsidRPr="006545C7">
        <w:rPr>
          <w:rFonts w:ascii="Times New Roman" w:hAnsi="Times New Roman" w:cs="Times New Roman"/>
          <w:w w:val="105"/>
          <w:sz w:val="24"/>
          <w:szCs w:val="24"/>
        </w:rPr>
        <w:t>Measurement</w:t>
      </w:r>
      <w:r w:rsidRPr="006545C7">
        <w:rPr>
          <w:rFonts w:ascii="Times New Roman" w:hAnsi="Times New Roman" w:cs="Times New Roman"/>
          <w:spacing w:val="36"/>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35"/>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36"/>
          <w:w w:val="105"/>
          <w:sz w:val="24"/>
          <w:szCs w:val="24"/>
        </w:rPr>
        <w:t xml:space="preserve"> </w:t>
      </w:r>
      <w:r w:rsidRPr="006545C7">
        <w:rPr>
          <w:rFonts w:ascii="Times New Roman" w:hAnsi="Times New Roman" w:cs="Times New Roman"/>
          <w:w w:val="105"/>
          <w:sz w:val="24"/>
          <w:szCs w:val="24"/>
        </w:rPr>
        <w:t>Standards:</w:t>
      </w:r>
      <w:r w:rsidRPr="006545C7">
        <w:rPr>
          <w:rFonts w:ascii="Times New Roman" w:hAnsi="Times New Roman" w:cs="Times New Roman"/>
          <w:spacing w:val="35"/>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36"/>
          <w:w w:val="105"/>
          <w:sz w:val="24"/>
          <w:szCs w:val="24"/>
        </w:rPr>
        <w:t xml:space="preserve"> </w:t>
      </w:r>
      <w:r w:rsidRPr="006545C7">
        <w:rPr>
          <w:rFonts w:ascii="Times New Roman" w:hAnsi="Times New Roman" w:cs="Times New Roman"/>
          <w:w w:val="105"/>
          <w:sz w:val="24"/>
          <w:szCs w:val="24"/>
        </w:rPr>
        <w:t xml:space="preserve">Revised </w:t>
      </w:r>
      <w:r w:rsidRPr="006545C7">
        <w:rPr>
          <w:rFonts w:ascii="Times New Roman" w:hAnsi="Times New Roman" w:cs="Times New Roman"/>
          <w:sz w:val="24"/>
          <w:szCs w:val="24"/>
        </w:rPr>
        <w:t>Framework—Comprehensive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 xml:space="preserve">Version. </w:t>
      </w:r>
      <w:r w:rsidRPr="006545C7">
        <w:rPr>
          <w:rFonts w:ascii="Times New Roman" w:hAnsi="Times New Roman" w:cs="Times New Roman"/>
          <w:i/>
          <w:iCs/>
          <w:sz w:val="24"/>
          <w:szCs w:val="24"/>
        </w:rPr>
        <w:t>BCBS Report</w:t>
      </w:r>
      <w:r w:rsidRPr="006545C7">
        <w:rPr>
          <w:rFonts w:ascii="Times New Roman" w:hAnsi="Times New Roman" w:cs="Times New Roman"/>
          <w:sz w:val="24"/>
          <w:szCs w:val="24"/>
        </w:rPr>
        <w:t>, June.</w:t>
      </w:r>
    </w:p>
    <w:p w14:paraId="7D969CC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Basel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Committee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on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Banking</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Supervision,</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2008.</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Principles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Sound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w w:val="98"/>
          <w:sz w:val="24"/>
          <w:szCs w:val="24"/>
        </w:rPr>
        <w:t xml:space="preserve"> </w:t>
      </w:r>
      <w:r w:rsidRPr="006545C7">
        <w:rPr>
          <w:rFonts w:ascii="Times New Roman" w:hAnsi="Times New Roman" w:cs="Times New Roman"/>
          <w:sz w:val="24"/>
          <w:szCs w:val="24"/>
        </w:rPr>
        <w:t>Management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Supervision.</w:t>
      </w:r>
      <w:r w:rsidRPr="006545C7">
        <w:rPr>
          <w:rFonts w:ascii="Times New Roman" w:hAnsi="Times New Roman" w:cs="Times New Roman"/>
          <w:spacing w:val="7"/>
          <w:sz w:val="24"/>
          <w:szCs w:val="24"/>
        </w:rPr>
        <w:t xml:space="preserve"> </w:t>
      </w:r>
      <w:r w:rsidRPr="006545C7">
        <w:rPr>
          <w:rFonts w:ascii="Times New Roman" w:hAnsi="Times New Roman" w:cs="Times New Roman"/>
          <w:i/>
          <w:iCs/>
          <w:sz w:val="24"/>
          <w:szCs w:val="24"/>
        </w:rPr>
        <w:t>BCBS</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Report</w:t>
      </w:r>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September.</w:t>
      </w:r>
    </w:p>
    <w:p w14:paraId="16098ED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Basel</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Committee</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Supervision,</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2010.</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Guidance</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National</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Authorities Operating</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Countercyclical</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Buffer.</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i/>
          <w:iCs/>
          <w:w w:val="105"/>
          <w:sz w:val="24"/>
          <w:szCs w:val="24"/>
        </w:rPr>
        <w:t>BCBS</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Report</w:t>
      </w:r>
      <w:r w:rsidRPr="006545C7">
        <w:rPr>
          <w:rFonts w:ascii="Times New Roman" w:hAnsi="Times New Roman" w:cs="Times New Roman"/>
          <w:w w:val="105"/>
          <w:sz w:val="24"/>
          <w:szCs w:val="24"/>
        </w:rPr>
        <w:t>,</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December.</w:t>
      </w:r>
    </w:p>
    <w:p w14:paraId="07B943B2"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Basel</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Committee</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Banking</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Supervision,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2011.</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III:</w:t>
      </w:r>
      <w:r w:rsidRPr="006545C7">
        <w:rPr>
          <w:rFonts w:ascii="Times New Roman" w:hAnsi="Times New Roman" w:cs="Times New Roman"/>
          <w:spacing w:val="-8"/>
          <w:sz w:val="24"/>
          <w:szCs w:val="24"/>
        </w:rPr>
        <w:t xml:space="preserve"> </w:t>
      </w:r>
      <w:r w:rsidRPr="006545C7">
        <w:rPr>
          <w:rFonts w:ascii="Times New Roman" w:hAnsi="Times New Roman" w:cs="Times New Roman"/>
          <w:i/>
          <w:iCs/>
          <w:sz w:val="24"/>
          <w:szCs w:val="24"/>
        </w:rPr>
        <w:t>A</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Global</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Regulatory</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Frame-</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sz w:val="24"/>
          <w:szCs w:val="24"/>
        </w:rPr>
        <w:t>work</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for</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More</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Resilient</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Banks</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Systems—Revised</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Version</w:t>
      </w:r>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June.</w:t>
      </w:r>
    </w:p>
    <w:p w14:paraId="6966AD9F"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Beaver,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1997.</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Reporting:</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i/>
          <w:iCs/>
          <w:w w:val="105"/>
          <w:sz w:val="24"/>
          <w:szCs w:val="24"/>
        </w:rPr>
        <w:t>An</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Accounting</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Revolution</w:t>
      </w:r>
      <w:r w:rsidRPr="006545C7">
        <w:rPr>
          <w:rFonts w:ascii="Times New Roman" w:hAnsi="Times New Roman" w:cs="Times New Roman"/>
          <w:w w:val="105"/>
          <w:sz w:val="24"/>
          <w:szCs w:val="24"/>
        </w:rPr>
        <w:t>,</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3rd</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edition. Prentice-Hall.</w:t>
      </w:r>
    </w:p>
    <w:p w14:paraId="231FA22D"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Berger,</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0"/>
          <w:sz w:val="24"/>
          <w:szCs w:val="24"/>
        </w:rPr>
        <w:t xml:space="preserve"> </w:t>
      </w:r>
      <w:proofErr w:type="spellStart"/>
      <w:r w:rsidRPr="006545C7">
        <w:rPr>
          <w:rFonts w:ascii="Times New Roman" w:hAnsi="Times New Roman" w:cs="Times New Roman"/>
          <w:sz w:val="24"/>
          <w:szCs w:val="24"/>
        </w:rPr>
        <w:t>Udell</w:t>
      </w:r>
      <w:proofErr w:type="spellEnd"/>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1994.</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Did</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risk-based</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allocate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cause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w w:val="98"/>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crunch’</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United</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States.</w:t>
      </w:r>
      <w:r w:rsidRPr="006545C7">
        <w:rPr>
          <w:rFonts w:ascii="Times New Roman" w:hAnsi="Times New Roman" w:cs="Times New Roman"/>
          <w:spacing w:val="1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Money,</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Credit</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26,</w:t>
      </w:r>
      <w:r w:rsidRPr="006545C7">
        <w:rPr>
          <w:rFonts w:ascii="Times New Roman" w:hAnsi="Times New Roman" w:cs="Times New Roman"/>
          <w:w w:val="98"/>
          <w:sz w:val="24"/>
          <w:szCs w:val="24"/>
        </w:rPr>
        <w:t xml:space="preserve"> </w:t>
      </w:r>
      <w:r w:rsidRPr="006545C7">
        <w:rPr>
          <w:rFonts w:ascii="Times New Roman" w:hAnsi="Times New Roman" w:cs="Times New Roman"/>
          <w:sz w:val="24"/>
          <w:szCs w:val="24"/>
        </w:rPr>
        <w:t>585–628.</w:t>
      </w:r>
    </w:p>
    <w:p w14:paraId="0F9D640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lastRenderedPageBreak/>
        <w:t>Bernanke, B., 2002.</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 xml:space="preserve">Asset Price ‘Bubbles and Monetary Policy. </w:t>
      </w:r>
      <w:r w:rsidRPr="006545C7">
        <w:rPr>
          <w:rFonts w:ascii="Times New Roman" w:hAnsi="Times New Roman" w:cs="Times New Roman"/>
          <w:i/>
          <w:iCs/>
          <w:w w:val="105"/>
          <w:sz w:val="24"/>
          <w:szCs w:val="24"/>
        </w:rPr>
        <w:t>Speech before the</w:t>
      </w:r>
      <w:r w:rsidRPr="006545C7">
        <w:rPr>
          <w:rFonts w:ascii="Times New Roman" w:hAnsi="Times New Roman" w:cs="Times New Roman"/>
          <w:i/>
          <w:iCs/>
          <w:w w:val="106"/>
          <w:sz w:val="24"/>
          <w:szCs w:val="24"/>
        </w:rPr>
        <w:t xml:space="preserve"> </w:t>
      </w:r>
      <w:r w:rsidRPr="006545C7">
        <w:rPr>
          <w:rFonts w:ascii="Times New Roman" w:hAnsi="Times New Roman" w:cs="Times New Roman"/>
          <w:i/>
          <w:iCs/>
          <w:w w:val="105"/>
          <w:sz w:val="24"/>
          <w:szCs w:val="24"/>
        </w:rPr>
        <w:t>New</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York</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Chapter</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National</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Association</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for</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Business</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w w:val="105"/>
          <w:sz w:val="24"/>
          <w:szCs w:val="24"/>
        </w:rPr>
        <w: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New</w:t>
      </w:r>
      <w:r w:rsidRPr="006545C7">
        <w:rPr>
          <w:rFonts w:ascii="Times New Roman" w:hAnsi="Times New Roman" w:cs="Times New Roman"/>
          <w:w w:val="114"/>
          <w:sz w:val="24"/>
          <w:szCs w:val="24"/>
        </w:rPr>
        <w:t xml:space="preserve"> </w:t>
      </w:r>
      <w:r w:rsidRPr="006545C7">
        <w:rPr>
          <w:rFonts w:ascii="Times New Roman" w:hAnsi="Times New Roman" w:cs="Times New Roman"/>
          <w:w w:val="105"/>
          <w:sz w:val="24"/>
          <w:szCs w:val="24"/>
        </w:rPr>
        <w:t>York,</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October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15.</w:t>
      </w:r>
    </w:p>
    <w:p w14:paraId="2413258E"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Bernanke,</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Blinder,</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1988.</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money,</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aggregate</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demand.</w:t>
      </w:r>
      <w:r w:rsidRPr="006545C7">
        <w:rPr>
          <w:rFonts w:ascii="Times New Roman" w:hAnsi="Times New Roman" w:cs="Times New Roman"/>
          <w:spacing w:val="24"/>
          <w:sz w:val="24"/>
          <w:szCs w:val="24"/>
        </w:rPr>
        <w:t xml:space="preserve"> </w:t>
      </w:r>
      <w:r w:rsidRPr="006545C7">
        <w:rPr>
          <w:rFonts w:ascii="Times New Roman" w:hAnsi="Times New Roman" w:cs="Times New Roman"/>
          <w:i/>
          <w:iCs/>
          <w:sz w:val="24"/>
          <w:szCs w:val="24"/>
        </w:rPr>
        <w:t>American</w:t>
      </w:r>
      <w:r w:rsidRPr="006545C7">
        <w:rPr>
          <w:rFonts w:ascii="Times New Roman" w:hAnsi="Times New Roman" w:cs="Times New Roman"/>
          <w:i/>
          <w:iCs/>
          <w:w w:val="105"/>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9"/>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78,</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435–439.</w:t>
      </w:r>
    </w:p>
    <w:p w14:paraId="0D94773B"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Bernanke,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 Gertler, M., 1995.</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Inside the black box:</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 credit channel of monetary</w:t>
      </w:r>
      <w:r w:rsidRPr="006545C7">
        <w:rPr>
          <w:rFonts w:ascii="Times New Roman" w:hAnsi="Times New Roman" w:cs="Times New Roman"/>
          <w:w w:val="107"/>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4"/>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Perspectives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9,</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27–48.</w:t>
      </w:r>
    </w:p>
    <w:p w14:paraId="13AEC03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Bernanke,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 Gertler,</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M., Gilchrist, 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1999. The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financial accelerator in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 quantitative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cycle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framework.</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Taylor,</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Woodford,</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(Eds.),</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Handbook</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Macroeconomics</w:t>
      </w:r>
      <w:r w:rsidRPr="006545C7">
        <w:rPr>
          <w:rFonts w:ascii="Times New Roman" w:hAnsi="Times New Roman" w:cs="Times New Roman"/>
          <w:sz w:val="24"/>
          <w:szCs w:val="24"/>
        </w:rPr>
        <w:t>,</w:t>
      </w:r>
      <w:r w:rsidRPr="006545C7">
        <w:rPr>
          <w:rFonts w:ascii="Times New Roman" w:hAnsi="Times New Roman" w:cs="Times New Roman"/>
          <w:spacing w:val="30"/>
          <w:sz w:val="24"/>
          <w:szCs w:val="24"/>
        </w:rPr>
        <w:t xml:space="preserve"> </w:t>
      </w:r>
      <w:r w:rsidRPr="006545C7">
        <w:rPr>
          <w:rFonts w:ascii="Times New Roman" w:hAnsi="Times New Roman" w:cs="Times New Roman"/>
          <w:sz w:val="24"/>
          <w:szCs w:val="24"/>
        </w:rPr>
        <w:t>Amsterdam,</w:t>
      </w:r>
      <w:r w:rsidRPr="006545C7">
        <w:rPr>
          <w:rFonts w:ascii="Times New Roman" w:hAnsi="Times New Roman" w:cs="Times New Roman"/>
          <w:spacing w:val="30"/>
          <w:sz w:val="24"/>
          <w:szCs w:val="24"/>
        </w:rPr>
        <w:t xml:space="preserve"> </w:t>
      </w:r>
      <w:r w:rsidRPr="006545C7">
        <w:rPr>
          <w:rFonts w:ascii="Times New Roman" w:hAnsi="Times New Roman" w:cs="Times New Roman"/>
          <w:sz w:val="24"/>
          <w:szCs w:val="24"/>
        </w:rPr>
        <w:t>pp.</w:t>
      </w:r>
      <w:r w:rsidRPr="006545C7">
        <w:rPr>
          <w:rFonts w:ascii="Times New Roman" w:hAnsi="Times New Roman" w:cs="Times New Roman"/>
          <w:spacing w:val="30"/>
          <w:sz w:val="24"/>
          <w:szCs w:val="24"/>
        </w:rPr>
        <w:t xml:space="preserve"> </w:t>
      </w:r>
      <w:r w:rsidRPr="006545C7">
        <w:rPr>
          <w:rFonts w:ascii="Times New Roman" w:hAnsi="Times New Roman" w:cs="Times New Roman"/>
          <w:sz w:val="24"/>
          <w:szCs w:val="24"/>
        </w:rPr>
        <w:t>1341–1393.</w:t>
      </w:r>
    </w:p>
    <w:p w14:paraId="3210D72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Bernanke,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B.,</w:t>
      </w:r>
      <w:r w:rsidRPr="006545C7">
        <w:rPr>
          <w:rFonts w:ascii="Times New Roman" w:hAnsi="Times New Roman" w:cs="Times New Roman"/>
          <w:spacing w:val="-22"/>
          <w:w w:val="105"/>
          <w:sz w:val="24"/>
          <w:szCs w:val="24"/>
        </w:rPr>
        <w:t xml:space="preserve"> </w:t>
      </w:r>
      <w:proofErr w:type="spellStart"/>
      <w:r w:rsidRPr="006545C7">
        <w:rPr>
          <w:rFonts w:ascii="Times New Roman" w:hAnsi="Times New Roman" w:cs="Times New Roman"/>
          <w:w w:val="105"/>
          <w:sz w:val="24"/>
          <w:szCs w:val="24"/>
        </w:rPr>
        <w:t>Kuttner</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K.,</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2005.</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What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explains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stock</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market’s</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reaction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to</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federal</w:t>
      </w:r>
      <w:r w:rsidRPr="006545C7">
        <w:rPr>
          <w:rFonts w:ascii="Times New Roman" w:hAnsi="Times New Roman" w:cs="Times New Roman"/>
          <w:w w:val="107"/>
          <w:sz w:val="24"/>
          <w:szCs w:val="24"/>
        </w:rPr>
        <w:t xml:space="preserve"> </w:t>
      </w:r>
      <w:r w:rsidRPr="006545C7">
        <w:rPr>
          <w:rFonts w:ascii="Times New Roman" w:hAnsi="Times New Roman" w:cs="Times New Roman"/>
          <w:w w:val="105"/>
          <w:sz w:val="24"/>
          <w:szCs w:val="24"/>
        </w:rPr>
        <w:t>reserve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60,</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1221–1257.</w:t>
      </w:r>
    </w:p>
    <w:p w14:paraId="4B1A8620"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Bernanke,</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21"/>
          <w:sz w:val="24"/>
          <w:szCs w:val="24"/>
        </w:rPr>
        <w:t xml:space="preserve"> </w:t>
      </w:r>
      <w:proofErr w:type="spellStart"/>
      <w:r w:rsidRPr="006545C7">
        <w:rPr>
          <w:rFonts w:ascii="Times New Roman" w:hAnsi="Times New Roman" w:cs="Times New Roman"/>
          <w:sz w:val="24"/>
          <w:szCs w:val="24"/>
        </w:rPr>
        <w:t>Lown</w:t>
      </w:r>
      <w:proofErr w:type="spellEnd"/>
      <w:r w:rsidRPr="006545C7">
        <w:rPr>
          <w:rFonts w:ascii="Times New Roman" w:hAnsi="Times New Roman" w:cs="Times New Roman"/>
          <w:sz w:val="24"/>
          <w:szCs w:val="24"/>
        </w:rPr>
        <w:t>,</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1991.</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crunches.</w:t>
      </w:r>
      <w:r w:rsidRPr="006545C7">
        <w:rPr>
          <w:rFonts w:ascii="Times New Roman" w:hAnsi="Times New Roman" w:cs="Times New Roman"/>
          <w:spacing w:val="21"/>
          <w:sz w:val="24"/>
          <w:szCs w:val="24"/>
        </w:rPr>
        <w:t xml:space="preserve"> </w:t>
      </w:r>
      <w:r w:rsidRPr="006545C7">
        <w:rPr>
          <w:rFonts w:ascii="Times New Roman" w:hAnsi="Times New Roman" w:cs="Times New Roman"/>
          <w:i/>
          <w:iCs/>
          <w:sz w:val="24"/>
          <w:szCs w:val="24"/>
        </w:rPr>
        <w:t>Brookings</w:t>
      </w:r>
      <w:r w:rsidRPr="006545C7">
        <w:rPr>
          <w:rFonts w:ascii="Times New Roman" w:hAnsi="Times New Roman" w:cs="Times New Roman"/>
          <w:i/>
          <w:iCs/>
          <w:spacing w:val="21"/>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i/>
          <w:iCs/>
          <w:spacing w:val="20"/>
          <w:sz w:val="24"/>
          <w:szCs w:val="24"/>
        </w:rPr>
        <w:t xml:space="preserve"> </w:t>
      </w:r>
      <w:r w:rsidRPr="006545C7">
        <w:rPr>
          <w:rFonts w:ascii="Times New Roman" w:hAnsi="Times New Roman" w:cs="Times New Roman"/>
          <w:i/>
          <w:iCs/>
          <w:sz w:val="24"/>
          <w:szCs w:val="24"/>
        </w:rPr>
        <w:t>on</w:t>
      </w:r>
      <w:r w:rsidRPr="006545C7">
        <w:rPr>
          <w:rFonts w:ascii="Times New Roman" w:hAnsi="Times New Roman" w:cs="Times New Roman"/>
          <w:i/>
          <w:iCs/>
          <w:spacing w:val="21"/>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sz w:val="24"/>
          <w:szCs w:val="24"/>
        </w:rPr>
        <w:t>Activity</w:t>
      </w:r>
      <w:r w:rsidRPr="006545C7">
        <w:rPr>
          <w:rFonts w:ascii="Times New Roman" w:hAnsi="Times New Roman" w:cs="Times New Roman"/>
          <w:i/>
          <w:iCs/>
          <w:spacing w:val="21"/>
          <w:sz w:val="24"/>
          <w:szCs w:val="24"/>
        </w:rPr>
        <w:t xml:space="preserve"> </w:t>
      </w:r>
      <w:r w:rsidRPr="006545C7">
        <w:rPr>
          <w:rFonts w:ascii="Times New Roman" w:hAnsi="Times New Roman" w:cs="Times New Roman"/>
          <w:sz w:val="24"/>
          <w:szCs w:val="24"/>
        </w:rPr>
        <w:t>2,</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205–248.</w:t>
      </w:r>
    </w:p>
    <w:p w14:paraId="539851B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Bikker</w:t>
      </w:r>
      <w:proofErr w:type="spellEnd"/>
      <w:r w:rsidRPr="006545C7">
        <w:rPr>
          <w:rFonts w:ascii="Times New Roman" w:hAnsi="Times New Roman" w:cs="Times New Roman"/>
          <w:sz w:val="24"/>
          <w:szCs w:val="24"/>
        </w:rPr>
        <w:t>,</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Hu,</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H.,</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2002.</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Cyclical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patterns</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profits,</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provisioning,</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w w:val="9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procyclicality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i/>
          <w:iCs/>
          <w:sz w:val="24"/>
          <w:szCs w:val="24"/>
        </w:rPr>
        <w:t>.</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BNL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Quarterly</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w w:val="110"/>
          <w:sz w:val="24"/>
          <w:szCs w:val="24"/>
        </w:rPr>
        <w:t xml:space="preserve"> </w:t>
      </w:r>
      <w:r w:rsidRPr="006545C7">
        <w:rPr>
          <w:rFonts w:ascii="Times New Roman" w:hAnsi="Times New Roman" w:cs="Times New Roman"/>
          <w:sz w:val="24"/>
          <w:szCs w:val="24"/>
        </w:rPr>
        <w:t>221,</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143–175.</w:t>
      </w:r>
    </w:p>
    <w:p w14:paraId="1584B0E1"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Blum,</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1999.</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Do</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adequacy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reduce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risks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banking?</w:t>
      </w:r>
      <w:r w:rsidRPr="006545C7">
        <w:rPr>
          <w:rFonts w:ascii="Times New Roman" w:hAnsi="Times New Roman" w:cs="Times New Roman"/>
          <w:spacing w:val="3"/>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23,</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755–771.</w:t>
      </w:r>
    </w:p>
    <w:p w14:paraId="1E826CD3"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Blum,</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2008.</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Why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may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need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leverage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ratio</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restriction.</w:t>
      </w:r>
      <w:r w:rsidRPr="006545C7">
        <w:rPr>
          <w:rFonts w:ascii="Times New Roman" w:hAnsi="Times New Roman" w:cs="Times New Roman"/>
          <w:spacing w:val="-7"/>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Banking and</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32,</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1699–1707.</w:t>
      </w:r>
    </w:p>
    <w:p w14:paraId="0C95A044"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Blum,</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0"/>
          <w:sz w:val="24"/>
          <w:szCs w:val="24"/>
        </w:rPr>
        <w:t xml:space="preserve"> </w:t>
      </w:r>
      <w:proofErr w:type="spellStart"/>
      <w:r w:rsidRPr="006545C7">
        <w:rPr>
          <w:rFonts w:ascii="Times New Roman" w:hAnsi="Times New Roman" w:cs="Times New Roman"/>
          <w:sz w:val="24"/>
          <w:szCs w:val="24"/>
        </w:rPr>
        <w:t>Hellwig</w:t>
      </w:r>
      <w:proofErr w:type="spellEnd"/>
      <w:r w:rsidRPr="006545C7">
        <w:rPr>
          <w:rFonts w:ascii="Times New Roman" w:hAnsi="Times New Roman" w:cs="Times New Roman"/>
          <w:sz w:val="24"/>
          <w:szCs w:val="24"/>
        </w:rPr>
        <w:t>,</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1995.</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macroeconomic</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implications</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adequacy</w:t>
      </w:r>
      <w:r w:rsidRPr="006545C7">
        <w:rPr>
          <w:rFonts w:ascii="Times New Roman" w:hAnsi="Times New Roman" w:cs="Times New Roman"/>
          <w:w w:val="104"/>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12"/>
          <w:sz w:val="24"/>
          <w:szCs w:val="24"/>
        </w:rPr>
        <w:t xml:space="preserve"> </w:t>
      </w:r>
      <w:r w:rsidRPr="006545C7">
        <w:rPr>
          <w:rFonts w:ascii="Times New Roman" w:hAnsi="Times New Roman" w:cs="Times New Roman"/>
          <w:i/>
          <w:iCs/>
          <w:sz w:val="24"/>
          <w:szCs w:val="24"/>
        </w:rPr>
        <w:t>European</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39,</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739–749.</w:t>
      </w:r>
    </w:p>
    <w:p w14:paraId="6331FA5D"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Bolton,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7"/>
          <w:sz w:val="24"/>
          <w:szCs w:val="24"/>
        </w:rPr>
        <w:t xml:space="preserve"> </w:t>
      </w:r>
      <w:proofErr w:type="spellStart"/>
      <w:r w:rsidRPr="006545C7">
        <w:rPr>
          <w:rFonts w:ascii="Times New Roman" w:hAnsi="Times New Roman" w:cs="Times New Roman"/>
          <w:sz w:val="24"/>
          <w:szCs w:val="24"/>
        </w:rPr>
        <w:t>Freixas</w:t>
      </w:r>
      <w:proofErr w:type="spellEnd"/>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X.,</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Corporate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finance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mechanism.</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Studies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19,</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829–870.</w:t>
      </w:r>
    </w:p>
    <w:p w14:paraId="0F5E9B5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Borio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2003.</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Towards</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macroprudential</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framework</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supervision</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24"/>
          <w:w w:val="105"/>
          <w:sz w:val="24"/>
          <w:szCs w:val="24"/>
        </w:rPr>
        <w:t xml:space="preserve"> </w:t>
      </w:r>
      <w:proofErr w:type="spellStart"/>
      <w:r w:rsidRPr="006545C7">
        <w:rPr>
          <w:rFonts w:ascii="Times New Roman" w:hAnsi="Times New Roman" w:cs="Times New Roman"/>
          <w:i/>
          <w:iCs/>
          <w:w w:val="105"/>
          <w:sz w:val="24"/>
          <w:szCs w:val="24"/>
        </w:rPr>
        <w:t>CESifo</w:t>
      </w:r>
      <w:proofErr w:type="spellEnd"/>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Studies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49,</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181–216.</w:t>
      </w:r>
    </w:p>
    <w:p w14:paraId="3B799B51"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prudential</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policies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crossroads?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Challenges</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Century.</w:t>
      </w:r>
      <w:r w:rsidRPr="006545C7">
        <w:rPr>
          <w:rFonts w:ascii="Times New Roman" w:hAnsi="Times New Roman" w:cs="Times New Roman"/>
          <w:spacing w:val="9"/>
          <w:sz w:val="24"/>
          <w:szCs w:val="24"/>
        </w:rPr>
        <w:t xml:space="preserve"> </w:t>
      </w:r>
      <w:proofErr w:type="spellStart"/>
      <w:r w:rsidRPr="006545C7">
        <w:rPr>
          <w:rFonts w:ascii="Times New Roman" w:hAnsi="Times New Roman" w:cs="Times New Roman"/>
          <w:i/>
          <w:iCs/>
          <w:sz w:val="24"/>
          <w:szCs w:val="24"/>
        </w:rPr>
        <w:t>Moneday</w:t>
      </w:r>
      <w:proofErr w:type="spellEnd"/>
      <w:r w:rsidRPr="006545C7">
        <w:rPr>
          <w:rFonts w:ascii="Times New Roman" w:hAnsi="Times New Roman" w:cs="Times New Roman"/>
          <w:i/>
          <w:iCs/>
          <w:spacing w:val="9"/>
          <w:sz w:val="24"/>
          <w:szCs w:val="24"/>
        </w:rPr>
        <w:t xml:space="preserve"> </w:t>
      </w:r>
      <w:proofErr w:type="spellStart"/>
      <w:r w:rsidRPr="006545C7">
        <w:rPr>
          <w:rFonts w:ascii="Times New Roman" w:hAnsi="Times New Roman" w:cs="Times New Roman"/>
          <w:i/>
          <w:iCs/>
          <w:sz w:val="24"/>
          <w:szCs w:val="24"/>
        </w:rPr>
        <w:t>Crédito</w:t>
      </w:r>
      <w:proofErr w:type="spellEnd"/>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224,</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63–101.</w:t>
      </w:r>
    </w:p>
    <w:p w14:paraId="434835F0"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Ten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propositions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about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crises.</w:t>
      </w:r>
      <w:r w:rsidRPr="006545C7">
        <w:rPr>
          <w:rFonts w:ascii="Times New Roman" w:hAnsi="Times New Roman" w:cs="Times New Roman"/>
          <w:spacing w:val="-2"/>
          <w:sz w:val="24"/>
          <w:szCs w:val="24"/>
        </w:rPr>
        <w:t xml:space="preserve"> </w:t>
      </w:r>
      <w:proofErr w:type="spellStart"/>
      <w:r w:rsidRPr="006545C7">
        <w:rPr>
          <w:rFonts w:ascii="Times New Roman" w:hAnsi="Times New Roman" w:cs="Times New Roman"/>
          <w:i/>
          <w:iCs/>
          <w:sz w:val="24"/>
          <w:szCs w:val="24"/>
        </w:rPr>
        <w:t>CESifo</w:t>
      </w:r>
      <w:proofErr w:type="spellEnd"/>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Studies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56,</w:t>
      </w:r>
      <w:r w:rsidRPr="006545C7">
        <w:rPr>
          <w:rFonts w:ascii="Times New Roman" w:hAnsi="Times New Roman" w:cs="Times New Roman"/>
          <w:w w:val="98"/>
          <w:sz w:val="24"/>
          <w:szCs w:val="24"/>
        </w:rPr>
        <w:t xml:space="preserve"> </w:t>
      </w:r>
      <w:r w:rsidRPr="006545C7">
        <w:rPr>
          <w:rFonts w:ascii="Times New Roman" w:hAnsi="Times New Roman" w:cs="Times New Roman"/>
          <w:sz w:val="24"/>
          <w:szCs w:val="24"/>
        </w:rPr>
        <w:t>70–95.</w:t>
      </w:r>
    </w:p>
    <w:p w14:paraId="444A04E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Borio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2011.</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Rediscovering</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macroeconomic</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roots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w w:val="109"/>
          <w:sz w:val="24"/>
          <w:szCs w:val="24"/>
        </w:rPr>
        <w:t xml:space="preserve"> </w:t>
      </w:r>
      <w:r w:rsidRPr="006545C7">
        <w:rPr>
          <w:rFonts w:ascii="Times New Roman" w:hAnsi="Times New Roman" w:cs="Times New Roman"/>
          <w:w w:val="105"/>
          <w:sz w:val="24"/>
          <w:szCs w:val="24"/>
        </w:rPr>
        <w:t>journey,</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challenges,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way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forward.</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i/>
          <w:iCs/>
          <w:w w:val="105"/>
          <w:sz w:val="24"/>
          <w:szCs w:val="24"/>
        </w:rPr>
        <w:t>Annual</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3,</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87–117.</w:t>
      </w:r>
    </w:p>
    <w:p w14:paraId="66AB5ED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Borio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English,</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Filardo,</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2003.</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tale</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two</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perspectives:</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old</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or</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new</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challenges</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i/>
          <w:iCs/>
          <w:w w:val="105"/>
          <w:sz w:val="24"/>
          <w:szCs w:val="24"/>
        </w:rPr>
        <w:t>?</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Working</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Papers</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127.</w:t>
      </w:r>
    </w:p>
    <w:p w14:paraId="57627C81"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lang w:val="es-AR"/>
        </w:rPr>
        <w:t>Borio</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1"/>
          <w:w w:val="105"/>
          <w:sz w:val="24"/>
          <w:szCs w:val="24"/>
          <w:lang w:val="es-AR"/>
        </w:rPr>
        <w:t xml:space="preserve"> </w:t>
      </w:r>
      <w:r w:rsidRPr="006545C7">
        <w:rPr>
          <w:rFonts w:ascii="Times New Roman" w:hAnsi="Times New Roman" w:cs="Times New Roman"/>
          <w:w w:val="105"/>
          <w:sz w:val="24"/>
          <w:szCs w:val="24"/>
          <w:lang w:val="es-AR"/>
        </w:rPr>
        <w:t>C.,</w:t>
      </w:r>
      <w:r w:rsidRPr="006545C7">
        <w:rPr>
          <w:rFonts w:ascii="Times New Roman" w:hAnsi="Times New Roman" w:cs="Times New Roman"/>
          <w:spacing w:val="11"/>
          <w:w w:val="105"/>
          <w:sz w:val="24"/>
          <w:szCs w:val="24"/>
          <w:lang w:val="es-AR"/>
        </w:rPr>
        <w:t xml:space="preserve"> </w:t>
      </w:r>
      <w:proofErr w:type="spellStart"/>
      <w:r w:rsidRPr="006545C7">
        <w:rPr>
          <w:rFonts w:ascii="Times New Roman" w:hAnsi="Times New Roman" w:cs="Times New Roman"/>
          <w:w w:val="105"/>
          <w:sz w:val="24"/>
          <w:szCs w:val="24"/>
          <w:lang w:val="es-AR"/>
        </w:rPr>
        <w:t>Furfine</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1"/>
          <w:w w:val="105"/>
          <w:sz w:val="24"/>
          <w:szCs w:val="24"/>
          <w:lang w:val="es-AR"/>
        </w:rPr>
        <w:t xml:space="preserve"> </w:t>
      </w:r>
      <w:r w:rsidRPr="006545C7">
        <w:rPr>
          <w:rFonts w:ascii="Times New Roman" w:hAnsi="Times New Roman" w:cs="Times New Roman"/>
          <w:w w:val="105"/>
          <w:sz w:val="24"/>
          <w:szCs w:val="24"/>
          <w:lang w:val="es-AR"/>
        </w:rPr>
        <w:t>C.,</w:t>
      </w:r>
      <w:r w:rsidRPr="006545C7">
        <w:rPr>
          <w:rFonts w:ascii="Times New Roman" w:hAnsi="Times New Roman" w:cs="Times New Roman"/>
          <w:spacing w:val="11"/>
          <w:w w:val="105"/>
          <w:sz w:val="24"/>
          <w:szCs w:val="24"/>
          <w:lang w:val="es-AR"/>
        </w:rPr>
        <w:t xml:space="preserve"> </w:t>
      </w:r>
      <w:proofErr w:type="spellStart"/>
      <w:r w:rsidRPr="006545C7">
        <w:rPr>
          <w:rFonts w:ascii="Times New Roman" w:hAnsi="Times New Roman" w:cs="Times New Roman"/>
          <w:w w:val="105"/>
          <w:sz w:val="24"/>
          <w:szCs w:val="24"/>
          <w:lang w:val="es-AR"/>
        </w:rPr>
        <w:t>Lowe</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1"/>
          <w:w w:val="105"/>
          <w:sz w:val="24"/>
          <w:szCs w:val="24"/>
          <w:lang w:val="es-AR"/>
        </w:rPr>
        <w:t xml:space="preserve"> </w:t>
      </w:r>
      <w:r w:rsidRPr="006545C7">
        <w:rPr>
          <w:rFonts w:ascii="Times New Roman" w:hAnsi="Times New Roman" w:cs="Times New Roman"/>
          <w:w w:val="105"/>
          <w:sz w:val="24"/>
          <w:szCs w:val="24"/>
          <w:lang w:val="es-AR"/>
        </w:rPr>
        <w:t>P.,</w:t>
      </w:r>
      <w:r w:rsidRPr="006545C7">
        <w:rPr>
          <w:rFonts w:ascii="Times New Roman" w:hAnsi="Times New Roman" w:cs="Times New Roman"/>
          <w:spacing w:val="11"/>
          <w:w w:val="105"/>
          <w:sz w:val="24"/>
          <w:szCs w:val="24"/>
          <w:lang w:val="es-AR"/>
        </w:rPr>
        <w:t xml:space="preserve"> </w:t>
      </w:r>
      <w:r w:rsidRPr="006545C7">
        <w:rPr>
          <w:rFonts w:ascii="Times New Roman" w:hAnsi="Times New Roman" w:cs="Times New Roman"/>
          <w:w w:val="105"/>
          <w:sz w:val="24"/>
          <w:szCs w:val="24"/>
          <w:lang w:val="es-AR"/>
        </w:rPr>
        <w:t>2001.</w:t>
      </w:r>
      <w:r w:rsidRPr="006545C7">
        <w:rPr>
          <w:rFonts w:ascii="Times New Roman" w:hAnsi="Times New Roman" w:cs="Times New Roman"/>
          <w:spacing w:val="11"/>
          <w:w w:val="105"/>
          <w:sz w:val="24"/>
          <w:szCs w:val="24"/>
          <w:lang w:val="es-AR"/>
        </w:rPr>
        <w:t xml:space="preserve"> </w:t>
      </w:r>
      <w:r w:rsidRPr="006545C7">
        <w:rPr>
          <w:rFonts w:ascii="Times New Roman" w:hAnsi="Times New Roman" w:cs="Times New Roman"/>
          <w:w w:val="105"/>
          <w:sz w:val="24"/>
          <w:szCs w:val="24"/>
        </w:rPr>
        <w:t>Procyclicality</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system</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stability: issues and policy options. Marrying the macro- and micro-</w:t>
      </w:r>
      <w:r w:rsidRPr="006545C7">
        <w:rPr>
          <w:rFonts w:ascii="Times New Roman" w:hAnsi="Times New Roman" w:cs="Times New Roman"/>
          <w:w w:val="108"/>
          <w:sz w:val="24"/>
          <w:szCs w:val="24"/>
        </w:rPr>
        <w:t xml:space="preserve"> </w:t>
      </w:r>
      <w:r w:rsidRPr="006545C7">
        <w:rPr>
          <w:rFonts w:ascii="Times New Roman" w:hAnsi="Times New Roman" w:cs="Times New Roman"/>
          <w:w w:val="105"/>
          <w:sz w:val="24"/>
          <w:szCs w:val="24"/>
        </w:rPr>
        <w:t>prudential</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dimensions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Papers</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1,</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1–57.</w:t>
      </w:r>
    </w:p>
    <w:p w14:paraId="784F3A40"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Lowe,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2002.</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prices,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stability: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exploring</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nexus.</w:t>
      </w:r>
      <w:r w:rsidRPr="006545C7">
        <w:rPr>
          <w:rFonts w:ascii="Times New Roman" w:hAnsi="Times New Roman" w:cs="Times New Roman"/>
          <w:spacing w:val="-3"/>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11,</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4.</w:t>
      </w:r>
    </w:p>
    <w:p w14:paraId="127A9DD7"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Lowe,</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Securing</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sustainable</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price</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stability:</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should</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come</w:t>
      </w:r>
      <w:r w:rsidRPr="006545C7">
        <w:rPr>
          <w:rFonts w:ascii="Times New Roman" w:hAnsi="Times New Roman" w:cs="Times New Roman"/>
          <w:w w:val="108"/>
          <w:sz w:val="24"/>
          <w:szCs w:val="24"/>
        </w:rPr>
        <w:t xml:space="preserve"> </w:t>
      </w:r>
      <w:r w:rsidRPr="006545C7">
        <w:rPr>
          <w:rFonts w:ascii="Times New Roman" w:hAnsi="Times New Roman" w:cs="Times New Roman"/>
          <w:sz w:val="24"/>
          <w:szCs w:val="24"/>
        </w:rPr>
        <w:t>back</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from</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wilderness?</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157.</w:t>
      </w:r>
    </w:p>
    <w:p w14:paraId="05060CD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lastRenderedPageBreak/>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McCauley,</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1996.</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economics</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recent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bond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yield</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 xml:space="preserve">volatility. </w:t>
      </w:r>
      <w:r w:rsidRPr="006545C7">
        <w:rPr>
          <w:rFonts w:ascii="Times New Roman" w:hAnsi="Times New Roman" w:cs="Times New Roman"/>
          <w:i/>
          <w:iCs/>
          <w:sz w:val="24"/>
          <w:szCs w:val="24"/>
        </w:rPr>
        <w:t>BIS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45.</w:t>
      </w:r>
    </w:p>
    <w:p w14:paraId="54281FE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Borio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23"/>
          <w:w w:val="105"/>
          <w:sz w:val="24"/>
          <w:szCs w:val="24"/>
        </w:rPr>
        <w:t xml:space="preserve"> </w:t>
      </w:r>
      <w:proofErr w:type="spellStart"/>
      <w:r w:rsidRPr="006545C7">
        <w:rPr>
          <w:rFonts w:ascii="Times New Roman" w:hAnsi="Times New Roman" w:cs="Times New Roman"/>
          <w:w w:val="105"/>
          <w:sz w:val="24"/>
          <w:szCs w:val="24"/>
        </w:rPr>
        <w:t>Tsatsaronis</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K.,</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Accounting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prudential</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from</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uncomfortable</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bedfellows</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to</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perfect</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partners?</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Stability</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1,</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111–135.</w:t>
      </w:r>
    </w:p>
    <w:p w14:paraId="225C9B70"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Borio</w:t>
      </w:r>
      <w:proofErr w:type="spellEnd"/>
      <w:r w:rsidRPr="006545C7">
        <w:rPr>
          <w:rFonts w:ascii="Times New Roman" w:hAnsi="Times New Roman" w:cs="Times New Roman"/>
          <w:sz w:val="24"/>
          <w:szCs w:val="24"/>
        </w:rPr>
        <w: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18"/>
          <w:sz w:val="24"/>
          <w:szCs w:val="24"/>
        </w:rPr>
        <w:t xml:space="preserve"> </w:t>
      </w:r>
      <w:proofErr w:type="spellStart"/>
      <w:r w:rsidRPr="006545C7">
        <w:rPr>
          <w:rFonts w:ascii="Times New Roman" w:hAnsi="Times New Roman" w:cs="Times New Roman"/>
          <w:sz w:val="24"/>
          <w:szCs w:val="24"/>
        </w:rPr>
        <w:t>Tsatsaronis</w:t>
      </w:r>
      <w:proofErr w:type="spellEnd"/>
      <w:r w:rsidRPr="006545C7">
        <w:rPr>
          <w:rFonts w:ascii="Times New Roman" w:hAnsi="Times New Roman" w:cs="Times New Roman"/>
          <w:sz w:val="24"/>
          <w:szCs w:val="24"/>
        </w:rPr>
        <w:t>,</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K.,</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reporting:</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status</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suggested</w:t>
      </w:r>
      <w:r w:rsidRPr="006545C7">
        <w:rPr>
          <w:rFonts w:ascii="Times New Roman" w:hAnsi="Times New Roman" w:cs="Times New Roman"/>
          <w:w w:val="104"/>
          <w:sz w:val="24"/>
          <w:szCs w:val="24"/>
        </w:rPr>
        <w:t xml:space="preserve"> </w:t>
      </w:r>
      <w:r w:rsidRPr="006545C7">
        <w:rPr>
          <w:rFonts w:ascii="Times New Roman" w:hAnsi="Times New Roman" w:cs="Times New Roman"/>
          <w:sz w:val="24"/>
          <w:szCs w:val="24"/>
        </w:rPr>
        <w:t>future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directions.</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213.</w:t>
      </w:r>
    </w:p>
    <w:p w14:paraId="55C3EC35" w14:textId="77777777" w:rsidR="00F717E4" w:rsidRPr="006545C7" w:rsidRDefault="00F717E4" w:rsidP="00990265">
      <w:pPr>
        <w:pStyle w:val="ListParagraph"/>
        <w:numPr>
          <w:ilvl w:val="0"/>
          <w:numId w:val="5"/>
        </w:numPr>
        <w:jc w:val="both"/>
        <w:rPr>
          <w:rFonts w:ascii="Times New Roman" w:hAnsi="Times New Roman" w:cs="Times New Roman"/>
          <w:i/>
          <w:iCs/>
          <w:sz w:val="24"/>
          <w:szCs w:val="24"/>
        </w:rPr>
      </w:pPr>
      <w:proofErr w:type="spellStart"/>
      <w:r w:rsidRPr="006545C7">
        <w:rPr>
          <w:rFonts w:ascii="Times New Roman" w:hAnsi="Times New Roman" w:cs="Times New Roman"/>
          <w:w w:val="105"/>
          <w:sz w:val="24"/>
          <w:szCs w:val="24"/>
        </w:rPr>
        <w:t>Borio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White,</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Whither</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implications</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evolving</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regimes.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Uncertainty:</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Adapting to</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Changing</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Economy.</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i/>
          <w:iCs/>
          <w:w w:val="105"/>
          <w:sz w:val="24"/>
          <w:szCs w:val="24"/>
        </w:rPr>
        <w:t>Proceedings</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a</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symposium</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sponsored</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by</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Federal</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w w:val="105"/>
          <w:sz w:val="24"/>
          <w:szCs w:val="24"/>
        </w:rPr>
        <w:t>Reserve</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Bank 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Kansas</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City,</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Jackson</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Hole</w:t>
      </w:r>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28–30</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August,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131–211.</w:t>
      </w:r>
    </w:p>
    <w:p w14:paraId="584982E5"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Brennan, Michael J., and Eduardo Schwartz, 1979, A continuous time approach to the pricing of bonds, </w:t>
      </w:r>
      <w:r w:rsidRPr="008329B9">
        <w:rPr>
          <w:rFonts w:ascii="Times New Roman" w:hAnsi="Times New Roman" w:cs="Times New Roman"/>
          <w:i/>
          <w:sz w:val="24"/>
          <w:szCs w:val="24"/>
        </w:rPr>
        <w:t>Journal of Banking and Finance</w:t>
      </w:r>
      <w:r w:rsidRPr="00F717E4">
        <w:rPr>
          <w:rFonts w:ascii="Times New Roman" w:hAnsi="Times New Roman" w:cs="Times New Roman"/>
          <w:sz w:val="24"/>
          <w:szCs w:val="24"/>
        </w:rPr>
        <w:t xml:space="preserve"> 3, 133–155.</w:t>
      </w:r>
    </w:p>
    <w:p w14:paraId="172F7CA3"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Brunner,</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K.,</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Meltzer,</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1976.</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aggregate</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theory</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closed</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economy</w:t>
      </w:r>
      <w:r w:rsidRPr="006545C7">
        <w:rPr>
          <w:rFonts w:ascii="Times New Roman" w:hAnsi="Times New Roman" w:cs="Times New Roman"/>
          <w:i/>
          <w:iCs/>
          <w:w w:val="105"/>
          <w:sz w:val="24"/>
          <w:szCs w:val="24"/>
        </w:rPr>
        <w:t>.</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In:</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 xml:space="preserve">Stein, </w:t>
      </w:r>
      <w:r w:rsidRPr="006545C7">
        <w:rPr>
          <w:rFonts w:ascii="Times New Roman" w:hAnsi="Times New Roman" w:cs="Times New Roman"/>
          <w:i/>
          <w:iCs/>
          <w:sz w:val="24"/>
          <w:szCs w:val="24"/>
        </w:rPr>
        <w:t>J.</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(Ed),</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Monetarism</w:t>
      </w:r>
      <w:r w:rsidRPr="006545C7">
        <w:rPr>
          <w:rFonts w:ascii="Times New Roman" w:hAnsi="Times New Roman" w:cs="Times New Roman"/>
          <w:sz w:val="24"/>
          <w:szCs w:val="24"/>
        </w:rPr>
        <w: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Amsterdam.</w:t>
      </w:r>
    </w:p>
    <w:p w14:paraId="13CD2CD8"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Brunnermeier</w:t>
      </w:r>
      <w:proofErr w:type="spellEnd"/>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Pedersen,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funding</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i/>
          <w:iCs/>
          <w:sz w:val="24"/>
          <w:szCs w:val="24"/>
        </w:rPr>
        <w:t>.</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i/>
          <w:iCs/>
          <w:w w:val="110"/>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Studies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22,</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2201–2238.</w:t>
      </w:r>
    </w:p>
    <w:p w14:paraId="413E13B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Brunnermeier</w:t>
      </w:r>
      <w:proofErr w:type="spellEnd"/>
      <w:r w:rsidRPr="006545C7">
        <w:rPr>
          <w:rFonts w:ascii="Times New Roman" w:hAnsi="Times New Roman" w:cs="Times New Roman"/>
          <w:sz w:val="24"/>
          <w:szCs w:val="24"/>
        </w:rPr>
        <w:t>,</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29"/>
          <w:sz w:val="24"/>
          <w:szCs w:val="24"/>
        </w:rPr>
        <w:t xml:space="preserve"> </w:t>
      </w:r>
      <w:proofErr w:type="spellStart"/>
      <w:r w:rsidRPr="006545C7">
        <w:rPr>
          <w:rFonts w:ascii="Times New Roman" w:hAnsi="Times New Roman" w:cs="Times New Roman"/>
          <w:sz w:val="24"/>
          <w:szCs w:val="24"/>
        </w:rPr>
        <w:t>Sannikov</w:t>
      </w:r>
      <w:proofErr w:type="spellEnd"/>
      <w:r w:rsidRPr="006545C7">
        <w:rPr>
          <w:rFonts w:ascii="Times New Roman" w:hAnsi="Times New Roman" w:cs="Times New Roman"/>
          <w:sz w:val="24"/>
          <w:szCs w:val="24"/>
        </w:rPr>
        <w:t>,</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Y.,</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2010.</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macroeconomic</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model</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with</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9"/>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w w:val="103"/>
          <w:sz w:val="24"/>
          <w:szCs w:val="24"/>
        </w:rPr>
        <w:t xml:space="preserve"> </w:t>
      </w:r>
      <w:r w:rsidRPr="006545C7">
        <w:rPr>
          <w:rFonts w:ascii="Times New Roman" w:hAnsi="Times New Roman" w:cs="Times New Roman"/>
          <w:sz w:val="24"/>
          <w:szCs w:val="24"/>
        </w:rPr>
        <w:t>sector.</w:t>
      </w:r>
      <w:r w:rsidRPr="006545C7">
        <w:rPr>
          <w:rFonts w:ascii="Times New Roman" w:hAnsi="Times New Roman" w:cs="Times New Roman"/>
          <w:spacing w:val="21"/>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21"/>
          <w:sz w:val="24"/>
          <w:szCs w:val="24"/>
        </w:rPr>
        <w:t xml:space="preserve"> </w:t>
      </w:r>
      <w:r w:rsidRPr="006545C7">
        <w:rPr>
          <w:rFonts w:ascii="Times New Roman" w:hAnsi="Times New Roman" w:cs="Times New Roman"/>
          <w:i/>
          <w:iCs/>
          <w:sz w:val="24"/>
          <w:szCs w:val="24"/>
        </w:rPr>
        <w:t>paper.</w:t>
      </w:r>
    </w:p>
    <w:p w14:paraId="058724A2"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Bruno,</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V.,</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Shin,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H.</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2011.</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flows,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cross-border</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global</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liquidity.</w:t>
      </w:r>
      <w:r w:rsidRPr="006545C7">
        <w:rPr>
          <w:rFonts w:ascii="Times New Roman" w:hAnsi="Times New Roman" w:cs="Times New Roman"/>
          <w:i/>
          <w:iCs/>
          <w:sz w:val="24"/>
          <w:szCs w:val="24"/>
        </w:rPr>
        <w:t xml:space="preserve"> Mimeo</w:t>
      </w:r>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July.</w:t>
      </w:r>
    </w:p>
    <w:p w14:paraId="2C95037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Calem</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P.,</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Rob,</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1999.</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impact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capital-based</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 xml:space="preserve">risk-taking.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Intermediation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8,</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317–352.</w:t>
      </w:r>
    </w:p>
    <w:p w14:paraId="6BB2B0F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Campbell,</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Lo,</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4"/>
          <w:sz w:val="24"/>
          <w:szCs w:val="24"/>
        </w:rPr>
        <w:t xml:space="preserve"> </w:t>
      </w:r>
      <w:proofErr w:type="spellStart"/>
      <w:r w:rsidRPr="006545C7">
        <w:rPr>
          <w:rFonts w:ascii="Times New Roman" w:hAnsi="Times New Roman" w:cs="Times New Roman"/>
          <w:sz w:val="24"/>
          <w:szCs w:val="24"/>
        </w:rPr>
        <w:t>MacKinlay</w:t>
      </w:r>
      <w:proofErr w:type="spellEnd"/>
      <w:r w:rsidRPr="006545C7">
        <w:rPr>
          <w:rFonts w:ascii="Times New Roman" w:hAnsi="Times New Roman" w:cs="Times New Roman"/>
          <w:sz w:val="24"/>
          <w:szCs w:val="24"/>
        </w:rPr>
        <w:t>,</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1997.</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Econometrics</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 xml:space="preserve">Markets. </w:t>
      </w:r>
      <w:r w:rsidRPr="006545C7">
        <w:rPr>
          <w:rFonts w:ascii="Times New Roman" w:hAnsi="Times New Roman" w:cs="Times New Roman"/>
          <w:i/>
          <w:iCs/>
          <w:w w:val="105"/>
          <w:sz w:val="24"/>
          <w:szCs w:val="24"/>
        </w:rPr>
        <w:t>Princeton</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Press</w:t>
      </w:r>
      <w:r w:rsidRPr="006545C7">
        <w:rPr>
          <w:rFonts w:ascii="Times New Roman" w:hAnsi="Times New Roman" w:cs="Times New Roman"/>
          <w:w w:val="105"/>
          <w:sz w:val="24"/>
          <w:szCs w:val="24"/>
        </w:rPr>
        <w:t>.</w:t>
      </w:r>
    </w:p>
    <w:p w14:paraId="413AD6A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lang w:val="es-AR"/>
        </w:rPr>
        <w:t>Cappiello</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lang w:val="es-AR"/>
        </w:rPr>
        <w:t>L.,</w:t>
      </w:r>
      <w:r w:rsidRPr="006545C7">
        <w:rPr>
          <w:rFonts w:ascii="Times New Roman" w:hAnsi="Times New Roman" w:cs="Times New Roman"/>
          <w:spacing w:val="-14"/>
          <w:w w:val="105"/>
          <w:sz w:val="24"/>
          <w:szCs w:val="24"/>
          <w:lang w:val="es-AR"/>
        </w:rPr>
        <w:t xml:space="preserve"> </w:t>
      </w:r>
      <w:proofErr w:type="spellStart"/>
      <w:r w:rsidRPr="006545C7">
        <w:rPr>
          <w:rFonts w:ascii="Times New Roman" w:hAnsi="Times New Roman" w:cs="Times New Roman"/>
          <w:w w:val="105"/>
          <w:sz w:val="24"/>
          <w:szCs w:val="24"/>
          <w:lang w:val="es-AR"/>
        </w:rPr>
        <w:t>Kadareja</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lang w:val="es-AR"/>
        </w:rPr>
        <w:t>A.,</w:t>
      </w:r>
      <w:r w:rsidRPr="006545C7">
        <w:rPr>
          <w:rFonts w:ascii="Times New Roman" w:hAnsi="Times New Roman" w:cs="Times New Roman"/>
          <w:spacing w:val="-14"/>
          <w:w w:val="105"/>
          <w:sz w:val="24"/>
          <w:szCs w:val="24"/>
          <w:lang w:val="es-AR"/>
        </w:rPr>
        <w:t xml:space="preserve"> </w:t>
      </w:r>
      <w:proofErr w:type="spellStart"/>
      <w:r w:rsidRPr="006545C7">
        <w:rPr>
          <w:rFonts w:ascii="Times New Roman" w:hAnsi="Times New Roman" w:cs="Times New Roman"/>
          <w:w w:val="105"/>
          <w:sz w:val="24"/>
          <w:szCs w:val="24"/>
          <w:lang w:val="es-AR"/>
        </w:rPr>
        <w:t>Sorensen</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lang w:val="es-AR"/>
        </w:rPr>
        <w:t>S.K.,</w:t>
      </w:r>
      <w:r w:rsidRPr="006545C7">
        <w:rPr>
          <w:rFonts w:ascii="Times New Roman" w:hAnsi="Times New Roman" w:cs="Times New Roman"/>
          <w:spacing w:val="-14"/>
          <w:w w:val="105"/>
          <w:sz w:val="24"/>
          <w:szCs w:val="24"/>
          <w:lang w:val="es-AR"/>
        </w:rPr>
        <w:t xml:space="preserve"> </w:t>
      </w:r>
      <w:proofErr w:type="spellStart"/>
      <w:r w:rsidRPr="006545C7">
        <w:rPr>
          <w:rFonts w:ascii="Times New Roman" w:hAnsi="Times New Roman" w:cs="Times New Roman"/>
          <w:w w:val="105"/>
          <w:sz w:val="24"/>
          <w:szCs w:val="24"/>
          <w:lang w:val="es-AR"/>
        </w:rPr>
        <w:t>Protopapa</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lang w:val="es-AR"/>
        </w:rPr>
        <w:t>M.,</w:t>
      </w:r>
      <w:r w:rsidRPr="006545C7">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lang w:val="es-AR"/>
        </w:rPr>
        <w:t>2010.</w:t>
      </w:r>
      <w:r w:rsidRPr="006545C7">
        <w:rPr>
          <w:rFonts w:ascii="Times New Roman" w:hAnsi="Times New Roman" w:cs="Times New Roman"/>
          <w:spacing w:val="-13"/>
          <w:w w:val="105"/>
          <w:sz w:val="24"/>
          <w:szCs w:val="24"/>
          <w:lang w:val="es-AR"/>
        </w:rPr>
        <w:t xml:space="preserve"> </w:t>
      </w:r>
      <w:r w:rsidRPr="006545C7">
        <w:rPr>
          <w:rFonts w:ascii="Times New Roman" w:hAnsi="Times New Roman" w:cs="Times New Roman"/>
          <w:w w:val="105"/>
          <w:sz w:val="24"/>
          <w:szCs w:val="24"/>
        </w:rPr>
        <w:t>Do</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loans</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standards</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have</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an</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effect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output?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panel</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approach</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Euro</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Area.</w:t>
      </w:r>
      <w:r w:rsidRPr="006545C7">
        <w:rPr>
          <w:rFonts w:ascii="Times New Roman" w:hAnsi="Times New Roman" w:cs="Times New Roman"/>
          <w:w w:val="102"/>
          <w:sz w:val="24"/>
          <w:szCs w:val="24"/>
        </w:rPr>
        <w:t xml:space="preserve"> </w:t>
      </w:r>
      <w:r w:rsidRPr="006545C7">
        <w:rPr>
          <w:rFonts w:ascii="Times New Roman" w:hAnsi="Times New Roman" w:cs="Times New Roman"/>
          <w:i/>
          <w:iCs/>
          <w:w w:val="105"/>
          <w:sz w:val="24"/>
          <w:szCs w:val="24"/>
        </w:rPr>
        <w:t>ECB</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Working</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Paper</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w w:val="105"/>
          <w:sz w:val="24"/>
          <w:szCs w:val="24"/>
        </w:rPr>
        <w:t>1150.</w:t>
      </w:r>
    </w:p>
    <w:p w14:paraId="094AB5D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Carling, K., Jacobson,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 xml:space="preserve">T., Linde, J., </w:t>
      </w:r>
      <w:proofErr w:type="spellStart"/>
      <w:r w:rsidRPr="006545C7">
        <w:rPr>
          <w:rFonts w:ascii="Times New Roman" w:hAnsi="Times New Roman" w:cs="Times New Roman"/>
          <w:sz w:val="24"/>
          <w:szCs w:val="24"/>
        </w:rPr>
        <w:t>Roszbach</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K., 2002. Capital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charges under Basel</w:t>
      </w:r>
      <w:r w:rsidRPr="006545C7">
        <w:rPr>
          <w:rFonts w:ascii="Times New Roman" w:hAnsi="Times New Roman" w:cs="Times New Roman"/>
          <w:w w:val="99"/>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corporate</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modelling</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macroeconomy</w:t>
      </w:r>
      <w:r w:rsidRPr="006545C7">
        <w:rPr>
          <w:rFonts w:ascii="Times New Roman" w:hAnsi="Times New Roman" w:cs="Times New Roman"/>
          <w:i/>
          <w:iCs/>
          <w:sz w:val="24"/>
          <w:szCs w:val="24"/>
        </w:rPr>
        <w:t>.</w:t>
      </w:r>
      <w:r w:rsidRPr="006545C7">
        <w:rPr>
          <w:rFonts w:ascii="Times New Roman" w:hAnsi="Times New Roman" w:cs="Times New Roman"/>
          <w:i/>
          <w:iCs/>
          <w:spacing w:val="23"/>
          <w:sz w:val="24"/>
          <w:szCs w:val="24"/>
        </w:rPr>
        <w:t xml:space="preserve"> </w:t>
      </w:r>
      <w:r w:rsidRPr="006545C7">
        <w:rPr>
          <w:rFonts w:ascii="Times New Roman" w:hAnsi="Times New Roman" w:cs="Times New Roman"/>
          <w:i/>
          <w:iCs/>
          <w:sz w:val="24"/>
          <w:szCs w:val="24"/>
        </w:rPr>
        <w:t>Synergies</w:t>
      </w:r>
      <w:r w:rsidRPr="006545C7">
        <w:rPr>
          <w:rFonts w:ascii="Times New Roman" w:hAnsi="Times New Roman" w:cs="Times New Roman"/>
          <w:i/>
          <w:iCs/>
          <w:spacing w:val="23"/>
          <w:sz w:val="24"/>
          <w:szCs w:val="24"/>
        </w:rPr>
        <w:t xml:space="preserve"> </w:t>
      </w:r>
      <w:r w:rsidRPr="006545C7">
        <w:rPr>
          <w:rFonts w:ascii="Times New Roman" w:hAnsi="Times New Roman" w:cs="Times New Roman"/>
          <w:i/>
          <w:iCs/>
          <w:sz w:val="24"/>
          <w:szCs w:val="24"/>
        </w:rPr>
        <w:t>Risks bank</w:t>
      </w:r>
      <w:r w:rsidRPr="006545C7">
        <w:rPr>
          <w:rFonts w:ascii="Times New Roman" w:hAnsi="Times New Roman" w:cs="Times New Roman"/>
          <w:i/>
          <w:iCs/>
          <w:w w:val="99"/>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18"/>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142.</w:t>
      </w:r>
    </w:p>
    <w:p w14:paraId="122ED0C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Carlstrom,</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15"/>
          <w:w w:val="105"/>
          <w:sz w:val="24"/>
          <w:szCs w:val="24"/>
        </w:rPr>
        <w:t xml:space="preserve"> </w:t>
      </w:r>
      <w:proofErr w:type="spellStart"/>
      <w:r w:rsidRPr="006545C7">
        <w:rPr>
          <w:rFonts w:ascii="Times New Roman" w:hAnsi="Times New Roman" w:cs="Times New Roman"/>
          <w:w w:val="105"/>
          <w:sz w:val="24"/>
          <w:szCs w:val="24"/>
        </w:rPr>
        <w:t>Fuerst</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1997.</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Agency</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costs,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net</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worth,</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business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fluctuations:</w:t>
      </w:r>
      <w:r w:rsidRPr="006545C7">
        <w:rPr>
          <w:rFonts w:ascii="Times New Roman" w:hAnsi="Times New Roman" w:cs="Times New Roman"/>
          <w:w w:val="104"/>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computable</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general</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equilibrium</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analysis.</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i/>
          <w:iCs/>
          <w:w w:val="105"/>
          <w:sz w:val="24"/>
          <w:szCs w:val="24"/>
        </w:rPr>
        <w:t>American</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87,</w:t>
      </w:r>
      <w:r w:rsidRPr="006545C7">
        <w:rPr>
          <w:rFonts w:ascii="Times New Roman" w:hAnsi="Times New Roman" w:cs="Times New Roman"/>
          <w:w w:val="98"/>
          <w:sz w:val="24"/>
          <w:szCs w:val="24"/>
        </w:rPr>
        <w:t xml:space="preserve"> </w:t>
      </w:r>
      <w:r w:rsidRPr="006545C7">
        <w:rPr>
          <w:rFonts w:ascii="Times New Roman" w:hAnsi="Times New Roman" w:cs="Times New Roman"/>
          <w:w w:val="105"/>
          <w:sz w:val="24"/>
          <w:szCs w:val="24"/>
        </w:rPr>
        <w:t>893–910.</w:t>
      </w:r>
    </w:p>
    <w:p w14:paraId="290C0357"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Catarineu-Rabell</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E.,</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Jackson,</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P.,</w:t>
      </w:r>
      <w:r w:rsidRPr="006545C7">
        <w:rPr>
          <w:rFonts w:ascii="Times New Roman" w:hAnsi="Times New Roman" w:cs="Times New Roman"/>
          <w:spacing w:val="-16"/>
          <w:sz w:val="24"/>
          <w:szCs w:val="24"/>
          <w:lang w:val="es-AR"/>
        </w:rPr>
        <w:t xml:space="preserve"> </w:t>
      </w:r>
      <w:proofErr w:type="spellStart"/>
      <w:r w:rsidRPr="006545C7">
        <w:rPr>
          <w:rFonts w:ascii="Times New Roman" w:hAnsi="Times New Roman" w:cs="Times New Roman"/>
          <w:sz w:val="24"/>
          <w:szCs w:val="24"/>
          <w:lang w:val="es-AR"/>
        </w:rPr>
        <w:t>Tsomocos</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D.,</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2005.</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rPr>
        <w:t>Procyclicality</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w w:val="99"/>
          <w:sz w:val="24"/>
          <w:szCs w:val="24"/>
        </w:rPr>
        <w:t xml:space="preserve"> </w:t>
      </w:r>
      <w:r w:rsidRPr="006545C7">
        <w:rPr>
          <w:rFonts w:ascii="Times New Roman" w:hAnsi="Times New Roman" w:cs="Times New Roman"/>
          <w:sz w:val="24"/>
          <w:szCs w:val="24"/>
        </w:rPr>
        <w:t>Accord—banks’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choice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loan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rating</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systems.</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Theory</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26,</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537–557.</w:t>
      </w:r>
    </w:p>
    <w:p w14:paraId="4CE8D80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Cecchetti</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 Flores-Lagunes,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 Krause, 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2006. Assessing the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sources of changes</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volatility</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real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growth.</w:t>
      </w:r>
      <w:r w:rsidRPr="006545C7">
        <w:rPr>
          <w:rFonts w:ascii="Times New Roman" w:hAnsi="Times New Roman" w:cs="Times New Roman"/>
          <w:spacing w:val="11"/>
          <w:sz w:val="24"/>
          <w:szCs w:val="24"/>
        </w:rPr>
        <w:t xml:space="preserve"> </w:t>
      </w:r>
      <w:r w:rsidRPr="006545C7">
        <w:rPr>
          <w:rFonts w:ascii="Times New Roman" w:hAnsi="Times New Roman" w:cs="Times New Roman"/>
          <w:i/>
          <w:iCs/>
          <w:sz w:val="24"/>
          <w:szCs w:val="24"/>
        </w:rPr>
        <w:t>NBER</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11946.</w:t>
      </w:r>
    </w:p>
    <w:p w14:paraId="1BB55473"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Cecchetti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24"/>
          <w:w w:val="105"/>
          <w:sz w:val="24"/>
          <w:szCs w:val="24"/>
        </w:rPr>
        <w:t xml:space="preserve"> </w:t>
      </w:r>
      <w:proofErr w:type="spellStart"/>
      <w:r w:rsidRPr="006545C7">
        <w:rPr>
          <w:rFonts w:ascii="Times New Roman" w:hAnsi="Times New Roman" w:cs="Times New Roman"/>
          <w:w w:val="105"/>
          <w:sz w:val="24"/>
          <w:szCs w:val="24"/>
        </w:rPr>
        <w:t>Genberg</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H.,</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Wadhwani,</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2003.</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Asset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prices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flexible</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inflation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tar- getting</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framework.</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Hunter,</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W.C.,</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Kaufman,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G.,</w:t>
      </w:r>
      <w:r w:rsidRPr="006545C7">
        <w:rPr>
          <w:rFonts w:ascii="Times New Roman" w:hAnsi="Times New Roman" w:cs="Times New Roman"/>
          <w:spacing w:val="-11"/>
          <w:w w:val="105"/>
          <w:sz w:val="24"/>
          <w:szCs w:val="24"/>
        </w:rPr>
        <w:t xml:space="preserve"> </w:t>
      </w:r>
      <w:proofErr w:type="spellStart"/>
      <w:r w:rsidRPr="006545C7">
        <w:rPr>
          <w:rFonts w:ascii="Times New Roman" w:hAnsi="Times New Roman" w:cs="Times New Roman"/>
          <w:w w:val="105"/>
          <w:sz w:val="24"/>
          <w:szCs w:val="24"/>
        </w:rPr>
        <w:t>Pomerleano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Asset</w:t>
      </w:r>
      <w:r w:rsidRPr="006545C7">
        <w:rPr>
          <w:rFonts w:ascii="Times New Roman" w:hAnsi="Times New Roman" w:cs="Times New Roman"/>
          <w:w w:val="103"/>
          <w:sz w:val="24"/>
          <w:szCs w:val="24"/>
        </w:rPr>
        <w:t xml:space="preserve"> </w:t>
      </w:r>
      <w:r w:rsidRPr="006545C7">
        <w:rPr>
          <w:rFonts w:ascii="Times New Roman" w:hAnsi="Times New Roman" w:cs="Times New Roman"/>
          <w:w w:val="105"/>
          <w:sz w:val="24"/>
          <w:szCs w:val="24"/>
        </w:rPr>
        <w:t>Price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Bubbles: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Implications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Regulatory</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International</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Policies.</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i/>
          <w:iCs/>
          <w:w w:val="105"/>
          <w:sz w:val="24"/>
          <w:szCs w:val="24"/>
        </w:rPr>
        <w:t>MIT</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Press</w:t>
      </w:r>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Cambridge,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pp.</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427–444.</w:t>
      </w:r>
    </w:p>
    <w:p w14:paraId="16757E92"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lastRenderedPageBreak/>
        <w:t>Cecchetti</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 Li, L., 2005.</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Do capital requirements matter for</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 xml:space="preserve">monetary policy? </w:t>
      </w:r>
      <w:r w:rsidRPr="006545C7">
        <w:rPr>
          <w:rFonts w:ascii="Times New Roman" w:hAnsi="Times New Roman" w:cs="Times New Roman"/>
          <w:i/>
          <w:iCs/>
          <w:sz w:val="24"/>
          <w:szCs w:val="24"/>
        </w:rPr>
        <w:t>NBER</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22"/>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i/>
          <w:iCs/>
          <w:spacing w:val="22"/>
          <w:sz w:val="24"/>
          <w:szCs w:val="24"/>
        </w:rPr>
        <w:t xml:space="preserve"> </w:t>
      </w:r>
      <w:r w:rsidRPr="006545C7">
        <w:rPr>
          <w:rFonts w:ascii="Times New Roman" w:hAnsi="Times New Roman" w:cs="Times New Roman"/>
          <w:sz w:val="24"/>
          <w:szCs w:val="24"/>
        </w:rPr>
        <w:t>11830.</w:t>
      </w:r>
    </w:p>
    <w:p w14:paraId="348562C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Cecchetti</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Li,</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there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 xml:space="preserve">conflict? </w:t>
      </w:r>
      <w:proofErr w:type="spellStart"/>
      <w:r w:rsidRPr="006545C7">
        <w:rPr>
          <w:rFonts w:ascii="Times New Roman" w:hAnsi="Times New Roman" w:cs="Times New Roman"/>
          <w:i/>
          <w:iCs/>
          <w:w w:val="105"/>
          <w:sz w:val="24"/>
          <w:szCs w:val="24"/>
        </w:rPr>
        <w:t>Moneday</w:t>
      </w:r>
      <w:proofErr w:type="spellEnd"/>
      <w:r w:rsidRPr="006545C7">
        <w:rPr>
          <w:rFonts w:ascii="Times New Roman" w:hAnsi="Times New Roman" w:cs="Times New Roman"/>
          <w:i/>
          <w:iCs/>
          <w:spacing w:val="-11"/>
          <w:w w:val="105"/>
          <w:sz w:val="24"/>
          <w:szCs w:val="24"/>
        </w:rPr>
        <w:t xml:space="preserve"> </w:t>
      </w:r>
      <w:proofErr w:type="spellStart"/>
      <w:r w:rsidRPr="006545C7">
        <w:rPr>
          <w:rFonts w:ascii="Times New Roman" w:hAnsi="Times New Roman" w:cs="Times New Roman"/>
          <w:i/>
          <w:iCs/>
          <w:w w:val="105"/>
          <w:sz w:val="24"/>
          <w:szCs w:val="24"/>
        </w:rPr>
        <w:t>Credito</w:t>
      </w:r>
      <w:proofErr w:type="spellEnd"/>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224,</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153–181.</w:t>
      </w:r>
    </w:p>
    <w:p w14:paraId="7C2A7D65"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Cerasi</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V.,</w:t>
      </w:r>
      <w:r w:rsidRPr="006545C7">
        <w:rPr>
          <w:rFonts w:ascii="Times New Roman" w:hAnsi="Times New Roman" w:cs="Times New Roman"/>
          <w:spacing w:val="-16"/>
          <w:sz w:val="24"/>
          <w:szCs w:val="24"/>
          <w:lang w:val="es-AR"/>
        </w:rPr>
        <w:t xml:space="preserve"> </w:t>
      </w:r>
      <w:proofErr w:type="spellStart"/>
      <w:r w:rsidRPr="006545C7">
        <w:rPr>
          <w:rFonts w:ascii="Times New Roman" w:hAnsi="Times New Roman" w:cs="Times New Roman"/>
          <w:sz w:val="24"/>
          <w:szCs w:val="24"/>
          <w:lang w:val="es-AR"/>
        </w:rPr>
        <w:t>Rochet</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J.C.,</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lang w:val="es-AR"/>
        </w:rPr>
        <w:t>2008.</w:t>
      </w:r>
      <w:r w:rsidRPr="006545C7">
        <w:rPr>
          <w:rFonts w:ascii="Times New Roman" w:hAnsi="Times New Roman" w:cs="Times New Roman"/>
          <w:spacing w:val="-16"/>
          <w:sz w:val="24"/>
          <w:szCs w:val="24"/>
          <w:lang w:val="es-AR"/>
        </w:rPr>
        <w:t xml:space="preserve"> </w:t>
      </w:r>
      <w:r w:rsidRPr="006545C7">
        <w:rPr>
          <w:rFonts w:ascii="Times New Roman" w:hAnsi="Times New Roman" w:cs="Times New Roman"/>
          <w:sz w:val="24"/>
          <w:szCs w:val="24"/>
        </w:rPr>
        <w:t>Solvency</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Transfer.</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Paolo</w:t>
      </w:r>
      <w:r w:rsidRPr="006545C7">
        <w:rPr>
          <w:rFonts w:ascii="Times New Roman" w:hAnsi="Times New Roman" w:cs="Times New Roman"/>
          <w:spacing w:val="-16"/>
          <w:sz w:val="24"/>
          <w:szCs w:val="24"/>
        </w:rPr>
        <w:t xml:space="preserve"> </w:t>
      </w:r>
      <w:proofErr w:type="spellStart"/>
      <w:r w:rsidRPr="006545C7">
        <w:rPr>
          <w:rFonts w:ascii="Times New Roman" w:hAnsi="Times New Roman" w:cs="Times New Roman"/>
          <w:sz w:val="24"/>
          <w:szCs w:val="24"/>
        </w:rPr>
        <w:t>Baffi</w:t>
      </w:r>
      <w:proofErr w:type="spellEnd"/>
      <w:r w:rsidRPr="006545C7">
        <w:rPr>
          <w:rFonts w:ascii="Times New Roman" w:hAnsi="Times New Roman" w:cs="Times New Roman"/>
          <w:w w:val="101"/>
          <w:sz w:val="24"/>
          <w:szCs w:val="24"/>
        </w:rPr>
        <w:t xml:space="preserve"> </w:t>
      </w:r>
      <w:r w:rsidRPr="006545C7">
        <w:rPr>
          <w:rFonts w:ascii="Times New Roman" w:hAnsi="Times New Roman" w:cs="Times New Roman"/>
          <w:sz w:val="24"/>
          <w:szCs w:val="24"/>
        </w:rPr>
        <w:t>Centre,</w:t>
      </w:r>
      <w:r w:rsidRPr="006545C7">
        <w:rPr>
          <w:rFonts w:ascii="Times New Roman" w:hAnsi="Times New Roman" w:cs="Times New Roman"/>
          <w:spacing w:val="4"/>
          <w:sz w:val="24"/>
          <w:szCs w:val="24"/>
        </w:rPr>
        <w:t xml:space="preserve"> </w:t>
      </w:r>
      <w:r w:rsidRPr="006545C7">
        <w:rPr>
          <w:rFonts w:ascii="Times New Roman" w:hAnsi="Times New Roman" w:cs="Times New Roman"/>
          <w:i/>
          <w:iCs/>
          <w:sz w:val="24"/>
          <w:szCs w:val="24"/>
        </w:rPr>
        <w:t>Research</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Series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2008-21.</w:t>
      </w:r>
    </w:p>
    <w:p w14:paraId="0519927E"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Chami</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4"/>
          <w:sz w:val="24"/>
          <w:szCs w:val="24"/>
        </w:rPr>
        <w:t xml:space="preserve"> </w:t>
      </w:r>
      <w:proofErr w:type="spellStart"/>
      <w:r w:rsidRPr="006545C7">
        <w:rPr>
          <w:rFonts w:ascii="Times New Roman" w:hAnsi="Times New Roman" w:cs="Times New Roman"/>
          <w:sz w:val="24"/>
          <w:szCs w:val="24"/>
        </w:rPr>
        <w:t>Cosimano</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with</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touch</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4"/>
          <w:sz w:val="24"/>
          <w:szCs w:val="24"/>
        </w:rPr>
        <w:t xml:space="preserve"> </w:t>
      </w:r>
      <w:r w:rsidRPr="006545C7">
        <w:rPr>
          <w:rFonts w:ascii="Times New Roman" w:hAnsi="Times New Roman" w:cs="Times New Roman"/>
          <w:i/>
          <w:iCs/>
          <w:sz w:val="24"/>
          <w:szCs w:val="24"/>
        </w:rPr>
        <w:t>IMF</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w w:val="108"/>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01/151.</w:t>
      </w:r>
    </w:p>
    <w:p w14:paraId="4115968F"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Chen,</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N.K.,</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bet</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worth,</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prices</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economic</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activity.</w:t>
      </w:r>
      <w:r w:rsidRPr="006545C7">
        <w:rPr>
          <w:rFonts w:ascii="Times New Roman" w:hAnsi="Times New Roman" w:cs="Times New Roman"/>
          <w:spacing w:val="20"/>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9"/>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Monetary</w:t>
      </w:r>
      <w:r w:rsidRPr="006545C7">
        <w:rPr>
          <w:rFonts w:ascii="Times New Roman" w:hAnsi="Times New Roman" w:cs="Times New Roman"/>
          <w:i/>
          <w:iCs/>
          <w:spacing w:val="17"/>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48,</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415–436.</w:t>
      </w:r>
    </w:p>
    <w:p w14:paraId="743DBAE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Chiesa,</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2008.</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Optimal</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transfer</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monitored</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finance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banks</w:t>
      </w:r>
      <w:r w:rsidRPr="006545C7">
        <w:rPr>
          <w:rFonts w:ascii="Times New Roman" w:hAnsi="Times New Roman" w:cs="Times New Roman"/>
          <w:i/>
          <w:iCs/>
          <w:w w:val="105"/>
          <w:sz w:val="24"/>
          <w:szCs w:val="24"/>
        </w:rPr>
        <w:t>.</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Intermediation</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17,</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464–477.</w:t>
      </w:r>
    </w:p>
    <w:p w14:paraId="7F38DAC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Chiuri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Giovanni,</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23"/>
          <w:w w:val="105"/>
          <w:sz w:val="24"/>
          <w:szCs w:val="24"/>
        </w:rPr>
        <w:t xml:space="preserve"> </w:t>
      </w:r>
      <w:proofErr w:type="spellStart"/>
      <w:r w:rsidRPr="006545C7">
        <w:rPr>
          <w:rFonts w:ascii="Times New Roman" w:hAnsi="Times New Roman" w:cs="Times New Roman"/>
          <w:w w:val="105"/>
          <w:sz w:val="24"/>
          <w:szCs w:val="24"/>
        </w:rPr>
        <w:t>Majnoni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2001.</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Enforcing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1988</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Basel</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did</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it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curtail</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emerging</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economies?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Notes</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by</w:t>
      </w:r>
      <w:r w:rsidRPr="006545C7">
        <w:rPr>
          <w:rFonts w:ascii="Times New Roman" w:hAnsi="Times New Roman" w:cs="Times New Roman"/>
          <w:i/>
          <w:iCs/>
          <w:w w:val="107"/>
          <w:sz w:val="24"/>
          <w:szCs w:val="24"/>
        </w:rPr>
        <w:t xml:space="preserve"> </w:t>
      </w:r>
      <w:r w:rsidRPr="006545C7">
        <w:rPr>
          <w:rFonts w:ascii="Times New Roman" w:hAnsi="Times New Roman" w:cs="Times New Roman"/>
          <w:i/>
          <w:iCs/>
          <w:w w:val="105"/>
          <w:sz w:val="24"/>
          <w:szCs w:val="24"/>
        </w:rPr>
        <w:t>Banca</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Monte</w:t>
      </w:r>
      <w:r w:rsidRPr="006545C7">
        <w:rPr>
          <w:rFonts w:ascii="Times New Roman" w:hAnsi="Times New Roman" w:cs="Times New Roman"/>
          <w:i/>
          <w:iCs/>
          <w:spacing w:val="-17"/>
          <w:w w:val="105"/>
          <w:sz w:val="24"/>
          <w:szCs w:val="24"/>
        </w:rPr>
        <w:t xml:space="preserve"> </w:t>
      </w:r>
      <w:proofErr w:type="spellStart"/>
      <w:r w:rsidRPr="006545C7">
        <w:rPr>
          <w:rFonts w:ascii="Times New Roman" w:hAnsi="Times New Roman" w:cs="Times New Roman"/>
          <w:i/>
          <w:iCs/>
          <w:w w:val="105"/>
          <w:sz w:val="24"/>
          <w:szCs w:val="24"/>
        </w:rPr>
        <w:t>dei</w:t>
      </w:r>
      <w:proofErr w:type="spellEnd"/>
      <w:r w:rsidRPr="006545C7">
        <w:rPr>
          <w:rFonts w:ascii="Times New Roman" w:hAnsi="Times New Roman" w:cs="Times New Roman"/>
          <w:i/>
          <w:iCs/>
          <w:spacing w:val="-17"/>
          <w:w w:val="105"/>
          <w:sz w:val="24"/>
          <w:szCs w:val="24"/>
        </w:rPr>
        <w:t xml:space="preserve"> </w:t>
      </w:r>
      <w:proofErr w:type="spellStart"/>
      <w:r w:rsidRPr="006545C7">
        <w:rPr>
          <w:rFonts w:ascii="Times New Roman" w:hAnsi="Times New Roman" w:cs="Times New Roman"/>
          <w:i/>
          <w:iCs/>
          <w:w w:val="105"/>
          <w:sz w:val="24"/>
          <w:szCs w:val="24"/>
        </w:rPr>
        <w:t>Paschi</w:t>
      </w:r>
      <w:proofErr w:type="spellEnd"/>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di</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Siena</w:t>
      </w:r>
      <w:r w:rsidRPr="006545C7">
        <w:rPr>
          <w:rFonts w:ascii="Times New Roman" w:hAnsi="Times New Roman" w:cs="Times New Roman"/>
          <w:i/>
          <w:iCs/>
          <w:spacing w:val="-17"/>
          <w:w w:val="105"/>
          <w:sz w:val="24"/>
          <w:szCs w:val="24"/>
        </w:rPr>
        <w:t xml:space="preserve"> </w:t>
      </w:r>
      <w:proofErr w:type="spellStart"/>
      <w:r w:rsidRPr="006545C7">
        <w:rPr>
          <w:rFonts w:ascii="Times New Roman" w:hAnsi="Times New Roman" w:cs="Times New Roman"/>
          <w:i/>
          <w:iCs/>
          <w:w w:val="105"/>
          <w:sz w:val="24"/>
          <w:szCs w:val="24"/>
        </w:rPr>
        <w:t>SpA</w:t>
      </w:r>
      <w:proofErr w:type="spellEnd"/>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30,</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399–419.</w:t>
      </w:r>
    </w:p>
    <w:p w14:paraId="432F006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Chiuri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Giovanni,</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31"/>
          <w:w w:val="105"/>
          <w:sz w:val="24"/>
          <w:szCs w:val="24"/>
        </w:rPr>
        <w:t xml:space="preserve"> </w:t>
      </w:r>
      <w:proofErr w:type="spellStart"/>
      <w:r w:rsidRPr="006545C7">
        <w:rPr>
          <w:rFonts w:ascii="Times New Roman" w:hAnsi="Times New Roman" w:cs="Times New Roman"/>
          <w:w w:val="105"/>
          <w:sz w:val="24"/>
          <w:szCs w:val="24"/>
        </w:rPr>
        <w:t>Majnoni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G.,</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macroeconomic</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impact</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31"/>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32"/>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w w:val="103"/>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emerging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economies: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past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evidence</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to</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assess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future</w:t>
      </w:r>
      <w:r w:rsidRPr="006545C7">
        <w:rPr>
          <w:rFonts w:ascii="Times New Roman" w:hAnsi="Times New Roman" w:cs="Times New Roman"/>
          <w:i/>
          <w:iCs/>
          <w:w w:val="105"/>
          <w:sz w:val="24"/>
          <w:szCs w:val="24"/>
        </w:rPr>
        <w:t>.</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w w:val="105"/>
          <w:sz w:val="24"/>
          <w:szCs w:val="24"/>
        </w:rPr>
        <w:t>6,</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881–904.</w:t>
      </w:r>
    </w:p>
    <w:p w14:paraId="7D2F5B16"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Christiano</w:t>
      </w:r>
      <w:proofErr w:type="spellEnd"/>
      <w:r w:rsidRPr="006545C7">
        <w:rPr>
          <w:rFonts w:ascii="Times New Roman" w:hAnsi="Times New Roman" w:cs="Times New Roman"/>
          <w:sz w:val="24"/>
          <w:szCs w:val="24"/>
        </w:rPr>
        <w: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Gust,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8"/>
          <w:sz w:val="24"/>
          <w:szCs w:val="24"/>
        </w:rPr>
        <w:t xml:space="preserve"> </w:t>
      </w:r>
      <w:proofErr w:type="spellStart"/>
      <w:r w:rsidRPr="006545C7">
        <w:rPr>
          <w:rFonts w:ascii="Times New Roman" w:hAnsi="Times New Roman" w:cs="Times New Roman"/>
          <w:sz w:val="24"/>
          <w:szCs w:val="24"/>
        </w:rPr>
        <w:t>Roldos</w:t>
      </w:r>
      <w:proofErr w:type="spellEnd"/>
      <w:r w:rsidRPr="006545C7">
        <w:rPr>
          <w:rFonts w:ascii="Times New Roman" w:hAnsi="Times New Roman" w:cs="Times New Roman"/>
          <w:sz w:val="24"/>
          <w:szCs w:val="24"/>
        </w:rPr>
        <w: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crisis.</w:t>
      </w:r>
      <w:r w:rsidRPr="006545C7">
        <w:rPr>
          <w:rFonts w:ascii="Times New Roman" w:hAnsi="Times New Roman" w:cs="Times New Roman"/>
          <w:spacing w:val="-8"/>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Theory</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119,</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64–103.</w:t>
      </w:r>
    </w:p>
    <w:p w14:paraId="1CC65BDF"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Christiano</w:t>
      </w:r>
      <w:proofErr w:type="spellEnd"/>
      <w:r w:rsidRPr="006545C7">
        <w:rPr>
          <w:rFonts w:ascii="Times New Roman" w:hAnsi="Times New Roman" w:cs="Times New Roman"/>
          <w:sz w:val="24"/>
          <w:szCs w:val="24"/>
        </w:rPr>
        <w:t>,</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Motto,</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14"/>
          <w:sz w:val="24"/>
          <w:szCs w:val="24"/>
        </w:rPr>
        <w:t xml:space="preserve"> </w:t>
      </w:r>
      <w:proofErr w:type="spellStart"/>
      <w:r w:rsidRPr="006545C7">
        <w:rPr>
          <w:rFonts w:ascii="Times New Roman" w:hAnsi="Times New Roman" w:cs="Times New Roman"/>
          <w:sz w:val="24"/>
          <w:szCs w:val="24"/>
        </w:rPr>
        <w:t>Rostagno</w:t>
      </w:r>
      <w:proofErr w:type="spellEnd"/>
      <w:r w:rsidRPr="006545C7">
        <w:rPr>
          <w:rFonts w:ascii="Times New Roman" w:hAnsi="Times New Roman" w:cs="Times New Roman"/>
          <w:sz w:val="24"/>
          <w:szCs w:val="24"/>
        </w:rPr>
        <w:t>,</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factors</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 xml:space="preserve">cycles. </w:t>
      </w:r>
      <w:r w:rsidRPr="006545C7">
        <w:rPr>
          <w:rFonts w:ascii="Times New Roman" w:hAnsi="Times New Roman" w:cs="Times New Roman"/>
          <w:i/>
          <w:iCs/>
          <w:w w:val="105"/>
          <w:sz w:val="24"/>
          <w:szCs w:val="24"/>
        </w:rPr>
        <w:t>Working</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Paper</w:t>
      </w:r>
      <w:r w:rsidRPr="006545C7">
        <w:rPr>
          <w:rFonts w:ascii="Times New Roman" w:hAnsi="Times New Roman" w:cs="Times New Roman"/>
          <w:w w:val="105"/>
          <w:sz w:val="24"/>
          <w:szCs w:val="24"/>
        </w:rPr>
        <w:t>.</w:t>
      </w:r>
    </w:p>
    <w:p w14:paraId="00BF3DA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Christiano</w:t>
      </w:r>
      <w:proofErr w:type="spellEnd"/>
      <w:r w:rsidRPr="006545C7">
        <w:rPr>
          <w:rFonts w:ascii="Times New Roman" w:hAnsi="Times New Roman" w:cs="Times New Roman"/>
          <w:sz w:val="24"/>
          <w:szCs w:val="24"/>
        </w:rPr>
        <w:t>,</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Motto,</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15"/>
          <w:sz w:val="24"/>
          <w:szCs w:val="24"/>
        </w:rPr>
        <w:t xml:space="preserve"> </w:t>
      </w:r>
      <w:proofErr w:type="spellStart"/>
      <w:r w:rsidRPr="006545C7">
        <w:rPr>
          <w:rFonts w:ascii="Times New Roman" w:hAnsi="Times New Roman" w:cs="Times New Roman"/>
          <w:sz w:val="24"/>
          <w:szCs w:val="24"/>
        </w:rPr>
        <w:t>Rostagno</w:t>
      </w:r>
      <w:proofErr w:type="spellEnd"/>
      <w:r w:rsidRPr="006545C7">
        <w:rPr>
          <w:rFonts w:ascii="Times New Roman" w:hAnsi="Times New Roman" w:cs="Times New Roman"/>
          <w:sz w:val="24"/>
          <w:szCs w:val="24"/>
        </w:rPr>
        <w:t>,</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stock</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w w:val="105"/>
          <w:sz w:val="24"/>
          <w:szCs w:val="24"/>
        </w:rPr>
        <w:t xml:space="preserve"> </w:t>
      </w:r>
      <w:r w:rsidRPr="006545C7">
        <w:rPr>
          <w:rFonts w:ascii="Times New Roman" w:hAnsi="Times New Roman" w:cs="Times New Roman"/>
          <w:sz w:val="24"/>
          <w:szCs w:val="24"/>
        </w:rPr>
        <w:t>boom–busts</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cycles.</w:t>
      </w:r>
      <w:r w:rsidRPr="006545C7">
        <w:rPr>
          <w:rFonts w:ascii="Times New Roman" w:hAnsi="Times New Roman" w:cs="Times New Roman"/>
          <w:spacing w:val="26"/>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26"/>
          <w:sz w:val="24"/>
          <w:szCs w:val="24"/>
        </w:rPr>
        <w:t xml:space="preserve"> </w:t>
      </w:r>
      <w:r w:rsidRPr="006545C7">
        <w:rPr>
          <w:rFonts w:ascii="Times New Roman" w:hAnsi="Times New Roman" w:cs="Times New Roman"/>
          <w:i/>
          <w:iCs/>
          <w:sz w:val="24"/>
          <w:szCs w:val="24"/>
        </w:rPr>
        <w:t>Paper</w:t>
      </w:r>
      <w:r w:rsidRPr="006545C7">
        <w:rPr>
          <w:rFonts w:ascii="Times New Roman" w:hAnsi="Times New Roman" w:cs="Times New Roman"/>
          <w:sz w:val="24"/>
          <w:szCs w:val="24"/>
        </w:rPr>
        <w:t>.</w:t>
      </w:r>
    </w:p>
    <w:p w14:paraId="43ADCA26"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Clark,</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5"/>
          <w:sz w:val="24"/>
          <w:szCs w:val="24"/>
        </w:rPr>
        <w:t xml:space="preserve"> </w:t>
      </w:r>
      <w:proofErr w:type="spellStart"/>
      <w:r w:rsidRPr="006545C7">
        <w:rPr>
          <w:rFonts w:ascii="Times New Roman" w:hAnsi="Times New Roman" w:cs="Times New Roman"/>
          <w:sz w:val="24"/>
          <w:szCs w:val="24"/>
        </w:rPr>
        <w:t>Berko</w:t>
      </w:r>
      <w:proofErr w:type="spellEnd"/>
      <w:r w:rsidRPr="006545C7">
        <w:rPr>
          <w:rFonts w:ascii="Times New Roman" w:hAnsi="Times New Roman" w:cs="Times New Roman"/>
          <w:sz w:val="24"/>
          <w:szCs w:val="24"/>
        </w:rPr>
        <w:t>,</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1997.</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Foreign</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investment</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fluctuations</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emerging</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w w:val="105"/>
          <w:sz w:val="24"/>
          <w:szCs w:val="24"/>
        </w:rPr>
        <w:t xml:space="preserve"> </w:t>
      </w:r>
      <w:r w:rsidRPr="006545C7">
        <w:rPr>
          <w:rFonts w:ascii="Times New Roman" w:hAnsi="Times New Roman" w:cs="Times New Roman"/>
          <w:sz w:val="24"/>
          <w:szCs w:val="24"/>
        </w:rPr>
        <w:t>stock</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returns:</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case</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Mexico.</w:t>
      </w:r>
      <w:r w:rsidRPr="006545C7">
        <w:rPr>
          <w:rFonts w:ascii="Times New Roman" w:hAnsi="Times New Roman" w:cs="Times New Roman"/>
          <w:spacing w:val="35"/>
          <w:sz w:val="24"/>
          <w:szCs w:val="24"/>
        </w:rPr>
        <w:t xml:space="preserve"> </w:t>
      </w:r>
      <w:r w:rsidRPr="006545C7">
        <w:rPr>
          <w:rFonts w:ascii="Times New Roman" w:hAnsi="Times New Roman" w:cs="Times New Roman"/>
          <w:i/>
          <w:iCs/>
          <w:sz w:val="24"/>
          <w:szCs w:val="24"/>
        </w:rPr>
        <w:t>Federal</w:t>
      </w:r>
      <w:r w:rsidRPr="006545C7">
        <w:rPr>
          <w:rFonts w:ascii="Times New Roman" w:hAnsi="Times New Roman" w:cs="Times New Roman"/>
          <w:i/>
          <w:iCs/>
          <w:spacing w:val="35"/>
          <w:sz w:val="24"/>
          <w:szCs w:val="24"/>
        </w:rPr>
        <w:t xml:space="preserve"> </w:t>
      </w:r>
      <w:r w:rsidRPr="006545C7">
        <w:rPr>
          <w:rFonts w:ascii="Times New Roman" w:hAnsi="Times New Roman" w:cs="Times New Roman"/>
          <w:i/>
          <w:iCs/>
          <w:sz w:val="24"/>
          <w:szCs w:val="24"/>
        </w:rPr>
        <w:t>Reserve</w:t>
      </w:r>
      <w:r w:rsidRPr="006545C7">
        <w:rPr>
          <w:rFonts w:ascii="Times New Roman" w:hAnsi="Times New Roman" w:cs="Times New Roman"/>
          <w:i/>
          <w:iCs/>
          <w:spacing w:val="35"/>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35"/>
          <w:sz w:val="24"/>
          <w:szCs w:val="24"/>
        </w:rPr>
        <w:t xml:space="preserve"> </w:t>
      </w:r>
      <w:r w:rsidRPr="006545C7">
        <w:rPr>
          <w:rFonts w:ascii="Times New Roman" w:hAnsi="Times New Roman" w:cs="Times New Roman"/>
          <w:sz w:val="24"/>
          <w:szCs w:val="24"/>
        </w:rPr>
        <w:t>York</w:t>
      </w:r>
      <w:r w:rsidRPr="006545C7">
        <w:rPr>
          <w:rFonts w:ascii="Times New Roman" w:hAnsi="Times New Roman" w:cs="Times New Roman"/>
          <w:spacing w:val="36"/>
          <w:sz w:val="24"/>
          <w:szCs w:val="24"/>
        </w:rPr>
        <w:t xml:space="preserve"> </w:t>
      </w:r>
      <w:r w:rsidRPr="006545C7">
        <w:rPr>
          <w:rFonts w:ascii="Times New Roman" w:hAnsi="Times New Roman" w:cs="Times New Roman"/>
          <w:sz w:val="24"/>
          <w:szCs w:val="24"/>
        </w:rPr>
        <w:t>Staff</w:t>
      </w:r>
      <w:r w:rsidRPr="006545C7">
        <w:rPr>
          <w:rFonts w:ascii="Times New Roman" w:hAnsi="Times New Roman" w:cs="Times New Roman"/>
          <w:w w:val="101"/>
          <w:sz w:val="24"/>
          <w:szCs w:val="24"/>
        </w:rPr>
        <w:t xml:space="preserve"> </w:t>
      </w:r>
      <w:r w:rsidRPr="006545C7">
        <w:rPr>
          <w:rFonts w:ascii="Times New Roman" w:hAnsi="Times New Roman" w:cs="Times New Roman"/>
          <w:sz w:val="24"/>
          <w:szCs w:val="24"/>
        </w:rPr>
        <w:t>Report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4.</w:t>
      </w:r>
    </w:p>
    <w:p w14:paraId="7D30E56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Clower</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R.W.,</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1965.</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Keynesian</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counter-revolution:</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theoretical</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appraisal.</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Hahn,</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F.H.,</w:t>
      </w:r>
      <w:r w:rsidRPr="006545C7">
        <w:rPr>
          <w:rFonts w:ascii="Times New Roman" w:hAnsi="Times New Roman" w:cs="Times New Roman"/>
          <w:spacing w:val="-27"/>
          <w:w w:val="105"/>
          <w:sz w:val="24"/>
          <w:szCs w:val="24"/>
        </w:rPr>
        <w:t xml:space="preserve"> </w:t>
      </w:r>
      <w:proofErr w:type="spellStart"/>
      <w:r w:rsidRPr="006545C7">
        <w:rPr>
          <w:rFonts w:ascii="Times New Roman" w:hAnsi="Times New Roman" w:cs="Times New Roman"/>
          <w:w w:val="105"/>
          <w:sz w:val="24"/>
          <w:szCs w:val="24"/>
        </w:rPr>
        <w:t>Brechling</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Theory</w:t>
      </w:r>
      <w:r w:rsidRPr="006545C7">
        <w:rPr>
          <w:rFonts w:ascii="Times New Roman" w:hAnsi="Times New Roman" w:cs="Times New Roman"/>
          <w:i/>
          <w:iCs/>
          <w:spacing w:val="-2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Interest</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Rates</w:t>
      </w:r>
      <w:r w:rsidRPr="006545C7">
        <w:rPr>
          <w:rFonts w:ascii="Times New Roman" w:hAnsi="Times New Roman" w:cs="Times New Roman"/>
          <w:w w:val="105"/>
          <w:sz w:val="24"/>
          <w:szCs w:val="24"/>
        </w:rPr>
        <w:t>.</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MacMillan,</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London,</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pp.</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103–125.</w:t>
      </w:r>
    </w:p>
    <w:p w14:paraId="57DD7E4D"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Cochrane,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Pricing.</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Princeton</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University</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Press</w:t>
      </w:r>
      <w:r w:rsidRPr="006545C7">
        <w:rPr>
          <w:rFonts w:ascii="Times New Roman" w:hAnsi="Times New Roman" w:cs="Times New Roman"/>
          <w:sz w:val="24"/>
          <w:szCs w:val="24"/>
        </w:rPr>
        <w:t>.</w:t>
      </w:r>
    </w:p>
    <w:p w14:paraId="674340BD"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Constantinides</w:t>
      </w:r>
      <w:proofErr w:type="spellEnd"/>
      <w:r w:rsidRPr="00F717E4">
        <w:rPr>
          <w:rFonts w:ascii="Times New Roman" w:hAnsi="Times New Roman" w:cs="Times New Roman"/>
          <w:sz w:val="24"/>
          <w:szCs w:val="24"/>
        </w:rPr>
        <w:t xml:space="preserve">, George M., 1992, A theory of the nominal term structure of interest rates, </w:t>
      </w:r>
      <w:r w:rsidRPr="008329B9">
        <w:rPr>
          <w:rFonts w:ascii="Times New Roman" w:hAnsi="Times New Roman" w:cs="Times New Roman"/>
          <w:i/>
          <w:sz w:val="24"/>
          <w:szCs w:val="24"/>
        </w:rPr>
        <w:t>Review of Financial Studies</w:t>
      </w:r>
      <w:r w:rsidRPr="00F717E4">
        <w:rPr>
          <w:rFonts w:ascii="Times New Roman" w:hAnsi="Times New Roman" w:cs="Times New Roman"/>
          <w:sz w:val="24"/>
          <w:szCs w:val="24"/>
        </w:rPr>
        <w:t xml:space="preserve"> 5, 531–552.</w:t>
      </w:r>
    </w:p>
    <w:p w14:paraId="1A177AAA"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Constantinides</w:t>
      </w:r>
      <w:proofErr w:type="spellEnd"/>
      <w:r w:rsidRPr="00F717E4">
        <w:rPr>
          <w:rFonts w:ascii="Times New Roman" w:hAnsi="Times New Roman" w:cs="Times New Roman"/>
          <w:sz w:val="24"/>
          <w:szCs w:val="24"/>
        </w:rPr>
        <w:t xml:space="preserve">, George M., and T. </w:t>
      </w:r>
      <w:proofErr w:type="spellStart"/>
      <w:r w:rsidRPr="00F717E4">
        <w:rPr>
          <w:rFonts w:ascii="Times New Roman" w:hAnsi="Times New Roman" w:cs="Times New Roman"/>
          <w:sz w:val="24"/>
          <w:szCs w:val="24"/>
        </w:rPr>
        <w:t>Zariphopoulou</w:t>
      </w:r>
      <w:proofErr w:type="spellEnd"/>
      <w:r w:rsidRPr="00F717E4">
        <w:rPr>
          <w:rFonts w:ascii="Times New Roman" w:hAnsi="Times New Roman" w:cs="Times New Roman"/>
          <w:sz w:val="24"/>
          <w:szCs w:val="24"/>
        </w:rPr>
        <w:t xml:space="preserve">, 1999a, Bounds on prices of contingent claims in an intertemporal economy with proportional transactions costs and general preferences, </w:t>
      </w:r>
      <w:r w:rsidRPr="008329B9">
        <w:rPr>
          <w:rFonts w:ascii="Times New Roman" w:hAnsi="Times New Roman" w:cs="Times New Roman"/>
          <w:i/>
          <w:sz w:val="24"/>
          <w:szCs w:val="24"/>
        </w:rPr>
        <w:t>Finance and Stochastics</w:t>
      </w:r>
      <w:r w:rsidRPr="00F717E4">
        <w:rPr>
          <w:rFonts w:ascii="Times New Roman" w:hAnsi="Times New Roman" w:cs="Times New Roman"/>
          <w:sz w:val="24"/>
          <w:szCs w:val="24"/>
        </w:rPr>
        <w:t xml:space="preserve">, forthcoming. </w:t>
      </w:r>
    </w:p>
    <w:p w14:paraId="11C983BB"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Constantinides</w:t>
      </w:r>
      <w:proofErr w:type="spellEnd"/>
      <w:r w:rsidRPr="00F717E4">
        <w:rPr>
          <w:rFonts w:ascii="Times New Roman" w:hAnsi="Times New Roman" w:cs="Times New Roman"/>
          <w:sz w:val="24"/>
          <w:szCs w:val="24"/>
        </w:rPr>
        <w:t xml:space="preserve">, George M., and T. </w:t>
      </w:r>
      <w:proofErr w:type="spellStart"/>
      <w:r w:rsidRPr="00F717E4">
        <w:rPr>
          <w:rFonts w:ascii="Times New Roman" w:hAnsi="Times New Roman" w:cs="Times New Roman"/>
          <w:sz w:val="24"/>
          <w:szCs w:val="24"/>
        </w:rPr>
        <w:t>Zariphopoulou</w:t>
      </w:r>
      <w:proofErr w:type="spellEnd"/>
      <w:r w:rsidRPr="00F717E4">
        <w:rPr>
          <w:rFonts w:ascii="Times New Roman" w:hAnsi="Times New Roman" w:cs="Times New Roman"/>
          <w:sz w:val="24"/>
          <w:szCs w:val="24"/>
        </w:rPr>
        <w:t xml:space="preserve">, 1999b, Bounds on derivative prices in an intertemporal setting with proportional transactions costs and multiple securities, </w:t>
      </w:r>
      <w:r w:rsidRPr="008329B9">
        <w:rPr>
          <w:rFonts w:ascii="Times New Roman" w:hAnsi="Times New Roman" w:cs="Times New Roman"/>
          <w:i/>
          <w:sz w:val="24"/>
          <w:szCs w:val="24"/>
        </w:rPr>
        <w:t>Working paper</w:t>
      </w:r>
      <w:r w:rsidRPr="00F717E4">
        <w:rPr>
          <w:rFonts w:ascii="Times New Roman" w:hAnsi="Times New Roman" w:cs="Times New Roman"/>
          <w:sz w:val="24"/>
          <w:szCs w:val="24"/>
        </w:rPr>
        <w:t>, Graduate School of Business, University of Chicago.</w:t>
      </w:r>
    </w:p>
    <w:p w14:paraId="7ACF6AB5"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Cox, John C., and Chi-fu Huang, 1989a, Optimal consumption and portfolio policies when asset prices follow a diffusion process, </w:t>
      </w:r>
      <w:r w:rsidRPr="008329B9">
        <w:rPr>
          <w:rFonts w:ascii="Times New Roman" w:hAnsi="Times New Roman" w:cs="Times New Roman"/>
          <w:i/>
          <w:sz w:val="24"/>
          <w:szCs w:val="24"/>
        </w:rPr>
        <w:t>Journal of Economic Theory</w:t>
      </w:r>
      <w:r w:rsidRPr="00F717E4">
        <w:rPr>
          <w:rFonts w:ascii="Times New Roman" w:hAnsi="Times New Roman" w:cs="Times New Roman"/>
          <w:sz w:val="24"/>
          <w:szCs w:val="24"/>
        </w:rPr>
        <w:t xml:space="preserve"> 49, 33–83. </w:t>
      </w:r>
    </w:p>
    <w:p w14:paraId="023D906D" w14:textId="1A09F943"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Cox, John C., and Chi-fu Huang, 1989b, Options pricing theory and its applications, in </w:t>
      </w:r>
      <w:proofErr w:type="spellStart"/>
      <w:r w:rsidRPr="00F717E4">
        <w:rPr>
          <w:rFonts w:ascii="Times New Roman" w:hAnsi="Times New Roman" w:cs="Times New Roman"/>
          <w:sz w:val="24"/>
          <w:szCs w:val="24"/>
        </w:rPr>
        <w:t>Sudipto</w:t>
      </w:r>
      <w:proofErr w:type="spellEnd"/>
      <w:r w:rsidRPr="00F717E4">
        <w:rPr>
          <w:rFonts w:ascii="Times New Roman" w:hAnsi="Times New Roman" w:cs="Times New Roman"/>
          <w:sz w:val="24"/>
          <w:szCs w:val="24"/>
        </w:rPr>
        <w:t xml:space="preserve"> Bhattacharya and George M. </w:t>
      </w:r>
      <w:proofErr w:type="spellStart"/>
      <w:r w:rsidRPr="00F717E4">
        <w:rPr>
          <w:rFonts w:ascii="Times New Roman" w:hAnsi="Times New Roman" w:cs="Times New Roman"/>
          <w:sz w:val="24"/>
          <w:szCs w:val="24"/>
        </w:rPr>
        <w:t>Constantinides</w:t>
      </w:r>
      <w:proofErr w:type="spellEnd"/>
      <w:r w:rsidRPr="00F717E4">
        <w:rPr>
          <w:rFonts w:ascii="Times New Roman" w:hAnsi="Times New Roman" w:cs="Times New Roman"/>
          <w:sz w:val="24"/>
          <w:szCs w:val="24"/>
        </w:rPr>
        <w:t xml:space="preserve">, eds.: Theory of Valuation: </w:t>
      </w:r>
      <w:r w:rsidRPr="00F717E4">
        <w:rPr>
          <w:rFonts w:ascii="Times New Roman" w:hAnsi="Times New Roman" w:cs="Times New Roman"/>
          <w:sz w:val="24"/>
          <w:szCs w:val="24"/>
        </w:rPr>
        <w:lastRenderedPageBreak/>
        <w:t>Frontiers of Modern Financial Theory, Volume 1 ~Rowman and Littlefield, Totowa, N.J.</w:t>
      </w:r>
    </w:p>
    <w:p w14:paraId="0EDA6404"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Cox, John C., Jon E. Ingersoll, and Stephen A. Ross, 1985a, An intertemporal general equilibrium model of asset prices, </w:t>
      </w:r>
      <w:proofErr w:type="spellStart"/>
      <w:r w:rsidRPr="008329B9">
        <w:rPr>
          <w:rFonts w:ascii="Times New Roman" w:hAnsi="Times New Roman" w:cs="Times New Roman"/>
          <w:i/>
          <w:sz w:val="24"/>
          <w:szCs w:val="24"/>
        </w:rPr>
        <w:t>Econometrica</w:t>
      </w:r>
      <w:proofErr w:type="spellEnd"/>
      <w:r w:rsidRPr="008329B9">
        <w:rPr>
          <w:rFonts w:ascii="Times New Roman" w:hAnsi="Times New Roman" w:cs="Times New Roman"/>
          <w:i/>
          <w:sz w:val="24"/>
          <w:szCs w:val="24"/>
        </w:rPr>
        <w:t xml:space="preserve"> </w:t>
      </w:r>
      <w:r w:rsidRPr="00F717E4">
        <w:rPr>
          <w:rFonts w:ascii="Times New Roman" w:hAnsi="Times New Roman" w:cs="Times New Roman"/>
          <w:sz w:val="24"/>
          <w:szCs w:val="24"/>
        </w:rPr>
        <w:t>53, 363–384.</w:t>
      </w:r>
    </w:p>
    <w:p w14:paraId="6B3BACB1"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Cuoco</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Liu,</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H.,</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analysis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Var-based</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i/>
          <w:iCs/>
          <w:sz w:val="24"/>
          <w:szCs w:val="24"/>
        </w:rPr>
        <w:t>.</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17"/>
          <w:sz w:val="24"/>
          <w:szCs w:val="24"/>
        </w:rPr>
        <w:t xml:space="preserve"> </w:t>
      </w:r>
      <w:r w:rsidRPr="006545C7">
        <w:rPr>
          <w:rFonts w:ascii="Times New Roman" w:hAnsi="Times New Roman" w:cs="Times New Roman"/>
          <w:i/>
          <w:iCs/>
          <w:sz w:val="24"/>
          <w:szCs w:val="24"/>
        </w:rPr>
        <w:t>Intermediation</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15,</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362–394.</w:t>
      </w:r>
    </w:p>
    <w:p w14:paraId="6B5CFED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Curdía</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V.,</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Woodford,</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2009.</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frictions</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optimal</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i/>
          <w:iCs/>
          <w:w w:val="91"/>
          <w:sz w:val="24"/>
          <w:szCs w:val="24"/>
        </w:rPr>
        <w:t xml:space="preserve"> </w:t>
      </w:r>
      <w:r w:rsidRPr="006545C7">
        <w:rPr>
          <w:rFonts w:ascii="Times New Roman" w:hAnsi="Times New Roman" w:cs="Times New Roman"/>
          <w:i/>
          <w:iCs/>
          <w:w w:val="105"/>
          <w:sz w:val="24"/>
          <w:szCs w:val="24"/>
        </w:rPr>
        <w:t>Working</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Papers</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278.</w:t>
      </w:r>
    </w:p>
    <w:p w14:paraId="69A90705"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Curto</w:t>
      </w:r>
      <w:proofErr w:type="spellEnd"/>
      <w:r w:rsidRPr="00F717E4">
        <w:rPr>
          <w:rFonts w:ascii="Times New Roman" w:hAnsi="Times New Roman" w:cs="Times New Roman"/>
          <w:sz w:val="24"/>
          <w:szCs w:val="24"/>
        </w:rPr>
        <w:t xml:space="preserve">, J.D., Pinto, J.C., Tavares, G.N. (2009), </w:t>
      </w:r>
      <w:proofErr w:type="spellStart"/>
      <w:r w:rsidRPr="00F717E4">
        <w:rPr>
          <w:rFonts w:ascii="Times New Roman" w:hAnsi="Times New Roman" w:cs="Times New Roman"/>
          <w:sz w:val="24"/>
          <w:szCs w:val="24"/>
        </w:rPr>
        <w:t>Modeling</w:t>
      </w:r>
      <w:proofErr w:type="spellEnd"/>
      <w:r w:rsidRPr="00F717E4">
        <w:rPr>
          <w:rFonts w:ascii="Times New Roman" w:hAnsi="Times New Roman" w:cs="Times New Roman"/>
          <w:sz w:val="24"/>
          <w:szCs w:val="24"/>
        </w:rPr>
        <w:t xml:space="preserve"> stock markets’ volatility using GARCH models with normal, student’s t and stable </w:t>
      </w:r>
      <w:proofErr w:type="spellStart"/>
      <w:r w:rsidRPr="00F717E4">
        <w:rPr>
          <w:rFonts w:ascii="Times New Roman" w:hAnsi="Times New Roman" w:cs="Times New Roman"/>
          <w:sz w:val="24"/>
          <w:szCs w:val="24"/>
        </w:rPr>
        <w:t>paretian</w:t>
      </w:r>
      <w:proofErr w:type="spellEnd"/>
      <w:r w:rsidRPr="00F717E4">
        <w:rPr>
          <w:rFonts w:ascii="Times New Roman" w:hAnsi="Times New Roman" w:cs="Times New Roman"/>
          <w:sz w:val="24"/>
          <w:szCs w:val="24"/>
        </w:rPr>
        <w:t xml:space="preserve"> distributions. Statistical Papers, 50(2), 311.</w:t>
      </w:r>
    </w:p>
    <w:p w14:paraId="147F3C56"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Danielsson,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Shin,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H.,</w:t>
      </w:r>
      <w:r w:rsidRPr="006545C7">
        <w:rPr>
          <w:rFonts w:ascii="Times New Roman" w:hAnsi="Times New Roman" w:cs="Times New Roman"/>
          <w:spacing w:val="8"/>
          <w:sz w:val="24"/>
          <w:szCs w:val="24"/>
        </w:rPr>
        <w:t xml:space="preserve"> </w:t>
      </w:r>
      <w:proofErr w:type="spellStart"/>
      <w:r w:rsidRPr="006545C7">
        <w:rPr>
          <w:rFonts w:ascii="Times New Roman" w:hAnsi="Times New Roman" w:cs="Times New Roman"/>
          <w:sz w:val="24"/>
          <w:szCs w:val="24"/>
        </w:rPr>
        <w:t>Zigrand</w:t>
      </w:r>
      <w:proofErr w:type="spellEnd"/>
      <w:r w:rsidRPr="006545C7">
        <w:rPr>
          <w:rFonts w:ascii="Times New Roman" w:hAnsi="Times New Roman" w:cs="Times New Roman"/>
          <w:sz w:val="24"/>
          <w:szCs w:val="24"/>
        </w:rPr>
        <w: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J.P.,</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impact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price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dynamics.</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28,</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1069–1087.</w:t>
      </w:r>
    </w:p>
    <w:p w14:paraId="703A69D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lang w:val="es-AR"/>
        </w:rPr>
        <w:t>De</w:t>
      </w:r>
      <w:r w:rsidRPr="006545C7">
        <w:rPr>
          <w:rFonts w:ascii="Times New Roman" w:hAnsi="Times New Roman" w:cs="Times New Roman"/>
          <w:spacing w:val="3"/>
          <w:w w:val="105"/>
          <w:sz w:val="24"/>
          <w:szCs w:val="24"/>
          <w:lang w:val="es-AR"/>
        </w:rPr>
        <w:t xml:space="preserve"> </w:t>
      </w:r>
      <w:r w:rsidRPr="006545C7">
        <w:rPr>
          <w:rFonts w:ascii="Times New Roman" w:hAnsi="Times New Roman" w:cs="Times New Roman"/>
          <w:w w:val="105"/>
          <w:sz w:val="24"/>
          <w:szCs w:val="24"/>
          <w:lang w:val="es-AR"/>
        </w:rPr>
        <w:t>Fiore,</w:t>
      </w:r>
      <w:r w:rsidRPr="006545C7">
        <w:rPr>
          <w:rFonts w:ascii="Times New Roman" w:hAnsi="Times New Roman" w:cs="Times New Roman"/>
          <w:spacing w:val="3"/>
          <w:w w:val="105"/>
          <w:sz w:val="24"/>
          <w:szCs w:val="24"/>
          <w:lang w:val="es-AR"/>
        </w:rPr>
        <w:t xml:space="preserve"> </w:t>
      </w:r>
      <w:r w:rsidRPr="006545C7">
        <w:rPr>
          <w:rFonts w:ascii="Times New Roman" w:hAnsi="Times New Roman" w:cs="Times New Roman"/>
          <w:w w:val="105"/>
          <w:sz w:val="24"/>
          <w:szCs w:val="24"/>
          <w:lang w:val="es-AR"/>
        </w:rPr>
        <w:t>F.,</w:t>
      </w:r>
      <w:r w:rsidRPr="006545C7">
        <w:rPr>
          <w:rFonts w:ascii="Times New Roman" w:hAnsi="Times New Roman" w:cs="Times New Roman"/>
          <w:spacing w:val="3"/>
          <w:w w:val="105"/>
          <w:sz w:val="24"/>
          <w:szCs w:val="24"/>
          <w:lang w:val="es-AR"/>
        </w:rPr>
        <w:t xml:space="preserve"> </w:t>
      </w:r>
      <w:proofErr w:type="spellStart"/>
      <w:r w:rsidRPr="006545C7">
        <w:rPr>
          <w:rFonts w:ascii="Times New Roman" w:hAnsi="Times New Roman" w:cs="Times New Roman"/>
          <w:w w:val="105"/>
          <w:sz w:val="24"/>
          <w:szCs w:val="24"/>
          <w:lang w:val="es-AR"/>
        </w:rPr>
        <w:t>Tristani</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3"/>
          <w:w w:val="105"/>
          <w:sz w:val="24"/>
          <w:szCs w:val="24"/>
          <w:lang w:val="es-AR"/>
        </w:rPr>
        <w:t xml:space="preserve"> </w:t>
      </w:r>
      <w:r w:rsidRPr="006545C7">
        <w:rPr>
          <w:rFonts w:ascii="Times New Roman" w:hAnsi="Times New Roman" w:cs="Times New Roman"/>
          <w:w w:val="105"/>
          <w:sz w:val="24"/>
          <w:szCs w:val="24"/>
          <w:lang w:val="es-AR"/>
        </w:rPr>
        <w:t>O.,</w:t>
      </w:r>
      <w:r w:rsidRPr="006545C7">
        <w:rPr>
          <w:rFonts w:ascii="Times New Roman" w:hAnsi="Times New Roman" w:cs="Times New Roman"/>
          <w:spacing w:val="3"/>
          <w:w w:val="105"/>
          <w:sz w:val="24"/>
          <w:szCs w:val="24"/>
          <w:lang w:val="es-AR"/>
        </w:rPr>
        <w:t xml:space="preserve"> </w:t>
      </w:r>
      <w:r w:rsidRPr="006545C7">
        <w:rPr>
          <w:rFonts w:ascii="Times New Roman" w:hAnsi="Times New Roman" w:cs="Times New Roman"/>
          <w:w w:val="105"/>
          <w:sz w:val="24"/>
          <w:szCs w:val="24"/>
          <w:lang w:val="es-AR"/>
        </w:rPr>
        <w:t>2008.</w:t>
      </w:r>
      <w:r w:rsidRPr="006545C7">
        <w:rPr>
          <w:rFonts w:ascii="Times New Roman" w:hAnsi="Times New Roman" w:cs="Times New Roman"/>
          <w:spacing w:val="4"/>
          <w:w w:val="105"/>
          <w:sz w:val="24"/>
          <w:szCs w:val="24"/>
          <w:lang w:val="es-AR"/>
        </w:rPr>
        <w:t xml:space="preserve"> </w:t>
      </w:r>
      <w:r w:rsidRPr="006545C7">
        <w:rPr>
          <w:rFonts w:ascii="Times New Roman" w:hAnsi="Times New Roman" w:cs="Times New Roman"/>
          <w:w w:val="105"/>
          <w:sz w:val="24"/>
          <w:szCs w:val="24"/>
        </w:rPr>
        <w:t>Optimal</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model</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channel</w:t>
      </w:r>
      <w:r w:rsidRPr="006545C7">
        <w:rPr>
          <w:rFonts w:ascii="Times New Roman" w:hAnsi="Times New Roman" w:cs="Times New Roman"/>
          <w:i/>
          <w:iCs/>
          <w:w w:val="105"/>
          <w:sz w:val="24"/>
          <w:szCs w:val="24"/>
        </w:rPr>
        <w:t>.</w:t>
      </w:r>
      <w:r w:rsidRPr="006545C7">
        <w:rPr>
          <w:rFonts w:ascii="Times New Roman" w:hAnsi="Times New Roman" w:cs="Times New Roman"/>
          <w:i/>
          <w:iCs/>
          <w:spacing w:val="-31"/>
          <w:w w:val="105"/>
          <w:sz w:val="24"/>
          <w:szCs w:val="24"/>
        </w:rPr>
        <w:t xml:space="preserve"> </w:t>
      </w:r>
      <w:r w:rsidRPr="006545C7">
        <w:rPr>
          <w:rFonts w:ascii="Times New Roman" w:hAnsi="Times New Roman" w:cs="Times New Roman"/>
          <w:i/>
          <w:iCs/>
          <w:w w:val="105"/>
          <w:sz w:val="24"/>
          <w:szCs w:val="24"/>
        </w:rPr>
        <w:t>Paper</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Presented</w:t>
      </w:r>
      <w:r w:rsidRPr="006545C7">
        <w:rPr>
          <w:rFonts w:ascii="Times New Roman" w:hAnsi="Times New Roman" w:cs="Times New Roman"/>
          <w:i/>
          <w:iCs/>
          <w:spacing w:val="-31"/>
          <w:w w:val="105"/>
          <w:sz w:val="24"/>
          <w:szCs w:val="24"/>
        </w:rPr>
        <w:t xml:space="preserve"> </w:t>
      </w:r>
      <w:r w:rsidRPr="006545C7">
        <w:rPr>
          <w:rFonts w:ascii="Times New Roman" w:hAnsi="Times New Roman" w:cs="Times New Roman"/>
          <w:i/>
          <w:iCs/>
          <w:w w:val="105"/>
          <w:sz w:val="24"/>
          <w:szCs w:val="24"/>
        </w:rPr>
        <w:t>at</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31"/>
          <w:w w:val="105"/>
          <w:sz w:val="24"/>
          <w:szCs w:val="24"/>
        </w:rPr>
        <w:t xml:space="preserve"> </w:t>
      </w:r>
      <w:r w:rsidRPr="006545C7">
        <w:rPr>
          <w:rFonts w:ascii="Times New Roman" w:hAnsi="Times New Roman" w:cs="Times New Roman"/>
          <w:i/>
          <w:iCs/>
          <w:w w:val="105"/>
          <w:sz w:val="24"/>
          <w:szCs w:val="24"/>
        </w:rPr>
        <w:t>CEPR/ESI</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12th</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Annual</w:t>
      </w:r>
      <w:r w:rsidRPr="006545C7">
        <w:rPr>
          <w:rFonts w:ascii="Times New Roman" w:hAnsi="Times New Roman" w:cs="Times New Roman"/>
          <w:i/>
          <w:iCs/>
          <w:spacing w:val="-31"/>
          <w:w w:val="105"/>
          <w:sz w:val="24"/>
          <w:szCs w:val="24"/>
        </w:rPr>
        <w:t xml:space="preserve"> </w:t>
      </w:r>
      <w:r w:rsidRPr="006545C7">
        <w:rPr>
          <w:rFonts w:ascii="Times New Roman" w:hAnsi="Times New Roman" w:cs="Times New Roman"/>
          <w:i/>
          <w:iCs/>
          <w:w w:val="105"/>
          <w:sz w:val="24"/>
          <w:szCs w:val="24"/>
        </w:rPr>
        <w:t>Conference</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Co-organised</w:t>
      </w:r>
      <w:r w:rsidRPr="006545C7">
        <w:rPr>
          <w:rFonts w:ascii="Times New Roman" w:hAnsi="Times New Roman" w:cs="Times New Roman"/>
          <w:i/>
          <w:iCs/>
          <w:w w:val="104"/>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Hosted</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by</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September</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25–26.</w:t>
      </w:r>
    </w:p>
    <w:p w14:paraId="0BFB123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lang w:val="es-AR"/>
        </w:rPr>
        <w:t>De</w:t>
      </w:r>
      <w:r w:rsidRPr="006545C7">
        <w:rPr>
          <w:rFonts w:ascii="Times New Roman" w:hAnsi="Times New Roman" w:cs="Times New Roman"/>
          <w:spacing w:val="-30"/>
          <w:w w:val="105"/>
          <w:sz w:val="24"/>
          <w:szCs w:val="24"/>
          <w:lang w:val="es-AR"/>
        </w:rPr>
        <w:t xml:space="preserve"> </w:t>
      </w:r>
      <w:proofErr w:type="spellStart"/>
      <w:r w:rsidRPr="006545C7">
        <w:rPr>
          <w:rFonts w:ascii="Times New Roman" w:hAnsi="Times New Roman" w:cs="Times New Roman"/>
          <w:w w:val="105"/>
          <w:sz w:val="24"/>
          <w:szCs w:val="24"/>
          <w:lang w:val="es-AR"/>
        </w:rPr>
        <w:t>Nicolò</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lang w:val="es-AR"/>
        </w:rPr>
        <w:t>G.,</w:t>
      </w:r>
      <w:r w:rsidRPr="006545C7">
        <w:rPr>
          <w:rFonts w:ascii="Times New Roman" w:hAnsi="Times New Roman" w:cs="Times New Roman"/>
          <w:spacing w:val="-29"/>
          <w:w w:val="105"/>
          <w:sz w:val="24"/>
          <w:szCs w:val="24"/>
          <w:lang w:val="es-AR"/>
        </w:rPr>
        <w:t xml:space="preserve"> </w:t>
      </w:r>
      <w:proofErr w:type="spellStart"/>
      <w:r w:rsidRPr="006545C7">
        <w:rPr>
          <w:rFonts w:ascii="Times New Roman" w:hAnsi="Times New Roman" w:cs="Times New Roman"/>
          <w:w w:val="105"/>
          <w:sz w:val="24"/>
          <w:szCs w:val="24"/>
          <w:lang w:val="es-AR"/>
        </w:rPr>
        <w:t>Dell’Ariccia</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lang w:val="es-AR"/>
        </w:rPr>
        <w:t>G.,</w:t>
      </w:r>
      <w:r w:rsidRPr="006545C7">
        <w:rPr>
          <w:rFonts w:ascii="Times New Roman" w:hAnsi="Times New Roman" w:cs="Times New Roman"/>
          <w:spacing w:val="-29"/>
          <w:w w:val="105"/>
          <w:sz w:val="24"/>
          <w:szCs w:val="24"/>
          <w:lang w:val="es-AR"/>
        </w:rPr>
        <w:t xml:space="preserve"> </w:t>
      </w:r>
      <w:proofErr w:type="spellStart"/>
      <w:r w:rsidRPr="006545C7">
        <w:rPr>
          <w:rFonts w:ascii="Times New Roman" w:hAnsi="Times New Roman" w:cs="Times New Roman"/>
          <w:w w:val="105"/>
          <w:sz w:val="24"/>
          <w:szCs w:val="24"/>
          <w:lang w:val="es-AR"/>
        </w:rPr>
        <w:t>Laeven</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lang w:val="es-AR"/>
        </w:rPr>
        <w:t>L.,</w:t>
      </w:r>
      <w:r w:rsidRPr="006545C7">
        <w:rPr>
          <w:rFonts w:ascii="Times New Roman" w:hAnsi="Times New Roman" w:cs="Times New Roman"/>
          <w:spacing w:val="-30"/>
          <w:w w:val="105"/>
          <w:sz w:val="24"/>
          <w:szCs w:val="24"/>
          <w:lang w:val="es-AR"/>
        </w:rPr>
        <w:t xml:space="preserve"> </w:t>
      </w:r>
      <w:r w:rsidRPr="006545C7">
        <w:rPr>
          <w:rFonts w:ascii="Times New Roman" w:hAnsi="Times New Roman" w:cs="Times New Roman"/>
          <w:w w:val="105"/>
          <w:sz w:val="24"/>
          <w:szCs w:val="24"/>
          <w:lang w:val="es-AR"/>
        </w:rPr>
        <w:t>Valencia,</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lang w:val="es-AR"/>
        </w:rPr>
        <w:t>F.,</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lang w:val="es-AR"/>
        </w:rPr>
        <w:t>2010.</w:t>
      </w:r>
      <w:r w:rsidRPr="006545C7">
        <w:rPr>
          <w:rFonts w:ascii="Times New Roman" w:hAnsi="Times New Roman" w:cs="Times New Roman"/>
          <w:spacing w:val="-29"/>
          <w:w w:val="105"/>
          <w:sz w:val="24"/>
          <w:szCs w:val="24"/>
          <w:lang w:val="es-AR"/>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z w:val="24"/>
          <w:szCs w:val="24"/>
        </w:rPr>
        <w:t xml:space="preserve"> </w:t>
      </w:r>
      <w:r w:rsidRPr="006545C7">
        <w:rPr>
          <w:rFonts w:ascii="Times New Roman" w:hAnsi="Times New Roman" w:cs="Times New Roman"/>
          <w:w w:val="105"/>
          <w:sz w:val="24"/>
          <w:szCs w:val="24"/>
        </w:rPr>
        <w:t>risk-taking.</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i/>
          <w:iCs/>
          <w:w w:val="105"/>
          <w:sz w:val="24"/>
          <w:szCs w:val="24"/>
        </w:rPr>
        <w:t>IMF</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Working</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Paper</w:t>
      </w:r>
      <w:r w:rsidRPr="006545C7">
        <w:rPr>
          <w:rFonts w:ascii="Times New Roman" w:hAnsi="Times New Roman" w:cs="Times New Roman"/>
          <w:w w:val="105"/>
          <w:sz w:val="24"/>
          <w:szCs w:val="24"/>
        </w:rPr>
        <w:t>.</w:t>
      </w:r>
    </w:p>
    <w:p w14:paraId="39F73308"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Decamps,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Rochet,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Roger,</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three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pillars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optimizing</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mix.</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Intermediation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13,</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132–155.</w:t>
      </w:r>
    </w:p>
    <w:p w14:paraId="5B6D8C53"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Dell’Ariccia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1"/>
          <w:sz w:val="24"/>
          <w:szCs w:val="24"/>
          <w:lang w:val="es-AR"/>
        </w:rPr>
        <w:t xml:space="preserve"> </w:t>
      </w:r>
      <w:r w:rsidRPr="006545C7">
        <w:rPr>
          <w:rFonts w:ascii="Times New Roman" w:hAnsi="Times New Roman" w:cs="Times New Roman"/>
          <w:sz w:val="24"/>
          <w:szCs w:val="24"/>
          <w:lang w:val="es-AR"/>
        </w:rPr>
        <w:t>G.,</w:t>
      </w:r>
      <w:r w:rsidRPr="006545C7">
        <w:rPr>
          <w:rFonts w:ascii="Times New Roman" w:hAnsi="Times New Roman" w:cs="Times New Roman"/>
          <w:spacing w:val="12"/>
          <w:sz w:val="24"/>
          <w:szCs w:val="24"/>
          <w:lang w:val="es-AR"/>
        </w:rPr>
        <w:t xml:space="preserve"> </w:t>
      </w:r>
      <w:proofErr w:type="spellStart"/>
      <w:r w:rsidRPr="006545C7">
        <w:rPr>
          <w:rFonts w:ascii="Times New Roman" w:hAnsi="Times New Roman" w:cs="Times New Roman"/>
          <w:sz w:val="24"/>
          <w:szCs w:val="24"/>
          <w:lang w:val="es-AR"/>
        </w:rPr>
        <w:t>Laeven</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1"/>
          <w:sz w:val="24"/>
          <w:szCs w:val="24"/>
          <w:lang w:val="es-AR"/>
        </w:rPr>
        <w:t xml:space="preserve"> </w:t>
      </w:r>
      <w:r w:rsidRPr="006545C7">
        <w:rPr>
          <w:rFonts w:ascii="Times New Roman" w:hAnsi="Times New Roman" w:cs="Times New Roman"/>
          <w:sz w:val="24"/>
          <w:szCs w:val="24"/>
          <w:lang w:val="es-AR"/>
        </w:rPr>
        <w:t>L.,</w:t>
      </w:r>
      <w:r w:rsidRPr="006545C7">
        <w:rPr>
          <w:rFonts w:ascii="Times New Roman" w:hAnsi="Times New Roman" w:cs="Times New Roman"/>
          <w:spacing w:val="12"/>
          <w:sz w:val="24"/>
          <w:szCs w:val="24"/>
          <w:lang w:val="es-AR"/>
        </w:rPr>
        <w:t xml:space="preserve"> </w:t>
      </w:r>
      <w:proofErr w:type="spellStart"/>
      <w:r w:rsidRPr="006545C7">
        <w:rPr>
          <w:rFonts w:ascii="Times New Roman" w:hAnsi="Times New Roman" w:cs="Times New Roman"/>
          <w:sz w:val="24"/>
          <w:szCs w:val="24"/>
          <w:lang w:val="es-AR"/>
        </w:rPr>
        <w:t>Marquez</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2"/>
          <w:sz w:val="24"/>
          <w:szCs w:val="24"/>
          <w:lang w:val="es-AR"/>
        </w:rPr>
        <w:t xml:space="preserve"> </w:t>
      </w:r>
      <w:r w:rsidRPr="006545C7">
        <w:rPr>
          <w:rFonts w:ascii="Times New Roman" w:hAnsi="Times New Roman" w:cs="Times New Roman"/>
          <w:sz w:val="24"/>
          <w:szCs w:val="24"/>
          <w:lang w:val="es-AR"/>
        </w:rPr>
        <w:t>R.,</w:t>
      </w:r>
      <w:r w:rsidRPr="006545C7">
        <w:rPr>
          <w:rFonts w:ascii="Times New Roman" w:hAnsi="Times New Roman" w:cs="Times New Roman"/>
          <w:spacing w:val="11"/>
          <w:sz w:val="24"/>
          <w:szCs w:val="24"/>
          <w:lang w:val="es-AR"/>
        </w:rPr>
        <w:t xml:space="preserve"> </w:t>
      </w:r>
      <w:r w:rsidRPr="006545C7">
        <w:rPr>
          <w:rFonts w:ascii="Times New Roman" w:hAnsi="Times New Roman" w:cs="Times New Roman"/>
          <w:sz w:val="24"/>
          <w:szCs w:val="24"/>
          <w:lang w:val="es-AR"/>
        </w:rPr>
        <w:t>2011.</w:t>
      </w:r>
      <w:r w:rsidRPr="006545C7">
        <w:rPr>
          <w:rFonts w:ascii="Times New Roman" w:hAnsi="Times New Roman" w:cs="Times New Roman"/>
          <w:spacing w:val="12"/>
          <w:sz w:val="24"/>
          <w:szCs w:val="24"/>
          <w:lang w:val="es-AR"/>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leverage,</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bank risk-taking.</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Paper.</w:t>
      </w:r>
    </w:p>
    <w:p w14:paraId="14AD44DD"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Dell’Ariccia</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Marquez,</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booms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standards.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Journal</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Finance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LXI,</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2511–2546.</w:t>
      </w:r>
    </w:p>
    <w:p w14:paraId="56379DA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lang w:val="es-AR"/>
        </w:rPr>
        <w:t>Dewachter</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4"/>
          <w:w w:val="105"/>
          <w:sz w:val="24"/>
          <w:szCs w:val="24"/>
          <w:lang w:val="es-AR"/>
        </w:rPr>
        <w:t xml:space="preserve"> </w:t>
      </w:r>
      <w:r w:rsidRPr="006545C7">
        <w:rPr>
          <w:rFonts w:ascii="Times New Roman" w:hAnsi="Times New Roman" w:cs="Times New Roman"/>
          <w:w w:val="105"/>
          <w:sz w:val="24"/>
          <w:szCs w:val="24"/>
          <w:lang w:val="es-AR"/>
        </w:rPr>
        <w:t>H.,</w:t>
      </w:r>
      <w:r w:rsidRPr="006545C7">
        <w:rPr>
          <w:rFonts w:ascii="Times New Roman" w:hAnsi="Times New Roman" w:cs="Times New Roman"/>
          <w:spacing w:val="5"/>
          <w:w w:val="105"/>
          <w:sz w:val="24"/>
          <w:szCs w:val="24"/>
          <w:lang w:val="es-AR"/>
        </w:rPr>
        <w:t xml:space="preserve"> </w:t>
      </w:r>
      <w:proofErr w:type="spellStart"/>
      <w:r w:rsidRPr="006545C7">
        <w:rPr>
          <w:rFonts w:ascii="Times New Roman" w:hAnsi="Times New Roman" w:cs="Times New Roman"/>
          <w:w w:val="105"/>
          <w:sz w:val="24"/>
          <w:szCs w:val="24"/>
          <w:lang w:val="es-AR"/>
        </w:rPr>
        <w:t>Lyrio</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5"/>
          <w:w w:val="105"/>
          <w:sz w:val="24"/>
          <w:szCs w:val="24"/>
          <w:lang w:val="es-AR"/>
        </w:rPr>
        <w:t xml:space="preserve"> </w:t>
      </w:r>
      <w:r w:rsidRPr="006545C7">
        <w:rPr>
          <w:rFonts w:ascii="Times New Roman" w:hAnsi="Times New Roman" w:cs="Times New Roman"/>
          <w:w w:val="105"/>
          <w:sz w:val="24"/>
          <w:szCs w:val="24"/>
          <w:lang w:val="es-AR"/>
        </w:rPr>
        <w:t>M.,</w:t>
      </w:r>
      <w:r w:rsidRPr="006545C7">
        <w:rPr>
          <w:rFonts w:ascii="Times New Roman" w:hAnsi="Times New Roman" w:cs="Times New Roman"/>
          <w:spacing w:val="5"/>
          <w:w w:val="105"/>
          <w:sz w:val="24"/>
          <w:szCs w:val="24"/>
          <w:lang w:val="es-AR"/>
        </w:rPr>
        <w:t xml:space="preserve"> </w:t>
      </w:r>
      <w:proofErr w:type="spellStart"/>
      <w:r w:rsidRPr="006545C7">
        <w:rPr>
          <w:rFonts w:ascii="Times New Roman" w:hAnsi="Times New Roman" w:cs="Times New Roman"/>
          <w:w w:val="105"/>
          <w:sz w:val="24"/>
          <w:szCs w:val="24"/>
          <w:lang w:val="es-AR"/>
        </w:rPr>
        <w:t>Maes</w:t>
      </w:r>
      <w:proofErr w:type="spellEnd"/>
      <w:r w:rsidRPr="006545C7">
        <w:rPr>
          <w:rFonts w:ascii="Times New Roman" w:hAnsi="Times New Roman" w:cs="Times New Roman"/>
          <w:w w:val="105"/>
          <w:sz w:val="24"/>
          <w:szCs w:val="24"/>
          <w:lang w:val="es-AR"/>
        </w:rPr>
        <w:t>,</w:t>
      </w:r>
      <w:r w:rsidRPr="006545C7">
        <w:rPr>
          <w:rFonts w:ascii="Times New Roman" w:hAnsi="Times New Roman" w:cs="Times New Roman"/>
          <w:spacing w:val="5"/>
          <w:w w:val="105"/>
          <w:sz w:val="24"/>
          <w:szCs w:val="24"/>
          <w:lang w:val="es-AR"/>
        </w:rPr>
        <w:t xml:space="preserve"> </w:t>
      </w:r>
      <w:r w:rsidRPr="006545C7">
        <w:rPr>
          <w:rFonts w:ascii="Times New Roman" w:hAnsi="Times New Roman" w:cs="Times New Roman"/>
          <w:w w:val="105"/>
          <w:sz w:val="24"/>
          <w:szCs w:val="24"/>
          <w:lang w:val="es-AR"/>
        </w:rPr>
        <w:t>K.,</w:t>
      </w:r>
      <w:r w:rsidRPr="006545C7">
        <w:rPr>
          <w:rFonts w:ascii="Times New Roman" w:hAnsi="Times New Roman" w:cs="Times New Roman"/>
          <w:spacing w:val="4"/>
          <w:w w:val="105"/>
          <w:sz w:val="24"/>
          <w:szCs w:val="24"/>
          <w:lang w:val="es-AR"/>
        </w:rPr>
        <w:t xml:space="preserve"> </w:t>
      </w:r>
      <w:r w:rsidRPr="006545C7">
        <w:rPr>
          <w:rFonts w:ascii="Times New Roman" w:hAnsi="Times New Roman" w:cs="Times New Roman"/>
          <w:w w:val="105"/>
          <w:sz w:val="24"/>
          <w:szCs w:val="24"/>
          <w:lang w:val="es-AR"/>
        </w:rPr>
        <w:t>2006.</w:t>
      </w:r>
      <w:r w:rsidRPr="006545C7">
        <w:rPr>
          <w:rFonts w:ascii="Times New Roman" w:hAnsi="Times New Roman" w:cs="Times New Roman"/>
          <w:spacing w:val="5"/>
          <w:w w:val="105"/>
          <w:sz w:val="24"/>
          <w:szCs w:val="24"/>
          <w:lang w:val="es-AR"/>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joint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model</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term</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structure</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rates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macroeconomy</w:t>
      </w:r>
      <w:r w:rsidRPr="006545C7">
        <w:rPr>
          <w:rFonts w:ascii="Times New Roman" w:hAnsi="Times New Roman" w:cs="Times New Roman"/>
          <w:i/>
          <w:iCs/>
          <w:w w:val="105"/>
          <w:sz w:val="24"/>
          <w:szCs w:val="24"/>
        </w:rPr>
        <w:t>.</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Applied</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Econometrics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21,</w:t>
      </w:r>
      <w:r w:rsidRPr="006545C7">
        <w:rPr>
          <w:rFonts w:ascii="Times New Roman" w:hAnsi="Times New Roman" w:cs="Times New Roman"/>
          <w:w w:val="98"/>
          <w:sz w:val="24"/>
          <w:szCs w:val="24"/>
        </w:rPr>
        <w:t xml:space="preserve"> </w:t>
      </w:r>
      <w:r w:rsidRPr="006545C7">
        <w:rPr>
          <w:rFonts w:ascii="Times New Roman" w:hAnsi="Times New Roman" w:cs="Times New Roman"/>
          <w:w w:val="105"/>
          <w:sz w:val="24"/>
          <w:szCs w:val="24"/>
        </w:rPr>
        <w:t>439–462.</w:t>
      </w:r>
    </w:p>
    <w:p w14:paraId="2EA8524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Diamond,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1"/>
          <w:w w:val="105"/>
          <w:sz w:val="24"/>
          <w:szCs w:val="24"/>
        </w:rPr>
        <w:t xml:space="preserve"> </w:t>
      </w:r>
      <w:proofErr w:type="spellStart"/>
      <w:r w:rsidRPr="006545C7">
        <w:rPr>
          <w:rFonts w:ascii="Times New Roman" w:hAnsi="Times New Roman" w:cs="Times New Roman"/>
          <w:w w:val="105"/>
          <w:sz w:val="24"/>
          <w:szCs w:val="24"/>
        </w:rPr>
        <w:t>Rajan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R.,</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theory</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i/>
          <w:iCs/>
          <w:w w:val="105"/>
          <w:sz w:val="24"/>
          <w:szCs w:val="24"/>
        </w:rPr>
        <w:t>.</w:t>
      </w:r>
      <w:r w:rsidRPr="006545C7">
        <w:rPr>
          <w:rFonts w:ascii="Times New Roman" w:hAnsi="Times New Roman" w:cs="Times New Roman"/>
          <w:i/>
          <w:iCs/>
          <w:spacing w:val="-1"/>
          <w:w w:val="105"/>
          <w:sz w:val="24"/>
          <w:szCs w:val="24"/>
        </w:rPr>
        <w:t xml:space="preserve"> </w:t>
      </w:r>
      <w:r w:rsidRPr="006545C7">
        <w:rPr>
          <w:rFonts w:ascii="Times New Roman" w:hAnsi="Times New Roman" w:cs="Times New Roman"/>
          <w:i/>
          <w:iCs/>
          <w:w w:val="105"/>
          <w:sz w:val="24"/>
          <w:szCs w:val="24"/>
        </w:rPr>
        <w:t>American</w:t>
      </w:r>
      <w:r w:rsidRPr="006545C7">
        <w:rPr>
          <w:rFonts w:ascii="Times New Roman" w:hAnsi="Times New Roman" w:cs="Times New Roman"/>
          <w:i/>
          <w:iCs/>
          <w:spacing w:val="-2"/>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96,</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30–53.</w:t>
      </w:r>
    </w:p>
    <w:p w14:paraId="0A687D1B"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Diamond,</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23"/>
          <w:sz w:val="24"/>
          <w:szCs w:val="24"/>
        </w:rPr>
        <w:t xml:space="preserve"> </w:t>
      </w:r>
      <w:proofErr w:type="spellStart"/>
      <w:r w:rsidRPr="006545C7">
        <w:rPr>
          <w:rFonts w:ascii="Times New Roman" w:hAnsi="Times New Roman" w:cs="Times New Roman"/>
          <w:sz w:val="24"/>
          <w:szCs w:val="24"/>
        </w:rPr>
        <w:t>Rajan</w:t>
      </w:r>
      <w:proofErr w:type="spellEnd"/>
      <w:r w:rsidRPr="006545C7">
        <w:rPr>
          <w:rFonts w:ascii="Times New Roman" w:hAnsi="Times New Roman" w:cs="Times New Roman"/>
          <w:sz w:val="24"/>
          <w:szCs w:val="24"/>
        </w:rPr>
        <w:t>,</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Illiquidity</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interest</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rate</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23"/>
          <w:sz w:val="24"/>
          <w:szCs w:val="24"/>
        </w:rPr>
        <w:t xml:space="preserve"> </w:t>
      </w:r>
      <w:r w:rsidRPr="006545C7">
        <w:rPr>
          <w:rFonts w:ascii="Times New Roman" w:hAnsi="Times New Roman" w:cs="Times New Roman"/>
          <w:i/>
          <w:iCs/>
          <w:sz w:val="24"/>
          <w:szCs w:val="24"/>
        </w:rPr>
        <w:t>NBER</w:t>
      </w:r>
      <w:r w:rsidRPr="006545C7">
        <w:rPr>
          <w:rFonts w:ascii="Times New Roman" w:hAnsi="Times New Roman" w:cs="Times New Roman"/>
          <w:i/>
          <w:iCs/>
          <w:spacing w:val="23"/>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w w:val="108"/>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15197.</w:t>
      </w:r>
    </w:p>
    <w:p w14:paraId="65942117"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Disyatat</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2011.</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channel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revisited.</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Money</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Credit</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w w:val="102"/>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43,</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711–734.</w:t>
      </w:r>
    </w:p>
    <w:p w14:paraId="7EC6569A"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Drehmann</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M.,</w:t>
      </w:r>
      <w:r w:rsidRPr="006545C7">
        <w:rPr>
          <w:rFonts w:ascii="Times New Roman" w:hAnsi="Times New Roman" w:cs="Times New Roman"/>
          <w:spacing w:val="-1"/>
          <w:sz w:val="24"/>
          <w:szCs w:val="24"/>
          <w:lang w:val="es-AR"/>
        </w:rPr>
        <w:t xml:space="preserve"> </w:t>
      </w:r>
      <w:proofErr w:type="spellStart"/>
      <w:r w:rsidRPr="006545C7">
        <w:rPr>
          <w:rFonts w:ascii="Times New Roman" w:hAnsi="Times New Roman" w:cs="Times New Roman"/>
          <w:sz w:val="24"/>
          <w:szCs w:val="24"/>
          <w:lang w:val="es-AR"/>
        </w:rPr>
        <w:t>Borio</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C,</w:t>
      </w:r>
      <w:r w:rsidRPr="006545C7">
        <w:rPr>
          <w:rFonts w:ascii="Times New Roman" w:hAnsi="Times New Roman" w:cs="Times New Roman"/>
          <w:spacing w:val="-1"/>
          <w:sz w:val="24"/>
          <w:szCs w:val="24"/>
          <w:lang w:val="es-AR"/>
        </w:rPr>
        <w:t xml:space="preserve"> </w:t>
      </w:r>
      <w:proofErr w:type="spellStart"/>
      <w:r w:rsidRPr="006545C7">
        <w:rPr>
          <w:rFonts w:ascii="Times New Roman" w:hAnsi="Times New Roman" w:cs="Times New Roman"/>
          <w:sz w:val="24"/>
          <w:szCs w:val="24"/>
          <w:lang w:val="es-AR"/>
        </w:rPr>
        <w:t>Gambocorta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L.,</w:t>
      </w:r>
      <w:r w:rsidRPr="006545C7">
        <w:rPr>
          <w:rFonts w:ascii="Times New Roman" w:hAnsi="Times New Roman" w:cs="Times New Roman"/>
          <w:spacing w:val="-1"/>
          <w:sz w:val="24"/>
          <w:szCs w:val="24"/>
          <w:lang w:val="es-AR"/>
        </w:rPr>
        <w:t xml:space="preserve"> </w:t>
      </w:r>
      <w:proofErr w:type="spellStart"/>
      <w:r w:rsidRPr="006545C7">
        <w:rPr>
          <w:rFonts w:ascii="Times New Roman" w:hAnsi="Times New Roman" w:cs="Times New Roman"/>
          <w:sz w:val="24"/>
          <w:szCs w:val="24"/>
          <w:lang w:val="es-AR"/>
        </w:rPr>
        <w:t>Jimenez</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G.,</w:t>
      </w:r>
      <w:r w:rsidRPr="006545C7">
        <w:rPr>
          <w:rFonts w:ascii="Times New Roman" w:hAnsi="Times New Roman" w:cs="Times New Roman"/>
          <w:spacing w:val="-1"/>
          <w:sz w:val="24"/>
          <w:szCs w:val="24"/>
          <w:lang w:val="es-AR"/>
        </w:rPr>
        <w:t xml:space="preserve"> </w:t>
      </w:r>
      <w:proofErr w:type="spellStart"/>
      <w:r w:rsidRPr="006545C7">
        <w:rPr>
          <w:rFonts w:ascii="Times New Roman" w:hAnsi="Times New Roman" w:cs="Times New Roman"/>
          <w:sz w:val="24"/>
          <w:szCs w:val="24"/>
          <w:lang w:val="es-AR"/>
        </w:rPr>
        <w:t>Trucharte</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C.,</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2010.</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rPr>
        <w:t>Counter-</w:t>
      </w:r>
      <w:r w:rsidRPr="006545C7">
        <w:rPr>
          <w:rFonts w:ascii="Times New Roman" w:hAnsi="Times New Roman" w:cs="Times New Roman"/>
          <w:w w:val="103"/>
          <w:sz w:val="24"/>
          <w:szCs w:val="24"/>
        </w:rPr>
        <w:t xml:space="preserve"> </w:t>
      </w:r>
      <w:r w:rsidRPr="006545C7">
        <w:rPr>
          <w:rFonts w:ascii="Times New Roman" w:hAnsi="Times New Roman" w:cs="Times New Roman"/>
          <w:sz w:val="24"/>
          <w:szCs w:val="24"/>
        </w:rPr>
        <w:t>cyclical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buffer:</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exploring</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options.</w:t>
      </w:r>
      <w:r w:rsidRPr="006545C7">
        <w:rPr>
          <w:rFonts w:ascii="Times New Roman" w:hAnsi="Times New Roman" w:cs="Times New Roman"/>
          <w:spacing w:val="12"/>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317.</w:t>
      </w:r>
    </w:p>
    <w:p w14:paraId="19F55DB0"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Duffie</w:t>
      </w:r>
      <w:proofErr w:type="spellEnd"/>
      <w:r w:rsidRPr="00F717E4">
        <w:rPr>
          <w:rFonts w:ascii="Times New Roman" w:hAnsi="Times New Roman" w:cs="Times New Roman"/>
          <w:sz w:val="24"/>
          <w:szCs w:val="24"/>
        </w:rPr>
        <w:t>, Darrell, 1988, Securities Markets: Stochastic Models ~Academic Press, Boston.</w:t>
      </w:r>
    </w:p>
    <w:p w14:paraId="7517F9A2" w14:textId="2BF2C766"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Duffie</w:t>
      </w:r>
      <w:proofErr w:type="spellEnd"/>
      <w:r w:rsidRPr="00F717E4">
        <w:rPr>
          <w:rFonts w:ascii="Times New Roman" w:hAnsi="Times New Roman" w:cs="Times New Roman"/>
          <w:sz w:val="24"/>
          <w:szCs w:val="24"/>
        </w:rPr>
        <w:t>, Darrell, 1996, Dynamic Asset Pricing Theory</w:t>
      </w:r>
      <w:r w:rsidR="008329B9">
        <w:rPr>
          <w:rFonts w:ascii="Times New Roman" w:hAnsi="Times New Roman" w:cs="Times New Roman"/>
          <w:sz w:val="24"/>
          <w:szCs w:val="24"/>
        </w:rPr>
        <w:t xml:space="preserve">, </w:t>
      </w:r>
      <w:r w:rsidRPr="00F717E4">
        <w:rPr>
          <w:rFonts w:ascii="Times New Roman" w:hAnsi="Times New Roman" w:cs="Times New Roman"/>
          <w:sz w:val="24"/>
          <w:szCs w:val="24"/>
        </w:rPr>
        <w:t>Princeton University Press, Princeton, N.J.</w:t>
      </w:r>
    </w:p>
    <w:p w14:paraId="33D0ADBE"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Duffie</w:t>
      </w:r>
      <w:proofErr w:type="spellEnd"/>
      <w:r w:rsidRPr="00F717E4">
        <w:rPr>
          <w:rFonts w:ascii="Times New Roman" w:hAnsi="Times New Roman" w:cs="Times New Roman"/>
          <w:sz w:val="24"/>
          <w:szCs w:val="24"/>
        </w:rPr>
        <w:t xml:space="preserve">, Darrell, and Kenneth Singleton, 1993, Simulated moments estimation of Markov models of asset prices, </w:t>
      </w:r>
      <w:proofErr w:type="spellStart"/>
      <w:r w:rsidRPr="00F717E4">
        <w:rPr>
          <w:rFonts w:ascii="Times New Roman" w:hAnsi="Times New Roman" w:cs="Times New Roman"/>
          <w:sz w:val="24"/>
          <w:szCs w:val="24"/>
        </w:rPr>
        <w:t>Econometrica</w:t>
      </w:r>
      <w:proofErr w:type="spellEnd"/>
      <w:r w:rsidRPr="00F717E4">
        <w:rPr>
          <w:rFonts w:ascii="Times New Roman" w:hAnsi="Times New Roman" w:cs="Times New Roman"/>
          <w:sz w:val="24"/>
          <w:szCs w:val="24"/>
        </w:rPr>
        <w:t xml:space="preserve"> 61, 929–952. </w:t>
      </w:r>
    </w:p>
    <w:p w14:paraId="67A62F7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Dynan,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K.E.,</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Elmendorf,</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D.W.,</w:t>
      </w:r>
      <w:r w:rsidRPr="006545C7">
        <w:rPr>
          <w:rFonts w:ascii="Times New Roman" w:hAnsi="Times New Roman" w:cs="Times New Roman"/>
          <w:spacing w:val="-10"/>
          <w:w w:val="105"/>
          <w:sz w:val="24"/>
          <w:szCs w:val="24"/>
        </w:rPr>
        <w:t xml:space="preserve"> </w:t>
      </w:r>
      <w:proofErr w:type="spellStart"/>
      <w:r w:rsidRPr="006545C7">
        <w:rPr>
          <w:rFonts w:ascii="Times New Roman" w:hAnsi="Times New Roman" w:cs="Times New Roman"/>
          <w:w w:val="105"/>
          <w:sz w:val="24"/>
          <w:szCs w:val="24"/>
        </w:rPr>
        <w:t>Sichel</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D.E.,</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Can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innovation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help</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to</w:t>
      </w:r>
      <w:r w:rsidRPr="006545C7">
        <w:rPr>
          <w:rFonts w:ascii="Times New Roman" w:hAnsi="Times New Roman" w:cs="Times New Roman"/>
          <w:w w:val="110"/>
          <w:sz w:val="24"/>
          <w:szCs w:val="24"/>
        </w:rPr>
        <w:t xml:space="preserve"> </w:t>
      </w:r>
      <w:r w:rsidRPr="006545C7">
        <w:rPr>
          <w:rFonts w:ascii="Times New Roman" w:hAnsi="Times New Roman" w:cs="Times New Roman"/>
          <w:w w:val="105"/>
          <w:sz w:val="24"/>
          <w:szCs w:val="24"/>
        </w:rPr>
        <w:t>explain</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reduced</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volatility of</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economic</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growth?</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6"/>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6"/>
          <w:w w:val="105"/>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spacing w:val="6"/>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53,</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123–150.</w:t>
      </w:r>
    </w:p>
    <w:p w14:paraId="6D7788BF"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i/>
          <w:iCs/>
          <w:w w:val="105"/>
          <w:sz w:val="24"/>
          <w:szCs w:val="24"/>
        </w:rPr>
        <w:lastRenderedPageBreak/>
        <w:t>Economic</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Theory</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27,</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107–142.</w:t>
      </w:r>
    </w:p>
    <w:p w14:paraId="1DC6012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English,</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rate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net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margins.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Quarterly</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December,</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67–82.</w:t>
      </w:r>
    </w:p>
    <w:p w14:paraId="5026C8B9"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Enria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A.,</w:t>
      </w:r>
      <w:r w:rsidRPr="006545C7">
        <w:rPr>
          <w:rFonts w:ascii="Times New Roman" w:hAnsi="Times New Roman" w:cs="Times New Roman"/>
          <w:spacing w:val="-14"/>
          <w:sz w:val="24"/>
          <w:szCs w:val="24"/>
          <w:lang w:val="es-AR"/>
        </w:rPr>
        <w:t xml:space="preserve"> </w:t>
      </w:r>
      <w:proofErr w:type="spellStart"/>
      <w:r w:rsidRPr="006545C7">
        <w:rPr>
          <w:rFonts w:ascii="Times New Roman" w:hAnsi="Times New Roman" w:cs="Times New Roman"/>
          <w:sz w:val="24"/>
          <w:szCs w:val="24"/>
          <w:lang w:val="es-AR"/>
        </w:rPr>
        <w:t>Cappiello</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L.,</w:t>
      </w:r>
      <w:r w:rsidRPr="006545C7">
        <w:rPr>
          <w:rFonts w:ascii="Times New Roman" w:hAnsi="Times New Roman" w:cs="Times New Roman"/>
          <w:spacing w:val="-14"/>
          <w:sz w:val="24"/>
          <w:szCs w:val="24"/>
          <w:lang w:val="es-AR"/>
        </w:rPr>
        <w:t xml:space="preserve"> </w:t>
      </w:r>
      <w:proofErr w:type="spellStart"/>
      <w:r w:rsidRPr="006545C7">
        <w:rPr>
          <w:rFonts w:ascii="Times New Roman" w:hAnsi="Times New Roman" w:cs="Times New Roman"/>
          <w:sz w:val="24"/>
          <w:szCs w:val="24"/>
          <w:lang w:val="es-AR"/>
        </w:rPr>
        <w:t>Dierick</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F.,</w:t>
      </w:r>
      <w:r w:rsidRPr="006545C7">
        <w:rPr>
          <w:rFonts w:ascii="Times New Roman" w:hAnsi="Times New Roman" w:cs="Times New Roman"/>
          <w:spacing w:val="-13"/>
          <w:sz w:val="24"/>
          <w:szCs w:val="24"/>
          <w:lang w:val="es-AR"/>
        </w:rPr>
        <w:t xml:space="preserve"> </w:t>
      </w:r>
      <w:r w:rsidRPr="006545C7">
        <w:rPr>
          <w:rFonts w:ascii="Times New Roman" w:hAnsi="Times New Roman" w:cs="Times New Roman"/>
          <w:sz w:val="24"/>
          <w:szCs w:val="24"/>
          <w:lang w:val="es-AR"/>
        </w:rPr>
        <w:t>Sergio,</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G.,</w:t>
      </w:r>
      <w:r w:rsidRPr="006545C7">
        <w:rPr>
          <w:rFonts w:ascii="Times New Roman" w:hAnsi="Times New Roman" w:cs="Times New Roman"/>
          <w:spacing w:val="-14"/>
          <w:sz w:val="24"/>
          <w:szCs w:val="24"/>
          <w:lang w:val="es-AR"/>
        </w:rPr>
        <w:t xml:space="preserve"> </w:t>
      </w:r>
      <w:proofErr w:type="spellStart"/>
      <w:r w:rsidRPr="006545C7">
        <w:rPr>
          <w:rFonts w:ascii="Times New Roman" w:hAnsi="Times New Roman" w:cs="Times New Roman"/>
          <w:sz w:val="24"/>
          <w:szCs w:val="24"/>
          <w:lang w:val="es-AR"/>
        </w:rPr>
        <w:t>Haralambous</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A.,</w:t>
      </w:r>
      <w:r w:rsidRPr="006545C7">
        <w:rPr>
          <w:rFonts w:ascii="Times New Roman" w:hAnsi="Times New Roman" w:cs="Times New Roman"/>
          <w:spacing w:val="-14"/>
          <w:sz w:val="24"/>
          <w:szCs w:val="24"/>
          <w:lang w:val="es-AR"/>
        </w:rPr>
        <w:t xml:space="preserve"> </w:t>
      </w:r>
      <w:proofErr w:type="spellStart"/>
      <w:r w:rsidRPr="006545C7">
        <w:rPr>
          <w:rFonts w:ascii="Times New Roman" w:hAnsi="Times New Roman" w:cs="Times New Roman"/>
          <w:sz w:val="24"/>
          <w:szCs w:val="24"/>
          <w:lang w:val="es-AR"/>
        </w:rPr>
        <w:t>Maddaloni</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4"/>
          <w:sz w:val="24"/>
          <w:szCs w:val="24"/>
          <w:lang w:val="es-AR"/>
        </w:rPr>
        <w:t xml:space="preserve"> </w:t>
      </w:r>
      <w:r w:rsidRPr="006545C7">
        <w:rPr>
          <w:rFonts w:ascii="Times New Roman" w:hAnsi="Times New Roman" w:cs="Times New Roman"/>
          <w:sz w:val="24"/>
          <w:szCs w:val="24"/>
          <w:lang w:val="es-AR"/>
        </w:rPr>
        <w:t>A.,</w:t>
      </w:r>
      <w:r w:rsidRPr="006545C7">
        <w:rPr>
          <w:rFonts w:ascii="Times New Roman" w:hAnsi="Times New Roman" w:cs="Times New Roman"/>
          <w:spacing w:val="-13"/>
          <w:sz w:val="24"/>
          <w:szCs w:val="24"/>
          <w:lang w:val="es-AR"/>
        </w:rPr>
        <w:t xml:space="preserve"> </w:t>
      </w:r>
      <w:proofErr w:type="spellStart"/>
      <w:r w:rsidRPr="006545C7">
        <w:rPr>
          <w:rFonts w:ascii="Times New Roman" w:hAnsi="Times New Roman" w:cs="Times New Roman"/>
          <w:sz w:val="24"/>
          <w:szCs w:val="24"/>
          <w:lang w:val="es-AR"/>
        </w:rPr>
        <w:t>Molitor</w:t>
      </w:r>
      <w:proofErr w:type="spellEnd"/>
      <w:r w:rsidRPr="006545C7">
        <w:rPr>
          <w:rFonts w:ascii="Times New Roman" w:hAnsi="Times New Roman" w:cs="Times New Roman"/>
          <w:sz w:val="24"/>
          <w:szCs w:val="24"/>
          <w:lang w:val="es-AR"/>
        </w:rPr>
        <w:t>,</w:t>
      </w:r>
      <w:r w:rsidRPr="006545C7">
        <w:rPr>
          <w:rFonts w:ascii="Times New Roman" w:hAnsi="Times New Roman" w:cs="Times New Roman"/>
          <w:w w:val="107"/>
          <w:sz w:val="24"/>
          <w:szCs w:val="24"/>
          <w:lang w:val="es-AR"/>
        </w:rPr>
        <w:t xml:space="preserve"> </w:t>
      </w:r>
      <w:r w:rsidRPr="006545C7">
        <w:rPr>
          <w:rFonts w:ascii="Times New Roman" w:hAnsi="Times New Roman" w:cs="Times New Roman"/>
          <w:sz w:val="24"/>
          <w:szCs w:val="24"/>
          <w:lang w:val="es-AR"/>
        </w:rPr>
        <w:t>P.,</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Pires,</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F.,</w:t>
      </w:r>
      <w:r w:rsidRPr="006545C7">
        <w:rPr>
          <w:rFonts w:ascii="Times New Roman" w:hAnsi="Times New Roman" w:cs="Times New Roman"/>
          <w:spacing w:val="7"/>
          <w:sz w:val="24"/>
          <w:szCs w:val="24"/>
          <w:lang w:val="es-AR"/>
        </w:rPr>
        <w:t xml:space="preserve"> </w:t>
      </w:r>
      <w:proofErr w:type="spellStart"/>
      <w:r w:rsidRPr="006545C7">
        <w:rPr>
          <w:rFonts w:ascii="Times New Roman" w:hAnsi="Times New Roman" w:cs="Times New Roman"/>
          <w:sz w:val="24"/>
          <w:szCs w:val="24"/>
          <w:lang w:val="es-AR"/>
        </w:rPr>
        <w:t>Poloni</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P.,</w:t>
      </w:r>
      <w:r w:rsidRPr="006545C7">
        <w:rPr>
          <w:rFonts w:ascii="Times New Roman" w:hAnsi="Times New Roman" w:cs="Times New Roman"/>
          <w:spacing w:val="6"/>
          <w:sz w:val="24"/>
          <w:szCs w:val="24"/>
          <w:lang w:val="es-AR"/>
        </w:rPr>
        <w:t xml:space="preserve"> </w:t>
      </w:r>
      <w:r w:rsidRPr="006545C7">
        <w:rPr>
          <w:rFonts w:ascii="Times New Roman" w:hAnsi="Times New Roman" w:cs="Times New Roman"/>
          <w:sz w:val="24"/>
          <w:szCs w:val="24"/>
          <w:lang w:val="es-AR"/>
        </w:rPr>
        <w:t>2004.</w:t>
      </w:r>
      <w:r w:rsidRPr="006545C7">
        <w:rPr>
          <w:rFonts w:ascii="Times New Roman" w:hAnsi="Times New Roman" w:cs="Times New Roman"/>
          <w:spacing w:val="7"/>
          <w:sz w:val="24"/>
          <w:szCs w:val="24"/>
          <w:lang w:val="es-AR"/>
        </w:rPr>
        <w:t xml:space="preserve"> </w:t>
      </w:r>
      <w:r w:rsidRPr="006545C7">
        <w:rPr>
          <w:rFonts w:ascii="Times New Roman" w:hAnsi="Times New Roman" w:cs="Times New Roman"/>
          <w:sz w:val="24"/>
          <w:szCs w:val="24"/>
        </w:rPr>
        <w:t>Fair</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value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accounting</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stability.</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ECB</w:t>
      </w:r>
      <w:r w:rsidRPr="006545C7">
        <w:rPr>
          <w:rFonts w:ascii="Times New Roman" w:hAnsi="Times New Roman" w:cs="Times New Roman"/>
          <w:i/>
          <w:iCs/>
          <w:w w:val="88"/>
          <w:sz w:val="24"/>
          <w:szCs w:val="24"/>
        </w:rPr>
        <w:t xml:space="preserve"> </w:t>
      </w:r>
      <w:r w:rsidRPr="006545C7">
        <w:rPr>
          <w:rFonts w:ascii="Times New Roman" w:hAnsi="Times New Roman" w:cs="Times New Roman"/>
          <w:i/>
          <w:iCs/>
          <w:sz w:val="24"/>
          <w:szCs w:val="24"/>
        </w:rPr>
        <w:t>Occasional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13.</w:t>
      </w:r>
    </w:p>
    <w:p w14:paraId="7AEF4AB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Estrella,</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Securitization</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efficacy</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i/>
          <w:iCs/>
          <w:w w:val="105"/>
          <w:sz w:val="24"/>
          <w:szCs w:val="24"/>
        </w:rPr>
        <w:t>FRBNY</w:t>
      </w:r>
      <w:r w:rsidRPr="006545C7">
        <w:rPr>
          <w:rFonts w:ascii="Times New Roman" w:hAnsi="Times New Roman" w:cs="Times New Roman"/>
          <w:i/>
          <w:iCs/>
          <w:spacing w:val="-2"/>
          <w:w w:val="105"/>
          <w:sz w:val="24"/>
          <w:szCs w:val="24"/>
        </w:rPr>
        <w:t xml:space="preserve"> </w:t>
      </w:r>
      <w:r w:rsidRPr="006545C7">
        <w:rPr>
          <w:rFonts w:ascii="Times New Roman" w:hAnsi="Times New Roman" w:cs="Times New Roman"/>
          <w:i/>
          <w:iCs/>
          <w:w w:val="105"/>
          <w:sz w:val="24"/>
          <w:szCs w:val="24"/>
        </w:rPr>
        <w:t>Eco-</w:t>
      </w:r>
      <w:r w:rsidRPr="006545C7">
        <w:rPr>
          <w:rFonts w:ascii="Times New Roman" w:hAnsi="Times New Roman" w:cs="Times New Roman"/>
          <w:i/>
          <w:iCs/>
          <w:w w:val="101"/>
          <w:sz w:val="24"/>
          <w:szCs w:val="24"/>
        </w:rPr>
        <w:t xml:space="preserve"> </w:t>
      </w:r>
      <w:r w:rsidRPr="006545C7">
        <w:rPr>
          <w:rFonts w:ascii="Times New Roman" w:hAnsi="Times New Roman" w:cs="Times New Roman"/>
          <w:i/>
          <w:iCs/>
          <w:w w:val="105"/>
          <w:sz w:val="24"/>
          <w:szCs w:val="24"/>
        </w:rPr>
        <w:t>nomic</w:t>
      </w:r>
      <w:r w:rsidRPr="006545C7">
        <w:rPr>
          <w:rFonts w:ascii="Times New Roman" w:hAnsi="Times New Roman" w:cs="Times New Roman"/>
          <w:i/>
          <w:iCs/>
          <w:spacing w:val="-2"/>
          <w:w w:val="105"/>
          <w:sz w:val="24"/>
          <w:szCs w:val="24"/>
        </w:rPr>
        <w:t xml:space="preserve"> </w:t>
      </w:r>
      <w:r w:rsidRPr="006545C7">
        <w:rPr>
          <w:rFonts w:ascii="Times New Roman" w:hAnsi="Times New Roman" w:cs="Times New Roman"/>
          <w:i/>
          <w:iCs/>
          <w:w w:val="105"/>
          <w:sz w:val="24"/>
          <w:szCs w:val="24"/>
        </w:rPr>
        <w:t>Policy</w:t>
      </w:r>
      <w:r w:rsidRPr="006545C7">
        <w:rPr>
          <w:rFonts w:ascii="Times New Roman" w:hAnsi="Times New Roman" w:cs="Times New Roman"/>
          <w:i/>
          <w:iCs/>
          <w:spacing w:val="-2"/>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w w:val="105"/>
          <w:sz w:val="24"/>
          <w:szCs w:val="24"/>
        </w:rPr>
        <w: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243–255.</w:t>
      </w:r>
    </w:p>
    <w:p w14:paraId="4911D20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Estrella,</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cyclical</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behaviour</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optimal</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i/>
          <w:iCs/>
          <w:w w:val="105"/>
          <w:sz w:val="24"/>
          <w:szCs w:val="24"/>
        </w:rPr>
        <w:t>.</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5"/>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w w:val="105"/>
          <w:sz w:val="24"/>
          <w:szCs w:val="24"/>
        </w:rPr>
        <w:t>28,</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1469–1498.</w:t>
      </w:r>
    </w:p>
    <w:p w14:paraId="4BB2388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European</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Central</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Transfer</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by</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EU</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Banks:</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i/>
          <w:iCs/>
          <w:w w:val="105"/>
          <w:sz w:val="24"/>
          <w:szCs w:val="24"/>
        </w:rPr>
        <w:t>Activities,</w:t>
      </w:r>
      <w:r w:rsidRPr="006545C7">
        <w:rPr>
          <w:rFonts w:ascii="Times New Roman" w:hAnsi="Times New Roman" w:cs="Times New Roman"/>
          <w:i/>
          <w:iCs/>
          <w:spacing w:val="-30"/>
          <w:w w:val="105"/>
          <w:sz w:val="24"/>
          <w:szCs w:val="24"/>
        </w:rPr>
        <w:t xml:space="preserve"> </w:t>
      </w:r>
      <w:r w:rsidRPr="006545C7">
        <w:rPr>
          <w:rFonts w:ascii="Times New Roman" w:hAnsi="Times New Roman" w:cs="Times New Roman"/>
          <w:i/>
          <w:iCs/>
          <w:w w:val="105"/>
          <w:sz w:val="24"/>
          <w:szCs w:val="24"/>
        </w:rPr>
        <w:t>Risks</w:t>
      </w:r>
      <w:r w:rsidRPr="006545C7">
        <w:rPr>
          <w:rFonts w:ascii="Times New Roman" w:hAnsi="Times New Roman" w:cs="Times New Roman"/>
          <w:i/>
          <w:iCs/>
          <w:spacing w:val="-29"/>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w w:val="102"/>
          <w:sz w:val="24"/>
          <w:szCs w:val="24"/>
        </w:rPr>
        <w:t xml:space="preserve"> </w:t>
      </w:r>
      <w:r w:rsidRPr="006545C7">
        <w:rPr>
          <w:rFonts w:ascii="Times New Roman" w:hAnsi="Times New Roman" w:cs="Times New Roman"/>
          <w:i/>
          <w:iCs/>
          <w:w w:val="105"/>
          <w:sz w:val="24"/>
          <w:szCs w:val="24"/>
        </w:rPr>
        <w:t>Risk</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Management</w:t>
      </w:r>
      <w:r w:rsidRPr="006545C7">
        <w:rPr>
          <w:rFonts w:ascii="Times New Roman" w:hAnsi="Times New Roman" w:cs="Times New Roman"/>
          <w:w w:val="105"/>
          <w:sz w:val="24"/>
          <w:szCs w:val="24"/>
        </w:rPr>
        <w:t>.</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Report.</w:t>
      </w:r>
    </w:p>
    <w:p w14:paraId="0F2F1D16"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Fan, H., and Suresh M. </w:t>
      </w:r>
      <w:proofErr w:type="spellStart"/>
      <w:r w:rsidRPr="00F717E4">
        <w:rPr>
          <w:rFonts w:ascii="Times New Roman" w:hAnsi="Times New Roman" w:cs="Times New Roman"/>
          <w:sz w:val="24"/>
          <w:szCs w:val="24"/>
        </w:rPr>
        <w:t>Sundaresan</w:t>
      </w:r>
      <w:proofErr w:type="spellEnd"/>
      <w:r w:rsidRPr="00F717E4">
        <w:rPr>
          <w:rFonts w:ascii="Times New Roman" w:hAnsi="Times New Roman" w:cs="Times New Roman"/>
          <w:sz w:val="24"/>
          <w:szCs w:val="24"/>
        </w:rPr>
        <w:t xml:space="preserve">, 1999, Debt valuation, renegotiations and optimal dividend policy, Working paper, Columbia University. </w:t>
      </w:r>
    </w:p>
    <w:p w14:paraId="1D7B9582"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Fan, Hua, and Suresh M. </w:t>
      </w:r>
      <w:proofErr w:type="spellStart"/>
      <w:r w:rsidRPr="00F717E4">
        <w:rPr>
          <w:rFonts w:ascii="Times New Roman" w:hAnsi="Times New Roman" w:cs="Times New Roman"/>
          <w:sz w:val="24"/>
          <w:szCs w:val="24"/>
        </w:rPr>
        <w:t>Sundaresan</w:t>
      </w:r>
      <w:proofErr w:type="spellEnd"/>
      <w:r w:rsidRPr="00F717E4">
        <w:rPr>
          <w:rFonts w:ascii="Times New Roman" w:hAnsi="Times New Roman" w:cs="Times New Roman"/>
          <w:sz w:val="24"/>
          <w:szCs w:val="24"/>
        </w:rPr>
        <w:t>, 1999, Debt valuation, renegotiations and optimal dividend policy</w:t>
      </w:r>
      <w:r w:rsidRPr="008329B9">
        <w:rPr>
          <w:rFonts w:ascii="Times New Roman" w:hAnsi="Times New Roman" w:cs="Times New Roman"/>
          <w:i/>
          <w:sz w:val="24"/>
          <w:szCs w:val="24"/>
        </w:rPr>
        <w:t>, Review of Financial Studies</w:t>
      </w:r>
      <w:r w:rsidRPr="00F717E4">
        <w:rPr>
          <w:rFonts w:ascii="Times New Roman" w:hAnsi="Times New Roman" w:cs="Times New Roman"/>
          <w:sz w:val="24"/>
          <w:szCs w:val="24"/>
        </w:rPr>
        <w:t xml:space="preserve">, forthcoming. </w:t>
      </w:r>
    </w:p>
    <w:p w14:paraId="29235EC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Farhi,</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6"/>
          <w:sz w:val="24"/>
          <w:szCs w:val="24"/>
        </w:rPr>
        <w:t xml:space="preserve"> </w:t>
      </w:r>
      <w:proofErr w:type="spellStart"/>
      <w:r w:rsidRPr="006545C7">
        <w:rPr>
          <w:rFonts w:ascii="Times New Roman" w:hAnsi="Times New Roman" w:cs="Times New Roman"/>
          <w:sz w:val="24"/>
          <w:szCs w:val="24"/>
        </w:rPr>
        <w:t>Tirole</w:t>
      </w:r>
      <w:proofErr w:type="spellEnd"/>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2009.</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Leverage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Central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Banker’s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put.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American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Economic</w:t>
      </w:r>
      <w:r w:rsidRPr="006545C7">
        <w:rPr>
          <w:rFonts w:ascii="Times New Roman" w:hAnsi="Times New Roman" w:cs="Times New Roman"/>
          <w:w w:val="103"/>
          <w:sz w:val="24"/>
          <w:szCs w:val="24"/>
        </w:rPr>
        <w:t xml:space="preserve"> </w:t>
      </w:r>
      <w:r w:rsidRPr="006545C7">
        <w:rPr>
          <w:rFonts w:ascii="Times New Roman" w:hAnsi="Times New Roman" w:cs="Times New Roman"/>
          <w:sz w:val="24"/>
          <w:szCs w:val="24"/>
        </w:rPr>
        <w:t>Review</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99,</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589–593.</w:t>
      </w:r>
    </w:p>
    <w:p w14:paraId="4CF74411"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Fazzari</w:t>
      </w:r>
      <w:proofErr w:type="spellEnd"/>
      <w:r w:rsidRPr="006545C7">
        <w:rPr>
          <w:rFonts w:ascii="Times New Roman" w:hAnsi="Times New Roman" w:cs="Times New Roman"/>
          <w:sz w:val="24"/>
          <w:szCs w:val="24"/>
        </w:rPr>
        <w: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Hubbard,</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Petersen,</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1988.</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Financing</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constraints</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corporate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investment.</w:t>
      </w:r>
      <w:r w:rsidRPr="006545C7">
        <w:rPr>
          <w:rFonts w:ascii="Times New Roman" w:hAnsi="Times New Roman" w:cs="Times New Roman"/>
          <w:spacing w:val="13"/>
          <w:sz w:val="24"/>
          <w:szCs w:val="24"/>
        </w:rPr>
        <w:t xml:space="preserve"> </w:t>
      </w:r>
      <w:r w:rsidRPr="006545C7">
        <w:rPr>
          <w:rFonts w:ascii="Times New Roman" w:hAnsi="Times New Roman" w:cs="Times New Roman"/>
          <w:i/>
          <w:iCs/>
          <w:sz w:val="24"/>
          <w:szCs w:val="24"/>
        </w:rPr>
        <w:t>Brookings</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Papers</w:t>
      </w:r>
      <w:r w:rsidRPr="006545C7">
        <w:rPr>
          <w:rFonts w:ascii="Times New Roman" w:hAnsi="Times New Roman" w:cs="Times New Roman"/>
          <w:i/>
          <w:iCs/>
          <w:spacing w:val="14"/>
          <w:sz w:val="24"/>
          <w:szCs w:val="24"/>
        </w:rPr>
        <w:t xml:space="preserve"> </w:t>
      </w:r>
      <w:r w:rsidRPr="006545C7">
        <w:rPr>
          <w:rFonts w:ascii="Times New Roman" w:hAnsi="Times New Roman" w:cs="Times New Roman"/>
          <w:i/>
          <w:iCs/>
          <w:sz w:val="24"/>
          <w:szCs w:val="24"/>
        </w:rPr>
        <w:t>on</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Activity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1,</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141–195.</w:t>
      </w:r>
    </w:p>
    <w:p w14:paraId="44FB293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Filardo,</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2011.</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impact</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international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crisis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Asia</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Pacific:</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highlighting</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challenges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from</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an</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asset</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price</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bubble</w:t>
      </w:r>
      <w:r w:rsidRPr="006545C7">
        <w:rPr>
          <w:rFonts w:ascii="Times New Roman" w:hAnsi="Times New Roman" w:cs="Times New Roman"/>
          <w:w w:val="104"/>
          <w:sz w:val="24"/>
          <w:szCs w:val="24"/>
        </w:rPr>
        <w:t xml:space="preserve"> </w:t>
      </w:r>
      <w:r w:rsidRPr="006545C7">
        <w:rPr>
          <w:rFonts w:ascii="Times New Roman" w:hAnsi="Times New Roman" w:cs="Times New Roman"/>
          <w:w w:val="105"/>
          <w:sz w:val="24"/>
          <w:szCs w:val="24"/>
        </w:rPr>
        <w:t>perspective.</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i/>
          <w:iCs/>
          <w:w w:val="105"/>
          <w:sz w:val="24"/>
          <w:szCs w:val="24"/>
        </w:rPr>
        <w:t>Mimeo</w:t>
      </w:r>
      <w:r w:rsidRPr="006545C7">
        <w:rPr>
          <w:rFonts w:ascii="Times New Roman" w:hAnsi="Times New Roman" w:cs="Times New Roman"/>
          <w:w w:val="105"/>
          <w:sz w:val="24"/>
          <w:szCs w:val="24"/>
        </w:rPr>
        <w:t>.</w:t>
      </w:r>
    </w:p>
    <w:p w14:paraId="726962DE"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Foos</w:t>
      </w:r>
      <w:proofErr w:type="spellEnd"/>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Norden,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Weber,</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2010.</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Loan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growth</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riskiness</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34,</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2929–2940.</w:t>
      </w:r>
    </w:p>
    <w:p w14:paraId="5002E5D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Friedman,</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1959.</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demand</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some</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theoretical</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empirical</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 xml:space="preserve">results.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Political</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Economy</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67,</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327–351.</w:t>
      </w:r>
    </w:p>
    <w:p w14:paraId="1A3776D8"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Fries, S. M., M. Miller, and W. R. M. </w:t>
      </w:r>
      <w:proofErr w:type="spellStart"/>
      <w:r w:rsidRPr="00F717E4">
        <w:rPr>
          <w:rFonts w:ascii="Times New Roman" w:hAnsi="Times New Roman" w:cs="Times New Roman"/>
          <w:sz w:val="24"/>
          <w:szCs w:val="24"/>
        </w:rPr>
        <w:t>Perraudin</w:t>
      </w:r>
      <w:proofErr w:type="spellEnd"/>
      <w:r w:rsidRPr="00F717E4">
        <w:rPr>
          <w:rFonts w:ascii="Times New Roman" w:hAnsi="Times New Roman" w:cs="Times New Roman"/>
          <w:sz w:val="24"/>
          <w:szCs w:val="24"/>
        </w:rPr>
        <w:t xml:space="preserve">, 1997, Debt pricing in industry equilibrium, Review of Financial Studies 10, 39–68. </w:t>
      </w:r>
    </w:p>
    <w:p w14:paraId="5CD6EFDE" w14:textId="77777777" w:rsidR="00F717E4"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Froot,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K.,</w:t>
      </w:r>
      <w:r w:rsidRPr="006545C7">
        <w:rPr>
          <w:rFonts w:ascii="Times New Roman" w:hAnsi="Times New Roman" w:cs="Times New Roman"/>
          <w:spacing w:val="9"/>
          <w:sz w:val="24"/>
          <w:szCs w:val="24"/>
        </w:rPr>
        <w:t xml:space="preserve"> </w:t>
      </w:r>
      <w:proofErr w:type="spellStart"/>
      <w:r w:rsidRPr="006545C7">
        <w:rPr>
          <w:rFonts w:ascii="Times New Roman" w:hAnsi="Times New Roman" w:cs="Times New Roman"/>
          <w:sz w:val="24"/>
          <w:szCs w:val="24"/>
        </w:rPr>
        <w:t>Scharfstein</w:t>
      </w:r>
      <w:proofErr w:type="spellEnd"/>
      <w:r w:rsidRPr="006545C7">
        <w:rPr>
          <w:rFonts w:ascii="Times New Roman" w:hAnsi="Times New Roman" w:cs="Times New Roman"/>
          <w:sz w:val="24"/>
          <w:szCs w:val="24"/>
        </w:rPr>
        <w: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Stein,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1993.</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management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coordinating</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corporate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investment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financing</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policies</w:t>
      </w:r>
      <w:r w:rsidRPr="006545C7">
        <w:rPr>
          <w:rFonts w:ascii="Times New Roman" w:hAnsi="Times New Roman" w:cs="Times New Roman"/>
          <w:i/>
          <w:iCs/>
          <w:sz w:val="24"/>
          <w:szCs w:val="24"/>
        </w:rPr>
        <w:t>.</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48,</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1629–1658.</w:t>
      </w:r>
    </w:p>
    <w:p w14:paraId="3CBD08B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Furfine</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2001.</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portfolio</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allocation: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impact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w w:val="104"/>
          <w:sz w:val="24"/>
          <w:szCs w:val="24"/>
        </w:rPr>
        <w:t xml:space="preserve"> </w:t>
      </w:r>
      <w:r w:rsidRPr="006545C7">
        <w:rPr>
          <w:rFonts w:ascii="Times New Roman" w:hAnsi="Times New Roman" w:cs="Times New Roman"/>
          <w:w w:val="105"/>
          <w:sz w:val="24"/>
          <w:szCs w:val="24"/>
        </w:rPr>
        <w:t>regulatory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monitoring,</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economic</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conditions.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Services</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w w:val="105"/>
          <w:sz w:val="24"/>
          <w:szCs w:val="24"/>
        </w:rPr>
        <w:t>Research</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20,</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33–56.</w:t>
      </w:r>
    </w:p>
    <w:p w14:paraId="3B0431F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Furlong,</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Keeley,</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1989.</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risk-taking:</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note.</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13,</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883–891.</w:t>
      </w:r>
    </w:p>
    <w:p w14:paraId="2AFEAB20"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Gallant, A. Ronald, and George </w:t>
      </w:r>
      <w:proofErr w:type="spellStart"/>
      <w:r w:rsidRPr="00F717E4">
        <w:rPr>
          <w:rFonts w:ascii="Times New Roman" w:hAnsi="Times New Roman" w:cs="Times New Roman"/>
          <w:sz w:val="24"/>
          <w:szCs w:val="24"/>
        </w:rPr>
        <w:t>Tauchen</w:t>
      </w:r>
      <w:proofErr w:type="spellEnd"/>
      <w:r w:rsidRPr="00F717E4">
        <w:rPr>
          <w:rFonts w:ascii="Times New Roman" w:hAnsi="Times New Roman" w:cs="Times New Roman"/>
          <w:sz w:val="24"/>
          <w:szCs w:val="24"/>
        </w:rPr>
        <w:t xml:space="preserve">, 1996, Which moments to match, </w:t>
      </w:r>
      <w:r w:rsidRPr="008329B9">
        <w:rPr>
          <w:rFonts w:ascii="Times New Roman" w:hAnsi="Times New Roman" w:cs="Times New Roman"/>
          <w:i/>
          <w:sz w:val="24"/>
          <w:szCs w:val="24"/>
        </w:rPr>
        <w:t xml:space="preserve">Econometric Theory </w:t>
      </w:r>
      <w:r w:rsidRPr="00F717E4">
        <w:rPr>
          <w:rFonts w:ascii="Times New Roman" w:hAnsi="Times New Roman" w:cs="Times New Roman"/>
          <w:sz w:val="24"/>
          <w:szCs w:val="24"/>
        </w:rPr>
        <w:t xml:space="preserve">12, 657–681. </w:t>
      </w:r>
    </w:p>
    <w:p w14:paraId="06F7B9E7"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Gallant, A. Ronald, and George </w:t>
      </w:r>
      <w:proofErr w:type="spellStart"/>
      <w:r w:rsidRPr="00F717E4">
        <w:rPr>
          <w:rFonts w:ascii="Times New Roman" w:hAnsi="Times New Roman" w:cs="Times New Roman"/>
          <w:sz w:val="24"/>
          <w:szCs w:val="24"/>
        </w:rPr>
        <w:t>Tauchen</w:t>
      </w:r>
      <w:proofErr w:type="spellEnd"/>
      <w:r w:rsidRPr="00F717E4">
        <w:rPr>
          <w:rFonts w:ascii="Times New Roman" w:hAnsi="Times New Roman" w:cs="Times New Roman"/>
          <w:sz w:val="24"/>
          <w:szCs w:val="24"/>
        </w:rPr>
        <w:t xml:space="preserve">, 1997a, Estimation of continuous-time models for stock returns and interest rates, </w:t>
      </w:r>
      <w:r w:rsidRPr="008329B9">
        <w:rPr>
          <w:rFonts w:ascii="Times New Roman" w:hAnsi="Times New Roman" w:cs="Times New Roman"/>
          <w:i/>
          <w:sz w:val="24"/>
          <w:szCs w:val="24"/>
        </w:rPr>
        <w:t>Macroeconomic Dynamics</w:t>
      </w:r>
      <w:r w:rsidRPr="00F717E4">
        <w:rPr>
          <w:rFonts w:ascii="Times New Roman" w:hAnsi="Times New Roman" w:cs="Times New Roman"/>
          <w:sz w:val="24"/>
          <w:szCs w:val="24"/>
        </w:rPr>
        <w:t xml:space="preserve"> 1, 135–168. </w:t>
      </w:r>
    </w:p>
    <w:p w14:paraId="68A38D23"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Gallant, A. Ronald, and George </w:t>
      </w:r>
      <w:proofErr w:type="spellStart"/>
      <w:r w:rsidRPr="00F717E4">
        <w:rPr>
          <w:rFonts w:ascii="Times New Roman" w:hAnsi="Times New Roman" w:cs="Times New Roman"/>
          <w:sz w:val="24"/>
          <w:szCs w:val="24"/>
        </w:rPr>
        <w:t>Tauchen</w:t>
      </w:r>
      <w:proofErr w:type="spellEnd"/>
      <w:r w:rsidRPr="00F717E4">
        <w:rPr>
          <w:rFonts w:ascii="Times New Roman" w:hAnsi="Times New Roman" w:cs="Times New Roman"/>
          <w:sz w:val="24"/>
          <w:szCs w:val="24"/>
        </w:rPr>
        <w:t xml:space="preserve">, 1997b, Estimation of continuous time models for stock returns and interest rates, </w:t>
      </w:r>
      <w:r w:rsidRPr="008329B9">
        <w:rPr>
          <w:rFonts w:ascii="Times New Roman" w:hAnsi="Times New Roman" w:cs="Times New Roman"/>
          <w:i/>
          <w:sz w:val="24"/>
          <w:szCs w:val="24"/>
        </w:rPr>
        <w:t>Macroeconomic Dynamics</w:t>
      </w:r>
      <w:r w:rsidRPr="00F717E4">
        <w:rPr>
          <w:rFonts w:ascii="Times New Roman" w:hAnsi="Times New Roman" w:cs="Times New Roman"/>
          <w:sz w:val="24"/>
          <w:szCs w:val="24"/>
        </w:rPr>
        <w:t xml:space="preserve"> 1, 135–168.</w:t>
      </w:r>
    </w:p>
    <w:p w14:paraId="656A56B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4613E5">
        <w:rPr>
          <w:rFonts w:ascii="Times New Roman" w:hAnsi="Times New Roman" w:cs="Times New Roman"/>
          <w:sz w:val="24"/>
          <w:szCs w:val="24"/>
          <w:lang w:val="es-AR"/>
        </w:rPr>
        <w:t>Gambacorta</w:t>
      </w:r>
      <w:proofErr w:type="spellEnd"/>
      <w:r w:rsidRPr="004613E5">
        <w:rPr>
          <w:rFonts w:ascii="Times New Roman" w:hAnsi="Times New Roman" w:cs="Times New Roman"/>
          <w:sz w:val="24"/>
          <w:szCs w:val="24"/>
          <w:lang w:val="es-AR"/>
        </w:rPr>
        <w:t>,</w:t>
      </w:r>
      <w:r w:rsidRPr="004613E5">
        <w:rPr>
          <w:rFonts w:ascii="Times New Roman" w:hAnsi="Times New Roman" w:cs="Times New Roman"/>
          <w:spacing w:val="25"/>
          <w:sz w:val="24"/>
          <w:szCs w:val="24"/>
          <w:lang w:val="es-AR"/>
        </w:rPr>
        <w:t xml:space="preserve"> </w:t>
      </w:r>
      <w:r w:rsidRPr="004613E5">
        <w:rPr>
          <w:rFonts w:ascii="Times New Roman" w:hAnsi="Times New Roman" w:cs="Times New Roman"/>
          <w:sz w:val="24"/>
          <w:szCs w:val="24"/>
          <w:lang w:val="es-AR"/>
        </w:rPr>
        <w:t>L.,</w:t>
      </w:r>
      <w:r w:rsidRPr="004613E5">
        <w:rPr>
          <w:rFonts w:ascii="Times New Roman" w:hAnsi="Times New Roman" w:cs="Times New Roman"/>
          <w:spacing w:val="25"/>
          <w:sz w:val="24"/>
          <w:szCs w:val="24"/>
          <w:lang w:val="es-AR"/>
        </w:rPr>
        <w:t xml:space="preserve"> </w:t>
      </w:r>
      <w:proofErr w:type="spellStart"/>
      <w:r w:rsidRPr="004613E5">
        <w:rPr>
          <w:rFonts w:ascii="Times New Roman" w:hAnsi="Times New Roman" w:cs="Times New Roman"/>
          <w:sz w:val="24"/>
          <w:szCs w:val="24"/>
          <w:lang w:val="es-AR"/>
        </w:rPr>
        <w:t>Mistrulli</w:t>
      </w:r>
      <w:proofErr w:type="spellEnd"/>
      <w:r w:rsidRPr="004613E5">
        <w:rPr>
          <w:rFonts w:ascii="Times New Roman" w:hAnsi="Times New Roman" w:cs="Times New Roman"/>
          <w:sz w:val="24"/>
          <w:szCs w:val="24"/>
          <w:lang w:val="es-AR"/>
        </w:rPr>
        <w:t>,</w:t>
      </w:r>
      <w:r w:rsidRPr="004613E5">
        <w:rPr>
          <w:rFonts w:ascii="Times New Roman" w:hAnsi="Times New Roman" w:cs="Times New Roman"/>
          <w:spacing w:val="25"/>
          <w:sz w:val="24"/>
          <w:szCs w:val="24"/>
          <w:lang w:val="es-AR"/>
        </w:rPr>
        <w:t xml:space="preserve"> </w:t>
      </w:r>
      <w:r w:rsidRPr="004613E5">
        <w:rPr>
          <w:rFonts w:ascii="Times New Roman" w:hAnsi="Times New Roman" w:cs="Times New Roman"/>
          <w:sz w:val="24"/>
          <w:szCs w:val="24"/>
          <w:lang w:val="es-AR"/>
        </w:rPr>
        <w:t>P.E.,</w:t>
      </w:r>
      <w:r w:rsidRPr="004613E5">
        <w:rPr>
          <w:rFonts w:ascii="Times New Roman" w:hAnsi="Times New Roman" w:cs="Times New Roman"/>
          <w:spacing w:val="25"/>
          <w:sz w:val="24"/>
          <w:szCs w:val="24"/>
          <w:lang w:val="es-AR"/>
        </w:rPr>
        <w:t xml:space="preserve"> </w:t>
      </w:r>
      <w:r w:rsidRPr="004613E5">
        <w:rPr>
          <w:rFonts w:ascii="Times New Roman" w:hAnsi="Times New Roman" w:cs="Times New Roman"/>
          <w:sz w:val="24"/>
          <w:szCs w:val="24"/>
          <w:lang w:val="es-AR"/>
        </w:rPr>
        <w:t>2004.</w:t>
      </w:r>
      <w:r w:rsidRPr="004613E5">
        <w:rPr>
          <w:rFonts w:ascii="Times New Roman" w:hAnsi="Times New Roman" w:cs="Times New Roman"/>
          <w:spacing w:val="26"/>
          <w:sz w:val="24"/>
          <w:szCs w:val="24"/>
          <w:lang w:val="es-AR"/>
        </w:rPr>
        <w:t xml:space="preserve"> </w:t>
      </w:r>
      <w:r w:rsidRPr="006545C7">
        <w:rPr>
          <w:rFonts w:ascii="Times New Roman" w:hAnsi="Times New Roman" w:cs="Times New Roman"/>
          <w:sz w:val="24"/>
          <w:szCs w:val="24"/>
        </w:rPr>
        <w:t>Does</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affect</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behaviour?</w:t>
      </w:r>
    </w:p>
    <w:p w14:paraId="3B8DDD5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lastRenderedPageBreak/>
        <w:t>Gerali</w:t>
      </w:r>
      <w:proofErr w:type="spellEnd"/>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0"/>
          <w:sz w:val="24"/>
          <w:szCs w:val="24"/>
        </w:rPr>
        <w:t xml:space="preserve"> </w:t>
      </w:r>
      <w:proofErr w:type="spellStart"/>
      <w:r w:rsidRPr="006545C7">
        <w:rPr>
          <w:rFonts w:ascii="Times New Roman" w:hAnsi="Times New Roman" w:cs="Times New Roman"/>
          <w:sz w:val="24"/>
          <w:szCs w:val="24"/>
        </w:rPr>
        <w:t>Neri</w:t>
      </w:r>
      <w:proofErr w:type="spellEnd"/>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Sessa,</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Signoretti,</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F.,</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2010.</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banking</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DSGE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model</w:t>
      </w:r>
      <w:r w:rsidRPr="006545C7">
        <w:rPr>
          <w:rFonts w:ascii="Times New Roman" w:hAnsi="Times New Roman" w:cs="Times New Roman"/>
          <w:w w:val="109"/>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euro</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area.</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Money,</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Credit</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42,</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107–141.</w:t>
      </w:r>
    </w:p>
    <w:p w14:paraId="4C70F5D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Gertler,</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4"/>
          <w:w w:val="105"/>
          <w:sz w:val="24"/>
          <w:szCs w:val="24"/>
        </w:rPr>
        <w:t xml:space="preserve"> </w:t>
      </w:r>
      <w:proofErr w:type="spellStart"/>
      <w:r w:rsidRPr="006545C7">
        <w:rPr>
          <w:rFonts w:ascii="Times New Roman" w:hAnsi="Times New Roman" w:cs="Times New Roman"/>
          <w:w w:val="105"/>
          <w:sz w:val="24"/>
          <w:szCs w:val="24"/>
        </w:rPr>
        <w:t>Kiyotaki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2010.</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intermediation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business</w:t>
      </w:r>
      <w:r w:rsidRPr="006545C7">
        <w:rPr>
          <w:rFonts w:ascii="Times New Roman" w:hAnsi="Times New Roman" w:cs="Times New Roman"/>
          <w:sz w:val="24"/>
          <w:szCs w:val="24"/>
        </w:rPr>
        <w:t xml:space="preserve"> </w:t>
      </w:r>
      <w:r w:rsidRPr="006545C7">
        <w:rPr>
          <w:rFonts w:ascii="Times New Roman" w:hAnsi="Times New Roman" w:cs="Times New Roman"/>
          <w:w w:val="105"/>
          <w:sz w:val="24"/>
          <w:szCs w:val="24"/>
        </w:rPr>
        <w:t>cycle</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analysis.</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Friedman,</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B.,</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Woodford,</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i/>
          <w:iCs/>
          <w:w w:val="105"/>
          <w:sz w:val="24"/>
          <w:szCs w:val="24"/>
        </w:rPr>
        <w:t>Handbook</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w w:val="107"/>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vol.</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3.</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North</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Holland,</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Amsterdam</w:t>
      </w:r>
      <w:r w:rsidRPr="006545C7">
        <w:rPr>
          <w:rFonts w:ascii="Times New Roman" w:hAnsi="Times New Roman" w:cs="Times New Roman"/>
          <w:w w:val="105"/>
          <w:sz w:val="24"/>
          <w:szCs w:val="24"/>
        </w:rPr>
        <w:t>,</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pp.</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547–599.</w:t>
      </w:r>
    </w:p>
    <w:p w14:paraId="2493615E"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Glosten</w:t>
      </w:r>
      <w:proofErr w:type="spellEnd"/>
      <w:r w:rsidRPr="00F717E4">
        <w:rPr>
          <w:rFonts w:ascii="Times New Roman" w:hAnsi="Times New Roman" w:cs="Times New Roman"/>
          <w:sz w:val="24"/>
          <w:szCs w:val="24"/>
        </w:rPr>
        <w:t>, L.R., Jagannathan, R., Runkle, D.E. (1993), On the relation between the expected value and the volatility of the nominal excess return on stocks. The Journal of Finance, 48(5), 1779-1801.</w:t>
      </w:r>
    </w:p>
    <w:p w14:paraId="450B121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Goodfriend</w:t>
      </w:r>
      <w:proofErr w:type="spellEnd"/>
      <w:r w:rsidRPr="006545C7">
        <w:rPr>
          <w:rFonts w:ascii="Times New Roman" w:hAnsi="Times New Roman" w:cs="Times New Roman"/>
          <w:sz w:val="24"/>
          <w:szCs w:val="24"/>
        </w:rPr>
        <w:t>,</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Narrow</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money,</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broad</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money,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Faust,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Orphanides,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1"/>
          <w:sz w:val="24"/>
          <w:szCs w:val="24"/>
        </w:rPr>
        <w:t xml:space="preserve"> </w:t>
      </w:r>
      <w:proofErr w:type="spellStart"/>
      <w:r w:rsidRPr="006545C7">
        <w:rPr>
          <w:rFonts w:ascii="Times New Roman" w:hAnsi="Times New Roman" w:cs="Times New Roman"/>
          <w:sz w:val="24"/>
          <w:szCs w:val="24"/>
        </w:rPr>
        <w:t>Reifschneider</w:t>
      </w:r>
      <w:proofErr w:type="spellEnd"/>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(Eds.),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Models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Research</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Tradition</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Dale</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Henderson,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Richard</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Porter,</w:t>
      </w:r>
      <w:r w:rsidRPr="006545C7">
        <w:rPr>
          <w:rFonts w:ascii="Times New Roman" w:hAnsi="Times New Roman" w:cs="Times New Roman"/>
          <w:w w:val="10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Peter</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Tinsley.</w:t>
      </w:r>
      <w:r w:rsidRPr="006545C7">
        <w:rPr>
          <w:rFonts w:ascii="Times New Roman" w:hAnsi="Times New Roman" w:cs="Times New Roman"/>
          <w:spacing w:val="9"/>
          <w:sz w:val="24"/>
          <w:szCs w:val="24"/>
        </w:rPr>
        <w:t xml:space="preserve"> </w:t>
      </w:r>
      <w:r w:rsidRPr="006545C7">
        <w:rPr>
          <w:rFonts w:ascii="Times New Roman" w:hAnsi="Times New Roman" w:cs="Times New Roman"/>
          <w:i/>
          <w:iCs/>
          <w:sz w:val="24"/>
          <w:szCs w:val="24"/>
        </w:rPr>
        <w:t>Board</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Governors</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the</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Federal</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Reserve</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System</w:t>
      </w:r>
      <w:r w:rsidRPr="006545C7">
        <w:rPr>
          <w:rFonts w:ascii="Times New Roman" w:hAnsi="Times New Roman" w:cs="Times New Roman"/>
          <w:sz w:val="24"/>
          <w:szCs w:val="24"/>
        </w:rPr>
        <w:t>.</w:t>
      </w:r>
    </w:p>
    <w:p w14:paraId="54C1C60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Goodfriend</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McCallum,</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B.,</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rates</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w w:val="108"/>
          <w:sz w:val="24"/>
          <w:szCs w:val="24"/>
        </w:rPr>
        <w:t xml:space="preserve"> </w:t>
      </w:r>
      <w:r w:rsidRPr="006545C7">
        <w:rPr>
          <w:rFonts w:ascii="Times New Roman" w:hAnsi="Times New Roman" w:cs="Times New Roman"/>
          <w:w w:val="105"/>
          <w:sz w:val="24"/>
          <w:szCs w:val="24"/>
        </w:rPr>
        <w:t>analysis: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quantitative</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exploration.</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5,</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4.</w:t>
      </w:r>
    </w:p>
    <w:p w14:paraId="28D629C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Goodhart,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Some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new</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directions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stability?</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Per</w:t>
      </w:r>
      <w:r w:rsidRPr="006545C7">
        <w:rPr>
          <w:rFonts w:ascii="Times New Roman" w:hAnsi="Times New Roman" w:cs="Times New Roman"/>
          <w:spacing w:val="10"/>
          <w:sz w:val="24"/>
          <w:szCs w:val="24"/>
        </w:rPr>
        <w:t xml:space="preserve"> </w:t>
      </w:r>
      <w:proofErr w:type="spellStart"/>
      <w:r w:rsidRPr="006545C7">
        <w:rPr>
          <w:rFonts w:ascii="Times New Roman" w:hAnsi="Times New Roman" w:cs="Times New Roman"/>
          <w:sz w:val="24"/>
          <w:szCs w:val="24"/>
        </w:rPr>
        <w:t>Jacobsson</w:t>
      </w:r>
      <w:proofErr w:type="spellEnd"/>
      <w:r w:rsidRPr="006545C7">
        <w:rPr>
          <w:rFonts w:ascii="Times New Roman" w:hAnsi="Times New Roman" w:cs="Times New Roman"/>
          <w:w w:val="97"/>
          <w:sz w:val="24"/>
          <w:szCs w:val="24"/>
        </w:rPr>
        <w:t xml:space="preserve"> </w:t>
      </w:r>
      <w:r w:rsidRPr="006545C7">
        <w:rPr>
          <w:rFonts w:ascii="Times New Roman" w:hAnsi="Times New Roman" w:cs="Times New Roman"/>
          <w:sz w:val="24"/>
          <w:szCs w:val="24"/>
        </w:rPr>
        <w:t>Lecture,</w:t>
      </w:r>
      <w:r w:rsidRPr="006545C7">
        <w:rPr>
          <w:rFonts w:ascii="Times New Roman" w:hAnsi="Times New Roman" w:cs="Times New Roman"/>
          <w:spacing w:val="-5"/>
          <w:sz w:val="24"/>
          <w:szCs w:val="24"/>
        </w:rPr>
        <w:t xml:space="preserve"> </w:t>
      </w:r>
      <w:r w:rsidRPr="006545C7">
        <w:rPr>
          <w:rFonts w:ascii="Times New Roman" w:hAnsi="Times New Roman" w:cs="Times New Roman"/>
          <w:i/>
          <w:iCs/>
          <w:sz w:val="24"/>
          <w:szCs w:val="24"/>
        </w:rPr>
        <w:t>Zürich,</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Switzerland,</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June</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27.</w:t>
      </w:r>
    </w:p>
    <w:p w14:paraId="3B0D4BC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Goodhart,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5"/>
          <w:sz w:val="24"/>
          <w:szCs w:val="24"/>
        </w:rPr>
        <w:t xml:space="preserve"> </w:t>
      </w:r>
      <w:proofErr w:type="spellStart"/>
      <w:r w:rsidRPr="006545C7">
        <w:rPr>
          <w:rFonts w:ascii="Times New Roman" w:hAnsi="Times New Roman" w:cs="Times New Roman"/>
          <w:sz w:val="24"/>
          <w:szCs w:val="24"/>
        </w:rPr>
        <w:t>Sunirand</w:t>
      </w:r>
      <w:proofErr w:type="spellEnd"/>
      <w:r w:rsidRPr="006545C7">
        <w:rPr>
          <w:rFonts w:ascii="Times New Roman" w:hAnsi="Times New Roman" w:cs="Times New Roman"/>
          <w:sz w:val="24"/>
          <w:szCs w:val="24"/>
        </w:rPr>
        <w: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5"/>
          <w:sz w:val="24"/>
          <w:szCs w:val="24"/>
        </w:rPr>
        <w:t xml:space="preserve"> </w:t>
      </w:r>
      <w:proofErr w:type="spellStart"/>
      <w:r w:rsidRPr="006545C7">
        <w:rPr>
          <w:rFonts w:ascii="Times New Roman" w:hAnsi="Times New Roman" w:cs="Times New Roman"/>
          <w:sz w:val="24"/>
          <w:szCs w:val="24"/>
        </w:rPr>
        <w:t>Tsomocos</w:t>
      </w:r>
      <w:proofErr w:type="spellEnd"/>
      <w:r w:rsidRPr="006545C7">
        <w:rPr>
          <w:rFonts w:ascii="Times New Roman" w:hAnsi="Times New Roman" w:cs="Times New Roman"/>
          <w:sz w:val="24"/>
          <w:szCs w:val="24"/>
        </w:rPr>
        <w: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model</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to</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analyse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fragility.</w:t>
      </w:r>
    </w:p>
    <w:p w14:paraId="081FCEC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Gordy,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Howells,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B.,</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Procyclicality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Basel</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II:</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can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we</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treat</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disease</w:t>
      </w:r>
      <w:r w:rsidRPr="006545C7">
        <w:rPr>
          <w:rFonts w:ascii="Times New Roman" w:hAnsi="Times New Roman" w:cs="Times New Roman"/>
          <w:w w:val="103"/>
          <w:sz w:val="24"/>
          <w:szCs w:val="24"/>
        </w:rPr>
        <w:t xml:space="preserve"> </w:t>
      </w:r>
      <w:r w:rsidRPr="006545C7">
        <w:rPr>
          <w:rFonts w:ascii="Times New Roman" w:hAnsi="Times New Roman" w:cs="Times New Roman"/>
          <w:w w:val="105"/>
          <w:sz w:val="24"/>
          <w:szCs w:val="24"/>
        </w:rPr>
        <w:t>without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killing</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patient?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Intermediation</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15,</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395–417.</w:t>
      </w:r>
    </w:p>
    <w:p w14:paraId="474C93D1"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Greenspan,</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2005.</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Reflections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central</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Remarks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at</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Greenspan</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Era:</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Lessons</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Future—</w:t>
      </w:r>
      <w:r w:rsidRPr="006545C7">
        <w:rPr>
          <w:rFonts w:ascii="Times New Roman" w:hAnsi="Times New Roman" w:cs="Times New Roman"/>
          <w:i/>
          <w:iCs/>
          <w:w w:val="105"/>
          <w:sz w:val="24"/>
          <w:szCs w:val="24"/>
        </w:rPr>
        <w:t>A</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Symposium</w:t>
      </w:r>
      <w:r w:rsidRPr="006545C7">
        <w:rPr>
          <w:rFonts w:ascii="Times New Roman" w:hAnsi="Times New Roman" w:cs="Times New Roman"/>
          <w:i/>
          <w:iCs/>
          <w:spacing w:val="-3"/>
          <w:w w:val="105"/>
          <w:sz w:val="24"/>
          <w:szCs w:val="24"/>
        </w:rPr>
        <w:t xml:space="preserve"> </w:t>
      </w:r>
      <w:r w:rsidRPr="006545C7">
        <w:rPr>
          <w:rFonts w:ascii="Times New Roman" w:hAnsi="Times New Roman" w:cs="Times New Roman"/>
          <w:i/>
          <w:iCs/>
          <w:w w:val="105"/>
          <w:sz w:val="24"/>
          <w:szCs w:val="24"/>
        </w:rPr>
        <w:t>Sponsored</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by</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3"/>
          <w:w w:val="105"/>
          <w:sz w:val="24"/>
          <w:szCs w:val="24"/>
        </w:rPr>
        <w:t xml:space="preserve"> </w:t>
      </w:r>
      <w:r w:rsidRPr="006545C7">
        <w:rPr>
          <w:rFonts w:ascii="Times New Roman" w:hAnsi="Times New Roman" w:cs="Times New Roman"/>
          <w:i/>
          <w:iCs/>
          <w:w w:val="105"/>
          <w:sz w:val="24"/>
          <w:szCs w:val="24"/>
        </w:rPr>
        <w:t>Federal</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Reserve Bank</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Kansas</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City,</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Jackson</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Hole</w:t>
      </w:r>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Wyoming,</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August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25–27.</w:t>
      </w:r>
    </w:p>
    <w:p w14:paraId="5FCF858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Greenwald,</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Stiglitz,</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1988.</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Imperfect</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information,</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constraints,</w:t>
      </w:r>
      <w:r w:rsidRPr="006545C7">
        <w:rPr>
          <w:rFonts w:ascii="Times New Roman" w:hAnsi="Times New Roman" w:cs="Times New Roman"/>
          <w:spacing w:val="2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fluctuations.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Kohn,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(Ed.),</w:t>
      </w:r>
      <w:r w:rsidRPr="006545C7">
        <w:rPr>
          <w:rFonts w:ascii="Times New Roman" w:hAnsi="Times New Roman" w:cs="Times New Roman"/>
          <w:spacing w:val="-5"/>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Constraints,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Expectations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w w:val="102"/>
          <w:sz w:val="24"/>
          <w:szCs w:val="24"/>
        </w:rPr>
        <w:t xml:space="preserve"> </w:t>
      </w:r>
      <w:r w:rsidRPr="006545C7">
        <w:rPr>
          <w:rFonts w:ascii="Times New Roman" w:hAnsi="Times New Roman" w:cs="Times New Roman"/>
          <w:i/>
          <w:iCs/>
          <w:sz w:val="24"/>
          <w:szCs w:val="24"/>
        </w:rPr>
        <w:t>Macroeconomics</w:t>
      </w:r>
      <w:r w:rsidRPr="006545C7">
        <w:rPr>
          <w:rFonts w:ascii="Times New Roman" w:hAnsi="Times New Roman" w:cs="Times New Roman"/>
          <w:sz w:val="24"/>
          <w:szCs w:val="24"/>
        </w:rPr>
        <w:t>.</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pp.</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103–140.</w:t>
      </w:r>
    </w:p>
    <w:p w14:paraId="374171C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Greenwald,</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Stiglitz,</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1993.</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imperfections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cycles.</w:t>
      </w:r>
    </w:p>
    <w:p w14:paraId="64B6461D"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Grenadier, Steve R., 1999, Information revelation through option exercise, Review of Financial Studies 12, 95–130. </w:t>
      </w:r>
    </w:p>
    <w:p w14:paraId="3FACC58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Gruen,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Plumb,</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Stone,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2005.</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How</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should</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respond</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to</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asset-</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price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bubbles?</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i/>
          <w:iCs/>
          <w:w w:val="105"/>
          <w:sz w:val="24"/>
          <w:szCs w:val="24"/>
        </w:rPr>
        <w:t>International</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Central</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1,</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1–31.</w:t>
      </w:r>
    </w:p>
    <w:p w14:paraId="6223146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Hänsel</w:t>
      </w:r>
      <w:proofErr w:type="spellEnd"/>
      <w:r w:rsidRPr="006545C7">
        <w:rPr>
          <w:rFonts w:ascii="Times New Roman" w:hAnsi="Times New Roman" w:cs="Times New Roman"/>
          <w:sz w:val="24"/>
          <w:szCs w:val="24"/>
        </w:rPr>
        <w: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D.,</w:t>
      </w:r>
      <w:r w:rsidRPr="006545C7">
        <w:rPr>
          <w:rFonts w:ascii="Times New Roman" w:hAnsi="Times New Roman" w:cs="Times New Roman"/>
          <w:spacing w:val="-1"/>
          <w:sz w:val="24"/>
          <w:szCs w:val="24"/>
        </w:rPr>
        <w:t xml:space="preserve"> </w:t>
      </w:r>
      <w:proofErr w:type="spellStart"/>
      <w:r w:rsidRPr="006545C7">
        <w:rPr>
          <w:rFonts w:ascii="Times New Roman" w:hAnsi="Times New Roman" w:cs="Times New Roman"/>
          <w:sz w:val="24"/>
          <w:szCs w:val="24"/>
        </w:rPr>
        <w:t>Krahnen</w:t>
      </w:r>
      <w:proofErr w:type="spellEnd"/>
      <w:r w:rsidRPr="006545C7">
        <w:rPr>
          <w:rFonts w:ascii="Times New Roman" w:hAnsi="Times New Roman" w:cs="Times New Roman"/>
          <w:sz w:val="24"/>
          <w:szCs w:val="24"/>
        </w:rPr>
        <w:t>, J.,</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Does credit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securitization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reduce bank</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Evidence</w:t>
      </w:r>
      <w:r w:rsidRPr="006545C7">
        <w:rPr>
          <w:rFonts w:ascii="Times New Roman" w:hAnsi="Times New Roman" w:cs="Times New Roman"/>
          <w:w w:val="104"/>
          <w:sz w:val="24"/>
          <w:szCs w:val="24"/>
        </w:rPr>
        <w:t xml:space="preserve"> </w:t>
      </w:r>
      <w:r w:rsidRPr="006545C7">
        <w:rPr>
          <w:rFonts w:ascii="Times New Roman" w:hAnsi="Times New Roman" w:cs="Times New Roman"/>
          <w:sz w:val="24"/>
          <w:szCs w:val="24"/>
        </w:rPr>
        <w:t>from</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European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CDO</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Paper.</w:t>
      </w:r>
    </w:p>
    <w:p w14:paraId="76D28204"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Hansen, Lars Peter, and Jose Alexandre </w:t>
      </w:r>
      <w:proofErr w:type="spellStart"/>
      <w:r w:rsidRPr="00F717E4">
        <w:rPr>
          <w:rFonts w:ascii="Times New Roman" w:hAnsi="Times New Roman" w:cs="Times New Roman"/>
          <w:sz w:val="24"/>
          <w:szCs w:val="24"/>
        </w:rPr>
        <w:t>Scheinkman</w:t>
      </w:r>
      <w:proofErr w:type="spellEnd"/>
      <w:r w:rsidRPr="00F717E4">
        <w:rPr>
          <w:rFonts w:ascii="Times New Roman" w:hAnsi="Times New Roman" w:cs="Times New Roman"/>
          <w:sz w:val="24"/>
          <w:szCs w:val="24"/>
        </w:rPr>
        <w:t xml:space="preserve">, 1995, Back to the future: Generating moment implications for continuous-time Markov processes, </w:t>
      </w:r>
      <w:proofErr w:type="spellStart"/>
      <w:r w:rsidRPr="00F717E4">
        <w:rPr>
          <w:rFonts w:ascii="Times New Roman" w:hAnsi="Times New Roman" w:cs="Times New Roman"/>
          <w:sz w:val="24"/>
          <w:szCs w:val="24"/>
        </w:rPr>
        <w:t>Econometrica</w:t>
      </w:r>
      <w:proofErr w:type="spellEnd"/>
      <w:r w:rsidRPr="00F717E4">
        <w:rPr>
          <w:rFonts w:ascii="Times New Roman" w:hAnsi="Times New Roman" w:cs="Times New Roman"/>
          <w:sz w:val="24"/>
          <w:szCs w:val="24"/>
        </w:rPr>
        <w:t xml:space="preserve"> 63, 767–804. </w:t>
      </w:r>
    </w:p>
    <w:p w14:paraId="04D2C20D"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Harrison, J. M., 1985, Brownian Motion and Stochastic Flow Systems ~Wiley, New York</w:t>
      </w:r>
    </w:p>
    <w:p w14:paraId="246B2419"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Harrison, J. M., and D. Kreps, 1979, Martingales and arbitrage in multiperiod securities markets, Journal of Economic Theory 2, 381–408. </w:t>
      </w:r>
    </w:p>
    <w:p w14:paraId="3D548F7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Heid,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cyclical</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effects</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Basel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II</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i/>
          <w:iCs/>
          <w:w w:val="105"/>
          <w:sz w:val="24"/>
          <w:szCs w:val="24"/>
        </w:rPr>
        <w:t>.</w:t>
      </w:r>
      <w:r w:rsidRPr="006545C7">
        <w:rPr>
          <w:rFonts w:ascii="Times New Roman" w:hAnsi="Times New Roman" w:cs="Times New Roman"/>
          <w:i/>
          <w:iCs/>
          <w:spacing w:val="-3"/>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31,</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3885–3900.</w:t>
      </w:r>
    </w:p>
    <w:p w14:paraId="7010FE3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4613E5">
        <w:rPr>
          <w:rFonts w:ascii="Times New Roman" w:hAnsi="Times New Roman" w:cs="Times New Roman"/>
          <w:w w:val="105"/>
          <w:sz w:val="24"/>
          <w:szCs w:val="24"/>
          <w:lang w:val="es-AR"/>
        </w:rPr>
        <w:lastRenderedPageBreak/>
        <w:t>Hördahl</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6"/>
          <w:w w:val="105"/>
          <w:sz w:val="24"/>
          <w:szCs w:val="24"/>
          <w:lang w:val="es-AR"/>
        </w:rPr>
        <w:t xml:space="preserve"> </w:t>
      </w:r>
      <w:r w:rsidRPr="004613E5">
        <w:rPr>
          <w:rFonts w:ascii="Times New Roman" w:hAnsi="Times New Roman" w:cs="Times New Roman"/>
          <w:w w:val="105"/>
          <w:sz w:val="24"/>
          <w:szCs w:val="24"/>
          <w:lang w:val="es-AR"/>
        </w:rPr>
        <w:t>P.,</w:t>
      </w:r>
      <w:r w:rsidRPr="004613E5">
        <w:rPr>
          <w:rFonts w:ascii="Times New Roman" w:hAnsi="Times New Roman" w:cs="Times New Roman"/>
          <w:spacing w:val="-6"/>
          <w:w w:val="105"/>
          <w:sz w:val="24"/>
          <w:szCs w:val="24"/>
          <w:lang w:val="es-AR"/>
        </w:rPr>
        <w:t xml:space="preserve"> </w:t>
      </w:r>
      <w:proofErr w:type="spellStart"/>
      <w:r w:rsidRPr="004613E5">
        <w:rPr>
          <w:rFonts w:ascii="Times New Roman" w:hAnsi="Times New Roman" w:cs="Times New Roman"/>
          <w:w w:val="105"/>
          <w:sz w:val="24"/>
          <w:szCs w:val="24"/>
          <w:lang w:val="es-AR"/>
        </w:rPr>
        <w:t>Tristani</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6"/>
          <w:w w:val="105"/>
          <w:sz w:val="24"/>
          <w:szCs w:val="24"/>
          <w:lang w:val="es-AR"/>
        </w:rPr>
        <w:t xml:space="preserve"> </w:t>
      </w:r>
      <w:r w:rsidRPr="004613E5">
        <w:rPr>
          <w:rFonts w:ascii="Times New Roman" w:hAnsi="Times New Roman" w:cs="Times New Roman"/>
          <w:w w:val="105"/>
          <w:sz w:val="24"/>
          <w:szCs w:val="24"/>
          <w:lang w:val="es-AR"/>
        </w:rPr>
        <w:t>O.,</w:t>
      </w:r>
      <w:r w:rsidRPr="004613E5">
        <w:rPr>
          <w:rFonts w:ascii="Times New Roman" w:hAnsi="Times New Roman" w:cs="Times New Roman"/>
          <w:spacing w:val="-5"/>
          <w:w w:val="105"/>
          <w:sz w:val="24"/>
          <w:szCs w:val="24"/>
          <w:lang w:val="es-AR"/>
        </w:rPr>
        <w:t xml:space="preserve"> </w:t>
      </w:r>
      <w:proofErr w:type="spellStart"/>
      <w:r w:rsidRPr="004613E5">
        <w:rPr>
          <w:rFonts w:ascii="Times New Roman" w:hAnsi="Times New Roman" w:cs="Times New Roman"/>
          <w:w w:val="105"/>
          <w:sz w:val="24"/>
          <w:szCs w:val="24"/>
          <w:lang w:val="es-AR"/>
        </w:rPr>
        <w:t>Vestin</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6"/>
          <w:w w:val="105"/>
          <w:sz w:val="24"/>
          <w:szCs w:val="24"/>
          <w:lang w:val="es-AR"/>
        </w:rPr>
        <w:t xml:space="preserve"> </w:t>
      </w:r>
      <w:r w:rsidRPr="004613E5">
        <w:rPr>
          <w:rFonts w:ascii="Times New Roman" w:hAnsi="Times New Roman" w:cs="Times New Roman"/>
          <w:w w:val="105"/>
          <w:sz w:val="24"/>
          <w:szCs w:val="24"/>
          <w:lang w:val="es-AR"/>
        </w:rPr>
        <w:t>D.,</w:t>
      </w:r>
      <w:r w:rsidRPr="004613E5">
        <w:rPr>
          <w:rFonts w:ascii="Times New Roman" w:hAnsi="Times New Roman" w:cs="Times New Roman"/>
          <w:spacing w:val="-6"/>
          <w:w w:val="105"/>
          <w:sz w:val="24"/>
          <w:szCs w:val="24"/>
          <w:lang w:val="es-AR"/>
        </w:rPr>
        <w:t xml:space="preserve"> </w:t>
      </w:r>
      <w:r w:rsidRPr="004613E5">
        <w:rPr>
          <w:rFonts w:ascii="Times New Roman" w:hAnsi="Times New Roman" w:cs="Times New Roman"/>
          <w:w w:val="105"/>
          <w:sz w:val="24"/>
          <w:szCs w:val="24"/>
          <w:lang w:val="es-AR"/>
        </w:rPr>
        <w:t>2006.</w:t>
      </w:r>
      <w:r w:rsidRPr="004613E5">
        <w:rPr>
          <w:rFonts w:ascii="Times New Roman" w:hAnsi="Times New Roman" w:cs="Times New Roman"/>
          <w:spacing w:val="-5"/>
          <w:w w:val="105"/>
          <w:sz w:val="24"/>
          <w:szCs w:val="24"/>
          <w:lang w:val="es-AR"/>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joint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econometric</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model</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macroeconomic</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term-structure</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dynamics</w:t>
      </w:r>
      <w:r w:rsidRPr="006545C7">
        <w:rPr>
          <w:rFonts w:ascii="Times New Roman" w:hAnsi="Times New Roman" w:cs="Times New Roman"/>
          <w:i/>
          <w:iCs/>
          <w:w w:val="105"/>
          <w:sz w:val="24"/>
          <w:szCs w:val="24"/>
        </w:rPr>
        <w:t>.</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Econometrics</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131,</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405–444.</w:t>
      </w:r>
    </w:p>
    <w:p w14:paraId="56F5FF2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Hubbard,</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1998.</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imperfections</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investment.</w:t>
      </w:r>
      <w:r w:rsidRPr="006545C7">
        <w:rPr>
          <w:rFonts w:ascii="Times New Roman" w:hAnsi="Times New Roman" w:cs="Times New Roman"/>
          <w:spacing w:val="18"/>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8"/>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8"/>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Literature</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36,</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193–225.</w:t>
      </w:r>
    </w:p>
    <w:p w14:paraId="3649DC8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Ioannidou</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23"/>
          <w:sz w:val="24"/>
          <w:szCs w:val="24"/>
          <w:lang w:val="es-AR"/>
        </w:rPr>
        <w:t xml:space="preserve"> </w:t>
      </w:r>
      <w:r w:rsidRPr="006545C7">
        <w:rPr>
          <w:rFonts w:ascii="Times New Roman" w:hAnsi="Times New Roman" w:cs="Times New Roman"/>
          <w:sz w:val="24"/>
          <w:szCs w:val="24"/>
          <w:lang w:val="es-AR"/>
        </w:rPr>
        <w:t>V.P.,</w:t>
      </w:r>
      <w:r w:rsidRPr="006545C7">
        <w:rPr>
          <w:rFonts w:ascii="Times New Roman" w:hAnsi="Times New Roman" w:cs="Times New Roman"/>
          <w:spacing w:val="23"/>
          <w:sz w:val="24"/>
          <w:szCs w:val="24"/>
          <w:lang w:val="es-AR"/>
        </w:rPr>
        <w:t xml:space="preserve"> </w:t>
      </w:r>
      <w:proofErr w:type="spellStart"/>
      <w:r w:rsidRPr="006545C7">
        <w:rPr>
          <w:rFonts w:ascii="Times New Roman" w:hAnsi="Times New Roman" w:cs="Times New Roman"/>
          <w:sz w:val="24"/>
          <w:szCs w:val="24"/>
          <w:lang w:val="es-AR"/>
        </w:rPr>
        <w:t>Ongena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23"/>
          <w:sz w:val="24"/>
          <w:szCs w:val="24"/>
          <w:lang w:val="es-AR"/>
        </w:rPr>
        <w:t xml:space="preserve"> </w:t>
      </w:r>
      <w:r w:rsidRPr="006545C7">
        <w:rPr>
          <w:rFonts w:ascii="Times New Roman" w:hAnsi="Times New Roman" w:cs="Times New Roman"/>
          <w:sz w:val="24"/>
          <w:szCs w:val="24"/>
          <w:lang w:val="es-AR"/>
        </w:rPr>
        <w:t>S.,</w:t>
      </w:r>
      <w:r w:rsidRPr="006545C7">
        <w:rPr>
          <w:rFonts w:ascii="Times New Roman" w:hAnsi="Times New Roman" w:cs="Times New Roman"/>
          <w:spacing w:val="23"/>
          <w:sz w:val="24"/>
          <w:szCs w:val="24"/>
          <w:lang w:val="es-AR"/>
        </w:rPr>
        <w:t xml:space="preserve"> </w:t>
      </w:r>
      <w:proofErr w:type="spellStart"/>
      <w:r w:rsidRPr="006545C7">
        <w:rPr>
          <w:rFonts w:ascii="Times New Roman" w:hAnsi="Times New Roman" w:cs="Times New Roman"/>
          <w:sz w:val="24"/>
          <w:szCs w:val="24"/>
          <w:lang w:val="es-AR"/>
        </w:rPr>
        <w:t>Peydró</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23"/>
          <w:sz w:val="24"/>
          <w:szCs w:val="24"/>
          <w:lang w:val="es-AR"/>
        </w:rPr>
        <w:t xml:space="preserve"> </w:t>
      </w:r>
      <w:r w:rsidRPr="006545C7">
        <w:rPr>
          <w:rFonts w:ascii="Times New Roman" w:hAnsi="Times New Roman" w:cs="Times New Roman"/>
          <w:sz w:val="24"/>
          <w:szCs w:val="24"/>
          <w:lang w:val="es-AR"/>
        </w:rPr>
        <w:t>J.L.,</w:t>
      </w:r>
      <w:r w:rsidRPr="006545C7">
        <w:rPr>
          <w:rFonts w:ascii="Times New Roman" w:hAnsi="Times New Roman" w:cs="Times New Roman"/>
          <w:spacing w:val="23"/>
          <w:sz w:val="24"/>
          <w:szCs w:val="24"/>
          <w:lang w:val="es-AR"/>
        </w:rPr>
        <w:t xml:space="preserve"> </w:t>
      </w:r>
      <w:r w:rsidRPr="006545C7">
        <w:rPr>
          <w:rFonts w:ascii="Times New Roman" w:hAnsi="Times New Roman" w:cs="Times New Roman"/>
          <w:sz w:val="24"/>
          <w:szCs w:val="24"/>
          <w:lang w:val="es-AR"/>
        </w:rPr>
        <w:t>2009.</w:t>
      </w:r>
      <w:r w:rsidRPr="006545C7">
        <w:rPr>
          <w:rFonts w:ascii="Times New Roman" w:hAnsi="Times New Roman" w:cs="Times New Roman"/>
          <w:spacing w:val="23"/>
          <w:sz w:val="24"/>
          <w:szCs w:val="24"/>
          <w:lang w:val="es-AR"/>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risk-taking</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pricing:</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evidence</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from</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quasi-natural</w:t>
      </w:r>
      <w:r w:rsidRPr="006545C7">
        <w:rPr>
          <w:rFonts w:ascii="Times New Roman" w:hAnsi="Times New Roman" w:cs="Times New Roman"/>
          <w:spacing w:val="26"/>
          <w:sz w:val="24"/>
          <w:szCs w:val="24"/>
        </w:rPr>
        <w:t xml:space="preserve"> </w:t>
      </w:r>
      <w:r w:rsidRPr="006545C7">
        <w:rPr>
          <w:rFonts w:ascii="Times New Roman" w:hAnsi="Times New Roman" w:cs="Times New Roman"/>
          <w:sz w:val="24"/>
          <w:szCs w:val="24"/>
        </w:rPr>
        <w:t>experiment.</w:t>
      </w:r>
      <w:r w:rsidRPr="006545C7">
        <w:rPr>
          <w:rFonts w:ascii="Times New Roman" w:hAnsi="Times New Roman" w:cs="Times New Roman"/>
          <w:spacing w:val="26"/>
          <w:sz w:val="24"/>
          <w:szCs w:val="24"/>
        </w:rPr>
        <w:t xml:space="preserve"> </w:t>
      </w:r>
      <w:r w:rsidRPr="006545C7">
        <w:rPr>
          <w:rFonts w:ascii="Times New Roman" w:hAnsi="Times New Roman" w:cs="Times New Roman"/>
          <w:i/>
          <w:iCs/>
          <w:sz w:val="24"/>
          <w:szCs w:val="24"/>
        </w:rPr>
        <w:t>European</w:t>
      </w:r>
      <w:r w:rsidRPr="006545C7">
        <w:rPr>
          <w:rFonts w:ascii="Times New Roman" w:hAnsi="Times New Roman" w:cs="Times New Roman"/>
          <w:i/>
          <w:iCs/>
          <w:spacing w:val="26"/>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26"/>
          <w:sz w:val="24"/>
          <w:szCs w:val="24"/>
        </w:rPr>
        <w:t xml:space="preserve"> </w:t>
      </w:r>
      <w:r w:rsidRPr="006545C7">
        <w:rPr>
          <w:rFonts w:ascii="Times New Roman" w:hAnsi="Times New Roman" w:cs="Times New Roman"/>
          <w:i/>
          <w:iCs/>
          <w:sz w:val="24"/>
          <w:szCs w:val="24"/>
        </w:rPr>
        <w:t>Centre</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sz w:val="24"/>
          <w:szCs w:val="24"/>
        </w:rPr>
        <w:t>Discussion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Paper2009-04S.</w:t>
      </w:r>
    </w:p>
    <w:p w14:paraId="4A9DCF5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4613E5">
        <w:rPr>
          <w:rFonts w:ascii="Times New Roman" w:hAnsi="Times New Roman" w:cs="Times New Roman"/>
          <w:w w:val="105"/>
          <w:sz w:val="24"/>
          <w:szCs w:val="24"/>
          <w:lang w:val="es-AR"/>
        </w:rPr>
        <w:t>Ito</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18"/>
          <w:w w:val="105"/>
          <w:sz w:val="24"/>
          <w:szCs w:val="24"/>
          <w:lang w:val="es-AR"/>
        </w:rPr>
        <w:t xml:space="preserve"> </w:t>
      </w:r>
      <w:r w:rsidRPr="004613E5">
        <w:rPr>
          <w:rFonts w:ascii="Times New Roman" w:hAnsi="Times New Roman" w:cs="Times New Roman"/>
          <w:w w:val="105"/>
          <w:sz w:val="24"/>
          <w:szCs w:val="24"/>
          <w:lang w:val="es-AR"/>
        </w:rPr>
        <w:t>T.,</w:t>
      </w:r>
      <w:r w:rsidRPr="004613E5">
        <w:rPr>
          <w:rFonts w:ascii="Times New Roman" w:hAnsi="Times New Roman" w:cs="Times New Roman"/>
          <w:spacing w:val="-18"/>
          <w:w w:val="105"/>
          <w:sz w:val="24"/>
          <w:szCs w:val="24"/>
          <w:lang w:val="es-AR"/>
        </w:rPr>
        <w:t xml:space="preserve"> </w:t>
      </w:r>
      <w:proofErr w:type="spellStart"/>
      <w:r w:rsidRPr="004613E5">
        <w:rPr>
          <w:rFonts w:ascii="Times New Roman" w:hAnsi="Times New Roman" w:cs="Times New Roman"/>
          <w:w w:val="105"/>
          <w:sz w:val="24"/>
          <w:szCs w:val="24"/>
          <w:lang w:val="es-AR"/>
        </w:rPr>
        <w:t>Sasaki</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17"/>
          <w:w w:val="105"/>
          <w:sz w:val="24"/>
          <w:szCs w:val="24"/>
          <w:lang w:val="es-AR"/>
        </w:rPr>
        <w:t xml:space="preserve"> </w:t>
      </w:r>
      <w:r w:rsidRPr="004613E5">
        <w:rPr>
          <w:rFonts w:ascii="Times New Roman" w:hAnsi="Times New Roman" w:cs="Times New Roman"/>
          <w:w w:val="105"/>
          <w:sz w:val="24"/>
          <w:szCs w:val="24"/>
          <w:lang w:val="es-AR"/>
        </w:rPr>
        <w:t>Y.N.,</w:t>
      </w:r>
      <w:r w:rsidRPr="004613E5">
        <w:rPr>
          <w:rFonts w:ascii="Times New Roman" w:hAnsi="Times New Roman" w:cs="Times New Roman"/>
          <w:spacing w:val="-18"/>
          <w:w w:val="105"/>
          <w:sz w:val="24"/>
          <w:szCs w:val="24"/>
          <w:lang w:val="es-AR"/>
        </w:rPr>
        <w:t xml:space="preserve"> </w:t>
      </w:r>
      <w:r w:rsidRPr="004613E5">
        <w:rPr>
          <w:rFonts w:ascii="Times New Roman" w:hAnsi="Times New Roman" w:cs="Times New Roman"/>
          <w:w w:val="105"/>
          <w:sz w:val="24"/>
          <w:szCs w:val="24"/>
          <w:lang w:val="es-AR"/>
        </w:rPr>
        <w:t>2002.</w:t>
      </w:r>
      <w:r w:rsidRPr="004613E5">
        <w:rPr>
          <w:rFonts w:ascii="Times New Roman" w:hAnsi="Times New Roman" w:cs="Times New Roman"/>
          <w:spacing w:val="-17"/>
          <w:w w:val="105"/>
          <w:sz w:val="24"/>
          <w:szCs w:val="24"/>
          <w:lang w:val="es-AR"/>
        </w:rPr>
        <w:t xml:space="preserve"> </w:t>
      </w:r>
      <w:r w:rsidRPr="006545C7">
        <w:rPr>
          <w:rFonts w:ascii="Times New Roman" w:hAnsi="Times New Roman" w:cs="Times New Roman"/>
          <w:w w:val="105"/>
          <w:sz w:val="24"/>
          <w:szCs w:val="24"/>
        </w:rPr>
        <w:t>Impacts</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Basle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standard</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Japanese</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Banks’</w:t>
      </w:r>
      <w:r w:rsidRPr="006545C7">
        <w:rPr>
          <w:rFonts w:ascii="Times New Roman" w:hAnsi="Times New Roman" w:cs="Times New Roman"/>
          <w:w w:val="98"/>
          <w:sz w:val="24"/>
          <w:szCs w:val="24"/>
        </w:rPr>
        <w:t xml:space="preserve"> </w:t>
      </w:r>
      <w:r w:rsidRPr="006545C7">
        <w:rPr>
          <w:rFonts w:ascii="Times New Roman" w:hAnsi="Times New Roman" w:cs="Times New Roman"/>
          <w:w w:val="105"/>
          <w:sz w:val="24"/>
          <w:szCs w:val="24"/>
        </w:rPr>
        <w:t>behaviour.</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the</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Japanese</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International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Economies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16,</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372–397.</w:t>
      </w:r>
    </w:p>
    <w:p w14:paraId="2328A543"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Jensen,</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5"/>
          <w:w w:val="105"/>
          <w:sz w:val="24"/>
          <w:szCs w:val="24"/>
        </w:rPr>
        <w:t xml:space="preserve"> </w:t>
      </w:r>
      <w:proofErr w:type="spellStart"/>
      <w:r w:rsidRPr="006545C7">
        <w:rPr>
          <w:rFonts w:ascii="Times New Roman" w:hAnsi="Times New Roman" w:cs="Times New Roman"/>
          <w:w w:val="105"/>
          <w:sz w:val="24"/>
          <w:szCs w:val="24"/>
        </w:rPr>
        <w:t>Meckling</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1976.</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Theory</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firm:</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managerial</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behaviour,</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agency costs</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ownership</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structure</w:t>
      </w:r>
      <w:r w:rsidRPr="006545C7">
        <w:rPr>
          <w:rFonts w:ascii="Times New Roman" w:hAnsi="Times New Roman" w:cs="Times New Roman"/>
          <w:i/>
          <w:iCs/>
          <w:w w:val="105"/>
          <w:sz w:val="24"/>
          <w:szCs w:val="24"/>
        </w:rPr>
        <w:t>.</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3,</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305–360.</w:t>
      </w:r>
    </w:p>
    <w:p w14:paraId="6958AE9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Jermann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U.,</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1998.</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Asset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pricing</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production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economies.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41,</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257–275.</w:t>
      </w:r>
    </w:p>
    <w:p w14:paraId="0A2EB9F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Jermann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U.,</w:t>
      </w:r>
      <w:r w:rsidRPr="006545C7">
        <w:rPr>
          <w:rFonts w:ascii="Times New Roman" w:hAnsi="Times New Roman" w:cs="Times New Roman"/>
          <w:spacing w:val="-27"/>
          <w:w w:val="105"/>
          <w:sz w:val="24"/>
          <w:szCs w:val="24"/>
        </w:rPr>
        <w:t xml:space="preserve"> </w:t>
      </w:r>
      <w:proofErr w:type="spellStart"/>
      <w:r w:rsidRPr="006545C7">
        <w:rPr>
          <w:rFonts w:ascii="Times New Roman" w:hAnsi="Times New Roman" w:cs="Times New Roman"/>
          <w:w w:val="105"/>
          <w:sz w:val="24"/>
          <w:szCs w:val="24"/>
        </w:rPr>
        <w:t>Quadrini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V.,</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innovation</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macroeconomic volatility.</w:t>
      </w:r>
      <w:r w:rsidRPr="006545C7">
        <w:rPr>
          <w:rFonts w:ascii="Times New Roman" w:hAnsi="Times New Roman" w:cs="Times New Roman"/>
          <w:i/>
          <w:iCs/>
          <w:sz w:val="24"/>
          <w:szCs w:val="24"/>
        </w:rPr>
        <w:t xml:space="preserve"> BER</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Working</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Pape</w:t>
      </w:r>
      <w:r w:rsidRPr="006545C7">
        <w:rPr>
          <w:rFonts w:ascii="Times New Roman" w:hAnsi="Times New Roman" w:cs="Times New Roman"/>
          <w:sz w:val="24"/>
          <w:szCs w:val="24"/>
        </w:rPr>
        <w:t>r</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12308.</w:t>
      </w:r>
    </w:p>
    <w:p w14:paraId="3DA1DE4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4613E5">
        <w:rPr>
          <w:rFonts w:ascii="Times New Roman" w:hAnsi="Times New Roman" w:cs="Times New Roman"/>
          <w:w w:val="105"/>
          <w:sz w:val="24"/>
          <w:szCs w:val="24"/>
          <w:lang w:val="es-AR"/>
        </w:rPr>
        <w:t>Jiménez,</w:t>
      </w:r>
      <w:r w:rsidRPr="004613E5">
        <w:rPr>
          <w:rFonts w:ascii="Times New Roman" w:hAnsi="Times New Roman" w:cs="Times New Roman"/>
          <w:spacing w:val="-15"/>
          <w:w w:val="105"/>
          <w:sz w:val="24"/>
          <w:szCs w:val="24"/>
          <w:lang w:val="es-AR"/>
        </w:rPr>
        <w:t xml:space="preserve"> </w:t>
      </w:r>
      <w:r w:rsidRPr="004613E5">
        <w:rPr>
          <w:rFonts w:ascii="Times New Roman" w:hAnsi="Times New Roman" w:cs="Times New Roman"/>
          <w:w w:val="105"/>
          <w:sz w:val="24"/>
          <w:szCs w:val="24"/>
          <w:lang w:val="es-AR"/>
        </w:rPr>
        <w:t>G.,</w:t>
      </w:r>
      <w:r w:rsidRPr="004613E5">
        <w:rPr>
          <w:rFonts w:ascii="Times New Roman" w:hAnsi="Times New Roman" w:cs="Times New Roman"/>
          <w:spacing w:val="-15"/>
          <w:w w:val="105"/>
          <w:sz w:val="24"/>
          <w:szCs w:val="24"/>
          <w:lang w:val="es-AR"/>
        </w:rPr>
        <w:t xml:space="preserve"> </w:t>
      </w:r>
      <w:proofErr w:type="spellStart"/>
      <w:r w:rsidRPr="004613E5">
        <w:rPr>
          <w:rFonts w:ascii="Times New Roman" w:hAnsi="Times New Roman" w:cs="Times New Roman"/>
          <w:w w:val="105"/>
          <w:sz w:val="24"/>
          <w:szCs w:val="24"/>
          <w:lang w:val="es-AR"/>
        </w:rPr>
        <w:t>Ongena</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14"/>
          <w:w w:val="105"/>
          <w:sz w:val="24"/>
          <w:szCs w:val="24"/>
          <w:lang w:val="es-AR"/>
        </w:rPr>
        <w:t xml:space="preserve"> </w:t>
      </w:r>
      <w:r w:rsidRPr="004613E5">
        <w:rPr>
          <w:rFonts w:ascii="Times New Roman" w:hAnsi="Times New Roman" w:cs="Times New Roman"/>
          <w:sz w:val="24"/>
          <w:szCs w:val="24"/>
          <w:lang w:val="es-AR"/>
        </w:rPr>
        <w:t>S.,</w:t>
      </w:r>
      <w:r w:rsidRPr="004613E5">
        <w:rPr>
          <w:rFonts w:ascii="Times New Roman" w:hAnsi="Times New Roman" w:cs="Times New Roman"/>
          <w:spacing w:val="-13"/>
          <w:sz w:val="24"/>
          <w:szCs w:val="24"/>
          <w:lang w:val="es-AR"/>
        </w:rPr>
        <w:t xml:space="preserve"> </w:t>
      </w:r>
      <w:proofErr w:type="spellStart"/>
      <w:r w:rsidRPr="004613E5">
        <w:rPr>
          <w:rFonts w:ascii="Times New Roman" w:hAnsi="Times New Roman" w:cs="Times New Roman"/>
          <w:w w:val="105"/>
          <w:sz w:val="24"/>
          <w:szCs w:val="24"/>
          <w:lang w:val="es-AR"/>
        </w:rPr>
        <w:t>Peydró</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15"/>
          <w:w w:val="105"/>
          <w:sz w:val="24"/>
          <w:szCs w:val="24"/>
          <w:lang w:val="es-AR"/>
        </w:rPr>
        <w:t xml:space="preserve"> </w:t>
      </w:r>
      <w:r w:rsidRPr="004613E5">
        <w:rPr>
          <w:rFonts w:ascii="Times New Roman" w:hAnsi="Times New Roman" w:cs="Times New Roman"/>
          <w:sz w:val="24"/>
          <w:szCs w:val="24"/>
          <w:lang w:val="es-AR"/>
        </w:rPr>
        <w:t>J.L.,</w:t>
      </w:r>
      <w:r w:rsidRPr="004613E5">
        <w:rPr>
          <w:rFonts w:ascii="Times New Roman" w:hAnsi="Times New Roman" w:cs="Times New Roman"/>
          <w:spacing w:val="-12"/>
          <w:sz w:val="24"/>
          <w:szCs w:val="24"/>
          <w:lang w:val="es-AR"/>
        </w:rPr>
        <w:t xml:space="preserve"> </w:t>
      </w:r>
      <w:proofErr w:type="spellStart"/>
      <w:r w:rsidRPr="004613E5">
        <w:rPr>
          <w:rFonts w:ascii="Times New Roman" w:hAnsi="Times New Roman" w:cs="Times New Roman"/>
          <w:w w:val="105"/>
          <w:sz w:val="24"/>
          <w:szCs w:val="24"/>
          <w:lang w:val="es-AR"/>
        </w:rPr>
        <w:t>Saurina</w:t>
      </w:r>
      <w:proofErr w:type="spellEnd"/>
      <w:r w:rsidRPr="004613E5">
        <w:rPr>
          <w:rFonts w:ascii="Times New Roman" w:hAnsi="Times New Roman" w:cs="Times New Roman"/>
          <w:w w:val="105"/>
          <w:sz w:val="24"/>
          <w:szCs w:val="24"/>
          <w:lang w:val="es-AR"/>
        </w:rPr>
        <w:t>,</w:t>
      </w:r>
      <w:r w:rsidRPr="004613E5">
        <w:rPr>
          <w:rFonts w:ascii="Times New Roman" w:hAnsi="Times New Roman" w:cs="Times New Roman"/>
          <w:spacing w:val="-15"/>
          <w:w w:val="105"/>
          <w:sz w:val="24"/>
          <w:szCs w:val="24"/>
          <w:lang w:val="es-AR"/>
        </w:rPr>
        <w:t xml:space="preserve"> </w:t>
      </w:r>
      <w:r w:rsidRPr="004613E5">
        <w:rPr>
          <w:rFonts w:ascii="Times New Roman" w:hAnsi="Times New Roman" w:cs="Times New Roman"/>
          <w:sz w:val="24"/>
          <w:szCs w:val="24"/>
          <w:lang w:val="es-AR"/>
        </w:rPr>
        <w:t>J.,</w:t>
      </w:r>
      <w:r w:rsidRPr="004613E5">
        <w:rPr>
          <w:rFonts w:ascii="Times New Roman" w:hAnsi="Times New Roman" w:cs="Times New Roman"/>
          <w:spacing w:val="-13"/>
          <w:sz w:val="24"/>
          <w:szCs w:val="24"/>
          <w:lang w:val="es-AR"/>
        </w:rPr>
        <w:t xml:space="preserve"> </w:t>
      </w:r>
      <w:r w:rsidRPr="004613E5">
        <w:rPr>
          <w:rFonts w:ascii="Times New Roman" w:hAnsi="Times New Roman" w:cs="Times New Roman"/>
          <w:w w:val="105"/>
          <w:sz w:val="24"/>
          <w:szCs w:val="24"/>
          <w:lang w:val="es-AR"/>
        </w:rPr>
        <w:t>2007.</w:t>
      </w:r>
      <w:r w:rsidRPr="004613E5">
        <w:rPr>
          <w:rFonts w:ascii="Times New Roman" w:hAnsi="Times New Roman" w:cs="Times New Roman"/>
          <w:spacing w:val="-14"/>
          <w:w w:val="105"/>
          <w:sz w:val="24"/>
          <w:szCs w:val="24"/>
          <w:lang w:val="es-AR"/>
        </w:rPr>
        <w:t xml:space="preserve"> </w:t>
      </w:r>
      <w:r w:rsidRPr="006545C7">
        <w:rPr>
          <w:rFonts w:ascii="Times New Roman" w:hAnsi="Times New Roman" w:cs="Times New Roman"/>
          <w:w w:val="105"/>
          <w:sz w:val="24"/>
          <w:szCs w:val="24"/>
        </w:rPr>
        <w:t>Hazardous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times</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 xml:space="preserve">monetary </w:t>
      </w:r>
      <w:r w:rsidRPr="006545C7">
        <w:rPr>
          <w:rFonts w:ascii="Times New Roman" w:hAnsi="Times New Roman" w:cs="Times New Roman"/>
          <w:spacing w:val="5"/>
          <w:w w:val="105"/>
          <w:sz w:val="24"/>
          <w:szCs w:val="24"/>
        </w:rPr>
        <w:t>policy</w:t>
      </w:r>
      <w:r w:rsidRPr="006545C7">
        <w:rPr>
          <w:rFonts w:ascii="Times New Roman" w:hAnsi="Times New Roman" w:cs="Times New Roman"/>
          <w:w w:val="105"/>
          <w:sz w:val="24"/>
          <w:szCs w:val="24"/>
        </w:rPr>
        <w: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what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do</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twenty-three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million</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loans</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say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about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effects</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i/>
          <w:iCs/>
          <w:w w:val="105"/>
          <w:sz w:val="24"/>
          <w:szCs w:val="24"/>
        </w:rPr>
        <w:t>CEPR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Discussion</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Paper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6514.</w:t>
      </w:r>
    </w:p>
    <w:p w14:paraId="05D9FD1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Jiménez,</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6"/>
          <w:sz w:val="24"/>
          <w:szCs w:val="24"/>
        </w:rPr>
        <w:t xml:space="preserve"> </w:t>
      </w:r>
      <w:proofErr w:type="spellStart"/>
      <w:r w:rsidRPr="006545C7">
        <w:rPr>
          <w:rFonts w:ascii="Times New Roman" w:hAnsi="Times New Roman" w:cs="Times New Roman"/>
          <w:sz w:val="24"/>
          <w:szCs w:val="24"/>
        </w:rPr>
        <w:t>Saurina</w:t>
      </w:r>
      <w:proofErr w:type="spellEnd"/>
      <w:r w:rsidRPr="006545C7">
        <w:rPr>
          <w:rFonts w:ascii="Times New Roman" w:hAnsi="Times New Roman" w:cs="Times New Roman"/>
          <w:sz w:val="24"/>
          <w:szCs w:val="24"/>
        </w:rPr>
        <w: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cycles,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prudential</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 xml:space="preserve">regulation. </w:t>
      </w:r>
      <w:r w:rsidRPr="006545C7">
        <w:rPr>
          <w:rFonts w:ascii="Times New Roman" w:hAnsi="Times New Roman" w:cs="Times New Roman"/>
          <w:i/>
          <w:iCs/>
          <w:w w:val="105"/>
          <w:sz w:val="24"/>
          <w:szCs w:val="24"/>
        </w:rPr>
        <w:t>International</w:t>
      </w:r>
      <w:r w:rsidRPr="006545C7">
        <w:rPr>
          <w:rFonts w:ascii="Times New Roman" w:hAnsi="Times New Roman" w:cs="Times New Roman"/>
          <w:i/>
          <w:iCs/>
          <w:spacing w:val="-28"/>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Central</w:t>
      </w:r>
      <w:r w:rsidRPr="006545C7">
        <w:rPr>
          <w:rFonts w:ascii="Times New Roman" w:hAnsi="Times New Roman" w:cs="Times New Roman"/>
          <w:i/>
          <w:iCs/>
          <w:spacing w:val="-28"/>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w w:val="105"/>
          <w:sz w:val="24"/>
          <w:szCs w:val="24"/>
        </w:rPr>
        <w:t>,</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65–98.</w:t>
      </w:r>
    </w:p>
    <w:p w14:paraId="16CE983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lang w:val="es-AR"/>
        </w:rPr>
        <w:t>Jokivuolle</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3"/>
          <w:sz w:val="24"/>
          <w:szCs w:val="24"/>
          <w:lang w:val="es-AR"/>
        </w:rPr>
        <w:t xml:space="preserve"> </w:t>
      </w:r>
      <w:r w:rsidRPr="006545C7">
        <w:rPr>
          <w:rFonts w:ascii="Times New Roman" w:hAnsi="Times New Roman" w:cs="Times New Roman"/>
          <w:sz w:val="24"/>
          <w:szCs w:val="24"/>
          <w:lang w:val="es-AR"/>
        </w:rPr>
        <w:t>E.,</w:t>
      </w:r>
      <w:r w:rsidRPr="006545C7">
        <w:rPr>
          <w:rFonts w:ascii="Times New Roman" w:hAnsi="Times New Roman" w:cs="Times New Roman"/>
          <w:spacing w:val="-2"/>
          <w:sz w:val="24"/>
          <w:szCs w:val="24"/>
          <w:lang w:val="es-AR"/>
        </w:rPr>
        <w:t xml:space="preserve"> </w:t>
      </w:r>
      <w:proofErr w:type="spellStart"/>
      <w:r w:rsidRPr="006545C7">
        <w:rPr>
          <w:rFonts w:ascii="Times New Roman" w:hAnsi="Times New Roman" w:cs="Times New Roman"/>
          <w:sz w:val="24"/>
          <w:szCs w:val="24"/>
          <w:lang w:val="es-AR"/>
        </w:rPr>
        <w:t>Kiema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2"/>
          <w:sz w:val="24"/>
          <w:szCs w:val="24"/>
          <w:lang w:val="es-AR"/>
        </w:rPr>
        <w:t xml:space="preserve"> </w:t>
      </w:r>
      <w:r w:rsidRPr="006545C7">
        <w:rPr>
          <w:rFonts w:ascii="Times New Roman" w:hAnsi="Times New Roman" w:cs="Times New Roman"/>
          <w:sz w:val="24"/>
          <w:szCs w:val="24"/>
          <w:lang w:val="es-AR"/>
        </w:rPr>
        <w:t>I.,</w:t>
      </w:r>
      <w:r w:rsidRPr="006545C7">
        <w:rPr>
          <w:rFonts w:ascii="Times New Roman" w:hAnsi="Times New Roman" w:cs="Times New Roman"/>
          <w:spacing w:val="-2"/>
          <w:sz w:val="24"/>
          <w:szCs w:val="24"/>
          <w:lang w:val="es-AR"/>
        </w:rPr>
        <w:t xml:space="preserve"> </w:t>
      </w:r>
      <w:proofErr w:type="spellStart"/>
      <w:r w:rsidRPr="006545C7">
        <w:rPr>
          <w:rFonts w:ascii="Times New Roman" w:hAnsi="Times New Roman" w:cs="Times New Roman"/>
          <w:sz w:val="24"/>
          <w:szCs w:val="24"/>
          <w:lang w:val="es-AR"/>
        </w:rPr>
        <w:t>Vesala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3"/>
          <w:sz w:val="24"/>
          <w:szCs w:val="24"/>
          <w:lang w:val="es-AR"/>
        </w:rPr>
        <w:t xml:space="preserve"> </w:t>
      </w:r>
      <w:r w:rsidRPr="006545C7">
        <w:rPr>
          <w:rFonts w:ascii="Times New Roman" w:hAnsi="Times New Roman" w:cs="Times New Roman"/>
          <w:sz w:val="24"/>
          <w:szCs w:val="24"/>
          <w:lang w:val="es-AR"/>
        </w:rPr>
        <w:t>T.,</w:t>
      </w:r>
      <w:r w:rsidRPr="006545C7">
        <w:rPr>
          <w:rFonts w:ascii="Times New Roman" w:hAnsi="Times New Roman" w:cs="Times New Roman"/>
          <w:spacing w:val="-2"/>
          <w:sz w:val="24"/>
          <w:szCs w:val="24"/>
          <w:lang w:val="es-AR"/>
        </w:rPr>
        <w:t xml:space="preserve"> </w:t>
      </w:r>
      <w:r w:rsidRPr="006545C7">
        <w:rPr>
          <w:rFonts w:ascii="Times New Roman" w:hAnsi="Times New Roman" w:cs="Times New Roman"/>
          <w:sz w:val="24"/>
          <w:szCs w:val="24"/>
          <w:lang w:val="es-AR"/>
        </w:rPr>
        <w:t>2009.</w:t>
      </w:r>
      <w:r w:rsidRPr="006545C7">
        <w:rPr>
          <w:rFonts w:ascii="Times New Roman" w:hAnsi="Times New Roman" w:cs="Times New Roman"/>
          <w:spacing w:val="-2"/>
          <w:sz w:val="24"/>
          <w:szCs w:val="24"/>
          <w:lang w:val="es-AR"/>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allocation,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procyclicality.</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Finland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Research</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Discussion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Papers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23/2009.</w:t>
      </w:r>
    </w:p>
    <w:p w14:paraId="0EB27FC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Jordan,</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Peek,</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Rosengren,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2003.</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modelling</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cyclicality</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7"/>
          <w:sz w:val="24"/>
          <w:szCs w:val="24"/>
        </w:rPr>
        <w:t xml:space="preserve"> </w:t>
      </w:r>
      <w:r w:rsidRPr="006545C7">
        <w:rPr>
          <w:rFonts w:ascii="Times New Roman" w:hAnsi="Times New Roman" w:cs="Times New Roman"/>
          <w:i/>
          <w:iCs/>
          <w:sz w:val="24"/>
          <w:szCs w:val="24"/>
        </w:rPr>
        <w:t>Federal</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Reserve</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Boston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Paper.</w:t>
      </w:r>
    </w:p>
    <w:p w14:paraId="70DCAA31"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i/>
          <w:iCs/>
          <w:w w:val="105"/>
          <w:sz w:val="24"/>
          <w:szCs w:val="24"/>
        </w:rPr>
        <w:t>Journal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Intermediation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13,</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436–457.</w:t>
      </w:r>
    </w:p>
    <w:p w14:paraId="5C79FCC8"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Kallsen, Jan, and Murad S. </w:t>
      </w:r>
      <w:proofErr w:type="spellStart"/>
      <w:r w:rsidRPr="00F717E4">
        <w:rPr>
          <w:rFonts w:ascii="Times New Roman" w:hAnsi="Times New Roman" w:cs="Times New Roman"/>
          <w:sz w:val="24"/>
          <w:szCs w:val="24"/>
        </w:rPr>
        <w:t>Taqqu</w:t>
      </w:r>
      <w:proofErr w:type="spellEnd"/>
      <w:r w:rsidRPr="00F717E4">
        <w:rPr>
          <w:rFonts w:ascii="Times New Roman" w:hAnsi="Times New Roman" w:cs="Times New Roman"/>
          <w:sz w:val="24"/>
          <w:szCs w:val="24"/>
        </w:rPr>
        <w:t>, 1998, Option pricing in ARCH-type models, Mathematical Finance 8, 13–26.</w:t>
      </w:r>
    </w:p>
    <w:p w14:paraId="4EE35C8C"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Karatzas</w:t>
      </w:r>
      <w:proofErr w:type="spellEnd"/>
      <w:r w:rsidRPr="00F717E4">
        <w:rPr>
          <w:rFonts w:ascii="Times New Roman" w:hAnsi="Times New Roman" w:cs="Times New Roman"/>
          <w:sz w:val="24"/>
          <w:szCs w:val="24"/>
        </w:rPr>
        <w:t xml:space="preserve">, I., J. P. </w:t>
      </w:r>
      <w:proofErr w:type="spellStart"/>
      <w:r w:rsidRPr="00F717E4">
        <w:rPr>
          <w:rFonts w:ascii="Times New Roman" w:hAnsi="Times New Roman" w:cs="Times New Roman"/>
          <w:sz w:val="24"/>
          <w:szCs w:val="24"/>
        </w:rPr>
        <w:t>Lehoczky</w:t>
      </w:r>
      <w:proofErr w:type="spellEnd"/>
      <w:r w:rsidRPr="00F717E4">
        <w:rPr>
          <w:rFonts w:ascii="Times New Roman" w:hAnsi="Times New Roman" w:cs="Times New Roman"/>
          <w:sz w:val="24"/>
          <w:szCs w:val="24"/>
        </w:rPr>
        <w:t xml:space="preserve">, and S. E. Shreve, 1987, Optimal portfolio and consumption decisions for a small investor on a finite horizon, </w:t>
      </w:r>
      <w:r w:rsidRPr="008329B9">
        <w:rPr>
          <w:rFonts w:ascii="Times New Roman" w:hAnsi="Times New Roman" w:cs="Times New Roman"/>
          <w:i/>
          <w:sz w:val="24"/>
          <w:szCs w:val="24"/>
        </w:rPr>
        <w:t>SIAM Journal of Control and Optimization</w:t>
      </w:r>
      <w:r w:rsidRPr="00F717E4">
        <w:rPr>
          <w:rFonts w:ascii="Times New Roman" w:hAnsi="Times New Roman" w:cs="Times New Roman"/>
          <w:sz w:val="24"/>
          <w:szCs w:val="24"/>
        </w:rPr>
        <w:t xml:space="preserve"> 25, 1157–1186. </w:t>
      </w:r>
    </w:p>
    <w:p w14:paraId="0362432D"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Karatzas</w:t>
      </w:r>
      <w:proofErr w:type="spellEnd"/>
      <w:r w:rsidRPr="00F717E4">
        <w:rPr>
          <w:rFonts w:ascii="Times New Roman" w:hAnsi="Times New Roman" w:cs="Times New Roman"/>
          <w:sz w:val="24"/>
          <w:szCs w:val="24"/>
        </w:rPr>
        <w:t xml:space="preserve">, I., J. P. </w:t>
      </w:r>
      <w:proofErr w:type="spellStart"/>
      <w:r w:rsidRPr="00F717E4">
        <w:rPr>
          <w:rFonts w:ascii="Times New Roman" w:hAnsi="Times New Roman" w:cs="Times New Roman"/>
          <w:sz w:val="24"/>
          <w:szCs w:val="24"/>
        </w:rPr>
        <w:t>Lehoczky</w:t>
      </w:r>
      <w:proofErr w:type="spellEnd"/>
      <w:r w:rsidRPr="00F717E4">
        <w:rPr>
          <w:rFonts w:ascii="Times New Roman" w:hAnsi="Times New Roman" w:cs="Times New Roman"/>
          <w:sz w:val="24"/>
          <w:szCs w:val="24"/>
        </w:rPr>
        <w:t>, and Stephen E. Shreve, 1990, Existence and uniqueness of multiagent equilibrium in a stochastic, dynamic consumption0investment model, Mathematics of Operations Research, 15, 80–128.</w:t>
      </w:r>
    </w:p>
    <w:p w14:paraId="6BB7C06E"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Karatzas</w:t>
      </w:r>
      <w:proofErr w:type="spellEnd"/>
      <w:r w:rsidRPr="00F717E4">
        <w:rPr>
          <w:rFonts w:ascii="Times New Roman" w:hAnsi="Times New Roman" w:cs="Times New Roman"/>
          <w:sz w:val="24"/>
          <w:szCs w:val="24"/>
        </w:rPr>
        <w:t xml:space="preserve">, I., J. P. </w:t>
      </w:r>
      <w:proofErr w:type="spellStart"/>
      <w:r w:rsidRPr="00F717E4">
        <w:rPr>
          <w:rFonts w:ascii="Times New Roman" w:hAnsi="Times New Roman" w:cs="Times New Roman"/>
          <w:sz w:val="24"/>
          <w:szCs w:val="24"/>
        </w:rPr>
        <w:t>Lehoczky</w:t>
      </w:r>
      <w:proofErr w:type="spellEnd"/>
      <w:r w:rsidRPr="00F717E4">
        <w:rPr>
          <w:rFonts w:ascii="Times New Roman" w:hAnsi="Times New Roman" w:cs="Times New Roman"/>
          <w:sz w:val="24"/>
          <w:szCs w:val="24"/>
        </w:rPr>
        <w:t xml:space="preserve">, S. P. Sethi, and S. E. Shreve, 1986, Explicit solutions of a general consumption0investment problem, </w:t>
      </w:r>
      <w:r w:rsidRPr="008329B9">
        <w:rPr>
          <w:rFonts w:ascii="Times New Roman" w:hAnsi="Times New Roman" w:cs="Times New Roman"/>
          <w:i/>
          <w:sz w:val="24"/>
          <w:szCs w:val="24"/>
        </w:rPr>
        <w:t>Mathematics of Operations Research</w:t>
      </w:r>
      <w:r w:rsidRPr="00F717E4">
        <w:rPr>
          <w:rFonts w:ascii="Times New Roman" w:hAnsi="Times New Roman" w:cs="Times New Roman"/>
          <w:sz w:val="24"/>
          <w:szCs w:val="24"/>
        </w:rPr>
        <w:t xml:space="preserve"> 11, 261–294. </w:t>
      </w:r>
    </w:p>
    <w:p w14:paraId="035E26D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Kashyap,</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Stein,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1994.</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Mankiw,</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(Ed.),</w:t>
      </w:r>
      <w:r w:rsidRPr="006545C7">
        <w:rPr>
          <w:rFonts w:ascii="Times New Roman" w:hAnsi="Times New Roman" w:cs="Times New Roman"/>
          <w:w w:val="101"/>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2"/>
          <w:sz w:val="24"/>
          <w:szCs w:val="24"/>
        </w:rPr>
        <w:t xml:space="preserve"> </w:t>
      </w:r>
      <w:r w:rsidRPr="006545C7">
        <w:rPr>
          <w:rFonts w:ascii="Times New Roman" w:hAnsi="Times New Roman" w:cs="Times New Roman"/>
          <w:i/>
          <w:iCs/>
          <w:sz w:val="24"/>
          <w:szCs w:val="24"/>
        </w:rPr>
        <w:t>University</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Chicago</w:t>
      </w:r>
      <w:r w:rsidRPr="006545C7">
        <w:rPr>
          <w:rFonts w:ascii="Times New Roman" w:hAnsi="Times New Roman" w:cs="Times New Roman"/>
          <w:i/>
          <w:iCs/>
          <w:spacing w:val="13"/>
          <w:sz w:val="24"/>
          <w:szCs w:val="24"/>
        </w:rPr>
        <w:t xml:space="preserve"> </w:t>
      </w:r>
      <w:r w:rsidRPr="006545C7">
        <w:rPr>
          <w:rFonts w:ascii="Times New Roman" w:hAnsi="Times New Roman" w:cs="Times New Roman"/>
          <w:i/>
          <w:iCs/>
          <w:sz w:val="24"/>
          <w:szCs w:val="24"/>
        </w:rPr>
        <w:t>Press</w:t>
      </w:r>
      <w:r w:rsidRPr="006545C7">
        <w:rPr>
          <w:rFonts w:ascii="Times New Roman" w:hAnsi="Times New Roman" w:cs="Times New Roman"/>
          <w:sz w:val="24"/>
          <w:szCs w:val="24"/>
        </w:rPr>
        <w:t>,</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pp.</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221–256.</w:t>
      </w:r>
    </w:p>
    <w:p w14:paraId="4E03ADF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Kashyap,</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Stein,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2000.</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What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do</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million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observations</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on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say</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about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9"/>
          <w:sz w:val="24"/>
          <w:szCs w:val="24"/>
        </w:rPr>
        <w:t xml:space="preserve"> </w:t>
      </w:r>
      <w:r w:rsidRPr="006545C7">
        <w:rPr>
          <w:rFonts w:ascii="Times New Roman" w:hAnsi="Times New Roman" w:cs="Times New Roman"/>
          <w:i/>
          <w:iCs/>
          <w:sz w:val="24"/>
          <w:szCs w:val="24"/>
        </w:rPr>
        <w:t>American</w:t>
      </w:r>
      <w:r w:rsidRPr="006545C7">
        <w:rPr>
          <w:rFonts w:ascii="Times New Roman" w:hAnsi="Times New Roman" w:cs="Times New Roman"/>
          <w:i/>
          <w:iCs/>
          <w:spacing w:val="20"/>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19"/>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90,</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407–428.</w:t>
      </w:r>
    </w:p>
    <w:p w14:paraId="7E34A8C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lastRenderedPageBreak/>
        <w:t>Kashyap,</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Stein,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Cyclical</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implications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 xml:space="preserve">standards. </w:t>
      </w:r>
      <w:r w:rsidRPr="006545C7">
        <w:rPr>
          <w:rFonts w:ascii="Times New Roman" w:hAnsi="Times New Roman" w:cs="Times New Roman"/>
          <w:i/>
          <w:iCs/>
          <w:w w:val="105"/>
          <w:sz w:val="24"/>
          <w:szCs w:val="24"/>
        </w:rPr>
        <w:t>Federal</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Reserve</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Bank</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Chicago</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Perspectives</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1,</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18–31.</w:t>
      </w:r>
    </w:p>
    <w:p w14:paraId="453AC26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Kishan</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2"/>
          <w:sz w:val="24"/>
          <w:szCs w:val="24"/>
        </w:rPr>
        <w:t xml:space="preserve"> </w:t>
      </w:r>
      <w:proofErr w:type="spellStart"/>
      <w:r w:rsidRPr="006545C7">
        <w:rPr>
          <w:rFonts w:ascii="Times New Roman" w:hAnsi="Times New Roman" w:cs="Times New Roman"/>
          <w:sz w:val="24"/>
          <w:szCs w:val="24"/>
        </w:rPr>
        <w:t>Opiela</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loan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asymmetry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i/>
          <w:iCs/>
          <w:sz w:val="24"/>
          <w:szCs w:val="24"/>
        </w:rPr>
        <w:t>.</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3"/>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30,</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259–285.</w:t>
      </w:r>
    </w:p>
    <w:p w14:paraId="7A412F4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Kiyotaki</w:t>
      </w:r>
      <w:proofErr w:type="spellEnd"/>
      <w:r w:rsidRPr="006545C7">
        <w:rPr>
          <w:rFonts w:ascii="Times New Roman" w:hAnsi="Times New Roman" w:cs="Times New Roman"/>
          <w:sz w:val="24"/>
          <w:szCs w:val="24"/>
        </w:rPr>
        <w:t>,</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N.,</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Moore,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1997.</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cycles</w:t>
      </w:r>
      <w:r w:rsidRPr="006545C7">
        <w:rPr>
          <w:rFonts w:ascii="Times New Roman" w:hAnsi="Times New Roman" w:cs="Times New Roman"/>
          <w:i/>
          <w:iCs/>
          <w:sz w:val="24"/>
          <w:szCs w:val="24"/>
        </w:rPr>
        <w:t>.</w:t>
      </w:r>
      <w:r w:rsidRPr="006545C7">
        <w:rPr>
          <w:rFonts w:ascii="Times New Roman" w:hAnsi="Times New Roman" w:cs="Times New Roman"/>
          <w:i/>
          <w:iCs/>
          <w:spacing w:val="-14"/>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4"/>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5"/>
          <w:sz w:val="24"/>
          <w:szCs w:val="24"/>
        </w:rPr>
        <w:t xml:space="preserve"> </w:t>
      </w:r>
      <w:r w:rsidRPr="006545C7">
        <w:rPr>
          <w:rFonts w:ascii="Times New Roman" w:hAnsi="Times New Roman" w:cs="Times New Roman"/>
          <w:i/>
          <w:iCs/>
          <w:sz w:val="24"/>
          <w:szCs w:val="24"/>
        </w:rPr>
        <w:t>Political</w:t>
      </w:r>
      <w:r w:rsidRPr="006545C7">
        <w:rPr>
          <w:rFonts w:ascii="Times New Roman" w:hAnsi="Times New Roman" w:cs="Times New Roman"/>
          <w:i/>
          <w:iCs/>
          <w:spacing w:val="-14"/>
          <w:sz w:val="24"/>
          <w:szCs w:val="24"/>
        </w:rPr>
        <w:t xml:space="preserve"> </w:t>
      </w:r>
      <w:r w:rsidRPr="006545C7">
        <w:rPr>
          <w:rFonts w:ascii="Times New Roman" w:hAnsi="Times New Roman" w:cs="Times New Roman"/>
          <w:i/>
          <w:iCs/>
          <w:sz w:val="24"/>
          <w:szCs w:val="24"/>
        </w:rPr>
        <w:t>Economy</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105,</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211–248.</w:t>
      </w:r>
      <w:r w:rsidRPr="006545C7">
        <w:rPr>
          <w:rFonts w:ascii="Times New Roman" w:hAnsi="Times New Roman" w:cs="Times New Roman"/>
          <w:w w:val="104"/>
          <w:sz w:val="24"/>
          <w:szCs w:val="24"/>
        </w:rPr>
        <w:t xml:space="preserve"> </w:t>
      </w:r>
      <w:proofErr w:type="spellStart"/>
      <w:r w:rsidRPr="006545C7">
        <w:rPr>
          <w:rFonts w:ascii="Times New Roman" w:hAnsi="Times New Roman" w:cs="Times New Roman"/>
          <w:sz w:val="24"/>
          <w:szCs w:val="24"/>
        </w:rPr>
        <w:t>Kiyotaki</w:t>
      </w:r>
      <w:proofErr w:type="spellEnd"/>
      <w:r w:rsidRPr="006545C7">
        <w:rPr>
          <w:rFonts w:ascii="Times New Roman" w:hAnsi="Times New Roman" w:cs="Times New Roman"/>
          <w:sz w:val="24"/>
          <w:szCs w:val="24"/>
        </w:rPr>
        <w: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Moore,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Cycles,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9"/>
          <w:sz w:val="24"/>
          <w:szCs w:val="24"/>
        </w:rPr>
        <w:t xml:space="preserve"> </w:t>
      </w:r>
      <w:r w:rsidRPr="006545C7">
        <w:rPr>
          <w:rFonts w:ascii="Times New Roman" w:hAnsi="Times New Roman" w:cs="Times New Roman"/>
          <w:i/>
          <w:iCs/>
          <w:sz w:val="24"/>
          <w:szCs w:val="24"/>
        </w:rPr>
        <w:t>Mimeo</w:t>
      </w:r>
      <w:r w:rsidRPr="006545C7">
        <w:rPr>
          <w:rFonts w:ascii="Times New Roman" w:hAnsi="Times New Roman" w:cs="Times New Roman"/>
          <w:sz w:val="24"/>
          <w:szCs w:val="24"/>
        </w:rPr>
        <w:t>.</w:t>
      </w:r>
      <w:r w:rsidRPr="006545C7">
        <w:rPr>
          <w:rFonts w:ascii="Times New Roman" w:hAnsi="Times New Roman" w:cs="Times New Roman"/>
          <w:w w:val="108"/>
          <w:sz w:val="24"/>
          <w:szCs w:val="24"/>
        </w:rPr>
        <w:t xml:space="preserve"> </w:t>
      </w:r>
      <w:proofErr w:type="spellStart"/>
      <w:r w:rsidRPr="006545C7">
        <w:rPr>
          <w:rFonts w:ascii="Times New Roman" w:hAnsi="Times New Roman" w:cs="Times New Roman"/>
          <w:sz w:val="24"/>
          <w:szCs w:val="24"/>
        </w:rPr>
        <w:t>Kiyotaki</w:t>
      </w:r>
      <w:proofErr w:type="spellEnd"/>
      <w:r w:rsidRPr="006545C7">
        <w:rPr>
          <w:rFonts w:ascii="Times New Roman" w:hAnsi="Times New Roman" w:cs="Times New Roman"/>
          <w:sz w:val="24"/>
          <w:szCs w:val="24"/>
        </w:rPr>
        <w:t>,</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N.,</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Moore,</w:t>
      </w:r>
      <w:r w:rsidRPr="006545C7">
        <w:rPr>
          <w:rFonts w:ascii="Times New Roman" w:hAnsi="Times New Roman" w:cs="Times New Roman"/>
          <w:spacing w:val="28"/>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28"/>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27"/>
          <w:sz w:val="24"/>
          <w:szCs w:val="24"/>
        </w:rPr>
        <w:t xml:space="preserve"> </w:t>
      </w:r>
      <w:r w:rsidRPr="006545C7">
        <w:rPr>
          <w:rFonts w:ascii="Times New Roman" w:hAnsi="Times New Roman" w:cs="Times New Roman"/>
          <w:sz w:val="24"/>
          <w:szCs w:val="24"/>
        </w:rPr>
        <w:t>prices.</w:t>
      </w:r>
      <w:r w:rsidRPr="006545C7">
        <w:rPr>
          <w:rFonts w:ascii="Times New Roman" w:hAnsi="Times New Roman" w:cs="Times New Roman"/>
          <w:spacing w:val="28"/>
          <w:sz w:val="24"/>
          <w:szCs w:val="24"/>
        </w:rPr>
        <w:t xml:space="preserve"> </w:t>
      </w:r>
      <w:r w:rsidRPr="006545C7">
        <w:rPr>
          <w:rFonts w:ascii="Times New Roman" w:hAnsi="Times New Roman" w:cs="Times New Roman"/>
          <w:i/>
          <w:iCs/>
          <w:sz w:val="24"/>
          <w:szCs w:val="24"/>
        </w:rPr>
        <w:t>International</w:t>
      </w:r>
      <w:r w:rsidRPr="006545C7">
        <w:rPr>
          <w:rFonts w:ascii="Times New Roman" w:hAnsi="Times New Roman" w:cs="Times New Roman"/>
          <w:i/>
          <w:iCs/>
          <w:spacing w:val="27"/>
          <w:sz w:val="24"/>
          <w:szCs w:val="24"/>
        </w:rPr>
        <w:t xml:space="preserve"> </w:t>
      </w:r>
      <w:r w:rsidRPr="006545C7">
        <w:rPr>
          <w:rFonts w:ascii="Times New Roman" w:hAnsi="Times New Roman" w:cs="Times New Roman"/>
          <w:i/>
          <w:iCs/>
          <w:sz w:val="24"/>
          <w:szCs w:val="24"/>
        </w:rPr>
        <w:t xml:space="preserve">Economic </w:t>
      </w:r>
      <w:r w:rsidRPr="006545C7">
        <w:rPr>
          <w:rFonts w:ascii="Times New Roman" w:hAnsi="Times New Roman" w:cs="Times New Roman"/>
          <w:i/>
          <w:iCs/>
          <w:w w:val="105"/>
          <w:sz w:val="24"/>
          <w:szCs w:val="24"/>
        </w:rPr>
        <w:t>Review</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46,</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317–349.</w:t>
      </w:r>
    </w:p>
    <w:p w14:paraId="31C0922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Knight,</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M.D.,</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Now</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you</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see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it,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now</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you</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don’t:</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small</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large.</w:t>
      </w:r>
      <w:r w:rsidRPr="006545C7">
        <w:rPr>
          <w:rFonts w:ascii="Times New Roman" w:hAnsi="Times New Roman" w:cs="Times New Roman"/>
          <w:w w:val="103"/>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Keynote</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address</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Eighth</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Annual</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Management</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Convention</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Global</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Association</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Risk</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Professionals</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February</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27–28.</w:t>
      </w:r>
    </w:p>
    <w:p w14:paraId="43B40C0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Koopman,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Lucas,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3"/>
          <w:sz w:val="24"/>
          <w:szCs w:val="24"/>
        </w:rPr>
        <w:t xml:space="preserve"> </w:t>
      </w:r>
      <w:proofErr w:type="spellStart"/>
      <w:r w:rsidRPr="006545C7">
        <w:rPr>
          <w:rFonts w:ascii="Times New Roman" w:hAnsi="Times New Roman" w:cs="Times New Roman"/>
          <w:sz w:val="24"/>
          <w:szCs w:val="24"/>
        </w:rPr>
        <w:t>Klaassen</w:t>
      </w:r>
      <w:proofErr w:type="spellEnd"/>
      <w:r w:rsidRPr="006545C7">
        <w:rPr>
          <w:rFonts w:ascii="Times New Roman" w:hAnsi="Times New Roman" w:cs="Times New Roman"/>
          <w:sz w:val="24"/>
          <w:szCs w:val="24"/>
        </w:rPr>
        <w: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Empirical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cycles</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buffer</w:t>
      </w:r>
      <w:r w:rsidRPr="006545C7">
        <w:rPr>
          <w:rFonts w:ascii="Times New Roman" w:hAnsi="Times New Roman" w:cs="Times New Roman"/>
          <w:w w:val="105"/>
          <w:sz w:val="24"/>
          <w:szCs w:val="24"/>
        </w:rPr>
        <w:t xml:space="preserve"> </w:t>
      </w:r>
      <w:r w:rsidRPr="006545C7">
        <w:rPr>
          <w:rFonts w:ascii="Times New Roman" w:hAnsi="Times New Roman" w:cs="Times New Roman"/>
          <w:sz w:val="24"/>
          <w:szCs w:val="24"/>
        </w:rPr>
        <w:t>formation.</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29,</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3159–3179.</w:t>
      </w:r>
    </w:p>
    <w:p w14:paraId="6D3E6047"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Koopman, S.J., </w:t>
      </w:r>
      <w:proofErr w:type="spellStart"/>
      <w:r w:rsidRPr="00F717E4">
        <w:rPr>
          <w:rFonts w:ascii="Times New Roman" w:hAnsi="Times New Roman" w:cs="Times New Roman"/>
          <w:sz w:val="24"/>
          <w:szCs w:val="24"/>
        </w:rPr>
        <w:t>Jungbacker</w:t>
      </w:r>
      <w:proofErr w:type="spellEnd"/>
      <w:r w:rsidRPr="00F717E4">
        <w:rPr>
          <w:rFonts w:ascii="Times New Roman" w:hAnsi="Times New Roman" w:cs="Times New Roman"/>
          <w:sz w:val="24"/>
          <w:szCs w:val="24"/>
        </w:rPr>
        <w:t xml:space="preserve">, B., </w:t>
      </w:r>
      <w:proofErr w:type="spellStart"/>
      <w:r w:rsidRPr="00F717E4">
        <w:rPr>
          <w:rFonts w:ascii="Times New Roman" w:hAnsi="Times New Roman" w:cs="Times New Roman"/>
          <w:sz w:val="24"/>
          <w:szCs w:val="24"/>
        </w:rPr>
        <w:t>Hol</w:t>
      </w:r>
      <w:proofErr w:type="spellEnd"/>
      <w:r w:rsidRPr="00F717E4">
        <w:rPr>
          <w:rFonts w:ascii="Times New Roman" w:hAnsi="Times New Roman" w:cs="Times New Roman"/>
          <w:sz w:val="24"/>
          <w:szCs w:val="24"/>
        </w:rPr>
        <w:t>, E. (2005), Forecasting daily variability of the S&amp;P 100 stock index using historical, realised and implied volatility measurements. Journal of Empirical Finance, 12(3), 445-475.</w:t>
      </w:r>
    </w:p>
    <w:p w14:paraId="0D0067A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Kopecky</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K.,</w:t>
      </w:r>
      <w:r w:rsidRPr="006545C7">
        <w:rPr>
          <w:rFonts w:ascii="Times New Roman" w:hAnsi="Times New Roman" w:cs="Times New Roman"/>
          <w:spacing w:val="-16"/>
          <w:w w:val="105"/>
          <w:sz w:val="24"/>
          <w:szCs w:val="24"/>
        </w:rPr>
        <w:t xml:space="preserve"> </w:t>
      </w:r>
      <w:proofErr w:type="spellStart"/>
      <w:r w:rsidRPr="006545C7">
        <w:rPr>
          <w:rFonts w:ascii="Times New Roman" w:hAnsi="Times New Roman" w:cs="Times New Roman"/>
          <w:w w:val="105"/>
          <w:sz w:val="24"/>
          <w:szCs w:val="24"/>
        </w:rPr>
        <w:t>VanHoose</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2004a.</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model</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sector</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with</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without</w:t>
      </w:r>
      <w:r w:rsidRPr="006545C7">
        <w:rPr>
          <w:rFonts w:ascii="Times New Roman" w:hAnsi="Times New Roman" w:cs="Times New Roman"/>
          <w:w w:val="108"/>
          <w:sz w:val="24"/>
          <w:szCs w:val="24"/>
        </w:rPr>
        <w:t xml:space="preserve"> </w:t>
      </w:r>
      <w:r w:rsidRPr="006545C7">
        <w:rPr>
          <w:rFonts w:ascii="Times New Roman" w:hAnsi="Times New Roman" w:cs="Times New Roman"/>
          <w:w w:val="105"/>
          <w:sz w:val="24"/>
          <w:szCs w:val="24"/>
        </w:rPr>
        <w:t>binding</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w w:val="105"/>
          <w:sz w:val="24"/>
          <w:szCs w:val="24"/>
        </w:rPr>
        <w:t>28,</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633–646.</w:t>
      </w:r>
    </w:p>
    <w:p w14:paraId="6396104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Kopecky</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K.,</w:t>
      </w:r>
      <w:r w:rsidRPr="006545C7">
        <w:rPr>
          <w:rFonts w:ascii="Times New Roman" w:hAnsi="Times New Roman" w:cs="Times New Roman"/>
          <w:spacing w:val="2"/>
          <w:w w:val="105"/>
          <w:sz w:val="24"/>
          <w:szCs w:val="24"/>
        </w:rPr>
        <w:t xml:space="preserve"> </w:t>
      </w:r>
      <w:proofErr w:type="spellStart"/>
      <w:r w:rsidRPr="006545C7">
        <w:rPr>
          <w:rFonts w:ascii="Times New Roman" w:hAnsi="Times New Roman" w:cs="Times New Roman"/>
          <w:w w:val="105"/>
          <w:sz w:val="24"/>
          <w:szCs w:val="24"/>
        </w:rPr>
        <w:t>VanHoose</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2004b.</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w w:val="107"/>
          <w:sz w:val="24"/>
          <w:szCs w:val="24"/>
        </w:rPr>
        <w:t xml:space="preserve"> </w:t>
      </w:r>
      <w:r w:rsidRPr="006545C7">
        <w:rPr>
          <w:rFonts w:ascii="Times New Roman" w:hAnsi="Times New Roman" w:cs="Times New Roman"/>
          <w:w w:val="105"/>
          <w:sz w:val="24"/>
          <w:szCs w:val="24"/>
        </w:rPr>
        <w:t>transmission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mechanism</w:t>
      </w:r>
      <w:r w:rsidRPr="006545C7">
        <w:rPr>
          <w:rFonts w:ascii="Times New Roman" w:hAnsi="Times New Roman" w:cs="Times New Roman"/>
          <w:i/>
          <w:iCs/>
          <w:w w:val="105"/>
          <w:sz w:val="24"/>
          <w:szCs w:val="24"/>
        </w:rPr>
        <w:t>.</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Macroeconomics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26,</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443–464.</w:t>
      </w:r>
    </w:p>
    <w:p w14:paraId="0EFAF84B" w14:textId="77777777" w:rsidR="00F717E4" w:rsidRPr="006545C7" w:rsidRDefault="00F717E4" w:rsidP="00990265">
      <w:pPr>
        <w:pStyle w:val="ListParagraph"/>
        <w:numPr>
          <w:ilvl w:val="0"/>
          <w:numId w:val="5"/>
        </w:numPr>
        <w:jc w:val="both"/>
        <w:rPr>
          <w:rFonts w:ascii="Times New Roman" w:hAnsi="Times New Roman" w:cs="Times New Roman"/>
          <w:w w:val="104"/>
          <w:sz w:val="24"/>
          <w:szCs w:val="24"/>
        </w:rPr>
      </w:pPr>
      <w:proofErr w:type="spellStart"/>
      <w:r w:rsidRPr="006545C7">
        <w:rPr>
          <w:rFonts w:ascii="Times New Roman" w:hAnsi="Times New Roman" w:cs="Times New Roman"/>
          <w:sz w:val="24"/>
          <w:szCs w:val="24"/>
        </w:rPr>
        <w:t>Kopecky</w:t>
      </w:r>
      <w:proofErr w:type="spellEnd"/>
      <w:r w:rsidRPr="006545C7">
        <w:rPr>
          <w:rFonts w:ascii="Times New Roman" w:hAnsi="Times New Roman" w:cs="Times New Roman"/>
          <w:sz w:val="24"/>
          <w:szCs w:val="24"/>
        </w:rPr>
        <w:t xml:space="preserve">, K., </w:t>
      </w:r>
      <w:proofErr w:type="spellStart"/>
      <w:r w:rsidRPr="006545C7">
        <w:rPr>
          <w:rFonts w:ascii="Times New Roman" w:hAnsi="Times New Roman" w:cs="Times New Roman"/>
          <w:spacing w:val="1"/>
          <w:sz w:val="24"/>
          <w:szCs w:val="24"/>
        </w:rPr>
        <w:t>VanHoose</w:t>
      </w:r>
      <w:proofErr w:type="spellEnd"/>
      <w:r w:rsidRPr="006545C7">
        <w:rPr>
          <w:rFonts w:ascii="Times New Roman" w:hAnsi="Times New Roman" w:cs="Times New Roman"/>
          <w:sz w:val="24"/>
          <w:szCs w:val="24"/>
        </w:rPr>
        <w:t xml:space="preserve">, </w:t>
      </w:r>
      <w:r w:rsidRPr="006545C7">
        <w:rPr>
          <w:rFonts w:ascii="Times New Roman" w:hAnsi="Times New Roman" w:cs="Times New Roman"/>
          <w:spacing w:val="1"/>
          <w:sz w:val="24"/>
          <w:szCs w:val="24"/>
        </w:rPr>
        <w:t>D.</w:t>
      </w:r>
      <w:r w:rsidRPr="006545C7">
        <w:rPr>
          <w:rFonts w:ascii="Times New Roman" w:hAnsi="Times New Roman" w:cs="Times New Roman"/>
          <w:sz w:val="24"/>
          <w:szCs w:val="24"/>
        </w:rPr>
        <w:t xml:space="preserve">, </w:t>
      </w:r>
      <w:r w:rsidRPr="006545C7">
        <w:rPr>
          <w:rFonts w:ascii="Times New Roman" w:hAnsi="Times New Roman" w:cs="Times New Roman"/>
          <w:spacing w:val="1"/>
          <w:sz w:val="24"/>
          <w:szCs w:val="24"/>
        </w:rPr>
        <w:t>2006</w:t>
      </w:r>
      <w:r w:rsidRPr="006545C7">
        <w:rPr>
          <w:rFonts w:ascii="Times New Roman" w:hAnsi="Times New Roman" w:cs="Times New Roman"/>
          <w:sz w:val="24"/>
          <w:szCs w:val="24"/>
        </w:rPr>
        <w:t xml:space="preserve">. </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 xml:space="preserve">Capital regulation, </w:t>
      </w:r>
      <w:r w:rsidRPr="006545C7">
        <w:rPr>
          <w:rFonts w:ascii="Times New Roman" w:hAnsi="Times New Roman" w:cs="Times New Roman"/>
          <w:spacing w:val="1"/>
          <w:sz w:val="24"/>
          <w:szCs w:val="24"/>
        </w:rPr>
        <w:t>heterogeneous</w:t>
      </w:r>
      <w:r w:rsidRPr="006545C7">
        <w:rPr>
          <w:rFonts w:ascii="Times New Roman" w:hAnsi="Times New Roman" w:cs="Times New Roman"/>
          <w:sz w:val="24"/>
          <w:szCs w:val="24"/>
        </w:rPr>
        <w:t xml:space="preserve"> </w:t>
      </w:r>
      <w:r w:rsidRPr="006545C7">
        <w:rPr>
          <w:rFonts w:ascii="Times New Roman" w:hAnsi="Times New Roman" w:cs="Times New Roman"/>
          <w:spacing w:val="1"/>
          <w:sz w:val="24"/>
          <w:szCs w:val="24"/>
        </w:rPr>
        <w:t>monitoring</w:t>
      </w:r>
      <w:r w:rsidRPr="006545C7">
        <w:rPr>
          <w:rFonts w:ascii="Times New Roman" w:hAnsi="Times New Roman" w:cs="Times New Roman"/>
          <w:w w:val="107"/>
          <w:sz w:val="24"/>
          <w:szCs w:val="24"/>
        </w:rPr>
        <w:t xml:space="preserve"> </w:t>
      </w:r>
      <w:r w:rsidRPr="006545C7">
        <w:rPr>
          <w:rFonts w:ascii="Times New Roman" w:hAnsi="Times New Roman" w:cs="Times New Roman"/>
          <w:sz w:val="24"/>
          <w:szCs w:val="24"/>
        </w:rPr>
        <w:t>costs,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aggregate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loan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quality.</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10"/>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30,</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2235–2255.</w:t>
      </w:r>
      <w:r w:rsidRPr="006545C7">
        <w:rPr>
          <w:rFonts w:ascii="Times New Roman" w:hAnsi="Times New Roman" w:cs="Times New Roman"/>
          <w:w w:val="104"/>
          <w:sz w:val="24"/>
          <w:szCs w:val="24"/>
        </w:rPr>
        <w:t xml:space="preserve"> </w:t>
      </w:r>
    </w:p>
    <w:p w14:paraId="4D1404D3"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Kuttner</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K.,</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Mosser,</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mechanism:</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some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answers</w:t>
      </w:r>
      <w:r w:rsidRPr="006545C7">
        <w:rPr>
          <w:rFonts w:ascii="Times New Roman" w:hAnsi="Times New Roman" w:cs="Times New Roman"/>
          <w:w w:val="104"/>
          <w:sz w:val="24"/>
          <w:szCs w:val="24"/>
        </w:rPr>
        <w:t xml:space="preserve"> </w:t>
      </w:r>
      <w:r w:rsidRPr="006545C7">
        <w:rPr>
          <w:rFonts w:ascii="Times New Roman" w:hAnsi="Times New Roman" w:cs="Times New Roman"/>
          <w:sz w:val="24"/>
          <w:szCs w:val="24"/>
        </w:rPr>
        <w:t xml:space="preserve">and </w:t>
      </w:r>
      <w:r w:rsidRPr="006545C7">
        <w:rPr>
          <w:rFonts w:ascii="Times New Roman" w:hAnsi="Times New Roman" w:cs="Times New Roman"/>
          <w:spacing w:val="1"/>
          <w:sz w:val="24"/>
          <w:szCs w:val="24"/>
        </w:rPr>
        <w:t>further</w:t>
      </w:r>
      <w:r w:rsidRPr="006545C7">
        <w:rPr>
          <w:rFonts w:ascii="Times New Roman" w:hAnsi="Times New Roman" w:cs="Times New Roman"/>
          <w:sz w:val="24"/>
          <w:szCs w:val="24"/>
        </w:rPr>
        <w:t xml:space="preserve"> </w:t>
      </w:r>
      <w:r w:rsidRPr="006545C7">
        <w:rPr>
          <w:rFonts w:ascii="Times New Roman" w:hAnsi="Times New Roman" w:cs="Times New Roman"/>
          <w:spacing w:val="1"/>
          <w:sz w:val="24"/>
          <w:szCs w:val="24"/>
        </w:rPr>
        <w:t>questions</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 xml:space="preserve">Federal </w:t>
      </w:r>
      <w:r w:rsidRPr="006545C7">
        <w:rPr>
          <w:rFonts w:ascii="Times New Roman" w:hAnsi="Times New Roman" w:cs="Times New Roman"/>
          <w:i/>
          <w:iCs/>
          <w:spacing w:val="1"/>
          <w:sz w:val="24"/>
          <w:szCs w:val="24"/>
        </w:rPr>
        <w:t>Reserve</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Bank</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2"/>
          <w:sz w:val="24"/>
          <w:szCs w:val="24"/>
        </w:rPr>
        <w:t>of</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New</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York</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Economic</w:t>
      </w:r>
      <w:r w:rsidRPr="006545C7">
        <w:rPr>
          <w:rFonts w:ascii="Times New Roman" w:hAnsi="Times New Roman" w:cs="Times New Roman"/>
          <w:i/>
          <w:iCs/>
          <w:sz w:val="24"/>
          <w:szCs w:val="24"/>
        </w:rPr>
        <w:t xml:space="preserve"> </w:t>
      </w:r>
      <w:r w:rsidRPr="006545C7">
        <w:rPr>
          <w:rFonts w:ascii="Times New Roman" w:hAnsi="Times New Roman" w:cs="Times New Roman"/>
          <w:i/>
          <w:iCs/>
          <w:spacing w:val="1"/>
          <w:sz w:val="24"/>
          <w:szCs w:val="24"/>
        </w:rPr>
        <w:t xml:space="preserve">Policy </w:t>
      </w:r>
      <w:r w:rsidRPr="006545C7">
        <w:rPr>
          <w:rFonts w:ascii="Times New Roman" w:hAnsi="Times New Roman" w:cs="Times New Roman"/>
          <w:i/>
          <w:iCs/>
          <w:w w:val="105"/>
          <w:sz w:val="24"/>
          <w:szCs w:val="24"/>
        </w:rPr>
        <w:t>Review</w:t>
      </w:r>
      <w:r w:rsidRPr="006545C7">
        <w:rPr>
          <w:rFonts w:ascii="Times New Roman" w:hAnsi="Times New Roman" w:cs="Times New Roman"/>
          <w:w w:val="105"/>
          <w:sz w:val="24"/>
          <w:szCs w:val="24"/>
        </w:rPr>
        <w:t>, May 15–26.</w:t>
      </w:r>
    </w:p>
    <w:p w14:paraId="1409F99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Laidler</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1999.</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Passive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active</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i/>
          <w:iCs/>
          <w:w w:val="105"/>
          <w:sz w:val="24"/>
          <w:szCs w:val="24"/>
        </w:rPr>
        <w:t>Bank</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Canada</w:t>
      </w:r>
      <w:r w:rsidRPr="006545C7">
        <w:rPr>
          <w:rFonts w:ascii="Times New Roman" w:hAnsi="Times New Roman" w:cs="Times New Roman"/>
          <w:i/>
          <w:iCs/>
          <w:w w:val="98"/>
          <w:sz w:val="24"/>
          <w:szCs w:val="24"/>
        </w:rPr>
        <w:t xml:space="preserve"> </w:t>
      </w:r>
      <w:r w:rsidRPr="006545C7">
        <w:rPr>
          <w:rFonts w:ascii="Times New Roman" w:hAnsi="Times New Roman" w:cs="Times New Roman"/>
          <w:i/>
          <w:iCs/>
          <w:w w:val="105"/>
          <w:sz w:val="24"/>
          <w:szCs w:val="24"/>
        </w:rPr>
        <w:t>Quarterly</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i/>
          <w:iCs/>
          <w:spacing w:val="-13"/>
          <w:w w:val="105"/>
          <w:sz w:val="24"/>
          <w:szCs w:val="24"/>
        </w:rPr>
        <w:t xml:space="preserve"> </w:t>
      </w:r>
      <w:r w:rsidRPr="006545C7">
        <w:rPr>
          <w:rFonts w:ascii="Times New Roman" w:hAnsi="Times New Roman" w:cs="Times New Roman"/>
          <w:i/>
          <w:iCs/>
          <w:w w:val="105"/>
          <w:sz w:val="24"/>
          <w:szCs w:val="24"/>
        </w:rPr>
        <w:t>Summer</w:t>
      </w:r>
      <w:r w:rsidRPr="006545C7">
        <w:rPr>
          <w:rFonts w:ascii="Times New Roman" w:hAnsi="Times New Roman" w:cs="Times New Roman"/>
          <w:w w:val="105"/>
          <w:sz w:val="24"/>
          <w:szCs w:val="24"/>
        </w:rPr>
        <w: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15–25.</w:t>
      </w:r>
    </w:p>
    <w:p w14:paraId="5DB978D0" w14:textId="77777777" w:rsidR="00F717E4" w:rsidRPr="006545C7" w:rsidRDefault="00F717E4" w:rsidP="00990265">
      <w:pPr>
        <w:pStyle w:val="ListParagraph"/>
        <w:numPr>
          <w:ilvl w:val="0"/>
          <w:numId w:val="5"/>
        </w:numPr>
        <w:jc w:val="both"/>
        <w:rPr>
          <w:rFonts w:ascii="Times New Roman" w:hAnsi="Times New Roman" w:cs="Times New Roman"/>
          <w:w w:val="105"/>
          <w:sz w:val="24"/>
          <w:szCs w:val="24"/>
        </w:rPr>
      </w:pPr>
      <w:proofErr w:type="spellStart"/>
      <w:r w:rsidRPr="006545C7">
        <w:rPr>
          <w:rFonts w:ascii="Times New Roman" w:hAnsi="Times New Roman" w:cs="Times New Roman"/>
          <w:w w:val="105"/>
          <w:sz w:val="24"/>
          <w:szCs w:val="24"/>
        </w:rPr>
        <w:t>Laidler</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transmission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mechanism</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with</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endogenous</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3"/>
          <w:w w:val="105"/>
          <w:sz w:val="24"/>
          <w:szCs w:val="24"/>
        </w:rPr>
        <w:t xml:space="preserve"> </w:t>
      </w:r>
      <w:proofErr w:type="spellStart"/>
      <w:r w:rsidRPr="006545C7">
        <w:rPr>
          <w:rFonts w:ascii="Times New Roman" w:hAnsi="Times New Roman" w:cs="Times New Roman"/>
          <w:w w:val="105"/>
          <w:sz w:val="24"/>
          <w:szCs w:val="24"/>
        </w:rPr>
        <w:t>Arestis</w:t>
      </w:r>
      <w:proofErr w:type="spellEnd"/>
      <w:r w:rsidRPr="006545C7">
        <w:rPr>
          <w:rFonts w:ascii="Times New Roman" w:hAnsi="Times New Roman" w:cs="Times New Roman"/>
          <w:w w:val="105"/>
          <w:sz w:val="24"/>
          <w:szCs w:val="24"/>
        </w:rPr>
        <w:t>,</w:t>
      </w:r>
      <w:r w:rsidRPr="006545C7">
        <w:rPr>
          <w:rFonts w:ascii="Times New Roman" w:hAnsi="Times New Roman" w:cs="Times New Roman"/>
          <w:w w:val="101"/>
          <w:sz w:val="24"/>
          <w:szCs w:val="24"/>
        </w:rPr>
        <w:t xml:space="preserve"> </w:t>
      </w:r>
      <w:r w:rsidRPr="006545C7">
        <w:rPr>
          <w:rFonts w:ascii="Times New Roman" w:hAnsi="Times New Roman" w:cs="Times New Roman"/>
          <w:w w:val="105"/>
          <w:sz w:val="24"/>
          <w:szCs w:val="24"/>
        </w:rPr>
        <w:t>Desai,</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Dow</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Macroeconomics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Keynes: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i/>
          <w:iCs/>
          <w:w w:val="105"/>
          <w:sz w:val="24"/>
          <w:szCs w:val="24"/>
        </w:rPr>
        <w:t>Essays</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in</w:t>
      </w:r>
      <w:r w:rsidRPr="006545C7">
        <w:rPr>
          <w:rFonts w:ascii="Times New Roman" w:hAnsi="Times New Roman" w:cs="Times New Roman"/>
          <w:i/>
          <w:iCs/>
          <w:spacing w:val="6"/>
          <w:w w:val="105"/>
          <w:sz w:val="24"/>
          <w:szCs w:val="24"/>
        </w:rPr>
        <w:t xml:space="preserve"> </w:t>
      </w:r>
      <w:r w:rsidRPr="006545C7">
        <w:rPr>
          <w:rFonts w:ascii="Times New Roman" w:hAnsi="Times New Roman" w:cs="Times New Roman"/>
          <w:i/>
          <w:iCs/>
          <w:w w:val="105"/>
          <w:sz w:val="24"/>
          <w:szCs w:val="24"/>
        </w:rPr>
        <w:t>Honour</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w w:val="105"/>
          <w:sz w:val="24"/>
          <w:szCs w:val="24"/>
        </w:rPr>
        <w:t>Victoria</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Chick</w:t>
      </w:r>
      <w:r w:rsidRPr="006545C7">
        <w:rPr>
          <w:rFonts w:ascii="Times New Roman" w:hAnsi="Times New Roman" w:cs="Times New Roman"/>
          <w:w w:val="105"/>
          <w:sz w:val="24"/>
          <w:szCs w:val="24"/>
        </w:rPr>
        <w:t>,</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vol.</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1.</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Routledge.</w:t>
      </w:r>
    </w:p>
    <w:p w14:paraId="2F5CA4A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Laidler</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monetarism,</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Wicksell</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connection.</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EPRI</w:t>
      </w:r>
      <w:r w:rsidRPr="006545C7">
        <w:rPr>
          <w:rFonts w:ascii="Times New Roman" w:hAnsi="Times New Roman" w:cs="Times New Roman"/>
          <w:w w:val="94"/>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Paper</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Series</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2007-13.</w:t>
      </w:r>
    </w:p>
    <w:p w14:paraId="10261D8C"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Leland, Hayne, 1994, Risky debt, bond covenants and optimal capital structure, Journal of Finance 49, 1213–1252. </w:t>
      </w:r>
    </w:p>
    <w:p w14:paraId="21484D24"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Leland, Hayne, and Klaus Toft, 1996, Optimal capital structure, endogenous bankruptcy and the term structure of credit spreads, Journal of Finance 51, 987–1019. </w:t>
      </w:r>
    </w:p>
    <w:p w14:paraId="6DC42A47"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Liu, H.C., Hung, J.C. (2010), Forecasting S&amp;P-100 stock index volatility: The role of volatility asymmetry and distributional assumption in GARCH models. </w:t>
      </w:r>
      <w:r w:rsidRPr="008329B9">
        <w:rPr>
          <w:rFonts w:ascii="Times New Roman" w:hAnsi="Times New Roman" w:cs="Times New Roman"/>
          <w:i/>
          <w:sz w:val="24"/>
          <w:szCs w:val="24"/>
        </w:rPr>
        <w:t>Expert Systems with Applications</w:t>
      </w:r>
      <w:r w:rsidRPr="00F717E4">
        <w:rPr>
          <w:rFonts w:ascii="Times New Roman" w:hAnsi="Times New Roman" w:cs="Times New Roman"/>
          <w:sz w:val="24"/>
          <w:szCs w:val="24"/>
        </w:rPr>
        <w:t>, 37(7), 4928- 4934.</w:t>
      </w:r>
    </w:p>
    <w:p w14:paraId="1996DB9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Longin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29"/>
          <w:w w:val="105"/>
          <w:sz w:val="24"/>
          <w:szCs w:val="24"/>
        </w:rPr>
        <w:t xml:space="preserve"> </w:t>
      </w:r>
      <w:proofErr w:type="spellStart"/>
      <w:r w:rsidRPr="006545C7">
        <w:rPr>
          <w:rFonts w:ascii="Times New Roman" w:hAnsi="Times New Roman" w:cs="Times New Roman"/>
          <w:w w:val="105"/>
          <w:sz w:val="24"/>
          <w:szCs w:val="24"/>
        </w:rPr>
        <w:t>Solnik</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B.,</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1995.</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Is</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correlation</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international</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equity</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returns</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constant:</w:t>
      </w:r>
      <w:r w:rsidRPr="006545C7">
        <w:rPr>
          <w:rFonts w:ascii="Times New Roman" w:hAnsi="Times New Roman" w:cs="Times New Roman"/>
          <w:w w:val="104"/>
          <w:sz w:val="24"/>
          <w:szCs w:val="24"/>
        </w:rPr>
        <w:t xml:space="preserve"> </w:t>
      </w:r>
      <w:r w:rsidRPr="006545C7">
        <w:rPr>
          <w:rFonts w:ascii="Times New Roman" w:hAnsi="Times New Roman" w:cs="Times New Roman"/>
          <w:w w:val="105"/>
          <w:sz w:val="24"/>
          <w:szCs w:val="24"/>
        </w:rPr>
        <w:t>160–1990?</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International</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Money</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16"/>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14,</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3–26.</w:t>
      </w:r>
    </w:p>
    <w:p w14:paraId="4B72AB4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4613E5">
        <w:rPr>
          <w:rFonts w:ascii="Times New Roman" w:hAnsi="Times New Roman" w:cs="Times New Roman"/>
          <w:sz w:val="24"/>
          <w:szCs w:val="24"/>
          <w:lang w:val="es-AR"/>
        </w:rPr>
        <w:lastRenderedPageBreak/>
        <w:t>Maddaloni</w:t>
      </w:r>
      <w:proofErr w:type="spellEnd"/>
      <w:r w:rsidRPr="004613E5">
        <w:rPr>
          <w:rFonts w:ascii="Times New Roman" w:hAnsi="Times New Roman" w:cs="Times New Roman"/>
          <w:sz w:val="24"/>
          <w:szCs w:val="24"/>
          <w:lang w:val="es-AR"/>
        </w:rPr>
        <w:t>,</w:t>
      </w:r>
      <w:r w:rsidRPr="004613E5">
        <w:rPr>
          <w:rFonts w:ascii="Times New Roman" w:hAnsi="Times New Roman" w:cs="Times New Roman"/>
          <w:spacing w:val="9"/>
          <w:sz w:val="24"/>
          <w:szCs w:val="24"/>
          <w:lang w:val="es-AR"/>
        </w:rPr>
        <w:t xml:space="preserve"> </w:t>
      </w:r>
      <w:r w:rsidRPr="004613E5">
        <w:rPr>
          <w:rFonts w:ascii="Times New Roman" w:hAnsi="Times New Roman" w:cs="Times New Roman"/>
          <w:sz w:val="24"/>
          <w:szCs w:val="24"/>
          <w:lang w:val="es-AR"/>
        </w:rPr>
        <w:t>A.,</w:t>
      </w:r>
      <w:r w:rsidRPr="004613E5">
        <w:rPr>
          <w:rFonts w:ascii="Times New Roman" w:hAnsi="Times New Roman" w:cs="Times New Roman"/>
          <w:spacing w:val="9"/>
          <w:sz w:val="24"/>
          <w:szCs w:val="24"/>
          <w:lang w:val="es-AR"/>
        </w:rPr>
        <w:t xml:space="preserve"> </w:t>
      </w:r>
      <w:proofErr w:type="spellStart"/>
      <w:r w:rsidRPr="004613E5">
        <w:rPr>
          <w:rFonts w:ascii="Times New Roman" w:hAnsi="Times New Roman" w:cs="Times New Roman"/>
          <w:sz w:val="24"/>
          <w:szCs w:val="24"/>
          <w:lang w:val="es-AR"/>
        </w:rPr>
        <w:t>Petró</w:t>
      </w:r>
      <w:proofErr w:type="spellEnd"/>
      <w:r w:rsidRPr="004613E5">
        <w:rPr>
          <w:rFonts w:ascii="Times New Roman" w:hAnsi="Times New Roman" w:cs="Times New Roman"/>
          <w:sz w:val="24"/>
          <w:szCs w:val="24"/>
          <w:lang w:val="es-AR"/>
        </w:rPr>
        <w:t>,</w:t>
      </w:r>
      <w:r w:rsidRPr="004613E5">
        <w:rPr>
          <w:rFonts w:ascii="Times New Roman" w:hAnsi="Times New Roman" w:cs="Times New Roman"/>
          <w:spacing w:val="9"/>
          <w:sz w:val="24"/>
          <w:szCs w:val="24"/>
          <w:lang w:val="es-AR"/>
        </w:rPr>
        <w:t xml:space="preserve"> </w:t>
      </w:r>
      <w:r w:rsidRPr="004613E5">
        <w:rPr>
          <w:rFonts w:ascii="Times New Roman" w:hAnsi="Times New Roman" w:cs="Times New Roman"/>
          <w:sz w:val="24"/>
          <w:szCs w:val="24"/>
          <w:lang w:val="es-AR"/>
        </w:rPr>
        <w:t>J.L.,</w:t>
      </w:r>
      <w:r w:rsidRPr="004613E5">
        <w:rPr>
          <w:rFonts w:ascii="Times New Roman" w:hAnsi="Times New Roman" w:cs="Times New Roman"/>
          <w:spacing w:val="10"/>
          <w:sz w:val="24"/>
          <w:szCs w:val="24"/>
          <w:lang w:val="es-AR"/>
        </w:rPr>
        <w:t xml:space="preserve"> </w:t>
      </w:r>
      <w:proofErr w:type="spellStart"/>
      <w:r w:rsidRPr="004613E5">
        <w:rPr>
          <w:rFonts w:ascii="Times New Roman" w:hAnsi="Times New Roman" w:cs="Times New Roman"/>
          <w:sz w:val="24"/>
          <w:szCs w:val="24"/>
          <w:lang w:val="es-AR"/>
        </w:rPr>
        <w:t>Scope</w:t>
      </w:r>
      <w:proofErr w:type="spellEnd"/>
      <w:r w:rsidRPr="004613E5">
        <w:rPr>
          <w:rFonts w:ascii="Times New Roman" w:hAnsi="Times New Roman" w:cs="Times New Roman"/>
          <w:sz w:val="24"/>
          <w:szCs w:val="24"/>
          <w:lang w:val="es-AR"/>
        </w:rPr>
        <w:t>,</w:t>
      </w:r>
      <w:r w:rsidRPr="004613E5">
        <w:rPr>
          <w:rFonts w:ascii="Times New Roman" w:hAnsi="Times New Roman" w:cs="Times New Roman"/>
          <w:spacing w:val="9"/>
          <w:sz w:val="24"/>
          <w:szCs w:val="24"/>
          <w:lang w:val="es-AR"/>
        </w:rPr>
        <w:t xml:space="preserve"> </w:t>
      </w:r>
      <w:r w:rsidRPr="004613E5">
        <w:rPr>
          <w:rFonts w:ascii="Times New Roman" w:hAnsi="Times New Roman" w:cs="Times New Roman"/>
          <w:sz w:val="24"/>
          <w:szCs w:val="24"/>
          <w:lang w:val="es-AR"/>
        </w:rPr>
        <w:t>S.,</w:t>
      </w:r>
      <w:r w:rsidRPr="004613E5">
        <w:rPr>
          <w:rFonts w:ascii="Times New Roman" w:hAnsi="Times New Roman" w:cs="Times New Roman"/>
          <w:spacing w:val="9"/>
          <w:sz w:val="24"/>
          <w:szCs w:val="24"/>
          <w:lang w:val="es-AR"/>
        </w:rPr>
        <w:t xml:space="preserve"> </w:t>
      </w:r>
      <w:r w:rsidRPr="004613E5">
        <w:rPr>
          <w:rFonts w:ascii="Times New Roman" w:hAnsi="Times New Roman" w:cs="Times New Roman"/>
          <w:sz w:val="24"/>
          <w:szCs w:val="24"/>
          <w:lang w:val="es-AR"/>
        </w:rPr>
        <w:t>2010.</w:t>
      </w:r>
      <w:r w:rsidRPr="004613E5">
        <w:rPr>
          <w:rFonts w:ascii="Times New Roman" w:hAnsi="Times New Roman" w:cs="Times New Roman"/>
          <w:spacing w:val="9"/>
          <w:sz w:val="24"/>
          <w:szCs w:val="24"/>
          <w:lang w:val="es-AR"/>
        </w:rPr>
        <w:t xml:space="preserve"> </w:t>
      </w:r>
      <w:r w:rsidRPr="006545C7">
        <w:rPr>
          <w:rFonts w:ascii="Times New Roman" w:hAnsi="Times New Roman" w:cs="Times New Roman"/>
          <w:sz w:val="24"/>
          <w:szCs w:val="24"/>
        </w:rPr>
        <w:t>Does</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affect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standards?</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ECB</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1150.</w:t>
      </w:r>
    </w:p>
    <w:p w14:paraId="0921E64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Markovic,</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channels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 xml:space="preserve">mechanism. </w:t>
      </w:r>
      <w:r w:rsidRPr="006545C7">
        <w:rPr>
          <w:rFonts w:ascii="Times New Roman" w:hAnsi="Times New Roman" w:cs="Times New Roman"/>
          <w:i/>
          <w:iCs/>
          <w:sz w:val="24"/>
          <w:szCs w:val="24"/>
        </w:rPr>
        <w:t>Bank</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England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313.</w:t>
      </w:r>
    </w:p>
    <w:p w14:paraId="748C656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Meh,</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Moran,</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K.,</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agency</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costs,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4"/>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Canada</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2004-6.</w:t>
      </w:r>
    </w:p>
    <w:p w14:paraId="491ABC9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Meh,</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Moran,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K.,</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2010.</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role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4"/>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propagation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shocks.</w:t>
      </w:r>
      <w:r w:rsidRPr="006545C7">
        <w:rPr>
          <w:rFonts w:ascii="Times New Roman" w:hAnsi="Times New Roman" w:cs="Times New Roman"/>
          <w:spacing w:val="-15"/>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Dynamics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&amp;</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Control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34,</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555–576.</w:t>
      </w:r>
    </w:p>
    <w:p w14:paraId="21C1D216"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Mella-Barral</w:t>
      </w:r>
      <w:proofErr w:type="spellEnd"/>
      <w:r w:rsidRPr="00F717E4">
        <w:rPr>
          <w:rFonts w:ascii="Times New Roman" w:hAnsi="Times New Roman" w:cs="Times New Roman"/>
          <w:sz w:val="24"/>
          <w:szCs w:val="24"/>
        </w:rPr>
        <w:t xml:space="preserve">, P. 1999, The dynamics of default and debt renegotiations, Review of Financial Studies 12, 535–578 </w:t>
      </w:r>
    </w:p>
    <w:p w14:paraId="23A558AE"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Mella-Barral</w:t>
      </w:r>
      <w:proofErr w:type="spellEnd"/>
      <w:r w:rsidRPr="00F717E4">
        <w:rPr>
          <w:rFonts w:ascii="Times New Roman" w:hAnsi="Times New Roman" w:cs="Times New Roman"/>
          <w:sz w:val="24"/>
          <w:szCs w:val="24"/>
        </w:rPr>
        <w:t xml:space="preserve">, P., and W. R. M. </w:t>
      </w:r>
      <w:proofErr w:type="spellStart"/>
      <w:r w:rsidRPr="00F717E4">
        <w:rPr>
          <w:rFonts w:ascii="Times New Roman" w:hAnsi="Times New Roman" w:cs="Times New Roman"/>
          <w:sz w:val="24"/>
          <w:szCs w:val="24"/>
        </w:rPr>
        <w:t>Perraudin</w:t>
      </w:r>
      <w:proofErr w:type="spellEnd"/>
      <w:r w:rsidRPr="00F717E4">
        <w:rPr>
          <w:rFonts w:ascii="Times New Roman" w:hAnsi="Times New Roman" w:cs="Times New Roman"/>
          <w:sz w:val="24"/>
          <w:szCs w:val="24"/>
        </w:rPr>
        <w:t>, 1997, Strategic debt service, Journal of Finance 52, 531–556.</w:t>
      </w:r>
    </w:p>
    <w:p w14:paraId="1947D804"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Meltzer, A.,</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1995.</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(and other)</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processes: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monetarist</w:t>
      </w:r>
      <w:r w:rsidRPr="006545C7">
        <w:rPr>
          <w:rFonts w:ascii="Times New Roman" w:hAnsi="Times New Roman" w:cs="Times New Roman"/>
          <w:w w:val="105"/>
          <w:sz w:val="24"/>
          <w:szCs w:val="24"/>
        </w:rPr>
        <w:t xml:space="preserve"> </w:t>
      </w:r>
      <w:r w:rsidRPr="006545C7">
        <w:rPr>
          <w:rFonts w:ascii="Times New Roman" w:hAnsi="Times New Roman" w:cs="Times New Roman"/>
          <w:sz w:val="24"/>
          <w:szCs w:val="24"/>
        </w:rPr>
        <w:t>perspective.</w:t>
      </w:r>
      <w:r w:rsidRPr="006545C7">
        <w:rPr>
          <w:rFonts w:ascii="Times New Roman" w:hAnsi="Times New Roman" w:cs="Times New Roman"/>
          <w:spacing w:val="8"/>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Perspectives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9,</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49–72.</w:t>
      </w:r>
    </w:p>
    <w:p w14:paraId="7436CBE5"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Merton, Robert C., 1969, Lifetime portfolio selection under uncertainty: The continuous time case, </w:t>
      </w:r>
      <w:r w:rsidRPr="008329B9">
        <w:rPr>
          <w:rFonts w:ascii="Times New Roman" w:hAnsi="Times New Roman" w:cs="Times New Roman"/>
          <w:i/>
          <w:sz w:val="24"/>
          <w:szCs w:val="24"/>
        </w:rPr>
        <w:t>Review of Economics and Statistics</w:t>
      </w:r>
      <w:r w:rsidRPr="00F717E4">
        <w:rPr>
          <w:rFonts w:ascii="Times New Roman" w:hAnsi="Times New Roman" w:cs="Times New Roman"/>
          <w:sz w:val="24"/>
          <w:szCs w:val="24"/>
        </w:rPr>
        <w:t xml:space="preserve"> 51, 247–257. </w:t>
      </w:r>
    </w:p>
    <w:p w14:paraId="7539041A"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Merton, Robert C., 1971, Optimum consumption and portfolio rules in a continuous time model, </w:t>
      </w:r>
      <w:r w:rsidRPr="008329B9">
        <w:rPr>
          <w:rFonts w:ascii="Times New Roman" w:hAnsi="Times New Roman" w:cs="Times New Roman"/>
          <w:i/>
          <w:sz w:val="24"/>
          <w:szCs w:val="24"/>
        </w:rPr>
        <w:t>Journal of Economic Theory</w:t>
      </w:r>
      <w:r w:rsidRPr="00F717E4">
        <w:rPr>
          <w:rFonts w:ascii="Times New Roman" w:hAnsi="Times New Roman" w:cs="Times New Roman"/>
          <w:sz w:val="24"/>
          <w:szCs w:val="24"/>
        </w:rPr>
        <w:t xml:space="preserve"> 3, 373–413. </w:t>
      </w:r>
    </w:p>
    <w:p w14:paraId="275F59A6"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Merton, Robert C., 1973a, Theory of rational option pricing, </w:t>
      </w:r>
      <w:r w:rsidRPr="008329B9">
        <w:rPr>
          <w:rFonts w:ascii="Times New Roman" w:hAnsi="Times New Roman" w:cs="Times New Roman"/>
          <w:i/>
          <w:sz w:val="24"/>
          <w:szCs w:val="24"/>
        </w:rPr>
        <w:t>Bell Journal of Economics</w:t>
      </w:r>
      <w:r w:rsidRPr="00F717E4">
        <w:rPr>
          <w:rFonts w:ascii="Times New Roman" w:hAnsi="Times New Roman" w:cs="Times New Roman"/>
          <w:sz w:val="24"/>
          <w:szCs w:val="24"/>
        </w:rPr>
        <w:t xml:space="preserve"> 4, 141– 183.</w:t>
      </w:r>
    </w:p>
    <w:p w14:paraId="0FFF070E"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 Merton, Robert C., 1973b, An intertemporal capital asset pricing model, </w:t>
      </w:r>
      <w:proofErr w:type="spellStart"/>
      <w:r w:rsidRPr="00F717E4">
        <w:rPr>
          <w:rFonts w:ascii="Times New Roman" w:hAnsi="Times New Roman" w:cs="Times New Roman"/>
          <w:sz w:val="24"/>
          <w:szCs w:val="24"/>
        </w:rPr>
        <w:t>Econometrica</w:t>
      </w:r>
      <w:proofErr w:type="spellEnd"/>
      <w:r w:rsidRPr="00F717E4">
        <w:rPr>
          <w:rFonts w:ascii="Times New Roman" w:hAnsi="Times New Roman" w:cs="Times New Roman"/>
          <w:sz w:val="24"/>
          <w:szCs w:val="24"/>
        </w:rPr>
        <w:t xml:space="preserve"> 41, 8678–87. </w:t>
      </w:r>
    </w:p>
    <w:p w14:paraId="45BE5E15"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Merton, Robert C., 1990, Continuous-Time Finance ~Oxford University Press, New York.</w:t>
      </w:r>
    </w:p>
    <w:p w14:paraId="332C15B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Myers,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1984.</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structure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puzzle.</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39,</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575–592.</w:t>
      </w:r>
    </w:p>
    <w:p w14:paraId="3D4A996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Myers,</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26"/>
          <w:w w:val="105"/>
          <w:sz w:val="24"/>
          <w:szCs w:val="24"/>
        </w:rPr>
        <w:t xml:space="preserve"> </w:t>
      </w:r>
      <w:proofErr w:type="spellStart"/>
      <w:r w:rsidRPr="006545C7">
        <w:rPr>
          <w:rFonts w:ascii="Times New Roman" w:hAnsi="Times New Roman" w:cs="Times New Roman"/>
          <w:w w:val="105"/>
          <w:sz w:val="24"/>
          <w:szCs w:val="24"/>
        </w:rPr>
        <w:t>Majluf</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N.,</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1984.</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Corporate</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financing</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investment</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decisions</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when</w:t>
      </w:r>
      <w:r w:rsidRPr="006545C7">
        <w:rPr>
          <w:rFonts w:ascii="Times New Roman" w:hAnsi="Times New Roman" w:cs="Times New Roman"/>
          <w:spacing w:val="-26"/>
          <w:w w:val="105"/>
          <w:sz w:val="24"/>
          <w:szCs w:val="24"/>
        </w:rPr>
        <w:t xml:space="preserve"> </w:t>
      </w:r>
      <w:r w:rsidRPr="006545C7">
        <w:rPr>
          <w:rFonts w:ascii="Times New Roman" w:hAnsi="Times New Roman" w:cs="Times New Roman"/>
          <w:w w:val="105"/>
          <w:sz w:val="24"/>
          <w:szCs w:val="24"/>
        </w:rPr>
        <w:t>firms have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information</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that</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investors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do</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not</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have.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9"/>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13,</w:t>
      </w:r>
      <w:r w:rsidRPr="006545C7">
        <w:rPr>
          <w:rFonts w:ascii="Times New Roman" w:hAnsi="Times New Roman" w:cs="Times New Roman"/>
          <w:w w:val="98"/>
          <w:sz w:val="24"/>
          <w:szCs w:val="24"/>
        </w:rPr>
        <w:t xml:space="preserve"> </w:t>
      </w:r>
      <w:r w:rsidRPr="006545C7">
        <w:rPr>
          <w:rFonts w:ascii="Times New Roman" w:hAnsi="Times New Roman" w:cs="Times New Roman"/>
          <w:w w:val="105"/>
          <w:sz w:val="24"/>
          <w:szCs w:val="24"/>
        </w:rPr>
        <w:t>187–221.</w:t>
      </w:r>
    </w:p>
    <w:p w14:paraId="71ECB30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Nicolò</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
          <w:w w:val="105"/>
          <w:sz w:val="24"/>
          <w:szCs w:val="24"/>
        </w:rPr>
        <w:t xml:space="preserve"> </w:t>
      </w:r>
      <w:proofErr w:type="spellStart"/>
      <w:r w:rsidRPr="006545C7">
        <w:rPr>
          <w:rFonts w:ascii="Times New Roman" w:hAnsi="Times New Roman" w:cs="Times New Roman"/>
          <w:w w:val="105"/>
          <w:sz w:val="24"/>
          <w:szCs w:val="24"/>
        </w:rPr>
        <w:t>Pelizzon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2008.</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derivatives,</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opaque</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OTC</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markets.</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Ca’</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Foscari</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Venice,</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Dept.</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i/>
          <w:iCs/>
          <w:spacing w:val="4"/>
          <w:w w:val="105"/>
          <w:sz w:val="24"/>
          <w:szCs w:val="24"/>
        </w:rPr>
        <w:t xml:space="preserve"> </w:t>
      </w:r>
      <w:r w:rsidRPr="006545C7">
        <w:rPr>
          <w:rFonts w:ascii="Times New Roman" w:hAnsi="Times New Roman" w:cs="Times New Roman"/>
          <w:i/>
          <w:iCs/>
          <w:w w:val="105"/>
          <w:sz w:val="24"/>
          <w:szCs w:val="24"/>
        </w:rPr>
        <w:t>Research</w:t>
      </w:r>
      <w:r w:rsidRPr="006545C7">
        <w:rPr>
          <w:rFonts w:ascii="Times New Roman" w:hAnsi="Times New Roman" w:cs="Times New Roman"/>
          <w:w w:val="101"/>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Series</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58/06.</w:t>
      </w:r>
    </w:p>
    <w:p w14:paraId="209DEC5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Palomino,</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F.,</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rates,</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bond</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premia</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i/>
          <w:iCs/>
          <w:w w:val="105"/>
          <w:sz w:val="24"/>
          <w:szCs w:val="24"/>
        </w:rPr>
        <w:t>.</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Carnegie</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i/>
          <w:iCs/>
          <w:w w:val="105"/>
          <w:sz w:val="24"/>
          <w:szCs w:val="24"/>
        </w:rPr>
        <w:t>Mellon</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5"/>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5"/>
          <w:w w:val="105"/>
          <w:sz w:val="24"/>
          <w:szCs w:val="24"/>
        </w:rPr>
        <w:t xml:space="preserve"> </w:t>
      </w:r>
      <w:r w:rsidRPr="006545C7">
        <w:rPr>
          <w:rFonts w:ascii="Times New Roman" w:hAnsi="Times New Roman" w:cs="Times New Roman"/>
          <w:w w:val="105"/>
          <w:sz w:val="24"/>
          <w:szCs w:val="24"/>
        </w:rPr>
        <w:t>Paper.</w:t>
      </w:r>
    </w:p>
    <w:p w14:paraId="65818253"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r w:rsidRPr="00F717E4">
        <w:rPr>
          <w:rFonts w:ascii="Times New Roman" w:hAnsi="Times New Roman" w:cs="Times New Roman"/>
          <w:sz w:val="24"/>
          <w:szCs w:val="24"/>
        </w:rPr>
        <w:t xml:space="preserve">Pearson, </w:t>
      </w:r>
      <w:proofErr w:type="spellStart"/>
      <w:r w:rsidRPr="00F717E4">
        <w:rPr>
          <w:rFonts w:ascii="Times New Roman" w:hAnsi="Times New Roman" w:cs="Times New Roman"/>
          <w:sz w:val="24"/>
          <w:szCs w:val="24"/>
        </w:rPr>
        <w:t>Niel</w:t>
      </w:r>
      <w:proofErr w:type="spellEnd"/>
      <w:r w:rsidRPr="00F717E4">
        <w:rPr>
          <w:rFonts w:ascii="Times New Roman" w:hAnsi="Times New Roman" w:cs="Times New Roman"/>
          <w:sz w:val="24"/>
          <w:szCs w:val="24"/>
        </w:rPr>
        <w:t xml:space="preserve">, and </w:t>
      </w:r>
      <w:proofErr w:type="spellStart"/>
      <w:r w:rsidRPr="00F717E4">
        <w:rPr>
          <w:rFonts w:ascii="Times New Roman" w:hAnsi="Times New Roman" w:cs="Times New Roman"/>
          <w:sz w:val="24"/>
          <w:szCs w:val="24"/>
        </w:rPr>
        <w:t>Tongsheng</w:t>
      </w:r>
      <w:proofErr w:type="spellEnd"/>
      <w:r w:rsidRPr="00F717E4">
        <w:rPr>
          <w:rFonts w:ascii="Times New Roman" w:hAnsi="Times New Roman" w:cs="Times New Roman"/>
          <w:sz w:val="24"/>
          <w:szCs w:val="24"/>
        </w:rPr>
        <w:t xml:space="preserve"> Sun, 1994, Exploiting the conditional density in estimating the term structure: An application to the CIR model, Journal of Finance 49, 1279–1304</w:t>
      </w:r>
    </w:p>
    <w:p w14:paraId="3471A27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Peek,</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Rosengren,</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1995.</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crunch.</w:t>
      </w:r>
      <w:r w:rsidRPr="006545C7">
        <w:rPr>
          <w:rFonts w:ascii="Times New Roman" w:hAnsi="Times New Roman" w:cs="Times New Roman"/>
          <w:spacing w:val="-1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2"/>
          <w:sz w:val="24"/>
          <w:szCs w:val="24"/>
        </w:rPr>
        <w:t xml:space="preserve"> </w:t>
      </w:r>
      <w:r w:rsidRPr="006545C7">
        <w:rPr>
          <w:rFonts w:ascii="Times New Roman" w:hAnsi="Times New Roman" w:cs="Times New Roman"/>
          <w:i/>
          <w:iCs/>
          <w:sz w:val="24"/>
          <w:szCs w:val="24"/>
        </w:rPr>
        <w:t>Banking</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19,</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679–692.</w:t>
      </w:r>
    </w:p>
    <w:p w14:paraId="0673645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Peura</w:t>
      </w:r>
      <w:proofErr w:type="spellEnd"/>
      <w:r w:rsidRPr="006545C7">
        <w:rPr>
          <w:rFonts w:ascii="Times New Roman" w:hAnsi="Times New Roman" w:cs="Times New Roman"/>
          <w:sz w:val="24"/>
          <w:szCs w:val="24"/>
        </w:rPr>
        <w:t>,</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17"/>
          <w:sz w:val="24"/>
          <w:szCs w:val="24"/>
        </w:rPr>
        <w:t xml:space="preserve"> </w:t>
      </w:r>
      <w:proofErr w:type="spellStart"/>
      <w:r w:rsidRPr="006545C7">
        <w:rPr>
          <w:rFonts w:ascii="Times New Roman" w:hAnsi="Times New Roman" w:cs="Times New Roman"/>
          <w:sz w:val="24"/>
          <w:szCs w:val="24"/>
        </w:rPr>
        <w:t>Jokivuolle</w:t>
      </w:r>
      <w:proofErr w:type="spellEnd"/>
      <w:r w:rsidRPr="006545C7">
        <w:rPr>
          <w:rFonts w:ascii="Times New Roman" w:hAnsi="Times New Roman" w:cs="Times New Roman"/>
          <w:sz w:val="24"/>
          <w:szCs w:val="24"/>
        </w:rPr>
        <w:t>,</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Simulation</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based</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stress</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tests</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18"/>
          <w:sz w:val="24"/>
          <w:szCs w:val="24"/>
        </w:rPr>
        <w:t xml:space="preserve"> </w:t>
      </w:r>
      <w:r w:rsidRPr="006545C7">
        <w:rPr>
          <w:rFonts w:ascii="Times New Roman" w:hAnsi="Times New Roman" w:cs="Times New Roman"/>
          <w:sz w:val="24"/>
          <w:szCs w:val="24"/>
        </w:rPr>
        <w:t>regulatory</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 xml:space="preserve">capital adequacy. </w:t>
      </w:r>
      <w:r w:rsidRPr="006545C7">
        <w:rPr>
          <w:rFonts w:ascii="Times New Roman" w:hAnsi="Times New Roman" w:cs="Times New Roman"/>
          <w:i/>
          <w:iCs/>
          <w:sz w:val="24"/>
          <w:szCs w:val="24"/>
        </w:rPr>
        <w:t>Journal of Banking and Finance</w:t>
      </w:r>
      <w:r w:rsidRPr="006545C7">
        <w:rPr>
          <w:rFonts w:ascii="Times New Roman" w:hAnsi="Times New Roman" w:cs="Times New Roman"/>
          <w:sz w:val="24"/>
          <w:szCs w:val="24"/>
        </w:rPr>
        <w:t xml:space="preserve"> 28, 1801–1824.</w:t>
      </w:r>
    </w:p>
    <w:p w14:paraId="13DC0EC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Piazzesi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Swanson,</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E.,</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Futures</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prices</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as</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risk-adjusted</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forecasts</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30"/>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w w:val="107"/>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i/>
          <w:iCs/>
          <w:w w:val="105"/>
          <w:sz w:val="24"/>
          <w:szCs w:val="24"/>
        </w:rPr>
        <w:t>.</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Chicago</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Paper.</w:t>
      </w:r>
    </w:p>
    <w:p w14:paraId="7C30C215"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i/>
          <w:iCs/>
          <w:sz w:val="24"/>
          <w:szCs w:val="24"/>
        </w:rPr>
        <w:t>Quarterly</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108,</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77–114.</w:t>
      </w:r>
    </w:p>
    <w:p w14:paraId="7592AA3E"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lastRenderedPageBreak/>
        <w:t>Rajan</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2005.</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Has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development made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world</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riskier?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Paper</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presented</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at</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Greenspan</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Era:</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Lessons</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for</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Future—A</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Symposium</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Sponsored</w:t>
      </w:r>
      <w:r w:rsidRPr="006545C7">
        <w:rPr>
          <w:rFonts w:ascii="Times New Roman" w:hAnsi="Times New Roman" w:cs="Times New Roman"/>
          <w:spacing w:val="-15"/>
          <w:w w:val="105"/>
          <w:sz w:val="24"/>
          <w:szCs w:val="24"/>
        </w:rPr>
        <w:t xml:space="preserve"> </w:t>
      </w:r>
      <w:r w:rsidRPr="006545C7">
        <w:rPr>
          <w:rFonts w:ascii="Times New Roman" w:hAnsi="Times New Roman" w:cs="Times New Roman"/>
          <w:w w:val="105"/>
          <w:sz w:val="24"/>
          <w:szCs w:val="24"/>
        </w:rPr>
        <w:t>by</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i/>
          <w:iCs/>
          <w:w w:val="105"/>
          <w:sz w:val="24"/>
          <w:szCs w:val="24"/>
        </w:rPr>
        <w:t>Federal</w:t>
      </w:r>
      <w:r w:rsidRPr="006545C7">
        <w:rPr>
          <w:rFonts w:ascii="Times New Roman" w:hAnsi="Times New Roman" w:cs="Times New Roman"/>
          <w:i/>
          <w:iCs/>
          <w:spacing w:val="-21"/>
          <w:w w:val="105"/>
          <w:sz w:val="24"/>
          <w:szCs w:val="24"/>
        </w:rPr>
        <w:t xml:space="preserve"> </w:t>
      </w:r>
      <w:r w:rsidRPr="006545C7">
        <w:rPr>
          <w:rFonts w:ascii="Times New Roman" w:hAnsi="Times New Roman" w:cs="Times New Roman"/>
          <w:i/>
          <w:iCs/>
          <w:w w:val="105"/>
          <w:sz w:val="24"/>
          <w:szCs w:val="24"/>
        </w:rPr>
        <w:t>Reserve</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Bank</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Kansas</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City,</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Jackson</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Hole,</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Wyoming</w:t>
      </w:r>
      <w:r w:rsidRPr="006545C7">
        <w:rPr>
          <w:rFonts w:ascii="Times New Roman" w:hAnsi="Times New Roman" w:cs="Times New Roman"/>
          <w:w w:val="105"/>
          <w:sz w:val="24"/>
          <w:szCs w:val="24"/>
        </w:rPr>
        <w: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August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25–27.</w:t>
      </w:r>
    </w:p>
    <w:p w14:paraId="169A0E3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lang w:val="es-AR"/>
        </w:rPr>
        <w:t>Remolona,</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E.,</w:t>
      </w:r>
      <w:r w:rsidRPr="006545C7">
        <w:rPr>
          <w:rFonts w:ascii="Times New Roman" w:hAnsi="Times New Roman" w:cs="Times New Roman"/>
          <w:spacing w:val="1"/>
          <w:sz w:val="24"/>
          <w:szCs w:val="24"/>
          <w:lang w:val="es-AR"/>
        </w:rPr>
        <w:t xml:space="preserve"> </w:t>
      </w:r>
      <w:proofErr w:type="spellStart"/>
      <w:r w:rsidRPr="006545C7">
        <w:rPr>
          <w:rFonts w:ascii="Times New Roman" w:hAnsi="Times New Roman" w:cs="Times New Roman"/>
          <w:sz w:val="24"/>
          <w:szCs w:val="24"/>
          <w:lang w:val="es-AR"/>
        </w:rPr>
        <w:t>Scatigna</w:t>
      </w:r>
      <w:proofErr w:type="spellEnd"/>
      <w:r w:rsidRPr="006545C7">
        <w:rPr>
          <w:rFonts w:ascii="Times New Roman" w:hAnsi="Times New Roman" w:cs="Times New Roman"/>
          <w:sz w:val="24"/>
          <w:szCs w:val="24"/>
          <w:lang w:val="es-AR"/>
        </w:rPr>
        <w:t>,</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M.,</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Wu,</w:t>
      </w:r>
      <w:r w:rsidRPr="006545C7">
        <w:rPr>
          <w:rFonts w:ascii="Times New Roman" w:hAnsi="Times New Roman" w:cs="Times New Roman"/>
          <w:spacing w:val="2"/>
          <w:sz w:val="24"/>
          <w:szCs w:val="24"/>
          <w:lang w:val="es-AR"/>
        </w:rPr>
        <w:t xml:space="preserve"> </w:t>
      </w:r>
      <w:r w:rsidRPr="006545C7">
        <w:rPr>
          <w:rFonts w:ascii="Times New Roman" w:hAnsi="Times New Roman" w:cs="Times New Roman"/>
          <w:sz w:val="24"/>
          <w:szCs w:val="24"/>
          <w:lang w:val="es-AR"/>
        </w:rPr>
        <w:t>E.,</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lang w:val="es-AR"/>
        </w:rPr>
        <w:t>2007.</w:t>
      </w:r>
      <w:r w:rsidRPr="006545C7">
        <w:rPr>
          <w:rFonts w:ascii="Times New Roman" w:hAnsi="Times New Roman" w:cs="Times New Roman"/>
          <w:spacing w:val="1"/>
          <w:sz w:val="24"/>
          <w:szCs w:val="24"/>
          <w:lang w:val="es-AR"/>
        </w:rPr>
        <w:t xml:space="preserve"> </w:t>
      </w:r>
      <w:r w:rsidRPr="006545C7">
        <w:rPr>
          <w:rFonts w:ascii="Times New Roman" w:hAnsi="Times New Roman" w:cs="Times New Roman"/>
          <w:sz w:val="24"/>
          <w:szCs w:val="24"/>
        </w:rPr>
        <w:t>Interpreting</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sovereign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spreads.</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Quarterly</w:t>
      </w:r>
      <w:r w:rsidRPr="006545C7">
        <w:rPr>
          <w:rFonts w:ascii="Times New Roman" w:hAnsi="Times New Roman" w:cs="Times New Roman"/>
          <w:i/>
          <w:iCs/>
          <w:spacing w:val="23"/>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March</w:t>
      </w:r>
      <w:r w:rsidRPr="006545C7">
        <w:rPr>
          <w:rFonts w:ascii="Times New Roman" w:hAnsi="Times New Roman" w:cs="Times New Roman"/>
          <w:spacing w:val="23"/>
          <w:sz w:val="24"/>
          <w:szCs w:val="24"/>
        </w:rPr>
        <w:t xml:space="preserve"> </w:t>
      </w:r>
      <w:r w:rsidRPr="006545C7">
        <w:rPr>
          <w:rFonts w:ascii="Times New Roman" w:hAnsi="Times New Roman" w:cs="Times New Roman"/>
          <w:sz w:val="24"/>
          <w:szCs w:val="24"/>
        </w:rPr>
        <w:t>27–39.</w:t>
      </w:r>
    </w:p>
    <w:p w14:paraId="2F208AB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Repullo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R.,</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2004.</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market</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power,</w:t>
      </w:r>
      <w:r w:rsidRPr="006545C7">
        <w:rPr>
          <w:rFonts w:ascii="Times New Roman" w:hAnsi="Times New Roman" w:cs="Times New Roman"/>
          <w:spacing w:val="-17"/>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risk-taking</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6"/>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Financial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Intermediation</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13,</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156–182.</w:t>
      </w:r>
    </w:p>
    <w:p w14:paraId="0E77029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Repullo</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Suarez,</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2004.</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Loan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pricing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under</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spacing w:val="-4"/>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4"/>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15"/>
          <w:sz w:val="24"/>
          <w:szCs w:val="24"/>
        </w:rPr>
        <w:t xml:space="preserve"> </w:t>
      </w:r>
      <w:r w:rsidRPr="006545C7">
        <w:rPr>
          <w:rFonts w:ascii="Times New Roman" w:hAnsi="Times New Roman" w:cs="Times New Roman"/>
          <w:i/>
          <w:iCs/>
          <w:sz w:val="24"/>
          <w:szCs w:val="24"/>
        </w:rPr>
        <w:t>Intermediation</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13,</w:t>
      </w:r>
      <w:r w:rsidRPr="006545C7">
        <w:rPr>
          <w:rFonts w:ascii="Times New Roman" w:hAnsi="Times New Roman" w:cs="Times New Roman"/>
          <w:spacing w:val="15"/>
          <w:sz w:val="24"/>
          <w:szCs w:val="24"/>
        </w:rPr>
        <w:t xml:space="preserve"> </w:t>
      </w:r>
      <w:r w:rsidRPr="006545C7">
        <w:rPr>
          <w:rFonts w:ascii="Times New Roman" w:hAnsi="Times New Roman" w:cs="Times New Roman"/>
          <w:sz w:val="24"/>
          <w:szCs w:val="24"/>
        </w:rPr>
        <w:t>496–521.</w:t>
      </w:r>
    </w:p>
    <w:p w14:paraId="06AB792F"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Repullo</w:t>
      </w:r>
      <w:proofErr w:type="spellEnd"/>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Suarez,</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procyclical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effects</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w w:val="101"/>
          <w:sz w:val="24"/>
          <w:szCs w:val="24"/>
        </w:rPr>
        <w:t xml:space="preserve"> </w:t>
      </w:r>
      <w:r w:rsidRPr="006545C7">
        <w:rPr>
          <w:rFonts w:ascii="Times New Roman" w:hAnsi="Times New Roman" w:cs="Times New Roman"/>
          <w:sz w:val="24"/>
          <w:szCs w:val="24"/>
        </w:rPr>
        <w:t>Rochet,</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1992.</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requirements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behaviour</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commercial</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Euro</w:t>
      </w:r>
      <w:r w:rsidRPr="006545C7">
        <w:rPr>
          <w:rFonts w:ascii="Times New Roman" w:hAnsi="Times New Roman" w:cs="Times New Roman"/>
          <w:i/>
          <w:iCs/>
          <w:w w:val="105"/>
          <w:sz w:val="24"/>
          <w:szCs w:val="24"/>
        </w:rPr>
        <w:t>pean</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w w:val="105"/>
          <w:sz w:val="24"/>
          <w:szCs w:val="24"/>
        </w:rPr>
        <w:t>36,</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1137–1170.</w:t>
      </w:r>
    </w:p>
    <w:p w14:paraId="7B54AC21"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Ross,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1987.</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interrelations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finance</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economics</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theoretical</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 xml:space="preserve">perspectives. </w:t>
      </w:r>
      <w:r w:rsidRPr="006545C7">
        <w:rPr>
          <w:rFonts w:ascii="Times New Roman" w:hAnsi="Times New Roman" w:cs="Times New Roman"/>
          <w:i/>
          <w:iCs/>
          <w:w w:val="105"/>
          <w:sz w:val="24"/>
          <w:szCs w:val="24"/>
        </w:rPr>
        <w:t>American</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77,</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29–34.</w:t>
      </w:r>
    </w:p>
    <w:p w14:paraId="7A5C66B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Rudebusch,</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Sack,</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B.,</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Swanson,</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Macroeconomic</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implications</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changes</w:t>
      </w:r>
      <w:r w:rsidRPr="006545C7">
        <w:rPr>
          <w:rFonts w:ascii="Times New Roman" w:hAnsi="Times New Roman" w:cs="Times New Roman"/>
          <w:w w:val="102"/>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term</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premium.</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Federal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Reserve</w:t>
      </w:r>
      <w:r w:rsidRPr="006545C7">
        <w:rPr>
          <w:rFonts w:ascii="Times New Roman" w:hAnsi="Times New Roman" w:cs="Times New Roman"/>
          <w:spacing w:val="6"/>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St.</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Louis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8,</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241–269.</w:t>
      </w:r>
    </w:p>
    <w:p w14:paraId="45DCAC7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Santos,</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2001.</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contemporary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banking</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theory: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review</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literature.</w:t>
      </w:r>
      <w:r w:rsidRPr="006545C7">
        <w:rPr>
          <w:rFonts w:ascii="Times New Roman" w:hAnsi="Times New Roman" w:cs="Times New Roman"/>
          <w:spacing w:val="5"/>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markets.</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Institutions</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&amp;</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Instruments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10, 41–84.</w:t>
      </w:r>
    </w:p>
    <w:p w14:paraId="3DD1C13A"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Saurina</w:t>
      </w:r>
      <w:proofErr w:type="spellEnd"/>
      <w:r w:rsidRPr="006545C7">
        <w:rPr>
          <w:rFonts w:ascii="Times New Roman" w:hAnsi="Times New Roman" w:cs="Times New Roman"/>
          <w:sz w:val="24"/>
          <w:szCs w:val="24"/>
        </w:rPr>
        <w:t>,</w:t>
      </w:r>
      <w:r w:rsidRPr="006545C7">
        <w:rPr>
          <w:rFonts w:ascii="Times New Roman" w:hAnsi="Times New Roman" w:cs="Times New Roman"/>
          <w:spacing w:val="19"/>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An</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assessment</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procyclicality</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21"/>
          <w:sz w:val="24"/>
          <w:szCs w:val="24"/>
        </w:rPr>
        <w:t xml:space="preserve"> </w:t>
      </w:r>
      <w:r w:rsidRPr="006545C7">
        <w:rPr>
          <w:rFonts w:ascii="Times New Roman" w:hAnsi="Times New Roman" w:cs="Times New Roman"/>
          <w:sz w:val="24"/>
          <w:szCs w:val="24"/>
        </w:rPr>
        <w:t>mortgage</w:t>
      </w:r>
      <w:r w:rsidRPr="006545C7">
        <w:rPr>
          <w:rFonts w:ascii="Times New Roman" w:hAnsi="Times New Roman" w:cs="Times New Roman"/>
          <w:spacing w:val="20"/>
          <w:sz w:val="24"/>
          <w:szCs w:val="24"/>
        </w:rPr>
        <w:t xml:space="preserve"> </w:t>
      </w:r>
      <w:r w:rsidRPr="006545C7">
        <w:rPr>
          <w:rFonts w:ascii="Times New Roman" w:hAnsi="Times New Roman" w:cs="Times New Roman"/>
          <w:sz w:val="24"/>
          <w:szCs w:val="24"/>
        </w:rPr>
        <w:t xml:space="preserve">portfolios.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Services</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Research</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32,</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81–101.</w:t>
      </w:r>
    </w:p>
    <w:p w14:paraId="32EEA00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Schwert</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G.W.,</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1989.</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Why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does</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stock</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market</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volatility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change</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w w:val="105"/>
          <w:sz w:val="24"/>
          <w:szCs w:val="24"/>
        </w:rPr>
        <w:t>over</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time?</w:t>
      </w:r>
      <w:r w:rsidRPr="006545C7">
        <w:rPr>
          <w:rFonts w:ascii="Times New Roman" w:hAnsi="Times New Roman" w:cs="Times New Roman"/>
          <w:spacing w:val="-4"/>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0"/>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44,</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1115–1153.</w:t>
      </w:r>
    </w:p>
    <w:p w14:paraId="077E94E6"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Segoviano</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Lowe,</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P.,</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Internal</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ratings,</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business</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cycle</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9"/>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8"/>
          <w:w w:val="105"/>
          <w:sz w:val="24"/>
          <w:szCs w:val="24"/>
        </w:rPr>
        <w:t xml:space="preserve"> </w:t>
      </w:r>
      <w:r w:rsidRPr="006545C7">
        <w:rPr>
          <w:rFonts w:ascii="Times New Roman" w:hAnsi="Times New Roman" w:cs="Times New Roman"/>
          <w:w w:val="105"/>
          <w:sz w:val="24"/>
          <w:szCs w:val="24"/>
        </w:rPr>
        <w:t>requirements:</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some</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evidence</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from</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an</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emerging</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market</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economy</w:t>
      </w:r>
      <w:r w:rsidRPr="006545C7">
        <w:rPr>
          <w:rFonts w:ascii="Times New Roman" w:hAnsi="Times New Roman" w:cs="Times New Roman"/>
          <w:i/>
          <w:iCs/>
          <w:w w:val="105"/>
          <w:sz w:val="24"/>
          <w:szCs w:val="24"/>
        </w:rPr>
        <w:t>.</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Papers</w:t>
      </w:r>
      <w:r w:rsidRPr="006545C7">
        <w:rPr>
          <w:rFonts w:ascii="Times New Roman" w:hAnsi="Times New Roman" w:cs="Times New Roman"/>
          <w:w w:val="102"/>
          <w:sz w:val="24"/>
          <w:szCs w:val="24"/>
        </w:rPr>
        <w:t xml:space="preserve"> </w:t>
      </w:r>
      <w:r w:rsidRPr="006545C7">
        <w:rPr>
          <w:rFonts w:ascii="Times New Roman" w:hAnsi="Times New Roman" w:cs="Times New Roman"/>
          <w:w w:val="105"/>
          <w:sz w:val="24"/>
          <w:szCs w:val="24"/>
        </w:rPr>
        <w:t>117.</w:t>
      </w:r>
    </w:p>
    <w:p w14:paraId="1E22F94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Sellon</w:t>
      </w:r>
      <w:proofErr w:type="spellEnd"/>
      <w:r w:rsidRPr="006545C7">
        <w:rPr>
          <w:rFonts w:ascii="Times New Roman" w:hAnsi="Times New Roman" w:cs="Times New Roman"/>
          <w:sz w:val="24"/>
          <w:szCs w:val="24"/>
        </w:rPr>
        <w:t>,</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2002.</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changing</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US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system:</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some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implications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mechanism.</w:t>
      </w:r>
      <w:r w:rsidRPr="006545C7">
        <w:rPr>
          <w:rFonts w:ascii="Times New Roman" w:hAnsi="Times New Roman" w:cs="Times New Roman"/>
          <w:spacing w:val="9"/>
          <w:sz w:val="24"/>
          <w:szCs w:val="24"/>
        </w:rPr>
        <w:t xml:space="preserve"> </w:t>
      </w:r>
      <w:r w:rsidRPr="006545C7">
        <w:rPr>
          <w:rFonts w:ascii="Times New Roman" w:hAnsi="Times New Roman" w:cs="Times New Roman"/>
          <w:i/>
          <w:iCs/>
          <w:sz w:val="24"/>
          <w:szCs w:val="24"/>
        </w:rPr>
        <w:t>Federal</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Reserve</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Kansas</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City</w:t>
      </w:r>
      <w:r w:rsidRPr="006545C7">
        <w:rPr>
          <w:rFonts w:ascii="Times New Roman" w:hAnsi="Times New Roman" w:cs="Times New Roman"/>
          <w:i/>
          <w:iCs/>
          <w:spacing w:val="9"/>
          <w:sz w:val="24"/>
          <w:szCs w:val="24"/>
        </w:rPr>
        <w:t xml:space="preserve"> </w:t>
      </w:r>
      <w:r w:rsidRPr="006545C7">
        <w:rPr>
          <w:rFonts w:ascii="Times New Roman" w:hAnsi="Times New Roman" w:cs="Times New Roman"/>
          <w:i/>
          <w:iCs/>
          <w:sz w:val="24"/>
          <w:szCs w:val="24"/>
        </w:rPr>
        <w:t>Economic</w:t>
      </w:r>
      <w:r w:rsidRPr="006545C7">
        <w:rPr>
          <w:rFonts w:ascii="Times New Roman" w:hAnsi="Times New Roman" w:cs="Times New Roman"/>
          <w:i/>
          <w:iCs/>
          <w:w w:val="103"/>
          <w:sz w:val="24"/>
          <w:szCs w:val="24"/>
        </w:rPr>
        <w:t xml:space="preserve"> </w:t>
      </w:r>
      <w:r w:rsidRPr="006545C7">
        <w:rPr>
          <w:rFonts w:ascii="Times New Roman" w:hAnsi="Times New Roman" w:cs="Times New Roman"/>
          <w:i/>
          <w:iCs/>
          <w:sz w:val="24"/>
          <w:szCs w:val="24"/>
        </w:rPr>
        <w:t>Review</w:t>
      </w:r>
      <w:r w:rsidRPr="006545C7">
        <w:rPr>
          <w:rFonts w:ascii="Times New Roman" w:hAnsi="Times New Roman" w:cs="Times New Roman"/>
          <w:sz w:val="24"/>
          <w:szCs w:val="24"/>
        </w:rPr>
        <w:t xml:space="preserve">, </w:t>
      </w:r>
      <w:r w:rsidRPr="006545C7">
        <w:rPr>
          <w:rFonts w:ascii="Times New Roman" w:hAnsi="Times New Roman" w:cs="Times New Roman"/>
          <w:spacing w:val="7"/>
          <w:sz w:val="24"/>
          <w:szCs w:val="24"/>
        </w:rPr>
        <w:t>5</w:t>
      </w:r>
      <w:r w:rsidRPr="006545C7">
        <w:rPr>
          <w:rFonts w:ascii="Times New Roman" w:hAnsi="Times New Roman" w:cs="Times New Roman"/>
          <w:sz w:val="24"/>
          <w:szCs w:val="24"/>
        </w:rPr>
        <w:t>–35.</w:t>
      </w:r>
    </w:p>
    <w:p w14:paraId="3EC2A5D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Shim,</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I.,</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Von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Peter,</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G.,</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Distress</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selling</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market</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feedback</w:t>
      </w:r>
      <w:r w:rsidRPr="006545C7">
        <w:rPr>
          <w:rFonts w:ascii="Times New Roman" w:hAnsi="Times New Roman" w:cs="Times New Roman"/>
          <w:i/>
          <w:iCs/>
          <w:sz w:val="24"/>
          <w:szCs w:val="24"/>
        </w:rPr>
        <w:t>.</w:t>
      </w:r>
      <w:r w:rsidRPr="006545C7">
        <w:rPr>
          <w:rFonts w:ascii="Times New Roman" w:hAnsi="Times New Roman" w:cs="Times New Roman"/>
          <w:i/>
          <w:iCs/>
          <w:spacing w:val="8"/>
          <w:sz w:val="24"/>
          <w:szCs w:val="24"/>
        </w:rPr>
        <w:t xml:space="preserve"> </w:t>
      </w:r>
      <w:r w:rsidRPr="006545C7">
        <w:rPr>
          <w:rFonts w:ascii="Times New Roman" w:hAnsi="Times New Roman" w:cs="Times New Roman"/>
          <w:i/>
          <w:iCs/>
          <w:sz w:val="24"/>
          <w:szCs w:val="24"/>
        </w:rPr>
        <w:t>Financial markets.</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Institutions</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&amp;</w:t>
      </w:r>
      <w:r w:rsidRPr="006545C7">
        <w:rPr>
          <w:rFonts w:ascii="Times New Roman" w:hAnsi="Times New Roman" w:cs="Times New Roman"/>
          <w:i/>
          <w:iCs/>
          <w:spacing w:val="6"/>
          <w:sz w:val="24"/>
          <w:szCs w:val="24"/>
        </w:rPr>
        <w:t xml:space="preserve"> </w:t>
      </w:r>
      <w:r w:rsidRPr="006545C7">
        <w:rPr>
          <w:rFonts w:ascii="Times New Roman" w:hAnsi="Times New Roman" w:cs="Times New Roman"/>
          <w:i/>
          <w:iCs/>
          <w:sz w:val="24"/>
          <w:szCs w:val="24"/>
        </w:rPr>
        <w:t>Instruments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16,</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243–291.</w:t>
      </w:r>
    </w:p>
    <w:p w14:paraId="4C61CD2D"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Shin,</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H.S.,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liquidity</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in</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system</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context.</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BIS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Papers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212.</w:t>
      </w:r>
      <w:r w:rsidRPr="006545C7">
        <w:rPr>
          <w:rFonts w:ascii="Times New Roman" w:hAnsi="Times New Roman" w:cs="Times New Roman"/>
          <w:w w:val="99"/>
          <w:sz w:val="24"/>
          <w:szCs w:val="24"/>
        </w:rPr>
        <w:t xml:space="preserve"> </w:t>
      </w:r>
      <w:r w:rsidRPr="006545C7">
        <w:rPr>
          <w:rFonts w:ascii="Times New Roman" w:hAnsi="Times New Roman" w:cs="Times New Roman"/>
          <w:sz w:val="24"/>
          <w:szCs w:val="24"/>
        </w:rPr>
        <w:t>Smith,</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C.,</w:t>
      </w:r>
      <w:r w:rsidRPr="006545C7">
        <w:rPr>
          <w:rFonts w:ascii="Times New Roman" w:hAnsi="Times New Roman" w:cs="Times New Roman"/>
          <w:spacing w:val="17"/>
          <w:sz w:val="24"/>
          <w:szCs w:val="24"/>
        </w:rPr>
        <w:t xml:space="preserve"> </w:t>
      </w:r>
      <w:proofErr w:type="spellStart"/>
      <w:r w:rsidRPr="006545C7">
        <w:rPr>
          <w:rFonts w:ascii="Times New Roman" w:hAnsi="Times New Roman" w:cs="Times New Roman"/>
          <w:sz w:val="24"/>
          <w:szCs w:val="24"/>
        </w:rPr>
        <w:t>Stulz</w:t>
      </w:r>
      <w:proofErr w:type="spellEnd"/>
      <w:r w:rsidRPr="006545C7">
        <w:rPr>
          <w:rFonts w:ascii="Times New Roman" w:hAnsi="Times New Roman" w:cs="Times New Roman"/>
          <w:sz w:val="24"/>
          <w:szCs w:val="24"/>
        </w:rPr>
        <w:t>,</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R.,</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1985.</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determinants</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firms’</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hedging</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policies.</w:t>
      </w:r>
      <w:r w:rsidRPr="006545C7">
        <w:rPr>
          <w:rFonts w:ascii="Times New Roman" w:hAnsi="Times New Roman" w:cs="Times New Roman"/>
          <w:spacing w:val="17"/>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16"/>
          <w:sz w:val="24"/>
          <w:szCs w:val="24"/>
        </w:rPr>
        <w:t xml:space="preserve"> </w:t>
      </w:r>
      <w:r w:rsidRPr="006545C7">
        <w:rPr>
          <w:rFonts w:ascii="Times New Roman" w:hAnsi="Times New Roman" w:cs="Times New Roman"/>
          <w:i/>
          <w:iCs/>
          <w:sz w:val="24"/>
          <w:szCs w:val="24"/>
        </w:rPr>
        <w:t>of Financial</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and</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Quantitative</w:t>
      </w:r>
      <w:r w:rsidRPr="006545C7">
        <w:rPr>
          <w:rFonts w:ascii="Times New Roman" w:hAnsi="Times New Roman" w:cs="Times New Roman"/>
          <w:i/>
          <w:iCs/>
          <w:spacing w:val="7"/>
          <w:sz w:val="24"/>
          <w:szCs w:val="24"/>
        </w:rPr>
        <w:t xml:space="preserve"> </w:t>
      </w:r>
      <w:r w:rsidRPr="006545C7">
        <w:rPr>
          <w:rFonts w:ascii="Times New Roman" w:hAnsi="Times New Roman" w:cs="Times New Roman"/>
          <w:i/>
          <w:iCs/>
          <w:sz w:val="24"/>
          <w:szCs w:val="24"/>
        </w:rPr>
        <w:t>Analysis</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20,</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391–405.</w:t>
      </w:r>
    </w:p>
    <w:p w14:paraId="5F09128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Söderlind</w:t>
      </w:r>
      <w:proofErr w:type="spellEnd"/>
      <w:r w:rsidRPr="006545C7">
        <w:rPr>
          <w:rFonts w:ascii="Times New Roman" w:hAnsi="Times New Roman" w:cs="Times New Roman"/>
          <w:sz w:val="24"/>
          <w:szCs w:val="24"/>
        </w:rPr>
        <w:t>,</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P.,</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2006.</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effects</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on</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7"/>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premia.</w:t>
      </w:r>
      <w:r w:rsidRPr="006545C7">
        <w:rPr>
          <w:rFonts w:ascii="Times New Roman" w:hAnsi="Times New Roman" w:cs="Times New Roman"/>
          <w:spacing w:val="16"/>
          <w:sz w:val="24"/>
          <w:szCs w:val="24"/>
        </w:rPr>
        <w:t xml:space="preserve"> </w:t>
      </w:r>
      <w:r w:rsidRPr="006545C7">
        <w:rPr>
          <w:rFonts w:ascii="Times New Roman" w:hAnsi="Times New Roman" w:cs="Times New Roman"/>
          <w:i/>
          <w:iCs/>
          <w:sz w:val="24"/>
          <w:szCs w:val="24"/>
        </w:rPr>
        <w:t>University</w:t>
      </w:r>
      <w:r w:rsidRPr="006545C7">
        <w:rPr>
          <w:rFonts w:ascii="Times New Roman" w:hAnsi="Times New Roman" w:cs="Times New Roman"/>
          <w:i/>
          <w:iCs/>
          <w:spacing w:val="17"/>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sz w:val="24"/>
          <w:szCs w:val="24"/>
        </w:rPr>
        <w:t>St</w:t>
      </w:r>
      <w:r w:rsidRPr="006545C7">
        <w:rPr>
          <w:rFonts w:ascii="Times New Roman" w:hAnsi="Times New Roman" w:cs="Times New Roman"/>
          <w:i/>
          <w:iCs/>
          <w:spacing w:val="4"/>
          <w:sz w:val="24"/>
          <w:szCs w:val="24"/>
        </w:rPr>
        <w:t xml:space="preserve"> </w:t>
      </w:r>
      <w:r w:rsidRPr="006545C7">
        <w:rPr>
          <w:rFonts w:ascii="Times New Roman" w:hAnsi="Times New Roman" w:cs="Times New Roman"/>
          <w:i/>
          <w:iCs/>
          <w:sz w:val="24"/>
          <w:szCs w:val="24"/>
        </w:rPr>
        <w:t>Gallen</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Finance</w:t>
      </w:r>
      <w:r w:rsidRPr="006545C7">
        <w:rPr>
          <w:rFonts w:ascii="Times New Roman" w:hAnsi="Times New Roman" w:cs="Times New Roman"/>
          <w:i/>
          <w:iCs/>
          <w:spacing w:val="5"/>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4"/>
          <w:sz w:val="24"/>
          <w:szCs w:val="24"/>
        </w:rPr>
        <w:t xml:space="preserve"> </w:t>
      </w:r>
      <w:r w:rsidRPr="006545C7">
        <w:rPr>
          <w:rFonts w:ascii="Times New Roman" w:hAnsi="Times New Roman" w:cs="Times New Roman"/>
          <w:sz w:val="24"/>
          <w:szCs w:val="24"/>
        </w:rPr>
        <w:t>36.</w:t>
      </w:r>
    </w:p>
    <w:p w14:paraId="7A18EDC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Stein,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1998.</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adverse-selection</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model</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asset</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liability</w:t>
      </w:r>
      <w:r w:rsidRPr="006545C7">
        <w:rPr>
          <w:rFonts w:ascii="Times New Roman" w:hAnsi="Times New Roman" w:cs="Times New Roman"/>
          <w:spacing w:val="9"/>
          <w:sz w:val="24"/>
          <w:szCs w:val="24"/>
        </w:rPr>
        <w:t xml:space="preserve"> </w:t>
      </w:r>
      <w:r w:rsidRPr="006545C7">
        <w:rPr>
          <w:rFonts w:ascii="Times New Roman" w:hAnsi="Times New Roman" w:cs="Times New Roman"/>
          <w:sz w:val="24"/>
          <w:szCs w:val="24"/>
        </w:rPr>
        <w:t>management</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with</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implications</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for</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policy.</w:t>
      </w:r>
      <w:r w:rsidRPr="006545C7">
        <w:rPr>
          <w:rFonts w:ascii="Times New Roman" w:hAnsi="Times New Roman" w:cs="Times New Roman"/>
          <w:spacing w:val="5"/>
          <w:sz w:val="24"/>
          <w:szCs w:val="24"/>
        </w:rPr>
        <w:t xml:space="preserve"> </w:t>
      </w:r>
      <w:r w:rsidRPr="006545C7">
        <w:rPr>
          <w:rFonts w:ascii="Times New Roman" w:hAnsi="Times New Roman" w:cs="Times New Roman"/>
          <w:i/>
          <w:iCs/>
          <w:sz w:val="24"/>
          <w:szCs w:val="24"/>
        </w:rPr>
        <w:t>Rand</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5"/>
          <w:sz w:val="24"/>
          <w:szCs w:val="24"/>
        </w:rPr>
        <w:t xml:space="preserve"> </w:t>
      </w:r>
      <w:r w:rsidRPr="006545C7">
        <w:rPr>
          <w:rFonts w:ascii="Times New Roman" w:hAnsi="Times New Roman" w:cs="Times New Roman"/>
          <w:i/>
          <w:iCs/>
          <w:sz w:val="24"/>
          <w:szCs w:val="24"/>
        </w:rPr>
        <w:t>Economics</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29,</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466–486.</w:t>
      </w:r>
    </w:p>
    <w:p w14:paraId="2966ED98"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Stolz,</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S.,</w:t>
      </w:r>
      <w:r w:rsidRPr="006545C7">
        <w:rPr>
          <w:rFonts w:ascii="Times New Roman" w:hAnsi="Times New Roman" w:cs="Times New Roman"/>
          <w:spacing w:val="7"/>
          <w:sz w:val="24"/>
          <w:szCs w:val="24"/>
        </w:rPr>
        <w:t xml:space="preserve"> </w:t>
      </w:r>
      <w:proofErr w:type="spellStart"/>
      <w:r w:rsidRPr="006545C7">
        <w:rPr>
          <w:rFonts w:ascii="Times New Roman" w:hAnsi="Times New Roman" w:cs="Times New Roman"/>
          <w:sz w:val="24"/>
          <w:szCs w:val="24"/>
        </w:rPr>
        <w:t>Wedow</w:t>
      </w:r>
      <w:proofErr w:type="spellEnd"/>
      <w:r w:rsidRPr="006545C7">
        <w:rPr>
          <w:rFonts w:ascii="Times New Roman" w:hAnsi="Times New Roman" w:cs="Times New Roman"/>
          <w:sz w:val="24"/>
          <w:szCs w:val="24"/>
        </w:rPr>
        <w:t>,</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2011.</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regulatory</w:t>
      </w:r>
      <w:r w:rsidRPr="006545C7">
        <w:rPr>
          <w:rFonts w:ascii="Times New Roman" w:hAnsi="Times New Roman" w:cs="Times New Roman"/>
          <w:spacing w:val="5"/>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buffer</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business</w:t>
      </w:r>
      <w:r w:rsidRPr="006545C7">
        <w:rPr>
          <w:rFonts w:ascii="Times New Roman" w:hAnsi="Times New Roman" w:cs="Times New Roman"/>
          <w:spacing w:val="6"/>
          <w:sz w:val="24"/>
          <w:szCs w:val="24"/>
        </w:rPr>
        <w:t xml:space="preserve"> </w:t>
      </w:r>
      <w:r w:rsidRPr="006545C7">
        <w:rPr>
          <w:rFonts w:ascii="Times New Roman" w:hAnsi="Times New Roman" w:cs="Times New Roman"/>
          <w:sz w:val="24"/>
          <w:szCs w:val="24"/>
        </w:rPr>
        <w:t>cycle:</w:t>
      </w:r>
      <w:r w:rsidRPr="006545C7">
        <w:rPr>
          <w:rFonts w:ascii="Times New Roman" w:hAnsi="Times New Roman" w:cs="Times New Roman"/>
          <w:w w:val="109"/>
          <w:sz w:val="24"/>
          <w:szCs w:val="24"/>
        </w:rPr>
        <w:t xml:space="preserve"> </w:t>
      </w:r>
      <w:r w:rsidRPr="006545C7">
        <w:rPr>
          <w:rFonts w:ascii="Times New Roman" w:hAnsi="Times New Roman" w:cs="Times New Roman"/>
          <w:sz w:val="24"/>
          <w:szCs w:val="24"/>
        </w:rPr>
        <w:t>evidence for German savings</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and cooperative banks.</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Journal of Financial Stability</w:t>
      </w:r>
      <w:r w:rsidRPr="006545C7">
        <w:rPr>
          <w:rFonts w:ascii="Times New Roman" w:hAnsi="Times New Roman" w:cs="Times New Roman"/>
          <w:spacing w:val="7"/>
          <w:sz w:val="24"/>
          <w:szCs w:val="24"/>
        </w:rPr>
        <w:t xml:space="preserve"> </w:t>
      </w:r>
      <w:r w:rsidRPr="006545C7">
        <w:rPr>
          <w:rFonts w:ascii="Times New Roman" w:hAnsi="Times New Roman" w:cs="Times New Roman"/>
          <w:sz w:val="24"/>
          <w:szCs w:val="24"/>
        </w:rPr>
        <w:t>7,</w:t>
      </w:r>
      <w:r w:rsidRPr="006545C7">
        <w:rPr>
          <w:rFonts w:ascii="Times New Roman" w:hAnsi="Times New Roman" w:cs="Times New Roman"/>
          <w:spacing w:val="8"/>
          <w:sz w:val="24"/>
          <w:szCs w:val="24"/>
        </w:rPr>
        <w:t xml:space="preserve"> </w:t>
      </w:r>
      <w:r w:rsidRPr="006545C7">
        <w:rPr>
          <w:rFonts w:ascii="Times New Roman" w:hAnsi="Times New Roman" w:cs="Times New Roman"/>
          <w:sz w:val="24"/>
          <w:szCs w:val="24"/>
        </w:rPr>
        <w:t>98–110.</w:t>
      </w:r>
    </w:p>
    <w:p w14:paraId="6CB5B543"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lastRenderedPageBreak/>
        <w:t>Tallarini</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T.D.,</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2000.</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Risk-sensitive</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real</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business</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cycles.</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Economics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45,</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507–532.</w:t>
      </w:r>
    </w:p>
    <w:p w14:paraId="11F7AB67"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Tanaka,</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M.,</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2002.</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How</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do</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adequacy</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13"/>
          <w:sz w:val="24"/>
          <w:szCs w:val="24"/>
        </w:rPr>
        <w:t xml:space="preserve"> </w:t>
      </w:r>
      <w:r w:rsidRPr="006545C7">
        <w:rPr>
          <w:rFonts w:ascii="Times New Roman" w:hAnsi="Times New Roman" w:cs="Times New Roman"/>
          <w:sz w:val="24"/>
          <w:szCs w:val="24"/>
        </w:rPr>
        <w:t>affect</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w w:val="106"/>
          <w:sz w:val="24"/>
          <w:szCs w:val="24"/>
        </w:rPr>
        <w:t xml:space="preserve"> </w:t>
      </w:r>
      <w:r w:rsidRPr="006545C7">
        <w:rPr>
          <w:rFonts w:ascii="Times New Roman" w:hAnsi="Times New Roman" w:cs="Times New Roman"/>
          <w:sz w:val="24"/>
          <w:szCs w:val="24"/>
        </w:rPr>
        <w:t>monetary</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transmission</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mechanism?</w:t>
      </w:r>
      <w:r w:rsidRPr="006545C7">
        <w:rPr>
          <w:rFonts w:ascii="Times New Roman" w:hAnsi="Times New Roman" w:cs="Times New Roman"/>
          <w:spacing w:val="10"/>
          <w:sz w:val="24"/>
          <w:szCs w:val="24"/>
        </w:rPr>
        <w:t xml:space="preserve"> </w:t>
      </w:r>
      <w:r w:rsidRPr="006545C7">
        <w:rPr>
          <w:rFonts w:ascii="Times New Roman" w:hAnsi="Times New Roman" w:cs="Times New Roman"/>
          <w:i/>
          <w:iCs/>
          <w:sz w:val="24"/>
          <w:szCs w:val="24"/>
        </w:rPr>
        <w:t>CESIFO</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799.</w:t>
      </w:r>
    </w:p>
    <w:p w14:paraId="65773CC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Tarashev</w:t>
      </w:r>
      <w:proofErr w:type="spellEnd"/>
      <w:r w:rsidRPr="006545C7">
        <w:rPr>
          <w:rFonts w:ascii="Times New Roman" w:hAnsi="Times New Roman" w:cs="Times New Roman"/>
          <w:sz w:val="24"/>
          <w:szCs w:val="24"/>
        </w:rPr>
        <w:t>,</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N.,</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An</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empirical</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evaluation</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structural</w:t>
      </w:r>
      <w:r w:rsidRPr="006545C7">
        <w:rPr>
          <w:rFonts w:ascii="Times New Roman" w:hAnsi="Times New Roman" w:cs="Times New Roman"/>
          <w:spacing w:val="24"/>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risk</w:t>
      </w:r>
      <w:r w:rsidRPr="006545C7">
        <w:rPr>
          <w:rFonts w:ascii="Times New Roman" w:hAnsi="Times New Roman" w:cs="Times New Roman"/>
          <w:spacing w:val="25"/>
          <w:sz w:val="24"/>
          <w:szCs w:val="24"/>
        </w:rPr>
        <w:t xml:space="preserve"> </w:t>
      </w:r>
      <w:r w:rsidRPr="006545C7">
        <w:rPr>
          <w:rFonts w:ascii="Times New Roman" w:hAnsi="Times New Roman" w:cs="Times New Roman"/>
          <w:sz w:val="24"/>
          <w:szCs w:val="24"/>
        </w:rPr>
        <w:t>models.</w:t>
      </w:r>
      <w:r w:rsidRPr="006545C7">
        <w:rPr>
          <w:rFonts w:ascii="Times New Roman" w:hAnsi="Times New Roman" w:cs="Times New Roman"/>
          <w:spacing w:val="25"/>
          <w:sz w:val="24"/>
          <w:szCs w:val="24"/>
        </w:rPr>
        <w:t xml:space="preserve"> </w:t>
      </w:r>
      <w:r w:rsidRPr="006545C7">
        <w:rPr>
          <w:rFonts w:ascii="Times New Roman" w:hAnsi="Times New Roman" w:cs="Times New Roman"/>
          <w:i/>
          <w:iCs/>
          <w:sz w:val="24"/>
          <w:szCs w:val="24"/>
        </w:rPr>
        <w:t>BIS</w:t>
      </w:r>
      <w:r w:rsidRPr="006545C7">
        <w:rPr>
          <w:rFonts w:ascii="Times New Roman" w:hAnsi="Times New Roman" w:cs="Times New Roman"/>
          <w:w w:val="91"/>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Papers</w:t>
      </w:r>
      <w:r w:rsidRPr="006545C7">
        <w:rPr>
          <w:rFonts w:ascii="Times New Roman" w:hAnsi="Times New Roman" w:cs="Times New Roman"/>
          <w:spacing w:val="16"/>
          <w:sz w:val="24"/>
          <w:szCs w:val="24"/>
        </w:rPr>
        <w:t xml:space="preserve"> </w:t>
      </w:r>
      <w:r w:rsidRPr="006545C7">
        <w:rPr>
          <w:rFonts w:ascii="Times New Roman" w:hAnsi="Times New Roman" w:cs="Times New Roman"/>
          <w:sz w:val="24"/>
          <w:szCs w:val="24"/>
        </w:rPr>
        <w:t>179.</w:t>
      </w:r>
    </w:p>
    <w:p w14:paraId="2A6448A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Taylor,</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Goodhart,</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C.,</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Procyclicality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volatility</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6"/>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system:</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implementation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Basel</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II</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IAS39.</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Gerlach,</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Gruenwald,</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P.</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(Eds.),</w:t>
      </w:r>
      <w:r w:rsidRPr="006545C7">
        <w:rPr>
          <w:rFonts w:ascii="Times New Roman" w:hAnsi="Times New Roman" w:cs="Times New Roman"/>
          <w:sz w:val="24"/>
          <w:szCs w:val="24"/>
        </w:rPr>
        <w:t xml:space="preserve"> </w:t>
      </w:r>
      <w:r w:rsidRPr="006545C7">
        <w:rPr>
          <w:rFonts w:ascii="Times New Roman" w:hAnsi="Times New Roman" w:cs="Times New Roman"/>
          <w:w w:val="105"/>
          <w:sz w:val="24"/>
          <w:szCs w:val="24"/>
        </w:rPr>
        <w:t>Procyclicality</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Financial</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Systems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in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Asia.</w:t>
      </w:r>
      <w:r w:rsidRPr="006545C7">
        <w:rPr>
          <w:rFonts w:ascii="Times New Roman" w:hAnsi="Times New Roman" w:cs="Times New Roman"/>
          <w:spacing w:val="7"/>
          <w:w w:val="105"/>
          <w:sz w:val="24"/>
          <w:szCs w:val="24"/>
        </w:rPr>
        <w:t xml:space="preserve"> </w:t>
      </w:r>
      <w:r w:rsidRPr="006545C7">
        <w:rPr>
          <w:rFonts w:ascii="Times New Roman" w:hAnsi="Times New Roman" w:cs="Times New Roman"/>
          <w:i/>
          <w:iCs/>
          <w:w w:val="105"/>
          <w:sz w:val="24"/>
          <w:szCs w:val="24"/>
        </w:rPr>
        <w:t>IMF</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Hong</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Kong</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Institute</w:t>
      </w:r>
      <w:r w:rsidRPr="006545C7">
        <w:rPr>
          <w:rFonts w:ascii="Times New Roman" w:hAnsi="Times New Roman" w:cs="Times New Roman"/>
          <w:i/>
          <w:iCs/>
          <w:spacing w:val="7"/>
          <w:w w:val="105"/>
          <w:sz w:val="24"/>
          <w:szCs w:val="24"/>
        </w:rPr>
        <w:t xml:space="preserve"> </w:t>
      </w:r>
      <w:r w:rsidRPr="006545C7">
        <w:rPr>
          <w:rFonts w:ascii="Times New Roman" w:hAnsi="Times New Roman" w:cs="Times New Roman"/>
          <w:i/>
          <w:iCs/>
          <w:w w:val="105"/>
          <w:sz w:val="24"/>
          <w:szCs w:val="24"/>
        </w:rPr>
        <w:t>for</w:t>
      </w:r>
      <w:r w:rsidRPr="006545C7">
        <w:rPr>
          <w:rFonts w:ascii="Times New Roman" w:hAnsi="Times New Roman" w:cs="Times New Roman"/>
          <w:i/>
          <w:iCs/>
          <w:w w:val="109"/>
          <w:sz w:val="24"/>
          <w:szCs w:val="24"/>
        </w:rPr>
        <w:t xml:space="preserve"> </w:t>
      </w:r>
      <w:r w:rsidRPr="006545C7">
        <w:rPr>
          <w:rFonts w:ascii="Times New Roman" w:hAnsi="Times New Roman" w:cs="Times New Roman"/>
          <w:i/>
          <w:iCs/>
          <w:w w:val="105"/>
          <w:sz w:val="24"/>
          <w:szCs w:val="24"/>
        </w:rPr>
        <w:t>Monetary</w:t>
      </w:r>
      <w:r w:rsidRPr="006545C7">
        <w:rPr>
          <w:rFonts w:ascii="Times New Roman" w:hAnsi="Times New Roman" w:cs="Times New Roman"/>
          <w:i/>
          <w:iCs/>
          <w:spacing w:val="-11"/>
          <w:w w:val="105"/>
          <w:sz w:val="24"/>
          <w:szCs w:val="24"/>
        </w:rPr>
        <w:t xml:space="preserve"> </w:t>
      </w:r>
      <w:r w:rsidRPr="006545C7">
        <w:rPr>
          <w:rFonts w:ascii="Times New Roman" w:hAnsi="Times New Roman" w:cs="Times New Roman"/>
          <w:i/>
          <w:iCs/>
          <w:w w:val="105"/>
          <w:sz w:val="24"/>
          <w:szCs w:val="24"/>
        </w:rPr>
        <w:t>Research</w:t>
      </w:r>
      <w:r w:rsidRPr="006545C7">
        <w:rPr>
          <w:rFonts w:ascii="Times New Roman" w:hAnsi="Times New Roman" w:cs="Times New Roman"/>
          <w:w w:val="105"/>
          <w:sz w:val="24"/>
          <w:szCs w:val="24"/>
        </w:rPr>
        <w:t>,</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Palgrave</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MacMillan,</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New</w:t>
      </w:r>
      <w:r w:rsidRPr="006545C7">
        <w:rPr>
          <w:rFonts w:ascii="Times New Roman" w:hAnsi="Times New Roman" w:cs="Times New Roman"/>
          <w:spacing w:val="-11"/>
          <w:w w:val="105"/>
          <w:sz w:val="24"/>
          <w:szCs w:val="24"/>
        </w:rPr>
        <w:t xml:space="preserve"> </w:t>
      </w:r>
      <w:r w:rsidRPr="006545C7">
        <w:rPr>
          <w:rFonts w:ascii="Times New Roman" w:hAnsi="Times New Roman" w:cs="Times New Roman"/>
          <w:w w:val="105"/>
          <w:sz w:val="24"/>
          <w:szCs w:val="24"/>
        </w:rPr>
        <w:t>York.</w:t>
      </w:r>
    </w:p>
    <w:p w14:paraId="64443A1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Tobin,</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22"/>
          <w:sz w:val="24"/>
          <w:szCs w:val="24"/>
        </w:rPr>
        <w:t xml:space="preserve"> </w:t>
      </w:r>
      <w:r w:rsidRPr="006545C7">
        <w:rPr>
          <w:rFonts w:ascii="Times New Roman" w:hAnsi="Times New Roman" w:cs="Times New Roman"/>
          <w:w w:val="105"/>
          <w:sz w:val="24"/>
          <w:szCs w:val="24"/>
        </w:rPr>
        <w:t>1961.</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Money,</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other</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stores</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value.</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i/>
          <w:iCs/>
          <w:w w:val="105"/>
          <w:sz w:val="24"/>
          <w:szCs w:val="24"/>
        </w:rPr>
        <w:t>American</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Review</w:t>
      </w:r>
      <w:r w:rsidRPr="006545C7">
        <w:rPr>
          <w:rFonts w:ascii="Times New Roman" w:hAnsi="Times New Roman" w:cs="Times New Roman"/>
          <w:w w:val="110"/>
          <w:sz w:val="24"/>
          <w:szCs w:val="24"/>
        </w:rPr>
        <w:t xml:space="preserve"> </w:t>
      </w:r>
      <w:r w:rsidRPr="006545C7">
        <w:rPr>
          <w:rFonts w:ascii="Times New Roman" w:hAnsi="Times New Roman" w:cs="Times New Roman"/>
          <w:w w:val="105"/>
          <w:sz w:val="24"/>
          <w:szCs w:val="24"/>
        </w:rPr>
        <w:t>51,</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26–37.</w:t>
      </w:r>
    </w:p>
    <w:p w14:paraId="28761F4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Townsend,</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R.,</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1979.</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Optimal</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contracts</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competitive</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markets</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with</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costly</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state</w:t>
      </w:r>
      <w:r w:rsidRPr="006545C7">
        <w:rPr>
          <w:rFonts w:ascii="Times New Roman" w:hAnsi="Times New Roman" w:cs="Times New Roman"/>
          <w:w w:val="103"/>
          <w:sz w:val="24"/>
          <w:szCs w:val="24"/>
        </w:rPr>
        <w:t xml:space="preserve"> </w:t>
      </w:r>
      <w:r w:rsidRPr="006545C7">
        <w:rPr>
          <w:rFonts w:ascii="Times New Roman" w:hAnsi="Times New Roman" w:cs="Times New Roman"/>
          <w:w w:val="105"/>
          <w:sz w:val="24"/>
          <w:szCs w:val="24"/>
        </w:rPr>
        <w:t>verification.</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9"/>
          <w:w w:val="105"/>
          <w:sz w:val="24"/>
          <w:szCs w:val="24"/>
        </w:rPr>
        <w:t xml:space="preserve"> </w:t>
      </w:r>
      <w:r w:rsidRPr="006545C7">
        <w:rPr>
          <w:rFonts w:ascii="Times New Roman" w:hAnsi="Times New Roman" w:cs="Times New Roman"/>
          <w:i/>
          <w:iCs/>
          <w:w w:val="105"/>
          <w:sz w:val="24"/>
          <w:szCs w:val="24"/>
        </w:rPr>
        <w:t>Economic</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Theory</w:t>
      </w:r>
      <w:r w:rsidRPr="006545C7">
        <w:rPr>
          <w:rFonts w:ascii="Times New Roman" w:hAnsi="Times New Roman" w:cs="Times New Roman"/>
          <w:spacing w:val="-19"/>
          <w:w w:val="105"/>
          <w:sz w:val="24"/>
          <w:szCs w:val="24"/>
        </w:rPr>
        <w:t xml:space="preserve"> </w:t>
      </w:r>
      <w:r w:rsidRPr="006545C7">
        <w:rPr>
          <w:rFonts w:ascii="Times New Roman" w:hAnsi="Times New Roman" w:cs="Times New Roman"/>
          <w:w w:val="105"/>
          <w:sz w:val="24"/>
          <w:szCs w:val="24"/>
        </w:rPr>
        <w:t>21,</w:t>
      </w:r>
      <w:r w:rsidRPr="006545C7">
        <w:rPr>
          <w:rFonts w:ascii="Times New Roman" w:hAnsi="Times New Roman" w:cs="Times New Roman"/>
          <w:spacing w:val="-18"/>
          <w:w w:val="105"/>
          <w:sz w:val="24"/>
          <w:szCs w:val="24"/>
        </w:rPr>
        <w:t xml:space="preserve"> </w:t>
      </w:r>
      <w:r w:rsidRPr="006545C7">
        <w:rPr>
          <w:rFonts w:ascii="Times New Roman" w:hAnsi="Times New Roman" w:cs="Times New Roman"/>
          <w:w w:val="105"/>
          <w:sz w:val="24"/>
          <w:szCs w:val="24"/>
        </w:rPr>
        <w:t>265–293.</w:t>
      </w:r>
    </w:p>
    <w:p w14:paraId="569B089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Van</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den</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Heuvel,</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2002.</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Banking</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conditions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effects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w w:val="109"/>
          <w:sz w:val="24"/>
          <w:szCs w:val="24"/>
        </w:rPr>
        <w:t xml:space="preserve"> </w:t>
      </w:r>
      <w:r w:rsidRPr="006545C7">
        <w:rPr>
          <w:rFonts w:ascii="Times New Roman" w:hAnsi="Times New Roman" w:cs="Times New Roman"/>
          <w:w w:val="105"/>
          <w:sz w:val="24"/>
          <w:szCs w:val="24"/>
        </w:rPr>
        <w:t>evidence</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from</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U.S.</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States.</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2"/>
          <w:w w:val="105"/>
          <w:sz w:val="24"/>
          <w:szCs w:val="24"/>
        </w:rPr>
        <w:t xml:space="preserve"> </w:t>
      </w:r>
      <w:r w:rsidRPr="006545C7">
        <w:rPr>
          <w:rFonts w:ascii="Times New Roman" w:hAnsi="Times New Roman" w:cs="Times New Roman"/>
          <w:i/>
          <w:iCs/>
          <w:w w:val="105"/>
          <w:sz w:val="24"/>
          <w:szCs w:val="24"/>
        </w:rPr>
        <w:t>Pennsylvania</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12"/>
          <w:w w:val="105"/>
          <w:sz w:val="24"/>
          <w:szCs w:val="24"/>
        </w:rPr>
        <w:t xml:space="preserve"> </w:t>
      </w:r>
      <w:r w:rsidRPr="006545C7">
        <w:rPr>
          <w:rFonts w:ascii="Times New Roman" w:hAnsi="Times New Roman" w:cs="Times New Roman"/>
          <w:w w:val="105"/>
          <w:sz w:val="24"/>
          <w:szCs w:val="24"/>
        </w:rPr>
        <w:t>Paper.</w:t>
      </w:r>
    </w:p>
    <w:p w14:paraId="14A45C60"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Van</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den</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Heuvel,</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2007. Do</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effects</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on bank</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lending</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depend</w:t>
      </w:r>
      <w:r w:rsidRPr="006545C7">
        <w:rPr>
          <w:rFonts w:ascii="Times New Roman" w:hAnsi="Times New Roman" w:cs="Times New Roman"/>
          <w:spacing w:val="-1"/>
          <w:w w:val="105"/>
          <w:sz w:val="24"/>
          <w:szCs w:val="24"/>
        </w:rPr>
        <w:t xml:space="preserve"> </w:t>
      </w:r>
      <w:r w:rsidRPr="006545C7">
        <w:rPr>
          <w:rFonts w:ascii="Times New Roman" w:hAnsi="Times New Roman" w:cs="Times New Roman"/>
          <w:w w:val="105"/>
          <w:sz w:val="24"/>
          <w:szCs w:val="24"/>
        </w:rPr>
        <w:t>on</w:t>
      </w:r>
      <w:r w:rsidRPr="006545C7">
        <w:rPr>
          <w:rFonts w:ascii="Times New Roman" w:hAnsi="Times New Roman" w:cs="Times New Roman"/>
          <w:w w:val="106"/>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10"/>
          <w:w w:val="105"/>
          <w:sz w:val="24"/>
          <w:szCs w:val="24"/>
        </w:rPr>
        <w:t xml:space="preserve"> </w:t>
      </w:r>
      <w:r w:rsidRPr="006545C7">
        <w:rPr>
          <w:rFonts w:ascii="Times New Roman" w:hAnsi="Times New Roman" w:cs="Times New Roman"/>
          <w:w w:val="105"/>
          <w:sz w:val="24"/>
          <w:szCs w:val="24"/>
        </w:rPr>
        <w:t>capitalization?</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9"/>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10"/>
          <w:w w:val="105"/>
          <w:sz w:val="24"/>
          <w:szCs w:val="24"/>
        </w:rPr>
        <w:t xml:space="preserve"> </w:t>
      </w:r>
      <w:r w:rsidRPr="006545C7">
        <w:rPr>
          <w:rFonts w:ascii="Times New Roman" w:hAnsi="Times New Roman" w:cs="Times New Roman"/>
          <w:i/>
          <w:iCs/>
          <w:w w:val="105"/>
          <w:sz w:val="24"/>
          <w:szCs w:val="24"/>
        </w:rPr>
        <w:t>Pennsylvania</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9"/>
          <w:w w:val="105"/>
          <w:sz w:val="24"/>
          <w:szCs w:val="24"/>
        </w:rPr>
        <w:t xml:space="preserve"> </w:t>
      </w:r>
      <w:r w:rsidRPr="006545C7">
        <w:rPr>
          <w:rFonts w:ascii="Times New Roman" w:hAnsi="Times New Roman" w:cs="Times New Roman"/>
          <w:w w:val="105"/>
          <w:sz w:val="24"/>
          <w:szCs w:val="24"/>
        </w:rPr>
        <w:t>Paper.</w:t>
      </w:r>
    </w:p>
    <w:p w14:paraId="00787D1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Van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den</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Heuvel,</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S.,</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channel</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w w:val="106"/>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8"/>
          <w:w w:val="105"/>
          <w:sz w:val="24"/>
          <w:szCs w:val="24"/>
        </w:rPr>
        <w:t xml:space="preserve"> </w:t>
      </w:r>
      <w:r w:rsidRPr="006545C7">
        <w:rPr>
          <w:rFonts w:ascii="Times New Roman" w:hAnsi="Times New Roman" w:cs="Times New Roman"/>
          <w:i/>
          <w:iCs/>
          <w:w w:val="105"/>
          <w:sz w:val="24"/>
          <w:szCs w:val="24"/>
        </w:rPr>
        <w:t>Pennsylvania</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8"/>
          <w:w w:val="105"/>
          <w:sz w:val="24"/>
          <w:szCs w:val="24"/>
        </w:rPr>
        <w:t xml:space="preserve"> </w:t>
      </w:r>
      <w:r w:rsidRPr="006545C7">
        <w:rPr>
          <w:rFonts w:ascii="Times New Roman" w:hAnsi="Times New Roman" w:cs="Times New Roman"/>
          <w:w w:val="105"/>
          <w:sz w:val="24"/>
          <w:szCs w:val="24"/>
        </w:rPr>
        <w:t>Paper.</w:t>
      </w:r>
    </w:p>
    <w:p w14:paraId="2964516C"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w w:val="105"/>
          <w:sz w:val="24"/>
          <w:szCs w:val="24"/>
        </w:rPr>
        <w:t>VanHoose</w:t>
      </w:r>
      <w:proofErr w:type="spellEnd"/>
      <w:r w:rsidRPr="006545C7">
        <w:rPr>
          <w:rFonts w:ascii="Times New Roman" w:hAnsi="Times New Roman" w:cs="Times New Roman"/>
          <w:w w:val="105"/>
          <w:sz w:val="24"/>
          <w:szCs w:val="24"/>
        </w:rPr>
        <w:t>,</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D.,</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Theories</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bank</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behaviour</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under</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capital</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22"/>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2"/>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w w:val="113"/>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7"/>
          <w:w w:val="105"/>
          <w:sz w:val="24"/>
          <w:szCs w:val="24"/>
        </w:rPr>
        <w:t xml:space="preserve"> </w:t>
      </w:r>
      <w:r w:rsidRPr="006545C7">
        <w:rPr>
          <w:rFonts w:ascii="Times New Roman" w:hAnsi="Times New Roman" w:cs="Times New Roman"/>
          <w:i/>
          <w:iCs/>
          <w:w w:val="105"/>
          <w:sz w:val="24"/>
          <w:szCs w:val="24"/>
        </w:rPr>
        <w:t>Finance</w:t>
      </w:r>
      <w:r w:rsidRPr="006545C7">
        <w:rPr>
          <w:rFonts w:ascii="Times New Roman" w:hAnsi="Times New Roman" w:cs="Times New Roman"/>
          <w:i/>
          <w:iCs/>
          <w:spacing w:val="-26"/>
          <w:w w:val="105"/>
          <w:sz w:val="24"/>
          <w:szCs w:val="24"/>
        </w:rPr>
        <w:t xml:space="preserve"> </w:t>
      </w:r>
      <w:r w:rsidRPr="006545C7">
        <w:rPr>
          <w:rFonts w:ascii="Times New Roman" w:hAnsi="Times New Roman" w:cs="Times New Roman"/>
          <w:w w:val="105"/>
          <w:sz w:val="24"/>
          <w:szCs w:val="24"/>
        </w:rPr>
        <w:t>31,</w:t>
      </w:r>
      <w:r w:rsidRPr="006545C7">
        <w:rPr>
          <w:rFonts w:ascii="Times New Roman" w:hAnsi="Times New Roman" w:cs="Times New Roman"/>
          <w:spacing w:val="-27"/>
          <w:w w:val="105"/>
          <w:sz w:val="24"/>
          <w:szCs w:val="24"/>
        </w:rPr>
        <w:t xml:space="preserve"> </w:t>
      </w:r>
      <w:r w:rsidRPr="006545C7">
        <w:rPr>
          <w:rFonts w:ascii="Times New Roman" w:hAnsi="Times New Roman" w:cs="Times New Roman"/>
          <w:w w:val="105"/>
          <w:sz w:val="24"/>
          <w:szCs w:val="24"/>
        </w:rPr>
        <w:t>3680–3697.</w:t>
      </w:r>
    </w:p>
    <w:p w14:paraId="08946332" w14:textId="77777777" w:rsidR="00F717E4" w:rsidRPr="00F717E4" w:rsidRDefault="00F717E4" w:rsidP="00F717E4">
      <w:pPr>
        <w:pStyle w:val="ListParagraph"/>
        <w:numPr>
          <w:ilvl w:val="0"/>
          <w:numId w:val="5"/>
        </w:numPr>
        <w:jc w:val="both"/>
        <w:rPr>
          <w:rFonts w:ascii="Times New Roman" w:hAnsi="Times New Roman" w:cs="Times New Roman"/>
          <w:sz w:val="24"/>
          <w:szCs w:val="24"/>
        </w:rPr>
      </w:pPr>
      <w:proofErr w:type="spellStart"/>
      <w:r w:rsidRPr="00F717E4">
        <w:rPr>
          <w:rFonts w:ascii="Times New Roman" w:hAnsi="Times New Roman" w:cs="Times New Roman"/>
          <w:sz w:val="24"/>
          <w:szCs w:val="24"/>
        </w:rPr>
        <w:t>Vasicek</w:t>
      </w:r>
      <w:proofErr w:type="spellEnd"/>
      <w:r w:rsidRPr="00F717E4">
        <w:rPr>
          <w:rFonts w:ascii="Times New Roman" w:hAnsi="Times New Roman" w:cs="Times New Roman"/>
          <w:sz w:val="24"/>
          <w:szCs w:val="24"/>
        </w:rPr>
        <w:t xml:space="preserve">, </w:t>
      </w:r>
      <w:proofErr w:type="spellStart"/>
      <w:r w:rsidRPr="00F717E4">
        <w:rPr>
          <w:rFonts w:ascii="Times New Roman" w:hAnsi="Times New Roman" w:cs="Times New Roman"/>
          <w:sz w:val="24"/>
          <w:szCs w:val="24"/>
        </w:rPr>
        <w:t>Oldrich</w:t>
      </w:r>
      <w:proofErr w:type="spellEnd"/>
      <w:r w:rsidRPr="00F717E4">
        <w:rPr>
          <w:rFonts w:ascii="Times New Roman" w:hAnsi="Times New Roman" w:cs="Times New Roman"/>
          <w:sz w:val="24"/>
          <w:szCs w:val="24"/>
        </w:rPr>
        <w:t>, 1977, An equilibrium characterization of the term structure, Journal of Financial Economics 5, 177–188.</w:t>
      </w:r>
    </w:p>
    <w:p w14:paraId="3FAE34AB"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Wagster</w:t>
      </w:r>
      <w:proofErr w:type="spellEnd"/>
      <w:r w:rsidRPr="006545C7">
        <w:rPr>
          <w:rFonts w:ascii="Times New Roman" w:hAnsi="Times New Roman" w:cs="Times New Roman"/>
          <w:sz w:val="24"/>
          <w:szCs w:val="24"/>
        </w:rPr>
        <w: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J.,</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1999.</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Accord</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1988</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international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credit</w:t>
      </w:r>
      <w:r w:rsidRPr="006545C7">
        <w:rPr>
          <w:rFonts w:ascii="Times New Roman" w:hAnsi="Times New Roman" w:cs="Times New Roman"/>
          <w:spacing w:val="10"/>
          <w:sz w:val="24"/>
          <w:szCs w:val="24"/>
        </w:rPr>
        <w:t xml:space="preserve"> </w:t>
      </w:r>
      <w:r w:rsidRPr="006545C7">
        <w:rPr>
          <w:rFonts w:ascii="Times New Roman" w:hAnsi="Times New Roman" w:cs="Times New Roman"/>
          <w:sz w:val="24"/>
          <w:szCs w:val="24"/>
        </w:rPr>
        <w:t>crunch</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w w:val="113"/>
          <w:sz w:val="24"/>
          <w:szCs w:val="24"/>
        </w:rPr>
        <w:t xml:space="preserve"> </w:t>
      </w:r>
      <w:r w:rsidRPr="006545C7">
        <w:rPr>
          <w:rFonts w:ascii="Times New Roman" w:hAnsi="Times New Roman" w:cs="Times New Roman"/>
          <w:sz w:val="24"/>
          <w:szCs w:val="24"/>
        </w:rPr>
        <w:t>1989–1992.</w:t>
      </w:r>
      <w:r w:rsidRPr="006545C7">
        <w:rPr>
          <w:rFonts w:ascii="Times New Roman" w:hAnsi="Times New Roman" w:cs="Times New Roman"/>
          <w:spacing w:val="2"/>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Financial</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Services</w:t>
      </w:r>
      <w:r w:rsidRPr="006545C7">
        <w:rPr>
          <w:rFonts w:ascii="Times New Roman" w:hAnsi="Times New Roman" w:cs="Times New Roman"/>
          <w:i/>
          <w:iCs/>
          <w:spacing w:val="2"/>
          <w:sz w:val="24"/>
          <w:szCs w:val="24"/>
        </w:rPr>
        <w:t xml:space="preserve"> </w:t>
      </w:r>
      <w:r w:rsidRPr="006545C7">
        <w:rPr>
          <w:rFonts w:ascii="Times New Roman" w:hAnsi="Times New Roman" w:cs="Times New Roman"/>
          <w:i/>
          <w:iCs/>
          <w:sz w:val="24"/>
          <w:szCs w:val="24"/>
        </w:rPr>
        <w:t>Research</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15,</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123–143.</w:t>
      </w:r>
    </w:p>
    <w:p w14:paraId="1927487F"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Watanabe,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2007.</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Prudential</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regulation</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the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‘Credit</w:t>
      </w:r>
      <w:r w:rsidRPr="006545C7">
        <w:rPr>
          <w:rFonts w:ascii="Times New Roman" w:hAnsi="Times New Roman" w:cs="Times New Roman"/>
          <w:spacing w:val="-2"/>
          <w:w w:val="105"/>
          <w:sz w:val="24"/>
          <w:szCs w:val="24"/>
        </w:rPr>
        <w:t xml:space="preserve"> </w:t>
      </w:r>
      <w:r w:rsidRPr="006545C7">
        <w:rPr>
          <w:rFonts w:ascii="Times New Roman" w:hAnsi="Times New Roman" w:cs="Times New Roman"/>
          <w:w w:val="105"/>
          <w:sz w:val="24"/>
          <w:szCs w:val="24"/>
        </w:rPr>
        <w:t>Crunch’</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evidence</w:t>
      </w:r>
      <w:r w:rsidRPr="006545C7">
        <w:rPr>
          <w:rFonts w:ascii="Times New Roman" w:hAnsi="Times New Roman" w:cs="Times New Roman"/>
          <w:spacing w:val="-3"/>
          <w:w w:val="105"/>
          <w:sz w:val="24"/>
          <w:szCs w:val="24"/>
        </w:rPr>
        <w:t xml:space="preserve"> </w:t>
      </w:r>
      <w:r w:rsidRPr="006545C7">
        <w:rPr>
          <w:rFonts w:ascii="Times New Roman" w:hAnsi="Times New Roman" w:cs="Times New Roman"/>
          <w:w w:val="105"/>
          <w:sz w:val="24"/>
          <w:szCs w:val="24"/>
        </w:rPr>
        <w:t>from</w:t>
      </w:r>
      <w:r w:rsidRPr="006545C7">
        <w:rPr>
          <w:rFonts w:ascii="Times New Roman" w:hAnsi="Times New Roman" w:cs="Times New Roman"/>
          <w:w w:val="109"/>
          <w:sz w:val="24"/>
          <w:szCs w:val="24"/>
        </w:rPr>
        <w:t xml:space="preserve"> </w:t>
      </w:r>
      <w:r w:rsidRPr="006545C7">
        <w:rPr>
          <w:rFonts w:ascii="Times New Roman" w:hAnsi="Times New Roman" w:cs="Times New Roman"/>
          <w:w w:val="105"/>
          <w:sz w:val="24"/>
          <w:szCs w:val="24"/>
        </w:rPr>
        <w:t>Japan.</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i/>
          <w:iCs/>
          <w:w w:val="105"/>
          <w:sz w:val="24"/>
          <w:szCs w:val="24"/>
        </w:rPr>
        <w:t>Journal</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Money</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Credit</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and</w:t>
      </w:r>
      <w:r w:rsidRPr="006545C7">
        <w:rPr>
          <w:rFonts w:ascii="Times New Roman" w:hAnsi="Times New Roman" w:cs="Times New Roman"/>
          <w:i/>
          <w:iCs/>
          <w:spacing w:val="-25"/>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spacing w:val="-25"/>
          <w:w w:val="105"/>
          <w:sz w:val="24"/>
          <w:szCs w:val="24"/>
        </w:rPr>
        <w:t xml:space="preserve"> </w:t>
      </w:r>
      <w:r w:rsidRPr="006545C7">
        <w:rPr>
          <w:rFonts w:ascii="Times New Roman" w:hAnsi="Times New Roman" w:cs="Times New Roman"/>
          <w:w w:val="105"/>
          <w:sz w:val="24"/>
          <w:szCs w:val="24"/>
        </w:rPr>
        <w:t>39,</w:t>
      </w:r>
      <w:r w:rsidRPr="006545C7">
        <w:rPr>
          <w:rFonts w:ascii="Times New Roman" w:hAnsi="Times New Roman" w:cs="Times New Roman"/>
          <w:spacing w:val="-24"/>
          <w:w w:val="105"/>
          <w:sz w:val="24"/>
          <w:szCs w:val="24"/>
        </w:rPr>
        <w:t xml:space="preserve"> </w:t>
      </w:r>
      <w:r w:rsidRPr="006545C7">
        <w:rPr>
          <w:rFonts w:ascii="Times New Roman" w:hAnsi="Times New Roman" w:cs="Times New Roman"/>
          <w:w w:val="105"/>
          <w:sz w:val="24"/>
          <w:szCs w:val="24"/>
        </w:rPr>
        <w:t>639–665.</w:t>
      </w:r>
    </w:p>
    <w:p w14:paraId="1314ED2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White,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W.,</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2006.</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Is</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price</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stability</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enough?</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i/>
          <w:iCs/>
          <w:w w:val="105"/>
          <w:sz w:val="24"/>
          <w:szCs w:val="24"/>
        </w:rPr>
        <w:t>BIS</w:t>
      </w:r>
      <w:r w:rsidRPr="006545C7">
        <w:rPr>
          <w:rFonts w:ascii="Times New Roman" w:hAnsi="Times New Roman" w:cs="Times New Roman"/>
          <w:i/>
          <w:iCs/>
          <w:spacing w:val="-14"/>
          <w:w w:val="105"/>
          <w:sz w:val="24"/>
          <w:szCs w:val="24"/>
        </w:rPr>
        <w:t xml:space="preserve"> </w:t>
      </w:r>
      <w:r w:rsidRPr="006545C7">
        <w:rPr>
          <w:rFonts w:ascii="Times New Roman" w:hAnsi="Times New Roman" w:cs="Times New Roman"/>
          <w:w w:val="105"/>
          <w:sz w:val="24"/>
          <w:szCs w:val="24"/>
        </w:rPr>
        <w:t>Working</w:t>
      </w:r>
      <w:r w:rsidRPr="006545C7">
        <w:rPr>
          <w:rFonts w:ascii="Times New Roman" w:hAnsi="Times New Roman" w:cs="Times New Roman"/>
          <w:spacing w:val="-13"/>
          <w:w w:val="105"/>
          <w:sz w:val="24"/>
          <w:szCs w:val="24"/>
        </w:rPr>
        <w:t xml:space="preserve"> </w:t>
      </w:r>
      <w:r w:rsidRPr="006545C7">
        <w:rPr>
          <w:rFonts w:ascii="Times New Roman" w:hAnsi="Times New Roman" w:cs="Times New Roman"/>
          <w:w w:val="105"/>
          <w:sz w:val="24"/>
          <w:szCs w:val="24"/>
        </w:rPr>
        <w:t>Papers</w:t>
      </w:r>
      <w:r w:rsidRPr="006545C7">
        <w:rPr>
          <w:rFonts w:ascii="Times New Roman" w:hAnsi="Times New Roman" w:cs="Times New Roman"/>
          <w:spacing w:val="-14"/>
          <w:w w:val="105"/>
          <w:sz w:val="24"/>
          <w:szCs w:val="24"/>
        </w:rPr>
        <w:t xml:space="preserve"> </w:t>
      </w:r>
      <w:r w:rsidRPr="006545C7">
        <w:rPr>
          <w:rFonts w:ascii="Times New Roman" w:hAnsi="Times New Roman" w:cs="Times New Roman"/>
          <w:w w:val="105"/>
          <w:sz w:val="24"/>
          <w:szCs w:val="24"/>
        </w:rPr>
        <w:t>205.</w:t>
      </w:r>
    </w:p>
    <w:p w14:paraId="24D9DF49"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w w:val="105"/>
          <w:sz w:val="24"/>
          <w:szCs w:val="24"/>
        </w:rPr>
        <w:t>Woodford,</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M.,</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2003.</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Interest</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and</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Prices:</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Foundations</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a</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Theory</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of</w:t>
      </w:r>
      <w:r w:rsidRPr="006545C7">
        <w:rPr>
          <w:rFonts w:ascii="Times New Roman" w:hAnsi="Times New Roman" w:cs="Times New Roman"/>
          <w:spacing w:val="-20"/>
          <w:w w:val="105"/>
          <w:sz w:val="24"/>
          <w:szCs w:val="24"/>
        </w:rPr>
        <w:t xml:space="preserve"> </w:t>
      </w:r>
      <w:r w:rsidRPr="006545C7">
        <w:rPr>
          <w:rFonts w:ascii="Times New Roman" w:hAnsi="Times New Roman" w:cs="Times New Roman"/>
          <w:w w:val="105"/>
          <w:sz w:val="24"/>
          <w:szCs w:val="24"/>
        </w:rPr>
        <w:t>Monetary</w:t>
      </w:r>
      <w:r w:rsidRPr="006545C7">
        <w:rPr>
          <w:rFonts w:ascii="Times New Roman" w:hAnsi="Times New Roman" w:cs="Times New Roman"/>
          <w:spacing w:val="-21"/>
          <w:w w:val="105"/>
          <w:sz w:val="24"/>
          <w:szCs w:val="24"/>
        </w:rPr>
        <w:t xml:space="preserve"> </w:t>
      </w:r>
      <w:r w:rsidRPr="006545C7">
        <w:rPr>
          <w:rFonts w:ascii="Times New Roman" w:hAnsi="Times New Roman" w:cs="Times New Roman"/>
          <w:w w:val="105"/>
          <w:sz w:val="24"/>
          <w:szCs w:val="24"/>
        </w:rPr>
        <w:t>Policy.</w:t>
      </w:r>
      <w:r w:rsidRPr="006545C7">
        <w:rPr>
          <w:rFonts w:ascii="Times New Roman" w:hAnsi="Times New Roman" w:cs="Times New Roman"/>
          <w:sz w:val="24"/>
          <w:szCs w:val="24"/>
        </w:rPr>
        <w:t xml:space="preserve"> </w:t>
      </w:r>
      <w:r w:rsidRPr="006545C7">
        <w:rPr>
          <w:rFonts w:ascii="Times New Roman" w:hAnsi="Times New Roman" w:cs="Times New Roman"/>
          <w:i/>
          <w:iCs/>
          <w:w w:val="105"/>
          <w:sz w:val="24"/>
          <w:szCs w:val="24"/>
        </w:rPr>
        <w:t>Princeton</w:t>
      </w:r>
      <w:r w:rsidRPr="006545C7">
        <w:rPr>
          <w:rFonts w:ascii="Times New Roman" w:hAnsi="Times New Roman" w:cs="Times New Roman"/>
          <w:i/>
          <w:iCs/>
          <w:spacing w:val="-18"/>
          <w:w w:val="105"/>
          <w:sz w:val="24"/>
          <w:szCs w:val="24"/>
        </w:rPr>
        <w:t xml:space="preserve"> </w:t>
      </w:r>
      <w:r w:rsidRPr="006545C7">
        <w:rPr>
          <w:rFonts w:ascii="Times New Roman" w:hAnsi="Times New Roman" w:cs="Times New Roman"/>
          <w:i/>
          <w:iCs/>
          <w:w w:val="105"/>
          <w:sz w:val="24"/>
          <w:szCs w:val="24"/>
        </w:rPr>
        <w:t>University</w:t>
      </w:r>
      <w:r w:rsidRPr="006545C7">
        <w:rPr>
          <w:rFonts w:ascii="Times New Roman" w:hAnsi="Times New Roman" w:cs="Times New Roman"/>
          <w:i/>
          <w:iCs/>
          <w:spacing w:val="-17"/>
          <w:w w:val="105"/>
          <w:sz w:val="24"/>
          <w:szCs w:val="24"/>
        </w:rPr>
        <w:t xml:space="preserve"> </w:t>
      </w:r>
      <w:r w:rsidRPr="006545C7">
        <w:rPr>
          <w:rFonts w:ascii="Times New Roman" w:hAnsi="Times New Roman" w:cs="Times New Roman"/>
          <w:i/>
          <w:iCs/>
          <w:w w:val="105"/>
          <w:sz w:val="24"/>
          <w:szCs w:val="24"/>
        </w:rPr>
        <w:t>Press</w:t>
      </w:r>
      <w:r w:rsidRPr="006545C7">
        <w:rPr>
          <w:rFonts w:ascii="Times New Roman" w:hAnsi="Times New Roman" w:cs="Times New Roman"/>
          <w:w w:val="105"/>
          <w:sz w:val="24"/>
          <w:szCs w:val="24"/>
        </w:rPr>
        <w:t>.</w:t>
      </w:r>
    </w:p>
    <w:p w14:paraId="5557B442" w14:textId="77777777" w:rsidR="00F717E4" w:rsidRPr="006545C7" w:rsidRDefault="00F717E4" w:rsidP="00990265">
      <w:pPr>
        <w:pStyle w:val="ListParagraph"/>
        <w:numPr>
          <w:ilvl w:val="0"/>
          <w:numId w:val="5"/>
        </w:numPr>
        <w:jc w:val="both"/>
        <w:rPr>
          <w:rFonts w:ascii="Times New Roman" w:hAnsi="Times New Roman" w:cs="Times New Roman"/>
          <w:sz w:val="24"/>
          <w:szCs w:val="24"/>
        </w:rPr>
      </w:pPr>
      <w:r w:rsidRPr="006545C7">
        <w:rPr>
          <w:rFonts w:ascii="Times New Roman" w:hAnsi="Times New Roman" w:cs="Times New Roman"/>
          <w:sz w:val="24"/>
          <w:szCs w:val="24"/>
        </w:rPr>
        <w:t>Zhu,</w:t>
      </w:r>
      <w:r w:rsidRPr="006545C7">
        <w:rPr>
          <w:rFonts w:ascii="Times New Roman" w:hAnsi="Times New Roman" w:cs="Times New Roman"/>
          <w:spacing w:val="-12"/>
          <w:sz w:val="24"/>
          <w:szCs w:val="24"/>
        </w:rPr>
        <w:t xml:space="preserve"> </w:t>
      </w:r>
      <w:r w:rsidRPr="006545C7">
        <w:rPr>
          <w:rFonts w:ascii="Times New Roman" w:hAnsi="Times New Roman" w:cs="Times New Roman"/>
          <w:sz w:val="24"/>
          <w:szCs w:val="24"/>
        </w:rPr>
        <w:t>H.,</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2007.</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regulation</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banks’</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financial</w:t>
      </w:r>
      <w:r w:rsidRPr="006545C7">
        <w:rPr>
          <w:rFonts w:ascii="Times New Roman" w:hAnsi="Times New Roman" w:cs="Times New Roman"/>
          <w:spacing w:val="-11"/>
          <w:sz w:val="24"/>
          <w:szCs w:val="24"/>
        </w:rPr>
        <w:t xml:space="preserve"> </w:t>
      </w:r>
      <w:r w:rsidRPr="006545C7">
        <w:rPr>
          <w:rFonts w:ascii="Times New Roman" w:hAnsi="Times New Roman" w:cs="Times New Roman"/>
          <w:sz w:val="24"/>
          <w:szCs w:val="24"/>
        </w:rPr>
        <w:t>decisions.</w:t>
      </w:r>
      <w:r w:rsidRPr="006545C7">
        <w:rPr>
          <w:rFonts w:ascii="Times New Roman" w:hAnsi="Times New Roman" w:cs="Times New Roman"/>
          <w:spacing w:val="-11"/>
          <w:sz w:val="24"/>
          <w:szCs w:val="24"/>
        </w:rPr>
        <w:t xml:space="preserve"> </w:t>
      </w:r>
      <w:r w:rsidRPr="006545C7">
        <w:rPr>
          <w:rFonts w:ascii="Times New Roman" w:hAnsi="Times New Roman" w:cs="Times New Roman"/>
          <w:i/>
          <w:iCs/>
          <w:sz w:val="24"/>
          <w:szCs w:val="24"/>
        </w:rPr>
        <w:t>International</w:t>
      </w:r>
      <w:r w:rsidRPr="006545C7">
        <w:rPr>
          <w:rFonts w:ascii="Times New Roman" w:hAnsi="Times New Roman" w:cs="Times New Roman"/>
          <w:i/>
          <w:iCs/>
          <w:spacing w:val="-11"/>
          <w:sz w:val="24"/>
          <w:szCs w:val="24"/>
        </w:rPr>
        <w:t xml:space="preserve"> </w:t>
      </w:r>
      <w:r w:rsidRPr="006545C7">
        <w:rPr>
          <w:rFonts w:ascii="Times New Roman" w:hAnsi="Times New Roman" w:cs="Times New Roman"/>
          <w:i/>
          <w:iCs/>
          <w:sz w:val="24"/>
          <w:szCs w:val="24"/>
        </w:rPr>
        <w:t>Journal</w:t>
      </w:r>
      <w:r w:rsidRPr="006545C7">
        <w:rPr>
          <w:rFonts w:ascii="Times New Roman" w:hAnsi="Times New Roman" w:cs="Times New Roman"/>
          <w:i/>
          <w:iCs/>
          <w:w w:val="95"/>
          <w:sz w:val="24"/>
          <w:szCs w:val="24"/>
        </w:rPr>
        <w:t xml:space="preserve"> </w:t>
      </w:r>
      <w:r w:rsidRPr="006545C7">
        <w:rPr>
          <w:rFonts w:ascii="Times New Roman" w:hAnsi="Times New Roman" w:cs="Times New Roman"/>
          <w:i/>
          <w:iCs/>
          <w:w w:val="105"/>
          <w:sz w:val="24"/>
          <w:szCs w:val="24"/>
        </w:rPr>
        <w:t>of</w:t>
      </w:r>
      <w:r w:rsidRPr="006545C7">
        <w:rPr>
          <w:rFonts w:ascii="Times New Roman" w:hAnsi="Times New Roman" w:cs="Times New Roman"/>
          <w:i/>
          <w:iCs/>
          <w:spacing w:val="-24"/>
          <w:w w:val="105"/>
          <w:sz w:val="24"/>
          <w:szCs w:val="24"/>
        </w:rPr>
        <w:t xml:space="preserve"> </w:t>
      </w:r>
      <w:r w:rsidRPr="006545C7">
        <w:rPr>
          <w:rFonts w:ascii="Times New Roman" w:hAnsi="Times New Roman" w:cs="Times New Roman"/>
          <w:i/>
          <w:iCs/>
          <w:w w:val="105"/>
          <w:sz w:val="24"/>
          <w:szCs w:val="24"/>
        </w:rPr>
        <w:t>Central</w:t>
      </w:r>
      <w:r w:rsidRPr="006545C7">
        <w:rPr>
          <w:rFonts w:ascii="Times New Roman" w:hAnsi="Times New Roman" w:cs="Times New Roman"/>
          <w:i/>
          <w:iCs/>
          <w:spacing w:val="-23"/>
          <w:w w:val="105"/>
          <w:sz w:val="24"/>
          <w:szCs w:val="24"/>
        </w:rPr>
        <w:t xml:space="preserve"> </w:t>
      </w:r>
      <w:r w:rsidRPr="006545C7">
        <w:rPr>
          <w:rFonts w:ascii="Times New Roman" w:hAnsi="Times New Roman" w:cs="Times New Roman"/>
          <w:i/>
          <w:iCs/>
          <w:w w:val="105"/>
          <w:sz w:val="24"/>
          <w:szCs w:val="24"/>
        </w:rPr>
        <w:t>Banking</w:t>
      </w:r>
      <w:r w:rsidRPr="006545C7">
        <w:rPr>
          <w:rFonts w:ascii="Times New Roman" w:hAnsi="Times New Roman" w:cs="Times New Roman"/>
          <w:w w:val="105"/>
          <w:sz w:val="24"/>
          <w:szCs w:val="24"/>
        </w:rPr>
        <w:t>,</w:t>
      </w:r>
      <w:r w:rsidRPr="006545C7">
        <w:rPr>
          <w:rFonts w:ascii="Times New Roman" w:hAnsi="Times New Roman" w:cs="Times New Roman"/>
          <w:spacing w:val="-23"/>
          <w:w w:val="105"/>
          <w:sz w:val="24"/>
          <w:szCs w:val="24"/>
        </w:rPr>
        <w:t xml:space="preserve"> </w:t>
      </w:r>
      <w:r w:rsidRPr="006545C7">
        <w:rPr>
          <w:rFonts w:ascii="Times New Roman" w:hAnsi="Times New Roman" w:cs="Times New Roman"/>
          <w:w w:val="105"/>
          <w:sz w:val="24"/>
          <w:szCs w:val="24"/>
        </w:rPr>
        <w:t>165–211.</w:t>
      </w:r>
    </w:p>
    <w:p w14:paraId="20AB1F6C" w14:textId="77777777" w:rsidR="00F717E4" w:rsidRDefault="00F717E4" w:rsidP="00990265">
      <w:pPr>
        <w:pStyle w:val="ListParagraph"/>
        <w:numPr>
          <w:ilvl w:val="0"/>
          <w:numId w:val="5"/>
        </w:numPr>
        <w:jc w:val="both"/>
        <w:rPr>
          <w:rFonts w:ascii="Times New Roman" w:hAnsi="Times New Roman" w:cs="Times New Roman"/>
          <w:sz w:val="24"/>
          <w:szCs w:val="24"/>
        </w:rPr>
      </w:pPr>
      <w:proofErr w:type="spellStart"/>
      <w:r w:rsidRPr="006545C7">
        <w:rPr>
          <w:rFonts w:ascii="Times New Roman" w:hAnsi="Times New Roman" w:cs="Times New Roman"/>
          <w:sz w:val="24"/>
          <w:szCs w:val="24"/>
        </w:rPr>
        <w:t>Zicchino</w:t>
      </w:r>
      <w:proofErr w:type="spellEnd"/>
      <w:r w:rsidRPr="006545C7">
        <w:rPr>
          <w:rFonts w:ascii="Times New Roman" w:hAnsi="Times New Roman" w:cs="Times New Roman"/>
          <w:sz w:val="24"/>
          <w:szCs w:val="24"/>
        </w:rPr>
        <w:t>,</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2005.</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model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of</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bank</w:t>
      </w:r>
      <w:r w:rsidRPr="006545C7">
        <w:rPr>
          <w:rFonts w:ascii="Times New Roman" w:hAnsi="Times New Roman" w:cs="Times New Roman"/>
          <w:spacing w:val="2"/>
          <w:sz w:val="24"/>
          <w:szCs w:val="24"/>
        </w:rPr>
        <w:t xml:space="preserve"> </w:t>
      </w:r>
      <w:r w:rsidRPr="006545C7">
        <w:rPr>
          <w:rFonts w:ascii="Times New Roman" w:hAnsi="Times New Roman" w:cs="Times New Roman"/>
          <w:sz w:val="24"/>
          <w:szCs w:val="24"/>
        </w:rPr>
        <w:t>capital,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lending,</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and</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the</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macroeconomy:</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Basel</w:t>
      </w:r>
      <w:r w:rsidRPr="006545C7">
        <w:rPr>
          <w:rFonts w:ascii="Times New Roman" w:hAnsi="Times New Roman" w:cs="Times New Roman"/>
          <w:spacing w:val="3"/>
          <w:sz w:val="24"/>
          <w:szCs w:val="24"/>
        </w:rPr>
        <w:t xml:space="preserve"> </w:t>
      </w:r>
      <w:r w:rsidRPr="006545C7">
        <w:rPr>
          <w:rFonts w:ascii="Times New Roman" w:hAnsi="Times New Roman" w:cs="Times New Roman"/>
          <w:sz w:val="24"/>
          <w:szCs w:val="24"/>
        </w:rPr>
        <w:t>I versus Basel</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II.</w:t>
      </w:r>
      <w:r w:rsidRPr="006545C7">
        <w:rPr>
          <w:rFonts w:ascii="Times New Roman" w:hAnsi="Times New Roman" w:cs="Times New Roman"/>
          <w:spacing w:val="1"/>
          <w:sz w:val="24"/>
          <w:szCs w:val="24"/>
        </w:rPr>
        <w:t xml:space="preserve"> </w:t>
      </w:r>
      <w:r w:rsidRPr="006545C7">
        <w:rPr>
          <w:rFonts w:ascii="Times New Roman" w:hAnsi="Times New Roman" w:cs="Times New Roman"/>
          <w:i/>
          <w:iCs/>
          <w:sz w:val="24"/>
          <w:szCs w:val="24"/>
        </w:rPr>
        <w:t>Bank</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of</w:t>
      </w:r>
      <w:r w:rsidRPr="006545C7">
        <w:rPr>
          <w:rFonts w:ascii="Times New Roman" w:hAnsi="Times New Roman" w:cs="Times New Roman"/>
          <w:i/>
          <w:iCs/>
          <w:spacing w:val="1"/>
          <w:sz w:val="24"/>
          <w:szCs w:val="24"/>
        </w:rPr>
        <w:t xml:space="preserve"> </w:t>
      </w:r>
      <w:r w:rsidRPr="006545C7">
        <w:rPr>
          <w:rFonts w:ascii="Times New Roman" w:hAnsi="Times New Roman" w:cs="Times New Roman"/>
          <w:i/>
          <w:iCs/>
          <w:sz w:val="24"/>
          <w:szCs w:val="24"/>
        </w:rPr>
        <w:t>England</w:t>
      </w:r>
      <w:r w:rsidRPr="006545C7">
        <w:rPr>
          <w:rFonts w:ascii="Times New Roman" w:hAnsi="Times New Roman" w:cs="Times New Roman"/>
          <w:i/>
          <w:iCs/>
          <w:spacing w:val="1"/>
          <w:sz w:val="24"/>
          <w:szCs w:val="24"/>
        </w:rPr>
        <w:t xml:space="preserve"> </w:t>
      </w:r>
      <w:r w:rsidRPr="006545C7">
        <w:rPr>
          <w:rFonts w:ascii="Times New Roman" w:hAnsi="Times New Roman" w:cs="Times New Roman"/>
          <w:sz w:val="24"/>
          <w:szCs w:val="24"/>
        </w:rPr>
        <w:t>Working</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Paper</w:t>
      </w:r>
      <w:r w:rsidRPr="006545C7">
        <w:rPr>
          <w:rFonts w:ascii="Times New Roman" w:hAnsi="Times New Roman" w:cs="Times New Roman"/>
          <w:spacing w:val="1"/>
          <w:sz w:val="24"/>
          <w:szCs w:val="24"/>
        </w:rPr>
        <w:t xml:space="preserve"> </w:t>
      </w:r>
      <w:r w:rsidRPr="006545C7">
        <w:rPr>
          <w:rFonts w:ascii="Times New Roman" w:hAnsi="Times New Roman" w:cs="Times New Roman"/>
          <w:sz w:val="24"/>
          <w:szCs w:val="24"/>
        </w:rPr>
        <w:t>27.</w:t>
      </w:r>
    </w:p>
    <w:p w14:paraId="54A1385F" w14:textId="77777777" w:rsidR="00F717E4" w:rsidRPr="006545C7" w:rsidRDefault="00F717E4" w:rsidP="00F717E4">
      <w:pPr>
        <w:pStyle w:val="ListParagraph"/>
        <w:ind w:left="1080"/>
        <w:jc w:val="both"/>
        <w:rPr>
          <w:rFonts w:ascii="Times New Roman" w:hAnsi="Times New Roman" w:cs="Times New Roman"/>
          <w:sz w:val="24"/>
          <w:szCs w:val="24"/>
        </w:rPr>
      </w:pPr>
    </w:p>
    <w:p w14:paraId="7AEB795F" w14:textId="77777777" w:rsidR="00913F26" w:rsidRPr="007C6747" w:rsidRDefault="00913F26" w:rsidP="004613E5">
      <w:pPr>
        <w:spacing w:line="271" w:lineRule="auto"/>
        <w:ind w:left="353" w:hanging="240"/>
        <w:jc w:val="both"/>
        <w:rPr>
          <w:rFonts w:ascii="Times New Roman" w:eastAsia="Bookman Old Style" w:hAnsi="Times New Roman" w:cs="Times New Roman"/>
          <w:sz w:val="24"/>
          <w:szCs w:val="24"/>
        </w:rPr>
      </w:pPr>
    </w:p>
    <w:p w14:paraId="369C2F9E" w14:textId="77777777" w:rsidR="00913F26" w:rsidRPr="00846B52" w:rsidRDefault="00913F26" w:rsidP="00913F26">
      <w:pPr>
        <w:spacing w:line="271" w:lineRule="auto"/>
        <w:ind w:left="357" w:hanging="240"/>
        <w:jc w:val="both"/>
        <w:rPr>
          <w:rFonts w:ascii="Bookman Old Style" w:eastAsia="Bookman Old Style" w:hAnsi="Bookman Old Style" w:cs="Bookman Old Style"/>
          <w:sz w:val="24"/>
          <w:szCs w:val="24"/>
        </w:rPr>
      </w:pPr>
    </w:p>
    <w:p w14:paraId="5F638918" w14:textId="53C82EFD" w:rsidR="008B2804" w:rsidRPr="009854DA" w:rsidRDefault="00913F26" w:rsidP="008B2804">
      <w:pPr>
        <w:pStyle w:val="Heading1"/>
        <w:rPr>
          <w:b w:val="0"/>
          <w:bCs w:val="0"/>
        </w:rPr>
      </w:pPr>
      <w:r w:rsidRPr="00846B52">
        <w:rPr>
          <w:w w:val="105"/>
        </w:rPr>
        <w:br w:type="column"/>
      </w:r>
      <w:bookmarkStart w:id="135" w:name="_Hlk68619931"/>
      <w:bookmarkStart w:id="136" w:name="_Toc90499979"/>
      <w:bookmarkEnd w:id="135"/>
      <w:r w:rsidR="008B2804">
        <w:lastRenderedPageBreak/>
        <w:t xml:space="preserve">Part 2: </w:t>
      </w:r>
      <w:proofErr w:type="spellStart"/>
      <w:r w:rsidR="008B2804" w:rsidRPr="009854DA">
        <w:t>Benford's</w:t>
      </w:r>
      <w:proofErr w:type="spellEnd"/>
      <w:r w:rsidR="008B2804" w:rsidRPr="009854DA">
        <w:t xml:space="preserve"> laws tests on</w:t>
      </w:r>
      <w:r w:rsidR="008B2804">
        <w:rPr>
          <w:b w:val="0"/>
          <w:bCs w:val="0"/>
        </w:rPr>
        <w:t xml:space="preserve"> the volume of</w:t>
      </w:r>
      <w:r w:rsidR="008B2804" w:rsidRPr="009854DA">
        <w:t xml:space="preserve"> S&amp;P500 minutes data.</w:t>
      </w:r>
      <w:bookmarkEnd w:id="136"/>
    </w:p>
    <w:p w14:paraId="0D1DAC76" w14:textId="77777777" w:rsidR="00AB3D99" w:rsidRPr="00BA27A7" w:rsidRDefault="00AB3D99" w:rsidP="00AB3D99">
      <w:pPr>
        <w:pStyle w:val="Heading1"/>
      </w:pPr>
      <w:bookmarkStart w:id="137" w:name="_Toc90499980"/>
      <w:r w:rsidRPr="00BA27A7">
        <w:t>Abstract: Part 2</w:t>
      </w:r>
      <w:bookmarkEnd w:id="137"/>
    </w:p>
    <w:p w14:paraId="466DE516" w14:textId="77777777" w:rsidR="00AB3D99" w:rsidRDefault="00AB3D99" w:rsidP="00AB3D99">
      <w:pPr>
        <w:rPr>
          <w:rFonts w:ascii="Times New Roman" w:hAnsi="Times New Roman" w:cs="Times New Roman"/>
          <w:i/>
          <w:iCs/>
        </w:rPr>
      </w:pPr>
    </w:p>
    <w:p w14:paraId="00FA5C01" w14:textId="69C75248" w:rsidR="00AB3D99" w:rsidRPr="00F26EA2" w:rsidRDefault="00AB3D99" w:rsidP="009E76E0">
      <w:pPr>
        <w:spacing w:line="360" w:lineRule="auto"/>
        <w:jc w:val="both"/>
        <w:rPr>
          <w:rFonts w:ascii="Times New Roman" w:hAnsi="Times New Roman" w:cs="Times New Roman"/>
          <w:i/>
          <w:iCs/>
        </w:rPr>
      </w:pPr>
      <w:bookmarkStart w:id="138" w:name="_Hlk78539486"/>
      <w:r w:rsidRPr="00F26EA2">
        <w:rPr>
          <w:rFonts w:ascii="Times New Roman" w:hAnsi="Times New Roman" w:cs="Times New Roman"/>
          <w:i/>
          <w:iCs/>
        </w:rPr>
        <w:t xml:space="preserve">This chapter describes an </w:t>
      </w:r>
      <w:r w:rsidR="00577FFE" w:rsidRPr="00F26EA2">
        <w:rPr>
          <w:rFonts w:ascii="Times New Roman" w:hAnsi="Times New Roman" w:cs="Times New Roman"/>
          <w:i/>
          <w:iCs/>
        </w:rPr>
        <w:t>examination</w:t>
      </w:r>
      <w:r w:rsidRPr="00F26EA2">
        <w:rPr>
          <w:rFonts w:ascii="Times New Roman" w:hAnsi="Times New Roman" w:cs="Times New Roman"/>
          <w:i/>
          <w:iCs/>
        </w:rPr>
        <w:t xml:space="preserve"> </w:t>
      </w:r>
      <w:r w:rsidR="00577FFE">
        <w:rPr>
          <w:rFonts w:ascii="Times New Roman" w:hAnsi="Times New Roman" w:cs="Times New Roman"/>
          <w:i/>
          <w:iCs/>
        </w:rPr>
        <w:t>of</w:t>
      </w:r>
      <w:r w:rsidRPr="00F26EA2">
        <w:rPr>
          <w:rFonts w:ascii="Times New Roman" w:hAnsi="Times New Roman" w:cs="Times New Roman"/>
          <w:i/>
          <w:iCs/>
        </w:rPr>
        <w:t xml:space="preserve">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 for the distribution of leading digits in real data sets of S&amp;P500 minutes volume and the corresponding log-returns over </w:t>
      </w:r>
      <w:proofErr w:type="spellStart"/>
      <w:proofErr w:type="gramStart"/>
      <w:r w:rsidRPr="00F26EA2">
        <w:rPr>
          <w:rFonts w:ascii="Times New Roman" w:hAnsi="Times New Roman" w:cs="Times New Roman"/>
          <w:i/>
          <w:iCs/>
        </w:rPr>
        <w:t>a</w:t>
      </w:r>
      <w:proofErr w:type="spellEnd"/>
      <w:proofErr w:type="gramEnd"/>
      <w:r w:rsidRPr="00F26EA2">
        <w:rPr>
          <w:rFonts w:ascii="Times New Roman" w:hAnsi="Times New Roman" w:cs="Times New Roman"/>
          <w:i/>
          <w:iCs/>
        </w:rPr>
        <w:t xml:space="preserve"> interval, [</w:t>
      </w:r>
      <w:r>
        <w:rPr>
          <w:rFonts w:ascii="Times New Roman" w:hAnsi="Times New Roman" w:cs="Times New Roman"/>
          <w:i/>
          <w:iCs/>
        </w:rPr>
        <w:t>01</w:t>
      </w:r>
      <w:r w:rsidRPr="00F26EA2">
        <w:rPr>
          <w:rFonts w:ascii="Times New Roman" w:hAnsi="Times New Roman" w:cs="Times New Roman"/>
          <w:i/>
          <w:iCs/>
        </w:rPr>
        <w:t>/0</w:t>
      </w:r>
      <w:r>
        <w:rPr>
          <w:rFonts w:ascii="Times New Roman" w:hAnsi="Times New Roman" w:cs="Times New Roman"/>
          <w:i/>
          <w:iCs/>
        </w:rPr>
        <w:t>5</w:t>
      </w:r>
      <w:r w:rsidRPr="00F26EA2">
        <w:rPr>
          <w:rFonts w:ascii="Times New Roman" w:hAnsi="Times New Roman" w:cs="Times New Roman"/>
          <w:i/>
          <w:iCs/>
        </w:rPr>
        <w:t xml:space="preserve">/2013 - </w:t>
      </w:r>
      <w:r>
        <w:rPr>
          <w:rFonts w:ascii="Times New Roman" w:hAnsi="Times New Roman" w:cs="Times New Roman"/>
          <w:i/>
          <w:iCs/>
        </w:rPr>
        <w:t>29</w:t>
      </w:r>
      <w:r w:rsidRPr="00F26EA2">
        <w:rPr>
          <w:rFonts w:ascii="Times New Roman" w:hAnsi="Times New Roman" w:cs="Times New Roman"/>
          <w:i/>
          <w:iCs/>
        </w:rPr>
        <w:t>/</w:t>
      </w:r>
      <w:r>
        <w:rPr>
          <w:rFonts w:ascii="Times New Roman" w:hAnsi="Times New Roman" w:cs="Times New Roman"/>
          <w:i/>
          <w:iCs/>
        </w:rPr>
        <w:t>12</w:t>
      </w:r>
      <w:r w:rsidRPr="00F26EA2">
        <w:rPr>
          <w:rFonts w:ascii="Times New Roman" w:hAnsi="Times New Roman" w:cs="Times New Roman"/>
          <w:i/>
          <w:iCs/>
        </w:rPr>
        <w:t>/201</w:t>
      </w:r>
      <w:r>
        <w:rPr>
          <w:rFonts w:ascii="Times New Roman" w:hAnsi="Times New Roman" w:cs="Times New Roman"/>
          <w:i/>
          <w:iCs/>
        </w:rPr>
        <w:t>7</w:t>
      </w:r>
      <w:r w:rsidRPr="00F26EA2">
        <w:rPr>
          <w:rFonts w:ascii="Times New Roman" w:hAnsi="Times New Roman" w:cs="Times New Roman"/>
          <w:i/>
          <w:iCs/>
        </w:rPr>
        <w:t>], amounting to 48</w:t>
      </w:r>
      <w:r>
        <w:rPr>
          <w:rFonts w:ascii="Times New Roman" w:hAnsi="Times New Roman" w:cs="Times New Roman"/>
          <w:i/>
          <w:iCs/>
        </w:rPr>
        <w:t>1769</w:t>
      </w:r>
      <w:r w:rsidRPr="00F26EA2">
        <w:rPr>
          <w:rFonts w:ascii="Times New Roman" w:hAnsi="Times New Roman" w:cs="Times New Roman"/>
          <w:i/>
          <w:iCs/>
        </w:rPr>
        <w:t xml:space="preserve"> data points. This doctoral research addresses the frequencies of the first, second, and first two significant digits counts and </w:t>
      </w:r>
      <w:r w:rsidR="00577FFE" w:rsidRPr="00F26EA2">
        <w:rPr>
          <w:rFonts w:ascii="Times New Roman" w:hAnsi="Times New Roman" w:cs="Times New Roman"/>
          <w:i/>
          <w:iCs/>
        </w:rPr>
        <w:t>reconnoitre</w:t>
      </w:r>
      <w:r w:rsidRPr="00F26EA2">
        <w:rPr>
          <w:rFonts w:ascii="Times New Roman" w:hAnsi="Times New Roman" w:cs="Times New Roman"/>
          <w:i/>
          <w:iCs/>
        </w:rPr>
        <w:t xml:space="preserve"> the conformance to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of these </w:t>
      </w:r>
      <w:r w:rsidRPr="00884BDB">
        <w:rPr>
          <w:rFonts w:ascii="Times New Roman" w:hAnsi="Times New Roman" w:cs="Times New Roman"/>
          <w:i/>
          <w:iCs/>
          <w:color w:val="000000" w:themeColor="text1"/>
        </w:rPr>
        <w:t xml:space="preserve">distributions at eleven different (117 days minute data points) </w:t>
      </w:r>
      <w:r w:rsidRPr="00F26EA2">
        <w:rPr>
          <w:rFonts w:ascii="Times New Roman" w:hAnsi="Times New Roman" w:cs="Times New Roman"/>
          <w:i/>
          <w:iCs/>
        </w:rPr>
        <w:t xml:space="preserve">levels of disaggregation of mathematical model of </w:t>
      </w:r>
      <w:r w:rsidR="00614948" w:rsidRPr="00F26EA2">
        <w:rPr>
          <w:rFonts w:ascii="Times New Roman" w:hAnsi="Times New Roman" w:cs="Times New Roman"/>
          <w:i/>
          <w:iCs/>
        </w:rPr>
        <w:t>methods</w:t>
      </w:r>
      <w:r w:rsidRPr="00F26EA2">
        <w:rPr>
          <w:rFonts w:ascii="Times New Roman" w:hAnsi="Times New Roman" w:cs="Times New Roman"/>
          <w:i/>
          <w:iCs/>
        </w:rPr>
        <w:t xml:space="preserve"> that m</w:t>
      </w:r>
      <w:r w:rsidR="00614948">
        <w:rPr>
          <w:rFonts w:ascii="Times New Roman" w:hAnsi="Times New Roman" w:cs="Times New Roman"/>
          <w:i/>
          <w:iCs/>
        </w:rPr>
        <w:t>ay</w:t>
      </w:r>
      <w:r w:rsidRPr="00F26EA2">
        <w:rPr>
          <w:rFonts w:ascii="Times New Roman" w:hAnsi="Times New Roman" w:cs="Times New Roman"/>
          <w:i/>
          <w:iCs/>
        </w:rPr>
        <w:t xml:space="preserve"> account for such a leading digit distribution have also been </w:t>
      </w:r>
      <w:r w:rsidR="00614948" w:rsidRPr="00F26EA2">
        <w:rPr>
          <w:rFonts w:ascii="Times New Roman" w:hAnsi="Times New Roman" w:cs="Times New Roman"/>
          <w:i/>
          <w:iCs/>
        </w:rPr>
        <w:t>studied</w:t>
      </w:r>
      <w:r w:rsidRPr="00F26EA2">
        <w:rPr>
          <w:rFonts w:ascii="Times New Roman" w:hAnsi="Times New Roman" w:cs="Times New Roman"/>
          <w:i/>
          <w:iCs/>
        </w:rPr>
        <w:t xml:space="preserve">. The log-returns are </w:t>
      </w:r>
      <w:r w:rsidR="00614948">
        <w:rPr>
          <w:rFonts w:ascii="Times New Roman" w:hAnsi="Times New Roman" w:cs="Times New Roman"/>
          <w:i/>
          <w:iCs/>
        </w:rPr>
        <w:t xml:space="preserve">mainly </w:t>
      </w:r>
      <w:r w:rsidRPr="00F26EA2">
        <w:rPr>
          <w:rFonts w:ascii="Times New Roman" w:hAnsi="Times New Roman" w:cs="Times New Roman"/>
          <w:i/>
          <w:iCs/>
        </w:rPr>
        <w:t>studied for either positive or negative cases</w:t>
      </w:r>
      <w:r w:rsidR="00614948">
        <w:rPr>
          <w:rFonts w:ascii="Times New Roman" w:hAnsi="Times New Roman" w:cs="Times New Roman"/>
          <w:i/>
          <w:iCs/>
        </w:rPr>
        <w:t xml:space="preserve">. </w:t>
      </w:r>
      <w:r w:rsidR="00614948" w:rsidRPr="00614948">
        <w:rPr>
          <w:rFonts w:ascii="Times New Roman" w:hAnsi="Times New Roman" w:cs="Times New Roman"/>
          <w:i/>
          <w:iCs/>
        </w:rPr>
        <w:t>The outcomes for the S&amp;P500 minute volume informational index are showing an enormous absence of defiance. Such informational indexes have been inspected and it was tracked down that main a little part of them adjust to the law. whatever the various degrees of disaggregation.</w:t>
      </w:r>
      <w:r w:rsidRPr="00F26EA2">
        <w:rPr>
          <w:rFonts w:ascii="Times New Roman" w:hAnsi="Times New Roman" w:cs="Times New Roman"/>
          <w:i/>
          <w:iCs/>
        </w:rPr>
        <w:t xml:space="preserve"> The </w:t>
      </w:r>
      <w:r w:rsidR="00614948" w:rsidRPr="00F26EA2">
        <w:rPr>
          <w:rFonts w:ascii="Times New Roman" w:hAnsi="Times New Roman" w:cs="Times New Roman"/>
          <w:i/>
          <w:iCs/>
        </w:rPr>
        <w:t>reasons</w:t>
      </w:r>
      <w:r w:rsidRPr="00F26EA2">
        <w:rPr>
          <w:rFonts w:ascii="Times New Roman" w:hAnsi="Times New Roman" w:cs="Times New Roman"/>
          <w:i/>
          <w:iCs/>
        </w:rPr>
        <w:t xml:space="preserve"> of this non-conformity are discussed, </w:t>
      </w:r>
      <w:r w:rsidR="00614948" w:rsidRPr="00F26EA2">
        <w:rPr>
          <w:rFonts w:ascii="Times New Roman" w:hAnsi="Times New Roman" w:cs="Times New Roman"/>
          <w:i/>
          <w:iCs/>
        </w:rPr>
        <w:t>indicating</w:t>
      </w:r>
      <w:r w:rsidRPr="00F26EA2">
        <w:rPr>
          <w:rFonts w:ascii="Times New Roman" w:hAnsi="Times New Roman" w:cs="Times New Roman"/>
          <w:i/>
          <w:iCs/>
        </w:rPr>
        <w:t xml:space="preserve"> to the </w:t>
      </w:r>
      <w:r w:rsidR="00614948" w:rsidRPr="00F26EA2">
        <w:rPr>
          <w:rFonts w:ascii="Times New Roman" w:hAnsi="Times New Roman" w:cs="Times New Roman"/>
          <w:i/>
          <w:iCs/>
        </w:rPr>
        <w:t>peril</w:t>
      </w:r>
      <w:r w:rsidRPr="00F26EA2">
        <w:rPr>
          <w:rFonts w:ascii="Times New Roman" w:hAnsi="Times New Roman" w:cs="Times New Roman"/>
          <w:i/>
          <w:iCs/>
        </w:rPr>
        <w:t xml:space="preserve"> in taking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for granted in huge data bases, whence drawing “definite conclusions”.  </w:t>
      </w:r>
      <w:r w:rsidR="009E76E0" w:rsidRPr="009E76E0">
        <w:rPr>
          <w:rFonts w:ascii="Times New Roman" w:hAnsi="Times New Roman" w:cs="Times New Roman"/>
          <w:i/>
          <w:iCs/>
        </w:rPr>
        <w:t>Investigation discovered that dependent on the thought of taking the result of numerous irregular factors the most trustworthy.</w:t>
      </w:r>
      <w:r w:rsidRPr="00F26EA2">
        <w:rPr>
          <w:rFonts w:ascii="Times New Roman" w:hAnsi="Times New Roman" w:cs="Times New Roman"/>
          <w:i/>
          <w:iCs/>
        </w:rPr>
        <w:t xml:space="preserve"> </w:t>
      </w:r>
      <w:r w:rsidR="009E76E0" w:rsidRPr="009E76E0">
        <w:rPr>
          <w:rFonts w:ascii="Times New Roman" w:hAnsi="Times New Roman" w:cs="Times New Roman"/>
          <w:i/>
          <w:iCs/>
        </w:rPr>
        <w:t xml:space="preserve">This prompted the distinguishing proof of a class of lognormal </w:t>
      </w:r>
      <w:r w:rsidR="009E76E0">
        <w:rPr>
          <w:rFonts w:ascii="Times New Roman" w:hAnsi="Times New Roman" w:cs="Times New Roman"/>
          <w:i/>
          <w:iCs/>
        </w:rPr>
        <w:t>distributions</w:t>
      </w:r>
      <w:r w:rsidR="009E76E0" w:rsidRPr="009E76E0">
        <w:rPr>
          <w:rFonts w:ascii="Times New Roman" w:hAnsi="Times New Roman" w:cs="Times New Roman"/>
          <w:i/>
          <w:iCs/>
        </w:rPr>
        <w:t xml:space="preserve">, those whose shape boundary surpasses 1, which fulfil </w:t>
      </w:r>
      <w:proofErr w:type="spellStart"/>
      <w:r w:rsidR="009E76E0" w:rsidRPr="009E76E0">
        <w:rPr>
          <w:rFonts w:ascii="Times New Roman" w:hAnsi="Times New Roman" w:cs="Times New Roman"/>
          <w:i/>
          <w:iCs/>
        </w:rPr>
        <w:t>Benford's</w:t>
      </w:r>
      <w:proofErr w:type="spellEnd"/>
      <w:r w:rsidR="009E76E0" w:rsidRPr="009E76E0">
        <w:rPr>
          <w:rFonts w:ascii="Times New Roman" w:hAnsi="Times New Roman" w:cs="Times New Roman"/>
          <w:i/>
          <w:iCs/>
        </w:rPr>
        <w:t xml:space="preserve"> Law</w:t>
      </w:r>
      <w:r w:rsidR="009E76E0">
        <w:rPr>
          <w:rFonts w:ascii="Times New Roman" w:hAnsi="Times New Roman" w:cs="Times New Roman"/>
          <w:i/>
          <w:iCs/>
        </w:rPr>
        <w:t xml:space="preserve">. </w:t>
      </w:r>
      <w:r w:rsidR="009E76E0" w:rsidRPr="009E76E0">
        <w:rPr>
          <w:rFonts w:ascii="Times New Roman" w:hAnsi="Times New Roman" w:cs="Times New Roman"/>
          <w:i/>
          <w:iCs/>
        </w:rPr>
        <w:t xml:space="preserve">This thus driven us to an original clarification for the law: that it is generally an outcome of the way that numerous actual amounts can't genuinely take negative qualities. This empowered to foster a straightforward arrangement of rules for deciding if a given informational collection is probably going to adjust to </w:t>
      </w:r>
      <w:proofErr w:type="spellStart"/>
      <w:r w:rsidR="009E76E0" w:rsidRPr="009E76E0">
        <w:rPr>
          <w:rFonts w:ascii="Times New Roman" w:hAnsi="Times New Roman" w:cs="Times New Roman"/>
          <w:i/>
          <w:iCs/>
        </w:rPr>
        <w:t>Benford's</w:t>
      </w:r>
      <w:proofErr w:type="spellEnd"/>
      <w:r w:rsidR="009E76E0" w:rsidRPr="009E76E0">
        <w:rPr>
          <w:rFonts w:ascii="Times New Roman" w:hAnsi="Times New Roman" w:cs="Times New Roman"/>
          <w:i/>
          <w:iCs/>
        </w:rPr>
        <w:t xml:space="preserve"> Law. The concurrences with </w:t>
      </w:r>
      <w:proofErr w:type="spellStart"/>
      <w:r w:rsidR="009E76E0" w:rsidRPr="009E76E0">
        <w:rPr>
          <w:rFonts w:ascii="Times New Roman" w:hAnsi="Times New Roman" w:cs="Times New Roman"/>
          <w:i/>
          <w:iCs/>
        </w:rPr>
        <w:t>Benford's</w:t>
      </w:r>
      <w:proofErr w:type="spellEnd"/>
      <w:r w:rsidR="009E76E0" w:rsidRPr="009E76E0">
        <w:rPr>
          <w:rFonts w:ascii="Times New Roman" w:hAnsi="Times New Roman" w:cs="Times New Roman"/>
          <w:i/>
          <w:iCs/>
        </w:rPr>
        <w:t xml:space="preserve"> laws are greatly improved for the log-returns. Such a dissimilarity in arrangements discovers a clarification in the informational collection itself: the innate pattern in the</w:t>
      </w:r>
      <w:r w:rsidR="009E76E0">
        <w:rPr>
          <w:rFonts w:ascii="Times New Roman" w:hAnsi="Times New Roman" w:cs="Times New Roman"/>
          <w:i/>
          <w:iCs/>
        </w:rPr>
        <w:t xml:space="preserve"> </w:t>
      </w:r>
      <w:r w:rsidRPr="00F26EA2">
        <w:rPr>
          <w:rFonts w:ascii="Times New Roman" w:hAnsi="Times New Roman" w:cs="Times New Roman"/>
          <w:i/>
          <w:iCs/>
        </w:rPr>
        <w:t xml:space="preserve">index. To further validate this, daily returns </w:t>
      </w:r>
      <w:r w:rsidR="009E76E0">
        <w:rPr>
          <w:rFonts w:ascii="Times New Roman" w:hAnsi="Times New Roman" w:cs="Times New Roman"/>
          <w:i/>
          <w:iCs/>
        </w:rPr>
        <w:t>can be</w:t>
      </w:r>
      <w:r w:rsidRPr="00F26EA2">
        <w:rPr>
          <w:rFonts w:ascii="Times New Roman" w:hAnsi="Times New Roman" w:cs="Times New Roman"/>
          <w:i/>
          <w:iCs/>
        </w:rPr>
        <w:t xml:space="preserve"> simulated </w:t>
      </w:r>
      <w:r w:rsidR="009E76E0">
        <w:rPr>
          <w:rFonts w:ascii="Times New Roman" w:hAnsi="Times New Roman" w:cs="Times New Roman"/>
          <w:i/>
          <w:iCs/>
        </w:rPr>
        <w:t xml:space="preserve">so that </w:t>
      </w:r>
      <w:r w:rsidR="008F2D70" w:rsidRPr="00F26EA2">
        <w:rPr>
          <w:rFonts w:ascii="Times New Roman" w:hAnsi="Times New Roman" w:cs="Times New Roman"/>
          <w:i/>
          <w:iCs/>
        </w:rPr>
        <w:t>calibrate</w:t>
      </w:r>
      <w:r w:rsidRPr="00F26EA2">
        <w:rPr>
          <w:rFonts w:ascii="Times New Roman" w:hAnsi="Times New Roman" w:cs="Times New Roman"/>
          <w:i/>
          <w:iCs/>
        </w:rPr>
        <w:t xml:space="preserve"> the simulations with the observed data averages and tested against </w:t>
      </w:r>
      <w:proofErr w:type="spellStart"/>
      <w:r w:rsidRPr="00F26EA2">
        <w:rPr>
          <w:rFonts w:ascii="Times New Roman" w:hAnsi="Times New Roman" w:cs="Times New Roman"/>
          <w:i/>
          <w:iCs/>
        </w:rPr>
        <w:t>Benford's</w:t>
      </w:r>
      <w:proofErr w:type="spellEnd"/>
      <w:r w:rsidRPr="00F26EA2">
        <w:rPr>
          <w:rFonts w:ascii="Times New Roman" w:hAnsi="Times New Roman" w:cs="Times New Roman"/>
          <w:i/>
          <w:iCs/>
        </w:rPr>
        <w:t xml:space="preserve"> laws. </w:t>
      </w:r>
    </w:p>
    <w:bookmarkEnd w:id="138"/>
    <w:p w14:paraId="1FA85221" w14:textId="77777777" w:rsidR="00AB3D99" w:rsidRDefault="00AB3D99" w:rsidP="00AB3D99">
      <w:pPr>
        <w:rPr>
          <w:rFonts w:ascii="Times New Roman" w:hAnsi="Times New Roman" w:cs="Times New Roman"/>
          <w:i/>
          <w:iCs/>
        </w:rPr>
      </w:pPr>
    </w:p>
    <w:p w14:paraId="17638592" w14:textId="77777777" w:rsidR="00AB3D99" w:rsidRPr="00F26EA2" w:rsidRDefault="00AB3D99" w:rsidP="00AB3D99">
      <w:pPr>
        <w:spacing w:line="360" w:lineRule="auto"/>
        <w:rPr>
          <w:rFonts w:ascii="Times New Roman" w:hAnsi="Times New Roman" w:cs="Times New Roman"/>
          <w:i/>
          <w:iCs/>
        </w:rPr>
      </w:pPr>
    </w:p>
    <w:p w14:paraId="5C6440FA" w14:textId="2DD82E34" w:rsidR="00AB3D99" w:rsidRDefault="00AB3D99" w:rsidP="008B2804">
      <w:pPr>
        <w:pStyle w:val="Heading1"/>
        <w:rPr>
          <w:b w:val="0"/>
          <w:bCs w:val="0"/>
          <w:color w:val="002060"/>
        </w:rPr>
      </w:pPr>
    </w:p>
    <w:p w14:paraId="59714AEB" w14:textId="6A5404E4" w:rsidR="00AB3D99" w:rsidRDefault="00AB3D99" w:rsidP="00AB3D99"/>
    <w:p w14:paraId="344C91C5" w14:textId="7880FE77" w:rsidR="00AB3D99" w:rsidRDefault="00AB3D99" w:rsidP="00AB3D99"/>
    <w:p w14:paraId="07AF1B83" w14:textId="63BF22DD" w:rsidR="00AB3D99" w:rsidRDefault="00AB3D99" w:rsidP="00AB3D99"/>
    <w:p w14:paraId="088F358A" w14:textId="6A15AB94" w:rsidR="008B2804" w:rsidRPr="00BA27A7" w:rsidRDefault="008B2804" w:rsidP="008B2804">
      <w:pPr>
        <w:pStyle w:val="Heading1"/>
        <w:rPr>
          <w:color w:val="002060"/>
        </w:rPr>
      </w:pPr>
      <w:bookmarkStart w:id="139" w:name="_Toc90499981"/>
      <w:r w:rsidRPr="00BA27A7">
        <w:rPr>
          <w:color w:val="002060"/>
        </w:rPr>
        <w:lastRenderedPageBreak/>
        <w:t>2.1 Introduction</w:t>
      </w:r>
      <w:bookmarkEnd w:id="139"/>
      <w:r w:rsidRPr="00BA27A7">
        <w:rPr>
          <w:color w:val="002060"/>
        </w:rPr>
        <w:t xml:space="preserve"> </w:t>
      </w:r>
    </w:p>
    <w:p w14:paraId="79059E1C" w14:textId="77777777" w:rsidR="008B2804" w:rsidRDefault="008B2804" w:rsidP="008B2804">
      <w:pPr>
        <w:rPr>
          <w:rFonts w:ascii="Times New Roman" w:hAnsi="Times New Roman" w:cs="Times New Roman"/>
          <w:sz w:val="24"/>
          <w:szCs w:val="24"/>
        </w:rPr>
      </w:pPr>
    </w:p>
    <w:p w14:paraId="678F941A"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 xml:space="preserve">The history of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is a fascinating and unexpected story of the interplay between theory and applications. From its beginnings in understanding the distribution of digits in tables of logarithms, the subject has grown enormously. Currently hundreds of papers are being written by accountants, computer scientists, engineers, mathematicians, statisticians, and many others. This section of research starts by stating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of digit bias and describing its history. Studying the distribution of the leading digits of numbers was Frank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the Law of Anomalous Numbers, published in the Proceedings of the American Philosophical Society in 1938. In addition to advancing explanations as to why digits have this distribution, he also presents some justification as to why this is a problem worthy of study. Discusses its origins and give numerous examples of data sets that follow this law, as well as some that do not. From these examples one can extract several explanations as to the prevalence of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which are described in greater detail. Summari</w:t>
      </w:r>
      <w:r>
        <w:rPr>
          <w:rFonts w:ascii="Times New Roman" w:hAnsi="Times New Roman" w:cs="Times New Roman"/>
          <w:sz w:val="24"/>
          <w:szCs w:val="24"/>
        </w:rPr>
        <w:t>s</w:t>
      </w:r>
      <w:r w:rsidRPr="006D2C2F">
        <w:rPr>
          <w:rFonts w:ascii="Times New Roman" w:hAnsi="Times New Roman" w:cs="Times New Roman"/>
          <w:sz w:val="24"/>
          <w:szCs w:val="24"/>
        </w:rPr>
        <w:t xml:space="preserve">ing many of the diverse situations in which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holds, and why an observation that began in looking at the wear and tear in tables of logarithms has become a major tool in subjects as diverse as detecting tax fraud and building efficient computers. We live in an age when we are constantly bombarded with massive amounts of data. Satellites orbiting the Earth daily transmit more information than is in the entire Library of Congress; researchers must quickly sort through these data sets to find the relevant pieces. It is thus not surprising that people are interested in patterns in data. One of the more interesting, and initially surprising, is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on the distribution of the first or the leading digits. There are many advantages to studying the first digits of a data set. One reason is that it helps us compare apples and apples and not apples and oranges. By this we mean the following: two different data sets could have very different scales; one could be masses of subatomic particles while another could be closing stock prices. While the units are different and the magnitudes differ greatly, every number has a unique leading digit, and thus we can compare the distribution of the first digits of the two data sets.</w:t>
      </w:r>
    </w:p>
    <w:p w14:paraId="0A319412"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The evolution of prices and volumes in the international stock markets has a remarkable informative content. In fact, financial markets and their components are highly correlated with the surrounding socio-political environment and a shock of noneconomic nature might influence the economic system.</w:t>
      </w:r>
    </w:p>
    <w:p w14:paraId="2B0A3C39"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lastRenderedPageBreak/>
        <w:t xml:space="preserve">This research moves from this scientific ground. We aim at analysing the context of global stock markets with a specific focus on all the indexes composing them. In particular, </w:t>
      </w:r>
      <w:r>
        <w:rPr>
          <w:rFonts w:ascii="Times New Roman" w:hAnsi="Times New Roman" w:cs="Times New Roman"/>
          <w:sz w:val="24"/>
          <w:szCs w:val="24"/>
        </w:rPr>
        <w:t>this research</w:t>
      </w:r>
      <w:r w:rsidRPr="006D2C2F">
        <w:rPr>
          <w:rFonts w:ascii="Times New Roman" w:hAnsi="Times New Roman" w:cs="Times New Roman"/>
          <w:sz w:val="24"/>
          <w:szCs w:val="24"/>
        </w:rPr>
        <w:t xml:space="preserve"> deal with the nature of complex system of the markets and discuss whenever the available time series associated to prices and volumes of the stocks exhibit a sort of “regularity”.</w:t>
      </w:r>
    </w:p>
    <w:p w14:paraId="42B52DB3"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Indeed, datasets often exhibit deviations from a pure uniform law, even if they are not constructed in an “ad-hoc” manner. Think about countries’ GDPs, with a great percentage of low levels and a few data with high values.</w:t>
      </w:r>
    </w:p>
    <w:p w14:paraId="3BA70172"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 xml:space="preserve">In this respect, the so-called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firstly empirically observed by Newcomb (1881) and lately formalized by </w:t>
      </w:r>
      <w:proofErr w:type="spellStart"/>
      <w:r w:rsidRPr="006D2C2F">
        <w:rPr>
          <w:rFonts w:ascii="Times New Roman" w:hAnsi="Times New Roman" w:cs="Times New Roman"/>
          <w:sz w:val="24"/>
          <w:szCs w:val="24"/>
        </w:rPr>
        <w:t>Benford</w:t>
      </w:r>
      <w:proofErr w:type="spellEnd"/>
      <w:r w:rsidRPr="006D2C2F">
        <w:rPr>
          <w:rFonts w:ascii="Times New Roman" w:hAnsi="Times New Roman" w:cs="Times New Roman"/>
          <w:sz w:val="24"/>
          <w:szCs w:val="24"/>
        </w:rPr>
        <w:t xml:space="preserve"> (1938), has been proved to hold in a wide set of contexts.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Law is an evident regularity of the distribution of the digits of several large datasets. It states that the frequency of the first and second digits of the values of a set of data decreases with the value of the digit and achieves its maximum when the digit is “one”.</w:t>
      </w:r>
    </w:p>
    <w:p w14:paraId="10EF4EF4"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 xml:space="preserve">Studying the distribution of the leading digits of numbers was Frank </w:t>
      </w:r>
      <w:proofErr w:type="spellStart"/>
      <w:r w:rsidRPr="006D2C2F">
        <w:rPr>
          <w:rFonts w:ascii="Times New Roman" w:hAnsi="Times New Roman" w:cs="Times New Roman"/>
          <w:sz w:val="24"/>
          <w:szCs w:val="24"/>
        </w:rPr>
        <w:t>Benford’s</w:t>
      </w:r>
      <w:proofErr w:type="spellEnd"/>
      <w:r w:rsidRPr="006D2C2F">
        <w:rPr>
          <w:rFonts w:ascii="Times New Roman" w:hAnsi="Times New Roman" w:cs="Times New Roman"/>
          <w:sz w:val="24"/>
          <w:szCs w:val="24"/>
        </w:rPr>
        <w:t xml:space="preserve"> the Law of Anomalous Numbers, published in the Proceedings of the American Philosophical Society in 1938 (see </w:t>
      </w:r>
      <w:proofErr w:type="spellStart"/>
      <w:r w:rsidRPr="006D2C2F">
        <w:rPr>
          <w:rFonts w:ascii="Times New Roman" w:hAnsi="Times New Roman" w:cs="Times New Roman"/>
          <w:sz w:val="24"/>
          <w:szCs w:val="24"/>
        </w:rPr>
        <w:t>Ben</w:t>
      </w:r>
      <w:r>
        <w:rPr>
          <w:rFonts w:ascii="Times New Roman" w:hAnsi="Times New Roman" w:cs="Times New Roman"/>
          <w:sz w:val="24"/>
          <w:szCs w:val="24"/>
        </w:rPr>
        <w:t>ford</w:t>
      </w:r>
      <w:proofErr w:type="spellEnd"/>
      <w:r>
        <w:rPr>
          <w:rFonts w:ascii="Times New Roman" w:hAnsi="Times New Roman" w:cs="Times New Roman"/>
          <w:sz w:val="24"/>
          <w:szCs w:val="24"/>
        </w:rPr>
        <w:t xml:space="preserve"> (1938)</w:t>
      </w:r>
      <w:r w:rsidRPr="006D2C2F">
        <w:rPr>
          <w:rFonts w:ascii="Times New Roman" w:hAnsi="Times New Roman" w:cs="Times New Roman"/>
          <w:sz w:val="24"/>
          <w:szCs w:val="24"/>
        </w:rPr>
        <w:t>). In addition to advancing explanations as to why digits have this distribution, he also presents some justification as to why this is a problem worthy of study. It has been observed that the pages of a much-used table of common logarithms show evidence of a selective use of the natural numbers. The pages containing the logarithms of the low numbers 1 and 2 are apt to be more stained and frayed by use than those of the higher numbers 8 and 9. Unquestionably, no one could be expected to be greatly interested in the condition of a table of logarithms, but the matter may be considered more worthy of study when we recall that the table is used in the building up of our scientific, engineering, and general factual literature. There may be, in the relative cleanliness of the pages of a logarithm table, data on how we think and how we react when dealing with things that can be described by means of numbers.</w:t>
      </w:r>
    </w:p>
    <w:p w14:paraId="47B4A6A1" w14:textId="77777777" w:rsidR="008B2804" w:rsidRPr="006D2C2F" w:rsidRDefault="008B2804" w:rsidP="009340A8">
      <w:pPr>
        <w:spacing w:line="360" w:lineRule="auto"/>
        <w:jc w:val="both"/>
        <w:rPr>
          <w:rFonts w:ascii="Times New Roman" w:hAnsi="Times New Roman" w:cs="Times New Roman"/>
          <w:sz w:val="24"/>
          <w:szCs w:val="24"/>
        </w:rPr>
      </w:pPr>
      <w:r w:rsidRPr="006D2C2F">
        <w:rPr>
          <w:rFonts w:ascii="Times New Roman" w:hAnsi="Times New Roman" w:cs="Times New Roman"/>
          <w:sz w:val="24"/>
          <w:szCs w:val="24"/>
        </w:rPr>
        <w:t xml:space="preserve">This doctoral research tried to interpret the efficacy and functionality of financial markets worldwide. It checked the reliability of </w:t>
      </w:r>
      <w:proofErr w:type="spellStart"/>
      <w:r w:rsidRPr="006D2C2F">
        <w:rPr>
          <w:rFonts w:ascii="Times New Roman" w:hAnsi="Times New Roman" w:cs="Times New Roman"/>
          <w:sz w:val="24"/>
          <w:szCs w:val="24"/>
        </w:rPr>
        <w:t>Benford</w:t>
      </w:r>
      <w:proofErr w:type="spellEnd"/>
      <w:r w:rsidRPr="006D2C2F">
        <w:rPr>
          <w:rFonts w:ascii="Times New Roman" w:hAnsi="Times New Roman" w:cs="Times New Roman"/>
          <w:sz w:val="24"/>
          <w:szCs w:val="24"/>
        </w:rPr>
        <w:t xml:space="preserve"> law for stock volume to apply it on daily volumes of stocks comprising S&amp;P500 minute data. It will be interesting to see how this application of </w:t>
      </w:r>
      <w:proofErr w:type="spellStart"/>
      <w:r w:rsidRPr="006D2C2F">
        <w:rPr>
          <w:rFonts w:ascii="Times New Roman" w:hAnsi="Times New Roman" w:cs="Times New Roman"/>
          <w:sz w:val="24"/>
          <w:szCs w:val="24"/>
        </w:rPr>
        <w:t>Benford</w:t>
      </w:r>
      <w:proofErr w:type="spellEnd"/>
      <w:r w:rsidRPr="006D2C2F">
        <w:rPr>
          <w:rFonts w:ascii="Times New Roman" w:hAnsi="Times New Roman" w:cs="Times New Roman"/>
          <w:sz w:val="24"/>
          <w:szCs w:val="24"/>
        </w:rPr>
        <w:t xml:space="preserve"> law analyses and comments consistent results; in fact, the cases in which the Law will be verified are various, and research provide a brief discussion on the technical and historical reasons leading to the failure of this law.</w:t>
      </w:r>
    </w:p>
    <w:p w14:paraId="22C4F1D4" w14:textId="77777777" w:rsidR="008B2804" w:rsidRPr="00BA27A7" w:rsidRDefault="008B2804" w:rsidP="008B2804">
      <w:pPr>
        <w:pStyle w:val="Heading1"/>
        <w:rPr>
          <w:color w:val="002060"/>
        </w:rPr>
      </w:pPr>
      <w:bookmarkStart w:id="140" w:name="_Toc90499982"/>
      <w:r w:rsidRPr="00BA27A7">
        <w:rPr>
          <w:color w:val="002060"/>
        </w:rPr>
        <w:lastRenderedPageBreak/>
        <w:t>2.2 Literature Review</w:t>
      </w:r>
      <w:bookmarkEnd w:id="140"/>
    </w:p>
    <w:p w14:paraId="787E28C8" w14:textId="77777777" w:rsidR="008B2804" w:rsidRDefault="008B2804" w:rsidP="008B2804">
      <w:pPr>
        <w:pStyle w:val="NormalWeb"/>
        <w:spacing w:before="0" w:beforeAutospacing="0" w:after="0" w:afterAutospacing="0" w:line="480" w:lineRule="auto"/>
        <w:rPr>
          <w:color w:val="2E2E2E"/>
        </w:rPr>
      </w:pPr>
    </w:p>
    <w:p w14:paraId="1AEF6789" w14:textId="77777777" w:rsidR="008B2804" w:rsidRPr="006D2C2F" w:rsidRDefault="008B2804" w:rsidP="009340A8">
      <w:pPr>
        <w:pStyle w:val="NormalWeb"/>
        <w:spacing w:before="0" w:beforeAutospacing="0" w:after="0" w:afterAutospacing="0" w:line="360" w:lineRule="auto"/>
        <w:jc w:val="both"/>
        <w:rPr>
          <w:color w:val="000000" w:themeColor="text1"/>
        </w:rPr>
      </w:pPr>
      <w:r w:rsidRPr="006D2C2F">
        <w:rPr>
          <w:color w:val="000000" w:themeColor="text1"/>
        </w:rPr>
        <w:t xml:space="preserve">In the political environment Mebane (2011) used the law for verify the trustworthiness of the election results. In this respect, the law was also used by the Iranian minister </w:t>
      </w:r>
      <w:proofErr w:type="spellStart"/>
      <w:r w:rsidRPr="006D2C2F">
        <w:rPr>
          <w:color w:val="000000" w:themeColor="text1"/>
        </w:rPr>
        <w:t>Boudewijn</w:t>
      </w:r>
      <w:proofErr w:type="spellEnd"/>
      <w:r w:rsidRPr="006D2C2F">
        <w:rPr>
          <w:color w:val="000000" w:themeColor="text1"/>
        </w:rPr>
        <w:t xml:space="preserve"> F. Roukema to ensure the accuracy of the electoral results in the presidential election of 2009, because of the complaint about electoral fraud made by Moussavi (opposition leader) against the election of President Ahmadinejad. City after city, the minister analysed the relative frequencies of the first significant digit of the number of votes and compared the frequencies obtained with the theoretical frequencies of BL. As a result, Roukema remarked that while all the frequencies of the other digits were very similar to those theoretical, the number 7 appeared too many times, hence supporting the truthfulness of the charges of Moussavi. Decided to settle the matter, the minister remarked that the anomaly concerned three out of the six larger areas of Iran. In these areas the winner Ahmadinejad had won a share of the vote much higher than in other areas.</w:t>
      </w:r>
    </w:p>
    <w:p w14:paraId="6D63B561" w14:textId="77777777" w:rsidR="008B2804" w:rsidRPr="006D2C2F" w:rsidRDefault="008B2804" w:rsidP="009340A8">
      <w:pPr>
        <w:pStyle w:val="NormalWeb"/>
        <w:spacing w:before="0" w:beforeAutospacing="0" w:after="0" w:afterAutospacing="0" w:line="360" w:lineRule="auto"/>
        <w:jc w:val="both"/>
        <w:rPr>
          <w:color w:val="000000" w:themeColor="text1"/>
        </w:rPr>
      </w:pPr>
      <w:r w:rsidRPr="006D2C2F">
        <w:rPr>
          <w:color w:val="000000" w:themeColor="text1"/>
        </w:rPr>
        <w:t>Also, Varian (1972) suggested the possibility of using BL to identify any falsification in the collection of data used to support political decisions. The author proposed to compare the relative frequency of the first digit of the numbers used to the support political decisions with the theoretical frequencies of BL, to highlight any abnormal results. He applied the law in a set of land planning for 777 tracts in San Francisco Bay. The law was respected.</w:t>
      </w:r>
    </w:p>
    <w:p w14:paraId="25323670" w14:textId="77777777" w:rsidR="008B2804" w:rsidRPr="006D2C2F" w:rsidRDefault="008B2804" w:rsidP="009340A8">
      <w:pPr>
        <w:pStyle w:val="NormalWeb"/>
        <w:spacing w:before="0" w:beforeAutospacing="0" w:after="0" w:afterAutospacing="0" w:line="360" w:lineRule="auto"/>
        <w:jc w:val="both"/>
        <w:rPr>
          <w:color w:val="000000" w:themeColor="text1"/>
        </w:rPr>
      </w:pPr>
      <w:proofErr w:type="spellStart"/>
      <w:r w:rsidRPr="006D2C2F">
        <w:rPr>
          <w:color w:val="000000" w:themeColor="text1"/>
        </w:rPr>
        <w:t>Nigrini</w:t>
      </w:r>
      <w:proofErr w:type="spellEnd"/>
      <w:r w:rsidRPr="006D2C2F">
        <w:rPr>
          <w:color w:val="000000" w:themeColor="text1"/>
        </w:rPr>
        <w:t xml:space="preserve"> (1996) was able to show the benefits of the possible application of BL to detect the falsification and the frauds in accounting and activity auditing (which of course may not be intentional, such as arithmetic errors and, more generally, errors in calculation or misapplication of the applicable accounting standards; or it could be outright intentional frauds, such as the alteration of records or documents, the lack of enforcement of accounting standards, the omission of some results or finally recording non-existent transactions). This system is now used in most of the American States to support the identification of tax fraud.</w:t>
      </w:r>
    </w:p>
    <w:p w14:paraId="125F2541" w14:textId="7DE91BD9" w:rsidR="008B2804" w:rsidRPr="006D2C2F" w:rsidRDefault="008B2804" w:rsidP="009340A8">
      <w:pPr>
        <w:pStyle w:val="NormalWeb"/>
        <w:spacing w:before="0" w:beforeAutospacing="0" w:after="0" w:afterAutospacing="0" w:line="360" w:lineRule="auto"/>
        <w:jc w:val="both"/>
        <w:rPr>
          <w:color w:val="000000" w:themeColor="text1"/>
        </w:rPr>
      </w:pPr>
      <w:r w:rsidRPr="006D2C2F">
        <w:rPr>
          <w:color w:val="000000" w:themeColor="text1"/>
        </w:rPr>
        <w:t xml:space="preserve">In the economic field BL can also be applied to check the efficiency of financial </w:t>
      </w:r>
      <w:r w:rsidR="000F5605" w:rsidRPr="006D2C2F">
        <w:rPr>
          <w:color w:val="000000" w:themeColor="text1"/>
        </w:rPr>
        <w:t>ind</w:t>
      </w:r>
      <w:r w:rsidR="000F5605">
        <w:rPr>
          <w:color w:val="000000" w:themeColor="text1"/>
        </w:rPr>
        <w:t>ices</w:t>
      </w:r>
      <w:r w:rsidRPr="006D2C2F">
        <w:rPr>
          <w:color w:val="000000" w:themeColor="text1"/>
        </w:rPr>
        <w:t xml:space="preserve">, and in general financial quantities. Ley (1996) calculated if the distribution of the relative frequencies of the first significant digit of daily returns of two American stock indexes (i.e., the S&amp;P </w:t>
      </w:r>
      <w:r>
        <w:rPr>
          <w:color w:val="000000" w:themeColor="text1"/>
        </w:rPr>
        <w:t xml:space="preserve">500 </w:t>
      </w:r>
      <w:r w:rsidRPr="006D2C2F">
        <w:rPr>
          <w:color w:val="000000" w:themeColor="text1"/>
        </w:rPr>
        <w:t>for the period from 1926 to 1993 and the Dow Jones for the period from 1900 to 1993), using the BL: the result obtained that both stock indexes respected this law, and it was a demonstration of the current index efficiency.</w:t>
      </w:r>
    </w:p>
    <w:p w14:paraId="6724FBCA" w14:textId="77777777" w:rsidR="008B2804" w:rsidRPr="006D2C2F" w:rsidRDefault="008B2804" w:rsidP="009340A8">
      <w:pPr>
        <w:pStyle w:val="NormalWeb"/>
        <w:spacing w:before="0" w:beforeAutospacing="0" w:after="0" w:afterAutospacing="0" w:line="360" w:lineRule="auto"/>
        <w:jc w:val="both"/>
        <w:rPr>
          <w:color w:val="000000" w:themeColor="text1"/>
        </w:rPr>
      </w:pPr>
      <w:proofErr w:type="spellStart"/>
      <w:r w:rsidRPr="006D2C2F">
        <w:rPr>
          <w:color w:val="000000" w:themeColor="text1"/>
        </w:rPr>
        <w:lastRenderedPageBreak/>
        <w:t>Realdon</w:t>
      </w:r>
      <w:proofErr w:type="spellEnd"/>
      <w:r w:rsidRPr="006D2C2F">
        <w:rPr>
          <w:color w:val="000000" w:themeColor="text1"/>
        </w:rPr>
        <w:t xml:space="preserve"> (2008) and </w:t>
      </w:r>
      <w:proofErr w:type="spellStart"/>
      <w:r w:rsidRPr="006D2C2F">
        <w:rPr>
          <w:color w:val="000000" w:themeColor="text1"/>
        </w:rPr>
        <w:t>Ausloos</w:t>
      </w:r>
      <w:proofErr w:type="spellEnd"/>
      <w:r w:rsidRPr="006D2C2F">
        <w:rPr>
          <w:color w:val="000000" w:themeColor="text1"/>
        </w:rPr>
        <w:t xml:space="preserve"> et</w:t>
      </w:r>
      <w:r>
        <w:rPr>
          <w:color w:val="000000" w:themeColor="text1"/>
        </w:rPr>
        <w:t>.</w:t>
      </w:r>
      <w:r w:rsidRPr="006D2C2F">
        <w:rPr>
          <w:color w:val="000000" w:themeColor="text1"/>
        </w:rPr>
        <w:t>al.</w:t>
      </w:r>
      <w:r>
        <w:rPr>
          <w:color w:val="000000" w:themeColor="text1"/>
        </w:rPr>
        <w:t>,</w:t>
      </w:r>
      <w:r w:rsidRPr="006D2C2F">
        <w:rPr>
          <w:color w:val="000000" w:themeColor="text1"/>
        </w:rPr>
        <w:t xml:space="preserve"> (2016) dealt with the assessment of the validity of the BL on the sovereign credit default swap markets. Carrera (2015) analysed exchange rates to check whether there exists the possibility of manipulation for policy management. In support of macroeconomic data, Nye and </w:t>
      </w:r>
      <w:proofErr w:type="spellStart"/>
      <w:r w:rsidRPr="006D2C2F">
        <w:rPr>
          <w:color w:val="000000" w:themeColor="text1"/>
        </w:rPr>
        <w:t>Moul</w:t>
      </w:r>
      <w:proofErr w:type="spellEnd"/>
      <w:r w:rsidRPr="006D2C2F">
        <w:rPr>
          <w:color w:val="000000" w:themeColor="text1"/>
        </w:rPr>
        <w:t xml:space="preserve"> (2007) studied the GDP data of the Penn World Tables. </w:t>
      </w:r>
      <w:proofErr w:type="spellStart"/>
      <w:r w:rsidRPr="006D2C2F">
        <w:rPr>
          <w:color w:val="000000" w:themeColor="text1"/>
        </w:rPr>
        <w:t>Günnel</w:t>
      </w:r>
      <w:proofErr w:type="spellEnd"/>
      <w:r w:rsidRPr="006D2C2F">
        <w:rPr>
          <w:color w:val="000000" w:themeColor="text1"/>
        </w:rPr>
        <w:t xml:space="preserve"> and </w:t>
      </w:r>
      <w:proofErr w:type="spellStart"/>
      <w:r w:rsidRPr="006D2C2F">
        <w:rPr>
          <w:color w:val="000000" w:themeColor="text1"/>
        </w:rPr>
        <w:t>Tödter</w:t>
      </w:r>
      <w:proofErr w:type="spellEnd"/>
      <w:r w:rsidRPr="006D2C2F">
        <w:rPr>
          <w:color w:val="000000" w:themeColor="text1"/>
        </w:rPr>
        <w:t xml:space="preserve"> (2009) applied the BL on the forecast of GDP growth and inflation of German consumer prices. </w:t>
      </w:r>
      <w:proofErr w:type="spellStart"/>
      <w:r w:rsidRPr="006D2C2F">
        <w:rPr>
          <w:color w:val="000000" w:themeColor="text1"/>
        </w:rPr>
        <w:t>Holz</w:t>
      </w:r>
      <w:proofErr w:type="spellEnd"/>
      <w:r w:rsidRPr="006D2C2F">
        <w:rPr>
          <w:color w:val="000000" w:themeColor="text1"/>
        </w:rPr>
        <w:t xml:space="preserve"> (2014) evaluated the quality of the Chinese GDP advancing suspicions on the statistics published by the National Bureau of Statistics of China. Michalski and Stoltz (2013) examined the balance of payments data for 103 countries between 1989 and 2007. Mir (2016) studied the illicit financial outflows from developing countries. Finally, Mir et al. (2014) and </w:t>
      </w:r>
      <w:proofErr w:type="spellStart"/>
      <w:r w:rsidRPr="006D2C2F">
        <w:rPr>
          <w:color w:val="000000" w:themeColor="text1"/>
        </w:rPr>
        <w:t>Ausloos</w:t>
      </w:r>
      <w:proofErr w:type="spellEnd"/>
      <w:r w:rsidRPr="006D2C2F">
        <w:rPr>
          <w:color w:val="000000" w:themeColor="text1"/>
        </w:rPr>
        <w:t xml:space="preserve"> et al. (2017) have instead applied the BL to the aggregate of income taxes of municipalities and Italian regions for the period between 2007 and 2011.</w:t>
      </w:r>
    </w:p>
    <w:p w14:paraId="10DC51AC"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paper contains many of the key observations in the subject. One of the most important is that while individual data sets may fail to satisfy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amalgamating many different sets of data leads to a new sequence whose behaviour is typically closer to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This is seen both in the row corresponding to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n,,n</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oMath>
      <w:r w:rsidRPr="006D2C2F">
        <w:rPr>
          <w:rFonts w:ascii="Times New Roman" w:hAnsi="Times New Roman" w:cs="Times New Roman"/>
          <w:color w:val="000000" w:themeColor="text1"/>
          <w:sz w:val="24"/>
          <w:szCs w:val="24"/>
        </w:rPr>
        <w:t>(where we can prove that each of these is non-Benford) as well as in the average over all data sets.</w:t>
      </w:r>
    </w:p>
    <w:p w14:paraId="6F35EC6D" w14:textId="77197AB1" w:rsidR="008B2804" w:rsidRPr="006D2C2F" w:rsidRDefault="008B2804" w:rsidP="009340A8">
      <w:pPr>
        <w:spacing w:line="360" w:lineRule="auto"/>
        <w:jc w:val="both"/>
        <w:rPr>
          <w:rFonts w:ascii="Times New Roman" w:hAnsi="Times New Roman" w:cs="Times New Roman"/>
          <w:color w:val="000000" w:themeColor="text1"/>
          <w:sz w:val="24"/>
          <w:szCs w:val="24"/>
        </w:rPr>
      </w:pP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article suffered a much better fate than Newcomb’s paper, possibly in part because it immediately preceded a physics article by Bethe, Rose and Smith on the multiple scattering of electrons. Whereas it was decades before there was another article building on Newcomb’s work, the next article after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paper was six years later (by S. A. </w:t>
      </w:r>
      <w:proofErr w:type="spellStart"/>
      <w:r w:rsidRPr="006D2C2F">
        <w:rPr>
          <w:rFonts w:ascii="Times New Roman" w:hAnsi="Times New Roman" w:cs="Times New Roman"/>
          <w:color w:val="000000" w:themeColor="text1"/>
          <w:sz w:val="24"/>
          <w:szCs w:val="24"/>
        </w:rPr>
        <w:t>Goutsmit</w:t>
      </w:r>
      <w:proofErr w:type="spellEnd"/>
      <w:r w:rsidRPr="006D2C2F">
        <w:rPr>
          <w:rFonts w:ascii="Times New Roman" w:hAnsi="Times New Roman" w:cs="Times New Roman"/>
          <w:color w:val="000000" w:themeColor="text1"/>
          <w:sz w:val="24"/>
          <w:szCs w:val="24"/>
        </w:rPr>
        <w:t xml:space="preserve"> and W. H. Furry, Significant Figures of Numbers in Statistical Tables, in Nature), and after that the papers started occurring more and more frequently. See Hurlimann’s extensive bibliography for a list of papers, books and reports on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from 1881 to 2006, as well as the online bibliography maintained by Arno Berger and Ted Hill</w:t>
      </w:r>
      <w:r>
        <w:rPr>
          <w:rFonts w:ascii="Times New Roman" w:hAnsi="Times New Roman" w:cs="Times New Roman"/>
          <w:color w:val="000000" w:themeColor="text1"/>
          <w:sz w:val="24"/>
          <w:szCs w:val="24"/>
        </w:rPr>
        <w:t xml:space="preserve"> (2015).</w:t>
      </w:r>
    </w:p>
    <w:p w14:paraId="02BC139A" w14:textId="77777777" w:rsidR="008B2804" w:rsidRPr="00BA27A7" w:rsidRDefault="008B2804" w:rsidP="008B2804">
      <w:pPr>
        <w:pStyle w:val="Heading2"/>
        <w:rPr>
          <w:color w:val="002060"/>
        </w:rPr>
      </w:pPr>
      <w:bookmarkStart w:id="141" w:name="_Toc90499983"/>
      <w:r w:rsidRPr="00BA27A7">
        <w:rPr>
          <w:color w:val="002060"/>
        </w:rPr>
        <w:t>2.2.1 STATEMENT OF BENFORD’S LAW</w:t>
      </w:r>
      <w:bookmarkEnd w:id="141"/>
    </w:p>
    <w:p w14:paraId="0448B41F" w14:textId="77777777" w:rsidR="008B2804" w:rsidRPr="006D2C2F" w:rsidRDefault="008B2804" w:rsidP="009340A8">
      <w:pPr>
        <w:spacing w:line="360" w:lineRule="auto"/>
        <w:jc w:val="both"/>
        <w:rPr>
          <w:rFonts w:ascii="Times New Roman" w:hAnsi="Times New Roman" w:cs="Times New Roman"/>
          <w:b/>
          <w:bCs/>
          <w:color w:val="000000" w:themeColor="text1"/>
          <w:sz w:val="24"/>
          <w:szCs w:val="24"/>
        </w:rPr>
      </w:pPr>
      <w:r w:rsidRPr="006D2C2F">
        <w:rPr>
          <w:rFonts w:ascii="Times New Roman" w:hAnsi="Times New Roman" w:cs="Times New Roman"/>
          <w:color w:val="000000" w:themeColor="text1"/>
          <w:sz w:val="24"/>
          <w:szCs w:val="24"/>
        </w:rPr>
        <w:t xml:space="preserve">Definition </w:t>
      </w:r>
      <w:r>
        <w:rPr>
          <w:rFonts w:ascii="Times New Roman" w:hAnsi="Times New Roman" w:cs="Times New Roman"/>
          <w:color w:val="000000" w:themeColor="text1"/>
          <w:sz w:val="24"/>
          <w:szCs w:val="24"/>
        </w:rPr>
        <w:t>1:</w:t>
      </w:r>
      <w:r w:rsidRPr="006D2C2F">
        <w:rPr>
          <w:rFonts w:ascii="Times New Roman" w:hAnsi="Times New Roman" w:cs="Times New Roman"/>
          <w:color w:val="000000" w:themeColor="text1"/>
          <w:sz w:val="24"/>
          <w:szCs w:val="24"/>
        </w:rPr>
        <w:t xml:space="preserve">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for the Leading Digit). A set of numbers satisfies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for the Leading Digit if the probability of observing a first digit of</w:t>
      </w:r>
      <m:oMath>
        <m:r>
          <w:rPr>
            <w:rFonts w:ascii="Cambria Math" w:hAnsi="Cambria Math" w:cs="Times New Roman"/>
            <w:color w:val="000000" w:themeColor="text1"/>
            <w:sz w:val="24"/>
            <w:szCs w:val="24"/>
          </w:rPr>
          <m:t xml:space="preserve"> d</m:t>
        </m:r>
      </m:oMath>
      <w:r w:rsidRPr="006D2C2F">
        <w:rPr>
          <w:rFonts w:ascii="Times New Roman" w:hAnsi="Times New Roman" w:cs="Times New Roman"/>
          <w:color w:val="000000" w:themeColor="text1"/>
          <w:sz w:val="24"/>
          <w:szCs w:val="24"/>
        </w:rPr>
        <w:t xml:space="preserve"> is </w:t>
      </w:r>
      <m:oMath>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d+1</m:t>
                    </m:r>
                  </m:num>
                  <m:den>
                    <m:r>
                      <w:rPr>
                        <w:rFonts w:ascii="Cambria Math" w:hAnsi="Cambria Math" w:cs="Times New Roman"/>
                        <w:color w:val="000000" w:themeColor="text1"/>
                        <w:sz w:val="24"/>
                        <w:szCs w:val="24"/>
                      </w:rPr>
                      <m:t>d</m:t>
                    </m:r>
                  </m:den>
                </m:f>
              </m:e>
            </m:d>
          </m:e>
        </m:func>
      </m:oMath>
      <w:r w:rsidRPr="006D2C2F">
        <w:rPr>
          <w:rFonts w:ascii="Times New Roman" w:eastAsiaTheme="minorEastAsia" w:hAnsi="Times New Roman" w:cs="Times New Roman"/>
          <w:color w:val="000000" w:themeColor="text1"/>
          <w:sz w:val="24"/>
          <w:szCs w:val="24"/>
        </w:rPr>
        <w:t>.</w:t>
      </w:r>
    </w:p>
    <w:p w14:paraId="7432AD14" w14:textId="33893583"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While clean and easy to state, the above definition has several problems when we apply it to real data sets. The most glaring is that the numbers </w:t>
      </w:r>
      <m:oMath>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d+1</m:t>
                    </m:r>
                  </m:num>
                  <m:den>
                    <m:r>
                      <w:rPr>
                        <w:rFonts w:ascii="Cambria Math" w:hAnsi="Cambria Math" w:cs="Times New Roman"/>
                        <w:color w:val="000000" w:themeColor="text1"/>
                        <w:sz w:val="24"/>
                        <w:szCs w:val="24"/>
                      </w:rPr>
                      <m:t>d</m:t>
                    </m:r>
                  </m:den>
                </m:f>
              </m:e>
            </m:d>
          </m:e>
        </m:func>
      </m:oMath>
      <w:r w:rsidR="00B36A9E">
        <w:rPr>
          <w:rFonts w:ascii="Times New Roman" w:eastAsiaTheme="minorEastAsia" w:hAnsi="Times New Roman" w:cs="Times New Roman"/>
          <w:color w:val="000000" w:themeColor="text1"/>
          <w:sz w:val="24"/>
          <w:szCs w:val="24"/>
        </w:rPr>
        <w:t xml:space="preserve"> </w:t>
      </w:r>
      <w:r w:rsidRPr="006D2C2F">
        <w:rPr>
          <w:rFonts w:ascii="Times New Roman" w:hAnsi="Times New Roman" w:cs="Times New Roman"/>
          <w:color w:val="000000" w:themeColor="text1"/>
          <w:sz w:val="24"/>
          <w:szCs w:val="24"/>
        </w:rPr>
        <w:t>are irrational. If we have at</w:t>
      </w:r>
      <w:r>
        <w:rPr>
          <w:rFonts w:ascii="Times New Roman" w:hAnsi="Times New Roman" w:cs="Times New Roman"/>
          <w:color w:val="000000" w:themeColor="text1"/>
          <w:sz w:val="24"/>
          <w:szCs w:val="24"/>
        </w:rPr>
        <w:t xml:space="preserve"> </w:t>
      </w:r>
      <w:r w:rsidRPr="006D2C2F">
        <w:rPr>
          <w:rFonts w:ascii="Times New Roman" w:hAnsi="Times New Roman" w:cs="Times New Roman"/>
          <w:color w:val="000000" w:themeColor="text1"/>
          <w:sz w:val="24"/>
          <w:szCs w:val="24"/>
        </w:rPr>
        <w:t xml:space="preserve">a set with </w:t>
      </w:r>
      <m:oMath>
        <m:r>
          <w:rPr>
            <w:rFonts w:ascii="Cambria Math" w:hAnsi="Cambria Math" w:cs="Times New Roman"/>
            <w:color w:val="000000" w:themeColor="text1"/>
            <w:sz w:val="24"/>
            <w:szCs w:val="24"/>
          </w:rPr>
          <m:t>N</m:t>
        </m:r>
      </m:oMath>
      <w:r w:rsidRPr="006D2C2F">
        <w:rPr>
          <w:rFonts w:ascii="Times New Roman" w:hAnsi="Times New Roman" w:cs="Times New Roman"/>
          <w:color w:val="000000" w:themeColor="text1"/>
          <w:sz w:val="24"/>
          <w:szCs w:val="24"/>
        </w:rPr>
        <w:t xml:space="preserve"> observations, then the number of times the first digit is </w:t>
      </w:r>
      <m:oMath>
        <m:r>
          <w:rPr>
            <w:rFonts w:ascii="Cambria Math" w:hAnsi="Cambria Math" w:cs="Times New Roman"/>
            <w:color w:val="000000" w:themeColor="text1"/>
            <w:sz w:val="24"/>
            <w:szCs w:val="24"/>
          </w:rPr>
          <m:t>d</m:t>
        </m:r>
      </m:oMath>
      <w:r w:rsidRPr="006D2C2F">
        <w:rPr>
          <w:rFonts w:ascii="Times New Roman" w:hAnsi="Times New Roman" w:cs="Times New Roman"/>
          <w:color w:val="000000" w:themeColor="text1"/>
          <w:sz w:val="24"/>
          <w:szCs w:val="24"/>
        </w:rPr>
        <w:t xml:space="preserve"> must be an integer, and hence the observed frequencies are always rational numbers.</w:t>
      </w:r>
    </w:p>
    <w:p w14:paraId="5726C25B"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lastRenderedPageBreak/>
        <w:t xml:space="preserve">One solution to this issue is to consider only infinite sets. Unfortunately, this is not possible in many cases of interest, as most real-world data sets are finite (i.e., there are only finitely many counties or finitely many trading days). Thus, while Definition </w:t>
      </w:r>
      <w:r>
        <w:rPr>
          <w:rFonts w:ascii="Times New Roman" w:hAnsi="Times New Roman" w:cs="Times New Roman"/>
          <w:color w:val="000000" w:themeColor="text1"/>
          <w:sz w:val="24"/>
          <w:szCs w:val="24"/>
        </w:rPr>
        <w:t xml:space="preserve">1 </w:t>
      </w:r>
      <w:r w:rsidRPr="006D2C2F">
        <w:rPr>
          <w:rFonts w:ascii="Times New Roman" w:hAnsi="Times New Roman" w:cs="Times New Roman"/>
          <w:color w:val="000000" w:themeColor="text1"/>
          <w:sz w:val="24"/>
          <w:szCs w:val="24"/>
        </w:rPr>
        <w:t>is fine for mathematical investigations of sequences and functions, it is not practical for many sets of interest. We therefore adjust the definition to</w:t>
      </w:r>
    </w:p>
    <w:p w14:paraId="04FAEF8F" w14:textId="77777777" w:rsidR="008B2804" w:rsidRPr="006D2C2F" w:rsidRDefault="008B2804" w:rsidP="009340A8">
      <w:pPr>
        <w:spacing w:line="360" w:lineRule="auto"/>
        <w:jc w:val="both"/>
        <w:rPr>
          <w:rFonts w:ascii="Times New Roman" w:eastAsiaTheme="minorEastAsia"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Definition </w:t>
      </w:r>
      <w:r>
        <w:rPr>
          <w:rFonts w:ascii="Times New Roman" w:hAnsi="Times New Roman" w:cs="Times New Roman"/>
          <w:color w:val="000000" w:themeColor="text1"/>
          <w:sz w:val="24"/>
          <w:szCs w:val="24"/>
        </w:rPr>
        <w:t>2:</w:t>
      </w:r>
      <w:r w:rsidRPr="006D2C2F">
        <w:rPr>
          <w:rFonts w:ascii="Times New Roman" w:hAnsi="Times New Roman" w:cs="Times New Roman"/>
          <w:color w:val="000000" w:themeColor="text1"/>
          <w:sz w:val="24"/>
          <w:szCs w:val="24"/>
        </w:rPr>
        <w:t xml:space="preserve">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for the Leading Digit (Working Definition)). Consider a data set satisfies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for the Leading Digit if the probability of observing a first digit of d is approximately </w:t>
      </w:r>
      <m:oMath>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d+1</m:t>
                    </m:r>
                  </m:num>
                  <m:den>
                    <m:r>
                      <w:rPr>
                        <w:rFonts w:ascii="Cambria Math" w:hAnsi="Cambria Math" w:cs="Times New Roman"/>
                        <w:color w:val="000000" w:themeColor="text1"/>
                        <w:sz w:val="24"/>
                        <w:szCs w:val="24"/>
                      </w:rPr>
                      <m:t>d</m:t>
                    </m:r>
                  </m:den>
                </m:f>
              </m:e>
            </m:d>
          </m:e>
        </m:func>
        <m:r>
          <w:rPr>
            <w:rFonts w:ascii="Cambria Math" w:hAnsi="Cambria Math" w:cs="Times New Roman"/>
            <w:color w:val="000000" w:themeColor="text1"/>
            <w:sz w:val="24"/>
            <w:szCs w:val="24"/>
          </w:rPr>
          <m:t>.</m:t>
        </m:r>
      </m:oMath>
    </w:p>
    <w:p w14:paraId="29C4F3E7"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Note that the above definition is vague, as we need to clarify what is meant by “approximately.” It is a non-trivial task to find good statistical tests for large data sets. The famous and popular chi-square tests, for example, frequently cannot be used with extensive data sets as this test becomes very sensitive to small deviations when there are many observations. For now, we shall use the above definition and interpret “approximately” to mean a good visual fit. This approach works quite well for many applications. For example, we shall see that many corporate and other financial data sets follow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and thus if the distribution is visually far from </w:t>
      </w:r>
      <w:proofErr w:type="spellStart"/>
      <w:r w:rsidRPr="006D2C2F">
        <w:rPr>
          <w:rFonts w:ascii="Times New Roman" w:hAnsi="Times New Roman" w:cs="Times New Roman"/>
          <w:color w:val="000000" w:themeColor="text1"/>
          <w:sz w:val="24"/>
          <w:szCs w:val="24"/>
        </w:rPr>
        <w:t>Benford</w:t>
      </w:r>
      <w:proofErr w:type="spellEnd"/>
      <w:r w:rsidRPr="006D2C2F">
        <w:rPr>
          <w:rFonts w:ascii="Times New Roman" w:hAnsi="Times New Roman" w:cs="Times New Roman"/>
          <w:color w:val="000000" w:themeColor="text1"/>
          <w:sz w:val="24"/>
          <w:szCs w:val="24"/>
        </w:rPr>
        <w:t>, it is quite likely that the data’s integrity has been compromised.</w:t>
      </w:r>
    </w:p>
    <w:p w14:paraId="03CDAC2E"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Finally, instead of studying just the leading digit we could study the entire significand. Thus, in place of asking for the probability of a first digit of 1 or 2 or 3, we now ask for the probability of observing a significand between 1 and 2, or between </w:t>
      </w:r>
      <m:oMath>
        <m:r>
          <w:rPr>
            <w:rFonts w:ascii="Cambria Math" w:hAnsi="Cambria Math" w:cs="Times New Roman"/>
            <w:color w:val="000000" w:themeColor="text1"/>
            <w:sz w:val="24"/>
            <w:szCs w:val="24"/>
          </w:rPr>
          <m:t>π</m:t>
        </m:r>
      </m:oMath>
      <w:r w:rsidRPr="006D2C2F">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e</m:t>
        </m:r>
      </m:oMath>
      <w:r w:rsidRPr="006D2C2F">
        <w:rPr>
          <w:rFonts w:ascii="Times New Roman" w:hAnsi="Times New Roman" w:cs="Times New Roman"/>
          <w:color w:val="000000" w:themeColor="text1"/>
          <w:sz w:val="24"/>
          <w:szCs w:val="24"/>
        </w:rPr>
        <w:t>. This generali</w:t>
      </w:r>
      <w:proofErr w:type="spellStart"/>
      <w:r>
        <w:rPr>
          <w:rFonts w:ascii="Times New Roman" w:hAnsi="Times New Roman" w:cs="Times New Roman"/>
          <w:color w:val="000000" w:themeColor="text1"/>
          <w:sz w:val="24"/>
          <w:szCs w:val="24"/>
        </w:rPr>
        <w:t>s</w:t>
      </w:r>
      <w:r w:rsidRPr="006D2C2F">
        <w:rPr>
          <w:rFonts w:ascii="Times New Roman" w:hAnsi="Times New Roman" w:cs="Times New Roman"/>
          <w:color w:val="000000" w:themeColor="text1"/>
          <w:sz w:val="24"/>
          <w:szCs w:val="24"/>
        </w:rPr>
        <w:t>ation</w:t>
      </w:r>
      <w:proofErr w:type="spellEnd"/>
      <w:r w:rsidRPr="006D2C2F">
        <w:rPr>
          <w:rFonts w:ascii="Times New Roman" w:hAnsi="Times New Roman" w:cs="Times New Roman"/>
          <w:color w:val="000000" w:themeColor="text1"/>
          <w:sz w:val="24"/>
          <w:szCs w:val="24"/>
        </w:rPr>
        <w:t xml:space="preserve"> is frequently called the Strong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w:t>
      </w:r>
    </w:p>
    <w:p w14:paraId="04530A3A"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Definition </w:t>
      </w:r>
      <w:r>
        <w:rPr>
          <w:rFonts w:ascii="Times New Roman" w:hAnsi="Times New Roman" w:cs="Times New Roman"/>
          <w:color w:val="000000" w:themeColor="text1"/>
          <w:sz w:val="24"/>
          <w:szCs w:val="24"/>
        </w:rPr>
        <w:t>3:</w:t>
      </w:r>
      <w:r w:rsidRPr="006D2C2F">
        <w:rPr>
          <w:rFonts w:ascii="Times New Roman" w:hAnsi="Times New Roman" w:cs="Times New Roman"/>
          <w:color w:val="000000" w:themeColor="text1"/>
          <w:sz w:val="24"/>
          <w:szCs w:val="24"/>
        </w:rPr>
        <w:t xml:space="preserve"> (Strong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for the Leading Digits (Working Definition)). </w:t>
      </w:r>
      <w:r>
        <w:rPr>
          <w:rFonts w:ascii="Times New Roman" w:hAnsi="Times New Roman" w:cs="Times New Roman"/>
          <w:color w:val="000000" w:themeColor="text1"/>
          <w:sz w:val="24"/>
          <w:szCs w:val="24"/>
        </w:rPr>
        <w:t>It can be said the</w:t>
      </w:r>
      <w:r w:rsidRPr="006D2C2F">
        <w:rPr>
          <w:rFonts w:ascii="Times New Roman" w:hAnsi="Times New Roman" w:cs="Times New Roman"/>
          <w:color w:val="000000" w:themeColor="text1"/>
          <w:sz w:val="24"/>
          <w:szCs w:val="24"/>
        </w:rPr>
        <w:t xml:space="preserve"> data set satisfies the Strong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if the probability of observing a significand in </w:t>
      </w:r>
      <m:oMath>
        <m:d>
          <m:dPr>
            <m:beg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1,S</m:t>
            </m:r>
          </m:e>
        </m:d>
        <m:r>
          <w:rPr>
            <w:rFonts w:ascii="Cambria Math" w:hAnsi="Cambria Math" w:cs="Times New Roman"/>
            <w:color w:val="000000" w:themeColor="text1"/>
            <w:sz w:val="24"/>
            <w:szCs w:val="24"/>
          </w:rPr>
          <m:t xml:space="preserve"> </m:t>
        </m:r>
      </m:oMath>
      <w:r w:rsidRPr="006D2C2F">
        <w:rPr>
          <w:rFonts w:ascii="Times New Roman" w:eastAsiaTheme="minorEastAsia" w:hAnsi="Times New Roman" w:cs="Times New Roman"/>
          <w:color w:val="000000" w:themeColor="text1"/>
          <w:sz w:val="24"/>
          <w:szCs w:val="24"/>
        </w:rPr>
        <w:t xml:space="preserve">is </w:t>
      </w:r>
      <m:oMath>
        <m:func>
          <m:funcPr>
            <m:ctrlPr>
              <w:rPr>
                <w:rFonts w:ascii="Cambria Math" w:eastAsiaTheme="minorEastAsia" w:hAnsi="Cambria Math" w:cs="Times New Roman"/>
                <w:i/>
                <w:color w:val="000000" w:themeColor="text1"/>
                <w:sz w:val="24"/>
                <w:szCs w:val="24"/>
              </w:rPr>
            </m:ctrlPr>
          </m:funcPr>
          <m:fName>
            <m:sSub>
              <m:sSubPr>
                <m:ctrlPr>
                  <w:rPr>
                    <w:rFonts w:ascii="Cambria Math" w:eastAsiaTheme="minorEastAsia"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eastAsiaTheme="minorEastAsia" w:hAnsi="Cambria Math" w:cs="Times New Roman"/>
                    <w:color w:val="000000" w:themeColor="text1"/>
                    <w:sz w:val="24"/>
                    <w:szCs w:val="24"/>
                  </w:rPr>
                  <m:t>10</m:t>
                </m:r>
              </m:sub>
            </m:sSub>
          </m:fName>
          <m:e>
            <m:r>
              <w:rPr>
                <w:rFonts w:ascii="Cambria Math" w:eastAsiaTheme="minorEastAsia" w:hAnsi="Cambria Math" w:cs="Times New Roman"/>
                <w:color w:val="000000" w:themeColor="text1"/>
                <w:sz w:val="24"/>
                <w:szCs w:val="24"/>
              </w:rPr>
              <m:t>S</m:t>
            </m:r>
          </m:e>
        </m:func>
      </m:oMath>
      <w:r w:rsidRPr="006D2C2F">
        <w:rPr>
          <w:rFonts w:ascii="Times New Roman" w:hAnsi="Times New Roman" w:cs="Times New Roman"/>
          <w:color w:val="000000" w:themeColor="text1"/>
          <w:sz w:val="24"/>
          <w:szCs w:val="24"/>
        </w:rPr>
        <w:t>.</w:t>
      </w:r>
    </w:p>
    <w:p w14:paraId="00BBF850" w14:textId="7832B793" w:rsidR="008B2804" w:rsidRPr="006D2C2F" w:rsidRDefault="008B2804" w:rsidP="009340A8">
      <w:pPr>
        <w:spacing w:line="360" w:lineRule="auto"/>
        <w:jc w:val="both"/>
        <w:rPr>
          <w:rFonts w:ascii="Times New Roman" w:eastAsiaTheme="minorEastAsia" w:hAnsi="Times New Roman" w:cs="Times New Roman"/>
          <w:color w:val="000000" w:themeColor="text1"/>
          <w:sz w:val="24"/>
          <w:szCs w:val="24"/>
        </w:rPr>
      </w:pPr>
      <w:r w:rsidRPr="006D2C2F">
        <w:rPr>
          <w:rFonts w:ascii="Times New Roman" w:hAnsi="Times New Roman" w:cs="Times New Roman"/>
          <w:color w:val="000000" w:themeColor="text1"/>
          <w:sz w:val="24"/>
          <w:szCs w:val="24"/>
        </w:rPr>
        <w:t xml:space="preserve">Note that Strong </w:t>
      </w:r>
      <w:proofErr w:type="spellStart"/>
      <w:r w:rsidRPr="006D2C2F">
        <w:rPr>
          <w:rFonts w:ascii="Times New Roman" w:hAnsi="Times New Roman" w:cs="Times New Roman"/>
          <w:color w:val="000000" w:themeColor="text1"/>
          <w:sz w:val="24"/>
          <w:szCs w:val="24"/>
        </w:rPr>
        <w:t>Benford</w:t>
      </w:r>
      <w:proofErr w:type="spellEnd"/>
      <w:r w:rsidRPr="006D2C2F">
        <w:rPr>
          <w:rFonts w:ascii="Times New Roman" w:hAnsi="Times New Roman" w:cs="Times New Roman"/>
          <w:color w:val="000000" w:themeColor="text1"/>
          <w:sz w:val="24"/>
          <w:szCs w:val="24"/>
        </w:rPr>
        <w:t xml:space="preserve"> behaviour implies </w:t>
      </w:r>
      <w:proofErr w:type="spellStart"/>
      <w:r w:rsidRPr="006D2C2F">
        <w:rPr>
          <w:rFonts w:ascii="Times New Roman" w:hAnsi="Times New Roman" w:cs="Times New Roman"/>
          <w:color w:val="000000" w:themeColor="text1"/>
          <w:sz w:val="24"/>
          <w:szCs w:val="24"/>
        </w:rPr>
        <w:t>Benford</w:t>
      </w:r>
      <w:proofErr w:type="spellEnd"/>
      <w:r w:rsidRPr="006D2C2F">
        <w:rPr>
          <w:rFonts w:ascii="Times New Roman" w:hAnsi="Times New Roman" w:cs="Times New Roman"/>
          <w:color w:val="000000" w:themeColor="text1"/>
          <w:sz w:val="24"/>
          <w:szCs w:val="24"/>
        </w:rPr>
        <w:t xml:space="preserve"> behaviour; the probability of a first digit of d is just the probability the significand is in </w:t>
      </w:r>
      <m:oMath>
        <m:r>
          <w:rPr>
            <w:rFonts w:ascii="Cambria Math" w:hAnsi="Cambria Math" w:cs="Times New Roman"/>
            <w:color w:val="000000" w:themeColor="text1"/>
            <w:sz w:val="24"/>
            <w:szCs w:val="24"/>
          </w:rPr>
          <m:t xml:space="preserve">[d, d+1). </m:t>
        </m:r>
      </m:oMath>
      <w:r w:rsidRPr="006D2C2F">
        <w:rPr>
          <w:rFonts w:ascii="Times New Roman" w:hAnsi="Times New Roman" w:cs="Times New Roman"/>
          <w:color w:val="000000" w:themeColor="text1"/>
          <w:sz w:val="24"/>
          <w:szCs w:val="24"/>
        </w:rPr>
        <w:t xml:space="preserve">Writing </w:t>
      </w:r>
      <m:oMath>
        <m:r>
          <w:rPr>
            <w:rFonts w:ascii="Cambria Math" w:hAnsi="Cambria Math" w:cs="Times New Roman"/>
            <w:color w:val="000000" w:themeColor="text1"/>
            <w:sz w:val="24"/>
            <w:szCs w:val="24"/>
          </w:rPr>
          <m:t>[d, d+1)</m:t>
        </m:r>
      </m:oMath>
      <w:r w:rsidRPr="006D2C2F">
        <w:rPr>
          <w:rFonts w:ascii="Times New Roman" w:hAnsi="Times New Roman" w:cs="Times New Roman"/>
          <w:color w:val="000000" w:themeColor="text1"/>
          <w:sz w:val="24"/>
          <w:szCs w:val="24"/>
        </w:rPr>
        <w:t xml:space="preserve"> as</w:t>
      </w:r>
      <w:r w:rsidR="00C31A41">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[1, d+1)\[1, d),</m:t>
        </m:r>
      </m:oMath>
      <w:r w:rsidRPr="006D2C2F">
        <w:rPr>
          <w:rFonts w:ascii="Times New Roman" w:hAnsi="Times New Roman" w:cs="Times New Roman"/>
          <w:color w:val="000000" w:themeColor="text1"/>
          <w:sz w:val="24"/>
          <w:szCs w:val="24"/>
        </w:rPr>
        <w:t xml:space="preserve"> we see this probability is just </w:t>
      </w:r>
      <m:oMath>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d+1</m:t>
                </m:r>
              </m:e>
            </m:d>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r>
                  <w:rPr>
                    <w:rFonts w:ascii="Cambria Math" w:hAnsi="Cambria Math" w:cs="Times New Roman"/>
                    <w:color w:val="000000" w:themeColor="text1"/>
                    <w:sz w:val="24"/>
                    <w:szCs w:val="24"/>
                  </w:rPr>
                  <m:t>d</m:t>
                </m:r>
              </m:e>
            </m:func>
            <m:r>
              <w:rPr>
                <w:rFonts w:ascii="Cambria Math" w:hAnsi="Cambria Math" w:cs="Times New Roman"/>
                <w:color w:val="000000" w:themeColor="text1"/>
                <w:sz w:val="24"/>
                <w:szCs w:val="24"/>
              </w:rPr>
              <m:t xml:space="preserve">= </m:t>
            </m:r>
            <m:func>
              <m:funcPr>
                <m:ctrlPr>
                  <w:rPr>
                    <w:rFonts w:ascii="Cambria Math" w:hAnsi="Cambria Math" w:cs="Times New Roman"/>
                    <w:i/>
                    <w:color w:val="000000" w:themeColor="text1"/>
                    <w:sz w:val="24"/>
                    <w:szCs w:val="24"/>
                  </w:rPr>
                </m:ctrlPr>
              </m:funcPr>
              <m:fNa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d+1</m:t>
                        </m:r>
                      </m:num>
                      <m:den>
                        <m:r>
                          <w:rPr>
                            <w:rFonts w:ascii="Cambria Math" w:hAnsi="Cambria Math" w:cs="Times New Roman"/>
                            <w:color w:val="000000" w:themeColor="text1"/>
                            <w:sz w:val="24"/>
                            <w:szCs w:val="24"/>
                          </w:rPr>
                          <m:t>d</m:t>
                        </m:r>
                      </m:den>
                    </m:f>
                  </m:e>
                </m:d>
              </m:e>
            </m:func>
            <m:r>
              <w:rPr>
                <w:rFonts w:ascii="Cambria Math" w:hAnsi="Cambria Math" w:cs="Times New Roman"/>
                <w:color w:val="000000" w:themeColor="text1"/>
                <w:sz w:val="24"/>
                <w:szCs w:val="24"/>
              </w:rPr>
              <m:t>.</m:t>
            </m:r>
          </m:e>
        </m:func>
      </m:oMath>
    </w:p>
    <w:p w14:paraId="4631D31A"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Previous studies on this topic have been inconclusive in terms of both the direction and the magnitude. In terms of direction, some argue that, similar to other developing countries, the underdeveloped reporting capacity of the Chinese state may lead to downward biases in growth rates (</w:t>
      </w:r>
      <w:proofErr w:type="spellStart"/>
      <w:r w:rsidRPr="006D2C2F">
        <w:rPr>
          <w:rFonts w:ascii="Times New Roman" w:hAnsi="Times New Roman" w:cs="Times New Roman"/>
          <w:color w:val="000000" w:themeColor="text1"/>
          <w:sz w:val="24"/>
          <w:szCs w:val="24"/>
        </w:rPr>
        <w:t>Holz</w:t>
      </w:r>
      <w:proofErr w:type="spellEnd"/>
      <w:r w:rsidRPr="006D2C2F">
        <w:rPr>
          <w:rFonts w:ascii="Times New Roman" w:hAnsi="Times New Roman" w:cs="Times New Roman"/>
          <w:color w:val="000000" w:themeColor="text1"/>
          <w:sz w:val="24"/>
          <w:szCs w:val="24"/>
        </w:rPr>
        <w:t xml:space="preserve">, 2014).1 Upward biases are also possible due to the political incentives of the </w:t>
      </w:r>
      <w:r w:rsidRPr="006D2C2F">
        <w:rPr>
          <w:rFonts w:ascii="Times New Roman" w:hAnsi="Times New Roman" w:cs="Times New Roman"/>
          <w:color w:val="000000" w:themeColor="text1"/>
          <w:sz w:val="24"/>
          <w:szCs w:val="24"/>
        </w:rPr>
        <w:lastRenderedPageBreak/>
        <w:t xml:space="preserve">authoritarian regime (Martinez, 2019). In terms of magnitude, some have uncovered evidence of substantial discrepancies (Rawski, 2001), whereas others believe that China’s GDP data are largely accurate (Mehrotra and </w:t>
      </w:r>
      <w:proofErr w:type="spellStart"/>
      <w:r w:rsidRPr="006D2C2F">
        <w:rPr>
          <w:rFonts w:ascii="Times New Roman" w:hAnsi="Times New Roman" w:cs="Times New Roman"/>
          <w:color w:val="000000" w:themeColor="text1"/>
          <w:sz w:val="24"/>
          <w:szCs w:val="24"/>
        </w:rPr>
        <w:t>Pääkkönen</w:t>
      </w:r>
      <w:proofErr w:type="spellEnd"/>
      <w:r w:rsidRPr="006D2C2F">
        <w:rPr>
          <w:rFonts w:ascii="Times New Roman" w:hAnsi="Times New Roman" w:cs="Times New Roman"/>
          <w:color w:val="000000" w:themeColor="text1"/>
          <w:sz w:val="24"/>
          <w:szCs w:val="24"/>
        </w:rPr>
        <w:t xml:space="preserve">, 2011; Chow, 2006; </w:t>
      </w:r>
      <w:proofErr w:type="spellStart"/>
      <w:r w:rsidRPr="006D2C2F">
        <w:rPr>
          <w:rFonts w:ascii="Times New Roman" w:hAnsi="Times New Roman" w:cs="Times New Roman"/>
          <w:color w:val="000000" w:themeColor="text1"/>
          <w:sz w:val="24"/>
          <w:szCs w:val="24"/>
        </w:rPr>
        <w:t>Holz</w:t>
      </w:r>
      <w:proofErr w:type="spellEnd"/>
      <w:r w:rsidRPr="006D2C2F">
        <w:rPr>
          <w:rFonts w:ascii="Times New Roman" w:hAnsi="Times New Roman" w:cs="Times New Roman"/>
          <w:color w:val="000000" w:themeColor="text1"/>
          <w:sz w:val="24"/>
          <w:szCs w:val="24"/>
        </w:rPr>
        <w:t>, 2014).</w:t>
      </w:r>
    </w:p>
    <w:p w14:paraId="007C7593" w14:textId="77777777" w:rsidR="008B2804" w:rsidRPr="006D2C2F" w:rsidRDefault="008B2804" w:rsidP="009340A8">
      <w:pPr>
        <w:spacing w:line="360" w:lineRule="auto"/>
        <w:jc w:val="both"/>
        <w:rPr>
          <w:rFonts w:ascii="Times New Roman" w:eastAsiaTheme="minorEastAsia" w:hAnsi="Times New Roman" w:cs="Times New Roman"/>
          <w:color w:val="000000" w:themeColor="text1"/>
          <w:sz w:val="24"/>
          <w:szCs w:val="24"/>
        </w:rPr>
      </w:pP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was separately discovered by Frank </w:t>
      </w:r>
      <w:proofErr w:type="spellStart"/>
      <w:r w:rsidRPr="006D2C2F">
        <w:rPr>
          <w:rFonts w:ascii="Times New Roman" w:hAnsi="Times New Roman" w:cs="Times New Roman"/>
          <w:color w:val="000000" w:themeColor="text1"/>
          <w:sz w:val="24"/>
          <w:szCs w:val="24"/>
        </w:rPr>
        <w:t>Benford</w:t>
      </w:r>
      <w:proofErr w:type="spellEnd"/>
      <w:r w:rsidRPr="006D2C2F">
        <w:rPr>
          <w:rFonts w:ascii="Times New Roman" w:hAnsi="Times New Roman" w:cs="Times New Roman"/>
          <w:color w:val="000000" w:themeColor="text1"/>
          <w:sz w:val="24"/>
          <w:szCs w:val="24"/>
        </w:rPr>
        <w:t xml:space="preserve"> (1938) and Simon Newcomb (1881). It states that for many naturally occurring numerical sequences, the probability of observing a first digit of n should be approximately log10(1 + 1/n). This was initially applied to data series occurring in the natural environment, such as the length of rivers, molecular weights, or death rates (Hill, 1995; for a survey, see Miller, 2015). More recent advances in statistics and economics have extended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beyond the natural environment to fraud detection in social activities, including stock prices (Ley, 1996), accounting (</w:t>
      </w:r>
      <w:proofErr w:type="spellStart"/>
      <w:r w:rsidRPr="006D2C2F">
        <w:rPr>
          <w:rFonts w:ascii="Times New Roman" w:hAnsi="Times New Roman" w:cs="Times New Roman"/>
          <w:color w:val="000000" w:themeColor="text1"/>
          <w:sz w:val="24"/>
          <w:szCs w:val="24"/>
        </w:rPr>
        <w:t>Nigrini</w:t>
      </w:r>
      <w:proofErr w:type="spellEnd"/>
      <w:r w:rsidRPr="006D2C2F">
        <w:rPr>
          <w:rFonts w:ascii="Times New Roman" w:hAnsi="Times New Roman" w:cs="Times New Roman"/>
          <w:color w:val="000000" w:themeColor="text1"/>
          <w:sz w:val="24"/>
          <w:szCs w:val="24"/>
        </w:rPr>
        <w:t>, 2012; Fernandes and Guedes, 2010), elections (</w:t>
      </w:r>
      <w:proofErr w:type="spellStart"/>
      <w:r w:rsidRPr="006D2C2F">
        <w:rPr>
          <w:rFonts w:ascii="Times New Roman" w:hAnsi="Times New Roman" w:cs="Times New Roman"/>
          <w:color w:val="000000" w:themeColor="text1"/>
          <w:sz w:val="24"/>
          <w:szCs w:val="24"/>
        </w:rPr>
        <w:t>Pericchi</w:t>
      </w:r>
      <w:proofErr w:type="spellEnd"/>
      <w:r w:rsidRPr="006D2C2F">
        <w:rPr>
          <w:rFonts w:ascii="Times New Roman" w:hAnsi="Times New Roman" w:cs="Times New Roman"/>
          <w:color w:val="000000" w:themeColor="text1"/>
          <w:sz w:val="24"/>
          <w:szCs w:val="24"/>
        </w:rPr>
        <w:t xml:space="preserve"> and Torres, 2011; </w:t>
      </w:r>
      <w:proofErr w:type="spellStart"/>
      <w:r w:rsidRPr="006D2C2F">
        <w:rPr>
          <w:rFonts w:ascii="Times New Roman" w:hAnsi="Times New Roman" w:cs="Times New Roman"/>
          <w:color w:val="000000" w:themeColor="text1"/>
          <w:sz w:val="24"/>
          <w:szCs w:val="24"/>
        </w:rPr>
        <w:t>Deckert</w:t>
      </w:r>
      <w:proofErr w:type="spellEnd"/>
      <w:r w:rsidRPr="006D2C2F">
        <w:rPr>
          <w:rFonts w:ascii="Times New Roman" w:hAnsi="Times New Roman" w:cs="Times New Roman"/>
          <w:color w:val="000000" w:themeColor="text1"/>
          <w:sz w:val="24"/>
          <w:szCs w:val="24"/>
        </w:rPr>
        <w:t xml:space="preserve"> et al., 2011), international trade (</w:t>
      </w:r>
      <w:proofErr w:type="spellStart"/>
      <w:r w:rsidRPr="006D2C2F">
        <w:rPr>
          <w:rFonts w:ascii="Times New Roman" w:hAnsi="Times New Roman" w:cs="Times New Roman"/>
          <w:color w:val="000000" w:themeColor="text1"/>
          <w:sz w:val="24"/>
          <w:szCs w:val="24"/>
        </w:rPr>
        <w:t>Barabesi</w:t>
      </w:r>
      <w:proofErr w:type="spellEnd"/>
      <w:r w:rsidRPr="006D2C2F">
        <w:rPr>
          <w:rFonts w:ascii="Times New Roman" w:hAnsi="Times New Roman" w:cs="Times New Roman"/>
          <w:color w:val="000000" w:themeColor="text1"/>
          <w:sz w:val="24"/>
          <w:szCs w:val="24"/>
        </w:rPr>
        <w:t xml:space="preserve"> et al., 2018), and macro-economic data (Michalski and Stoltz, 2013; Rauch et al., 2011; Gonzalez-Garcia and Pastor, 2009).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arises naturally for many types of data, including process of exponential growth (such as population and economic growth), products of independent random variables (such as sales and industrial output), and random data pooled from a large population of independent agents (such as population or industrial census) (Miller, 2015).</w:t>
      </w:r>
    </w:p>
    <w:p w14:paraId="41B74146" w14:textId="77777777" w:rsidR="008B2804" w:rsidRPr="006D2C2F" w:rsidRDefault="008B2804" w:rsidP="009340A8">
      <w:pPr>
        <w:spacing w:line="360" w:lineRule="auto"/>
        <w:jc w:val="both"/>
        <w:rPr>
          <w:rFonts w:ascii="Times New Roman" w:hAnsi="Times New Roman" w:cs="Times New Roman"/>
          <w:color w:val="000000" w:themeColor="text1"/>
          <w:sz w:val="24"/>
          <w:szCs w:val="24"/>
        </w:rPr>
      </w:pP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is used to detect fraud or flaws in data collection based on the distribution of the first digits of observed data. A </w:t>
      </w:r>
      <w:proofErr w:type="spellStart"/>
      <w:r w:rsidRPr="006D2C2F">
        <w:rPr>
          <w:rFonts w:ascii="Times New Roman" w:hAnsi="Times New Roman" w:cs="Times New Roman"/>
          <w:color w:val="000000" w:themeColor="text1"/>
          <w:sz w:val="24"/>
          <w:szCs w:val="24"/>
        </w:rPr>
        <w:t>Benford</w:t>
      </w:r>
      <w:proofErr w:type="spellEnd"/>
      <w:r w:rsidRPr="006D2C2F">
        <w:rPr>
          <w:rFonts w:ascii="Times New Roman" w:hAnsi="Times New Roman" w:cs="Times New Roman"/>
          <w:color w:val="000000" w:themeColor="text1"/>
          <w:sz w:val="24"/>
          <w:szCs w:val="24"/>
        </w:rPr>
        <w:t xml:space="preserve"> distribution of first digits arises naturally for exponential processes with multiple changes of magnitude, Michalski and Stoltz (2013). The spread of COVID-19 demonstrates exponential growth and changes of magnitude.</w:t>
      </w:r>
    </w:p>
    <w:p w14:paraId="4B948120" w14:textId="7A23507B" w:rsidR="008B2804" w:rsidRDefault="008B2804" w:rsidP="009340A8">
      <w:pPr>
        <w:spacing w:line="360" w:lineRule="auto"/>
        <w:jc w:val="both"/>
        <w:rPr>
          <w:rFonts w:ascii="Times New Roman" w:hAnsi="Times New Roman" w:cs="Times New Roman"/>
          <w:color w:val="000000" w:themeColor="text1"/>
          <w:sz w:val="24"/>
          <w:szCs w:val="24"/>
        </w:rPr>
      </w:pPr>
      <w:r w:rsidRPr="006D2C2F">
        <w:rPr>
          <w:rFonts w:ascii="Times New Roman" w:hAnsi="Times New Roman" w:cs="Times New Roman"/>
          <w:color w:val="000000" w:themeColor="text1"/>
          <w:sz w:val="24"/>
          <w:szCs w:val="24"/>
        </w:rPr>
        <w:t>The frequency with which the first digit is ‘‘1’’ is 30.1%, the first digit is ‘‘2’’ is 17.6% etc., declining to the first digit being ‘‘9’’ only 4.6% of the time. Since it takes a 100% increase to go from ‘‘1’’ to ‘‘2’’ and a mere 11.1% increase to go from ‘‘9’’ to ‘‘1’’, this logarithmic distribution makes sense.</w:t>
      </w:r>
      <w:r w:rsidR="004613E5">
        <w:rPr>
          <w:rFonts w:ascii="Times New Roman" w:hAnsi="Times New Roman" w:cs="Times New Roman"/>
          <w:color w:val="000000" w:themeColor="text1"/>
          <w:sz w:val="24"/>
          <w:szCs w:val="24"/>
        </w:rPr>
        <w:t xml:space="preserve"> </w:t>
      </w:r>
      <w:r w:rsidRPr="006D2C2F">
        <w:rPr>
          <w:rFonts w:ascii="Times New Roman" w:hAnsi="Times New Roman" w:cs="Times New Roman"/>
          <w:color w:val="000000" w:themeColor="text1"/>
          <w:sz w:val="24"/>
          <w:szCs w:val="24"/>
        </w:rPr>
        <w:t xml:space="preserve">The use of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to detect fraud has been widely demonstrated in economics and accounting (Varian, 1972). </w:t>
      </w:r>
      <w:proofErr w:type="spellStart"/>
      <w:r w:rsidRPr="006D2C2F">
        <w:rPr>
          <w:rFonts w:ascii="Times New Roman" w:hAnsi="Times New Roman" w:cs="Times New Roman"/>
          <w:color w:val="000000" w:themeColor="text1"/>
          <w:sz w:val="24"/>
          <w:szCs w:val="24"/>
        </w:rPr>
        <w:t>Benford’s</w:t>
      </w:r>
      <w:proofErr w:type="spellEnd"/>
      <w:r w:rsidRPr="006D2C2F">
        <w:rPr>
          <w:rFonts w:ascii="Times New Roman" w:hAnsi="Times New Roman" w:cs="Times New Roman"/>
          <w:color w:val="000000" w:themeColor="text1"/>
          <w:sz w:val="24"/>
          <w:szCs w:val="24"/>
        </w:rPr>
        <w:t xml:space="preserve"> Law has been used to detect manipulation of economic statistics: Nye and </w:t>
      </w:r>
      <w:proofErr w:type="spellStart"/>
      <w:r w:rsidRPr="006D2C2F">
        <w:rPr>
          <w:rFonts w:ascii="Times New Roman" w:hAnsi="Times New Roman" w:cs="Times New Roman"/>
          <w:color w:val="000000" w:themeColor="text1"/>
          <w:sz w:val="24"/>
          <w:szCs w:val="24"/>
        </w:rPr>
        <w:t>Moul</w:t>
      </w:r>
      <w:proofErr w:type="spellEnd"/>
      <w:r w:rsidRPr="006D2C2F">
        <w:rPr>
          <w:rFonts w:ascii="Times New Roman" w:hAnsi="Times New Roman" w:cs="Times New Roman"/>
          <w:color w:val="000000" w:themeColor="text1"/>
          <w:sz w:val="24"/>
          <w:szCs w:val="24"/>
        </w:rPr>
        <w:t xml:space="preserve"> (2007), Gonzales-Garcia and Pastor (2009), Rauch et al. (2011), </w:t>
      </w:r>
      <w:proofErr w:type="spellStart"/>
      <w:r w:rsidRPr="006D2C2F">
        <w:rPr>
          <w:rFonts w:ascii="Times New Roman" w:hAnsi="Times New Roman" w:cs="Times New Roman"/>
          <w:color w:val="000000" w:themeColor="text1"/>
          <w:sz w:val="24"/>
          <w:szCs w:val="24"/>
        </w:rPr>
        <w:t>Holz</w:t>
      </w:r>
      <w:proofErr w:type="spellEnd"/>
      <w:r w:rsidRPr="006D2C2F">
        <w:rPr>
          <w:rFonts w:ascii="Times New Roman" w:hAnsi="Times New Roman" w:cs="Times New Roman"/>
          <w:color w:val="000000" w:themeColor="text1"/>
          <w:sz w:val="24"/>
          <w:szCs w:val="24"/>
        </w:rPr>
        <w:t xml:space="preserve"> (2014) and </w:t>
      </w:r>
      <w:proofErr w:type="spellStart"/>
      <w:r w:rsidRPr="006D2C2F">
        <w:rPr>
          <w:rFonts w:ascii="Times New Roman" w:hAnsi="Times New Roman" w:cs="Times New Roman"/>
          <w:color w:val="000000" w:themeColor="text1"/>
          <w:sz w:val="24"/>
          <w:szCs w:val="24"/>
        </w:rPr>
        <w:t>Nigrini</w:t>
      </w:r>
      <w:proofErr w:type="spellEnd"/>
      <w:r w:rsidRPr="006D2C2F">
        <w:rPr>
          <w:rFonts w:ascii="Times New Roman" w:hAnsi="Times New Roman" w:cs="Times New Roman"/>
          <w:color w:val="000000" w:themeColor="text1"/>
          <w:sz w:val="24"/>
          <w:szCs w:val="24"/>
        </w:rPr>
        <w:t xml:space="preserve"> (1996).</w:t>
      </w:r>
    </w:p>
    <w:p w14:paraId="620FE662" w14:textId="77777777" w:rsidR="009340A8" w:rsidRPr="006D2C2F" w:rsidRDefault="009340A8" w:rsidP="009340A8">
      <w:pPr>
        <w:spacing w:line="360" w:lineRule="auto"/>
        <w:jc w:val="both"/>
        <w:rPr>
          <w:rFonts w:ascii="Times New Roman" w:hAnsi="Times New Roman" w:cs="Times New Roman"/>
          <w:color w:val="000000" w:themeColor="text1"/>
          <w:sz w:val="24"/>
          <w:szCs w:val="24"/>
        </w:rPr>
      </w:pPr>
    </w:p>
    <w:p w14:paraId="734F1AD9" w14:textId="77777777" w:rsidR="008B2804" w:rsidRPr="00BA27A7" w:rsidRDefault="008B2804" w:rsidP="008B2804">
      <w:pPr>
        <w:pStyle w:val="Heading1"/>
        <w:rPr>
          <w:rFonts w:eastAsia="Times New Roman"/>
          <w:lang w:eastAsia="en-GB"/>
        </w:rPr>
      </w:pPr>
      <w:bookmarkStart w:id="142" w:name="_Toc90499984"/>
      <w:r w:rsidRPr="00BA27A7">
        <w:rPr>
          <w:rFonts w:eastAsia="Times New Roman"/>
          <w:lang w:eastAsia="en-GB"/>
        </w:rPr>
        <w:lastRenderedPageBreak/>
        <w:t>2.3 Methodology</w:t>
      </w:r>
      <w:bookmarkEnd w:id="142"/>
    </w:p>
    <w:p w14:paraId="3CC5DF35" w14:textId="77777777" w:rsidR="008B2804" w:rsidRPr="00884BDB" w:rsidRDefault="008B2804" w:rsidP="009340A8">
      <w:pPr>
        <w:spacing w:line="360" w:lineRule="auto"/>
        <w:jc w:val="both"/>
        <w:rPr>
          <w:rFonts w:ascii="Times New Roman" w:hAnsi="Times New Roman" w:cs="Times New Roman"/>
          <w:color w:val="000000" w:themeColor="text1"/>
          <w:sz w:val="24"/>
          <w:szCs w:val="24"/>
        </w:rPr>
      </w:pPr>
      <w:r w:rsidRPr="00884BDB">
        <w:rPr>
          <w:rFonts w:ascii="Times New Roman" w:hAnsi="Times New Roman" w:cs="Times New Roman"/>
          <w:color w:val="000000" w:themeColor="text1"/>
          <w:sz w:val="24"/>
          <w:szCs w:val="24"/>
        </w:rPr>
        <w:t xml:space="preserve">The motivation to carry out the study described in this chapter arose as part of an investigation to discover what characteristics of data sets make them difficult for classification learning procedures. This research required numerous sets of data of known characteristics. Empirical study, </w:t>
      </w:r>
      <w:proofErr w:type="spellStart"/>
      <w:r w:rsidRPr="00884BDB">
        <w:rPr>
          <w:rFonts w:ascii="Times New Roman" w:hAnsi="Times New Roman" w:cs="Times New Roman"/>
          <w:color w:val="000000" w:themeColor="text1"/>
          <w:sz w:val="24"/>
          <w:szCs w:val="24"/>
        </w:rPr>
        <w:t>Benford</w:t>
      </w:r>
      <w:proofErr w:type="spellEnd"/>
      <w:r w:rsidRPr="00884BDB">
        <w:rPr>
          <w:rFonts w:ascii="Times New Roman" w:hAnsi="Times New Roman" w:cs="Times New Roman"/>
          <w:color w:val="000000" w:themeColor="text1"/>
          <w:sz w:val="24"/>
          <w:szCs w:val="24"/>
        </w:rPr>
        <w:t xml:space="preserve"> (1938) proposed a rule for the distribution of all nine possible leading digits in real data:</w:t>
      </w:r>
    </w:p>
    <w:p w14:paraId="43FB9717" w14:textId="77777777" w:rsidR="00034A52" w:rsidRDefault="00034A52" w:rsidP="009340A8">
      <w:pPr>
        <w:spacing w:after="0" w:line="360" w:lineRule="auto"/>
        <w:jc w:val="both"/>
        <w:rPr>
          <w:rFonts w:ascii="Times New Roman" w:eastAsia="Times New Roman" w:hAnsi="Times New Roman" w:cs="Times New Roman"/>
          <w:color w:val="000000"/>
          <w:sz w:val="24"/>
          <w:szCs w:val="24"/>
          <w:shd w:val="clear" w:color="auto" w:fill="FFFFFF"/>
          <w:lang w:eastAsia="en-GB"/>
        </w:rPr>
      </w:pPr>
      <w:r w:rsidRPr="00034A52">
        <w:rPr>
          <w:rFonts w:ascii="Times New Roman" w:eastAsia="Times New Roman" w:hAnsi="Times New Roman" w:cs="Times New Roman"/>
          <w:color w:val="000000"/>
          <w:sz w:val="24"/>
          <w:szCs w:val="24"/>
          <w:shd w:val="clear" w:color="auto" w:fill="FFFFFF"/>
          <w:lang w:eastAsia="en-GB"/>
        </w:rPr>
        <w:t xml:space="preserve">(Newcomb, 1881) saw that the initial not many pages of logarithmic table books are more thumbed than the last ones. He surmised that numbers with more modest introductory digits are more frequently searched for and utilized than numbers with bigger starting digits. Newcomb perception was forgotten for around sixty years (Mir and </w:t>
      </w:r>
      <w:proofErr w:type="spellStart"/>
      <w:r w:rsidRPr="00034A52">
        <w:rPr>
          <w:rFonts w:ascii="Times New Roman" w:eastAsia="Times New Roman" w:hAnsi="Times New Roman" w:cs="Times New Roman"/>
          <w:color w:val="000000"/>
          <w:sz w:val="24"/>
          <w:szCs w:val="24"/>
          <w:shd w:val="clear" w:color="auto" w:fill="FFFFFF"/>
          <w:lang w:eastAsia="en-GB"/>
        </w:rPr>
        <w:t>Ausloos</w:t>
      </w:r>
      <w:proofErr w:type="spellEnd"/>
      <w:r w:rsidRPr="00034A52">
        <w:rPr>
          <w:rFonts w:ascii="Times New Roman" w:eastAsia="Times New Roman" w:hAnsi="Times New Roman" w:cs="Times New Roman"/>
          <w:color w:val="000000"/>
          <w:sz w:val="24"/>
          <w:szCs w:val="24"/>
          <w:shd w:val="clear" w:color="auto" w:fill="FFFFFF"/>
          <w:lang w:eastAsia="en-GB"/>
        </w:rPr>
        <w:t xml:space="preserve">, 2017). </w:t>
      </w:r>
    </w:p>
    <w:p w14:paraId="35E77E95" w14:textId="1B29F046" w:rsidR="008B2804" w:rsidRPr="00B92BB9" w:rsidRDefault="00FD6BF6" w:rsidP="009340A8">
      <w:pPr>
        <w:spacing w:after="0" w:line="360" w:lineRule="auto"/>
        <w:jc w:val="both"/>
        <w:rPr>
          <w:rFonts w:ascii="Times New Roman" w:eastAsia="Times New Roman" w:hAnsi="Times New Roman" w:cs="Times New Roman"/>
          <w:lang w:eastAsia="en-GB"/>
        </w:rPr>
      </w:pPr>
      <w:r w:rsidRPr="00FD6BF6">
        <w:rPr>
          <w:rFonts w:ascii="Times New Roman" w:eastAsia="Times New Roman" w:hAnsi="Times New Roman" w:cs="Times New Roman"/>
          <w:sz w:val="24"/>
          <w:szCs w:val="24"/>
          <w:lang w:eastAsia="en-GB"/>
        </w:rPr>
        <w:t>(</w:t>
      </w:r>
      <w:proofErr w:type="spellStart"/>
      <w:r w:rsidRPr="00FD6BF6">
        <w:rPr>
          <w:rFonts w:ascii="Times New Roman" w:eastAsia="Times New Roman" w:hAnsi="Times New Roman" w:cs="Times New Roman"/>
          <w:sz w:val="24"/>
          <w:szCs w:val="24"/>
          <w:lang w:eastAsia="en-GB"/>
        </w:rPr>
        <w:t>Benford</w:t>
      </w:r>
      <w:proofErr w:type="spellEnd"/>
      <w:r w:rsidRPr="00FD6BF6">
        <w:rPr>
          <w:rFonts w:ascii="Times New Roman" w:eastAsia="Times New Roman" w:hAnsi="Times New Roman" w:cs="Times New Roman"/>
          <w:sz w:val="24"/>
          <w:szCs w:val="24"/>
          <w:lang w:eastAsia="en-GB"/>
        </w:rPr>
        <w:t>, 1938), this examination evidently and freely went on exhaustively and tried the precision of his perception by breaking down an enormous assortment of (altogether 20000) numbers, accumulated from twenty different elds, subsequently building up a law as</w:t>
      </w:r>
    </w:p>
    <w:p w14:paraId="0CEFE031" w14:textId="60BB200F" w:rsidR="008B2804" w:rsidRPr="00232E7C" w:rsidRDefault="008B2804" w:rsidP="009340A8">
      <w:pPr>
        <w:spacing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 xml:space="preserve"> </m:t>
        </m:r>
      </m:oMath>
      <w:r w:rsidRPr="00232E7C">
        <w:rPr>
          <w:rFonts w:ascii="Times New Roman" w:eastAsiaTheme="minorEastAsia" w:hAnsi="Times New Roman" w:cs="Times New Roman"/>
          <w:color w:val="000000" w:themeColor="text1"/>
          <w:sz w:val="24"/>
          <w:szCs w:val="24"/>
        </w:rPr>
        <w:t xml:space="preserve">                                                                      (</w:t>
      </w:r>
      <w:r w:rsidR="00077725">
        <w:rPr>
          <w:rFonts w:ascii="Times New Roman" w:eastAsiaTheme="minorEastAsia" w:hAnsi="Times New Roman" w:cs="Times New Roman"/>
          <w:color w:val="000000" w:themeColor="text1"/>
          <w:sz w:val="24"/>
          <w:szCs w:val="24"/>
        </w:rPr>
        <w:t>2.3.</w:t>
      </w:r>
      <w:r w:rsidRPr="00232E7C">
        <w:rPr>
          <w:rFonts w:ascii="Times New Roman" w:eastAsiaTheme="minorEastAsia" w:hAnsi="Times New Roman" w:cs="Times New Roman"/>
          <w:color w:val="000000" w:themeColor="text1"/>
          <w:sz w:val="24"/>
          <w:szCs w:val="24"/>
        </w:rPr>
        <w:t>1)</w:t>
      </w:r>
    </w:p>
    <w:p w14:paraId="697864E8" w14:textId="77777777"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oMath>
      <w:r w:rsidRPr="00232E7C">
        <w:rPr>
          <w:rFonts w:ascii="Times New Roman" w:hAnsi="Times New Roman" w:cs="Times New Roman"/>
          <w:color w:val="000000" w:themeColor="text1"/>
          <w:sz w:val="24"/>
          <w:szCs w:val="24"/>
        </w:rPr>
        <w:t xml:space="preserve">= 1, 2, 3, </w:t>
      </w:r>
      <w:proofErr w:type="gramStart"/>
      <w:r w:rsidRPr="00232E7C">
        <w:rPr>
          <w:rFonts w:ascii="Times New Roman" w:hAnsi="Times New Roman" w:cs="Times New Roman"/>
          <w:color w:val="000000" w:themeColor="text1"/>
          <w:sz w:val="24"/>
          <w:szCs w:val="24"/>
        </w:rPr>
        <w:t>. . . ,</w:t>
      </w:r>
      <w:proofErr w:type="gramEnd"/>
      <w:r w:rsidRPr="00232E7C">
        <w:rPr>
          <w:rFonts w:ascii="Times New Roman" w:hAnsi="Times New Roman" w:cs="Times New Roman"/>
          <w:color w:val="000000" w:themeColor="text1"/>
          <w:sz w:val="24"/>
          <w:szCs w:val="24"/>
        </w:rPr>
        <w:t xml:space="preserve"> 9, where </w:t>
      </w: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e>
        </m:d>
      </m:oMath>
      <w:r w:rsidRPr="00232E7C">
        <w:rPr>
          <w:rFonts w:ascii="Times New Roman" w:hAnsi="Times New Roman" w:cs="Times New Roman"/>
          <w:color w:val="000000" w:themeColor="text1"/>
          <w:sz w:val="24"/>
          <w:szCs w:val="24"/>
        </w:rPr>
        <w:t xml:space="preserve"> is the probability of a number having the rst non-zero digit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oMath>
      <w:r w:rsidRPr="00232E7C">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oMath>
      <w:r w:rsidRPr="00232E7C">
        <w:rPr>
          <w:rFonts w:ascii="Times New Roman" w:hAnsi="Times New Roman" w:cs="Times New Roman"/>
          <w:color w:val="000000" w:themeColor="text1"/>
          <w:sz w:val="24"/>
          <w:szCs w:val="24"/>
        </w:rPr>
        <w:t xml:space="preserve">is the logarithm in base 10. </w:t>
      </w:r>
    </w:p>
    <w:p w14:paraId="4AC3FF75" w14:textId="77DB859A" w:rsidR="008B2804" w:rsidRPr="00232E7C" w:rsidRDefault="00FD6BF6" w:rsidP="009340A8">
      <w:pPr>
        <w:spacing w:line="360" w:lineRule="auto"/>
        <w:jc w:val="both"/>
        <w:rPr>
          <w:rFonts w:ascii="Times New Roman" w:hAnsi="Times New Roman" w:cs="Times New Roman"/>
          <w:color w:val="000000" w:themeColor="text1"/>
          <w:sz w:val="24"/>
          <w:szCs w:val="24"/>
        </w:rPr>
      </w:pPr>
      <w:r w:rsidRPr="00FD6BF6">
        <w:rPr>
          <w:rFonts w:ascii="Times New Roman" w:hAnsi="Times New Roman" w:cs="Times New Roman"/>
          <w:color w:val="000000" w:themeColor="text1"/>
          <w:sz w:val="24"/>
          <w:szCs w:val="24"/>
        </w:rPr>
        <w:t>The main huge digit of a number is its left-most nonzero digit. As per Eq. (</w:t>
      </w:r>
      <w:r w:rsidR="00077725">
        <w:rPr>
          <w:rFonts w:ascii="Times New Roman" w:hAnsi="Times New Roman" w:cs="Times New Roman"/>
          <w:color w:val="000000" w:themeColor="text1"/>
          <w:sz w:val="24"/>
          <w:szCs w:val="24"/>
        </w:rPr>
        <w:t>2.3.</w:t>
      </w:r>
      <w:r w:rsidRPr="00FD6BF6">
        <w:rPr>
          <w:rFonts w:ascii="Times New Roman" w:hAnsi="Times New Roman" w:cs="Times New Roman"/>
          <w:color w:val="000000" w:themeColor="text1"/>
          <w:sz w:val="24"/>
          <w:szCs w:val="24"/>
        </w:rPr>
        <w:t>1), the littlest digit, 1, ought to show up as the principal digit with the most elevated extent (30.1%), though the biggest digit, 9, will show up as first digit with the least extent (4.6%). Hence,</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oMath>
      <w:r w:rsidR="008B2804" w:rsidRPr="00232E7C">
        <w:rPr>
          <w:rFonts w:ascii="Times New Roman" w:hAnsi="Times New Roman" w:cs="Times New Roman"/>
          <w:color w:val="000000" w:themeColor="text1"/>
          <w:sz w:val="24"/>
          <w:szCs w:val="24"/>
        </w:rPr>
        <w:t xml:space="preserve"> ,</w:t>
      </w:r>
      <w:r w:rsidRPr="00FD6BF6">
        <w:t xml:space="preserve"> </w:t>
      </w:r>
      <w:r w:rsidRPr="00FD6BF6">
        <w:rPr>
          <w:rFonts w:ascii="Times New Roman" w:hAnsi="Times New Roman" w:cs="Times New Roman"/>
          <w:color w:val="000000" w:themeColor="text1"/>
          <w:sz w:val="24"/>
          <w:szCs w:val="24"/>
        </w:rPr>
        <w:t xml:space="preserve">the occasions the number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oMath>
      <w:r w:rsidR="008B2804" w:rsidRPr="00232E7C">
        <w:rPr>
          <w:rFonts w:ascii="Times New Roman" w:hAnsi="Times New Roman" w:cs="Times New Roman"/>
          <w:color w:val="000000" w:themeColor="text1"/>
          <w:sz w:val="24"/>
          <w:szCs w:val="24"/>
        </w:rPr>
        <w:t xml:space="preserve">= 1, 2, 3, </w:t>
      </w:r>
      <w:proofErr w:type="gramStart"/>
      <w:r w:rsidR="008B2804" w:rsidRPr="00232E7C">
        <w:rPr>
          <w:rFonts w:ascii="Times New Roman" w:hAnsi="Times New Roman" w:cs="Times New Roman"/>
          <w:color w:val="000000" w:themeColor="text1"/>
          <w:sz w:val="24"/>
          <w:szCs w:val="24"/>
        </w:rPr>
        <w:t>. . . ,</w:t>
      </w:r>
      <w:proofErr w:type="gramEnd"/>
      <w:r w:rsidR="008B2804" w:rsidRPr="00232E7C">
        <w:rPr>
          <w:rFonts w:ascii="Times New Roman" w:hAnsi="Times New Roman" w:cs="Times New Roman"/>
          <w:color w:val="000000" w:themeColor="text1"/>
          <w:sz w:val="24"/>
          <w:szCs w:val="24"/>
        </w:rPr>
        <w:t xml:space="preserve"> 9 </w:t>
      </w:r>
      <w:r w:rsidRPr="00FD6BF6">
        <w:rPr>
          <w:rFonts w:ascii="Times New Roman" w:hAnsi="Times New Roman" w:cs="Times New Roman"/>
          <w:color w:val="000000" w:themeColor="text1"/>
          <w:sz w:val="24"/>
          <w:szCs w:val="24"/>
        </w:rPr>
        <w:t>is seen to happen as the main digit, in an informational collection, is given by the supposed "</w:t>
      </w:r>
      <w:proofErr w:type="spellStart"/>
      <w:r w:rsidRPr="00FD6BF6">
        <w:rPr>
          <w:rFonts w:ascii="Times New Roman" w:hAnsi="Times New Roman" w:cs="Times New Roman"/>
          <w:color w:val="000000" w:themeColor="text1"/>
          <w:sz w:val="24"/>
          <w:szCs w:val="24"/>
        </w:rPr>
        <w:t>Benford</w:t>
      </w:r>
      <w:proofErr w:type="spellEnd"/>
      <w:r w:rsidRPr="00FD6BF6">
        <w:rPr>
          <w:rFonts w:ascii="Times New Roman" w:hAnsi="Times New Roman" w:cs="Times New Roman"/>
          <w:color w:val="000000" w:themeColor="text1"/>
          <w:sz w:val="24"/>
          <w:szCs w:val="24"/>
        </w:rPr>
        <w:t xml:space="preserve"> law for the principal digit" (BL1 in the future)</w:t>
      </w:r>
    </w:p>
    <w:p w14:paraId="5C2C09EA" w14:textId="4927B718" w:rsidR="008B2804" w:rsidRPr="00232E7C" w:rsidRDefault="008B2804" w:rsidP="009340A8">
      <w:pPr>
        <w:spacing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e>
        </m:d>
        <m:r>
          <w:rPr>
            <w:rFonts w:ascii="Cambria Math" w:hAnsi="Cambria Math" w:cs="Times New Roman"/>
            <w:color w:val="000000" w:themeColor="text1"/>
            <w:sz w:val="24"/>
            <w:szCs w:val="24"/>
          </w:rPr>
          <m:t xml:space="preserve">= N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=1, 2, 3, ………., 9   </m:t>
        </m:r>
      </m:oMath>
      <w:r w:rsidRPr="00232E7C">
        <w:rPr>
          <w:rFonts w:ascii="Times New Roman" w:eastAsiaTheme="minorEastAsia" w:hAnsi="Times New Roman" w:cs="Times New Roman"/>
          <w:color w:val="000000" w:themeColor="text1"/>
          <w:sz w:val="24"/>
          <w:szCs w:val="24"/>
        </w:rPr>
        <w:t xml:space="preserve">                                             (2</w:t>
      </w:r>
      <w:r w:rsidR="00077725">
        <w:rPr>
          <w:rFonts w:ascii="Times New Roman" w:eastAsiaTheme="minorEastAsia" w:hAnsi="Times New Roman" w:cs="Times New Roman"/>
          <w:color w:val="000000" w:themeColor="text1"/>
          <w:sz w:val="24"/>
          <w:szCs w:val="24"/>
        </w:rPr>
        <w:t>.3.2</w:t>
      </w:r>
      <w:r w:rsidRPr="00232E7C">
        <w:rPr>
          <w:rFonts w:ascii="Times New Roman" w:eastAsiaTheme="minorEastAsia" w:hAnsi="Times New Roman" w:cs="Times New Roman"/>
          <w:color w:val="000000" w:themeColor="text1"/>
          <w:sz w:val="24"/>
          <w:szCs w:val="24"/>
        </w:rPr>
        <w:t>)</w:t>
      </w:r>
    </w:p>
    <w:p w14:paraId="20852AC1" w14:textId="77777777"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N</m:t>
        </m:r>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is the total number of considered data </w:t>
      </w:r>
      <w:proofErr w:type="gramStart"/>
      <w:r w:rsidRPr="00232E7C">
        <w:rPr>
          <w:rFonts w:ascii="Times New Roman" w:hAnsi="Times New Roman" w:cs="Times New Roman"/>
          <w:color w:val="000000" w:themeColor="text1"/>
          <w:sz w:val="24"/>
          <w:szCs w:val="24"/>
        </w:rPr>
        <w:t>points.</w:t>
      </w:r>
      <w:proofErr w:type="gramEnd"/>
      <w:r w:rsidRPr="00232E7C">
        <w:rPr>
          <w:rFonts w:ascii="Times New Roman" w:hAnsi="Times New Roman" w:cs="Times New Roman"/>
          <w:color w:val="000000" w:themeColor="text1"/>
          <w:sz w:val="24"/>
          <w:szCs w:val="24"/>
        </w:rPr>
        <w:t xml:space="preserve"> </w:t>
      </w:r>
    </w:p>
    <w:p w14:paraId="2FC5F24D" w14:textId="77777777"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One can show that the probability that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oMath>
      <w:r w:rsidRPr="00232E7C">
        <w:rPr>
          <w:rFonts w:ascii="Times New Roman" w:hAnsi="Times New Roman" w:cs="Times New Roman"/>
          <w:color w:val="000000" w:themeColor="text1"/>
          <w:sz w:val="24"/>
          <w:szCs w:val="24"/>
        </w:rPr>
        <w:t xml:space="preserve">= 1, 2, 3, </w:t>
      </w:r>
      <w:proofErr w:type="gramStart"/>
      <w:r w:rsidRPr="00232E7C">
        <w:rPr>
          <w:rFonts w:ascii="Times New Roman" w:hAnsi="Times New Roman" w:cs="Times New Roman"/>
          <w:color w:val="000000" w:themeColor="text1"/>
          <w:sz w:val="24"/>
          <w:szCs w:val="24"/>
        </w:rPr>
        <w:t>. . . ,</w:t>
      </w:r>
      <w:proofErr w:type="gramEnd"/>
      <w:r w:rsidRPr="00232E7C">
        <w:rPr>
          <w:rFonts w:ascii="Times New Roman" w:hAnsi="Times New Roman" w:cs="Times New Roman"/>
          <w:color w:val="000000" w:themeColor="text1"/>
          <w:sz w:val="24"/>
          <w:szCs w:val="24"/>
        </w:rPr>
        <w:t xml:space="preserve"> 9 is encountered as the second digit is given by “</w:t>
      </w:r>
      <w:proofErr w:type="spellStart"/>
      <w:r w:rsidRPr="00232E7C">
        <w:rPr>
          <w:rFonts w:ascii="Times New Roman" w:hAnsi="Times New Roman" w:cs="Times New Roman"/>
          <w:color w:val="000000" w:themeColor="text1"/>
          <w:sz w:val="24"/>
          <w:szCs w:val="24"/>
        </w:rPr>
        <w:t>Benford</w:t>
      </w:r>
      <w:proofErr w:type="spellEnd"/>
      <w:r w:rsidRPr="00232E7C">
        <w:rPr>
          <w:rFonts w:ascii="Times New Roman" w:hAnsi="Times New Roman" w:cs="Times New Roman"/>
          <w:color w:val="000000" w:themeColor="text1"/>
          <w:sz w:val="24"/>
          <w:szCs w:val="24"/>
        </w:rPr>
        <w:t xml:space="preserve"> law for the second digit” (BL2 hereafter)</w:t>
      </w:r>
    </w:p>
    <w:p w14:paraId="57ED32B0" w14:textId="4A871247" w:rsidR="008B2804" w:rsidRPr="00232E7C" w:rsidRDefault="002C15FD" w:rsidP="009340A8">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2</m:t>
            </m: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e>
        </m:d>
        <m:r>
          <w:rPr>
            <w:rFonts w:ascii="Cambria Math" w:eastAsiaTheme="minorEastAsia" w:hAnsi="Cambria Math" w:cs="Times New Roman"/>
            <w:color w:val="000000" w:themeColor="text1"/>
            <w:sz w:val="24"/>
            <w:szCs w:val="24"/>
          </w:rPr>
          <m:t xml:space="preserve">= </m:t>
        </m:r>
        <m:nary>
          <m:naryPr>
            <m:chr m:val="∑"/>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K=1</m:t>
            </m:r>
          </m:sub>
          <m:sup>
            <m:r>
              <w:rPr>
                <w:rFonts w:ascii="Cambria Math" w:eastAsiaTheme="minorEastAsia" w:hAnsi="Cambria Math" w:cs="Times New Roman"/>
                <w:color w:val="000000" w:themeColor="text1"/>
                <w:sz w:val="24"/>
                <w:szCs w:val="24"/>
              </w:rPr>
              <m:t>9</m:t>
            </m:r>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log</m:t>
                </m:r>
              </m:e>
              <m:sub>
                <m:r>
                  <w:rPr>
                    <w:rFonts w:ascii="Cambria Math" w:eastAsiaTheme="minorEastAsia" w:hAnsi="Cambria Math" w:cs="Times New Roman"/>
                    <w:color w:val="000000" w:themeColor="text1"/>
                    <w:sz w:val="24"/>
                    <w:szCs w:val="24"/>
                  </w:rPr>
                  <m:t>10</m:t>
                </m:r>
              </m:sub>
            </m:sSub>
          </m:e>
        </m:nary>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1+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den>
            </m:f>
          </m:e>
        </m:d>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log</m:t>
            </m:r>
          </m:e>
          <m:sub>
            <m:r>
              <w:rPr>
                <w:rFonts w:ascii="Cambria Math" w:eastAsiaTheme="minorEastAsia" w:hAnsi="Cambria Math" w:cs="Times New Roman"/>
                <w:color w:val="000000" w:themeColor="text1"/>
                <w:sz w:val="24"/>
                <w:szCs w:val="24"/>
              </w:rPr>
              <m:t>10</m:t>
            </m:r>
          </m:sub>
        </m:sSub>
        <m:r>
          <w:rPr>
            <w:rFonts w:ascii="Cambria Math" w:eastAsiaTheme="minorEastAsia" w:hAnsi="Cambria Math" w:cs="Times New Roman"/>
            <w:color w:val="000000" w:themeColor="text1"/>
            <w:sz w:val="24"/>
            <w:szCs w:val="24"/>
          </w:rPr>
          <m:t xml:space="preserve"> </m:t>
        </m:r>
        <m:d>
          <m:dPr>
            <m:begChr m:val="["/>
            <m:endChr m:val="]"/>
            <m:ctrlPr>
              <w:rPr>
                <w:rFonts w:ascii="Cambria Math" w:eastAsiaTheme="minorEastAsia" w:hAnsi="Cambria Math" w:cs="Times New Roman"/>
                <w:i/>
                <w:color w:val="000000" w:themeColor="text1"/>
                <w:sz w:val="24"/>
                <w:szCs w:val="24"/>
              </w:rPr>
            </m:ctrlPr>
          </m:dPr>
          <m:e>
            <m:nary>
              <m:naryPr>
                <m:chr m:val="∏"/>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k=1</m:t>
                </m:r>
              </m:sub>
              <m:sup>
                <m:r>
                  <w:rPr>
                    <w:rFonts w:ascii="Cambria Math" w:eastAsiaTheme="minorEastAsia" w:hAnsi="Cambria Math" w:cs="Times New Roman"/>
                    <w:color w:val="000000" w:themeColor="text1"/>
                    <w:sz w:val="24"/>
                    <w:szCs w:val="24"/>
                  </w:rPr>
                  <m:t>9</m:t>
                </m:r>
              </m:sup>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den>
                </m:f>
              </m:e>
            </m:nary>
          </m:e>
        </m:d>
      </m:oMath>
      <w:r w:rsidR="008B2804" w:rsidRPr="00232E7C">
        <w:rPr>
          <w:rFonts w:ascii="Times New Roman" w:eastAsiaTheme="minorEastAsia" w:hAnsi="Times New Roman" w:cs="Times New Roman"/>
          <w:color w:val="000000" w:themeColor="text1"/>
          <w:sz w:val="24"/>
          <w:szCs w:val="24"/>
        </w:rPr>
        <w:t xml:space="preserve">                    (</w:t>
      </w:r>
      <w:r w:rsidR="00077725">
        <w:rPr>
          <w:rFonts w:ascii="Times New Roman" w:eastAsiaTheme="minorEastAsia" w:hAnsi="Times New Roman" w:cs="Times New Roman"/>
          <w:color w:val="000000" w:themeColor="text1"/>
          <w:sz w:val="24"/>
          <w:szCs w:val="24"/>
        </w:rPr>
        <w:t>2.3.</w:t>
      </w:r>
      <w:r w:rsidR="008B2804" w:rsidRPr="00232E7C">
        <w:rPr>
          <w:rFonts w:ascii="Times New Roman" w:eastAsiaTheme="minorEastAsia" w:hAnsi="Times New Roman" w:cs="Times New Roman"/>
          <w:color w:val="000000" w:themeColor="text1"/>
          <w:sz w:val="24"/>
          <w:szCs w:val="24"/>
        </w:rPr>
        <w:t>3)</w:t>
      </w:r>
    </w:p>
    <w:p w14:paraId="41BE650D" w14:textId="77777777"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Moreover, one can extend BL1 to the first two digits, a so called BL12,</w:t>
      </w:r>
    </w:p>
    <w:p w14:paraId="403778C4" w14:textId="64FE5A56" w:rsidR="008B2804" w:rsidRPr="00232E7C" w:rsidRDefault="002C15FD" w:rsidP="009340A8">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12</m:t>
            </m: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log</m:t>
            </m:r>
          </m:e>
          <m:sub>
            <m:r>
              <w:rPr>
                <w:rFonts w:ascii="Cambria Math" w:hAnsi="Cambria Math" w:cs="Times New Roman"/>
                <w:color w:val="000000" w:themeColor="text1"/>
                <w:sz w:val="24"/>
                <w:szCs w:val="24"/>
              </w:rPr>
              <m:t>10</m:t>
            </m:r>
          </m:sub>
        </m:sSub>
        <m:r>
          <w:rPr>
            <w:rFonts w:ascii="Cambria Math"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1+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den>
            </m:f>
          </m:e>
        </m:d>
        <m:r>
          <w:rPr>
            <w:rFonts w:ascii="Cambria Math" w:eastAsiaTheme="minorEastAsia"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 10,11,12,  ………., 98, 99</m:t>
        </m:r>
      </m:oMath>
      <w:r w:rsidR="008B2804" w:rsidRPr="00232E7C">
        <w:rPr>
          <w:rFonts w:ascii="Times New Roman" w:eastAsiaTheme="minorEastAsia" w:hAnsi="Times New Roman" w:cs="Times New Roman"/>
          <w:color w:val="000000" w:themeColor="text1"/>
          <w:sz w:val="24"/>
          <w:szCs w:val="24"/>
        </w:rPr>
        <w:t xml:space="preserve">        (</w:t>
      </w:r>
      <w:r w:rsidR="00077725">
        <w:rPr>
          <w:rFonts w:ascii="Times New Roman" w:eastAsiaTheme="minorEastAsia" w:hAnsi="Times New Roman" w:cs="Times New Roman"/>
          <w:color w:val="000000" w:themeColor="text1"/>
          <w:sz w:val="24"/>
          <w:szCs w:val="24"/>
        </w:rPr>
        <w:t>2.3.</w:t>
      </w:r>
      <w:r w:rsidR="008B2804" w:rsidRPr="00232E7C">
        <w:rPr>
          <w:rFonts w:ascii="Times New Roman" w:eastAsiaTheme="minorEastAsia" w:hAnsi="Times New Roman" w:cs="Times New Roman"/>
          <w:color w:val="000000" w:themeColor="text1"/>
          <w:sz w:val="24"/>
          <w:szCs w:val="24"/>
        </w:rPr>
        <w:t>4)</w:t>
      </w:r>
    </w:p>
    <w:p w14:paraId="672B2033" w14:textId="0AC275BE" w:rsidR="00FD6BF6" w:rsidRDefault="00FD6BF6" w:rsidP="009340A8">
      <w:pPr>
        <w:spacing w:line="360" w:lineRule="auto"/>
        <w:jc w:val="both"/>
        <w:rPr>
          <w:rFonts w:ascii="Times New Roman" w:hAnsi="Times New Roman" w:cs="Times New Roman"/>
          <w:color w:val="000000" w:themeColor="text1"/>
          <w:sz w:val="24"/>
          <w:szCs w:val="24"/>
        </w:rPr>
      </w:pPr>
      <w:r w:rsidRPr="00FD6BF6">
        <w:rPr>
          <w:rFonts w:ascii="Times New Roman" w:hAnsi="Times New Roman" w:cs="Times New Roman"/>
          <w:color w:val="000000" w:themeColor="text1"/>
          <w:sz w:val="24"/>
          <w:szCs w:val="24"/>
        </w:rPr>
        <w:t xml:space="preserve">Following a recovery because of </w:t>
      </w:r>
      <w:proofErr w:type="spellStart"/>
      <w:r w:rsidRPr="00FD6BF6">
        <w:rPr>
          <w:rFonts w:ascii="Times New Roman" w:hAnsi="Times New Roman" w:cs="Times New Roman"/>
          <w:color w:val="000000" w:themeColor="text1"/>
          <w:sz w:val="24"/>
          <w:szCs w:val="24"/>
        </w:rPr>
        <w:t>Nigrini</w:t>
      </w:r>
      <w:proofErr w:type="spellEnd"/>
      <w:r w:rsidRPr="00FD6BF6">
        <w:rPr>
          <w:rFonts w:ascii="Times New Roman" w:hAnsi="Times New Roman" w:cs="Times New Roman"/>
          <w:color w:val="000000" w:themeColor="text1"/>
          <w:sz w:val="24"/>
          <w:szCs w:val="24"/>
        </w:rPr>
        <w:t xml:space="preserve">, these days, these supposed </w:t>
      </w:r>
      <w:proofErr w:type="spellStart"/>
      <w:r w:rsidRPr="00FD6BF6">
        <w:rPr>
          <w:rFonts w:ascii="Times New Roman" w:hAnsi="Times New Roman" w:cs="Times New Roman"/>
          <w:color w:val="000000" w:themeColor="text1"/>
          <w:sz w:val="24"/>
          <w:szCs w:val="24"/>
        </w:rPr>
        <w:t>Benford's</w:t>
      </w:r>
      <w:proofErr w:type="spellEnd"/>
      <w:r w:rsidRPr="00FD6BF6">
        <w:rPr>
          <w:rFonts w:ascii="Times New Roman" w:hAnsi="Times New Roman" w:cs="Times New Roman"/>
          <w:color w:val="000000" w:themeColor="text1"/>
          <w:sz w:val="24"/>
          <w:szCs w:val="24"/>
        </w:rPr>
        <w:t xml:space="preserve"> laws (Berger and Hill, 2015; Miller, 2015; Mir and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2017) are of continuous use to notice inconsistencies and normalities in numerous informational indexes [e.g., see 8, where broadly utilized overview informational ind</w:t>
      </w:r>
      <w:r>
        <w:rPr>
          <w:rFonts w:ascii="Times New Roman" w:hAnsi="Times New Roman" w:cs="Times New Roman"/>
          <w:color w:val="000000" w:themeColor="text1"/>
          <w:sz w:val="24"/>
          <w:szCs w:val="24"/>
        </w:rPr>
        <w:t>ices</w:t>
      </w:r>
      <w:r w:rsidRPr="00FD6BF6">
        <w:rPr>
          <w:rFonts w:ascii="Times New Roman" w:hAnsi="Times New Roman" w:cs="Times New Roman"/>
          <w:color w:val="000000" w:themeColor="text1"/>
          <w:sz w:val="24"/>
          <w:szCs w:val="24"/>
        </w:rPr>
        <w:t xml:space="preserve"> has been assessed]. In short, would one be able to trust the information?</w:t>
      </w:r>
    </w:p>
    <w:p w14:paraId="3689F255" w14:textId="77777777" w:rsidR="00FD6BF6" w:rsidRDefault="00FD6BF6" w:rsidP="009340A8">
      <w:pPr>
        <w:spacing w:line="360" w:lineRule="auto"/>
        <w:jc w:val="both"/>
        <w:rPr>
          <w:rFonts w:ascii="Times New Roman" w:hAnsi="Times New Roman" w:cs="Times New Roman"/>
          <w:color w:val="000000" w:themeColor="text1"/>
          <w:sz w:val="24"/>
          <w:szCs w:val="24"/>
        </w:rPr>
      </w:pPr>
      <w:r w:rsidRPr="00FD6BF6">
        <w:rPr>
          <w:rFonts w:ascii="Times New Roman" w:hAnsi="Times New Roman" w:cs="Times New Roman"/>
          <w:color w:val="000000" w:themeColor="text1"/>
          <w:sz w:val="24"/>
          <w:szCs w:val="24"/>
        </w:rPr>
        <w:t xml:space="preserve">Allow us to caution that </w:t>
      </w:r>
      <w:proofErr w:type="spellStart"/>
      <w:r w:rsidRPr="00FD6BF6">
        <w:rPr>
          <w:rFonts w:ascii="Times New Roman" w:hAnsi="Times New Roman" w:cs="Times New Roman"/>
          <w:color w:val="000000" w:themeColor="text1"/>
          <w:sz w:val="24"/>
          <w:szCs w:val="24"/>
        </w:rPr>
        <w:t>Benford's</w:t>
      </w:r>
      <w:proofErr w:type="spellEnd"/>
      <w:r w:rsidRPr="00FD6BF6">
        <w:rPr>
          <w:rFonts w:ascii="Times New Roman" w:hAnsi="Times New Roman" w:cs="Times New Roman"/>
          <w:color w:val="000000" w:themeColor="text1"/>
          <w:sz w:val="24"/>
          <w:szCs w:val="24"/>
        </w:rPr>
        <w:t xml:space="preserve"> laws (BLs) one of a kind beginning isn't acknowledged by all theoreticians; truth be told, it probably won't be special. Also, some conversation properly exists on whether </w:t>
      </w:r>
      <w:proofErr w:type="spellStart"/>
      <w:r w:rsidRPr="00FD6BF6">
        <w:rPr>
          <w:rFonts w:ascii="Times New Roman" w:hAnsi="Times New Roman" w:cs="Times New Roman"/>
          <w:color w:val="000000" w:themeColor="text1"/>
          <w:sz w:val="24"/>
          <w:szCs w:val="24"/>
        </w:rPr>
        <w:t>Benford's</w:t>
      </w:r>
      <w:proofErr w:type="spellEnd"/>
      <w:r w:rsidRPr="00FD6BF6">
        <w:rPr>
          <w:rFonts w:ascii="Times New Roman" w:hAnsi="Times New Roman" w:cs="Times New Roman"/>
          <w:color w:val="000000" w:themeColor="text1"/>
          <w:sz w:val="24"/>
          <w:szCs w:val="24"/>
        </w:rPr>
        <w:t xml:space="preserve"> laws ought to try and be substantial by any means! One may likewise talk about how to test the legitimacy (or not) of BLs (</w:t>
      </w:r>
      <w:proofErr w:type="spellStart"/>
      <w:r w:rsidRPr="00FD6BF6">
        <w:rPr>
          <w:rFonts w:ascii="Times New Roman" w:hAnsi="Times New Roman" w:cs="Times New Roman"/>
          <w:color w:val="000000" w:themeColor="text1"/>
          <w:sz w:val="24"/>
          <w:szCs w:val="24"/>
        </w:rPr>
        <w:t>D'amico</w:t>
      </w:r>
      <w:proofErr w:type="spellEnd"/>
      <w:r w:rsidRPr="00FD6BF6">
        <w:rPr>
          <w:rFonts w:ascii="Times New Roman" w:hAnsi="Times New Roman" w:cs="Times New Roman"/>
          <w:color w:val="000000" w:themeColor="text1"/>
          <w:sz w:val="24"/>
          <w:szCs w:val="24"/>
        </w:rPr>
        <w:t xml:space="preserve">, 2013; </w:t>
      </w:r>
      <w:proofErr w:type="spellStart"/>
      <w:r w:rsidRPr="00FD6BF6">
        <w:rPr>
          <w:rFonts w:ascii="Times New Roman" w:hAnsi="Times New Roman" w:cs="Times New Roman"/>
          <w:color w:val="000000" w:themeColor="text1"/>
          <w:sz w:val="24"/>
          <w:szCs w:val="24"/>
        </w:rPr>
        <w:t>Lesperance</w:t>
      </w:r>
      <w:proofErr w:type="spellEnd"/>
      <w:r w:rsidRPr="00FD6BF6">
        <w:rPr>
          <w:rFonts w:ascii="Times New Roman" w:hAnsi="Times New Roman" w:cs="Times New Roman"/>
          <w:color w:val="000000" w:themeColor="text1"/>
          <w:sz w:val="24"/>
          <w:szCs w:val="24"/>
        </w:rPr>
        <w:t xml:space="preserve"> et al., 2016; </w:t>
      </w:r>
      <w:proofErr w:type="spellStart"/>
      <w:r w:rsidRPr="00FD6BF6">
        <w:rPr>
          <w:rFonts w:ascii="Times New Roman" w:hAnsi="Times New Roman" w:cs="Times New Roman"/>
          <w:color w:val="000000" w:themeColor="text1"/>
          <w:sz w:val="24"/>
          <w:szCs w:val="24"/>
        </w:rPr>
        <w:t>Omerzu</w:t>
      </w:r>
      <w:proofErr w:type="spellEnd"/>
      <w:r w:rsidRPr="00FD6BF6">
        <w:rPr>
          <w:rFonts w:ascii="Times New Roman" w:hAnsi="Times New Roman" w:cs="Times New Roman"/>
          <w:color w:val="000000" w:themeColor="text1"/>
          <w:sz w:val="24"/>
          <w:szCs w:val="24"/>
        </w:rPr>
        <w:t xml:space="preserve"> and Kolar, 2019) and (Newcomb, 1881; Mir and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2017) as instances of such contemplations, in the field.</w:t>
      </w:r>
    </w:p>
    <w:p w14:paraId="633CC4B6" w14:textId="77777777" w:rsidR="00FD6BF6" w:rsidRDefault="00FD6BF6" w:rsidP="009340A8">
      <w:pPr>
        <w:spacing w:after="0" w:line="360" w:lineRule="auto"/>
        <w:jc w:val="both"/>
        <w:rPr>
          <w:rFonts w:ascii="Times New Roman" w:hAnsi="Times New Roman" w:cs="Times New Roman"/>
          <w:color w:val="000000" w:themeColor="text1"/>
          <w:sz w:val="24"/>
          <w:szCs w:val="24"/>
        </w:rPr>
      </w:pPr>
      <w:r w:rsidRPr="00FD6BF6">
        <w:rPr>
          <w:rFonts w:ascii="Times New Roman" w:hAnsi="Times New Roman" w:cs="Times New Roman"/>
          <w:color w:val="000000" w:themeColor="text1"/>
          <w:sz w:val="24"/>
          <w:szCs w:val="24"/>
        </w:rPr>
        <w:t xml:space="preserve">Generally, one thinks about that </w:t>
      </w:r>
      <w:proofErr w:type="spellStart"/>
      <w:r w:rsidRPr="00FD6BF6">
        <w:rPr>
          <w:rFonts w:ascii="Times New Roman" w:hAnsi="Times New Roman" w:cs="Times New Roman"/>
          <w:color w:val="000000" w:themeColor="text1"/>
          <w:sz w:val="24"/>
          <w:szCs w:val="24"/>
        </w:rPr>
        <w:t>Benford's</w:t>
      </w:r>
      <w:proofErr w:type="spellEnd"/>
      <w:r w:rsidRPr="00FD6BF6">
        <w:rPr>
          <w:rFonts w:ascii="Times New Roman" w:hAnsi="Times New Roman" w:cs="Times New Roman"/>
          <w:color w:val="000000" w:themeColor="text1"/>
          <w:sz w:val="24"/>
          <w:szCs w:val="24"/>
        </w:rPr>
        <w:t xml:space="preserve"> laws ought to be substantial in case there is no information control, or then again if human imperatives are non-existent (Hassler and </w:t>
      </w:r>
      <w:proofErr w:type="spellStart"/>
      <w:r w:rsidRPr="00FD6BF6">
        <w:rPr>
          <w:rFonts w:ascii="Times New Roman" w:hAnsi="Times New Roman" w:cs="Times New Roman"/>
          <w:color w:val="000000" w:themeColor="text1"/>
          <w:sz w:val="24"/>
          <w:szCs w:val="24"/>
        </w:rPr>
        <w:t>Hosseinkouchack</w:t>
      </w:r>
      <w:proofErr w:type="spellEnd"/>
      <w:r w:rsidRPr="00FD6BF6">
        <w:rPr>
          <w:rFonts w:ascii="Times New Roman" w:hAnsi="Times New Roman" w:cs="Times New Roman"/>
          <w:color w:val="000000" w:themeColor="text1"/>
          <w:sz w:val="24"/>
          <w:szCs w:val="24"/>
        </w:rPr>
        <w:t xml:space="preserve">, 2019). However, there are cases in which </w:t>
      </w:r>
      <w:proofErr w:type="spellStart"/>
      <w:r w:rsidRPr="00FD6BF6">
        <w:rPr>
          <w:rFonts w:ascii="Times New Roman" w:hAnsi="Times New Roman" w:cs="Times New Roman"/>
          <w:color w:val="000000" w:themeColor="text1"/>
          <w:sz w:val="24"/>
          <w:szCs w:val="24"/>
        </w:rPr>
        <w:t>Benford</w:t>
      </w:r>
      <w:proofErr w:type="spellEnd"/>
      <w:r w:rsidRPr="00FD6BF6">
        <w:rPr>
          <w:rFonts w:ascii="Times New Roman" w:hAnsi="Times New Roman" w:cs="Times New Roman"/>
          <w:color w:val="000000" w:themeColor="text1"/>
          <w:sz w:val="24"/>
          <w:szCs w:val="24"/>
        </w:rPr>
        <w:t xml:space="preserve"> laws are either not found to hold, despite the fact that their event ought normal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w:t>
      </w:r>
      <w:proofErr w:type="spellStart"/>
      <w:r w:rsidRPr="00FD6BF6">
        <w:rPr>
          <w:rFonts w:ascii="Times New Roman" w:hAnsi="Times New Roman" w:cs="Times New Roman"/>
          <w:color w:val="000000" w:themeColor="text1"/>
          <w:sz w:val="24"/>
          <w:szCs w:val="24"/>
        </w:rPr>
        <w:t>Herteliu</w:t>
      </w:r>
      <w:proofErr w:type="spellEnd"/>
      <w:r w:rsidRPr="00FD6BF6">
        <w:rPr>
          <w:rFonts w:ascii="Times New Roman" w:hAnsi="Times New Roman" w:cs="Times New Roman"/>
          <w:color w:val="000000" w:themeColor="text1"/>
          <w:sz w:val="24"/>
          <w:szCs w:val="24"/>
        </w:rPr>
        <w:t xml:space="preserve"> and </w:t>
      </w:r>
      <w:proofErr w:type="spellStart"/>
      <w:r w:rsidRPr="00FD6BF6">
        <w:rPr>
          <w:rFonts w:ascii="Times New Roman" w:hAnsi="Times New Roman" w:cs="Times New Roman"/>
          <w:color w:val="000000" w:themeColor="text1"/>
          <w:sz w:val="24"/>
          <w:szCs w:val="24"/>
        </w:rPr>
        <w:t>Ileanu</w:t>
      </w:r>
      <w:proofErr w:type="spellEnd"/>
      <w:r w:rsidRPr="00FD6BF6">
        <w:rPr>
          <w:rFonts w:ascii="Times New Roman" w:hAnsi="Times New Roman" w:cs="Times New Roman"/>
          <w:color w:val="000000" w:themeColor="text1"/>
          <w:sz w:val="24"/>
          <w:szCs w:val="24"/>
        </w:rPr>
        <w:t>, 2015), or actually are not relied upon to be noticed, yet are noticed (</w:t>
      </w:r>
      <w:proofErr w:type="spellStart"/>
      <w:r w:rsidRPr="00FD6BF6">
        <w:rPr>
          <w:rFonts w:ascii="Times New Roman" w:hAnsi="Times New Roman" w:cs="Times New Roman"/>
          <w:color w:val="000000" w:themeColor="text1"/>
          <w:sz w:val="24"/>
          <w:szCs w:val="24"/>
        </w:rPr>
        <w:t>Clippe</w:t>
      </w:r>
      <w:proofErr w:type="spellEnd"/>
      <w:r w:rsidRPr="00FD6BF6">
        <w:rPr>
          <w:rFonts w:ascii="Times New Roman" w:hAnsi="Times New Roman" w:cs="Times New Roman"/>
          <w:color w:val="000000" w:themeColor="text1"/>
          <w:sz w:val="24"/>
          <w:szCs w:val="24"/>
        </w:rPr>
        <w:t xml:space="preserve"> and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2012; Mir,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and </w:t>
      </w:r>
      <w:proofErr w:type="spellStart"/>
      <w:r w:rsidRPr="00FD6BF6">
        <w:rPr>
          <w:rFonts w:ascii="Times New Roman" w:hAnsi="Times New Roman" w:cs="Times New Roman"/>
          <w:color w:val="000000" w:themeColor="text1"/>
          <w:sz w:val="24"/>
          <w:szCs w:val="24"/>
        </w:rPr>
        <w:t>Cerqueti</w:t>
      </w:r>
      <w:proofErr w:type="spellEnd"/>
      <w:r w:rsidRPr="00FD6BF6">
        <w:rPr>
          <w:rFonts w:ascii="Times New Roman" w:hAnsi="Times New Roman" w:cs="Times New Roman"/>
          <w:color w:val="000000" w:themeColor="text1"/>
          <w:sz w:val="24"/>
          <w:szCs w:val="24"/>
        </w:rPr>
        <w:t xml:space="preserve">, 2014; </w:t>
      </w:r>
      <w:proofErr w:type="spellStart"/>
      <w:r w:rsidRPr="00FD6BF6">
        <w:rPr>
          <w:rFonts w:ascii="Times New Roman" w:hAnsi="Times New Roman" w:cs="Times New Roman"/>
          <w:color w:val="000000" w:themeColor="text1"/>
          <w:sz w:val="24"/>
          <w:szCs w:val="24"/>
        </w:rPr>
        <w:t>Cerqueti</w:t>
      </w:r>
      <w:proofErr w:type="spellEnd"/>
      <w:r w:rsidRPr="00FD6BF6">
        <w:rPr>
          <w:rFonts w:ascii="Times New Roman" w:hAnsi="Times New Roman" w:cs="Times New Roman"/>
          <w:color w:val="000000" w:themeColor="text1"/>
          <w:sz w:val="24"/>
          <w:szCs w:val="24"/>
        </w:rPr>
        <w:t xml:space="preserve"> and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2015; Mir, 2016;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w:t>
      </w:r>
      <w:proofErr w:type="spellStart"/>
      <w:r w:rsidRPr="00FD6BF6">
        <w:rPr>
          <w:rFonts w:ascii="Times New Roman" w:hAnsi="Times New Roman" w:cs="Times New Roman"/>
          <w:color w:val="000000" w:themeColor="text1"/>
          <w:sz w:val="24"/>
          <w:szCs w:val="24"/>
        </w:rPr>
        <w:t>Cerqueti</w:t>
      </w:r>
      <w:proofErr w:type="spellEnd"/>
      <w:r w:rsidRPr="00FD6BF6">
        <w:rPr>
          <w:rFonts w:ascii="Times New Roman" w:hAnsi="Times New Roman" w:cs="Times New Roman"/>
          <w:color w:val="000000" w:themeColor="text1"/>
          <w:sz w:val="24"/>
          <w:szCs w:val="24"/>
        </w:rPr>
        <w:t xml:space="preserve"> and Mir, 2017; Shi, </w:t>
      </w:r>
      <w:proofErr w:type="spellStart"/>
      <w:r w:rsidRPr="00FD6BF6">
        <w:rPr>
          <w:rFonts w:ascii="Times New Roman" w:hAnsi="Times New Roman" w:cs="Times New Roman"/>
          <w:color w:val="000000" w:themeColor="text1"/>
          <w:sz w:val="24"/>
          <w:szCs w:val="24"/>
        </w:rPr>
        <w:t>Ausloos</w:t>
      </w:r>
      <w:proofErr w:type="spellEnd"/>
      <w:r w:rsidRPr="00FD6BF6">
        <w:rPr>
          <w:rFonts w:ascii="Times New Roman" w:hAnsi="Times New Roman" w:cs="Times New Roman"/>
          <w:color w:val="000000" w:themeColor="text1"/>
          <w:sz w:val="24"/>
          <w:szCs w:val="24"/>
        </w:rPr>
        <w:t xml:space="preserve"> and Zhu, 2018). Subsequently, testing BLs on different examples ought to achieve some contention talking about the debates.</w:t>
      </w:r>
    </w:p>
    <w:p w14:paraId="32F0E9A5" w14:textId="51527419"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r w:rsidRPr="00232E7C">
        <w:rPr>
          <w:rFonts w:ascii="Times New Roman" w:eastAsia="Times New Roman" w:hAnsi="Times New Roman" w:cs="Times New Roman"/>
          <w:color w:val="000000" w:themeColor="text1"/>
          <w:sz w:val="24"/>
          <w:szCs w:val="24"/>
          <w:lang w:eastAsia="en-GB"/>
        </w:rPr>
        <w:t>To clarify the term </w:t>
      </w:r>
      <w:r w:rsidRPr="00232E7C">
        <w:rPr>
          <w:rFonts w:ascii="Times New Roman" w:eastAsia="Times New Roman" w:hAnsi="Times New Roman" w:cs="Times New Roman"/>
          <w:i/>
          <w:iCs/>
          <w:color w:val="000000" w:themeColor="text1"/>
          <w:sz w:val="24"/>
          <w:szCs w:val="24"/>
          <w:lang w:eastAsia="en-GB"/>
        </w:rPr>
        <w:t>significant</w:t>
      </w:r>
      <w:r w:rsidRPr="00232E7C">
        <w:rPr>
          <w:rFonts w:ascii="Times New Roman" w:eastAsia="Times New Roman" w:hAnsi="Times New Roman" w:cs="Times New Roman"/>
          <w:color w:val="000000" w:themeColor="text1"/>
          <w:sz w:val="24"/>
          <w:szCs w:val="24"/>
          <w:lang w:eastAsia="en-GB"/>
        </w:rPr>
        <w:t>, a brief example is provided: the first digit of 4.1562 is 4 and the second digit is 1; the first digit of 315 is 3 and the second digit is 1; the first significant digit of 0.0154 is 1 and the second digit is 5.</w:t>
      </w:r>
    </w:p>
    <w:p w14:paraId="5F40394E" w14:textId="77777777"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r w:rsidRPr="00232E7C">
        <w:rPr>
          <w:rFonts w:ascii="Times New Roman" w:eastAsia="Times New Roman" w:hAnsi="Times New Roman" w:cs="Times New Roman"/>
          <w:color w:val="000000" w:themeColor="text1"/>
          <w:sz w:val="24"/>
          <w:szCs w:val="24"/>
          <w:lang w:eastAsia="en-GB"/>
        </w:rPr>
        <w:t xml:space="preserve">The empirical frequencies of the digits have been compared with the theoretical distribution given by the </w:t>
      </w:r>
      <w:proofErr w:type="spellStart"/>
      <w:r w:rsidRPr="00232E7C">
        <w:rPr>
          <w:rFonts w:ascii="Times New Roman" w:eastAsia="Times New Roman" w:hAnsi="Times New Roman" w:cs="Times New Roman"/>
          <w:color w:val="000000" w:themeColor="text1"/>
          <w:sz w:val="24"/>
          <w:szCs w:val="24"/>
          <w:lang w:eastAsia="en-GB"/>
        </w:rPr>
        <w:t>Benford</w:t>
      </w:r>
      <w:proofErr w:type="spellEnd"/>
      <w:r w:rsidRPr="00232E7C">
        <w:rPr>
          <w:rFonts w:ascii="Times New Roman" w:eastAsia="Times New Roman" w:hAnsi="Times New Roman" w:cs="Times New Roman"/>
          <w:color w:val="000000" w:themeColor="text1"/>
          <w:sz w:val="24"/>
          <w:szCs w:val="24"/>
          <w:lang w:eastAsia="en-GB"/>
        </w:rPr>
        <w:t xml:space="preserve"> law. To pursue our scope, we have adopted a comparison criterion grounded on statistical theory which is one of the most used in the literature for testing the </w:t>
      </w:r>
      <w:proofErr w:type="spellStart"/>
      <w:r w:rsidRPr="00232E7C">
        <w:rPr>
          <w:rFonts w:ascii="Times New Roman" w:eastAsia="Times New Roman" w:hAnsi="Times New Roman" w:cs="Times New Roman"/>
          <w:color w:val="000000" w:themeColor="text1"/>
          <w:sz w:val="24"/>
          <w:szCs w:val="24"/>
          <w:lang w:eastAsia="en-GB"/>
        </w:rPr>
        <w:t>Benford</w:t>
      </w:r>
      <w:proofErr w:type="spellEnd"/>
      <w:r w:rsidRPr="00232E7C">
        <w:rPr>
          <w:rFonts w:ascii="Times New Roman" w:eastAsia="Times New Roman" w:hAnsi="Times New Roman" w:cs="Times New Roman"/>
          <w:color w:val="000000" w:themeColor="text1"/>
          <w:sz w:val="24"/>
          <w:szCs w:val="24"/>
          <w:lang w:eastAsia="en-GB"/>
        </w:rPr>
        <w:t xml:space="preserve"> law: the Pearson's </w:t>
      </w:r>
      <w:r w:rsidRPr="00232E7C">
        <w:rPr>
          <w:rFonts w:ascii="Times New Roman" w:eastAsia="Times New Roman" w:hAnsi="Times New Roman" w:cs="Times New Roman"/>
          <w:i/>
          <w:iCs/>
          <w:color w:val="000000" w:themeColor="text1"/>
          <w:sz w:val="24"/>
          <w:szCs w:val="24"/>
          <w:lang w:eastAsia="en-GB"/>
        </w:rPr>
        <w:t>χ</w:t>
      </w:r>
      <w:r w:rsidRPr="00232E7C">
        <w:rPr>
          <w:rFonts w:ascii="Times New Roman" w:eastAsia="Times New Roman" w:hAnsi="Times New Roman" w:cs="Times New Roman"/>
          <w:color w:val="000000" w:themeColor="text1"/>
          <w:sz w:val="24"/>
          <w:szCs w:val="24"/>
          <w:vertAlign w:val="superscript"/>
          <w:lang w:eastAsia="en-GB"/>
        </w:rPr>
        <w:t>2</w:t>
      </w:r>
      <w:r w:rsidRPr="00232E7C">
        <w:rPr>
          <w:rFonts w:ascii="Times New Roman" w:eastAsia="Times New Roman" w:hAnsi="Times New Roman" w:cs="Times New Roman"/>
          <w:color w:val="000000" w:themeColor="text1"/>
          <w:sz w:val="24"/>
          <w:szCs w:val="24"/>
          <w:lang w:eastAsia="en-GB"/>
        </w:rPr>
        <w:t xml:space="preserve"> test. Such a test is of parametric type and serves for checking if the empirical frequencies are statistically different from theoretical frequencies of the </w:t>
      </w:r>
      <w:proofErr w:type="spellStart"/>
      <w:r w:rsidRPr="00232E7C">
        <w:rPr>
          <w:rFonts w:ascii="Times New Roman" w:eastAsia="Times New Roman" w:hAnsi="Times New Roman" w:cs="Times New Roman"/>
          <w:color w:val="000000" w:themeColor="text1"/>
          <w:sz w:val="24"/>
          <w:szCs w:val="24"/>
          <w:lang w:eastAsia="en-GB"/>
        </w:rPr>
        <w:t>Benford</w:t>
      </w:r>
      <w:proofErr w:type="spellEnd"/>
      <w:r w:rsidRPr="00232E7C">
        <w:rPr>
          <w:rFonts w:ascii="Times New Roman" w:eastAsia="Times New Roman" w:hAnsi="Times New Roman" w:cs="Times New Roman"/>
          <w:color w:val="000000" w:themeColor="text1"/>
          <w:sz w:val="24"/>
          <w:szCs w:val="24"/>
          <w:lang w:eastAsia="en-GB"/>
        </w:rPr>
        <w:t xml:space="preserve"> law.</w:t>
      </w:r>
    </w:p>
    <w:p w14:paraId="3DE3416C" w14:textId="77777777"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r w:rsidRPr="00232E7C">
        <w:rPr>
          <w:rFonts w:ascii="Times New Roman" w:eastAsia="Times New Roman" w:hAnsi="Times New Roman" w:cs="Times New Roman"/>
          <w:color w:val="000000" w:themeColor="text1"/>
          <w:sz w:val="24"/>
          <w:szCs w:val="24"/>
          <w:lang w:eastAsia="en-GB"/>
        </w:rPr>
        <w:t xml:space="preserve">In our framework, this test can be written as  </w:t>
      </w:r>
    </w:p>
    <w:p w14:paraId="5251AF24" w14:textId="77777777" w:rsidR="008B2804" w:rsidRPr="00232E7C" w:rsidRDefault="008B2804" w:rsidP="009340A8">
      <w:pPr>
        <w:spacing w:after="0" w:line="360" w:lineRule="auto"/>
        <w:jc w:val="both"/>
        <w:rPr>
          <w:rFonts w:ascii="Times New Roman" w:eastAsia="Times New Roman" w:hAnsi="Times New Roman" w:cs="Times New Roman"/>
          <w:i/>
          <w:iCs/>
          <w:color w:val="000000" w:themeColor="text1"/>
          <w:sz w:val="24"/>
          <w:szCs w:val="24"/>
          <w:lang w:eastAsia="en-GB"/>
        </w:rPr>
      </w:pPr>
    </w:p>
    <w:p w14:paraId="22B8C8EE" w14:textId="605C6E06" w:rsidR="008B2804" w:rsidRPr="00232E7C" w:rsidRDefault="002C15FD" w:rsidP="009340A8">
      <w:pPr>
        <w:spacing w:after="0" w:line="360" w:lineRule="auto"/>
        <w:jc w:val="both"/>
        <w:rPr>
          <w:rFonts w:ascii="Times New Roman" w:eastAsia="Times New Roman" w:hAnsi="Times New Roman" w:cs="Times New Roman"/>
          <w:color w:val="000000" w:themeColor="text1"/>
          <w:sz w:val="24"/>
          <w:szCs w:val="24"/>
          <w:lang w:eastAsia="en-GB"/>
        </w:rPr>
      </w:pPr>
      <m:oMathPara>
        <m:oMath>
          <m:sSup>
            <m:sSupPr>
              <m:ctrlPr>
                <w:rPr>
                  <w:rFonts w:ascii="Cambria Math" w:eastAsia="Times New Roman" w:hAnsi="Cambria Math" w:cs="Times New Roman"/>
                  <w:i/>
                  <w:color w:val="000000" w:themeColor="text1"/>
                  <w:sz w:val="24"/>
                  <w:szCs w:val="24"/>
                  <w:lang w:eastAsia="en-GB"/>
                </w:rPr>
              </m:ctrlPr>
            </m:sSupPr>
            <m:e>
              <m:r>
                <w:rPr>
                  <w:rFonts w:ascii="Cambria Math" w:eastAsia="Times New Roman" w:hAnsi="Cambria Math" w:cs="Times New Roman"/>
                  <w:color w:val="000000" w:themeColor="text1"/>
                  <w:sz w:val="24"/>
                  <w:szCs w:val="24"/>
                  <w:lang w:eastAsia="en-GB"/>
                </w:rPr>
                <m:t>χ</m:t>
              </m:r>
            </m:e>
            <m:sup>
              <m:r>
                <w:rPr>
                  <w:rFonts w:ascii="Cambria Math" w:eastAsia="Times New Roman" w:hAnsi="Cambria Math" w:cs="Times New Roman"/>
                  <w:color w:val="000000" w:themeColor="text1"/>
                  <w:sz w:val="24"/>
                  <w:szCs w:val="24"/>
                  <w:lang w:eastAsia="en-GB"/>
                </w:rPr>
                <m:t>2</m:t>
              </m:r>
            </m:sup>
          </m:sSup>
          <m:d>
            <m:dPr>
              <m:ctrlPr>
                <w:rPr>
                  <w:rFonts w:ascii="Cambria Math" w:eastAsia="Times New Roman" w:hAnsi="Cambria Math" w:cs="Times New Roman"/>
                  <w:i/>
                  <w:color w:val="000000" w:themeColor="text1"/>
                  <w:sz w:val="24"/>
                  <w:szCs w:val="24"/>
                  <w:lang w:eastAsia="en-GB"/>
                </w:rPr>
              </m:ctrlPr>
            </m:dPr>
            <m:e>
              <m:r>
                <w:rPr>
                  <w:rFonts w:ascii="Cambria Math" w:eastAsia="Times New Roman" w:hAnsi="Cambria Math" w:cs="Times New Roman"/>
                  <w:color w:val="000000" w:themeColor="text1"/>
                  <w:sz w:val="24"/>
                  <w:szCs w:val="24"/>
                  <w:lang w:eastAsia="en-GB"/>
                </w:rPr>
                <m:t>n-1</m:t>
              </m:r>
            </m:e>
          </m:d>
          <m:r>
            <w:rPr>
              <w:rFonts w:ascii="Cambria Math" w:eastAsia="Times New Roman" w:hAnsi="Cambria Math" w:cs="Times New Roman"/>
              <w:color w:val="000000" w:themeColor="text1"/>
              <w:sz w:val="24"/>
              <w:szCs w:val="24"/>
              <w:lang w:eastAsia="en-GB"/>
            </w:rPr>
            <m:t xml:space="preserve">= </m:t>
          </m:r>
          <m:nary>
            <m:naryPr>
              <m:chr m:val="∑"/>
              <m:limLoc m:val="undOvr"/>
              <m:ctrlPr>
                <w:rPr>
                  <w:rFonts w:ascii="Cambria Math" w:eastAsia="Times New Roman" w:hAnsi="Cambria Math" w:cs="Times New Roman"/>
                  <w:i/>
                  <w:color w:val="000000" w:themeColor="text1"/>
                  <w:sz w:val="24"/>
                  <w:szCs w:val="24"/>
                  <w:lang w:eastAsia="en-GB"/>
                </w:rPr>
              </m:ctrlPr>
            </m:naryPr>
            <m:sub>
              <m:r>
                <w:rPr>
                  <w:rFonts w:ascii="Cambria Math" w:eastAsia="Times New Roman" w:hAnsi="Cambria Math" w:cs="Times New Roman"/>
                  <w:color w:val="000000" w:themeColor="text1"/>
                  <w:sz w:val="24"/>
                  <w:szCs w:val="24"/>
                  <w:lang w:eastAsia="en-GB"/>
                </w:rPr>
                <m:t>i=1</m:t>
              </m:r>
            </m:sub>
            <m:sup>
              <m:r>
                <w:rPr>
                  <w:rFonts w:ascii="Cambria Math" w:eastAsia="Times New Roman" w:hAnsi="Cambria Math" w:cs="Times New Roman"/>
                  <w:color w:val="000000" w:themeColor="text1"/>
                  <w:sz w:val="24"/>
                  <w:szCs w:val="24"/>
                  <w:lang w:eastAsia="en-GB"/>
                </w:rPr>
                <m:t>n</m:t>
              </m:r>
            </m:sup>
            <m:e>
              <m:f>
                <m:fPr>
                  <m:ctrlPr>
                    <w:rPr>
                      <w:rFonts w:ascii="Cambria Math" w:eastAsia="Times New Roman" w:hAnsi="Cambria Math" w:cs="Times New Roman"/>
                      <w:i/>
                      <w:color w:val="000000" w:themeColor="text1"/>
                      <w:sz w:val="24"/>
                      <w:szCs w:val="24"/>
                      <w:lang w:eastAsia="en-GB"/>
                    </w:rPr>
                  </m:ctrlPr>
                </m:fPr>
                <m:num>
                  <m:sSup>
                    <m:sSupPr>
                      <m:ctrlPr>
                        <w:rPr>
                          <w:rFonts w:ascii="Cambria Math" w:eastAsia="Times New Roman" w:hAnsi="Cambria Math" w:cs="Times New Roman"/>
                          <w:i/>
                          <w:color w:val="000000" w:themeColor="text1"/>
                          <w:sz w:val="24"/>
                          <w:szCs w:val="24"/>
                          <w:lang w:eastAsia="en-GB"/>
                        </w:rPr>
                      </m:ctrlPr>
                    </m:sSupPr>
                    <m:e>
                      <m:d>
                        <m:dPr>
                          <m:ctrlPr>
                            <w:rPr>
                              <w:rFonts w:ascii="Cambria Math" w:eastAsia="Times New Roman" w:hAnsi="Cambria Math" w:cs="Times New Roman"/>
                              <w:i/>
                              <w:color w:val="000000" w:themeColor="text1"/>
                              <w:sz w:val="24"/>
                              <w:szCs w:val="24"/>
                              <w:lang w:eastAsia="en-GB"/>
                            </w:rPr>
                          </m:ctrlPr>
                        </m:dPr>
                        <m:e>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O</m:t>
                              </m:r>
                            </m:e>
                            <m:sub>
                              <m:r>
                                <w:rPr>
                                  <w:rFonts w:ascii="Cambria Math" w:eastAsia="Times New Roman" w:hAnsi="Cambria Math" w:cs="Times New Roman"/>
                                  <w:color w:val="000000" w:themeColor="text1"/>
                                  <w:sz w:val="24"/>
                                  <w:szCs w:val="24"/>
                                  <w:lang w:eastAsia="en-GB"/>
                                </w:rPr>
                                <m:t>i</m:t>
                              </m:r>
                            </m:sub>
                          </m:sSub>
                          <m:r>
                            <w:rPr>
                              <w:rFonts w:ascii="Cambria Math" w:eastAsia="Times New Roman" w:hAnsi="Cambria Math" w:cs="Times New Roman"/>
                              <w:color w:val="000000" w:themeColor="text1"/>
                              <w:sz w:val="24"/>
                              <w:szCs w:val="24"/>
                              <w:lang w:eastAsia="en-GB"/>
                            </w:rPr>
                            <m:t>-</m:t>
                          </m:r>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E</m:t>
                              </m:r>
                            </m:e>
                            <m:sub>
                              <m:r>
                                <w:rPr>
                                  <w:rFonts w:ascii="Cambria Math" w:eastAsia="Times New Roman" w:hAnsi="Cambria Math" w:cs="Times New Roman"/>
                                  <w:color w:val="000000" w:themeColor="text1"/>
                                  <w:sz w:val="24"/>
                                  <w:szCs w:val="24"/>
                                  <w:lang w:eastAsia="en-GB"/>
                                </w:rPr>
                                <m:t>i</m:t>
                              </m:r>
                            </m:sub>
                          </m:sSub>
                        </m:e>
                      </m:d>
                    </m:e>
                    <m:sup>
                      <m:r>
                        <w:rPr>
                          <w:rFonts w:ascii="Cambria Math" w:eastAsia="Times New Roman" w:hAnsi="Cambria Math" w:cs="Times New Roman"/>
                          <w:color w:val="000000" w:themeColor="text1"/>
                          <w:sz w:val="24"/>
                          <w:szCs w:val="24"/>
                          <w:lang w:eastAsia="en-GB"/>
                        </w:rPr>
                        <m:t>2</m:t>
                      </m:r>
                    </m:sup>
                  </m:sSup>
                </m:num>
                <m:den>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E</m:t>
                      </m:r>
                    </m:e>
                    <m:sub>
                      <m:r>
                        <w:rPr>
                          <w:rFonts w:ascii="Cambria Math" w:eastAsia="Times New Roman" w:hAnsi="Cambria Math" w:cs="Times New Roman"/>
                          <w:color w:val="000000" w:themeColor="text1"/>
                          <w:sz w:val="24"/>
                          <w:szCs w:val="24"/>
                          <w:lang w:eastAsia="en-GB"/>
                        </w:rPr>
                        <m:t>i</m:t>
                      </m:r>
                    </m:sub>
                  </m:sSub>
                </m:den>
              </m:f>
            </m:e>
          </m:nary>
          <m:r>
            <w:rPr>
              <w:rFonts w:ascii="Cambria Math" w:eastAsia="Times New Roman" w:hAnsi="Cambria Math" w:cs="Times New Roman"/>
              <w:color w:val="000000" w:themeColor="text1"/>
              <w:sz w:val="24"/>
              <w:szCs w:val="24"/>
              <w:lang w:eastAsia="en-GB"/>
            </w:rPr>
            <m:t xml:space="preserve">                      (2.3.5)</m:t>
          </m:r>
        </m:oMath>
      </m:oMathPara>
    </w:p>
    <w:p w14:paraId="26010590" w14:textId="77777777"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r w:rsidRPr="00232E7C">
        <w:rPr>
          <w:rFonts w:ascii="Times New Roman" w:eastAsia="Times New Roman" w:hAnsi="Times New Roman" w:cs="Times New Roman"/>
          <w:color w:val="000000" w:themeColor="text1"/>
          <w:sz w:val="24"/>
          <w:szCs w:val="24"/>
          <w:lang w:eastAsia="en-GB"/>
        </w:rPr>
        <w:t>Where</w:t>
      </w:r>
    </w:p>
    <w:p w14:paraId="103F3A82" w14:textId="77777777"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r w:rsidRPr="00232E7C">
        <w:rPr>
          <w:rFonts w:ascii="Times New Roman" w:eastAsia="Times New Roman" w:hAnsi="Times New Roman" w:cs="Times New Roman"/>
          <w:color w:val="000000" w:themeColor="text1"/>
          <w:sz w:val="24"/>
          <w:szCs w:val="24"/>
          <w:lang w:eastAsia="en-GB"/>
        </w:rPr>
        <w:t>O</w:t>
      </w:r>
      <w:r w:rsidRPr="00232E7C">
        <w:rPr>
          <w:rFonts w:ascii="Times New Roman" w:eastAsia="Times New Roman" w:hAnsi="Times New Roman" w:cs="Times New Roman"/>
          <w:color w:val="000000" w:themeColor="text1"/>
          <w:sz w:val="24"/>
          <w:szCs w:val="24"/>
          <w:vertAlign w:val="subscript"/>
          <w:lang w:eastAsia="en-GB"/>
        </w:rPr>
        <w:t>i</w:t>
      </w:r>
      <w:r w:rsidRPr="00232E7C">
        <w:rPr>
          <w:rFonts w:ascii="Times New Roman" w:eastAsia="Times New Roman" w:hAnsi="Times New Roman" w:cs="Times New Roman"/>
          <w:color w:val="000000" w:themeColor="text1"/>
          <w:sz w:val="24"/>
          <w:szCs w:val="24"/>
          <w:lang w:eastAsia="en-GB"/>
        </w:rPr>
        <w:t> is the frequency actually detected for character </w:t>
      </w:r>
      <w:proofErr w:type="spellStart"/>
      <w:r w:rsidRPr="00232E7C">
        <w:rPr>
          <w:rFonts w:ascii="Times New Roman" w:eastAsia="Times New Roman" w:hAnsi="Times New Roman" w:cs="Times New Roman"/>
          <w:color w:val="000000" w:themeColor="text1"/>
          <w:sz w:val="24"/>
          <w:szCs w:val="24"/>
          <w:lang w:eastAsia="en-GB"/>
        </w:rPr>
        <w:t>i</w:t>
      </w:r>
      <w:proofErr w:type="spellEnd"/>
      <w:r w:rsidRPr="00232E7C">
        <w:rPr>
          <w:rFonts w:ascii="Times New Roman" w:eastAsia="Times New Roman" w:hAnsi="Times New Roman" w:cs="Times New Roman"/>
          <w:color w:val="000000" w:themeColor="text1"/>
          <w:sz w:val="24"/>
          <w:szCs w:val="24"/>
          <w:lang w:eastAsia="en-GB"/>
        </w:rPr>
        <w:t>;</w:t>
      </w:r>
    </w:p>
    <w:p w14:paraId="64B454DB" w14:textId="77777777" w:rsidR="008B2804" w:rsidRPr="00232E7C" w:rsidRDefault="008B2804" w:rsidP="009340A8">
      <w:pPr>
        <w:spacing w:after="0" w:line="360" w:lineRule="auto"/>
        <w:jc w:val="both"/>
        <w:rPr>
          <w:rFonts w:ascii="Times New Roman" w:eastAsia="Times New Roman" w:hAnsi="Times New Roman" w:cs="Times New Roman"/>
          <w:color w:val="000000" w:themeColor="text1"/>
          <w:sz w:val="24"/>
          <w:szCs w:val="24"/>
          <w:lang w:eastAsia="en-GB"/>
        </w:rPr>
      </w:pPr>
      <w:proofErr w:type="spellStart"/>
      <w:r w:rsidRPr="00232E7C">
        <w:rPr>
          <w:rFonts w:ascii="Times New Roman" w:eastAsia="Times New Roman" w:hAnsi="Times New Roman" w:cs="Times New Roman"/>
          <w:color w:val="000000" w:themeColor="text1"/>
          <w:sz w:val="24"/>
          <w:szCs w:val="24"/>
          <w:lang w:eastAsia="en-GB"/>
        </w:rPr>
        <w:t>E</w:t>
      </w:r>
      <w:r w:rsidRPr="00232E7C">
        <w:rPr>
          <w:rFonts w:ascii="Times New Roman" w:eastAsia="Times New Roman" w:hAnsi="Times New Roman" w:cs="Times New Roman"/>
          <w:color w:val="000000" w:themeColor="text1"/>
          <w:sz w:val="24"/>
          <w:szCs w:val="24"/>
          <w:vertAlign w:val="subscript"/>
          <w:lang w:eastAsia="en-GB"/>
        </w:rPr>
        <w:t>i</w:t>
      </w:r>
      <w:proofErr w:type="spellEnd"/>
      <w:r w:rsidRPr="00232E7C">
        <w:rPr>
          <w:rFonts w:ascii="Times New Roman" w:eastAsia="Times New Roman" w:hAnsi="Times New Roman" w:cs="Times New Roman"/>
          <w:color w:val="000000" w:themeColor="text1"/>
          <w:sz w:val="24"/>
          <w:szCs w:val="24"/>
          <w:lang w:eastAsia="en-GB"/>
        </w:rPr>
        <w:t> is the theoretical frequency of character </w:t>
      </w:r>
      <w:proofErr w:type="spellStart"/>
      <w:r w:rsidRPr="00232E7C">
        <w:rPr>
          <w:rFonts w:ascii="Times New Roman" w:eastAsia="Times New Roman" w:hAnsi="Times New Roman" w:cs="Times New Roman"/>
          <w:color w:val="000000" w:themeColor="text1"/>
          <w:sz w:val="24"/>
          <w:szCs w:val="24"/>
          <w:lang w:eastAsia="en-GB"/>
        </w:rPr>
        <w:t>i</w:t>
      </w:r>
      <w:proofErr w:type="spellEnd"/>
      <w:r w:rsidRPr="00232E7C">
        <w:rPr>
          <w:rFonts w:ascii="Times New Roman" w:eastAsia="Times New Roman" w:hAnsi="Times New Roman" w:cs="Times New Roman"/>
          <w:color w:val="000000" w:themeColor="text1"/>
          <w:sz w:val="24"/>
          <w:szCs w:val="24"/>
          <w:lang w:eastAsia="en-GB"/>
        </w:rPr>
        <w:t xml:space="preserve">, according to the </w:t>
      </w:r>
      <w:proofErr w:type="spellStart"/>
      <w:r w:rsidRPr="00232E7C">
        <w:rPr>
          <w:rFonts w:ascii="Times New Roman" w:eastAsia="Times New Roman" w:hAnsi="Times New Roman" w:cs="Times New Roman"/>
          <w:color w:val="000000" w:themeColor="text1"/>
          <w:sz w:val="24"/>
          <w:szCs w:val="24"/>
          <w:lang w:eastAsia="en-GB"/>
        </w:rPr>
        <w:t>Benford</w:t>
      </w:r>
      <w:proofErr w:type="spellEnd"/>
      <w:r w:rsidRPr="00232E7C">
        <w:rPr>
          <w:rFonts w:ascii="Times New Roman" w:eastAsia="Times New Roman" w:hAnsi="Times New Roman" w:cs="Times New Roman"/>
          <w:color w:val="000000" w:themeColor="text1"/>
          <w:sz w:val="24"/>
          <w:szCs w:val="24"/>
          <w:lang w:eastAsia="en-GB"/>
        </w:rPr>
        <w:t xml:space="preserve"> law.</w:t>
      </w:r>
    </w:p>
    <w:p w14:paraId="5094F8D5" w14:textId="2C48DA28" w:rsidR="004B15D5" w:rsidRDefault="004B15D5" w:rsidP="009340A8">
      <w:pPr>
        <w:spacing w:line="360" w:lineRule="auto"/>
        <w:jc w:val="both"/>
        <w:rPr>
          <w:rFonts w:ascii="Times New Roman" w:hAnsi="Times New Roman" w:cs="Times New Roman"/>
          <w:color w:val="000000" w:themeColor="text1"/>
          <w:sz w:val="24"/>
          <w:szCs w:val="24"/>
        </w:rPr>
      </w:pPr>
      <w:r w:rsidRPr="004B15D5">
        <w:rPr>
          <w:rFonts w:ascii="Times New Roman" w:hAnsi="Times New Roman" w:cs="Times New Roman"/>
          <w:color w:val="000000" w:themeColor="text1"/>
          <w:sz w:val="24"/>
          <w:szCs w:val="24"/>
        </w:rPr>
        <w:t xml:space="preserve">Accentuating the fiscal report aspects, it appears to be curious to that essential </w:t>
      </w:r>
      <w:r>
        <w:rPr>
          <w:rFonts w:ascii="Times New Roman" w:hAnsi="Times New Roman" w:cs="Times New Roman"/>
          <w:color w:val="000000" w:themeColor="text1"/>
          <w:sz w:val="24"/>
          <w:szCs w:val="24"/>
        </w:rPr>
        <w:t>financial</w:t>
      </w:r>
      <w:r w:rsidRPr="004B15D5">
        <w:rPr>
          <w:rFonts w:ascii="Times New Roman" w:hAnsi="Times New Roman" w:cs="Times New Roman"/>
          <w:color w:val="000000" w:themeColor="text1"/>
          <w:sz w:val="24"/>
          <w:szCs w:val="24"/>
        </w:rPr>
        <w:t xml:space="preserve"> market </w:t>
      </w:r>
      <w:r>
        <w:rPr>
          <w:rFonts w:ascii="Times New Roman" w:hAnsi="Times New Roman" w:cs="Times New Roman"/>
          <w:color w:val="000000" w:themeColor="text1"/>
          <w:sz w:val="24"/>
          <w:szCs w:val="24"/>
        </w:rPr>
        <w:t>indices</w:t>
      </w:r>
      <w:r w:rsidRPr="004B15D5">
        <w:rPr>
          <w:rFonts w:ascii="Times New Roman" w:hAnsi="Times New Roman" w:cs="Times New Roman"/>
          <w:color w:val="000000" w:themeColor="text1"/>
          <w:sz w:val="24"/>
          <w:szCs w:val="24"/>
        </w:rPr>
        <w:t xml:space="preserve"> have not been greatly contemplated, whenever learned by any stretch of the imagination. The segment "Best in class" (Sect. 2.3.1) permits us to review what is by and by found in the writing concerning the utilization of </w:t>
      </w:r>
      <w:proofErr w:type="spellStart"/>
      <w:r w:rsidRPr="004B15D5">
        <w:rPr>
          <w:rFonts w:ascii="Times New Roman" w:hAnsi="Times New Roman" w:cs="Times New Roman"/>
          <w:color w:val="000000" w:themeColor="text1"/>
          <w:sz w:val="24"/>
          <w:szCs w:val="24"/>
        </w:rPr>
        <w:t>Benford's</w:t>
      </w:r>
      <w:proofErr w:type="spellEnd"/>
      <w:r w:rsidRPr="004B15D5">
        <w:rPr>
          <w:rFonts w:ascii="Times New Roman" w:hAnsi="Times New Roman" w:cs="Times New Roman"/>
          <w:color w:val="000000" w:themeColor="text1"/>
          <w:sz w:val="24"/>
          <w:szCs w:val="24"/>
        </w:rPr>
        <w:t xml:space="preserve"> laws for concentrating on </w:t>
      </w:r>
      <w:r>
        <w:rPr>
          <w:rFonts w:ascii="Times New Roman" w:hAnsi="Times New Roman" w:cs="Times New Roman"/>
          <w:color w:val="000000" w:themeColor="text1"/>
          <w:sz w:val="24"/>
          <w:szCs w:val="24"/>
        </w:rPr>
        <w:t xml:space="preserve">financial </w:t>
      </w:r>
      <w:r w:rsidRPr="004B15D5">
        <w:rPr>
          <w:rFonts w:ascii="Times New Roman" w:hAnsi="Times New Roman" w:cs="Times New Roman"/>
          <w:color w:val="000000" w:themeColor="text1"/>
          <w:sz w:val="24"/>
          <w:szCs w:val="24"/>
        </w:rPr>
        <w:t xml:space="preserve">market </w:t>
      </w:r>
      <w:r>
        <w:rPr>
          <w:rFonts w:ascii="Times New Roman" w:hAnsi="Times New Roman" w:cs="Times New Roman"/>
          <w:color w:val="000000" w:themeColor="text1"/>
          <w:sz w:val="24"/>
          <w:szCs w:val="24"/>
        </w:rPr>
        <w:t>indices</w:t>
      </w:r>
      <w:r w:rsidRPr="004B15D5">
        <w:rPr>
          <w:rFonts w:ascii="Times New Roman" w:hAnsi="Times New Roman" w:cs="Times New Roman"/>
          <w:color w:val="000000" w:themeColor="text1"/>
          <w:sz w:val="24"/>
          <w:szCs w:val="24"/>
        </w:rPr>
        <w:t>.</w:t>
      </w:r>
    </w:p>
    <w:p w14:paraId="5BCB65CF" w14:textId="12AF5DF0" w:rsidR="008B2804" w:rsidRPr="00232E7C" w:rsidRDefault="002105FA" w:rsidP="009340A8">
      <w:pPr>
        <w:spacing w:line="360" w:lineRule="auto"/>
        <w:jc w:val="both"/>
        <w:rPr>
          <w:rFonts w:ascii="Times New Roman" w:hAnsi="Times New Roman" w:cs="Times New Roman"/>
          <w:color w:val="000000" w:themeColor="text1"/>
          <w:sz w:val="24"/>
          <w:szCs w:val="24"/>
        </w:rPr>
      </w:pPr>
      <w:r w:rsidRPr="002105FA">
        <w:rPr>
          <w:rFonts w:ascii="Times New Roman" w:hAnsi="Times New Roman" w:cs="Times New Roman"/>
          <w:color w:val="000000" w:themeColor="text1"/>
          <w:sz w:val="24"/>
          <w:szCs w:val="24"/>
        </w:rPr>
        <w:t xml:space="preserve">This review reports assessment of </w:t>
      </w:r>
      <w:proofErr w:type="spellStart"/>
      <w:r w:rsidRPr="002105FA">
        <w:rPr>
          <w:rFonts w:ascii="Times New Roman" w:hAnsi="Times New Roman" w:cs="Times New Roman"/>
          <w:color w:val="000000" w:themeColor="text1"/>
          <w:sz w:val="24"/>
          <w:szCs w:val="24"/>
        </w:rPr>
        <w:t>Benford's</w:t>
      </w:r>
      <w:proofErr w:type="spellEnd"/>
      <w:r w:rsidRPr="002105FA">
        <w:rPr>
          <w:rFonts w:ascii="Times New Roman" w:hAnsi="Times New Roman" w:cs="Times New Roman"/>
          <w:color w:val="000000" w:themeColor="text1"/>
          <w:sz w:val="24"/>
          <w:szCs w:val="24"/>
        </w:rPr>
        <w:t xml:space="preserve"> law first, second, and initial two digits legitimacy (called BL1, BL2, BL12), upon the S&amp;P500 market </w:t>
      </w:r>
      <w:r>
        <w:rPr>
          <w:rFonts w:ascii="Times New Roman" w:hAnsi="Times New Roman" w:cs="Times New Roman"/>
          <w:color w:val="000000" w:themeColor="text1"/>
          <w:sz w:val="24"/>
          <w:szCs w:val="24"/>
        </w:rPr>
        <w:t>closing values</w:t>
      </w:r>
      <w:r w:rsidRPr="002105FA">
        <w:rPr>
          <w:rFonts w:ascii="Times New Roman" w:hAnsi="Times New Roman" w:cs="Times New Roman"/>
          <w:color w:val="000000" w:themeColor="text1"/>
          <w:sz w:val="24"/>
          <w:szCs w:val="24"/>
        </w:rPr>
        <w:t>, throughout a long-term stretch: from [01/05/2013 - 29/12/2017</w:t>
      </w:r>
      <w:r w:rsidR="004B15D5" w:rsidRPr="002105FA">
        <w:rPr>
          <w:rFonts w:ascii="Times New Roman" w:hAnsi="Times New Roman" w:cs="Times New Roman"/>
          <w:color w:val="000000" w:themeColor="text1"/>
          <w:sz w:val="24"/>
          <w:szCs w:val="24"/>
        </w:rPr>
        <w:t>],</w:t>
      </w:r>
      <w:r w:rsidRPr="002105FA">
        <w:rPr>
          <w:rFonts w:ascii="Times New Roman" w:hAnsi="Times New Roman" w:cs="Times New Roman"/>
          <w:color w:val="000000" w:themeColor="text1"/>
          <w:sz w:val="24"/>
          <w:szCs w:val="24"/>
        </w:rPr>
        <w:t xml:space="preserve"> This adds up to 481769 information focuses. The time series is downloaded from Yahoo! </w:t>
      </w:r>
      <w:r>
        <w:rPr>
          <w:rFonts w:ascii="Times New Roman" w:hAnsi="Times New Roman" w:cs="Times New Roman"/>
          <w:color w:val="000000" w:themeColor="text1"/>
          <w:sz w:val="24"/>
          <w:szCs w:val="24"/>
        </w:rPr>
        <w:t>Finance</w:t>
      </w:r>
      <w:r w:rsidRPr="002105FA">
        <w:rPr>
          <w:rFonts w:ascii="Times New Roman" w:hAnsi="Times New Roman" w:cs="Times New Roman"/>
          <w:color w:val="000000" w:themeColor="text1"/>
          <w:sz w:val="24"/>
          <w:szCs w:val="24"/>
        </w:rPr>
        <w:t>, a definitive site giving monetary information. In doing as such we are in accordance with focuses on like (</w:t>
      </w:r>
      <w:proofErr w:type="spellStart"/>
      <w:r w:rsidRPr="002105FA">
        <w:rPr>
          <w:rFonts w:ascii="Times New Roman" w:hAnsi="Times New Roman" w:cs="Times New Roman"/>
          <w:color w:val="000000" w:themeColor="text1"/>
          <w:sz w:val="24"/>
          <w:szCs w:val="24"/>
        </w:rPr>
        <w:t>Juergens</w:t>
      </w:r>
      <w:proofErr w:type="spellEnd"/>
      <w:r w:rsidRPr="002105FA">
        <w:rPr>
          <w:rFonts w:ascii="Times New Roman" w:hAnsi="Times New Roman" w:cs="Times New Roman"/>
          <w:color w:val="000000" w:themeColor="text1"/>
          <w:sz w:val="24"/>
          <w:szCs w:val="24"/>
        </w:rPr>
        <w:t xml:space="preserve"> and Lindsey, 2009; Haley, 2017; </w:t>
      </w:r>
      <w:proofErr w:type="spellStart"/>
      <w:r w:rsidRPr="002105FA">
        <w:rPr>
          <w:rFonts w:ascii="Times New Roman" w:hAnsi="Times New Roman" w:cs="Times New Roman"/>
          <w:color w:val="000000" w:themeColor="text1"/>
          <w:sz w:val="24"/>
          <w:szCs w:val="24"/>
        </w:rPr>
        <w:t>Riccioni</w:t>
      </w:r>
      <w:proofErr w:type="spellEnd"/>
      <w:r w:rsidRPr="002105FA">
        <w:rPr>
          <w:rFonts w:ascii="Times New Roman" w:hAnsi="Times New Roman" w:cs="Times New Roman"/>
          <w:color w:val="000000" w:themeColor="text1"/>
          <w:sz w:val="24"/>
          <w:szCs w:val="24"/>
        </w:rPr>
        <w:t xml:space="preserve"> and </w:t>
      </w:r>
      <w:proofErr w:type="spellStart"/>
      <w:r w:rsidRPr="002105FA">
        <w:rPr>
          <w:rFonts w:ascii="Times New Roman" w:hAnsi="Times New Roman" w:cs="Times New Roman"/>
          <w:color w:val="000000" w:themeColor="text1"/>
          <w:sz w:val="24"/>
          <w:szCs w:val="24"/>
        </w:rPr>
        <w:t>Cerqueti</w:t>
      </w:r>
      <w:proofErr w:type="spellEnd"/>
      <w:r w:rsidRPr="002105FA">
        <w:rPr>
          <w:rFonts w:ascii="Times New Roman" w:hAnsi="Times New Roman" w:cs="Times New Roman"/>
          <w:color w:val="000000" w:themeColor="text1"/>
          <w:sz w:val="24"/>
          <w:szCs w:val="24"/>
        </w:rPr>
        <w:t xml:space="preserve">, 2018; Shi, </w:t>
      </w:r>
      <w:proofErr w:type="spellStart"/>
      <w:r w:rsidRPr="002105FA">
        <w:rPr>
          <w:rFonts w:ascii="Times New Roman" w:hAnsi="Times New Roman" w:cs="Times New Roman"/>
          <w:color w:val="000000" w:themeColor="text1"/>
          <w:sz w:val="24"/>
          <w:szCs w:val="24"/>
        </w:rPr>
        <w:t>Ausloos</w:t>
      </w:r>
      <w:proofErr w:type="spellEnd"/>
      <w:r w:rsidRPr="002105FA">
        <w:rPr>
          <w:rFonts w:ascii="Times New Roman" w:hAnsi="Times New Roman" w:cs="Times New Roman"/>
          <w:color w:val="000000" w:themeColor="text1"/>
          <w:sz w:val="24"/>
          <w:szCs w:val="24"/>
        </w:rPr>
        <w:t xml:space="preserve"> and Zhu, 2018).</w:t>
      </w:r>
      <w:r>
        <w:rPr>
          <w:rFonts w:ascii="Times New Roman" w:hAnsi="Times New Roman" w:cs="Times New Roman"/>
          <w:color w:val="000000" w:themeColor="text1"/>
          <w:sz w:val="24"/>
          <w:szCs w:val="24"/>
        </w:rPr>
        <w:t xml:space="preserve"> </w:t>
      </w:r>
      <w:r w:rsidR="008B2804" w:rsidRPr="00232E7C">
        <w:rPr>
          <w:rFonts w:ascii="Times New Roman" w:hAnsi="Times New Roman" w:cs="Times New Roman"/>
          <w:color w:val="000000" w:themeColor="text1"/>
          <w:sz w:val="24"/>
          <w:szCs w:val="24"/>
        </w:rPr>
        <w:t xml:space="preserve">Study discusses both minute volume and minute log returns. Moreover, divide the whole-time interval into </w:t>
      </w:r>
      <w:r w:rsidR="008B2804">
        <w:rPr>
          <w:rFonts w:ascii="Times New Roman" w:hAnsi="Times New Roman" w:cs="Times New Roman"/>
          <w:color w:val="000000" w:themeColor="text1"/>
          <w:sz w:val="24"/>
          <w:szCs w:val="24"/>
        </w:rPr>
        <w:t xml:space="preserve">11 windows of 117 days minutes </w:t>
      </w:r>
      <w:r w:rsidR="008B2804" w:rsidRPr="00232E7C">
        <w:rPr>
          <w:rFonts w:ascii="Times New Roman" w:hAnsi="Times New Roman" w:cs="Times New Roman"/>
          <w:color w:val="000000" w:themeColor="text1"/>
          <w:sz w:val="24"/>
          <w:szCs w:val="24"/>
        </w:rPr>
        <w:t xml:space="preserve">subsets made of </w:t>
      </w:r>
      <w:r w:rsidR="008B2804">
        <w:rPr>
          <w:rFonts w:ascii="Times New Roman" w:hAnsi="Times New Roman" w:cs="Times New Roman"/>
          <w:color w:val="000000" w:themeColor="text1"/>
          <w:sz w:val="24"/>
          <w:szCs w:val="24"/>
        </w:rPr>
        <w:t xml:space="preserve">roughly 43777 </w:t>
      </w:r>
      <w:r w:rsidR="008B2804" w:rsidRPr="00232E7C">
        <w:rPr>
          <w:rFonts w:ascii="Times New Roman" w:hAnsi="Times New Roman" w:cs="Times New Roman"/>
          <w:color w:val="000000" w:themeColor="text1"/>
          <w:sz w:val="24"/>
          <w:szCs w:val="24"/>
        </w:rPr>
        <w:t xml:space="preserve">observations each. The interest of such a disaggregation will be </w:t>
      </w:r>
      <w:r>
        <w:rPr>
          <w:rFonts w:ascii="Times New Roman" w:hAnsi="Times New Roman" w:cs="Times New Roman"/>
          <w:color w:val="000000" w:themeColor="text1"/>
          <w:sz w:val="24"/>
          <w:szCs w:val="24"/>
        </w:rPr>
        <w:t>discussed</w:t>
      </w:r>
      <w:r w:rsidR="008B2804" w:rsidRPr="00232E7C">
        <w:rPr>
          <w:rFonts w:ascii="Times New Roman" w:hAnsi="Times New Roman" w:cs="Times New Roman"/>
          <w:color w:val="000000" w:themeColor="text1"/>
          <w:sz w:val="24"/>
          <w:szCs w:val="24"/>
        </w:rPr>
        <w:t xml:space="preserve"> below.</w:t>
      </w:r>
    </w:p>
    <w:p w14:paraId="250D9BA7" w14:textId="61A96019"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This </w:t>
      </w:r>
      <w:r w:rsidR="002105FA">
        <w:rPr>
          <w:rFonts w:ascii="Times New Roman" w:hAnsi="Times New Roman" w:cs="Times New Roman"/>
          <w:color w:val="000000" w:themeColor="text1"/>
          <w:sz w:val="24"/>
          <w:szCs w:val="24"/>
        </w:rPr>
        <w:t xml:space="preserve">may </w:t>
      </w:r>
      <w:r w:rsidR="00A14C79" w:rsidRPr="00232E7C">
        <w:rPr>
          <w:rFonts w:ascii="Times New Roman" w:hAnsi="Times New Roman" w:cs="Times New Roman"/>
          <w:color w:val="000000" w:themeColor="text1"/>
          <w:sz w:val="24"/>
          <w:szCs w:val="24"/>
        </w:rPr>
        <w:t>observe</w:t>
      </w:r>
      <w:r w:rsidRPr="00232E7C">
        <w:rPr>
          <w:rFonts w:ascii="Times New Roman" w:hAnsi="Times New Roman" w:cs="Times New Roman"/>
          <w:color w:val="000000" w:themeColor="text1"/>
          <w:sz w:val="24"/>
          <w:szCs w:val="24"/>
        </w:rPr>
        <w:t xml:space="preserve"> deviations of the market minute volume through data histograms with respect to the </w:t>
      </w:r>
      <w:proofErr w:type="spellStart"/>
      <w:r w:rsidRPr="00232E7C">
        <w:rPr>
          <w:rFonts w:ascii="Times New Roman" w:hAnsi="Times New Roman" w:cs="Times New Roman"/>
          <w:color w:val="000000" w:themeColor="text1"/>
          <w:sz w:val="24"/>
          <w:szCs w:val="24"/>
        </w:rPr>
        <w:t>Benford’s</w:t>
      </w:r>
      <w:proofErr w:type="spellEnd"/>
      <w:r w:rsidRPr="00232E7C">
        <w:rPr>
          <w:rFonts w:ascii="Times New Roman" w:hAnsi="Times New Roman" w:cs="Times New Roman"/>
          <w:color w:val="000000" w:themeColor="text1"/>
          <w:sz w:val="24"/>
          <w:szCs w:val="24"/>
        </w:rPr>
        <w:t xml:space="preserve"> laws predictions </w:t>
      </w:r>
      <w:r w:rsidR="00A14C79">
        <w:rPr>
          <w:rFonts w:ascii="Times New Roman" w:hAnsi="Times New Roman" w:cs="Times New Roman"/>
          <w:color w:val="000000" w:themeColor="text1"/>
          <w:sz w:val="24"/>
          <w:szCs w:val="24"/>
        </w:rPr>
        <w:t>and/</w:t>
      </w:r>
      <w:r w:rsidRPr="00232E7C">
        <w:rPr>
          <w:rFonts w:ascii="Times New Roman" w:hAnsi="Times New Roman" w:cs="Times New Roman"/>
          <w:color w:val="000000" w:themeColor="text1"/>
          <w:sz w:val="24"/>
          <w:szCs w:val="24"/>
        </w:rPr>
        <w:t xml:space="preserve">or expectations </w:t>
      </w:r>
      <w:r w:rsidR="002105FA">
        <w:rPr>
          <w:rFonts w:ascii="Times New Roman" w:hAnsi="Times New Roman" w:cs="Times New Roman"/>
          <w:color w:val="000000" w:themeColor="text1"/>
          <w:sz w:val="24"/>
          <w:szCs w:val="24"/>
        </w:rPr>
        <w:t xml:space="preserve">results will publish </w:t>
      </w:r>
      <w:r w:rsidRPr="00232E7C">
        <w:rPr>
          <w:rFonts w:ascii="Times New Roman" w:hAnsi="Times New Roman" w:cs="Times New Roman"/>
          <w:color w:val="000000" w:themeColor="text1"/>
          <w:sz w:val="24"/>
          <w:szCs w:val="24"/>
        </w:rPr>
        <w:t xml:space="preserve">in </w:t>
      </w:r>
      <w:r w:rsidRPr="008025A8">
        <w:rPr>
          <w:rFonts w:ascii="Times New Roman" w:hAnsi="Times New Roman" w:cs="Times New Roman"/>
          <w:color w:val="000000" w:themeColor="text1"/>
          <w:sz w:val="24"/>
          <w:szCs w:val="24"/>
        </w:rPr>
        <w:t xml:space="preserve">Section </w:t>
      </w:r>
      <w:r w:rsidR="002105FA">
        <w:rPr>
          <w:rFonts w:ascii="Times New Roman" w:hAnsi="Times New Roman" w:cs="Times New Roman"/>
          <w:color w:val="000000" w:themeColor="text1"/>
          <w:sz w:val="24"/>
          <w:szCs w:val="24"/>
        </w:rPr>
        <w:t>(</w:t>
      </w:r>
      <w:r w:rsidRPr="008025A8">
        <w:rPr>
          <w:rFonts w:ascii="Times New Roman" w:hAnsi="Times New Roman" w:cs="Times New Roman"/>
          <w:color w:val="000000" w:themeColor="text1"/>
          <w:sz w:val="24"/>
          <w:szCs w:val="24"/>
        </w:rPr>
        <w:t>2.4</w:t>
      </w:r>
      <w:r w:rsidR="002105FA">
        <w:rPr>
          <w:rFonts w:ascii="Times New Roman" w:hAnsi="Times New Roman" w:cs="Times New Roman"/>
          <w:color w:val="000000" w:themeColor="text1"/>
          <w:sz w:val="24"/>
          <w:szCs w:val="24"/>
        </w:rPr>
        <w:t>)</w:t>
      </w:r>
      <w:r w:rsidRPr="008025A8">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 xml:space="preserve"> The findings </w:t>
      </w:r>
      <w:r w:rsidR="00A14C79">
        <w:rPr>
          <w:rFonts w:ascii="Times New Roman" w:hAnsi="Times New Roman" w:cs="Times New Roman"/>
          <w:color w:val="000000" w:themeColor="text1"/>
          <w:sz w:val="24"/>
          <w:szCs w:val="24"/>
        </w:rPr>
        <w:t>will be discussed in reflection of studies like</w:t>
      </w:r>
      <w:r w:rsidRPr="00232E7C">
        <w:rPr>
          <w:rFonts w:ascii="Times New Roman" w:hAnsi="Times New Roman" w:cs="Times New Roman"/>
          <w:color w:val="000000" w:themeColor="text1"/>
          <w:sz w:val="24"/>
          <w:szCs w:val="24"/>
        </w:rPr>
        <w:t xml:space="preserve"> </w:t>
      </w:r>
      <w:r w:rsidRPr="00B92BB9">
        <w:rPr>
          <w:rFonts w:ascii="Times New Roman" w:eastAsia="Times New Roman" w:hAnsi="Times New Roman" w:cs="Times New Roman"/>
          <w:sz w:val="24"/>
          <w:szCs w:val="24"/>
          <w:lang w:eastAsia="en-GB"/>
        </w:rPr>
        <w:t xml:space="preserve">(Ley, 1996; </w:t>
      </w:r>
      <w:proofErr w:type="spellStart"/>
      <w:r w:rsidRPr="00B92BB9">
        <w:rPr>
          <w:rFonts w:ascii="Times New Roman" w:eastAsia="Times New Roman" w:hAnsi="Times New Roman" w:cs="Times New Roman"/>
          <w:sz w:val="24"/>
          <w:szCs w:val="24"/>
          <w:lang w:eastAsia="en-GB"/>
        </w:rPr>
        <w:t>Corazza</w:t>
      </w:r>
      <w:proofErr w:type="spellEnd"/>
      <w:r w:rsidRPr="00B92BB9">
        <w:rPr>
          <w:rFonts w:ascii="Times New Roman" w:eastAsia="Times New Roman" w:hAnsi="Times New Roman" w:cs="Times New Roman"/>
          <w:sz w:val="24"/>
          <w:szCs w:val="24"/>
          <w:lang w:eastAsia="en-GB"/>
        </w:rPr>
        <w:t xml:space="preserve">, </w:t>
      </w:r>
      <w:proofErr w:type="spellStart"/>
      <w:r w:rsidRPr="00B92BB9">
        <w:rPr>
          <w:rFonts w:ascii="Times New Roman" w:eastAsia="Times New Roman" w:hAnsi="Times New Roman" w:cs="Times New Roman"/>
          <w:sz w:val="24"/>
          <w:szCs w:val="24"/>
          <w:lang w:eastAsia="en-GB"/>
        </w:rPr>
        <w:t>Ellero</w:t>
      </w:r>
      <w:proofErr w:type="spellEnd"/>
      <w:r w:rsidRPr="00B92BB9">
        <w:rPr>
          <w:rFonts w:ascii="Times New Roman" w:eastAsia="Times New Roman" w:hAnsi="Times New Roman" w:cs="Times New Roman"/>
          <w:sz w:val="24"/>
          <w:szCs w:val="24"/>
          <w:lang w:eastAsia="en-GB"/>
        </w:rPr>
        <w:t xml:space="preserve"> and </w:t>
      </w:r>
      <w:proofErr w:type="spellStart"/>
      <w:r w:rsidRPr="00B92BB9">
        <w:rPr>
          <w:rFonts w:ascii="Times New Roman" w:eastAsia="Times New Roman" w:hAnsi="Times New Roman" w:cs="Times New Roman"/>
          <w:sz w:val="24"/>
          <w:szCs w:val="24"/>
          <w:lang w:eastAsia="en-GB"/>
        </w:rPr>
        <w:t>Zorzi</w:t>
      </w:r>
      <w:proofErr w:type="spellEnd"/>
      <w:r w:rsidRPr="00B92BB9">
        <w:rPr>
          <w:rFonts w:ascii="Times New Roman" w:eastAsia="Times New Roman" w:hAnsi="Times New Roman" w:cs="Times New Roman"/>
          <w:sz w:val="24"/>
          <w:szCs w:val="24"/>
          <w:lang w:eastAsia="en-GB"/>
        </w:rPr>
        <w:t>, 2010; Zhao and Wu, 2010</w:t>
      </w:r>
      <w:r w:rsidR="00A14C79">
        <w:rPr>
          <w:rFonts w:ascii="Times New Roman" w:eastAsia="Times New Roman" w:hAnsi="Times New Roman" w:cs="Times New Roman"/>
          <w:sz w:val="24"/>
          <w:szCs w:val="24"/>
          <w:lang w:eastAsia="en-GB"/>
        </w:rPr>
        <w:t>) and</w:t>
      </w:r>
      <w:r w:rsidRPr="00232E7C">
        <w:rPr>
          <w:rFonts w:ascii="Times New Roman" w:hAnsi="Times New Roman" w:cs="Times New Roman"/>
          <w:color w:val="000000" w:themeColor="text1"/>
          <w:sz w:val="24"/>
          <w:szCs w:val="24"/>
        </w:rPr>
        <w:t xml:space="preserve"> the causes for such </w:t>
      </w:r>
      <w:r w:rsidR="00A14C79">
        <w:rPr>
          <w:rFonts w:ascii="Times New Roman" w:hAnsi="Times New Roman" w:cs="Times New Roman"/>
          <w:color w:val="000000" w:themeColor="text1"/>
          <w:sz w:val="24"/>
          <w:szCs w:val="24"/>
        </w:rPr>
        <w:t xml:space="preserve">findings </w:t>
      </w:r>
      <w:r w:rsidRPr="00232E7C">
        <w:rPr>
          <w:rFonts w:ascii="Times New Roman" w:hAnsi="Times New Roman" w:cs="Times New Roman"/>
          <w:color w:val="000000" w:themeColor="text1"/>
          <w:sz w:val="24"/>
          <w:szCs w:val="24"/>
        </w:rPr>
        <w:t>a</w:t>
      </w:r>
      <w:r w:rsidR="00A14C79">
        <w:rPr>
          <w:rFonts w:ascii="Times New Roman" w:hAnsi="Times New Roman" w:cs="Times New Roman"/>
          <w:color w:val="000000" w:themeColor="text1"/>
          <w:sz w:val="24"/>
          <w:szCs w:val="24"/>
        </w:rPr>
        <w:t>s</w:t>
      </w:r>
      <w:r w:rsidRPr="00232E7C">
        <w:rPr>
          <w:rFonts w:ascii="Times New Roman" w:hAnsi="Times New Roman" w:cs="Times New Roman"/>
          <w:color w:val="000000" w:themeColor="text1"/>
          <w:sz w:val="24"/>
          <w:szCs w:val="24"/>
        </w:rPr>
        <w:t xml:space="preserve"> disagreement</w:t>
      </w:r>
      <w:r w:rsidR="00A14C79">
        <w:rPr>
          <w:rFonts w:ascii="Times New Roman" w:hAnsi="Times New Roman" w:cs="Times New Roman"/>
          <w:color w:val="000000" w:themeColor="text1"/>
          <w:sz w:val="24"/>
          <w:szCs w:val="24"/>
        </w:rPr>
        <w:t xml:space="preserve"> will provide </w:t>
      </w:r>
      <w:r w:rsidR="00A14C79" w:rsidRPr="00232E7C">
        <w:rPr>
          <w:rFonts w:ascii="Times New Roman" w:hAnsi="Times New Roman" w:cs="Times New Roman"/>
          <w:color w:val="000000" w:themeColor="text1"/>
          <w:sz w:val="24"/>
          <w:szCs w:val="24"/>
        </w:rPr>
        <w:t>in</w:t>
      </w:r>
      <w:r w:rsidRPr="00232E7C">
        <w:rPr>
          <w:rFonts w:ascii="Times New Roman" w:hAnsi="Times New Roman" w:cs="Times New Roman"/>
          <w:color w:val="000000" w:themeColor="text1"/>
          <w:sz w:val="24"/>
          <w:szCs w:val="24"/>
        </w:rPr>
        <w:t xml:space="preserve"> Section </w:t>
      </w:r>
      <w:r w:rsidR="002105FA">
        <w:rPr>
          <w:rFonts w:ascii="Times New Roman" w:hAnsi="Times New Roman" w:cs="Times New Roman"/>
          <w:color w:val="000000" w:themeColor="text1"/>
          <w:sz w:val="24"/>
          <w:szCs w:val="24"/>
        </w:rPr>
        <w:t>(2.</w:t>
      </w:r>
      <w:r w:rsidRPr="00232E7C">
        <w:rPr>
          <w:rFonts w:ascii="Times New Roman" w:hAnsi="Times New Roman" w:cs="Times New Roman"/>
          <w:color w:val="000000" w:themeColor="text1"/>
          <w:sz w:val="24"/>
          <w:szCs w:val="24"/>
        </w:rPr>
        <w:t>5</w:t>
      </w:r>
      <w:r w:rsidR="002105FA">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 xml:space="preserve">. </w:t>
      </w:r>
      <w:r w:rsidR="00CA7483">
        <w:rPr>
          <w:rFonts w:ascii="Times New Roman" w:hAnsi="Times New Roman" w:cs="Times New Roman"/>
          <w:color w:val="000000" w:themeColor="text1"/>
          <w:sz w:val="24"/>
          <w:szCs w:val="24"/>
        </w:rPr>
        <w:t>Also,</w:t>
      </w:r>
      <w:r w:rsidR="00A14C79">
        <w:rPr>
          <w:rFonts w:ascii="Times New Roman"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the log returns</w:t>
      </w:r>
      <w:r w:rsidR="00A14C79">
        <w:rPr>
          <w:rFonts w:ascii="Times New Roman" w:hAnsi="Times New Roman" w:cs="Times New Roman"/>
          <w:color w:val="000000" w:themeColor="text1"/>
          <w:sz w:val="24"/>
          <w:szCs w:val="24"/>
        </w:rPr>
        <w:t xml:space="preserve"> will be investigated for the confirmation </w:t>
      </w:r>
      <w:r w:rsidR="00CA7483">
        <w:rPr>
          <w:rFonts w:ascii="Times New Roman" w:hAnsi="Times New Roman" w:cs="Times New Roman"/>
          <w:color w:val="000000" w:themeColor="text1"/>
          <w:sz w:val="24"/>
          <w:szCs w:val="24"/>
        </w:rPr>
        <w:t xml:space="preserve">of </w:t>
      </w:r>
      <w:proofErr w:type="spellStart"/>
      <w:r w:rsidR="00CA7483" w:rsidRPr="00232E7C">
        <w:rPr>
          <w:rFonts w:ascii="Times New Roman" w:hAnsi="Times New Roman" w:cs="Times New Roman"/>
          <w:color w:val="000000" w:themeColor="text1"/>
          <w:sz w:val="24"/>
          <w:szCs w:val="24"/>
        </w:rPr>
        <w:t>Benford’s</w:t>
      </w:r>
      <w:proofErr w:type="spellEnd"/>
      <w:r w:rsidRPr="00232E7C">
        <w:rPr>
          <w:rFonts w:ascii="Times New Roman" w:hAnsi="Times New Roman" w:cs="Times New Roman"/>
          <w:color w:val="000000" w:themeColor="text1"/>
          <w:sz w:val="24"/>
          <w:szCs w:val="24"/>
        </w:rPr>
        <w:t xml:space="preserve"> laws. </w:t>
      </w:r>
    </w:p>
    <w:p w14:paraId="16192D43" w14:textId="0FB42287" w:rsidR="008B2804" w:rsidRPr="00B92BB9" w:rsidRDefault="00A14C79" w:rsidP="009340A8">
      <w:pPr>
        <w:spacing w:line="360" w:lineRule="auto"/>
        <w:rPr>
          <w:rFonts w:ascii="Times New Roman" w:eastAsia="Times New Roman" w:hAnsi="Times New Roman" w:cs="Times New Roman"/>
          <w:lang w:eastAsia="en-GB"/>
        </w:rPr>
      </w:pPr>
      <w:r w:rsidRPr="00A14C79">
        <w:rPr>
          <w:rFonts w:ascii="Times New Roman" w:hAnsi="Times New Roman" w:cs="Times New Roman"/>
          <w:color w:val="000000" w:themeColor="text1"/>
          <w:sz w:val="24"/>
          <w:szCs w:val="24"/>
        </w:rPr>
        <w:t xml:space="preserve">In this manner, despite the fact that </w:t>
      </w:r>
      <w:proofErr w:type="spellStart"/>
      <w:r w:rsidRPr="00A14C79">
        <w:rPr>
          <w:rFonts w:ascii="Times New Roman" w:hAnsi="Times New Roman" w:cs="Times New Roman"/>
          <w:color w:val="000000" w:themeColor="text1"/>
          <w:sz w:val="24"/>
          <w:szCs w:val="24"/>
        </w:rPr>
        <w:t>Benford</w:t>
      </w:r>
      <w:proofErr w:type="spellEnd"/>
      <w:r w:rsidRPr="00A14C79">
        <w:rPr>
          <w:rFonts w:ascii="Times New Roman" w:hAnsi="Times New Roman" w:cs="Times New Roman"/>
          <w:color w:val="000000" w:themeColor="text1"/>
          <w:sz w:val="24"/>
          <w:szCs w:val="24"/>
        </w:rPr>
        <w:t xml:space="preserve"> laws are primarily used to call attention to likely cheats in fiscal reports, by organizations (Saville, 2006) or (Rauch, </w:t>
      </w:r>
      <w:proofErr w:type="spellStart"/>
      <w:r w:rsidRPr="00A14C79">
        <w:rPr>
          <w:rFonts w:ascii="Times New Roman" w:hAnsi="Times New Roman" w:cs="Times New Roman"/>
          <w:color w:val="000000" w:themeColor="text1"/>
          <w:sz w:val="24"/>
          <w:szCs w:val="24"/>
        </w:rPr>
        <w:t>Göttsche</w:t>
      </w:r>
      <w:proofErr w:type="spellEnd"/>
      <w:r w:rsidRPr="00A14C79">
        <w:rPr>
          <w:rFonts w:ascii="Times New Roman" w:hAnsi="Times New Roman" w:cs="Times New Roman"/>
          <w:color w:val="000000" w:themeColor="text1"/>
          <w:sz w:val="24"/>
          <w:szCs w:val="24"/>
        </w:rPr>
        <w:t xml:space="preserve">, Engel and </w:t>
      </w:r>
      <w:proofErr w:type="spellStart"/>
      <w:r w:rsidRPr="00A14C79">
        <w:rPr>
          <w:rFonts w:ascii="Times New Roman" w:hAnsi="Times New Roman" w:cs="Times New Roman"/>
          <w:color w:val="000000" w:themeColor="text1"/>
          <w:sz w:val="24"/>
          <w:szCs w:val="24"/>
        </w:rPr>
        <w:t>Brähler</w:t>
      </w:r>
      <w:proofErr w:type="spellEnd"/>
      <w:r w:rsidRPr="00A14C79">
        <w:rPr>
          <w:rFonts w:ascii="Times New Roman" w:hAnsi="Times New Roman" w:cs="Times New Roman"/>
          <w:color w:val="000000" w:themeColor="text1"/>
          <w:sz w:val="24"/>
          <w:szCs w:val="24"/>
        </w:rPr>
        <w:t xml:space="preserve">, 2011), one might </w:t>
      </w:r>
      <w:r w:rsidR="00CA7483" w:rsidRPr="00A14C79">
        <w:rPr>
          <w:rFonts w:ascii="Times New Roman" w:hAnsi="Times New Roman" w:cs="Times New Roman"/>
          <w:color w:val="000000" w:themeColor="text1"/>
          <w:sz w:val="24"/>
          <w:szCs w:val="24"/>
        </w:rPr>
        <w:t>contemplate</w:t>
      </w:r>
      <w:r w:rsidRPr="00A14C79">
        <w:rPr>
          <w:rFonts w:ascii="Times New Roman" w:hAnsi="Times New Roman" w:cs="Times New Roman"/>
          <w:color w:val="000000" w:themeColor="text1"/>
          <w:sz w:val="24"/>
          <w:szCs w:val="24"/>
        </w:rPr>
        <w:t xml:space="preserve"> </w:t>
      </w:r>
      <w:r w:rsidR="00CA7483">
        <w:rPr>
          <w:rFonts w:ascii="Times New Roman" w:hAnsi="Times New Roman" w:cs="Times New Roman"/>
          <w:color w:val="000000" w:themeColor="text1"/>
          <w:sz w:val="24"/>
          <w:szCs w:val="24"/>
        </w:rPr>
        <w:t>and/</w:t>
      </w:r>
      <w:r w:rsidRPr="00A14C79">
        <w:rPr>
          <w:rFonts w:ascii="Times New Roman" w:hAnsi="Times New Roman" w:cs="Times New Roman"/>
          <w:color w:val="000000" w:themeColor="text1"/>
          <w:sz w:val="24"/>
          <w:szCs w:val="24"/>
        </w:rPr>
        <w:t xml:space="preserve">or expect that </w:t>
      </w:r>
      <w:proofErr w:type="gramStart"/>
      <w:r w:rsidRPr="00A14C79">
        <w:rPr>
          <w:rFonts w:ascii="Times New Roman" w:hAnsi="Times New Roman" w:cs="Times New Roman"/>
          <w:color w:val="000000" w:themeColor="text1"/>
          <w:sz w:val="24"/>
          <w:szCs w:val="24"/>
        </w:rPr>
        <w:t xml:space="preserve">such </w:t>
      </w:r>
      <w:r w:rsidR="00CA7483">
        <w:rPr>
          <w:rFonts w:ascii="Times New Roman" w:hAnsi="Times New Roman" w:cs="Times New Roman"/>
          <w:color w:val="000000" w:themeColor="text1"/>
          <w:sz w:val="24"/>
          <w:szCs w:val="24"/>
        </w:rPr>
        <w:t xml:space="preserve"> </w:t>
      </w:r>
      <w:r w:rsidRPr="00A14C79">
        <w:rPr>
          <w:rFonts w:ascii="Times New Roman" w:hAnsi="Times New Roman" w:cs="Times New Roman"/>
          <w:color w:val="000000" w:themeColor="text1"/>
          <w:sz w:val="24"/>
          <w:szCs w:val="24"/>
        </w:rPr>
        <w:t>&lt;</w:t>
      </w:r>
      <w:proofErr w:type="gramEnd"/>
      <w:r w:rsidRPr="00A14C79">
        <w:rPr>
          <w:rFonts w:ascii="Times New Roman" w:hAnsi="Times New Roman" w:cs="Times New Roman"/>
          <w:color w:val="000000" w:themeColor="text1"/>
          <w:sz w:val="24"/>
          <w:szCs w:val="24"/>
        </w:rPr>
        <w:t>&lt;laws&gt;&gt; can be utilized by financial backers, or in building relevant models dependent on instability. Next to the discoveries about information ranges, and the</w:t>
      </w:r>
      <w:r w:rsidR="00CA7483">
        <w:rPr>
          <w:rFonts w:ascii="Times New Roman" w:hAnsi="Times New Roman" w:cs="Times New Roman"/>
          <w:color w:val="000000" w:themeColor="text1"/>
          <w:sz w:val="24"/>
          <w:szCs w:val="24"/>
        </w:rPr>
        <w:t xml:space="preserve"> role</w:t>
      </w:r>
      <w:r w:rsidRPr="00A14C79">
        <w:rPr>
          <w:rFonts w:ascii="Times New Roman" w:hAnsi="Times New Roman" w:cs="Times New Roman"/>
          <w:color w:val="000000" w:themeColor="text1"/>
          <w:sz w:val="24"/>
          <w:szCs w:val="24"/>
        </w:rPr>
        <w:t xml:space="preserve"> of digits recurrence at some situation in the thought about numbers, one might propose further examination, forthcoming that the contemplations can be attached to different methods dependent on the recurrence of digits, similar to letters in a text (</w:t>
      </w:r>
      <w:proofErr w:type="spellStart"/>
      <w:r w:rsidRPr="00A14C79">
        <w:rPr>
          <w:rFonts w:ascii="Times New Roman" w:hAnsi="Times New Roman" w:cs="Times New Roman"/>
          <w:color w:val="000000" w:themeColor="text1"/>
          <w:sz w:val="24"/>
          <w:szCs w:val="24"/>
        </w:rPr>
        <w:t>Shulzinger</w:t>
      </w:r>
      <w:proofErr w:type="spellEnd"/>
      <w:r w:rsidRPr="00A14C79">
        <w:rPr>
          <w:rFonts w:ascii="Times New Roman" w:hAnsi="Times New Roman" w:cs="Times New Roman"/>
          <w:color w:val="000000" w:themeColor="text1"/>
          <w:sz w:val="24"/>
          <w:szCs w:val="24"/>
        </w:rPr>
        <w:t xml:space="preserve"> and </w:t>
      </w:r>
      <w:proofErr w:type="spellStart"/>
      <w:r w:rsidRPr="00A14C79">
        <w:rPr>
          <w:rFonts w:ascii="Times New Roman" w:hAnsi="Times New Roman" w:cs="Times New Roman"/>
          <w:color w:val="000000" w:themeColor="text1"/>
          <w:sz w:val="24"/>
          <w:szCs w:val="24"/>
        </w:rPr>
        <w:t>Bormashenko</w:t>
      </w:r>
      <w:proofErr w:type="spellEnd"/>
      <w:r w:rsidRPr="00A14C79">
        <w:rPr>
          <w:rFonts w:ascii="Times New Roman" w:hAnsi="Times New Roman" w:cs="Times New Roman"/>
          <w:color w:val="000000" w:themeColor="text1"/>
          <w:sz w:val="24"/>
          <w:szCs w:val="24"/>
        </w:rPr>
        <w:t xml:space="preserve">, 2017). This is likewise applicable to </w:t>
      </w:r>
      <w:r w:rsidRPr="00A14C79">
        <w:rPr>
          <w:rFonts w:ascii="Times New Roman" w:hAnsi="Times New Roman" w:cs="Times New Roman"/>
          <w:color w:val="000000" w:themeColor="text1"/>
          <w:sz w:val="24"/>
          <w:szCs w:val="24"/>
        </w:rPr>
        <w:lastRenderedPageBreak/>
        <w:t>Bayesian methodologies (or sources of info) and Markov models in financial backer danger taking angles.</w:t>
      </w:r>
    </w:p>
    <w:p w14:paraId="5EEA23C7" w14:textId="69CB998D" w:rsidR="008B2804" w:rsidRPr="00BA27A7" w:rsidRDefault="008B2804" w:rsidP="008B2804">
      <w:pPr>
        <w:pStyle w:val="Heading2"/>
        <w:rPr>
          <w:color w:val="002060"/>
        </w:rPr>
      </w:pPr>
      <w:bookmarkStart w:id="143" w:name="_Toc90499985"/>
      <w:r w:rsidRPr="00BA27A7">
        <w:rPr>
          <w:color w:val="002060"/>
        </w:rPr>
        <w:t>2.3.1 State of the Art</w:t>
      </w:r>
      <w:bookmarkEnd w:id="143"/>
    </w:p>
    <w:p w14:paraId="491E7659" w14:textId="4DCC135F" w:rsidR="00034A52" w:rsidRDefault="004B15D5" w:rsidP="009340A8">
      <w:pPr>
        <w:spacing w:line="360" w:lineRule="auto"/>
        <w:jc w:val="both"/>
        <w:rPr>
          <w:rFonts w:ascii="Times New Roman" w:hAnsi="Times New Roman" w:cs="Times New Roman"/>
          <w:color w:val="000000" w:themeColor="text1"/>
          <w:sz w:val="24"/>
          <w:szCs w:val="24"/>
        </w:rPr>
      </w:pPr>
      <w:r w:rsidRPr="004B15D5">
        <w:rPr>
          <w:rFonts w:ascii="Times New Roman" w:eastAsia="Times New Roman" w:hAnsi="Times New Roman" w:cs="Times New Roman"/>
          <w:sz w:val="24"/>
          <w:szCs w:val="24"/>
          <w:lang w:eastAsia="en-GB"/>
        </w:rPr>
        <w:t xml:space="preserve">(Ley, 1996) has evidently been quick to inspect "the unconventional circulation of the US stock lists' digits". One needs to stand by 2010, for contemplations by Zhao and Wu on the inquiry whether Chinese stock lists concur with </w:t>
      </w:r>
      <w:proofErr w:type="spellStart"/>
      <w:r w:rsidRPr="004B15D5">
        <w:rPr>
          <w:rFonts w:ascii="Times New Roman" w:eastAsia="Times New Roman" w:hAnsi="Times New Roman" w:cs="Times New Roman"/>
          <w:sz w:val="24"/>
          <w:szCs w:val="24"/>
          <w:lang w:eastAsia="en-GB"/>
        </w:rPr>
        <w:t>Benford's</w:t>
      </w:r>
      <w:proofErr w:type="spellEnd"/>
      <w:r w:rsidRPr="004B15D5">
        <w:rPr>
          <w:rFonts w:ascii="Times New Roman" w:eastAsia="Times New Roman" w:hAnsi="Times New Roman" w:cs="Times New Roman"/>
          <w:sz w:val="24"/>
          <w:szCs w:val="24"/>
          <w:lang w:eastAsia="en-GB"/>
        </w:rPr>
        <w:t xml:space="preserve"> Law (Zhao and Wu, 2010). In the two cases, (Ley, 1996) and (Zhao and Wu, 2010), </w:t>
      </w:r>
      <w:proofErr w:type="spellStart"/>
      <w:r w:rsidRPr="004B15D5">
        <w:rPr>
          <w:rFonts w:ascii="Times New Roman" w:eastAsia="Times New Roman" w:hAnsi="Times New Roman" w:cs="Times New Roman"/>
          <w:sz w:val="24"/>
          <w:szCs w:val="24"/>
          <w:lang w:eastAsia="en-GB"/>
        </w:rPr>
        <w:t>Benford's</w:t>
      </w:r>
      <w:proofErr w:type="spellEnd"/>
      <w:r w:rsidRPr="004B15D5">
        <w:rPr>
          <w:rFonts w:ascii="Times New Roman" w:eastAsia="Times New Roman" w:hAnsi="Times New Roman" w:cs="Times New Roman"/>
          <w:sz w:val="24"/>
          <w:szCs w:val="24"/>
          <w:lang w:eastAsia="en-GB"/>
        </w:rPr>
        <w:t xml:space="preserve"> law is professed to be legitimate.</w:t>
      </w:r>
      <w:r>
        <w:rPr>
          <w:rFonts w:ascii="Times New Roman" w:eastAsia="Times New Roman" w:hAnsi="Times New Roman" w:cs="Times New Roman"/>
          <w:sz w:val="24"/>
          <w:szCs w:val="24"/>
          <w:lang w:eastAsia="en-GB"/>
        </w:rPr>
        <w:t xml:space="preserve"> </w:t>
      </w:r>
      <w:r w:rsidRPr="004B15D5">
        <w:rPr>
          <w:rFonts w:ascii="Times New Roman" w:hAnsi="Times New Roman" w:cs="Times New Roman"/>
          <w:color w:val="000000" w:themeColor="text1"/>
          <w:sz w:val="24"/>
          <w:szCs w:val="24"/>
        </w:rPr>
        <w:t>Firmly associated with our report, (</w:t>
      </w:r>
      <w:proofErr w:type="spellStart"/>
      <w:r w:rsidRPr="004B15D5">
        <w:rPr>
          <w:rFonts w:ascii="Times New Roman" w:hAnsi="Times New Roman" w:cs="Times New Roman"/>
          <w:color w:val="000000" w:themeColor="text1"/>
          <w:sz w:val="24"/>
          <w:szCs w:val="24"/>
        </w:rPr>
        <w:t>Corazza</w:t>
      </w:r>
      <w:proofErr w:type="spellEnd"/>
      <w:r w:rsidRPr="004B15D5">
        <w:rPr>
          <w:rFonts w:ascii="Times New Roman" w:hAnsi="Times New Roman" w:cs="Times New Roman"/>
          <w:color w:val="000000" w:themeColor="text1"/>
          <w:sz w:val="24"/>
          <w:szCs w:val="24"/>
        </w:rPr>
        <w:t xml:space="preserve">, </w:t>
      </w:r>
      <w:proofErr w:type="spellStart"/>
      <w:r w:rsidRPr="004B15D5">
        <w:rPr>
          <w:rFonts w:ascii="Times New Roman" w:hAnsi="Times New Roman" w:cs="Times New Roman"/>
          <w:color w:val="000000" w:themeColor="text1"/>
          <w:sz w:val="24"/>
          <w:szCs w:val="24"/>
        </w:rPr>
        <w:t>Ellero</w:t>
      </w:r>
      <w:proofErr w:type="spellEnd"/>
      <w:r w:rsidRPr="004B15D5">
        <w:rPr>
          <w:rFonts w:ascii="Times New Roman" w:hAnsi="Times New Roman" w:cs="Times New Roman"/>
          <w:color w:val="000000" w:themeColor="text1"/>
          <w:sz w:val="24"/>
          <w:szCs w:val="24"/>
        </w:rPr>
        <w:t xml:space="preserve"> and </w:t>
      </w:r>
      <w:proofErr w:type="spellStart"/>
      <w:r w:rsidRPr="004B15D5">
        <w:rPr>
          <w:rFonts w:ascii="Times New Roman" w:hAnsi="Times New Roman" w:cs="Times New Roman"/>
          <w:color w:val="000000" w:themeColor="text1"/>
          <w:sz w:val="24"/>
          <w:szCs w:val="24"/>
        </w:rPr>
        <w:t>Zorzi</w:t>
      </w:r>
      <w:proofErr w:type="spellEnd"/>
      <w:r w:rsidRPr="004B15D5">
        <w:rPr>
          <w:rFonts w:ascii="Times New Roman" w:hAnsi="Times New Roman" w:cs="Times New Roman"/>
          <w:color w:val="000000" w:themeColor="text1"/>
          <w:sz w:val="24"/>
          <w:szCs w:val="24"/>
        </w:rPr>
        <w:t xml:space="preserve">, 2010) checked whether </w:t>
      </w:r>
      <w:r>
        <w:rPr>
          <w:rFonts w:ascii="Times New Roman" w:hAnsi="Times New Roman" w:cs="Times New Roman"/>
          <w:color w:val="000000" w:themeColor="text1"/>
          <w:sz w:val="24"/>
          <w:szCs w:val="24"/>
        </w:rPr>
        <w:t>financial markets</w:t>
      </w:r>
      <w:r w:rsidRPr="004B15D5">
        <w:rPr>
          <w:rFonts w:ascii="Times New Roman" w:hAnsi="Times New Roman" w:cs="Times New Roman"/>
          <w:color w:val="000000" w:themeColor="text1"/>
          <w:sz w:val="24"/>
          <w:szCs w:val="24"/>
        </w:rPr>
        <w:t xml:space="preserve"> like the S&amp;P 500 case, from August 14, 1995, to October 17, 2007, subsequently 3067 information focuses, submitted to BL1 (</w:t>
      </w:r>
      <w:proofErr w:type="spellStart"/>
      <w:r w:rsidRPr="004B15D5">
        <w:rPr>
          <w:rFonts w:ascii="Times New Roman" w:hAnsi="Times New Roman" w:cs="Times New Roman"/>
          <w:color w:val="000000" w:themeColor="text1"/>
          <w:sz w:val="24"/>
          <w:szCs w:val="24"/>
        </w:rPr>
        <w:t>Corazza</w:t>
      </w:r>
      <w:proofErr w:type="spellEnd"/>
      <w:r w:rsidRPr="004B15D5">
        <w:rPr>
          <w:rFonts w:ascii="Times New Roman" w:hAnsi="Times New Roman" w:cs="Times New Roman"/>
          <w:color w:val="000000" w:themeColor="text1"/>
          <w:sz w:val="24"/>
          <w:szCs w:val="24"/>
        </w:rPr>
        <w:t xml:space="preserve">, </w:t>
      </w:r>
      <w:proofErr w:type="spellStart"/>
      <w:r w:rsidRPr="004B15D5">
        <w:rPr>
          <w:rFonts w:ascii="Times New Roman" w:hAnsi="Times New Roman" w:cs="Times New Roman"/>
          <w:color w:val="000000" w:themeColor="text1"/>
          <w:sz w:val="24"/>
          <w:szCs w:val="24"/>
        </w:rPr>
        <w:t>Ellero</w:t>
      </w:r>
      <w:proofErr w:type="spellEnd"/>
      <w:r w:rsidRPr="004B15D5">
        <w:rPr>
          <w:rFonts w:ascii="Times New Roman" w:hAnsi="Times New Roman" w:cs="Times New Roman"/>
          <w:color w:val="000000" w:themeColor="text1"/>
          <w:sz w:val="24"/>
          <w:szCs w:val="24"/>
        </w:rPr>
        <w:t xml:space="preserve"> and </w:t>
      </w:r>
      <w:proofErr w:type="spellStart"/>
      <w:r w:rsidRPr="004B15D5">
        <w:rPr>
          <w:rFonts w:ascii="Times New Roman" w:hAnsi="Times New Roman" w:cs="Times New Roman"/>
          <w:color w:val="000000" w:themeColor="text1"/>
          <w:sz w:val="24"/>
          <w:szCs w:val="24"/>
        </w:rPr>
        <w:t>Zorzi</w:t>
      </w:r>
      <w:proofErr w:type="spellEnd"/>
      <w:r w:rsidRPr="004B15D5">
        <w:rPr>
          <w:rFonts w:ascii="Times New Roman" w:hAnsi="Times New Roman" w:cs="Times New Roman"/>
          <w:color w:val="000000" w:themeColor="text1"/>
          <w:sz w:val="24"/>
          <w:szCs w:val="24"/>
        </w:rPr>
        <w:t xml:space="preserve">, 2010). The creators additionally tracked down some sensible arrangement, aside from, they guarantee, at abnormal occasions, similar to showcase accidents or extraordinary occasions. Allow to </w:t>
      </w:r>
      <w:proofErr w:type="gramStart"/>
      <w:r w:rsidRPr="004B15D5">
        <w:rPr>
          <w:rFonts w:ascii="Times New Roman" w:hAnsi="Times New Roman" w:cs="Times New Roman"/>
          <w:color w:val="000000" w:themeColor="text1"/>
          <w:sz w:val="24"/>
          <w:szCs w:val="24"/>
        </w:rPr>
        <w:t>make reference</w:t>
      </w:r>
      <w:proofErr w:type="gramEnd"/>
      <w:r w:rsidRPr="004B15D5">
        <w:rPr>
          <w:rFonts w:ascii="Times New Roman" w:hAnsi="Times New Roman" w:cs="Times New Roman"/>
          <w:color w:val="000000" w:themeColor="text1"/>
          <w:sz w:val="24"/>
          <w:szCs w:val="24"/>
        </w:rPr>
        <w:t xml:space="preserve"> to (</w:t>
      </w:r>
      <w:proofErr w:type="spellStart"/>
      <w:r w:rsidRPr="004B15D5">
        <w:rPr>
          <w:rFonts w:ascii="Times New Roman" w:hAnsi="Times New Roman" w:cs="Times New Roman"/>
          <w:color w:val="000000" w:themeColor="text1"/>
          <w:sz w:val="24"/>
          <w:szCs w:val="24"/>
        </w:rPr>
        <w:t>Cinko</w:t>
      </w:r>
      <w:proofErr w:type="spellEnd"/>
      <w:r w:rsidRPr="004B15D5">
        <w:rPr>
          <w:rFonts w:ascii="Times New Roman" w:hAnsi="Times New Roman" w:cs="Times New Roman"/>
          <w:color w:val="000000" w:themeColor="text1"/>
          <w:sz w:val="24"/>
          <w:szCs w:val="24"/>
        </w:rPr>
        <w:t>, 2014) and (</w:t>
      </w:r>
      <w:proofErr w:type="spellStart"/>
      <w:r w:rsidRPr="004B15D5">
        <w:rPr>
          <w:rFonts w:ascii="Times New Roman" w:hAnsi="Times New Roman" w:cs="Times New Roman"/>
          <w:color w:val="000000" w:themeColor="text1"/>
          <w:sz w:val="24"/>
          <w:szCs w:val="24"/>
        </w:rPr>
        <w:t>Aybars</w:t>
      </w:r>
      <w:proofErr w:type="spellEnd"/>
      <w:r w:rsidRPr="004B15D5">
        <w:rPr>
          <w:rFonts w:ascii="Times New Roman" w:hAnsi="Times New Roman" w:cs="Times New Roman"/>
          <w:color w:val="000000" w:themeColor="text1"/>
          <w:sz w:val="24"/>
          <w:szCs w:val="24"/>
        </w:rPr>
        <w:t xml:space="preserve"> and </w:t>
      </w:r>
      <w:proofErr w:type="spellStart"/>
      <w:r w:rsidRPr="004B15D5">
        <w:rPr>
          <w:rFonts w:ascii="Times New Roman" w:hAnsi="Times New Roman" w:cs="Times New Roman"/>
          <w:color w:val="000000" w:themeColor="text1"/>
          <w:sz w:val="24"/>
          <w:szCs w:val="24"/>
        </w:rPr>
        <w:t>Ataunal</w:t>
      </w:r>
      <w:proofErr w:type="spellEnd"/>
      <w:r w:rsidRPr="004B15D5">
        <w:rPr>
          <w:rFonts w:ascii="Times New Roman" w:hAnsi="Times New Roman" w:cs="Times New Roman"/>
          <w:color w:val="000000" w:themeColor="text1"/>
          <w:sz w:val="24"/>
          <w:szCs w:val="24"/>
        </w:rPr>
        <w:t>, 2016) where it is tried the "dispersion of BIST-100 returns" along BLs.</w:t>
      </w:r>
      <w:r>
        <w:rPr>
          <w:rFonts w:ascii="Times New Roman" w:hAnsi="Times New Roman" w:cs="Times New Roman"/>
          <w:color w:val="000000" w:themeColor="text1"/>
          <w:sz w:val="24"/>
          <w:szCs w:val="24"/>
        </w:rPr>
        <w:t xml:space="preserve"> </w:t>
      </w:r>
      <w:r w:rsidR="00034A52" w:rsidRPr="00034A52">
        <w:rPr>
          <w:rFonts w:ascii="Times New Roman" w:hAnsi="Times New Roman" w:cs="Times New Roman"/>
          <w:color w:val="000000" w:themeColor="text1"/>
          <w:sz w:val="24"/>
          <w:szCs w:val="24"/>
        </w:rPr>
        <w:t xml:space="preserve">Even more as of late, in 2018, (Shi, </w:t>
      </w:r>
      <w:proofErr w:type="spellStart"/>
      <w:r w:rsidR="00034A52" w:rsidRPr="00034A52">
        <w:rPr>
          <w:rFonts w:ascii="Times New Roman" w:hAnsi="Times New Roman" w:cs="Times New Roman"/>
          <w:color w:val="000000" w:themeColor="text1"/>
          <w:sz w:val="24"/>
          <w:szCs w:val="24"/>
        </w:rPr>
        <w:t>Ausloos</w:t>
      </w:r>
      <w:proofErr w:type="spellEnd"/>
      <w:r w:rsidR="00034A52" w:rsidRPr="00034A52">
        <w:rPr>
          <w:rFonts w:ascii="Times New Roman" w:hAnsi="Times New Roman" w:cs="Times New Roman"/>
          <w:color w:val="000000" w:themeColor="text1"/>
          <w:sz w:val="24"/>
          <w:szCs w:val="24"/>
        </w:rPr>
        <w:t xml:space="preserve"> and Zhu, 2018) took a gander at whether BL1 could derive the unwavering quality of monetary reports in (6) agricultural nations. It was shown that few outwardly atypical information must be deduced taken out, to work on the understanding.</w:t>
      </w:r>
    </w:p>
    <w:p w14:paraId="4EFD530E" w14:textId="7DD69617" w:rsidR="008B2804" w:rsidRDefault="00034A52" w:rsidP="009340A8">
      <w:pPr>
        <w:spacing w:line="360" w:lineRule="auto"/>
        <w:rPr>
          <w:rFonts w:ascii="Times New Roman" w:hAnsi="Times New Roman" w:cs="Times New Roman"/>
          <w:color w:val="000000" w:themeColor="text1"/>
          <w:sz w:val="24"/>
          <w:szCs w:val="24"/>
        </w:rPr>
      </w:pPr>
      <w:r w:rsidRPr="00034A52">
        <w:rPr>
          <w:rFonts w:ascii="Times New Roman" w:hAnsi="Times New Roman" w:cs="Times New Roman"/>
          <w:color w:val="000000" w:themeColor="text1"/>
          <w:sz w:val="24"/>
          <w:szCs w:val="24"/>
        </w:rPr>
        <w:t xml:space="preserve">Somewhere else, i.e., outside market lists considers, (Rauch, </w:t>
      </w:r>
      <w:proofErr w:type="spellStart"/>
      <w:r w:rsidRPr="00034A52">
        <w:rPr>
          <w:rFonts w:ascii="Times New Roman" w:hAnsi="Times New Roman" w:cs="Times New Roman"/>
          <w:color w:val="000000" w:themeColor="text1"/>
          <w:sz w:val="24"/>
          <w:szCs w:val="24"/>
        </w:rPr>
        <w:t>Goettsche</w:t>
      </w:r>
      <w:proofErr w:type="spellEnd"/>
      <w:r w:rsidRPr="00034A52">
        <w:rPr>
          <w:rFonts w:ascii="Times New Roman" w:hAnsi="Times New Roman" w:cs="Times New Roman"/>
          <w:color w:val="000000" w:themeColor="text1"/>
          <w:sz w:val="24"/>
          <w:szCs w:val="24"/>
        </w:rPr>
        <w:t xml:space="preserve"> and </w:t>
      </w:r>
      <w:proofErr w:type="spellStart"/>
      <w:r w:rsidRPr="00034A52">
        <w:rPr>
          <w:rFonts w:ascii="Times New Roman" w:hAnsi="Times New Roman" w:cs="Times New Roman"/>
          <w:color w:val="000000" w:themeColor="text1"/>
          <w:sz w:val="24"/>
          <w:szCs w:val="24"/>
        </w:rPr>
        <w:t>Mouaaouy</w:t>
      </w:r>
      <w:proofErr w:type="spellEnd"/>
      <w:r w:rsidRPr="00034A52">
        <w:rPr>
          <w:rFonts w:ascii="Times New Roman" w:hAnsi="Times New Roman" w:cs="Times New Roman"/>
          <w:color w:val="000000" w:themeColor="text1"/>
          <w:sz w:val="24"/>
          <w:szCs w:val="24"/>
        </w:rPr>
        <w:t xml:space="preserve">, 2013) concentrated on LIBOR Manipulation, playing out an "Experimental Analysis of Financial Market Benchmarks Using </w:t>
      </w:r>
      <w:proofErr w:type="spellStart"/>
      <w:r w:rsidRPr="00034A52">
        <w:rPr>
          <w:rFonts w:ascii="Times New Roman" w:hAnsi="Times New Roman" w:cs="Times New Roman"/>
          <w:color w:val="000000" w:themeColor="text1"/>
          <w:sz w:val="24"/>
          <w:szCs w:val="24"/>
        </w:rPr>
        <w:t>Benford's</w:t>
      </w:r>
      <w:proofErr w:type="spellEnd"/>
      <w:r w:rsidRPr="00034A52">
        <w:rPr>
          <w:rFonts w:ascii="Times New Roman" w:hAnsi="Times New Roman" w:cs="Times New Roman"/>
          <w:color w:val="000000" w:themeColor="text1"/>
          <w:sz w:val="24"/>
          <w:szCs w:val="24"/>
        </w:rPr>
        <w:t xml:space="preserve"> Law. The review focuses to a centralization of eminently high deviations from the </w:t>
      </w:r>
      <w:proofErr w:type="spellStart"/>
      <w:r w:rsidR="008B2804" w:rsidRPr="00232E7C">
        <w:rPr>
          <w:rFonts w:ascii="Times New Roman" w:hAnsi="Times New Roman" w:cs="Times New Roman"/>
          <w:color w:val="000000" w:themeColor="text1"/>
          <w:sz w:val="24"/>
          <w:szCs w:val="24"/>
        </w:rPr>
        <w:t>Benford</w:t>
      </w:r>
      <w:proofErr w:type="spellEnd"/>
      <w:r w:rsidR="008B2804" w:rsidRPr="00232E7C">
        <w:rPr>
          <w:rFonts w:ascii="Times New Roman" w:hAnsi="Times New Roman" w:cs="Times New Roman"/>
          <w:color w:val="000000" w:themeColor="text1"/>
          <w:sz w:val="24"/>
          <w:szCs w:val="24"/>
        </w:rPr>
        <w:t xml:space="preserve"> distribution”.</w:t>
      </w:r>
    </w:p>
    <w:p w14:paraId="40E036D5" w14:textId="3712681D" w:rsidR="00145E03" w:rsidRPr="00145E03" w:rsidRDefault="00145E03" w:rsidP="00145E03">
      <w:pPr>
        <w:pStyle w:val="Caption"/>
        <w:keepNext/>
        <w:rPr>
          <w:rFonts w:ascii="Times New Roman" w:hAnsi="Times New Roman" w:cs="Times New Roman"/>
          <w:color w:val="auto"/>
          <w:sz w:val="24"/>
          <w:szCs w:val="24"/>
        </w:rPr>
      </w:pPr>
      <w:r w:rsidRPr="00145E03">
        <w:rPr>
          <w:rFonts w:ascii="Times New Roman" w:hAnsi="Times New Roman" w:cs="Times New Roman"/>
          <w:color w:val="auto"/>
          <w:sz w:val="24"/>
          <w:szCs w:val="24"/>
        </w:rPr>
        <w:t>Table 2.</w:t>
      </w:r>
      <w:r>
        <w:rPr>
          <w:rFonts w:ascii="Times New Roman" w:hAnsi="Times New Roman" w:cs="Times New Roman"/>
          <w:color w:val="auto"/>
          <w:sz w:val="24"/>
          <w:szCs w:val="24"/>
        </w:rPr>
        <w:t>3.</w:t>
      </w:r>
      <w:r w:rsidRPr="00145E03">
        <w:rPr>
          <w:rFonts w:ascii="Times New Roman" w:hAnsi="Times New Roman" w:cs="Times New Roman"/>
          <w:color w:val="auto"/>
          <w:sz w:val="24"/>
          <w:szCs w:val="24"/>
        </w:rPr>
        <w:t>1 Descriptive statistics of the S&amp;P500 volume on minute data</w:t>
      </w:r>
    </w:p>
    <w:tbl>
      <w:tblPr>
        <w:tblW w:w="8637" w:type="dxa"/>
        <w:tblLook w:val="04A0" w:firstRow="1" w:lastRow="0" w:firstColumn="1" w:lastColumn="0" w:noHBand="0" w:noVBand="1"/>
      </w:tblPr>
      <w:tblGrid>
        <w:gridCol w:w="960"/>
        <w:gridCol w:w="960"/>
        <w:gridCol w:w="1053"/>
        <w:gridCol w:w="960"/>
        <w:gridCol w:w="1302"/>
        <w:gridCol w:w="1134"/>
        <w:gridCol w:w="1134"/>
        <w:gridCol w:w="1134"/>
      </w:tblGrid>
      <w:tr w:rsidR="008B2804" w:rsidRPr="004D7C91" w14:paraId="0B46DB9C" w14:textId="77777777" w:rsidTr="002E143B">
        <w:trPr>
          <w:trHeight w:val="315"/>
        </w:trPr>
        <w:tc>
          <w:tcPr>
            <w:tcW w:w="960" w:type="dxa"/>
            <w:tcBorders>
              <w:top w:val="single" w:sz="8" w:space="0" w:color="auto"/>
              <w:left w:val="single" w:sz="8" w:space="0" w:color="auto"/>
              <w:bottom w:val="nil"/>
              <w:right w:val="nil"/>
            </w:tcBorders>
            <w:shd w:val="clear" w:color="auto" w:fill="auto"/>
            <w:noWrap/>
            <w:vAlign w:val="bottom"/>
            <w:hideMark/>
          </w:tcPr>
          <w:p w14:paraId="21F0912A" w14:textId="77777777" w:rsidR="008B2804" w:rsidRPr="004D7C91" w:rsidRDefault="008B2804" w:rsidP="002E143B">
            <w:pPr>
              <w:spacing w:after="0" w:line="240" w:lineRule="auto"/>
              <w:rPr>
                <w:rFonts w:ascii="Calibri" w:eastAsia="Times New Roman" w:hAnsi="Calibri" w:cs="Calibri"/>
                <w:color w:val="000000"/>
                <w:lang w:eastAsia="en-GB"/>
              </w:rPr>
            </w:pPr>
            <w:r w:rsidRPr="004D7C91">
              <w:rPr>
                <w:rFonts w:ascii="Calibri" w:eastAsia="Times New Roman" w:hAnsi="Calibri" w:cs="Calibri"/>
                <w:color w:val="000000"/>
                <w:lang w:eastAsia="en-GB"/>
              </w:rPr>
              <w:t> </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FDC74F"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N</w:t>
            </w:r>
          </w:p>
        </w:tc>
        <w:tc>
          <w:tcPr>
            <w:tcW w:w="1053" w:type="dxa"/>
            <w:tcBorders>
              <w:top w:val="single" w:sz="8" w:space="0" w:color="auto"/>
              <w:left w:val="nil"/>
              <w:bottom w:val="single" w:sz="8" w:space="0" w:color="auto"/>
              <w:right w:val="single" w:sz="4" w:space="0" w:color="auto"/>
            </w:tcBorders>
            <w:shd w:val="clear" w:color="auto" w:fill="auto"/>
            <w:noWrap/>
            <w:vAlign w:val="bottom"/>
            <w:hideMark/>
          </w:tcPr>
          <w:p w14:paraId="36D3ED61"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Max</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B46673E"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Min</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56F3C0E4"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mean</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603BBEF9" w14:textId="77777777" w:rsidR="008B2804" w:rsidRPr="004D7C91" w:rsidRDefault="008B2804" w:rsidP="002E143B">
            <w:pPr>
              <w:spacing w:after="0" w:line="240" w:lineRule="auto"/>
              <w:rPr>
                <w:rFonts w:ascii="Calibri" w:eastAsia="Times New Roman" w:hAnsi="Calibri" w:cs="Calibri"/>
                <w:b/>
                <w:bCs/>
                <w:color w:val="000000"/>
                <w:lang w:eastAsia="en-GB"/>
              </w:rPr>
            </w:pPr>
            <w:proofErr w:type="spellStart"/>
            <w:r w:rsidRPr="004D7C91">
              <w:rPr>
                <w:rFonts w:ascii="Calibri" w:eastAsia="Times New Roman" w:hAnsi="Calibri" w:cs="Calibri"/>
                <w:b/>
                <w:bCs/>
                <w:color w:val="000000"/>
                <w:lang w:eastAsia="en-GB"/>
              </w:rPr>
              <w:t>St.Dev</w:t>
            </w:r>
            <w:proofErr w:type="spellEnd"/>
            <w:r w:rsidRPr="004D7C91">
              <w:rPr>
                <w:rFonts w:ascii="Calibri" w:eastAsia="Times New Roman" w:hAnsi="Calibri" w:cs="Calibri"/>
                <w:b/>
                <w:bCs/>
                <w:color w:val="000000"/>
                <w:lang w:eastAsia="en-GB"/>
              </w:rPr>
              <w:t>.</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6F1A2F9F"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Skew</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5AA1C672"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Kurt</w:t>
            </w:r>
          </w:p>
        </w:tc>
      </w:tr>
      <w:tr w:rsidR="008B2804" w:rsidRPr="004D7C91" w14:paraId="1D307F3E" w14:textId="77777777" w:rsidTr="002E143B">
        <w:trPr>
          <w:trHeight w:val="300"/>
        </w:trPr>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8639B22"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SP</w:t>
            </w:r>
          </w:p>
        </w:tc>
        <w:tc>
          <w:tcPr>
            <w:tcW w:w="960" w:type="dxa"/>
            <w:tcBorders>
              <w:top w:val="nil"/>
              <w:left w:val="nil"/>
              <w:bottom w:val="single" w:sz="4" w:space="0" w:color="auto"/>
              <w:right w:val="single" w:sz="4" w:space="0" w:color="auto"/>
            </w:tcBorders>
            <w:shd w:val="clear" w:color="auto" w:fill="auto"/>
            <w:noWrap/>
            <w:vAlign w:val="bottom"/>
            <w:hideMark/>
          </w:tcPr>
          <w:p w14:paraId="60432850"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481769</w:t>
            </w:r>
          </w:p>
        </w:tc>
        <w:tc>
          <w:tcPr>
            <w:tcW w:w="1053" w:type="dxa"/>
            <w:tcBorders>
              <w:top w:val="nil"/>
              <w:left w:val="nil"/>
              <w:bottom w:val="single" w:sz="4" w:space="0" w:color="auto"/>
              <w:right w:val="single" w:sz="4" w:space="0" w:color="auto"/>
            </w:tcBorders>
            <w:shd w:val="clear" w:color="auto" w:fill="auto"/>
            <w:noWrap/>
            <w:vAlign w:val="bottom"/>
            <w:hideMark/>
          </w:tcPr>
          <w:p w14:paraId="0B6E716A"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4.2E+09</w:t>
            </w:r>
          </w:p>
        </w:tc>
        <w:tc>
          <w:tcPr>
            <w:tcW w:w="960" w:type="dxa"/>
            <w:tcBorders>
              <w:top w:val="nil"/>
              <w:left w:val="nil"/>
              <w:bottom w:val="single" w:sz="4" w:space="0" w:color="auto"/>
              <w:right w:val="single" w:sz="4" w:space="0" w:color="auto"/>
            </w:tcBorders>
            <w:shd w:val="clear" w:color="auto" w:fill="auto"/>
            <w:noWrap/>
            <w:vAlign w:val="bottom"/>
            <w:hideMark/>
          </w:tcPr>
          <w:p w14:paraId="270195A6"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10</w:t>
            </w:r>
          </w:p>
        </w:tc>
        <w:tc>
          <w:tcPr>
            <w:tcW w:w="1302" w:type="dxa"/>
            <w:tcBorders>
              <w:top w:val="nil"/>
              <w:left w:val="nil"/>
              <w:bottom w:val="single" w:sz="4" w:space="0" w:color="auto"/>
              <w:right w:val="single" w:sz="4" w:space="0" w:color="auto"/>
            </w:tcBorders>
            <w:shd w:val="clear" w:color="auto" w:fill="auto"/>
            <w:noWrap/>
            <w:vAlign w:val="bottom"/>
            <w:hideMark/>
          </w:tcPr>
          <w:p w14:paraId="02D6C63E"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2960634</w:t>
            </w:r>
          </w:p>
        </w:tc>
        <w:tc>
          <w:tcPr>
            <w:tcW w:w="1134" w:type="dxa"/>
            <w:tcBorders>
              <w:top w:val="nil"/>
              <w:left w:val="nil"/>
              <w:bottom w:val="single" w:sz="4" w:space="0" w:color="auto"/>
              <w:right w:val="single" w:sz="4" w:space="0" w:color="auto"/>
            </w:tcBorders>
            <w:shd w:val="clear" w:color="auto" w:fill="auto"/>
            <w:noWrap/>
            <w:vAlign w:val="bottom"/>
            <w:hideMark/>
          </w:tcPr>
          <w:p w14:paraId="047FF033"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30052957</w:t>
            </w:r>
          </w:p>
        </w:tc>
        <w:tc>
          <w:tcPr>
            <w:tcW w:w="1134" w:type="dxa"/>
            <w:tcBorders>
              <w:top w:val="nil"/>
              <w:left w:val="nil"/>
              <w:bottom w:val="single" w:sz="4" w:space="0" w:color="auto"/>
              <w:right w:val="single" w:sz="4" w:space="0" w:color="auto"/>
            </w:tcBorders>
            <w:shd w:val="clear" w:color="auto" w:fill="auto"/>
            <w:noWrap/>
            <w:vAlign w:val="bottom"/>
            <w:hideMark/>
          </w:tcPr>
          <w:p w14:paraId="3B2E866F"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59.03976</w:t>
            </w:r>
          </w:p>
        </w:tc>
        <w:tc>
          <w:tcPr>
            <w:tcW w:w="1134" w:type="dxa"/>
            <w:tcBorders>
              <w:top w:val="nil"/>
              <w:left w:val="nil"/>
              <w:bottom w:val="single" w:sz="4" w:space="0" w:color="auto"/>
              <w:right w:val="single" w:sz="8" w:space="0" w:color="auto"/>
            </w:tcBorders>
            <w:shd w:val="clear" w:color="auto" w:fill="auto"/>
            <w:noWrap/>
            <w:vAlign w:val="bottom"/>
            <w:hideMark/>
          </w:tcPr>
          <w:p w14:paraId="02E819C0"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5225.896</w:t>
            </w:r>
          </w:p>
        </w:tc>
      </w:tr>
      <w:tr w:rsidR="008B2804" w:rsidRPr="004D7C91" w14:paraId="7558D74E" w14:textId="77777777" w:rsidTr="002E143B">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688E329C" w14:textId="77777777" w:rsidR="008B2804" w:rsidRPr="004D7C91" w:rsidRDefault="008B2804" w:rsidP="002E143B">
            <w:pPr>
              <w:spacing w:after="0" w:line="240" w:lineRule="auto"/>
              <w:rPr>
                <w:rFonts w:ascii="Calibri" w:eastAsia="Times New Roman" w:hAnsi="Calibri" w:cs="Calibri"/>
                <w:b/>
                <w:bCs/>
                <w:color w:val="000000"/>
                <w:lang w:eastAsia="en-GB"/>
              </w:rPr>
            </w:pPr>
            <w:r w:rsidRPr="004D7C91">
              <w:rPr>
                <w:rFonts w:ascii="Calibri" w:eastAsia="Times New Roman" w:hAnsi="Calibri" w:cs="Calibri"/>
                <w:b/>
                <w:bCs/>
                <w:color w:val="000000"/>
                <w:lang w:eastAsia="en-GB"/>
              </w:rPr>
              <w:t>LRV</w:t>
            </w:r>
          </w:p>
        </w:tc>
        <w:tc>
          <w:tcPr>
            <w:tcW w:w="960" w:type="dxa"/>
            <w:tcBorders>
              <w:top w:val="nil"/>
              <w:left w:val="nil"/>
              <w:bottom w:val="single" w:sz="8" w:space="0" w:color="auto"/>
              <w:right w:val="single" w:sz="4" w:space="0" w:color="auto"/>
            </w:tcBorders>
            <w:shd w:val="clear" w:color="auto" w:fill="auto"/>
            <w:noWrap/>
            <w:vAlign w:val="bottom"/>
            <w:hideMark/>
          </w:tcPr>
          <w:p w14:paraId="32386749"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481768</w:t>
            </w:r>
          </w:p>
        </w:tc>
        <w:tc>
          <w:tcPr>
            <w:tcW w:w="1053" w:type="dxa"/>
            <w:tcBorders>
              <w:top w:val="nil"/>
              <w:left w:val="nil"/>
              <w:bottom w:val="single" w:sz="8" w:space="0" w:color="auto"/>
              <w:right w:val="single" w:sz="4" w:space="0" w:color="auto"/>
            </w:tcBorders>
            <w:shd w:val="clear" w:color="auto" w:fill="auto"/>
            <w:noWrap/>
            <w:vAlign w:val="bottom"/>
            <w:hideMark/>
          </w:tcPr>
          <w:p w14:paraId="38DF227A"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15.19274</w:t>
            </w:r>
          </w:p>
        </w:tc>
        <w:tc>
          <w:tcPr>
            <w:tcW w:w="960" w:type="dxa"/>
            <w:tcBorders>
              <w:top w:val="nil"/>
              <w:left w:val="nil"/>
              <w:bottom w:val="single" w:sz="8" w:space="0" w:color="auto"/>
              <w:right w:val="single" w:sz="4" w:space="0" w:color="auto"/>
            </w:tcBorders>
            <w:shd w:val="clear" w:color="auto" w:fill="auto"/>
            <w:noWrap/>
            <w:vAlign w:val="bottom"/>
            <w:hideMark/>
          </w:tcPr>
          <w:p w14:paraId="633A7CAF"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-15.6441</w:t>
            </w:r>
          </w:p>
        </w:tc>
        <w:tc>
          <w:tcPr>
            <w:tcW w:w="1302" w:type="dxa"/>
            <w:tcBorders>
              <w:top w:val="nil"/>
              <w:left w:val="nil"/>
              <w:bottom w:val="single" w:sz="8" w:space="0" w:color="auto"/>
              <w:right w:val="single" w:sz="4" w:space="0" w:color="auto"/>
            </w:tcBorders>
            <w:shd w:val="clear" w:color="auto" w:fill="auto"/>
            <w:noWrap/>
            <w:vAlign w:val="bottom"/>
            <w:hideMark/>
          </w:tcPr>
          <w:p w14:paraId="55CE21A9"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2.61E-07</w:t>
            </w:r>
          </w:p>
        </w:tc>
        <w:tc>
          <w:tcPr>
            <w:tcW w:w="1134" w:type="dxa"/>
            <w:tcBorders>
              <w:top w:val="nil"/>
              <w:left w:val="nil"/>
              <w:bottom w:val="single" w:sz="8" w:space="0" w:color="auto"/>
              <w:right w:val="single" w:sz="4" w:space="0" w:color="auto"/>
            </w:tcBorders>
            <w:shd w:val="clear" w:color="auto" w:fill="auto"/>
            <w:noWrap/>
            <w:vAlign w:val="bottom"/>
            <w:hideMark/>
          </w:tcPr>
          <w:p w14:paraId="5FEE334C"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0.708392</w:t>
            </w:r>
          </w:p>
        </w:tc>
        <w:tc>
          <w:tcPr>
            <w:tcW w:w="1134" w:type="dxa"/>
            <w:tcBorders>
              <w:top w:val="nil"/>
              <w:left w:val="nil"/>
              <w:bottom w:val="single" w:sz="8" w:space="0" w:color="auto"/>
              <w:right w:val="single" w:sz="4" w:space="0" w:color="auto"/>
            </w:tcBorders>
            <w:shd w:val="clear" w:color="auto" w:fill="auto"/>
            <w:noWrap/>
            <w:vAlign w:val="bottom"/>
            <w:hideMark/>
          </w:tcPr>
          <w:p w14:paraId="5032E1D2"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1.980201</w:t>
            </w:r>
          </w:p>
        </w:tc>
        <w:tc>
          <w:tcPr>
            <w:tcW w:w="1134" w:type="dxa"/>
            <w:tcBorders>
              <w:top w:val="nil"/>
              <w:left w:val="nil"/>
              <w:bottom w:val="single" w:sz="8" w:space="0" w:color="auto"/>
              <w:right w:val="single" w:sz="8" w:space="0" w:color="auto"/>
            </w:tcBorders>
            <w:shd w:val="clear" w:color="auto" w:fill="auto"/>
            <w:noWrap/>
            <w:vAlign w:val="bottom"/>
            <w:hideMark/>
          </w:tcPr>
          <w:p w14:paraId="4B0E0EC1" w14:textId="77777777" w:rsidR="008B2804" w:rsidRPr="004D7C91" w:rsidRDefault="008B2804" w:rsidP="002E143B">
            <w:pPr>
              <w:spacing w:after="0" w:line="240" w:lineRule="auto"/>
              <w:jc w:val="right"/>
              <w:rPr>
                <w:rFonts w:ascii="Calibri" w:eastAsia="Times New Roman" w:hAnsi="Calibri" w:cs="Calibri"/>
                <w:color w:val="000000"/>
                <w:lang w:eastAsia="en-GB"/>
              </w:rPr>
            </w:pPr>
            <w:r w:rsidRPr="004D7C91">
              <w:rPr>
                <w:rFonts w:ascii="Calibri" w:eastAsia="Times New Roman" w:hAnsi="Calibri" w:cs="Calibri"/>
                <w:color w:val="000000"/>
                <w:lang w:eastAsia="en-GB"/>
              </w:rPr>
              <w:t>67.91988</w:t>
            </w:r>
          </w:p>
        </w:tc>
      </w:tr>
    </w:tbl>
    <w:p w14:paraId="6C48B954" w14:textId="77777777" w:rsidR="008B2804" w:rsidRPr="004D7C91" w:rsidRDefault="008B2804" w:rsidP="008B2804">
      <w:pPr>
        <w:pStyle w:val="NoSpacing"/>
        <w:rPr>
          <w:rFonts w:ascii="Times New Roman" w:hAnsi="Times New Roman" w:cs="Times New Roman"/>
        </w:rPr>
      </w:pPr>
      <w:r w:rsidRPr="004D7C91">
        <w:rPr>
          <w:rFonts w:ascii="Times New Roman" w:hAnsi="Times New Roman" w:cs="Times New Roman"/>
        </w:rPr>
        <w:t xml:space="preserve">Table </w:t>
      </w:r>
      <w:r>
        <w:rPr>
          <w:rFonts w:ascii="Times New Roman" w:hAnsi="Times New Roman" w:cs="Times New Roman"/>
        </w:rPr>
        <w:t>2.</w:t>
      </w:r>
      <w:r w:rsidRPr="004D7C91">
        <w:rPr>
          <w:rFonts w:ascii="Times New Roman" w:hAnsi="Times New Roman" w:cs="Times New Roman"/>
        </w:rPr>
        <w:t>1: Statistical characteristics of the S&amp;P500 minute volume values (SP) and corresponding log-returns (LRV) distributions over the whole data set, [01/05/2013 - 29/12/2017]. The characteristics values are rounded to at most 5 significant digits.</w:t>
      </w:r>
    </w:p>
    <w:p w14:paraId="3CFABE3B" w14:textId="77777777" w:rsidR="008B2804" w:rsidRPr="00232E7C" w:rsidRDefault="008B2804" w:rsidP="008B2804">
      <w:pPr>
        <w:pStyle w:val="NoSpacing"/>
      </w:pPr>
    </w:p>
    <w:p w14:paraId="6BEDC3E4" w14:textId="1B8DFF07" w:rsidR="008B2804"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In </w:t>
      </w:r>
      <w:r w:rsidRPr="00B92BB9">
        <w:rPr>
          <w:rFonts w:ascii="Times New Roman" w:eastAsia="Times New Roman" w:hAnsi="Times New Roman" w:cs="Times New Roman"/>
          <w:sz w:val="24"/>
          <w:szCs w:val="24"/>
          <w:lang w:eastAsia="en-GB"/>
        </w:rPr>
        <w:t>(Alali and Romero, 2013)</w:t>
      </w:r>
      <w:r w:rsidRPr="00B92BB9">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 xml:space="preserve"> a decade of financial data for “a large sample of U.S. public companies” is studied along a BL12 perspective. </w:t>
      </w:r>
      <w:r w:rsidR="00A22695">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Alali and Romero</w:t>
      </w:r>
      <w:r w:rsidR="00A22695">
        <w:rPr>
          <w:rFonts w:ascii="Times New Roman" w:hAnsi="Times New Roman" w:cs="Times New Roman"/>
          <w:color w:val="000000" w:themeColor="text1"/>
          <w:sz w:val="24"/>
          <w:szCs w:val="24"/>
        </w:rPr>
        <w:t>, 2013)</w:t>
      </w:r>
      <w:r w:rsidRPr="00232E7C">
        <w:rPr>
          <w:rFonts w:ascii="Times New Roman" w:hAnsi="Times New Roman" w:cs="Times New Roman"/>
          <w:color w:val="000000" w:themeColor="text1"/>
          <w:sz w:val="24"/>
          <w:szCs w:val="24"/>
        </w:rPr>
        <w:t xml:space="preserve"> also broke “down the decade of data into six sub-periods”, and found “different indicators of manipulation”, similar conclusion against </w:t>
      </w:r>
      <w:proofErr w:type="spellStart"/>
      <w:r w:rsidRPr="00232E7C">
        <w:rPr>
          <w:rFonts w:ascii="Times New Roman" w:hAnsi="Times New Roman" w:cs="Times New Roman"/>
          <w:color w:val="000000" w:themeColor="text1"/>
          <w:sz w:val="24"/>
          <w:szCs w:val="24"/>
        </w:rPr>
        <w:t>Benford's</w:t>
      </w:r>
      <w:proofErr w:type="spellEnd"/>
      <w:r w:rsidRPr="00232E7C">
        <w:rPr>
          <w:rFonts w:ascii="Times New Roman" w:hAnsi="Times New Roman" w:cs="Times New Roman"/>
          <w:color w:val="000000" w:themeColor="text1"/>
          <w:sz w:val="24"/>
          <w:szCs w:val="24"/>
        </w:rPr>
        <w:t xml:space="preserve"> law compliance is presented in </w:t>
      </w:r>
      <w:r w:rsidRPr="00B92BB9">
        <w:rPr>
          <w:rFonts w:ascii="Times New Roman" w:eastAsia="Times New Roman" w:hAnsi="Times New Roman" w:cs="Times New Roman"/>
          <w:sz w:val="24"/>
          <w:szCs w:val="24"/>
          <w:lang w:eastAsia="en-GB"/>
        </w:rPr>
        <w:t>(Alali and Romero, 2013)</w:t>
      </w:r>
      <w:r w:rsidRPr="00B92BB9">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lastRenderedPageBreak/>
        <w:t>by the same authors.</w:t>
      </w:r>
      <w:r w:rsidR="00614C4F">
        <w:rPr>
          <w:rFonts w:ascii="Times New Roman"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In so reading, there is no need to say that more analysis can be welcome, and subsequent findings have to be discussed</w:t>
      </w:r>
      <w:r>
        <w:rPr>
          <w:rFonts w:ascii="Times New Roman" w:hAnsi="Times New Roman" w:cs="Times New Roman"/>
          <w:color w:val="000000" w:themeColor="text1"/>
          <w:sz w:val="24"/>
          <w:szCs w:val="24"/>
        </w:rPr>
        <w:t xml:space="preserve"> section.2.4</w:t>
      </w:r>
      <w:r w:rsidRPr="00232E7C">
        <w:rPr>
          <w:rFonts w:ascii="Times New Roman" w:hAnsi="Times New Roman" w:cs="Times New Roman"/>
          <w:color w:val="000000" w:themeColor="text1"/>
          <w:sz w:val="24"/>
          <w:szCs w:val="24"/>
        </w:rPr>
        <w:t>.</w:t>
      </w:r>
    </w:p>
    <w:p w14:paraId="1B80FBBD" w14:textId="77777777" w:rsidR="008B2804" w:rsidRPr="00BA27A7" w:rsidRDefault="008B2804" w:rsidP="008B2804">
      <w:pPr>
        <w:pStyle w:val="Heading1"/>
        <w:rPr>
          <w:color w:val="002060"/>
        </w:rPr>
      </w:pPr>
      <w:bookmarkStart w:id="144" w:name="_Toc90499986"/>
      <w:r w:rsidRPr="00BA27A7">
        <w:rPr>
          <w:color w:val="002060"/>
        </w:rPr>
        <w:t>2.4 Data and data analysis</w:t>
      </w:r>
      <w:bookmarkEnd w:id="144"/>
    </w:p>
    <w:p w14:paraId="092E442A" w14:textId="22D21648" w:rsidR="00476D4A" w:rsidRDefault="00476D4A" w:rsidP="009340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research </w:t>
      </w:r>
      <w:r w:rsidR="00614C4F">
        <w:rPr>
          <w:rFonts w:ascii="Times New Roman" w:hAnsi="Times New Roman" w:cs="Times New Roman"/>
          <w:color w:val="000000" w:themeColor="text1"/>
          <w:sz w:val="24"/>
          <w:szCs w:val="24"/>
        </w:rPr>
        <w:t>investigates</w:t>
      </w:r>
      <w:r>
        <w:rPr>
          <w:rFonts w:ascii="Times New Roman" w:hAnsi="Times New Roman" w:cs="Times New Roman"/>
          <w:color w:val="000000" w:themeColor="text1"/>
          <w:sz w:val="24"/>
          <w:szCs w:val="24"/>
        </w:rPr>
        <w:t xml:space="preserve"> </w:t>
      </w:r>
      <w:r w:rsidR="008B2804" w:rsidRPr="00232E7C">
        <w:rPr>
          <w:rFonts w:ascii="Times New Roman" w:hAnsi="Times New Roman" w:cs="Times New Roman"/>
          <w:color w:val="000000" w:themeColor="text1"/>
          <w:sz w:val="24"/>
          <w:szCs w:val="24"/>
        </w:rPr>
        <w:t>the S&amp;P500 minute volume values (</w:t>
      </w:r>
      <w:r w:rsidR="008B2804">
        <w:rPr>
          <w:rFonts w:ascii="Times New Roman" w:hAnsi="Times New Roman" w:cs="Times New Roman"/>
          <w:color w:val="000000" w:themeColor="text1"/>
          <w:sz w:val="24"/>
          <w:szCs w:val="24"/>
        </w:rPr>
        <w:t>SP</w:t>
      </w:r>
      <w:r w:rsidR="008B2804" w:rsidRPr="00232E7C">
        <w:rPr>
          <w:rFonts w:ascii="Times New Roman" w:hAnsi="Times New Roman" w:cs="Times New Roman"/>
          <w:color w:val="000000" w:themeColor="text1"/>
          <w:sz w:val="24"/>
          <w:szCs w:val="24"/>
        </w:rPr>
        <w:t>) via the Yahoo! Finance web site. The downloaded data cover a period starting on [</w:t>
      </w:r>
      <w:r w:rsidR="008B2804">
        <w:rPr>
          <w:rFonts w:ascii="Times New Roman" w:hAnsi="Times New Roman" w:cs="Times New Roman"/>
          <w:color w:val="000000" w:themeColor="text1"/>
          <w:sz w:val="24"/>
          <w:szCs w:val="24"/>
        </w:rPr>
        <w:t>01</w:t>
      </w:r>
      <w:r w:rsidR="008B2804" w:rsidRPr="00232E7C">
        <w:rPr>
          <w:rFonts w:ascii="Times New Roman" w:hAnsi="Times New Roman" w:cs="Times New Roman"/>
          <w:color w:val="000000" w:themeColor="text1"/>
          <w:sz w:val="24"/>
          <w:szCs w:val="24"/>
        </w:rPr>
        <w:t>/0</w:t>
      </w:r>
      <w:r w:rsidR="008B2804">
        <w:rPr>
          <w:rFonts w:ascii="Times New Roman" w:hAnsi="Times New Roman" w:cs="Times New Roman"/>
          <w:color w:val="000000" w:themeColor="text1"/>
          <w:sz w:val="24"/>
          <w:szCs w:val="24"/>
        </w:rPr>
        <w:t>5</w:t>
      </w:r>
      <w:r w:rsidR="008B2804" w:rsidRPr="00232E7C">
        <w:rPr>
          <w:rFonts w:ascii="Times New Roman" w:hAnsi="Times New Roman" w:cs="Times New Roman"/>
          <w:color w:val="000000" w:themeColor="text1"/>
          <w:sz w:val="24"/>
          <w:szCs w:val="24"/>
        </w:rPr>
        <w:t xml:space="preserve">/2013 - </w:t>
      </w:r>
      <w:r w:rsidR="008B2804">
        <w:rPr>
          <w:rFonts w:ascii="Times New Roman" w:hAnsi="Times New Roman" w:cs="Times New Roman"/>
          <w:color w:val="000000" w:themeColor="text1"/>
          <w:sz w:val="24"/>
          <w:szCs w:val="24"/>
        </w:rPr>
        <w:t>29</w:t>
      </w:r>
      <w:r w:rsidR="008B2804" w:rsidRPr="00232E7C">
        <w:rPr>
          <w:rFonts w:ascii="Times New Roman" w:hAnsi="Times New Roman" w:cs="Times New Roman"/>
          <w:color w:val="000000" w:themeColor="text1"/>
          <w:sz w:val="24"/>
          <w:szCs w:val="24"/>
        </w:rPr>
        <w:t>/</w:t>
      </w:r>
      <w:r w:rsidR="008B2804">
        <w:rPr>
          <w:rFonts w:ascii="Times New Roman" w:hAnsi="Times New Roman" w:cs="Times New Roman"/>
          <w:color w:val="000000" w:themeColor="text1"/>
          <w:sz w:val="24"/>
          <w:szCs w:val="24"/>
        </w:rPr>
        <w:t>12</w:t>
      </w:r>
      <w:r w:rsidR="008B2804" w:rsidRPr="00232E7C">
        <w:rPr>
          <w:rFonts w:ascii="Times New Roman" w:hAnsi="Times New Roman" w:cs="Times New Roman"/>
          <w:color w:val="000000" w:themeColor="text1"/>
          <w:sz w:val="24"/>
          <w:szCs w:val="24"/>
        </w:rPr>
        <w:t>/201</w:t>
      </w:r>
      <w:r w:rsidR="008B2804">
        <w:rPr>
          <w:rFonts w:ascii="Times New Roman" w:hAnsi="Times New Roman" w:cs="Times New Roman"/>
          <w:color w:val="000000" w:themeColor="text1"/>
          <w:sz w:val="24"/>
          <w:szCs w:val="24"/>
        </w:rPr>
        <w:t>7</w:t>
      </w:r>
      <w:r w:rsidR="008B2804" w:rsidRPr="00232E7C">
        <w:rPr>
          <w:rFonts w:ascii="Times New Roman" w:hAnsi="Times New Roman" w:cs="Times New Roman"/>
          <w:color w:val="000000" w:themeColor="text1"/>
          <w:sz w:val="24"/>
          <w:szCs w:val="24"/>
        </w:rPr>
        <w:t xml:space="preserve">]; it is reported in </w:t>
      </w:r>
      <w:r w:rsidR="008B2804">
        <w:rPr>
          <w:rFonts w:ascii="Times New Roman" w:hAnsi="Times New Roman" w:cs="Times New Roman"/>
          <w:color w:val="000000" w:themeColor="text1"/>
          <w:sz w:val="24"/>
          <w:szCs w:val="24"/>
        </w:rPr>
        <w:t>as minute volume data</w:t>
      </w:r>
      <w:r w:rsidR="008B2804" w:rsidRPr="00232E7C">
        <w:rPr>
          <w:rFonts w:ascii="Times New Roman" w:hAnsi="Times New Roman" w:cs="Times New Roman"/>
          <w:color w:val="000000" w:themeColor="text1"/>
          <w:sz w:val="24"/>
          <w:szCs w:val="24"/>
        </w:rPr>
        <w:t xml:space="preserve">, see Fig. </w:t>
      </w:r>
      <w:r w:rsidR="00145E03">
        <w:rPr>
          <w:rFonts w:ascii="Times New Roman" w:hAnsi="Times New Roman" w:cs="Times New Roman"/>
          <w:color w:val="000000" w:themeColor="text1"/>
          <w:sz w:val="24"/>
          <w:szCs w:val="24"/>
        </w:rPr>
        <w:t>2.4.</w:t>
      </w:r>
      <w:r w:rsidR="008B2804" w:rsidRPr="00232E7C">
        <w:rPr>
          <w:rFonts w:ascii="Times New Roman" w:hAnsi="Times New Roman" w:cs="Times New Roman"/>
          <w:color w:val="000000" w:themeColor="text1"/>
          <w:sz w:val="24"/>
          <w:szCs w:val="24"/>
        </w:rPr>
        <w:t>1. This amounts to 48</w:t>
      </w:r>
      <w:r w:rsidR="008B2804">
        <w:rPr>
          <w:rFonts w:ascii="Times New Roman" w:hAnsi="Times New Roman" w:cs="Times New Roman"/>
          <w:color w:val="000000" w:themeColor="text1"/>
          <w:sz w:val="24"/>
          <w:szCs w:val="24"/>
        </w:rPr>
        <w:t>1769</w:t>
      </w:r>
      <w:r w:rsidR="008B2804" w:rsidRPr="00232E7C">
        <w:rPr>
          <w:rFonts w:ascii="Times New Roman" w:hAnsi="Times New Roman" w:cs="Times New Roman"/>
          <w:color w:val="000000" w:themeColor="text1"/>
          <w:sz w:val="24"/>
          <w:szCs w:val="24"/>
        </w:rPr>
        <w:t xml:space="preserve"> data points. From such a set, one can easily obtain the 48</w:t>
      </w:r>
      <w:r w:rsidR="008B2804">
        <w:rPr>
          <w:rFonts w:ascii="Times New Roman" w:hAnsi="Times New Roman" w:cs="Times New Roman"/>
          <w:color w:val="000000" w:themeColor="text1"/>
          <w:sz w:val="24"/>
          <w:szCs w:val="24"/>
        </w:rPr>
        <w:t>1768</w:t>
      </w:r>
      <w:r w:rsidR="008B2804" w:rsidRPr="00232E7C">
        <w:rPr>
          <w:rFonts w:ascii="Times New Roman" w:hAnsi="Times New Roman" w:cs="Times New Roman"/>
          <w:color w:val="000000" w:themeColor="text1"/>
          <w:sz w:val="24"/>
          <w:szCs w:val="24"/>
        </w:rPr>
        <w:t xml:space="preserve"> log-returns (LR</w:t>
      </w:r>
      <w:r w:rsidR="008B2804">
        <w:rPr>
          <w:rFonts w:ascii="Times New Roman" w:hAnsi="Times New Roman" w:cs="Times New Roman"/>
          <w:color w:val="000000" w:themeColor="text1"/>
          <w:sz w:val="24"/>
          <w:szCs w:val="24"/>
        </w:rPr>
        <w:t>V</w:t>
      </w:r>
      <w:r w:rsidR="008B2804" w:rsidRPr="00232E7C">
        <w:rPr>
          <w:rFonts w:ascii="Times New Roman" w:hAnsi="Times New Roman" w:cs="Times New Roman"/>
          <w:color w:val="000000" w:themeColor="text1"/>
          <w:sz w:val="24"/>
          <w:szCs w:val="24"/>
        </w:rPr>
        <w:t xml:space="preserve">); see Fig. </w:t>
      </w:r>
      <w:r w:rsidR="00145E03">
        <w:rPr>
          <w:rFonts w:ascii="Times New Roman" w:hAnsi="Times New Roman" w:cs="Times New Roman"/>
          <w:color w:val="000000" w:themeColor="text1"/>
          <w:sz w:val="24"/>
          <w:szCs w:val="24"/>
        </w:rPr>
        <w:t>2.4.</w:t>
      </w:r>
      <w:r w:rsidR="008B2804" w:rsidRPr="00232E7C">
        <w:rPr>
          <w:rFonts w:ascii="Times New Roman" w:hAnsi="Times New Roman" w:cs="Times New Roman"/>
          <w:color w:val="000000" w:themeColor="text1"/>
          <w:sz w:val="24"/>
          <w:szCs w:val="24"/>
        </w:rPr>
        <w:t xml:space="preserve">1 </w:t>
      </w:r>
      <w:r w:rsidR="00077725" w:rsidRPr="00232E7C">
        <w:rPr>
          <w:rFonts w:ascii="Times New Roman" w:hAnsi="Times New Roman" w:cs="Times New Roman"/>
          <w:color w:val="000000" w:themeColor="text1"/>
          <w:sz w:val="24"/>
          <w:szCs w:val="24"/>
        </w:rPr>
        <w:t>also</w:t>
      </w:r>
      <w:r w:rsidR="00077725" w:rsidRPr="00476D4A">
        <w:rPr>
          <w:rFonts w:ascii="Times New Roman" w:hAnsi="Times New Roman" w:cs="Times New Roman"/>
          <w:color w:val="000000" w:themeColor="text1"/>
          <w:sz w:val="24"/>
          <w:szCs w:val="24"/>
        </w:rPr>
        <w:t xml:space="preserve"> </w:t>
      </w:r>
      <w:r w:rsidR="00077725">
        <w:rPr>
          <w:rFonts w:ascii="Times New Roman" w:hAnsi="Times New Roman" w:cs="Times New Roman"/>
          <w:color w:val="000000" w:themeColor="text1"/>
          <w:sz w:val="24"/>
          <w:szCs w:val="24"/>
        </w:rPr>
        <w:t>t</w:t>
      </w:r>
      <w:r w:rsidR="00077725" w:rsidRPr="00476D4A">
        <w:rPr>
          <w:rFonts w:ascii="Times New Roman" w:hAnsi="Times New Roman" w:cs="Times New Roman"/>
          <w:color w:val="000000" w:themeColor="text1"/>
          <w:sz w:val="24"/>
          <w:szCs w:val="24"/>
        </w:rPr>
        <w:t>he</w:t>
      </w:r>
      <w:r w:rsidRPr="00476D4A">
        <w:rPr>
          <w:rFonts w:ascii="Times New Roman" w:hAnsi="Times New Roman" w:cs="Times New Roman"/>
          <w:color w:val="000000" w:themeColor="text1"/>
          <w:sz w:val="24"/>
          <w:szCs w:val="24"/>
        </w:rPr>
        <w:t xml:space="preserve"> really measurable attributes of such an example are accounted for in Table 1. Here it is worth to feature the gigantic distinction arranged by extents for the S&amp;P500 minute volume </w:t>
      </w:r>
      <w:r>
        <w:rPr>
          <w:rFonts w:ascii="Times New Roman" w:hAnsi="Times New Roman" w:cs="Times New Roman"/>
          <w:color w:val="000000" w:themeColor="text1"/>
          <w:sz w:val="24"/>
          <w:szCs w:val="24"/>
        </w:rPr>
        <w:t>values</w:t>
      </w:r>
      <w:r w:rsidRPr="00476D4A">
        <w:rPr>
          <w:rFonts w:ascii="Times New Roman" w:hAnsi="Times New Roman" w:cs="Times New Roman"/>
          <w:color w:val="000000" w:themeColor="text1"/>
          <w:sz w:val="24"/>
          <w:szCs w:val="24"/>
        </w:rPr>
        <w:t xml:space="preserve">, going from </w:t>
      </w:r>
      <w:r w:rsidRPr="00476D4A">
        <w:rPr>
          <w:rFonts w:ascii="Cambria Math" w:hAnsi="Cambria Math" w:cs="Cambria Math"/>
          <w:color w:val="000000" w:themeColor="text1"/>
          <w:sz w:val="24"/>
          <w:szCs w:val="24"/>
        </w:rPr>
        <w:t>∼</w:t>
      </w:r>
      <w:r w:rsidRPr="00476D4A">
        <w:rPr>
          <w:rFonts w:ascii="Times New Roman" w:hAnsi="Times New Roman" w:cs="Times New Roman"/>
          <w:color w:val="000000" w:themeColor="text1"/>
          <w:sz w:val="24"/>
          <w:szCs w:val="24"/>
        </w:rPr>
        <w:t xml:space="preserve"> 16 toward the start of the time series to </w:t>
      </w:r>
      <w:r w:rsidRPr="00476D4A">
        <w:rPr>
          <w:rFonts w:ascii="Cambria Math" w:hAnsi="Cambria Math" w:cs="Cambria Math"/>
          <w:color w:val="000000" w:themeColor="text1"/>
          <w:sz w:val="24"/>
          <w:szCs w:val="24"/>
        </w:rPr>
        <w:t>∼</w:t>
      </w:r>
      <w:r w:rsidRPr="00476D4A">
        <w:rPr>
          <w:rFonts w:ascii="Times New Roman" w:hAnsi="Times New Roman" w:cs="Times New Roman"/>
          <w:color w:val="000000" w:themeColor="text1"/>
          <w:sz w:val="24"/>
          <w:szCs w:val="24"/>
        </w:rPr>
        <w:t xml:space="preserve"> 2000 acknowledged in 2014.</w:t>
      </w:r>
    </w:p>
    <w:p w14:paraId="6FE6FD25" w14:textId="523D8C6F" w:rsidR="00476D4A" w:rsidRDefault="00476D4A" w:rsidP="009340A8">
      <w:pPr>
        <w:spacing w:line="360" w:lineRule="auto"/>
        <w:jc w:val="both"/>
        <w:rPr>
          <w:rFonts w:ascii="Times New Roman" w:hAnsi="Times New Roman" w:cs="Times New Roman"/>
          <w:color w:val="000000" w:themeColor="text1"/>
          <w:sz w:val="24"/>
          <w:szCs w:val="24"/>
        </w:rPr>
      </w:pPr>
      <w:r w:rsidRPr="00476D4A">
        <w:rPr>
          <w:rFonts w:ascii="Times New Roman" w:hAnsi="Times New Roman" w:cs="Times New Roman"/>
          <w:color w:val="000000" w:themeColor="text1"/>
          <w:sz w:val="24"/>
          <w:szCs w:val="24"/>
        </w:rPr>
        <w:t xml:space="preserve">Since there are once in a while a few conversations on the satisfactory size of the example (Berger and Hill, 2020) and, for time series, about their "stationarity", we have likewise isolated the first example into 11 windows of 117 days approx. equivalent size gatherings: hence, each set containing around 43777 information </w:t>
      </w:r>
      <w:r>
        <w:rPr>
          <w:rFonts w:ascii="Times New Roman" w:hAnsi="Times New Roman" w:cs="Times New Roman"/>
          <w:color w:val="000000" w:themeColor="text1"/>
          <w:sz w:val="24"/>
          <w:szCs w:val="24"/>
        </w:rPr>
        <w:t>data point</w:t>
      </w:r>
      <w:r w:rsidRPr="00476D4A">
        <w:rPr>
          <w:rFonts w:ascii="Times New Roman" w:hAnsi="Times New Roman" w:cs="Times New Roman"/>
          <w:color w:val="000000" w:themeColor="text1"/>
          <w:sz w:val="24"/>
          <w:szCs w:val="24"/>
        </w:rPr>
        <w:t xml:space="preserve">. The relating log-returns follow </w:t>
      </w:r>
      <w:r>
        <w:rPr>
          <w:rFonts w:ascii="Times New Roman" w:hAnsi="Times New Roman" w:cs="Times New Roman"/>
          <w:color w:val="000000" w:themeColor="text1"/>
          <w:sz w:val="24"/>
          <w:szCs w:val="24"/>
        </w:rPr>
        <w:t xml:space="preserve">at </w:t>
      </w:r>
      <w:r w:rsidR="00614C4F">
        <w:rPr>
          <w:rFonts w:ascii="Times New Roman" w:hAnsi="Times New Roman" w:cs="Times New Roman"/>
          <w:color w:val="000000" w:themeColor="text1"/>
          <w:sz w:val="24"/>
          <w:szCs w:val="24"/>
        </w:rPr>
        <w:t>once.</w:t>
      </w:r>
    </w:p>
    <w:p w14:paraId="432BC996" w14:textId="77777777" w:rsidR="009340A8" w:rsidRPr="00C863C7" w:rsidRDefault="00476D4A" w:rsidP="009340A8">
      <w:pPr>
        <w:spacing w:line="360" w:lineRule="auto"/>
        <w:rPr>
          <w:rFonts w:ascii="Times New Roman" w:hAnsi="Times New Roman" w:cs="Times New Roman"/>
          <w:sz w:val="24"/>
          <w:szCs w:val="24"/>
        </w:rPr>
      </w:pPr>
      <w:r w:rsidRPr="00476D4A">
        <w:rPr>
          <w:rFonts w:ascii="Times New Roman" w:hAnsi="Times New Roman" w:cs="Times New Roman"/>
          <w:color w:val="000000" w:themeColor="text1"/>
          <w:sz w:val="24"/>
          <w:szCs w:val="24"/>
        </w:rPr>
        <w:t xml:space="preserve">A </w:t>
      </w:r>
      <w:proofErr w:type="spellStart"/>
      <w:r w:rsidRPr="00476D4A">
        <w:rPr>
          <w:rFonts w:ascii="Times New Roman" w:hAnsi="Times New Roman" w:cs="Times New Roman"/>
          <w:color w:val="000000" w:themeColor="text1"/>
          <w:sz w:val="24"/>
          <w:szCs w:val="24"/>
        </w:rPr>
        <w:t>Benford's</w:t>
      </w:r>
      <w:proofErr w:type="spellEnd"/>
      <w:r w:rsidRPr="00476D4A">
        <w:rPr>
          <w:rFonts w:ascii="Times New Roman" w:hAnsi="Times New Roman" w:cs="Times New Roman"/>
          <w:color w:val="000000" w:themeColor="text1"/>
          <w:sz w:val="24"/>
          <w:szCs w:val="24"/>
        </w:rPr>
        <w:t xml:space="preserve"> laws examination is typically restricted to the first, and in some cases second, digit. The second, third-and fourth-digit d</w:t>
      </w:r>
      <w:r>
        <w:rPr>
          <w:rFonts w:ascii="Times New Roman" w:hAnsi="Times New Roman" w:cs="Times New Roman"/>
          <w:color w:val="000000" w:themeColor="text1"/>
          <w:sz w:val="24"/>
          <w:szCs w:val="24"/>
        </w:rPr>
        <w:t>istributions</w:t>
      </w:r>
      <w:r w:rsidRPr="00476D4A">
        <w:rPr>
          <w:rFonts w:ascii="Times New Roman" w:hAnsi="Times New Roman" w:cs="Times New Roman"/>
          <w:color w:val="000000" w:themeColor="text1"/>
          <w:sz w:val="24"/>
          <w:szCs w:val="24"/>
        </w:rPr>
        <w:t xml:space="preserve"> are normally observed to be somewhat concurring with BL2, BL3, and BL4; they can barely be utilized for conversation. Here and there, one discovers an investigation of the initial two - BL12 - (and initial three digits, BL123). In this way, to get ready for a BLs investigation, one typically gathers together the information to at most 5 digits, to stay away from an adjusting of the fourth huge digit in the event that it happens. We kept that adjusting rule despite the fact that we just think about the main, second, and initial two digits, to test BL1, BL2 and BL12 on each S&amp;P500 and log-</w:t>
      </w:r>
      <w:r>
        <w:rPr>
          <w:rFonts w:ascii="Times New Roman" w:hAnsi="Times New Roman" w:cs="Times New Roman"/>
          <w:color w:val="000000" w:themeColor="text1"/>
          <w:sz w:val="24"/>
          <w:szCs w:val="24"/>
        </w:rPr>
        <w:t>returns</w:t>
      </w:r>
      <w:r w:rsidRPr="00476D4A">
        <w:rPr>
          <w:rFonts w:ascii="Times New Roman" w:hAnsi="Times New Roman" w:cs="Times New Roman"/>
          <w:color w:val="000000" w:themeColor="text1"/>
          <w:sz w:val="24"/>
          <w:szCs w:val="24"/>
        </w:rPr>
        <w:t xml:space="preserve"> test back. The measurable attributes of such "changed qualities" are introduced in Table 2.4.1, for the entire </w:t>
      </w:r>
      <w:r>
        <w:rPr>
          <w:rFonts w:ascii="Times New Roman" w:hAnsi="Times New Roman" w:cs="Times New Roman"/>
          <w:color w:val="000000" w:themeColor="text1"/>
          <w:sz w:val="24"/>
          <w:szCs w:val="24"/>
        </w:rPr>
        <w:t xml:space="preserve">data </w:t>
      </w:r>
      <w:r w:rsidRPr="00476D4A">
        <w:rPr>
          <w:rFonts w:ascii="Times New Roman" w:hAnsi="Times New Roman" w:cs="Times New Roman"/>
          <w:color w:val="000000" w:themeColor="text1"/>
          <w:sz w:val="24"/>
          <w:szCs w:val="24"/>
        </w:rPr>
        <w:t>set and for every subset.</w:t>
      </w:r>
      <w:r>
        <w:rPr>
          <w:rFonts w:ascii="Times New Roman" w:hAnsi="Times New Roman" w:cs="Times New Roman"/>
          <w:color w:val="000000" w:themeColor="text1"/>
          <w:sz w:val="24"/>
          <w:szCs w:val="24"/>
        </w:rPr>
        <w:t xml:space="preserve"> </w:t>
      </w:r>
      <w:r w:rsidR="008B2804" w:rsidRPr="00232E7C">
        <w:rPr>
          <w:rFonts w:ascii="Times New Roman" w:hAnsi="Times New Roman" w:cs="Times New Roman"/>
          <w:color w:val="000000" w:themeColor="text1"/>
          <w:sz w:val="24"/>
          <w:szCs w:val="24"/>
        </w:rPr>
        <w:t xml:space="preserve">The notations seem to be obvious: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SP</m:t>
            </m:r>
          </m:e>
          <m:sub>
            <m:r>
              <w:rPr>
                <w:rFonts w:ascii="Cambria Math" w:hAnsi="Cambria Math" w:cs="Times New Roman"/>
                <w:color w:val="000000" w:themeColor="text1"/>
                <w:sz w:val="24"/>
                <w:szCs w:val="24"/>
              </w:rPr>
              <m:t>k</m:t>
            </m:r>
          </m:sub>
        </m:sSub>
      </m:oMath>
      <w:r w:rsidR="008B2804" w:rsidRPr="00232E7C">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LRV</m:t>
            </m:r>
          </m:e>
          <m:sub>
            <m:r>
              <w:rPr>
                <w:rFonts w:ascii="Cambria Math" w:hAnsi="Cambria Math" w:cs="Times New Roman"/>
                <w:color w:val="000000" w:themeColor="text1"/>
                <w:sz w:val="24"/>
                <w:szCs w:val="24"/>
              </w:rPr>
              <m:t>k</m:t>
            </m:r>
          </m:sub>
        </m:sSub>
      </m:oMath>
      <w:r w:rsidR="008B2804" w:rsidRPr="00232E7C">
        <w:rPr>
          <w:rFonts w:ascii="Times New Roman" w:hAnsi="Times New Roman" w:cs="Times New Roman"/>
          <w:color w:val="000000" w:themeColor="text1"/>
          <w:sz w:val="24"/>
          <w:szCs w:val="24"/>
        </w:rPr>
        <w:t xml:space="preserve">, with k = I, ...V refer to the subsets. For completeness, let us mention that the upper </w:t>
      </w:r>
      <w:r w:rsidR="009340A8" w:rsidRPr="00C863C7">
        <w:rPr>
          <w:rFonts w:ascii="Times New Roman" w:hAnsi="Times New Roman" w:cs="Times New Roman"/>
          <w:sz w:val="24"/>
          <w:szCs w:val="24"/>
        </w:rPr>
        <w:t>limits of such subsets are 87404, 131215, 174831, 218805, 262767, 306338, 350241, 394057, 437899, and 481769, respectively</w:t>
      </w:r>
      <w:r w:rsidR="009340A8" w:rsidRPr="00C863C7">
        <w:rPr>
          <w:rStyle w:val="FootnoteReference"/>
          <w:rFonts w:ascii="Times New Roman" w:hAnsi="Times New Roman" w:cs="Times New Roman"/>
          <w:color w:val="000000" w:themeColor="text1"/>
        </w:rPr>
        <w:footnoteReference w:id="33"/>
      </w:r>
      <w:r w:rsidR="009340A8" w:rsidRPr="00C863C7">
        <w:rPr>
          <w:rFonts w:ascii="Times New Roman" w:hAnsi="Times New Roman" w:cs="Times New Roman"/>
          <w:sz w:val="24"/>
          <w:szCs w:val="24"/>
        </w:rPr>
        <w:t>.</w:t>
      </w:r>
    </w:p>
    <w:p w14:paraId="36131F6E" w14:textId="064A46D3" w:rsidR="00145E03" w:rsidRPr="00145E03" w:rsidRDefault="00145E03" w:rsidP="00145E03">
      <w:pPr>
        <w:pStyle w:val="Caption"/>
        <w:keepNext/>
        <w:rPr>
          <w:rFonts w:ascii="Times New Roman" w:hAnsi="Times New Roman" w:cs="Times New Roman"/>
          <w:color w:val="auto"/>
          <w:sz w:val="24"/>
          <w:szCs w:val="24"/>
        </w:rPr>
      </w:pPr>
      <w:r w:rsidRPr="00145E03">
        <w:rPr>
          <w:rFonts w:ascii="Times New Roman" w:hAnsi="Times New Roman" w:cs="Times New Roman"/>
          <w:color w:val="auto"/>
          <w:sz w:val="24"/>
          <w:szCs w:val="24"/>
        </w:rPr>
        <w:lastRenderedPageBreak/>
        <w:t>Table 2.4.1 Statistical summary of “adjusted values” of 11 windows.</w:t>
      </w:r>
    </w:p>
    <w:p w14:paraId="3FCB99A4" w14:textId="77777777" w:rsidR="008B2804" w:rsidRDefault="008B2804" w:rsidP="008B2804">
      <w:pPr>
        <w:pStyle w:val="NoSpacing"/>
        <w:rPr>
          <w:rFonts w:ascii="Times New Roman" w:hAnsi="Times New Roman" w:cs="Times New Roman"/>
        </w:rPr>
      </w:pPr>
      <w:r w:rsidRPr="00777324">
        <w:rPr>
          <w:noProof/>
          <w:lang w:eastAsia="en-GB"/>
        </w:rPr>
        <w:drawing>
          <wp:inline distT="0" distB="0" distL="0" distR="0" wp14:anchorId="36CBA927" wp14:editId="3E2514E9">
            <wp:extent cx="5757617" cy="5191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716" cy="5193018"/>
                    </a:xfrm>
                    <a:prstGeom prst="rect">
                      <a:avLst/>
                    </a:prstGeom>
                    <a:noFill/>
                    <a:ln>
                      <a:noFill/>
                    </a:ln>
                  </pic:spPr>
                </pic:pic>
              </a:graphicData>
            </a:graphic>
          </wp:inline>
        </w:drawing>
      </w:r>
    </w:p>
    <w:p w14:paraId="00D1F0F7" w14:textId="2794AA27" w:rsidR="008B2804" w:rsidRDefault="008B2804" w:rsidP="008B2804">
      <w:pPr>
        <w:pStyle w:val="NoSpacing"/>
        <w:rPr>
          <w:rFonts w:ascii="Times New Roman" w:hAnsi="Times New Roman" w:cs="Times New Roman"/>
        </w:rPr>
      </w:pPr>
      <w:r w:rsidRPr="004D7C91">
        <w:rPr>
          <w:rFonts w:ascii="Times New Roman" w:hAnsi="Times New Roman" w:cs="Times New Roman"/>
        </w:rPr>
        <w:t xml:space="preserve">Table </w:t>
      </w:r>
      <w:r>
        <w:rPr>
          <w:rFonts w:ascii="Times New Roman" w:hAnsi="Times New Roman" w:cs="Times New Roman"/>
        </w:rPr>
        <w:t>2</w:t>
      </w:r>
      <w:r w:rsidR="00145E03">
        <w:rPr>
          <w:rFonts w:ascii="Times New Roman" w:hAnsi="Times New Roman" w:cs="Times New Roman"/>
        </w:rPr>
        <w:t>.4.1</w:t>
      </w:r>
      <w:r w:rsidRPr="004D7C91">
        <w:rPr>
          <w:rFonts w:ascii="Times New Roman" w:hAnsi="Times New Roman" w:cs="Times New Roman"/>
        </w:rPr>
        <w:t>: Statistical characteristics of (“top”) the S&amp;P500 (</w:t>
      </w:r>
      <w:r>
        <w:rPr>
          <w:rFonts w:ascii="Times New Roman" w:hAnsi="Times New Roman" w:cs="Times New Roman"/>
        </w:rPr>
        <w:t>minute data</w:t>
      </w:r>
      <w:r w:rsidRPr="004D7C91">
        <w:rPr>
          <w:rFonts w:ascii="Times New Roman" w:hAnsi="Times New Roman" w:cs="Times New Roman"/>
        </w:rPr>
        <w:t xml:space="preserve"> when it applies) and (“bottom”) the corresponding daily log-returns for the whole </w:t>
      </w:r>
      <w:r w:rsidRPr="00C863C7">
        <w:rPr>
          <w:rFonts w:ascii="Times New Roman" w:hAnsi="Times New Roman" w:cs="Times New Roman"/>
        </w:rPr>
        <w:t>data set (481769 and 481768 data points, respectively), and for</w:t>
      </w:r>
      <w:r w:rsidRPr="004D7C91">
        <w:rPr>
          <w:rFonts w:ascii="Times New Roman" w:hAnsi="Times New Roman" w:cs="Times New Roman"/>
        </w:rPr>
        <w:t xml:space="preserve"> the </w:t>
      </w:r>
      <w:r>
        <w:rPr>
          <w:rFonts w:ascii="Times New Roman" w:hAnsi="Times New Roman" w:cs="Times New Roman"/>
        </w:rPr>
        <w:t>11</w:t>
      </w:r>
      <w:r w:rsidRPr="004D7C91">
        <w:rPr>
          <w:rFonts w:ascii="Times New Roman" w:hAnsi="Times New Roman" w:cs="Times New Roman"/>
        </w:rPr>
        <w:t xml:space="preserve"> subsets</w:t>
      </w:r>
      <w:r>
        <w:rPr>
          <w:rFonts w:ascii="Times New Roman" w:hAnsi="Times New Roman" w:cs="Times New Roman"/>
        </w:rPr>
        <w:t xml:space="preserve"> of 117 days minute data</w:t>
      </w:r>
      <w:r w:rsidRPr="004D7C91">
        <w:rPr>
          <w:rFonts w:ascii="Times New Roman" w:hAnsi="Times New Roman" w:cs="Times New Roman"/>
        </w:rPr>
        <w:t xml:space="preserve"> (</w:t>
      </w:r>
      <w:r>
        <w:rPr>
          <w:rFonts w:ascii="Times New Roman" w:hAnsi="Times New Roman" w:cs="Times New Roman"/>
        </w:rPr>
        <w:t>around 43777</w:t>
      </w:r>
      <w:r w:rsidRPr="004D7C91">
        <w:rPr>
          <w:rFonts w:ascii="Times New Roman" w:hAnsi="Times New Roman" w:cs="Times New Roman"/>
        </w:rPr>
        <w:t xml:space="preserve"> and </w:t>
      </w:r>
      <w:r>
        <w:rPr>
          <w:rFonts w:ascii="Times New Roman" w:hAnsi="Times New Roman" w:cs="Times New Roman"/>
        </w:rPr>
        <w:t>43776</w:t>
      </w:r>
      <w:r w:rsidRPr="004D7C91">
        <w:rPr>
          <w:rFonts w:ascii="Times New Roman" w:hAnsi="Times New Roman" w:cs="Times New Roman"/>
        </w:rPr>
        <w:t xml:space="preserve"> data points, respectively). N.B.: * ≡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Pr="004D7C91">
        <w:rPr>
          <w:rFonts w:ascii="Times New Roman" w:hAnsi="Times New Roman" w:cs="Times New Roman"/>
        </w:rPr>
        <w:t xml:space="preserve"> ; ** ≡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oMath>
      <w:r w:rsidRPr="004D7C91">
        <w:rPr>
          <w:rFonts w:ascii="Times New Roman" w:hAnsi="Times New Roman" w:cs="Times New Roman"/>
        </w:rPr>
        <w:t>.</w:t>
      </w:r>
      <w:r>
        <w:rPr>
          <w:rFonts w:ascii="Times New Roman" w:hAnsi="Times New Roman" w:cs="Times New Roman"/>
        </w:rPr>
        <w:t xml:space="preserve"> </w:t>
      </w:r>
    </w:p>
    <w:p w14:paraId="1115D2AE" w14:textId="1DD0CCF9" w:rsidR="008B2804" w:rsidRDefault="008B2804" w:rsidP="008B2804">
      <w:pPr>
        <w:pStyle w:val="NoSpacing"/>
        <w:rPr>
          <w:rFonts w:ascii="Times New Roman" w:hAnsi="Times New Roman" w:cs="Times New Roman"/>
        </w:rPr>
      </w:pPr>
    </w:p>
    <w:p w14:paraId="6DFBDB06" w14:textId="29CFA873" w:rsidR="00D70683" w:rsidRDefault="00476D4A" w:rsidP="009340A8">
      <w:pPr>
        <w:spacing w:line="360" w:lineRule="auto"/>
        <w:jc w:val="both"/>
        <w:rPr>
          <w:rFonts w:ascii="Times New Roman" w:hAnsi="Times New Roman" w:cs="Times New Roman"/>
          <w:color w:val="000000" w:themeColor="text1"/>
          <w:sz w:val="24"/>
          <w:szCs w:val="24"/>
        </w:rPr>
      </w:pPr>
      <w:r w:rsidRPr="00476D4A">
        <w:rPr>
          <w:rFonts w:ascii="Times New Roman" w:hAnsi="Times New Roman" w:cs="Times New Roman"/>
          <w:color w:val="000000" w:themeColor="text1"/>
          <w:sz w:val="24"/>
          <w:szCs w:val="24"/>
        </w:rPr>
        <w:t xml:space="preserve">One can notice numerous assortments in the information announced in Table 2.4.1: for instance, there are enormous negative log-returns because of a couple of accidents, whence the standard deviation can likewise be exceptionally high. Likewise, the skewness and kurtosis, either for the S&amp;P500 crude volume </w:t>
      </w:r>
      <w:r w:rsidR="00D70683">
        <w:rPr>
          <w:rFonts w:ascii="Times New Roman" w:hAnsi="Times New Roman" w:cs="Times New Roman"/>
          <w:color w:val="000000" w:themeColor="text1"/>
          <w:sz w:val="24"/>
          <w:szCs w:val="24"/>
        </w:rPr>
        <w:t>data</w:t>
      </w:r>
      <w:r w:rsidRPr="00476D4A">
        <w:rPr>
          <w:rFonts w:ascii="Times New Roman" w:hAnsi="Times New Roman" w:cs="Times New Roman"/>
          <w:color w:val="000000" w:themeColor="text1"/>
          <w:sz w:val="24"/>
          <w:szCs w:val="24"/>
        </w:rPr>
        <w:t xml:space="preserve"> and for the log-returns have various significant degrees.</w:t>
      </w:r>
      <w:r>
        <w:rPr>
          <w:rFonts w:ascii="Times New Roman" w:hAnsi="Times New Roman" w:cs="Times New Roman"/>
          <w:color w:val="000000" w:themeColor="text1"/>
          <w:sz w:val="24"/>
          <w:szCs w:val="24"/>
        </w:rPr>
        <w:t xml:space="preserve"> </w:t>
      </w:r>
      <w:r w:rsidR="00D70683" w:rsidRPr="00D70683">
        <w:rPr>
          <w:rFonts w:ascii="Times New Roman" w:hAnsi="Times New Roman" w:cs="Times New Roman"/>
          <w:color w:val="000000" w:themeColor="text1"/>
          <w:sz w:val="24"/>
          <w:szCs w:val="24"/>
        </w:rPr>
        <w:t xml:space="preserve">From there on, we can think about the quantity of first, second, and first two digits in quite a while sets (12, 11 for volume </w:t>
      </w:r>
      <w:r w:rsidR="00D70683">
        <w:rPr>
          <w:rFonts w:ascii="Times New Roman" w:hAnsi="Times New Roman" w:cs="Times New Roman"/>
          <w:color w:val="000000" w:themeColor="text1"/>
          <w:sz w:val="24"/>
          <w:szCs w:val="24"/>
        </w:rPr>
        <w:t>data</w:t>
      </w:r>
      <w:r w:rsidR="00D70683" w:rsidRPr="00D70683">
        <w:rPr>
          <w:rFonts w:ascii="Times New Roman" w:hAnsi="Times New Roman" w:cs="Times New Roman"/>
          <w:color w:val="000000" w:themeColor="text1"/>
          <w:sz w:val="24"/>
          <w:szCs w:val="24"/>
        </w:rPr>
        <w:t xml:space="preserve">, 11 for log-returns and 2 for the worldwide examination). In the terminologies, we recognize the 11 subsets by various </w:t>
      </w:r>
      <w:r w:rsidR="00D70683">
        <w:rPr>
          <w:rFonts w:ascii="Times New Roman" w:hAnsi="Times New Roman" w:cs="Times New Roman"/>
          <w:color w:val="000000" w:themeColor="text1"/>
          <w:sz w:val="24"/>
          <w:szCs w:val="24"/>
        </w:rPr>
        <w:t>symbol</w:t>
      </w:r>
      <w:r w:rsidR="00D70683" w:rsidRPr="00D70683">
        <w:rPr>
          <w:rFonts w:ascii="Times New Roman" w:hAnsi="Times New Roman" w:cs="Times New Roman"/>
          <w:color w:val="000000" w:themeColor="text1"/>
          <w:sz w:val="24"/>
          <w:szCs w:val="24"/>
        </w:rPr>
        <w:t>.</w:t>
      </w:r>
    </w:p>
    <w:p w14:paraId="636E5F1D" w14:textId="39D41ABE" w:rsidR="008B2804" w:rsidRPr="00232E7C" w:rsidRDefault="00D70683" w:rsidP="009340A8">
      <w:pPr>
        <w:spacing w:line="360" w:lineRule="auto"/>
        <w:jc w:val="both"/>
        <w:rPr>
          <w:rFonts w:ascii="Times New Roman" w:hAnsi="Times New Roman" w:cs="Times New Roman"/>
          <w:color w:val="000000" w:themeColor="text1"/>
          <w:sz w:val="24"/>
          <w:szCs w:val="24"/>
        </w:rPr>
      </w:pPr>
      <w:r w:rsidRPr="00D70683">
        <w:rPr>
          <w:rFonts w:ascii="Times New Roman" w:hAnsi="Times New Roman" w:cs="Times New Roman"/>
          <w:color w:val="000000" w:themeColor="text1"/>
          <w:sz w:val="24"/>
          <w:szCs w:val="24"/>
        </w:rPr>
        <w:t xml:space="preserve">Two admonitions first: (I) authoritatively, a zero can't be a first digit, when concentrating on BLs; (ii) decimal focuses separators are likewise overlooked. By the by, in our counting </w:t>
      </w:r>
      <w:r w:rsidRPr="00D70683">
        <w:rPr>
          <w:rFonts w:ascii="Times New Roman" w:hAnsi="Times New Roman" w:cs="Times New Roman"/>
          <w:color w:val="000000" w:themeColor="text1"/>
          <w:sz w:val="24"/>
          <w:szCs w:val="24"/>
        </w:rPr>
        <w:lastRenderedPageBreak/>
        <w:t xml:space="preserve">calculations, it has kept 0 as a real first (and furthermore second) digit on account of BLs tests on the log-returns. To be sure, in a few cases, these log-returns are totally equivalent to 0, on the grounds that there was no adjustment of two progressive S&amp;P500 volume esteems. In such cases, the subsequent digit is obviously additionally 0. Keeping such a digit, for the tests on log-returns, permits one to notice the "relative significance" of such occasions; clearly ≤ </w:t>
      </w:r>
      <w:r w:rsidRPr="00D70683">
        <w:rPr>
          <w:rFonts w:ascii="Cambria Math" w:hAnsi="Cambria Math" w:cs="Cambria Math"/>
          <w:color w:val="000000" w:themeColor="text1"/>
          <w:sz w:val="24"/>
          <w:szCs w:val="24"/>
        </w:rPr>
        <w:t>∼</w:t>
      </w:r>
      <w:r w:rsidRPr="00D70683">
        <w:rPr>
          <w:rFonts w:ascii="Times New Roman" w:hAnsi="Times New Roman" w:cs="Times New Roman"/>
          <w:color w:val="000000" w:themeColor="text1"/>
          <w:sz w:val="24"/>
          <w:szCs w:val="24"/>
        </w:rPr>
        <w:t xml:space="preserve"> 1%. It is effortlessly conceded that the significance is "not extraordinary". Be that as it may,</w:t>
      </w:r>
      <w:r w:rsidR="008B2804" w:rsidRPr="00232E7C">
        <w:rPr>
          <w:rFonts w:ascii="Times New Roman" w:hAnsi="Times New Roman" w:cs="Times New Roman"/>
          <w:color w:val="000000" w:themeColor="text1"/>
          <w:sz w:val="24"/>
          <w:szCs w:val="24"/>
        </w:rPr>
        <w:t xml:space="preserve"> “necessarily”, the number of observed events,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008B2804" w:rsidRPr="00232E7C">
        <w:rPr>
          <w:rFonts w:ascii="Times New Roman" w:hAnsi="Times New Roman" w:cs="Times New Roman"/>
          <w:color w:val="000000" w:themeColor="text1"/>
          <w:sz w:val="24"/>
          <w:szCs w:val="24"/>
        </w:rPr>
        <w:t>, with k = I, ...</w:t>
      </w:r>
      <w:proofErr w:type="gramStart"/>
      <w:r w:rsidR="008B2804" w:rsidRPr="00232E7C">
        <w:rPr>
          <w:rFonts w:ascii="Times New Roman" w:hAnsi="Times New Roman" w:cs="Times New Roman"/>
          <w:color w:val="000000" w:themeColor="text1"/>
          <w:sz w:val="24"/>
          <w:szCs w:val="24"/>
        </w:rPr>
        <w:t>V ,</w:t>
      </w:r>
      <w:proofErr w:type="gramEnd"/>
      <w:r w:rsidR="008B2804" w:rsidRPr="00232E7C">
        <w:rPr>
          <w:rFonts w:ascii="Times New Roman" w:hAnsi="Times New Roman" w:cs="Times New Roman"/>
          <w:color w:val="000000" w:themeColor="text1"/>
          <w:sz w:val="24"/>
          <w:szCs w:val="24"/>
        </w:rPr>
        <w:t xml:space="preserve"> thereafter differs in the previously imposed equal size intervals because the zeros are not homogeneously distributed across the </w:t>
      </w:r>
      <w:r w:rsidR="008B2804">
        <w:rPr>
          <w:rFonts w:ascii="Times New Roman" w:hAnsi="Times New Roman" w:cs="Times New Roman"/>
          <w:color w:val="000000" w:themeColor="text1"/>
          <w:sz w:val="24"/>
          <w:szCs w:val="24"/>
        </w:rPr>
        <w:t>11</w:t>
      </w:r>
      <w:r w:rsidR="008B2804" w:rsidRPr="00232E7C">
        <w:rPr>
          <w:rFonts w:ascii="Times New Roman" w:hAnsi="Times New Roman" w:cs="Times New Roman"/>
          <w:color w:val="000000" w:themeColor="text1"/>
          <w:sz w:val="24"/>
          <w:szCs w:val="24"/>
        </w:rPr>
        <w:t xml:space="preserve"> log-return subsets.</w:t>
      </w:r>
    </w:p>
    <w:p w14:paraId="1825BEE8" w14:textId="16EF9D57" w:rsidR="004613E5" w:rsidRDefault="00D70683" w:rsidP="009340A8">
      <w:pPr>
        <w:spacing w:line="360" w:lineRule="auto"/>
        <w:jc w:val="both"/>
        <w:rPr>
          <w:rFonts w:ascii="Times New Roman" w:hAnsi="Times New Roman" w:cs="Times New Roman"/>
          <w:color w:val="000000" w:themeColor="text1"/>
          <w:sz w:val="24"/>
          <w:szCs w:val="24"/>
        </w:rPr>
      </w:pPr>
      <w:r w:rsidRPr="00D70683">
        <w:rPr>
          <w:rFonts w:ascii="Times New Roman" w:hAnsi="Times New Roman" w:cs="Times New Roman"/>
          <w:color w:val="000000" w:themeColor="text1"/>
          <w:sz w:val="24"/>
          <w:szCs w:val="24"/>
        </w:rPr>
        <w:t xml:space="preserve">Here, centre immediately to accentuate the accompanying: a few "first digits", whence "Initial two digits", values are absent in different subsets. For instance, the missing first digits in each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SP</m:t>
            </m:r>
          </m:e>
          <m:sub>
            <m:r>
              <w:rPr>
                <w:rFonts w:ascii="Cambria Math" w:hAnsi="Cambria Math" w:cs="Times New Roman"/>
                <w:color w:val="000000" w:themeColor="text1"/>
                <w:sz w:val="24"/>
                <w:szCs w:val="24"/>
              </w:rPr>
              <m:t>k</m:t>
            </m:r>
          </m:sub>
        </m:sSub>
      </m:oMath>
      <w:r w:rsidR="008B2804" w:rsidRPr="00232E7C">
        <w:rPr>
          <w:rFonts w:ascii="Times New Roman" w:hAnsi="Times New Roman" w:cs="Times New Roman"/>
          <w:color w:val="000000" w:themeColor="text1"/>
          <w:sz w:val="24"/>
          <w:szCs w:val="24"/>
        </w:rPr>
        <w:t xml:space="preserve">, </w:t>
      </w:r>
      <w:r w:rsidRPr="00D70683">
        <w:rPr>
          <w:rFonts w:ascii="Times New Roman" w:hAnsi="Times New Roman" w:cs="Times New Roman"/>
          <w:color w:val="000000" w:themeColor="text1"/>
          <w:sz w:val="24"/>
          <w:szCs w:val="24"/>
        </w:rPr>
        <w:t>can be found from Table 2.4.2; this is additionally obviously seen in the primary digit figure for S&amp;P500, Fig. 2.4.2, where one has piled up the subset histograms. This is anything but a minor point; one comprehends (deduced) that this is because of the presence of various patterns in the information; see the conversation in Section.2.5.</w:t>
      </w:r>
    </w:p>
    <w:p w14:paraId="3126938C" w14:textId="77777777" w:rsidR="008B2804" w:rsidRPr="00232E7C" w:rsidRDefault="008B2804" w:rsidP="008B2804">
      <w:pPr>
        <w:spacing w:line="480" w:lineRule="auto"/>
        <w:jc w:val="both"/>
        <w:rPr>
          <w:rFonts w:ascii="Times New Roman" w:hAnsi="Times New Roman" w:cs="Times New Roman"/>
          <w:color w:val="000000" w:themeColor="text1"/>
          <w:sz w:val="24"/>
          <w:szCs w:val="24"/>
        </w:rPr>
      </w:pPr>
    </w:p>
    <w:p w14:paraId="0BA049A1" w14:textId="77777777" w:rsidR="00173345" w:rsidRDefault="008B2804" w:rsidP="00173345">
      <w:pPr>
        <w:keepNext/>
        <w:spacing w:line="480" w:lineRule="auto"/>
        <w:jc w:val="both"/>
      </w:pPr>
      <w:r>
        <w:rPr>
          <w:noProof/>
          <w:lang w:eastAsia="en-GB"/>
        </w:rPr>
        <w:lastRenderedPageBreak/>
        <w:drawing>
          <wp:inline distT="0" distB="0" distL="0" distR="0" wp14:anchorId="2F9FFD05" wp14:editId="27BA8282">
            <wp:extent cx="5731510" cy="3638550"/>
            <wp:effectExtent l="0" t="0" r="2540" b="0"/>
            <wp:docPr id="36" name="Picture 3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natur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638550"/>
                    </a:xfrm>
                    <a:prstGeom prst="rect">
                      <a:avLst/>
                    </a:prstGeom>
                    <a:noFill/>
                    <a:ln>
                      <a:noFill/>
                    </a:ln>
                  </pic:spPr>
                </pic:pic>
              </a:graphicData>
            </a:graphic>
          </wp:inline>
        </w:drawing>
      </w:r>
    </w:p>
    <w:p w14:paraId="288F5CE4" w14:textId="77777777" w:rsidR="008128CD" w:rsidRDefault="008B2804" w:rsidP="008128CD">
      <w:pPr>
        <w:keepNext/>
        <w:spacing w:line="480" w:lineRule="auto"/>
        <w:jc w:val="both"/>
      </w:pPr>
      <w:r>
        <w:rPr>
          <w:noProof/>
          <w:lang w:eastAsia="en-GB"/>
        </w:rPr>
        <w:drawing>
          <wp:inline distT="0" distB="0" distL="0" distR="0" wp14:anchorId="392D78F6" wp14:editId="20865700">
            <wp:extent cx="5731510" cy="3811270"/>
            <wp:effectExtent l="0" t="0" r="2540" b="0"/>
            <wp:docPr id="46" name="Picture 4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histogram&#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765A1AF6" w14:textId="4DC26530" w:rsidR="00173345" w:rsidRPr="008128CD" w:rsidRDefault="008128CD" w:rsidP="008128CD">
      <w:pPr>
        <w:pStyle w:val="Caption"/>
        <w:jc w:val="both"/>
        <w:rPr>
          <w:rFonts w:ascii="Times New Roman" w:hAnsi="Times New Roman" w:cs="Times New Roman"/>
          <w:color w:val="auto"/>
          <w:sz w:val="24"/>
          <w:szCs w:val="24"/>
        </w:rPr>
      </w:pPr>
      <w:bookmarkStart w:id="145" w:name="_Toc78498687"/>
      <w:r w:rsidRPr="008128CD">
        <w:rPr>
          <w:rFonts w:ascii="Times New Roman" w:hAnsi="Times New Roman" w:cs="Times New Roman"/>
          <w:color w:val="auto"/>
          <w:sz w:val="24"/>
          <w:szCs w:val="24"/>
        </w:rPr>
        <w:t xml:space="preserve">Figure </w:t>
      </w:r>
      <w:r w:rsidR="009E6C64">
        <w:rPr>
          <w:rFonts w:ascii="Times New Roman" w:hAnsi="Times New Roman" w:cs="Times New Roman"/>
          <w:color w:val="auto"/>
          <w:sz w:val="24"/>
          <w:szCs w:val="24"/>
        </w:rPr>
        <w:t>2.4</w:t>
      </w:r>
      <w:r w:rsidR="000D388A">
        <w:rPr>
          <w:rFonts w:ascii="Times New Roman" w:hAnsi="Times New Roman" w:cs="Times New Roman"/>
          <w:color w:val="auto"/>
          <w:sz w:val="24"/>
          <w:szCs w:val="24"/>
        </w:rPr>
        <w:t>.</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(bottom) S&amp;P500 daily minute volume, (Top) corresponding daily log returns, between 01/05/2013 and 29/12/2017.</w:t>
      </w:r>
      <w:bookmarkEnd w:id="145"/>
    </w:p>
    <w:p w14:paraId="5DA6FD3B" w14:textId="2E8910F3" w:rsidR="00145E03" w:rsidRPr="00145E03" w:rsidRDefault="00145E03" w:rsidP="00145E03">
      <w:pPr>
        <w:pStyle w:val="Caption"/>
        <w:keepNext/>
        <w:rPr>
          <w:rFonts w:ascii="Times New Roman" w:hAnsi="Times New Roman" w:cs="Times New Roman"/>
          <w:color w:val="auto"/>
          <w:sz w:val="24"/>
          <w:szCs w:val="24"/>
        </w:rPr>
      </w:pPr>
      <w:r w:rsidRPr="00145E03">
        <w:rPr>
          <w:rFonts w:ascii="Times New Roman" w:hAnsi="Times New Roman" w:cs="Times New Roman"/>
          <w:color w:val="auto"/>
          <w:sz w:val="24"/>
          <w:szCs w:val="24"/>
        </w:rPr>
        <w:lastRenderedPageBreak/>
        <w:t>Table 2.4.2 Number of d1 digits, in</w:t>
      </w:r>
      <w:r w:rsidR="0049607F">
        <w:rPr>
          <w:rFonts w:ascii="Times New Roman" w:hAnsi="Times New Roman" w:cs="Times New Roman"/>
          <w:color w:val="auto"/>
          <w:sz w:val="24"/>
          <w:szCs w:val="24"/>
        </w:rPr>
        <w:t xml:space="preserve"> </w:t>
      </w:r>
      <m:oMath>
        <m:sSub>
          <m:sSubPr>
            <m:ctrlPr>
              <w:rPr>
                <w:rFonts w:ascii="Cambria Math" w:hAnsi="Cambria Math" w:cs="Times New Roman"/>
                <w:b w:val="0"/>
                <w:bCs w:val="0"/>
                <w:i/>
                <w:color w:val="000000" w:themeColor="text1"/>
                <w:sz w:val="24"/>
                <w:szCs w:val="24"/>
              </w:rPr>
            </m:ctrlPr>
          </m:sSubPr>
          <m:e>
            <m:r>
              <m:rPr>
                <m:sty m:val="bi"/>
              </m:rPr>
              <w:rPr>
                <w:rFonts w:ascii="Cambria Math" w:hAnsi="Cambria Math" w:cs="Times New Roman"/>
                <w:color w:val="000000" w:themeColor="text1"/>
                <w:sz w:val="24"/>
                <w:szCs w:val="24"/>
              </w:rPr>
              <m:t>SP</m:t>
            </m:r>
          </m:e>
          <m:sub>
            <m:r>
              <m:rPr>
                <m:sty m:val="bi"/>
              </m:rPr>
              <w:rPr>
                <w:rFonts w:ascii="Cambria Math" w:hAnsi="Cambria Math" w:cs="Times New Roman"/>
                <w:color w:val="000000" w:themeColor="text1"/>
                <w:sz w:val="24"/>
                <w:szCs w:val="24"/>
              </w:rPr>
              <m:t>k</m:t>
            </m:r>
          </m:sub>
        </m:sSub>
      </m:oMath>
      <w:r w:rsidRPr="00145E03">
        <w:rPr>
          <w:rFonts w:ascii="Times New Roman" w:hAnsi="Times New Roman" w:cs="Times New Roman"/>
          <w:color w:val="auto"/>
          <w:sz w:val="24"/>
          <w:szCs w:val="24"/>
        </w:rPr>
        <w:t xml:space="preserve"> groups; observe that there are sometimes missing digits.</w:t>
      </w:r>
    </w:p>
    <w:tbl>
      <w:tblPr>
        <w:tblW w:w="8627" w:type="dxa"/>
        <w:tblLook w:val="04A0" w:firstRow="1" w:lastRow="0" w:firstColumn="1" w:lastColumn="0" w:noHBand="0" w:noVBand="1"/>
      </w:tblPr>
      <w:tblGrid>
        <w:gridCol w:w="1166"/>
        <w:gridCol w:w="2455"/>
        <w:gridCol w:w="1166"/>
        <w:gridCol w:w="1280"/>
        <w:gridCol w:w="1280"/>
        <w:gridCol w:w="1280"/>
      </w:tblGrid>
      <w:tr w:rsidR="008B2804" w:rsidRPr="004A6666" w14:paraId="6DF0FEE2" w14:textId="77777777" w:rsidTr="002E143B">
        <w:trPr>
          <w:trHeight w:val="420"/>
        </w:trPr>
        <w:tc>
          <w:tcPr>
            <w:tcW w:w="1166" w:type="dxa"/>
            <w:tcBorders>
              <w:top w:val="single" w:sz="8" w:space="0" w:color="auto"/>
              <w:left w:val="single" w:sz="8" w:space="0" w:color="auto"/>
              <w:bottom w:val="single" w:sz="4" w:space="0" w:color="auto"/>
              <w:right w:val="nil"/>
            </w:tcBorders>
            <w:shd w:val="clear" w:color="auto" w:fill="auto"/>
            <w:noWrap/>
            <w:vAlign w:val="bottom"/>
            <w:hideMark/>
          </w:tcPr>
          <w:p w14:paraId="3939B25F"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24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7CC5AB"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4EB8252F"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097763DB"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chi_d1</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443E6BA0"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chi_d2</w:t>
            </w:r>
          </w:p>
        </w:tc>
        <w:tc>
          <w:tcPr>
            <w:tcW w:w="1280" w:type="dxa"/>
            <w:tcBorders>
              <w:top w:val="single" w:sz="8" w:space="0" w:color="auto"/>
              <w:left w:val="nil"/>
              <w:bottom w:val="single" w:sz="4" w:space="0" w:color="auto"/>
              <w:right w:val="single" w:sz="8" w:space="0" w:color="auto"/>
            </w:tcBorders>
            <w:shd w:val="clear" w:color="auto" w:fill="auto"/>
            <w:noWrap/>
            <w:vAlign w:val="bottom"/>
            <w:hideMark/>
          </w:tcPr>
          <w:p w14:paraId="29B3B344"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chi_d12</w:t>
            </w:r>
          </w:p>
        </w:tc>
      </w:tr>
      <w:tr w:rsidR="008B2804" w:rsidRPr="004A6666" w14:paraId="11C793F1" w14:textId="77777777" w:rsidTr="002E143B">
        <w:trPr>
          <w:trHeight w:val="441"/>
        </w:trPr>
        <w:tc>
          <w:tcPr>
            <w:tcW w:w="1166" w:type="dxa"/>
            <w:tcBorders>
              <w:top w:val="nil"/>
              <w:left w:val="single" w:sz="8" w:space="0" w:color="auto"/>
              <w:bottom w:val="nil"/>
              <w:right w:val="nil"/>
            </w:tcBorders>
            <w:shd w:val="clear" w:color="auto" w:fill="auto"/>
            <w:noWrap/>
            <w:vAlign w:val="bottom"/>
            <w:hideMark/>
          </w:tcPr>
          <w:p w14:paraId="516F135F"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2455" w:type="dxa"/>
            <w:tcBorders>
              <w:top w:val="nil"/>
              <w:left w:val="single" w:sz="8" w:space="0" w:color="auto"/>
              <w:bottom w:val="single" w:sz="8" w:space="0" w:color="auto"/>
              <w:right w:val="single" w:sz="4" w:space="0" w:color="auto"/>
            </w:tcBorders>
            <w:shd w:val="clear" w:color="auto" w:fill="auto"/>
            <w:noWrap/>
            <w:vAlign w:val="bottom"/>
            <w:hideMark/>
          </w:tcPr>
          <w:p w14:paraId="2D46F350"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xml:space="preserve">Chi </w:t>
            </w:r>
            <w:proofErr w:type="spellStart"/>
            <w:r w:rsidRPr="004A6666">
              <w:rPr>
                <w:rFonts w:ascii="Calibri" w:eastAsia="Times New Roman" w:hAnsi="Calibri" w:cs="Calibri"/>
                <w:b/>
                <w:bCs/>
                <w:color w:val="000000"/>
                <w:lang w:eastAsia="en-GB"/>
              </w:rPr>
              <w:t>sq</w:t>
            </w:r>
            <w:proofErr w:type="spellEnd"/>
          </w:p>
        </w:tc>
        <w:tc>
          <w:tcPr>
            <w:tcW w:w="1166" w:type="dxa"/>
            <w:tcBorders>
              <w:top w:val="nil"/>
              <w:left w:val="nil"/>
              <w:bottom w:val="single" w:sz="8" w:space="0" w:color="auto"/>
              <w:right w:val="single" w:sz="4" w:space="0" w:color="auto"/>
            </w:tcBorders>
            <w:shd w:val="clear" w:color="auto" w:fill="auto"/>
            <w:noWrap/>
            <w:vAlign w:val="bottom"/>
            <w:hideMark/>
          </w:tcPr>
          <w:p w14:paraId="15F108B3"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280" w:type="dxa"/>
            <w:tcBorders>
              <w:top w:val="nil"/>
              <w:left w:val="nil"/>
              <w:bottom w:val="single" w:sz="8" w:space="0" w:color="auto"/>
              <w:right w:val="single" w:sz="4" w:space="0" w:color="auto"/>
            </w:tcBorders>
            <w:shd w:val="clear" w:color="auto" w:fill="auto"/>
            <w:noWrap/>
            <w:vAlign w:val="bottom"/>
            <w:hideMark/>
          </w:tcPr>
          <w:p w14:paraId="5AE77D30"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15.507</w:t>
            </w:r>
          </w:p>
        </w:tc>
        <w:tc>
          <w:tcPr>
            <w:tcW w:w="1280" w:type="dxa"/>
            <w:tcBorders>
              <w:top w:val="nil"/>
              <w:left w:val="nil"/>
              <w:bottom w:val="single" w:sz="8" w:space="0" w:color="auto"/>
              <w:right w:val="single" w:sz="4" w:space="0" w:color="auto"/>
            </w:tcBorders>
            <w:shd w:val="clear" w:color="auto" w:fill="auto"/>
            <w:noWrap/>
            <w:vAlign w:val="bottom"/>
            <w:hideMark/>
          </w:tcPr>
          <w:p w14:paraId="7DBA832F"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16.919</w:t>
            </w:r>
          </w:p>
        </w:tc>
        <w:tc>
          <w:tcPr>
            <w:tcW w:w="1280" w:type="dxa"/>
            <w:tcBorders>
              <w:top w:val="nil"/>
              <w:left w:val="nil"/>
              <w:bottom w:val="single" w:sz="8" w:space="0" w:color="auto"/>
              <w:right w:val="single" w:sz="8" w:space="0" w:color="auto"/>
            </w:tcBorders>
            <w:shd w:val="clear" w:color="auto" w:fill="auto"/>
            <w:noWrap/>
            <w:vAlign w:val="bottom"/>
            <w:hideMark/>
          </w:tcPr>
          <w:p w14:paraId="77479FBA"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112.022</w:t>
            </w:r>
          </w:p>
        </w:tc>
      </w:tr>
      <w:tr w:rsidR="008B2804" w:rsidRPr="004A6666" w14:paraId="4D0D76CF" w14:textId="77777777" w:rsidTr="002E143B">
        <w:trPr>
          <w:trHeight w:val="441"/>
        </w:trPr>
        <w:tc>
          <w:tcPr>
            <w:tcW w:w="1166" w:type="dxa"/>
            <w:tcBorders>
              <w:top w:val="single" w:sz="8" w:space="0" w:color="auto"/>
              <w:left w:val="single" w:sz="8" w:space="0" w:color="auto"/>
              <w:bottom w:val="nil"/>
              <w:right w:val="single" w:sz="8" w:space="0" w:color="auto"/>
            </w:tcBorders>
            <w:shd w:val="clear" w:color="auto" w:fill="auto"/>
            <w:noWrap/>
            <w:vAlign w:val="bottom"/>
            <w:hideMark/>
          </w:tcPr>
          <w:p w14:paraId="30833149"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chunk</w:t>
            </w:r>
          </w:p>
        </w:tc>
        <w:tc>
          <w:tcPr>
            <w:tcW w:w="2455" w:type="dxa"/>
            <w:tcBorders>
              <w:top w:val="nil"/>
              <w:left w:val="nil"/>
              <w:bottom w:val="single" w:sz="4" w:space="0" w:color="auto"/>
              <w:right w:val="single" w:sz="4" w:space="0" w:color="auto"/>
            </w:tcBorders>
            <w:shd w:val="clear" w:color="auto" w:fill="auto"/>
            <w:noWrap/>
            <w:vAlign w:val="bottom"/>
            <w:hideMark/>
          </w:tcPr>
          <w:p w14:paraId="340681DB"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type</w:t>
            </w:r>
          </w:p>
        </w:tc>
        <w:tc>
          <w:tcPr>
            <w:tcW w:w="1166" w:type="dxa"/>
            <w:tcBorders>
              <w:top w:val="nil"/>
              <w:left w:val="nil"/>
              <w:bottom w:val="single" w:sz="4" w:space="0" w:color="auto"/>
              <w:right w:val="single" w:sz="4" w:space="0" w:color="auto"/>
            </w:tcBorders>
            <w:shd w:val="clear" w:color="auto" w:fill="auto"/>
            <w:noWrap/>
            <w:vAlign w:val="bottom"/>
            <w:hideMark/>
          </w:tcPr>
          <w:p w14:paraId="78B07B35"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N</w:t>
            </w:r>
          </w:p>
        </w:tc>
        <w:tc>
          <w:tcPr>
            <w:tcW w:w="1280" w:type="dxa"/>
            <w:tcBorders>
              <w:top w:val="nil"/>
              <w:left w:val="nil"/>
              <w:bottom w:val="single" w:sz="4" w:space="0" w:color="auto"/>
              <w:right w:val="single" w:sz="4" w:space="0" w:color="auto"/>
            </w:tcBorders>
            <w:shd w:val="clear" w:color="auto" w:fill="auto"/>
            <w:noWrap/>
            <w:vAlign w:val="bottom"/>
            <w:hideMark/>
          </w:tcPr>
          <w:p w14:paraId="2573997D"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280" w:type="dxa"/>
            <w:tcBorders>
              <w:top w:val="nil"/>
              <w:left w:val="nil"/>
              <w:bottom w:val="single" w:sz="4" w:space="0" w:color="auto"/>
              <w:right w:val="single" w:sz="4" w:space="0" w:color="auto"/>
            </w:tcBorders>
            <w:shd w:val="clear" w:color="auto" w:fill="auto"/>
            <w:noWrap/>
            <w:vAlign w:val="bottom"/>
            <w:hideMark/>
          </w:tcPr>
          <w:p w14:paraId="5ED4265A"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280" w:type="dxa"/>
            <w:tcBorders>
              <w:top w:val="nil"/>
              <w:left w:val="nil"/>
              <w:bottom w:val="single" w:sz="4" w:space="0" w:color="auto"/>
              <w:right w:val="single" w:sz="8" w:space="0" w:color="auto"/>
            </w:tcBorders>
            <w:shd w:val="clear" w:color="auto" w:fill="auto"/>
            <w:noWrap/>
            <w:vAlign w:val="bottom"/>
            <w:hideMark/>
          </w:tcPr>
          <w:p w14:paraId="0BD031A6" w14:textId="77777777" w:rsidR="008B2804" w:rsidRPr="004A6666" w:rsidRDefault="008B2804" w:rsidP="002E143B">
            <w:pPr>
              <w:spacing w:after="0" w:line="240" w:lineRule="auto"/>
              <w:jc w:val="center"/>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r>
      <w:tr w:rsidR="008B2804" w:rsidRPr="004A6666" w14:paraId="73800D9B" w14:textId="77777777" w:rsidTr="002E143B">
        <w:trPr>
          <w:trHeight w:val="420"/>
        </w:trPr>
        <w:tc>
          <w:tcPr>
            <w:tcW w:w="11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893C44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w:t>
            </w:r>
          </w:p>
        </w:tc>
        <w:tc>
          <w:tcPr>
            <w:tcW w:w="2455" w:type="dxa"/>
            <w:tcBorders>
              <w:top w:val="nil"/>
              <w:left w:val="nil"/>
              <w:bottom w:val="single" w:sz="4" w:space="0" w:color="auto"/>
              <w:right w:val="single" w:sz="4" w:space="0" w:color="auto"/>
            </w:tcBorders>
            <w:shd w:val="clear" w:color="auto" w:fill="auto"/>
            <w:noWrap/>
            <w:vAlign w:val="bottom"/>
            <w:hideMark/>
          </w:tcPr>
          <w:p w14:paraId="77DECDC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39887B1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481769</w:t>
            </w:r>
          </w:p>
        </w:tc>
        <w:tc>
          <w:tcPr>
            <w:tcW w:w="1280" w:type="dxa"/>
            <w:tcBorders>
              <w:top w:val="nil"/>
              <w:left w:val="nil"/>
              <w:bottom w:val="single" w:sz="4" w:space="0" w:color="auto"/>
              <w:right w:val="single" w:sz="4" w:space="0" w:color="auto"/>
            </w:tcBorders>
            <w:shd w:val="clear" w:color="auto" w:fill="auto"/>
            <w:noWrap/>
            <w:vAlign w:val="bottom"/>
            <w:hideMark/>
          </w:tcPr>
          <w:p w14:paraId="43E8209D"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64559.47</w:t>
            </w:r>
          </w:p>
        </w:tc>
        <w:tc>
          <w:tcPr>
            <w:tcW w:w="1280" w:type="dxa"/>
            <w:tcBorders>
              <w:top w:val="nil"/>
              <w:left w:val="nil"/>
              <w:bottom w:val="single" w:sz="4" w:space="0" w:color="auto"/>
              <w:right w:val="single" w:sz="4" w:space="0" w:color="auto"/>
            </w:tcBorders>
            <w:shd w:val="clear" w:color="auto" w:fill="auto"/>
            <w:noWrap/>
            <w:vAlign w:val="bottom"/>
            <w:hideMark/>
          </w:tcPr>
          <w:p w14:paraId="3B38046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450.3822</w:t>
            </w:r>
          </w:p>
        </w:tc>
        <w:tc>
          <w:tcPr>
            <w:tcW w:w="1280" w:type="dxa"/>
            <w:tcBorders>
              <w:top w:val="nil"/>
              <w:left w:val="nil"/>
              <w:bottom w:val="single" w:sz="4" w:space="0" w:color="auto"/>
              <w:right w:val="single" w:sz="8" w:space="0" w:color="auto"/>
            </w:tcBorders>
            <w:shd w:val="clear" w:color="auto" w:fill="auto"/>
            <w:noWrap/>
            <w:vAlign w:val="bottom"/>
            <w:hideMark/>
          </w:tcPr>
          <w:p w14:paraId="6F0D7CF7"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74501.39</w:t>
            </w:r>
          </w:p>
        </w:tc>
      </w:tr>
      <w:tr w:rsidR="008B2804" w:rsidRPr="004A6666" w14:paraId="485C8F4D"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1296F98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SP[I]</w:t>
            </w:r>
          </w:p>
        </w:tc>
        <w:tc>
          <w:tcPr>
            <w:tcW w:w="2455" w:type="dxa"/>
            <w:tcBorders>
              <w:top w:val="nil"/>
              <w:left w:val="nil"/>
              <w:bottom w:val="single" w:sz="4" w:space="0" w:color="auto"/>
              <w:right w:val="single" w:sz="4" w:space="0" w:color="auto"/>
            </w:tcBorders>
            <w:shd w:val="clear" w:color="auto" w:fill="auto"/>
            <w:noWrap/>
            <w:vAlign w:val="bottom"/>
            <w:hideMark/>
          </w:tcPr>
          <w:p w14:paraId="44EEAFFE"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13E26CDB"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43777</w:t>
            </w:r>
          </w:p>
        </w:tc>
        <w:tc>
          <w:tcPr>
            <w:tcW w:w="1280" w:type="dxa"/>
            <w:tcBorders>
              <w:top w:val="nil"/>
              <w:left w:val="nil"/>
              <w:bottom w:val="single" w:sz="4" w:space="0" w:color="auto"/>
              <w:right w:val="single" w:sz="4" w:space="0" w:color="auto"/>
            </w:tcBorders>
            <w:shd w:val="clear" w:color="auto" w:fill="auto"/>
            <w:noWrap/>
            <w:vAlign w:val="bottom"/>
            <w:hideMark/>
          </w:tcPr>
          <w:p w14:paraId="7076CF4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14108.77</w:t>
            </w:r>
          </w:p>
        </w:tc>
        <w:tc>
          <w:tcPr>
            <w:tcW w:w="1280" w:type="dxa"/>
            <w:tcBorders>
              <w:top w:val="nil"/>
              <w:left w:val="nil"/>
              <w:bottom w:val="single" w:sz="4" w:space="0" w:color="auto"/>
              <w:right w:val="single" w:sz="4" w:space="0" w:color="auto"/>
            </w:tcBorders>
            <w:shd w:val="clear" w:color="auto" w:fill="auto"/>
            <w:noWrap/>
            <w:vAlign w:val="bottom"/>
            <w:hideMark/>
          </w:tcPr>
          <w:p w14:paraId="18FA6F5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130.9584</w:t>
            </w:r>
          </w:p>
        </w:tc>
        <w:tc>
          <w:tcPr>
            <w:tcW w:w="1280" w:type="dxa"/>
            <w:tcBorders>
              <w:top w:val="nil"/>
              <w:left w:val="nil"/>
              <w:bottom w:val="single" w:sz="4" w:space="0" w:color="auto"/>
              <w:right w:val="single" w:sz="8" w:space="0" w:color="auto"/>
            </w:tcBorders>
            <w:shd w:val="clear" w:color="auto" w:fill="auto"/>
            <w:noWrap/>
            <w:vAlign w:val="bottom"/>
            <w:hideMark/>
          </w:tcPr>
          <w:p w14:paraId="5A8F592A"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16227.3</w:t>
            </w:r>
          </w:p>
        </w:tc>
      </w:tr>
      <w:tr w:rsidR="008B2804" w:rsidRPr="004A6666" w14:paraId="3794E57A"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21F25E2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SP[II]</w:t>
            </w:r>
          </w:p>
        </w:tc>
        <w:tc>
          <w:tcPr>
            <w:tcW w:w="2455" w:type="dxa"/>
            <w:tcBorders>
              <w:top w:val="nil"/>
              <w:left w:val="nil"/>
              <w:bottom w:val="single" w:sz="4" w:space="0" w:color="auto"/>
              <w:right w:val="single" w:sz="4" w:space="0" w:color="auto"/>
            </w:tcBorders>
            <w:shd w:val="clear" w:color="auto" w:fill="auto"/>
            <w:noWrap/>
            <w:vAlign w:val="bottom"/>
            <w:hideMark/>
          </w:tcPr>
          <w:p w14:paraId="6A12EE8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7356CF7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43627</w:t>
            </w:r>
          </w:p>
        </w:tc>
        <w:tc>
          <w:tcPr>
            <w:tcW w:w="1280" w:type="dxa"/>
            <w:tcBorders>
              <w:top w:val="nil"/>
              <w:left w:val="nil"/>
              <w:bottom w:val="single" w:sz="4" w:space="0" w:color="auto"/>
              <w:right w:val="single" w:sz="4" w:space="0" w:color="auto"/>
            </w:tcBorders>
            <w:shd w:val="clear" w:color="auto" w:fill="auto"/>
            <w:noWrap/>
            <w:vAlign w:val="bottom"/>
            <w:hideMark/>
          </w:tcPr>
          <w:p w14:paraId="6462218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15059.35</w:t>
            </w:r>
          </w:p>
        </w:tc>
        <w:tc>
          <w:tcPr>
            <w:tcW w:w="1280" w:type="dxa"/>
            <w:tcBorders>
              <w:top w:val="nil"/>
              <w:left w:val="nil"/>
              <w:bottom w:val="single" w:sz="4" w:space="0" w:color="auto"/>
              <w:right w:val="single" w:sz="4" w:space="0" w:color="auto"/>
            </w:tcBorders>
            <w:shd w:val="clear" w:color="auto" w:fill="auto"/>
            <w:noWrap/>
            <w:vAlign w:val="bottom"/>
            <w:hideMark/>
          </w:tcPr>
          <w:p w14:paraId="23AD50D3"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88.40505</w:t>
            </w:r>
          </w:p>
        </w:tc>
        <w:tc>
          <w:tcPr>
            <w:tcW w:w="1280" w:type="dxa"/>
            <w:tcBorders>
              <w:top w:val="nil"/>
              <w:left w:val="nil"/>
              <w:bottom w:val="single" w:sz="4" w:space="0" w:color="auto"/>
              <w:right w:val="single" w:sz="8" w:space="0" w:color="auto"/>
            </w:tcBorders>
            <w:shd w:val="clear" w:color="auto" w:fill="auto"/>
            <w:noWrap/>
            <w:vAlign w:val="bottom"/>
            <w:hideMark/>
          </w:tcPr>
          <w:p w14:paraId="4B02702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16838.42</w:t>
            </w:r>
          </w:p>
        </w:tc>
      </w:tr>
      <w:tr w:rsidR="008B2804" w:rsidRPr="004A6666" w14:paraId="0C43CFC8"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66344F56"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SP[III]</w:t>
            </w:r>
          </w:p>
        </w:tc>
        <w:tc>
          <w:tcPr>
            <w:tcW w:w="2455" w:type="dxa"/>
            <w:tcBorders>
              <w:top w:val="nil"/>
              <w:left w:val="nil"/>
              <w:bottom w:val="single" w:sz="4" w:space="0" w:color="auto"/>
              <w:right w:val="single" w:sz="4" w:space="0" w:color="auto"/>
            </w:tcBorders>
            <w:shd w:val="clear" w:color="auto" w:fill="auto"/>
            <w:noWrap/>
            <w:vAlign w:val="bottom"/>
            <w:hideMark/>
          </w:tcPr>
          <w:p w14:paraId="7FD48429"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16DF04A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43811</w:t>
            </w:r>
          </w:p>
        </w:tc>
        <w:tc>
          <w:tcPr>
            <w:tcW w:w="1280" w:type="dxa"/>
            <w:tcBorders>
              <w:top w:val="nil"/>
              <w:left w:val="nil"/>
              <w:bottom w:val="single" w:sz="4" w:space="0" w:color="auto"/>
              <w:right w:val="single" w:sz="4" w:space="0" w:color="auto"/>
            </w:tcBorders>
            <w:shd w:val="clear" w:color="auto" w:fill="auto"/>
            <w:noWrap/>
            <w:vAlign w:val="bottom"/>
            <w:hideMark/>
          </w:tcPr>
          <w:p w14:paraId="04C1E937"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13546.56</w:t>
            </w:r>
          </w:p>
        </w:tc>
        <w:tc>
          <w:tcPr>
            <w:tcW w:w="1280" w:type="dxa"/>
            <w:tcBorders>
              <w:top w:val="nil"/>
              <w:left w:val="nil"/>
              <w:bottom w:val="single" w:sz="4" w:space="0" w:color="auto"/>
              <w:right w:val="single" w:sz="4" w:space="0" w:color="auto"/>
            </w:tcBorders>
            <w:shd w:val="clear" w:color="auto" w:fill="auto"/>
            <w:noWrap/>
            <w:vAlign w:val="bottom"/>
            <w:hideMark/>
          </w:tcPr>
          <w:p w14:paraId="1E1C8A1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85.81335</w:t>
            </w:r>
          </w:p>
        </w:tc>
        <w:tc>
          <w:tcPr>
            <w:tcW w:w="1280" w:type="dxa"/>
            <w:tcBorders>
              <w:top w:val="nil"/>
              <w:left w:val="nil"/>
              <w:bottom w:val="single" w:sz="4" w:space="0" w:color="auto"/>
              <w:right w:val="single" w:sz="8" w:space="0" w:color="auto"/>
            </w:tcBorders>
            <w:shd w:val="clear" w:color="auto" w:fill="auto"/>
            <w:noWrap/>
            <w:vAlign w:val="bottom"/>
            <w:hideMark/>
          </w:tcPr>
          <w:p w14:paraId="47EA8D8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15390.97</w:t>
            </w:r>
          </w:p>
        </w:tc>
      </w:tr>
      <w:tr w:rsidR="008B2804" w:rsidRPr="004A6666" w14:paraId="1DD1C991"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2086E26E"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SP[IV]</w:t>
            </w:r>
          </w:p>
        </w:tc>
        <w:tc>
          <w:tcPr>
            <w:tcW w:w="2455" w:type="dxa"/>
            <w:tcBorders>
              <w:top w:val="nil"/>
              <w:left w:val="nil"/>
              <w:bottom w:val="single" w:sz="4" w:space="0" w:color="auto"/>
              <w:right w:val="single" w:sz="4" w:space="0" w:color="auto"/>
            </w:tcBorders>
            <w:shd w:val="clear" w:color="auto" w:fill="auto"/>
            <w:noWrap/>
            <w:vAlign w:val="bottom"/>
            <w:hideMark/>
          </w:tcPr>
          <w:p w14:paraId="71A9675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0AEE0BC3"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43616</w:t>
            </w:r>
          </w:p>
        </w:tc>
        <w:tc>
          <w:tcPr>
            <w:tcW w:w="1280" w:type="dxa"/>
            <w:tcBorders>
              <w:top w:val="nil"/>
              <w:left w:val="nil"/>
              <w:bottom w:val="single" w:sz="4" w:space="0" w:color="auto"/>
              <w:right w:val="single" w:sz="4" w:space="0" w:color="auto"/>
            </w:tcBorders>
            <w:shd w:val="clear" w:color="auto" w:fill="auto"/>
            <w:noWrap/>
            <w:vAlign w:val="bottom"/>
            <w:hideMark/>
          </w:tcPr>
          <w:p w14:paraId="6945F04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11491.37</w:t>
            </w:r>
          </w:p>
        </w:tc>
        <w:tc>
          <w:tcPr>
            <w:tcW w:w="1280" w:type="dxa"/>
            <w:tcBorders>
              <w:top w:val="nil"/>
              <w:left w:val="nil"/>
              <w:bottom w:val="single" w:sz="4" w:space="0" w:color="auto"/>
              <w:right w:val="single" w:sz="4" w:space="0" w:color="auto"/>
            </w:tcBorders>
            <w:shd w:val="clear" w:color="auto" w:fill="auto"/>
            <w:noWrap/>
            <w:vAlign w:val="bottom"/>
            <w:hideMark/>
          </w:tcPr>
          <w:p w14:paraId="3B1F0B90"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88.79849</w:t>
            </w:r>
          </w:p>
        </w:tc>
        <w:tc>
          <w:tcPr>
            <w:tcW w:w="1280" w:type="dxa"/>
            <w:tcBorders>
              <w:top w:val="nil"/>
              <w:left w:val="nil"/>
              <w:bottom w:val="single" w:sz="4" w:space="0" w:color="auto"/>
              <w:right w:val="single" w:sz="8" w:space="0" w:color="auto"/>
            </w:tcBorders>
            <w:shd w:val="clear" w:color="auto" w:fill="auto"/>
            <w:noWrap/>
            <w:vAlign w:val="bottom"/>
            <w:hideMark/>
          </w:tcPr>
          <w:p w14:paraId="310B694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13269.89</w:t>
            </w:r>
          </w:p>
        </w:tc>
      </w:tr>
      <w:tr w:rsidR="008B2804" w:rsidRPr="004A6666" w14:paraId="2303A477"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142E892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SP[V]</w:t>
            </w:r>
          </w:p>
        </w:tc>
        <w:tc>
          <w:tcPr>
            <w:tcW w:w="2455" w:type="dxa"/>
            <w:tcBorders>
              <w:top w:val="nil"/>
              <w:left w:val="nil"/>
              <w:bottom w:val="single" w:sz="4" w:space="0" w:color="auto"/>
              <w:right w:val="single" w:sz="4" w:space="0" w:color="auto"/>
            </w:tcBorders>
            <w:shd w:val="clear" w:color="auto" w:fill="auto"/>
            <w:noWrap/>
            <w:vAlign w:val="bottom"/>
            <w:hideMark/>
          </w:tcPr>
          <w:p w14:paraId="58518AD1"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4B475D59"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43974</w:t>
            </w:r>
          </w:p>
        </w:tc>
        <w:tc>
          <w:tcPr>
            <w:tcW w:w="1280" w:type="dxa"/>
            <w:tcBorders>
              <w:top w:val="nil"/>
              <w:left w:val="nil"/>
              <w:bottom w:val="single" w:sz="4" w:space="0" w:color="auto"/>
              <w:right w:val="single" w:sz="4" w:space="0" w:color="auto"/>
            </w:tcBorders>
            <w:shd w:val="clear" w:color="auto" w:fill="auto"/>
            <w:noWrap/>
            <w:vAlign w:val="bottom"/>
            <w:hideMark/>
          </w:tcPr>
          <w:p w14:paraId="0BD50EFB"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17805.13</w:t>
            </w:r>
          </w:p>
        </w:tc>
        <w:tc>
          <w:tcPr>
            <w:tcW w:w="1280" w:type="dxa"/>
            <w:tcBorders>
              <w:top w:val="nil"/>
              <w:left w:val="nil"/>
              <w:bottom w:val="single" w:sz="4" w:space="0" w:color="auto"/>
              <w:right w:val="single" w:sz="4" w:space="0" w:color="auto"/>
            </w:tcBorders>
            <w:shd w:val="clear" w:color="auto" w:fill="auto"/>
            <w:noWrap/>
            <w:vAlign w:val="bottom"/>
            <w:hideMark/>
          </w:tcPr>
          <w:p w14:paraId="07AC5907"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141.1138</w:t>
            </w:r>
          </w:p>
        </w:tc>
        <w:tc>
          <w:tcPr>
            <w:tcW w:w="1280" w:type="dxa"/>
            <w:tcBorders>
              <w:top w:val="nil"/>
              <w:left w:val="nil"/>
              <w:bottom w:val="single" w:sz="4" w:space="0" w:color="auto"/>
              <w:right w:val="single" w:sz="8" w:space="0" w:color="auto"/>
            </w:tcBorders>
            <w:shd w:val="clear" w:color="auto" w:fill="auto"/>
            <w:noWrap/>
            <w:vAlign w:val="bottom"/>
            <w:hideMark/>
          </w:tcPr>
          <w:p w14:paraId="79E00A9A"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19896.69</w:t>
            </w:r>
          </w:p>
        </w:tc>
      </w:tr>
      <w:tr w:rsidR="008B2804" w:rsidRPr="004A6666" w14:paraId="50152ED3"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5DC9401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SP[VI]</w:t>
            </w:r>
          </w:p>
        </w:tc>
        <w:tc>
          <w:tcPr>
            <w:tcW w:w="2455" w:type="dxa"/>
            <w:tcBorders>
              <w:top w:val="nil"/>
              <w:left w:val="nil"/>
              <w:bottom w:val="single" w:sz="4" w:space="0" w:color="auto"/>
              <w:right w:val="single" w:sz="4" w:space="0" w:color="auto"/>
            </w:tcBorders>
            <w:shd w:val="clear" w:color="auto" w:fill="auto"/>
            <w:noWrap/>
            <w:vAlign w:val="bottom"/>
            <w:hideMark/>
          </w:tcPr>
          <w:p w14:paraId="0CABE063"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38CBF46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43962</w:t>
            </w:r>
          </w:p>
        </w:tc>
        <w:tc>
          <w:tcPr>
            <w:tcW w:w="1280" w:type="dxa"/>
            <w:tcBorders>
              <w:top w:val="nil"/>
              <w:left w:val="nil"/>
              <w:bottom w:val="single" w:sz="4" w:space="0" w:color="auto"/>
              <w:right w:val="single" w:sz="4" w:space="0" w:color="auto"/>
            </w:tcBorders>
            <w:shd w:val="clear" w:color="auto" w:fill="auto"/>
            <w:noWrap/>
            <w:vAlign w:val="bottom"/>
            <w:hideMark/>
          </w:tcPr>
          <w:p w14:paraId="036B12D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15093</w:t>
            </w:r>
          </w:p>
        </w:tc>
        <w:tc>
          <w:tcPr>
            <w:tcW w:w="1280" w:type="dxa"/>
            <w:tcBorders>
              <w:top w:val="nil"/>
              <w:left w:val="nil"/>
              <w:bottom w:val="single" w:sz="4" w:space="0" w:color="auto"/>
              <w:right w:val="single" w:sz="4" w:space="0" w:color="auto"/>
            </w:tcBorders>
            <w:shd w:val="clear" w:color="auto" w:fill="auto"/>
            <w:noWrap/>
            <w:vAlign w:val="bottom"/>
            <w:hideMark/>
          </w:tcPr>
          <w:p w14:paraId="3DBEA7A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347.7891</w:t>
            </w:r>
          </w:p>
        </w:tc>
        <w:tc>
          <w:tcPr>
            <w:tcW w:w="1280" w:type="dxa"/>
            <w:tcBorders>
              <w:top w:val="nil"/>
              <w:left w:val="nil"/>
              <w:bottom w:val="single" w:sz="4" w:space="0" w:color="auto"/>
              <w:right w:val="single" w:sz="8" w:space="0" w:color="auto"/>
            </w:tcBorders>
            <w:shd w:val="clear" w:color="auto" w:fill="auto"/>
            <w:noWrap/>
            <w:vAlign w:val="bottom"/>
            <w:hideMark/>
          </w:tcPr>
          <w:p w14:paraId="5631D069"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17277.29</w:t>
            </w:r>
          </w:p>
        </w:tc>
      </w:tr>
      <w:tr w:rsidR="008B2804" w:rsidRPr="004A6666" w14:paraId="6C3D2426"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57B236F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SP[VII]</w:t>
            </w:r>
          </w:p>
        </w:tc>
        <w:tc>
          <w:tcPr>
            <w:tcW w:w="2455" w:type="dxa"/>
            <w:tcBorders>
              <w:top w:val="nil"/>
              <w:left w:val="nil"/>
              <w:bottom w:val="single" w:sz="4" w:space="0" w:color="auto"/>
              <w:right w:val="single" w:sz="4" w:space="0" w:color="auto"/>
            </w:tcBorders>
            <w:shd w:val="clear" w:color="auto" w:fill="auto"/>
            <w:noWrap/>
            <w:vAlign w:val="bottom"/>
            <w:hideMark/>
          </w:tcPr>
          <w:p w14:paraId="6AF33AD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1024D17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43571</w:t>
            </w:r>
          </w:p>
        </w:tc>
        <w:tc>
          <w:tcPr>
            <w:tcW w:w="1280" w:type="dxa"/>
            <w:tcBorders>
              <w:top w:val="nil"/>
              <w:left w:val="nil"/>
              <w:bottom w:val="single" w:sz="4" w:space="0" w:color="auto"/>
              <w:right w:val="single" w:sz="4" w:space="0" w:color="auto"/>
            </w:tcBorders>
            <w:shd w:val="clear" w:color="auto" w:fill="auto"/>
            <w:noWrap/>
            <w:vAlign w:val="bottom"/>
            <w:hideMark/>
          </w:tcPr>
          <w:p w14:paraId="6F83FB1F"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14071.74</w:t>
            </w:r>
          </w:p>
        </w:tc>
        <w:tc>
          <w:tcPr>
            <w:tcW w:w="1280" w:type="dxa"/>
            <w:tcBorders>
              <w:top w:val="nil"/>
              <w:left w:val="nil"/>
              <w:bottom w:val="single" w:sz="4" w:space="0" w:color="auto"/>
              <w:right w:val="single" w:sz="4" w:space="0" w:color="auto"/>
            </w:tcBorders>
            <w:shd w:val="clear" w:color="auto" w:fill="auto"/>
            <w:noWrap/>
            <w:vAlign w:val="bottom"/>
            <w:hideMark/>
          </w:tcPr>
          <w:p w14:paraId="3545C601"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460.8984</w:t>
            </w:r>
          </w:p>
        </w:tc>
        <w:tc>
          <w:tcPr>
            <w:tcW w:w="1280" w:type="dxa"/>
            <w:tcBorders>
              <w:top w:val="nil"/>
              <w:left w:val="nil"/>
              <w:bottom w:val="single" w:sz="4" w:space="0" w:color="auto"/>
              <w:right w:val="single" w:sz="8" w:space="0" w:color="auto"/>
            </w:tcBorders>
            <w:shd w:val="clear" w:color="auto" w:fill="auto"/>
            <w:noWrap/>
            <w:vAlign w:val="bottom"/>
            <w:hideMark/>
          </w:tcPr>
          <w:p w14:paraId="50C9E403"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15971.62</w:t>
            </w:r>
          </w:p>
        </w:tc>
      </w:tr>
      <w:tr w:rsidR="008B2804" w:rsidRPr="004A6666" w14:paraId="4B67B8C4"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00A0B693"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SP[VIII]</w:t>
            </w:r>
          </w:p>
        </w:tc>
        <w:tc>
          <w:tcPr>
            <w:tcW w:w="2455" w:type="dxa"/>
            <w:tcBorders>
              <w:top w:val="nil"/>
              <w:left w:val="nil"/>
              <w:bottom w:val="single" w:sz="4" w:space="0" w:color="auto"/>
              <w:right w:val="single" w:sz="4" w:space="0" w:color="auto"/>
            </w:tcBorders>
            <w:shd w:val="clear" w:color="auto" w:fill="auto"/>
            <w:noWrap/>
            <w:vAlign w:val="bottom"/>
            <w:hideMark/>
          </w:tcPr>
          <w:p w14:paraId="3088E71E"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0F1728D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43903</w:t>
            </w:r>
          </w:p>
        </w:tc>
        <w:tc>
          <w:tcPr>
            <w:tcW w:w="1280" w:type="dxa"/>
            <w:tcBorders>
              <w:top w:val="nil"/>
              <w:left w:val="nil"/>
              <w:bottom w:val="single" w:sz="4" w:space="0" w:color="auto"/>
              <w:right w:val="single" w:sz="4" w:space="0" w:color="auto"/>
            </w:tcBorders>
            <w:shd w:val="clear" w:color="auto" w:fill="auto"/>
            <w:noWrap/>
            <w:vAlign w:val="bottom"/>
            <w:hideMark/>
          </w:tcPr>
          <w:p w14:paraId="0686954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16551.71</w:t>
            </w:r>
          </w:p>
        </w:tc>
        <w:tc>
          <w:tcPr>
            <w:tcW w:w="1280" w:type="dxa"/>
            <w:tcBorders>
              <w:top w:val="nil"/>
              <w:left w:val="nil"/>
              <w:bottom w:val="single" w:sz="4" w:space="0" w:color="auto"/>
              <w:right w:val="single" w:sz="4" w:space="0" w:color="auto"/>
            </w:tcBorders>
            <w:shd w:val="clear" w:color="auto" w:fill="auto"/>
            <w:noWrap/>
            <w:vAlign w:val="bottom"/>
            <w:hideMark/>
          </w:tcPr>
          <w:p w14:paraId="741902AA"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197.4</w:t>
            </w:r>
          </w:p>
        </w:tc>
        <w:tc>
          <w:tcPr>
            <w:tcW w:w="1280" w:type="dxa"/>
            <w:tcBorders>
              <w:top w:val="nil"/>
              <w:left w:val="nil"/>
              <w:bottom w:val="single" w:sz="4" w:space="0" w:color="auto"/>
              <w:right w:val="single" w:sz="8" w:space="0" w:color="auto"/>
            </w:tcBorders>
            <w:shd w:val="clear" w:color="auto" w:fill="auto"/>
            <w:noWrap/>
            <w:vAlign w:val="bottom"/>
            <w:hideMark/>
          </w:tcPr>
          <w:p w14:paraId="7E883BB6"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18326.39</w:t>
            </w:r>
          </w:p>
        </w:tc>
      </w:tr>
      <w:tr w:rsidR="008B2804" w:rsidRPr="004A6666" w14:paraId="4D4C2DC0"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65281696"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SP[IX]</w:t>
            </w:r>
          </w:p>
        </w:tc>
        <w:tc>
          <w:tcPr>
            <w:tcW w:w="2455" w:type="dxa"/>
            <w:tcBorders>
              <w:top w:val="nil"/>
              <w:left w:val="nil"/>
              <w:bottom w:val="single" w:sz="4" w:space="0" w:color="auto"/>
              <w:right w:val="single" w:sz="4" w:space="0" w:color="auto"/>
            </w:tcBorders>
            <w:shd w:val="clear" w:color="auto" w:fill="auto"/>
            <w:noWrap/>
            <w:vAlign w:val="bottom"/>
            <w:hideMark/>
          </w:tcPr>
          <w:p w14:paraId="4DF75B19"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256EA96C"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43816</w:t>
            </w:r>
          </w:p>
        </w:tc>
        <w:tc>
          <w:tcPr>
            <w:tcW w:w="1280" w:type="dxa"/>
            <w:tcBorders>
              <w:top w:val="nil"/>
              <w:left w:val="nil"/>
              <w:bottom w:val="single" w:sz="4" w:space="0" w:color="auto"/>
              <w:right w:val="single" w:sz="4" w:space="0" w:color="auto"/>
            </w:tcBorders>
            <w:shd w:val="clear" w:color="auto" w:fill="auto"/>
            <w:noWrap/>
            <w:vAlign w:val="bottom"/>
            <w:hideMark/>
          </w:tcPr>
          <w:p w14:paraId="216657D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5104.601</w:t>
            </w:r>
          </w:p>
        </w:tc>
        <w:tc>
          <w:tcPr>
            <w:tcW w:w="1280" w:type="dxa"/>
            <w:tcBorders>
              <w:top w:val="nil"/>
              <w:left w:val="nil"/>
              <w:bottom w:val="single" w:sz="4" w:space="0" w:color="auto"/>
              <w:right w:val="single" w:sz="4" w:space="0" w:color="auto"/>
            </w:tcBorders>
            <w:shd w:val="clear" w:color="auto" w:fill="auto"/>
            <w:noWrap/>
            <w:vAlign w:val="bottom"/>
            <w:hideMark/>
          </w:tcPr>
          <w:p w14:paraId="6E43E6FB"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57.80049</w:t>
            </w:r>
          </w:p>
        </w:tc>
        <w:tc>
          <w:tcPr>
            <w:tcW w:w="1280" w:type="dxa"/>
            <w:tcBorders>
              <w:top w:val="nil"/>
              <w:left w:val="nil"/>
              <w:bottom w:val="single" w:sz="4" w:space="0" w:color="auto"/>
              <w:right w:val="single" w:sz="8" w:space="0" w:color="auto"/>
            </w:tcBorders>
            <w:shd w:val="clear" w:color="auto" w:fill="auto"/>
            <w:noWrap/>
            <w:vAlign w:val="bottom"/>
            <w:hideMark/>
          </w:tcPr>
          <w:p w14:paraId="3E012744"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5885.52</w:t>
            </w:r>
          </w:p>
        </w:tc>
      </w:tr>
      <w:tr w:rsidR="008B2804" w:rsidRPr="004A6666" w14:paraId="46790E2D" w14:textId="77777777" w:rsidTr="002E143B">
        <w:trPr>
          <w:trHeight w:val="420"/>
        </w:trPr>
        <w:tc>
          <w:tcPr>
            <w:tcW w:w="1166" w:type="dxa"/>
            <w:tcBorders>
              <w:top w:val="nil"/>
              <w:left w:val="single" w:sz="8" w:space="0" w:color="auto"/>
              <w:bottom w:val="single" w:sz="4" w:space="0" w:color="auto"/>
              <w:right w:val="single" w:sz="8" w:space="0" w:color="auto"/>
            </w:tcBorders>
            <w:shd w:val="clear" w:color="auto" w:fill="auto"/>
            <w:noWrap/>
            <w:vAlign w:val="bottom"/>
            <w:hideMark/>
          </w:tcPr>
          <w:p w14:paraId="7E83F49D"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SP[X]</w:t>
            </w:r>
          </w:p>
        </w:tc>
        <w:tc>
          <w:tcPr>
            <w:tcW w:w="2455" w:type="dxa"/>
            <w:tcBorders>
              <w:top w:val="nil"/>
              <w:left w:val="nil"/>
              <w:bottom w:val="single" w:sz="4" w:space="0" w:color="auto"/>
              <w:right w:val="single" w:sz="4" w:space="0" w:color="auto"/>
            </w:tcBorders>
            <w:shd w:val="clear" w:color="auto" w:fill="auto"/>
            <w:noWrap/>
            <w:vAlign w:val="bottom"/>
            <w:hideMark/>
          </w:tcPr>
          <w:p w14:paraId="274C3162"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4" w:space="0" w:color="auto"/>
              <w:right w:val="single" w:sz="4" w:space="0" w:color="auto"/>
            </w:tcBorders>
            <w:shd w:val="clear" w:color="auto" w:fill="auto"/>
            <w:noWrap/>
            <w:vAlign w:val="bottom"/>
            <w:hideMark/>
          </w:tcPr>
          <w:p w14:paraId="310F4A4E"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43842</w:t>
            </w:r>
          </w:p>
        </w:tc>
        <w:tc>
          <w:tcPr>
            <w:tcW w:w="1280" w:type="dxa"/>
            <w:tcBorders>
              <w:top w:val="nil"/>
              <w:left w:val="nil"/>
              <w:bottom w:val="single" w:sz="4" w:space="0" w:color="auto"/>
              <w:right w:val="single" w:sz="4" w:space="0" w:color="auto"/>
            </w:tcBorders>
            <w:shd w:val="clear" w:color="auto" w:fill="auto"/>
            <w:noWrap/>
            <w:vAlign w:val="bottom"/>
            <w:hideMark/>
          </w:tcPr>
          <w:p w14:paraId="32A253AD"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23663.99</w:t>
            </w:r>
          </w:p>
        </w:tc>
        <w:tc>
          <w:tcPr>
            <w:tcW w:w="1280" w:type="dxa"/>
            <w:tcBorders>
              <w:top w:val="nil"/>
              <w:left w:val="nil"/>
              <w:bottom w:val="single" w:sz="4" w:space="0" w:color="auto"/>
              <w:right w:val="single" w:sz="4" w:space="0" w:color="auto"/>
            </w:tcBorders>
            <w:shd w:val="clear" w:color="auto" w:fill="auto"/>
            <w:noWrap/>
            <w:vAlign w:val="bottom"/>
            <w:hideMark/>
          </w:tcPr>
          <w:p w14:paraId="1870D650"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362.221</w:t>
            </w:r>
          </w:p>
        </w:tc>
        <w:tc>
          <w:tcPr>
            <w:tcW w:w="1280" w:type="dxa"/>
            <w:tcBorders>
              <w:top w:val="nil"/>
              <w:left w:val="nil"/>
              <w:bottom w:val="single" w:sz="4" w:space="0" w:color="auto"/>
              <w:right w:val="single" w:sz="8" w:space="0" w:color="auto"/>
            </w:tcBorders>
            <w:shd w:val="clear" w:color="auto" w:fill="auto"/>
            <w:noWrap/>
            <w:vAlign w:val="bottom"/>
            <w:hideMark/>
          </w:tcPr>
          <w:p w14:paraId="3BDA72F6"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26294.13</w:t>
            </w:r>
          </w:p>
        </w:tc>
      </w:tr>
      <w:tr w:rsidR="008B2804" w:rsidRPr="004A6666" w14:paraId="15F0B996" w14:textId="77777777" w:rsidTr="002E143B">
        <w:trPr>
          <w:trHeight w:val="441"/>
        </w:trPr>
        <w:tc>
          <w:tcPr>
            <w:tcW w:w="1166" w:type="dxa"/>
            <w:tcBorders>
              <w:top w:val="nil"/>
              <w:left w:val="single" w:sz="8" w:space="0" w:color="auto"/>
              <w:bottom w:val="single" w:sz="8" w:space="0" w:color="auto"/>
              <w:right w:val="single" w:sz="8" w:space="0" w:color="auto"/>
            </w:tcBorders>
            <w:shd w:val="clear" w:color="auto" w:fill="auto"/>
            <w:noWrap/>
            <w:vAlign w:val="bottom"/>
            <w:hideMark/>
          </w:tcPr>
          <w:p w14:paraId="2D21A0C7"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SP[XI]</w:t>
            </w:r>
          </w:p>
        </w:tc>
        <w:tc>
          <w:tcPr>
            <w:tcW w:w="2455" w:type="dxa"/>
            <w:tcBorders>
              <w:top w:val="nil"/>
              <w:left w:val="nil"/>
              <w:bottom w:val="single" w:sz="8" w:space="0" w:color="auto"/>
              <w:right w:val="single" w:sz="4" w:space="0" w:color="auto"/>
            </w:tcBorders>
            <w:shd w:val="clear" w:color="auto" w:fill="auto"/>
            <w:noWrap/>
            <w:vAlign w:val="bottom"/>
            <w:hideMark/>
          </w:tcPr>
          <w:p w14:paraId="7E21B041"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Volume</w:t>
            </w:r>
          </w:p>
        </w:tc>
        <w:tc>
          <w:tcPr>
            <w:tcW w:w="1166" w:type="dxa"/>
            <w:tcBorders>
              <w:top w:val="nil"/>
              <w:left w:val="nil"/>
              <w:bottom w:val="single" w:sz="8" w:space="0" w:color="auto"/>
              <w:right w:val="single" w:sz="4" w:space="0" w:color="auto"/>
            </w:tcBorders>
            <w:shd w:val="clear" w:color="auto" w:fill="auto"/>
            <w:noWrap/>
            <w:vAlign w:val="bottom"/>
            <w:hideMark/>
          </w:tcPr>
          <w:p w14:paraId="6D73B621"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43870</w:t>
            </w:r>
          </w:p>
        </w:tc>
        <w:tc>
          <w:tcPr>
            <w:tcW w:w="1280" w:type="dxa"/>
            <w:tcBorders>
              <w:top w:val="nil"/>
              <w:left w:val="nil"/>
              <w:bottom w:val="single" w:sz="8" w:space="0" w:color="auto"/>
              <w:right w:val="single" w:sz="4" w:space="0" w:color="auto"/>
            </w:tcBorders>
            <w:shd w:val="clear" w:color="auto" w:fill="auto"/>
            <w:noWrap/>
            <w:vAlign w:val="bottom"/>
            <w:hideMark/>
          </w:tcPr>
          <w:p w14:paraId="0B1F0E65"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22941.41</w:t>
            </w:r>
          </w:p>
        </w:tc>
        <w:tc>
          <w:tcPr>
            <w:tcW w:w="1280" w:type="dxa"/>
            <w:tcBorders>
              <w:top w:val="nil"/>
              <w:left w:val="nil"/>
              <w:bottom w:val="single" w:sz="8" w:space="0" w:color="auto"/>
              <w:right w:val="single" w:sz="4" w:space="0" w:color="auto"/>
            </w:tcBorders>
            <w:shd w:val="clear" w:color="auto" w:fill="auto"/>
            <w:noWrap/>
            <w:vAlign w:val="bottom"/>
            <w:hideMark/>
          </w:tcPr>
          <w:p w14:paraId="4177FCA7"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398.9494</w:t>
            </w:r>
          </w:p>
        </w:tc>
        <w:tc>
          <w:tcPr>
            <w:tcW w:w="1280" w:type="dxa"/>
            <w:tcBorders>
              <w:top w:val="nil"/>
              <w:left w:val="nil"/>
              <w:bottom w:val="single" w:sz="8" w:space="0" w:color="auto"/>
              <w:right w:val="single" w:sz="8" w:space="0" w:color="auto"/>
            </w:tcBorders>
            <w:shd w:val="clear" w:color="auto" w:fill="auto"/>
            <w:noWrap/>
            <w:vAlign w:val="bottom"/>
            <w:hideMark/>
          </w:tcPr>
          <w:p w14:paraId="332462D8" w14:textId="77777777" w:rsidR="008B2804" w:rsidRPr="004A6666" w:rsidRDefault="008B2804" w:rsidP="002E143B">
            <w:pPr>
              <w:spacing w:after="0" w:line="240" w:lineRule="auto"/>
              <w:jc w:val="center"/>
              <w:rPr>
                <w:rFonts w:ascii="Calibri" w:eastAsia="Times New Roman" w:hAnsi="Calibri" w:cs="Calibri"/>
                <w:color w:val="000000"/>
                <w:lang w:eastAsia="en-GB"/>
              </w:rPr>
            </w:pPr>
            <w:r w:rsidRPr="004A6666">
              <w:rPr>
                <w:rFonts w:ascii="Calibri" w:eastAsia="Times New Roman" w:hAnsi="Calibri" w:cs="Calibri"/>
                <w:color w:val="000000"/>
                <w:lang w:eastAsia="en-GB"/>
              </w:rPr>
              <w:t>25227.43</w:t>
            </w:r>
          </w:p>
        </w:tc>
      </w:tr>
    </w:tbl>
    <w:p w14:paraId="4F0C5D0C"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285A7FFC" w14:textId="19AB74E8" w:rsidR="008B2804"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4.2</w:t>
      </w:r>
      <w:r w:rsidRPr="00232E7C">
        <w:rPr>
          <w:rFonts w:ascii="Times New Roman" w:hAnsi="Times New Roman" w:cs="Times New Roman"/>
          <w:color w:val="000000" w:themeColor="text1"/>
          <w:sz w:val="24"/>
          <w:szCs w:val="24"/>
        </w:rPr>
        <w:t xml:space="preserve">: Results of </w:t>
      </w:r>
      <m:oMath>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 xml:space="preserve">χ </m:t>
            </m:r>
          </m:e>
          <m:sup>
            <m:r>
              <w:rPr>
                <w:rFonts w:ascii="Cambria Math" w:hAnsi="Cambria Math" w:cs="Times New Roman"/>
                <w:color w:val="000000" w:themeColor="text1"/>
                <w:sz w:val="24"/>
                <w:szCs w:val="24"/>
              </w:rPr>
              <m:t>2</m:t>
            </m:r>
          </m:sup>
        </m:sSup>
      </m:oMath>
      <w:r w:rsidRPr="00232E7C">
        <w:rPr>
          <w:rFonts w:ascii="Times New Roman" w:hAnsi="Times New Roman" w:cs="Times New Roman"/>
          <w:color w:val="000000" w:themeColor="text1"/>
          <w:sz w:val="24"/>
          <w:szCs w:val="24"/>
        </w:rPr>
        <w:t xml:space="preserve"> test </w:t>
      </w:r>
      <w:r w:rsidRPr="004A6666">
        <w:rPr>
          <w:rFonts w:ascii="Times New Roman" w:hAnsi="Times New Roman" w:cs="Times New Roman"/>
          <w:color w:val="000000" w:themeColor="text1"/>
          <w:sz w:val="24"/>
          <w:szCs w:val="24"/>
        </w:rPr>
        <w:t xml:space="preserve">of the daily volume values (SP) conformity with BL1, BL2, and BL12 for the S&amp;P500 whole data set and for the 11 windows of 117 days subsets; the number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4A6666">
        <w:rPr>
          <w:rFonts w:ascii="Times New Roman" w:hAnsi="Times New Roman" w:cs="Times New Roman"/>
          <w:color w:val="000000" w:themeColor="text1"/>
          <w:sz w:val="24"/>
          <w:szCs w:val="24"/>
        </w:rPr>
        <w:t xml:space="preserve"> of observations (or data points) is indicated for each case: 481769 for the</w:t>
      </w:r>
      <w:r w:rsidRPr="00232E7C">
        <w:rPr>
          <w:rFonts w:ascii="Times New Roman" w:hAnsi="Times New Roman" w:cs="Times New Roman"/>
          <w:color w:val="000000" w:themeColor="text1"/>
          <w:sz w:val="24"/>
          <w:szCs w:val="24"/>
        </w:rPr>
        <w:t xml:space="preserve"> whole time series and </w:t>
      </w:r>
      <w:r w:rsidR="006E53D6">
        <w:rPr>
          <w:rFonts w:ascii="Times New Roman" w:hAnsi="Times New Roman" w:cs="Times New Roman"/>
          <w:color w:val="000000" w:themeColor="text1"/>
          <w:sz w:val="24"/>
          <w:szCs w:val="24"/>
        </w:rPr>
        <w:t>43777</w:t>
      </w:r>
      <w:r w:rsidRPr="00232E7C">
        <w:rPr>
          <w:rFonts w:ascii="Times New Roman" w:hAnsi="Times New Roman" w:cs="Times New Roman"/>
          <w:color w:val="000000" w:themeColor="text1"/>
          <w:sz w:val="24"/>
          <w:szCs w:val="24"/>
        </w:rPr>
        <w:t xml:space="preserve"> data points, for </w:t>
      </w:r>
      <w:r w:rsidRPr="006E53D6">
        <w:rPr>
          <w:rFonts w:ascii="Times New Roman" w:hAnsi="Times New Roman" w:cs="Times New Roman"/>
          <w:color w:val="000000" w:themeColor="text1"/>
          <w:sz w:val="24"/>
          <w:szCs w:val="24"/>
        </w:rPr>
        <w:t xml:space="preserve">the </w:t>
      </w:r>
      <w:r w:rsidR="006E53D6">
        <w:rPr>
          <w:rFonts w:ascii="Times New Roman" w:hAnsi="Times New Roman" w:cs="Times New Roman"/>
          <w:color w:val="000000" w:themeColor="text1"/>
          <w:sz w:val="24"/>
          <w:szCs w:val="24"/>
        </w:rPr>
        <w:t>eleven</w:t>
      </w:r>
      <w:r w:rsidRPr="006E53D6">
        <w:rPr>
          <w:rFonts w:ascii="Times New Roman" w:hAnsi="Times New Roman" w:cs="Times New Roman"/>
          <w:color w:val="000000" w:themeColor="text1"/>
          <w:sz w:val="24"/>
          <w:szCs w:val="24"/>
        </w:rPr>
        <w:t xml:space="preserve"> subsets,</w:t>
      </w:r>
      <w:r w:rsidRPr="00232E7C">
        <w:rPr>
          <w:rFonts w:ascii="Times New Roman" w:hAnsi="Times New Roman" w:cs="Times New Roman"/>
          <w:color w:val="000000" w:themeColor="text1"/>
          <w:sz w:val="24"/>
          <w:szCs w:val="24"/>
        </w:rPr>
        <w:t xml:space="preserve"> respectively. The number of degrees of freedom (</w:t>
      </w:r>
      <w:proofErr w:type="spellStart"/>
      <w:r w:rsidRPr="00232E7C">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w:t>
      </w:r>
      <w:r w:rsidRPr="00232E7C">
        <w:rPr>
          <w:rFonts w:ascii="Times New Roman" w:hAnsi="Times New Roman" w:cs="Times New Roman"/>
          <w:color w:val="000000" w:themeColor="text1"/>
          <w:sz w:val="24"/>
          <w:szCs w:val="24"/>
        </w:rPr>
        <w:t>f</w:t>
      </w:r>
      <w:proofErr w:type="spellEnd"/>
      <w:r w:rsidRPr="00232E7C">
        <w:rPr>
          <w:rFonts w:ascii="Times New Roman" w:hAnsi="Times New Roman" w:cs="Times New Roman"/>
          <w:color w:val="000000" w:themeColor="text1"/>
          <w:sz w:val="24"/>
          <w:szCs w:val="24"/>
        </w:rPr>
        <w:t xml:space="preserve">) is easily derived from the number of bins. The corresponding  </w:t>
      </w:r>
      <m:oMath>
        <m:sSubSup>
          <m:sSubSupPr>
            <m:ctrlPr>
              <w:rPr>
                <w:rFonts w:ascii="Cambria Math" w:hAnsi="Cambria Math" w:cs="Times New Roman"/>
                <w:i/>
                <w:color w:val="000000" w:themeColor="text1"/>
                <w:sz w:val="24"/>
                <w:szCs w:val="24"/>
              </w:rPr>
            </m:ctrlPr>
          </m:sSubSupPr>
          <m:e>
            <m:r>
              <m:rPr>
                <m:sty m:val="p"/>
              </m:rPr>
              <w:rPr>
                <w:rFonts w:ascii="Cambria Math" w:hAnsi="Cambria Math" w:cs="Times New Roman"/>
                <w:color w:val="000000" w:themeColor="text1"/>
                <w:sz w:val="24"/>
                <w:szCs w:val="24"/>
              </w:rPr>
              <m:t>χ</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2</m:t>
            </m:r>
          </m:sup>
        </m:sSubSup>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(0.05) is given for an immediate comparison.</w:t>
      </w:r>
    </w:p>
    <w:p w14:paraId="32ECAC3B"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3C982A6D" w14:textId="183CFEAC" w:rsidR="008B2804" w:rsidRDefault="008B2804" w:rsidP="008B2804">
      <w:pPr>
        <w:rPr>
          <w:rFonts w:ascii="Times New Roman" w:hAnsi="Times New Roman" w:cs="Times New Roman"/>
          <w:sz w:val="24"/>
          <w:szCs w:val="24"/>
        </w:rPr>
      </w:pPr>
    </w:p>
    <w:p w14:paraId="7702CF8B" w14:textId="77777777" w:rsidR="0049607F" w:rsidRDefault="0049607F" w:rsidP="008B2804">
      <w:pPr>
        <w:rPr>
          <w:rFonts w:ascii="Times New Roman" w:hAnsi="Times New Roman" w:cs="Times New Roman"/>
          <w:sz w:val="24"/>
          <w:szCs w:val="24"/>
        </w:rPr>
      </w:pPr>
    </w:p>
    <w:p w14:paraId="7E2A4185" w14:textId="77777777" w:rsidR="009340A8" w:rsidRDefault="009340A8" w:rsidP="008B2804">
      <w:pPr>
        <w:rPr>
          <w:rFonts w:ascii="Times New Roman" w:hAnsi="Times New Roman" w:cs="Times New Roman"/>
          <w:sz w:val="24"/>
          <w:szCs w:val="24"/>
        </w:rPr>
      </w:pPr>
    </w:p>
    <w:p w14:paraId="3620914A" w14:textId="77777777" w:rsidR="009340A8" w:rsidRPr="00352178" w:rsidRDefault="009340A8" w:rsidP="008B2804">
      <w:pPr>
        <w:rPr>
          <w:rFonts w:ascii="Times New Roman" w:hAnsi="Times New Roman" w:cs="Times New Roman"/>
          <w:sz w:val="24"/>
          <w:szCs w:val="24"/>
        </w:rPr>
      </w:pPr>
    </w:p>
    <w:p w14:paraId="34A06D04" w14:textId="77777777" w:rsidR="008B2804" w:rsidRDefault="008B2804" w:rsidP="008B2804">
      <w:pPr>
        <w:rPr>
          <w:rFonts w:ascii="Times New Roman" w:hAnsi="Times New Roman" w:cs="Times New Roman"/>
          <w:color w:val="000000" w:themeColor="text1"/>
          <w:sz w:val="24"/>
          <w:szCs w:val="24"/>
        </w:rPr>
      </w:pPr>
    </w:p>
    <w:p w14:paraId="09830EFE" w14:textId="3083FAD1" w:rsidR="008B2804" w:rsidRDefault="008B2804" w:rsidP="008B2804">
      <w:pPr>
        <w:spacing w:line="480" w:lineRule="auto"/>
        <w:jc w:val="both"/>
        <w:rPr>
          <w:rFonts w:ascii="Times New Roman" w:hAnsi="Times New Roman" w:cs="Times New Roman"/>
          <w:sz w:val="24"/>
          <w:szCs w:val="24"/>
        </w:rPr>
      </w:pPr>
      <w:r w:rsidRPr="004F4584">
        <w:rPr>
          <w:rFonts w:ascii="Times New Roman" w:hAnsi="Times New Roman" w:cs="Times New Roman"/>
          <w:b/>
          <w:bCs/>
          <w:sz w:val="24"/>
          <w:szCs w:val="24"/>
        </w:rPr>
        <w:lastRenderedPageBreak/>
        <w:t>Figure 2.</w:t>
      </w:r>
      <w:r w:rsidR="000D388A">
        <w:rPr>
          <w:rFonts w:ascii="Times New Roman" w:hAnsi="Times New Roman" w:cs="Times New Roman"/>
          <w:b/>
          <w:bCs/>
          <w:sz w:val="24"/>
          <w:szCs w:val="24"/>
        </w:rPr>
        <w:t>4.</w:t>
      </w:r>
      <w:r w:rsidRPr="004F4584">
        <w:rPr>
          <w:rFonts w:ascii="Times New Roman" w:hAnsi="Times New Roman" w:cs="Times New Roman"/>
          <w:b/>
          <w:bCs/>
          <w:sz w:val="24"/>
          <w:szCs w:val="24"/>
        </w:rPr>
        <w:t>2 Test of BL1</w:t>
      </w:r>
      <w:r>
        <w:rPr>
          <w:rFonts w:ascii="Times New Roman" w:hAnsi="Times New Roman" w:cs="Times New Roman"/>
          <w:b/>
          <w:bCs/>
          <w:sz w:val="24"/>
          <w:szCs w:val="24"/>
        </w:rPr>
        <w:t xml:space="preserve"> on S&amp;P500 volume</w:t>
      </w:r>
      <w:r w:rsidRPr="004F4584">
        <w:rPr>
          <w:rFonts w:ascii="Times New Roman" w:hAnsi="Times New Roman" w:cs="Times New Roman"/>
          <w:b/>
          <w:bCs/>
          <w:sz w:val="24"/>
          <w:szCs w:val="24"/>
        </w:rPr>
        <w:t xml:space="preserve"> </w:t>
      </w:r>
    </w:p>
    <w:p w14:paraId="13DFCDA5" w14:textId="77777777" w:rsidR="008128CD" w:rsidRDefault="008B2804" w:rsidP="008128CD">
      <w:pPr>
        <w:keepNext/>
      </w:pPr>
      <w:r>
        <w:rPr>
          <w:noProof/>
          <w:lang w:eastAsia="en-GB"/>
        </w:rPr>
        <w:drawing>
          <wp:inline distT="0" distB="0" distL="0" distR="0" wp14:anchorId="5CC46879" wp14:editId="75E8E31D">
            <wp:extent cx="5731510" cy="3314700"/>
            <wp:effectExtent l="0" t="0" r="2540" b="0"/>
            <wp:docPr id="87" name="Picture 8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314700"/>
                    </a:xfrm>
                    <a:prstGeom prst="rect">
                      <a:avLst/>
                    </a:prstGeom>
                    <a:noFill/>
                    <a:ln>
                      <a:noFill/>
                    </a:ln>
                  </pic:spPr>
                </pic:pic>
              </a:graphicData>
            </a:graphic>
          </wp:inline>
        </w:drawing>
      </w:r>
    </w:p>
    <w:p w14:paraId="3ABC53CE" w14:textId="6E75EC6D" w:rsidR="00173345" w:rsidRPr="008128CD" w:rsidRDefault="008128CD" w:rsidP="008128CD">
      <w:pPr>
        <w:pStyle w:val="Caption"/>
        <w:rPr>
          <w:rFonts w:ascii="Times New Roman" w:hAnsi="Times New Roman" w:cs="Times New Roman"/>
          <w:color w:val="auto"/>
          <w:sz w:val="24"/>
          <w:szCs w:val="24"/>
        </w:rPr>
      </w:pPr>
      <w:bookmarkStart w:id="146" w:name="_Toc78498688"/>
      <w:r w:rsidRPr="008128CD">
        <w:rPr>
          <w:rFonts w:ascii="Times New Roman" w:hAnsi="Times New Roman" w:cs="Times New Roman"/>
          <w:color w:val="auto"/>
          <w:sz w:val="24"/>
          <w:szCs w:val="24"/>
        </w:rPr>
        <w:t xml:space="preserve">Figure </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2</w:t>
      </w:r>
      <w:r w:rsidR="00AF7FD4">
        <w:rPr>
          <w:rFonts w:ascii="Times New Roman" w:hAnsi="Times New Roman" w:cs="Times New Roman"/>
          <w:color w:val="auto"/>
          <w:sz w:val="24"/>
          <w:szCs w:val="24"/>
        </w:rPr>
        <w:fldChar w:fldCharType="end"/>
      </w:r>
      <w:r w:rsidR="000D388A">
        <w:rPr>
          <w:rFonts w:ascii="Times New Roman" w:hAnsi="Times New Roman" w:cs="Times New Roman"/>
          <w:color w:val="auto"/>
          <w:sz w:val="24"/>
          <w:szCs w:val="24"/>
        </w:rPr>
        <w:t>.4.2</w:t>
      </w:r>
      <w:r w:rsidRPr="008128CD">
        <w:rPr>
          <w:rFonts w:ascii="Times New Roman" w:hAnsi="Times New Roman" w:cs="Times New Roman"/>
          <w:color w:val="auto"/>
          <w:sz w:val="24"/>
          <w:szCs w:val="24"/>
        </w:rPr>
        <w:t xml:space="preserve"> Test of BL1 on S&amp;P500 closing minute volume between 01/05/2013 and 29/12/2017.</w:t>
      </w:r>
      <w:bookmarkEnd w:id="146"/>
    </w:p>
    <w:p w14:paraId="03E3585E" w14:textId="0C03463E" w:rsidR="008B2804" w:rsidRDefault="008B2804" w:rsidP="008B2804">
      <w:pPr>
        <w:spacing w:line="480" w:lineRule="auto"/>
        <w:jc w:val="both"/>
        <w:rPr>
          <w:rFonts w:ascii="Times New Roman" w:hAnsi="Times New Roman" w:cs="Times New Roman"/>
          <w:sz w:val="24"/>
          <w:szCs w:val="24"/>
        </w:rPr>
      </w:pPr>
      <w:r w:rsidRPr="004F4584">
        <w:rPr>
          <w:rFonts w:ascii="Times New Roman" w:hAnsi="Times New Roman" w:cs="Times New Roman"/>
          <w:b/>
          <w:bCs/>
          <w:sz w:val="24"/>
          <w:szCs w:val="24"/>
        </w:rPr>
        <w:t>Figure 2.</w:t>
      </w:r>
      <w:r w:rsidR="000D388A">
        <w:rPr>
          <w:rFonts w:ascii="Times New Roman" w:hAnsi="Times New Roman" w:cs="Times New Roman"/>
          <w:b/>
          <w:bCs/>
          <w:sz w:val="24"/>
          <w:szCs w:val="24"/>
        </w:rPr>
        <w:t>4.</w:t>
      </w:r>
      <w:r>
        <w:rPr>
          <w:rFonts w:ascii="Times New Roman" w:hAnsi="Times New Roman" w:cs="Times New Roman"/>
          <w:b/>
          <w:bCs/>
          <w:sz w:val="24"/>
          <w:szCs w:val="24"/>
        </w:rPr>
        <w:t>3</w:t>
      </w:r>
      <w:r w:rsidRPr="004F4584">
        <w:rPr>
          <w:rFonts w:ascii="Times New Roman" w:hAnsi="Times New Roman" w:cs="Times New Roman"/>
          <w:b/>
          <w:bCs/>
          <w:sz w:val="24"/>
          <w:szCs w:val="24"/>
        </w:rPr>
        <w:t xml:space="preserve"> Test of BL1</w:t>
      </w:r>
      <w:r>
        <w:rPr>
          <w:rFonts w:ascii="Times New Roman" w:hAnsi="Times New Roman" w:cs="Times New Roman"/>
          <w:b/>
          <w:bCs/>
          <w:sz w:val="24"/>
          <w:szCs w:val="24"/>
        </w:rPr>
        <w:t xml:space="preserve"> on S&amp;P500 volume returns</w:t>
      </w:r>
      <w:r w:rsidRPr="004F4584">
        <w:rPr>
          <w:rFonts w:ascii="Times New Roman" w:hAnsi="Times New Roman" w:cs="Times New Roman"/>
          <w:b/>
          <w:bCs/>
          <w:sz w:val="24"/>
          <w:szCs w:val="24"/>
        </w:rPr>
        <w:t xml:space="preserve"> </w:t>
      </w:r>
    </w:p>
    <w:p w14:paraId="448513CC" w14:textId="77777777" w:rsidR="008128CD" w:rsidRDefault="008B2804" w:rsidP="008128CD">
      <w:pPr>
        <w:keepNext/>
        <w:spacing w:line="480" w:lineRule="auto"/>
      </w:pPr>
      <w:r>
        <w:rPr>
          <w:rFonts w:ascii="Times New Roman" w:hAnsi="Times New Roman" w:cs="Times New Roman"/>
          <w:noProof/>
          <w:color w:val="000000" w:themeColor="text1"/>
          <w:sz w:val="24"/>
          <w:szCs w:val="24"/>
          <w:lang w:eastAsia="en-GB"/>
        </w:rPr>
        <w:drawing>
          <wp:inline distT="0" distB="0" distL="0" distR="0" wp14:anchorId="025DC4BA" wp14:editId="27FA4864">
            <wp:extent cx="5731510" cy="3324225"/>
            <wp:effectExtent l="0" t="0" r="2540" b="9525"/>
            <wp:docPr id="89" name="Picture 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3324225"/>
                    </a:xfrm>
                    <a:prstGeom prst="rect">
                      <a:avLst/>
                    </a:prstGeom>
                  </pic:spPr>
                </pic:pic>
              </a:graphicData>
            </a:graphic>
          </wp:inline>
        </w:drawing>
      </w:r>
    </w:p>
    <w:p w14:paraId="099787C7" w14:textId="348849EB" w:rsidR="00173345" w:rsidRPr="008128CD" w:rsidRDefault="008128CD" w:rsidP="008128CD">
      <w:pPr>
        <w:pStyle w:val="Caption"/>
        <w:rPr>
          <w:rFonts w:ascii="Times New Roman" w:hAnsi="Times New Roman" w:cs="Times New Roman"/>
          <w:color w:val="auto"/>
          <w:sz w:val="24"/>
          <w:szCs w:val="24"/>
        </w:rPr>
      </w:pPr>
      <w:bookmarkStart w:id="147" w:name="_Toc78498689"/>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3</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Test of BL1 on S&amp;P500 minute volume returns </w:t>
      </w:r>
      <w:r>
        <w:rPr>
          <w:rFonts w:ascii="Times New Roman" w:hAnsi="Times New Roman" w:cs="Times New Roman"/>
          <w:color w:val="auto"/>
          <w:sz w:val="24"/>
          <w:szCs w:val="24"/>
        </w:rPr>
        <w:t>(</w:t>
      </w:r>
      <w:r w:rsidRPr="008128CD">
        <w:rPr>
          <w:rFonts w:ascii="Times New Roman" w:hAnsi="Times New Roman" w:cs="Times New Roman"/>
          <w:color w:val="auto"/>
          <w:sz w:val="24"/>
          <w:szCs w:val="24"/>
        </w:rPr>
        <w:t>01/05/2013</w:t>
      </w:r>
      <w:r>
        <w:rPr>
          <w:rFonts w:ascii="Times New Roman" w:hAnsi="Times New Roman" w:cs="Times New Roman"/>
          <w:color w:val="auto"/>
          <w:sz w:val="24"/>
          <w:szCs w:val="24"/>
        </w:rPr>
        <w:t>-</w:t>
      </w:r>
      <w:r w:rsidRPr="008128CD">
        <w:rPr>
          <w:rFonts w:ascii="Times New Roman" w:hAnsi="Times New Roman" w:cs="Times New Roman"/>
          <w:color w:val="auto"/>
          <w:sz w:val="24"/>
          <w:szCs w:val="24"/>
        </w:rPr>
        <w:t xml:space="preserve"> 29/12/2017</w:t>
      </w:r>
      <w:r>
        <w:rPr>
          <w:rFonts w:ascii="Times New Roman" w:hAnsi="Times New Roman" w:cs="Times New Roman"/>
          <w:color w:val="auto"/>
          <w:sz w:val="24"/>
          <w:szCs w:val="24"/>
        </w:rPr>
        <w:t>)</w:t>
      </w:r>
      <w:r w:rsidRPr="008128CD">
        <w:rPr>
          <w:rFonts w:ascii="Times New Roman" w:hAnsi="Times New Roman" w:cs="Times New Roman"/>
          <w:color w:val="auto"/>
          <w:sz w:val="24"/>
          <w:szCs w:val="24"/>
        </w:rPr>
        <w:t>.</w:t>
      </w:r>
      <w:bookmarkEnd w:id="147"/>
    </w:p>
    <w:p w14:paraId="7D10D311" w14:textId="578A8D33" w:rsidR="008B2804" w:rsidRDefault="008B2804" w:rsidP="009340A8">
      <w:pPr>
        <w:spacing w:line="360" w:lineRule="auto"/>
        <w:jc w:val="both"/>
        <w:rPr>
          <w:rFonts w:ascii="Times New Roman" w:hAnsi="Times New Roman" w:cs="Times New Roman"/>
          <w:color w:val="000000" w:themeColor="text1"/>
          <w:sz w:val="24"/>
          <w:szCs w:val="24"/>
        </w:rPr>
      </w:pPr>
      <w:r w:rsidRPr="00D570D3">
        <w:rPr>
          <w:rFonts w:ascii="Times New Roman" w:hAnsi="Times New Roman" w:cs="Times New Roman"/>
          <w:color w:val="000000" w:themeColor="text1"/>
          <w:sz w:val="24"/>
          <w:szCs w:val="24"/>
        </w:rPr>
        <w:lastRenderedPageBreak/>
        <w:t>Fig. 2.</w:t>
      </w:r>
      <w:r w:rsidR="0049607F">
        <w:rPr>
          <w:rFonts w:ascii="Times New Roman" w:hAnsi="Times New Roman" w:cs="Times New Roman"/>
          <w:color w:val="000000" w:themeColor="text1"/>
          <w:sz w:val="24"/>
          <w:szCs w:val="24"/>
        </w:rPr>
        <w:t>4.</w:t>
      </w:r>
      <w:r w:rsidRPr="00D570D3">
        <w:rPr>
          <w:rFonts w:ascii="Times New Roman" w:hAnsi="Times New Roman" w:cs="Times New Roman"/>
          <w:color w:val="000000" w:themeColor="text1"/>
          <w:sz w:val="24"/>
          <w:szCs w:val="24"/>
        </w:rPr>
        <w:t>2</w:t>
      </w:r>
      <w:r w:rsidRPr="00232E7C">
        <w:rPr>
          <w:rFonts w:ascii="Times New Roman" w:hAnsi="Times New Roman" w:cs="Times New Roman"/>
          <w:color w:val="000000" w:themeColor="text1"/>
          <w:sz w:val="24"/>
          <w:szCs w:val="24"/>
        </w:rPr>
        <w:t xml:space="preserve"> presents the data for testing BL1 on the whole S&amp;P500 daily minute volume values. </w:t>
      </w:r>
      <w:r w:rsidR="006E53D6" w:rsidRPr="006E53D6">
        <w:rPr>
          <w:rFonts w:ascii="Times New Roman" w:hAnsi="Times New Roman" w:cs="Times New Roman"/>
          <w:color w:val="000000" w:themeColor="text1"/>
          <w:sz w:val="24"/>
          <w:szCs w:val="24"/>
        </w:rPr>
        <w:t xml:space="preserve">The division by shading gives data about the </w:t>
      </w:r>
      <w:r w:rsidR="00077725" w:rsidRPr="006E53D6">
        <w:rPr>
          <w:rFonts w:ascii="Times New Roman" w:hAnsi="Times New Roman" w:cs="Times New Roman"/>
          <w:color w:val="000000" w:themeColor="text1"/>
          <w:sz w:val="24"/>
          <w:szCs w:val="24"/>
        </w:rPr>
        <w:t>analysed</w:t>
      </w:r>
      <w:r w:rsidR="006E53D6" w:rsidRPr="006E53D6">
        <w:rPr>
          <w:rFonts w:ascii="Times New Roman" w:hAnsi="Times New Roman" w:cs="Times New Roman"/>
          <w:color w:val="000000" w:themeColor="text1"/>
          <w:sz w:val="24"/>
          <w:szCs w:val="24"/>
        </w:rPr>
        <w:t xml:space="preserve"> time stretches</w:t>
      </w:r>
      <w:r w:rsidRPr="00232E7C">
        <w:rPr>
          <w:rFonts w:ascii="Times New Roman" w:hAnsi="Times New Roman" w:cs="Times New Roman"/>
          <w:color w:val="000000" w:themeColor="text1"/>
          <w:sz w:val="24"/>
          <w:szCs w:val="24"/>
        </w:rPr>
        <w:t xml:space="preserve">. Fig.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w:t>
      </w:r>
      <w:r w:rsidRPr="00232E7C">
        <w:rPr>
          <w:rFonts w:ascii="Times New Roman" w:hAnsi="Times New Roman" w:cs="Times New Roman"/>
          <w:color w:val="000000" w:themeColor="text1"/>
          <w:sz w:val="24"/>
          <w:szCs w:val="24"/>
        </w:rPr>
        <w:t xml:space="preserve">3 presents the corresponding BL1 on the whole S&amp;P500 daily minute volume </w:t>
      </w:r>
      <w:r>
        <w:rPr>
          <w:rFonts w:ascii="Times New Roman" w:hAnsi="Times New Roman" w:cs="Times New Roman"/>
          <w:color w:val="000000" w:themeColor="text1"/>
          <w:sz w:val="24"/>
          <w:szCs w:val="24"/>
        </w:rPr>
        <w:t>returns, Fig.</w:t>
      </w:r>
      <w:r w:rsidR="0049607F">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4 presents </w:t>
      </w:r>
      <w:r w:rsidRPr="00232E7C">
        <w:rPr>
          <w:rFonts w:ascii="Times New Roman" w:hAnsi="Times New Roman" w:cs="Times New Roman"/>
          <w:color w:val="000000" w:themeColor="text1"/>
          <w:sz w:val="24"/>
          <w:szCs w:val="24"/>
        </w:rPr>
        <w:t>BL2 data</w:t>
      </w:r>
      <w:r>
        <w:rPr>
          <w:rFonts w:ascii="Times New Roman" w:hAnsi="Times New Roman" w:cs="Times New Roman"/>
          <w:color w:val="000000" w:themeColor="text1"/>
          <w:sz w:val="24"/>
          <w:szCs w:val="24"/>
        </w:rPr>
        <w:t xml:space="preserve"> and corresponding returns in Fig. </w:t>
      </w:r>
      <w:r w:rsidR="0048613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2.5</w:t>
      </w:r>
      <w:r w:rsidRPr="00232E7C">
        <w:rPr>
          <w:rFonts w:ascii="Times New Roman" w:hAnsi="Times New Roman" w:cs="Times New Roman"/>
          <w:color w:val="000000" w:themeColor="text1"/>
          <w:sz w:val="24"/>
          <w:szCs w:val="24"/>
        </w:rPr>
        <w:t xml:space="preserve">, and Fig.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5 &amp; Fig. 2.</w:t>
      </w:r>
      <w:r w:rsidR="0049607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6</w:t>
      </w:r>
      <w:r w:rsidRPr="00232E7C">
        <w:rPr>
          <w:rFonts w:ascii="Times New Roman" w:hAnsi="Times New Roman" w:cs="Times New Roman"/>
          <w:color w:val="000000" w:themeColor="text1"/>
          <w:sz w:val="24"/>
          <w:szCs w:val="24"/>
        </w:rPr>
        <w:t xml:space="preserve"> the data serving for a BL12 analysis</w:t>
      </w:r>
      <w:r>
        <w:rPr>
          <w:rFonts w:ascii="Times New Roman" w:hAnsi="Times New Roman" w:cs="Times New Roman"/>
          <w:color w:val="000000" w:themeColor="text1"/>
          <w:sz w:val="24"/>
          <w:szCs w:val="24"/>
        </w:rPr>
        <w:t xml:space="preserve"> and corresponding returns</w:t>
      </w:r>
      <w:r w:rsidRPr="00232E7C">
        <w:rPr>
          <w:rFonts w:ascii="Times New Roman" w:hAnsi="Times New Roman" w:cs="Times New Roman"/>
          <w:color w:val="000000" w:themeColor="text1"/>
          <w:sz w:val="24"/>
          <w:szCs w:val="24"/>
        </w:rPr>
        <w:t>. At once, visually, the</w:t>
      </w:r>
      <w:r>
        <w:rPr>
          <w:rFonts w:ascii="Times New Roman"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S&amp;P500 data looks </w:t>
      </w:r>
      <w:r w:rsidR="006E53D6" w:rsidRPr="006E53D6">
        <w:rPr>
          <w:rFonts w:ascii="Times New Roman" w:hAnsi="Times New Roman" w:cs="Times New Roman"/>
          <w:color w:val="000000" w:themeColor="text1"/>
          <w:sz w:val="24"/>
          <w:szCs w:val="24"/>
        </w:rPr>
        <w:t xml:space="preserve">scarcely representable by a log </w:t>
      </w:r>
      <w:r w:rsidR="006E53D6">
        <w:rPr>
          <w:rFonts w:ascii="Times New Roman" w:hAnsi="Times New Roman" w:cs="Times New Roman"/>
          <w:color w:val="000000" w:themeColor="text1"/>
          <w:sz w:val="24"/>
          <w:szCs w:val="24"/>
        </w:rPr>
        <w:t>function</w:t>
      </w:r>
      <w:r w:rsidR="006E53D6" w:rsidRPr="006E53D6">
        <w:rPr>
          <w:rFonts w:ascii="Times New Roman" w:hAnsi="Times New Roman" w:cs="Times New Roman"/>
          <w:color w:val="000000" w:themeColor="text1"/>
          <w:sz w:val="24"/>
          <w:szCs w:val="24"/>
        </w:rPr>
        <w:t xml:space="preserve">, similar to </w:t>
      </w:r>
      <w:proofErr w:type="spellStart"/>
      <w:r w:rsidR="006E53D6" w:rsidRPr="006E53D6">
        <w:rPr>
          <w:rFonts w:ascii="Times New Roman" w:hAnsi="Times New Roman" w:cs="Times New Roman"/>
          <w:color w:val="000000" w:themeColor="text1"/>
          <w:sz w:val="24"/>
          <w:szCs w:val="24"/>
        </w:rPr>
        <w:t>Eqs</w:t>
      </w:r>
      <w:proofErr w:type="spellEnd"/>
      <w:r w:rsidR="006E53D6" w:rsidRPr="006E53D6">
        <w:rPr>
          <w:rFonts w:ascii="Times New Roman" w:hAnsi="Times New Roman" w:cs="Times New Roman"/>
          <w:color w:val="000000" w:themeColor="text1"/>
          <w:sz w:val="24"/>
          <w:szCs w:val="24"/>
        </w:rPr>
        <w:t>. (</w:t>
      </w:r>
      <w:r w:rsidR="00077725">
        <w:rPr>
          <w:rFonts w:ascii="Times New Roman" w:hAnsi="Times New Roman" w:cs="Times New Roman"/>
          <w:color w:val="000000" w:themeColor="text1"/>
          <w:sz w:val="24"/>
          <w:szCs w:val="24"/>
        </w:rPr>
        <w:t>2.3.</w:t>
      </w:r>
      <w:r w:rsidR="006E53D6" w:rsidRPr="006E53D6">
        <w:rPr>
          <w:rFonts w:ascii="Times New Roman" w:hAnsi="Times New Roman" w:cs="Times New Roman"/>
          <w:color w:val="000000" w:themeColor="text1"/>
          <w:sz w:val="24"/>
          <w:szCs w:val="24"/>
        </w:rPr>
        <w:t>2)- (</w:t>
      </w:r>
      <w:r w:rsidR="00077725">
        <w:rPr>
          <w:rFonts w:ascii="Times New Roman" w:hAnsi="Times New Roman" w:cs="Times New Roman"/>
          <w:color w:val="000000" w:themeColor="text1"/>
          <w:sz w:val="24"/>
          <w:szCs w:val="24"/>
        </w:rPr>
        <w:t>2.3.4</w:t>
      </w:r>
      <w:r w:rsidR="006E53D6" w:rsidRPr="006E53D6">
        <w:rPr>
          <w:rFonts w:ascii="Times New Roman" w:hAnsi="Times New Roman" w:cs="Times New Roman"/>
          <w:color w:val="000000" w:themeColor="text1"/>
          <w:sz w:val="24"/>
          <w:szCs w:val="24"/>
        </w:rPr>
        <w:t xml:space="preserve">). Conversely, the log returns histograms have a seriously engaging structure. Notice that we recognize negative and positive log-returns and notice on each chart the event of rigorously zero and twofold zero </w:t>
      </w:r>
      <w:r w:rsidRPr="00232E7C">
        <w:rPr>
          <w:rFonts w:ascii="Times New Roman" w:hAnsi="Times New Roman" w:cs="Times New Roman"/>
          <w:color w:val="000000" w:themeColor="text1"/>
          <w:sz w:val="24"/>
          <w:szCs w:val="24"/>
        </w:rPr>
        <w:t>values.</w:t>
      </w:r>
    </w:p>
    <w:p w14:paraId="097E3122" w14:textId="513C909E" w:rsidR="008B2804" w:rsidRPr="00D570D3" w:rsidRDefault="008B2804" w:rsidP="008B2804">
      <w:pPr>
        <w:spacing w:line="480" w:lineRule="auto"/>
        <w:jc w:val="both"/>
        <w:rPr>
          <w:rFonts w:ascii="Times New Roman" w:hAnsi="Times New Roman" w:cs="Times New Roman"/>
          <w:b/>
          <w:bCs/>
          <w:color w:val="000000" w:themeColor="text1"/>
          <w:sz w:val="24"/>
          <w:szCs w:val="24"/>
        </w:rPr>
      </w:pPr>
      <w:r w:rsidRPr="00D570D3">
        <w:rPr>
          <w:rFonts w:ascii="Times New Roman" w:hAnsi="Times New Roman" w:cs="Times New Roman"/>
          <w:b/>
          <w:bCs/>
        </w:rPr>
        <w:t xml:space="preserve">Figure </w:t>
      </w:r>
      <w:r>
        <w:rPr>
          <w:rFonts w:ascii="Times New Roman" w:hAnsi="Times New Roman" w:cs="Times New Roman"/>
          <w:b/>
          <w:bCs/>
        </w:rPr>
        <w:t>2.</w:t>
      </w:r>
      <w:r w:rsidR="000D388A">
        <w:rPr>
          <w:rFonts w:ascii="Times New Roman" w:hAnsi="Times New Roman" w:cs="Times New Roman"/>
          <w:b/>
          <w:bCs/>
        </w:rPr>
        <w:t>4.</w:t>
      </w:r>
      <w:r w:rsidRPr="00D570D3">
        <w:rPr>
          <w:rFonts w:ascii="Times New Roman" w:hAnsi="Times New Roman" w:cs="Times New Roman"/>
          <w:b/>
          <w:bCs/>
        </w:rPr>
        <w:t>4 Test of BL2 on S&amp;P500 volume</w:t>
      </w:r>
    </w:p>
    <w:p w14:paraId="6478B044" w14:textId="77777777" w:rsidR="008128CD" w:rsidRDefault="008B2804" w:rsidP="008128CD">
      <w:pPr>
        <w:keepNext/>
        <w:spacing w:line="480" w:lineRule="auto"/>
        <w:jc w:val="both"/>
      </w:pPr>
      <w:r>
        <w:rPr>
          <w:rFonts w:ascii="Times New Roman" w:hAnsi="Times New Roman" w:cs="Times New Roman"/>
          <w:noProof/>
          <w:color w:val="000000" w:themeColor="text1"/>
          <w:sz w:val="24"/>
          <w:szCs w:val="24"/>
          <w:lang w:eastAsia="en-GB"/>
        </w:rPr>
        <w:drawing>
          <wp:inline distT="0" distB="0" distL="0" distR="0" wp14:anchorId="506F6358" wp14:editId="5C42FB7D">
            <wp:extent cx="5730875" cy="3810635"/>
            <wp:effectExtent l="0" t="0" r="3175"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0875" cy="3810635"/>
                    </a:xfrm>
                    <a:prstGeom prst="rect">
                      <a:avLst/>
                    </a:prstGeom>
                    <a:noFill/>
                  </pic:spPr>
                </pic:pic>
              </a:graphicData>
            </a:graphic>
          </wp:inline>
        </w:drawing>
      </w:r>
    </w:p>
    <w:p w14:paraId="3AFDC269" w14:textId="125C8F47" w:rsidR="00173345" w:rsidRPr="008128CD" w:rsidRDefault="008128CD" w:rsidP="008128CD">
      <w:pPr>
        <w:pStyle w:val="Caption"/>
        <w:jc w:val="both"/>
        <w:rPr>
          <w:rFonts w:ascii="Times New Roman" w:hAnsi="Times New Roman" w:cs="Times New Roman"/>
          <w:color w:val="auto"/>
          <w:sz w:val="24"/>
          <w:szCs w:val="24"/>
        </w:rPr>
      </w:pPr>
      <w:bookmarkStart w:id="148" w:name="_Toc78498690"/>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4</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Test of BL2 on S&amp;P500 closing minute volume between 01/05/2013 and 29/12/2017.</w:t>
      </w:r>
      <w:bookmarkEnd w:id="148"/>
    </w:p>
    <w:p w14:paraId="0E10084E"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181B5B06"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1A729508" w14:textId="77777777" w:rsidR="009340A8" w:rsidRDefault="009340A8" w:rsidP="008B2804">
      <w:pPr>
        <w:spacing w:line="480" w:lineRule="auto"/>
        <w:jc w:val="both"/>
        <w:rPr>
          <w:rFonts w:ascii="Times New Roman" w:hAnsi="Times New Roman" w:cs="Times New Roman"/>
          <w:color w:val="000000" w:themeColor="text1"/>
          <w:sz w:val="24"/>
          <w:szCs w:val="24"/>
        </w:rPr>
      </w:pPr>
    </w:p>
    <w:p w14:paraId="0A62FCD0" w14:textId="77777777" w:rsidR="009340A8" w:rsidRDefault="009340A8" w:rsidP="008B2804">
      <w:pPr>
        <w:spacing w:line="480" w:lineRule="auto"/>
        <w:jc w:val="both"/>
        <w:rPr>
          <w:rFonts w:ascii="Times New Roman" w:hAnsi="Times New Roman" w:cs="Times New Roman"/>
          <w:b/>
          <w:bCs/>
        </w:rPr>
      </w:pPr>
    </w:p>
    <w:p w14:paraId="6C7FC1FB" w14:textId="1253D4B8" w:rsidR="008B2804" w:rsidRDefault="008B2804" w:rsidP="008B2804">
      <w:pPr>
        <w:spacing w:line="480" w:lineRule="auto"/>
        <w:jc w:val="both"/>
        <w:rPr>
          <w:rFonts w:ascii="Times New Roman" w:hAnsi="Times New Roman" w:cs="Times New Roman"/>
          <w:color w:val="000000" w:themeColor="text1"/>
          <w:sz w:val="24"/>
          <w:szCs w:val="24"/>
        </w:rPr>
      </w:pPr>
      <w:r w:rsidRPr="00D570D3">
        <w:rPr>
          <w:rFonts w:ascii="Times New Roman" w:hAnsi="Times New Roman" w:cs="Times New Roman"/>
          <w:b/>
          <w:bCs/>
        </w:rPr>
        <w:lastRenderedPageBreak/>
        <w:t xml:space="preserve">Figure </w:t>
      </w:r>
      <w:r>
        <w:rPr>
          <w:rFonts w:ascii="Times New Roman" w:hAnsi="Times New Roman" w:cs="Times New Roman"/>
          <w:b/>
          <w:bCs/>
        </w:rPr>
        <w:t>2</w:t>
      </w:r>
      <w:r w:rsidR="000D388A">
        <w:rPr>
          <w:rFonts w:ascii="Times New Roman" w:hAnsi="Times New Roman" w:cs="Times New Roman"/>
          <w:b/>
          <w:bCs/>
        </w:rPr>
        <w:t>.4</w:t>
      </w:r>
      <w:r>
        <w:rPr>
          <w:rFonts w:ascii="Times New Roman" w:hAnsi="Times New Roman" w:cs="Times New Roman"/>
          <w:b/>
          <w:bCs/>
        </w:rPr>
        <w:t>.5</w:t>
      </w:r>
      <w:r w:rsidRPr="00D570D3">
        <w:rPr>
          <w:rFonts w:ascii="Times New Roman" w:hAnsi="Times New Roman" w:cs="Times New Roman"/>
          <w:b/>
          <w:bCs/>
        </w:rPr>
        <w:t>: Test of BL2 on S&amp;P500 volume</w:t>
      </w:r>
      <w:r>
        <w:rPr>
          <w:rFonts w:ascii="Times New Roman" w:hAnsi="Times New Roman" w:cs="Times New Roman"/>
          <w:b/>
          <w:bCs/>
        </w:rPr>
        <w:t xml:space="preserve"> returns</w:t>
      </w:r>
    </w:p>
    <w:p w14:paraId="44A35AEA" w14:textId="77777777" w:rsidR="008128CD" w:rsidRDefault="008B2804" w:rsidP="008128CD">
      <w:pPr>
        <w:keepNext/>
        <w:spacing w:line="480" w:lineRule="auto"/>
        <w:jc w:val="both"/>
      </w:pPr>
      <w:r>
        <w:rPr>
          <w:rFonts w:ascii="Times New Roman" w:hAnsi="Times New Roman" w:cs="Times New Roman"/>
          <w:noProof/>
          <w:color w:val="000000" w:themeColor="text1"/>
          <w:sz w:val="24"/>
          <w:szCs w:val="24"/>
          <w:lang w:eastAsia="en-GB"/>
        </w:rPr>
        <w:drawing>
          <wp:inline distT="0" distB="0" distL="0" distR="0" wp14:anchorId="10B6C00E" wp14:editId="4DF2A42A">
            <wp:extent cx="5731510" cy="3362325"/>
            <wp:effectExtent l="0" t="0" r="2540" b="9525"/>
            <wp:docPr id="91" name="Picture 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6F34F7DE" w14:textId="2DC4E327" w:rsidR="00173345" w:rsidRPr="008128CD" w:rsidRDefault="008128CD" w:rsidP="008128CD">
      <w:pPr>
        <w:pStyle w:val="Caption"/>
        <w:jc w:val="both"/>
        <w:rPr>
          <w:rFonts w:ascii="Times New Roman" w:hAnsi="Times New Roman" w:cs="Times New Roman"/>
          <w:color w:val="auto"/>
          <w:sz w:val="24"/>
          <w:szCs w:val="24"/>
        </w:rPr>
      </w:pPr>
      <w:bookmarkStart w:id="149" w:name="_Toc78498691"/>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5</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Test of BL2 on S&amp;P500 </w:t>
      </w:r>
      <w:r>
        <w:rPr>
          <w:rFonts w:ascii="Times New Roman" w:hAnsi="Times New Roman" w:cs="Times New Roman"/>
          <w:color w:val="auto"/>
          <w:sz w:val="24"/>
          <w:szCs w:val="24"/>
        </w:rPr>
        <w:t>m</w:t>
      </w:r>
      <w:r w:rsidRPr="008128CD">
        <w:rPr>
          <w:rFonts w:ascii="Times New Roman" w:hAnsi="Times New Roman" w:cs="Times New Roman"/>
          <w:color w:val="auto"/>
          <w:sz w:val="24"/>
          <w:szCs w:val="24"/>
        </w:rPr>
        <w:t xml:space="preserve">inute volume returns </w:t>
      </w:r>
      <w:r w:rsidR="000D388A">
        <w:rPr>
          <w:rFonts w:ascii="Times New Roman" w:hAnsi="Times New Roman" w:cs="Times New Roman"/>
          <w:color w:val="auto"/>
          <w:sz w:val="24"/>
          <w:szCs w:val="24"/>
        </w:rPr>
        <w:t>(</w:t>
      </w:r>
      <w:r w:rsidRPr="008128CD">
        <w:rPr>
          <w:rFonts w:ascii="Times New Roman" w:hAnsi="Times New Roman" w:cs="Times New Roman"/>
          <w:color w:val="auto"/>
          <w:sz w:val="24"/>
          <w:szCs w:val="24"/>
        </w:rPr>
        <w:t>01/05/2013-29/12/2017</w:t>
      </w:r>
      <w:r w:rsidR="000D388A">
        <w:rPr>
          <w:rFonts w:ascii="Times New Roman" w:hAnsi="Times New Roman" w:cs="Times New Roman"/>
          <w:color w:val="auto"/>
          <w:sz w:val="24"/>
          <w:szCs w:val="24"/>
        </w:rPr>
        <w:t>)</w:t>
      </w:r>
      <w:bookmarkEnd w:id="149"/>
    </w:p>
    <w:p w14:paraId="6DA8AB7D" w14:textId="69A2192B" w:rsidR="008B2804" w:rsidRPr="00D570D3" w:rsidRDefault="008B2804" w:rsidP="008B2804">
      <w:pPr>
        <w:spacing w:line="480" w:lineRule="auto"/>
        <w:jc w:val="both"/>
        <w:rPr>
          <w:rFonts w:ascii="Times New Roman" w:hAnsi="Times New Roman" w:cs="Times New Roman"/>
          <w:b/>
          <w:bCs/>
          <w:color w:val="000000" w:themeColor="text1"/>
          <w:sz w:val="24"/>
          <w:szCs w:val="24"/>
        </w:rPr>
      </w:pPr>
      <w:r w:rsidRPr="00D570D3">
        <w:rPr>
          <w:rFonts w:ascii="Times New Roman" w:hAnsi="Times New Roman" w:cs="Times New Roman"/>
          <w:b/>
          <w:bCs/>
        </w:rPr>
        <w:t xml:space="preserve">Figure </w:t>
      </w:r>
      <w:r>
        <w:rPr>
          <w:rFonts w:ascii="Times New Roman" w:hAnsi="Times New Roman" w:cs="Times New Roman"/>
          <w:b/>
          <w:bCs/>
        </w:rPr>
        <w:t>2.</w:t>
      </w:r>
      <w:r w:rsidR="000D388A">
        <w:rPr>
          <w:rFonts w:ascii="Times New Roman" w:hAnsi="Times New Roman" w:cs="Times New Roman"/>
          <w:b/>
          <w:bCs/>
        </w:rPr>
        <w:t>4.</w:t>
      </w:r>
      <w:r>
        <w:rPr>
          <w:rFonts w:ascii="Times New Roman" w:hAnsi="Times New Roman" w:cs="Times New Roman"/>
          <w:b/>
          <w:bCs/>
        </w:rPr>
        <w:t>6</w:t>
      </w:r>
      <w:r w:rsidRPr="00D570D3">
        <w:rPr>
          <w:rFonts w:ascii="Times New Roman" w:hAnsi="Times New Roman" w:cs="Times New Roman"/>
          <w:b/>
          <w:bCs/>
        </w:rPr>
        <w:t>: Test of BL</w:t>
      </w:r>
      <w:r>
        <w:rPr>
          <w:rFonts w:ascii="Times New Roman" w:hAnsi="Times New Roman" w:cs="Times New Roman"/>
          <w:b/>
          <w:bCs/>
        </w:rPr>
        <w:t>1</w:t>
      </w:r>
      <w:r w:rsidRPr="00D570D3">
        <w:rPr>
          <w:rFonts w:ascii="Times New Roman" w:hAnsi="Times New Roman" w:cs="Times New Roman"/>
          <w:b/>
          <w:bCs/>
        </w:rPr>
        <w:t>2 on S&amp;P500 volume</w:t>
      </w:r>
    </w:p>
    <w:p w14:paraId="343820A4" w14:textId="77777777" w:rsidR="008128CD" w:rsidRDefault="008B2804" w:rsidP="008128CD">
      <w:pPr>
        <w:keepNext/>
        <w:spacing w:line="480" w:lineRule="auto"/>
        <w:jc w:val="both"/>
      </w:pPr>
      <w:r>
        <w:rPr>
          <w:rFonts w:ascii="Times New Roman" w:hAnsi="Times New Roman" w:cs="Times New Roman"/>
          <w:noProof/>
          <w:color w:val="000000" w:themeColor="text1"/>
          <w:sz w:val="24"/>
          <w:szCs w:val="24"/>
          <w:lang w:eastAsia="en-GB"/>
        </w:rPr>
        <w:drawing>
          <wp:inline distT="0" distB="0" distL="0" distR="0" wp14:anchorId="7090B93E" wp14:editId="73F0184D">
            <wp:extent cx="5730875" cy="3362325"/>
            <wp:effectExtent l="0" t="0" r="3175" b="9525"/>
            <wp:docPr id="92" name="Picture 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0875" cy="3362325"/>
                    </a:xfrm>
                    <a:prstGeom prst="rect">
                      <a:avLst/>
                    </a:prstGeom>
                    <a:noFill/>
                  </pic:spPr>
                </pic:pic>
              </a:graphicData>
            </a:graphic>
          </wp:inline>
        </w:drawing>
      </w:r>
    </w:p>
    <w:p w14:paraId="1C094B4C" w14:textId="7594BCA3" w:rsidR="00AA6A82" w:rsidRPr="008128CD" w:rsidRDefault="008128CD" w:rsidP="008128CD">
      <w:pPr>
        <w:pStyle w:val="Caption"/>
        <w:jc w:val="both"/>
        <w:rPr>
          <w:rFonts w:ascii="Times New Roman" w:hAnsi="Times New Roman" w:cs="Times New Roman"/>
          <w:color w:val="auto"/>
          <w:sz w:val="24"/>
          <w:szCs w:val="24"/>
        </w:rPr>
      </w:pPr>
      <w:bookmarkStart w:id="150" w:name="_Toc78498692"/>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6</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Test of BL12 on S&amp;P500 minute volume between 01/05/2013 and 29/12/2017</w:t>
      </w:r>
      <w:bookmarkEnd w:id="150"/>
    </w:p>
    <w:p w14:paraId="6F964EE5" w14:textId="6C3CA2F1" w:rsidR="008B2804" w:rsidRPr="00D570D3" w:rsidRDefault="008B2804" w:rsidP="008B2804">
      <w:pPr>
        <w:spacing w:line="480" w:lineRule="auto"/>
        <w:jc w:val="both"/>
        <w:rPr>
          <w:rFonts w:ascii="Times New Roman" w:hAnsi="Times New Roman" w:cs="Times New Roman"/>
          <w:b/>
          <w:bCs/>
          <w:color w:val="000000" w:themeColor="text1"/>
          <w:sz w:val="24"/>
          <w:szCs w:val="24"/>
        </w:rPr>
      </w:pPr>
      <w:r w:rsidRPr="00D570D3">
        <w:rPr>
          <w:rFonts w:ascii="Times New Roman" w:hAnsi="Times New Roman" w:cs="Times New Roman"/>
          <w:b/>
          <w:bCs/>
        </w:rPr>
        <w:lastRenderedPageBreak/>
        <w:t xml:space="preserve">Figure </w:t>
      </w:r>
      <w:r>
        <w:rPr>
          <w:rFonts w:ascii="Times New Roman" w:hAnsi="Times New Roman" w:cs="Times New Roman"/>
          <w:b/>
          <w:bCs/>
        </w:rPr>
        <w:t>2.</w:t>
      </w:r>
      <w:r w:rsidR="000D388A">
        <w:rPr>
          <w:rFonts w:ascii="Times New Roman" w:hAnsi="Times New Roman" w:cs="Times New Roman"/>
          <w:b/>
          <w:bCs/>
        </w:rPr>
        <w:t>4.</w:t>
      </w:r>
      <w:r>
        <w:rPr>
          <w:rFonts w:ascii="Times New Roman" w:hAnsi="Times New Roman" w:cs="Times New Roman"/>
          <w:b/>
          <w:bCs/>
        </w:rPr>
        <w:t>7</w:t>
      </w:r>
      <w:r w:rsidRPr="00D570D3">
        <w:rPr>
          <w:rFonts w:ascii="Times New Roman" w:hAnsi="Times New Roman" w:cs="Times New Roman"/>
          <w:b/>
          <w:bCs/>
        </w:rPr>
        <w:t>: Test of BL</w:t>
      </w:r>
      <w:r>
        <w:rPr>
          <w:rFonts w:ascii="Times New Roman" w:hAnsi="Times New Roman" w:cs="Times New Roman"/>
          <w:b/>
          <w:bCs/>
        </w:rPr>
        <w:t>1</w:t>
      </w:r>
      <w:r w:rsidRPr="00D570D3">
        <w:rPr>
          <w:rFonts w:ascii="Times New Roman" w:hAnsi="Times New Roman" w:cs="Times New Roman"/>
          <w:b/>
          <w:bCs/>
        </w:rPr>
        <w:t>2 on S&amp;P500 volume</w:t>
      </w:r>
      <w:r>
        <w:rPr>
          <w:rFonts w:ascii="Times New Roman" w:hAnsi="Times New Roman" w:cs="Times New Roman"/>
          <w:b/>
          <w:bCs/>
        </w:rPr>
        <w:t xml:space="preserve"> returns</w:t>
      </w:r>
    </w:p>
    <w:p w14:paraId="58660084" w14:textId="77777777" w:rsidR="008128CD" w:rsidRDefault="008B2804" w:rsidP="008128CD">
      <w:pPr>
        <w:keepNext/>
        <w:spacing w:line="480" w:lineRule="auto"/>
        <w:jc w:val="both"/>
      </w:pPr>
      <w:r>
        <w:rPr>
          <w:noProof/>
          <w:lang w:eastAsia="en-GB"/>
        </w:rPr>
        <w:drawing>
          <wp:inline distT="0" distB="0" distL="0" distR="0" wp14:anchorId="03512A4A" wp14:editId="5BD00191">
            <wp:extent cx="5731510" cy="3267075"/>
            <wp:effectExtent l="0" t="0" r="2540" b="9525"/>
            <wp:docPr id="93" name="Picture 9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3267075"/>
                    </a:xfrm>
                    <a:prstGeom prst="rect">
                      <a:avLst/>
                    </a:prstGeom>
                  </pic:spPr>
                </pic:pic>
              </a:graphicData>
            </a:graphic>
          </wp:inline>
        </w:drawing>
      </w:r>
    </w:p>
    <w:p w14:paraId="057A2864" w14:textId="73322A84" w:rsidR="00AA6A82" w:rsidRPr="008128CD" w:rsidRDefault="008128CD" w:rsidP="008128CD">
      <w:pPr>
        <w:pStyle w:val="Caption"/>
        <w:rPr>
          <w:rFonts w:ascii="Times New Roman" w:hAnsi="Times New Roman" w:cs="Times New Roman"/>
          <w:color w:val="auto"/>
          <w:sz w:val="24"/>
          <w:szCs w:val="24"/>
        </w:rPr>
      </w:pPr>
      <w:bookmarkStart w:id="151" w:name="_Toc78498693"/>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7</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Test of BL12 on S&amp;P500 minute volume returns </w:t>
      </w:r>
      <w:r>
        <w:rPr>
          <w:rFonts w:ascii="Times New Roman" w:hAnsi="Times New Roman" w:cs="Times New Roman"/>
          <w:color w:val="auto"/>
          <w:sz w:val="24"/>
          <w:szCs w:val="24"/>
        </w:rPr>
        <w:t>(</w:t>
      </w:r>
      <w:r w:rsidRPr="008128CD">
        <w:rPr>
          <w:rFonts w:ascii="Times New Roman" w:hAnsi="Times New Roman" w:cs="Times New Roman"/>
          <w:color w:val="auto"/>
          <w:sz w:val="24"/>
          <w:szCs w:val="24"/>
        </w:rPr>
        <w:t>01/05/2013</w:t>
      </w:r>
      <w:r>
        <w:rPr>
          <w:rFonts w:ascii="Times New Roman" w:hAnsi="Times New Roman" w:cs="Times New Roman"/>
          <w:color w:val="auto"/>
          <w:sz w:val="24"/>
          <w:szCs w:val="24"/>
        </w:rPr>
        <w:t>-</w:t>
      </w:r>
      <w:r w:rsidRPr="008128CD">
        <w:rPr>
          <w:rFonts w:ascii="Times New Roman" w:hAnsi="Times New Roman" w:cs="Times New Roman"/>
          <w:color w:val="auto"/>
          <w:sz w:val="24"/>
          <w:szCs w:val="24"/>
        </w:rPr>
        <w:t>29/12/2017</w:t>
      </w:r>
      <w:r>
        <w:rPr>
          <w:rFonts w:ascii="Times New Roman" w:hAnsi="Times New Roman" w:cs="Times New Roman"/>
          <w:color w:val="auto"/>
          <w:sz w:val="24"/>
          <w:szCs w:val="24"/>
        </w:rPr>
        <w:t>)</w:t>
      </w:r>
      <w:bookmarkEnd w:id="151"/>
    </w:p>
    <w:p w14:paraId="3F7151D8" w14:textId="683E851D" w:rsidR="008B2804" w:rsidRPr="00D570D3" w:rsidRDefault="008B2804" w:rsidP="008B2804">
      <w:pPr>
        <w:spacing w:line="480" w:lineRule="auto"/>
        <w:jc w:val="both"/>
        <w:rPr>
          <w:rFonts w:ascii="Times New Roman" w:hAnsi="Times New Roman" w:cs="Times New Roman"/>
          <w:b/>
          <w:bCs/>
          <w:color w:val="000000" w:themeColor="text1"/>
          <w:sz w:val="24"/>
          <w:szCs w:val="24"/>
        </w:rPr>
      </w:pPr>
      <w:r w:rsidRPr="00D570D3">
        <w:rPr>
          <w:rFonts w:ascii="Times New Roman" w:hAnsi="Times New Roman" w:cs="Times New Roman"/>
          <w:b/>
          <w:bCs/>
        </w:rPr>
        <w:t xml:space="preserve">Figure </w:t>
      </w:r>
      <w:r>
        <w:rPr>
          <w:rFonts w:ascii="Times New Roman" w:hAnsi="Times New Roman" w:cs="Times New Roman"/>
          <w:b/>
          <w:bCs/>
        </w:rPr>
        <w:t>2</w:t>
      </w:r>
      <w:r w:rsidR="000D388A">
        <w:rPr>
          <w:rFonts w:ascii="Times New Roman" w:hAnsi="Times New Roman" w:cs="Times New Roman"/>
          <w:b/>
          <w:bCs/>
        </w:rPr>
        <w:t>.4</w:t>
      </w:r>
      <w:r>
        <w:rPr>
          <w:rFonts w:ascii="Times New Roman" w:hAnsi="Times New Roman" w:cs="Times New Roman"/>
          <w:b/>
          <w:bCs/>
        </w:rPr>
        <w:t>.8</w:t>
      </w:r>
      <w:r w:rsidRPr="00D570D3">
        <w:rPr>
          <w:rFonts w:ascii="Times New Roman" w:hAnsi="Times New Roman" w:cs="Times New Roman"/>
          <w:b/>
          <w:bCs/>
        </w:rPr>
        <w:t>: S&amp;P500 volume</w:t>
      </w:r>
      <w:r>
        <w:rPr>
          <w:rFonts w:ascii="Times New Roman" w:hAnsi="Times New Roman" w:cs="Times New Roman"/>
          <w:b/>
          <w:bCs/>
        </w:rPr>
        <w:t xml:space="preserve"> l</w:t>
      </w:r>
      <w:r w:rsidR="00C51D72">
        <w:rPr>
          <w:rFonts w:ascii="Times New Roman" w:hAnsi="Times New Roman" w:cs="Times New Roman"/>
          <w:b/>
          <w:bCs/>
        </w:rPr>
        <w:t>o</w:t>
      </w:r>
      <w:r>
        <w:rPr>
          <w:rFonts w:ascii="Times New Roman" w:hAnsi="Times New Roman" w:cs="Times New Roman"/>
          <w:b/>
          <w:bCs/>
        </w:rPr>
        <w:t>g scale</w:t>
      </w:r>
    </w:p>
    <w:p w14:paraId="75721862" w14:textId="77777777" w:rsidR="008128CD" w:rsidRDefault="008B2804" w:rsidP="008128CD">
      <w:pPr>
        <w:keepNext/>
        <w:spacing w:line="360" w:lineRule="auto"/>
      </w:pPr>
      <w:r>
        <w:rPr>
          <w:noProof/>
          <w:lang w:eastAsia="en-GB"/>
        </w:rPr>
        <w:drawing>
          <wp:inline distT="0" distB="0" distL="0" distR="0" wp14:anchorId="55D909B8" wp14:editId="557229C0">
            <wp:extent cx="5731510" cy="3467100"/>
            <wp:effectExtent l="0" t="0" r="254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3467100"/>
                    </a:xfrm>
                    <a:prstGeom prst="rect">
                      <a:avLst/>
                    </a:prstGeom>
                    <a:noFill/>
                    <a:ln>
                      <a:noFill/>
                    </a:ln>
                  </pic:spPr>
                </pic:pic>
              </a:graphicData>
            </a:graphic>
          </wp:inline>
        </w:drawing>
      </w:r>
    </w:p>
    <w:p w14:paraId="047C92D0" w14:textId="1B7D99A1" w:rsidR="00AA6A82" w:rsidRPr="008128CD" w:rsidRDefault="008128CD" w:rsidP="008128CD">
      <w:pPr>
        <w:pStyle w:val="Caption"/>
        <w:rPr>
          <w:rFonts w:ascii="Times New Roman" w:hAnsi="Times New Roman" w:cs="Times New Roman"/>
          <w:color w:val="auto"/>
          <w:sz w:val="24"/>
          <w:szCs w:val="24"/>
        </w:rPr>
      </w:pPr>
      <w:bookmarkStart w:id="152" w:name="_Toc78498694"/>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2.4.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8</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S&amp;P500 closing minute volume log scale of 11 windows between 01/05/2013 and 29/12/2013</w:t>
      </w:r>
      <w:bookmarkEnd w:id="152"/>
    </w:p>
    <w:p w14:paraId="59463317" w14:textId="0B3B945A"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lastRenderedPageBreak/>
        <w:t xml:space="preserve">In Table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4.3</w:t>
      </w:r>
      <w:r w:rsidRPr="00232E7C">
        <w:rPr>
          <w:rFonts w:ascii="Times New Roman" w:hAnsi="Times New Roman" w:cs="Times New Roman"/>
          <w:color w:val="000000" w:themeColor="text1"/>
          <w:sz w:val="24"/>
          <w:szCs w:val="24"/>
        </w:rPr>
        <w:t xml:space="preserve">, we report the </w:t>
      </w:r>
      <m:oMath>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 xml:space="preserve">χ </m:t>
            </m:r>
          </m:e>
          <m:sup>
            <m:r>
              <w:rPr>
                <w:rFonts w:ascii="Cambria Math" w:hAnsi="Cambria Math" w:cs="Times New Roman"/>
                <w:color w:val="000000" w:themeColor="text1"/>
                <w:sz w:val="24"/>
                <w:szCs w:val="24"/>
              </w:rPr>
              <m:t>2</m:t>
            </m:r>
          </m:sup>
        </m:sSup>
      </m:oMath>
      <w:r w:rsidRPr="00232E7C">
        <w:rPr>
          <w:rFonts w:ascii="Times New Roman" w:hAnsi="Times New Roman" w:cs="Times New Roman"/>
          <w:color w:val="000000" w:themeColor="text1"/>
          <w:sz w:val="24"/>
          <w:szCs w:val="24"/>
        </w:rPr>
        <w:t xml:space="preserve"> test of variables conformity with BL1, BL2, and BL12 for the S&amp;P500 whole data set and for the subsets; the number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of observations (or data points) is indicated for each case: 48</w:t>
      </w:r>
      <w:r>
        <w:rPr>
          <w:rFonts w:ascii="Times New Roman" w:hAnsi="Times New Roman" w:cs="Times New Roman"/>
          <w:color w:val="000000" w:themeColor="text1"/>
          <w:sz w:val="24"/>
          <w:szCs w:val="24"/>
        </w:rPr>
        <w:t>1769</w:t>
      </w:r>
      <w:r w:rsidRPr="00232E7C">
        <w:rPr>
          <w:rFonts w:ascii="Times New Roman" w:hAnsi="Times New Roman" w:cs="Times New Roman"/>
          <w:color w:val="000000" w:themeColor="text1"/>
          <w:sz w:val="24"/>
          <w:szCs w:val="24"/>
        </w:rPr>
        <w:t xml:space="preserve"> and, for the </w:t>
      </w:r>
      <w:r>
        <w:rPr>
          <w:rFonts w:ascii="Times New Roman" w:hAnsi="Times New Roman" w:cs="Times New Roman"/>
          <w:color w:val="000000" w:themeColor="text1"/>
          <w:sz w:val="24"/>
          <w:szCs w:val="24"/>
        </w:rPr>
        <w:t>11</w:t>
      </w:r>
      <w:r w:rsidRPr="00232E7C">
        <w:rPr>
          <w:rFonts w:ascii="Times New Roman" w:hAnsi="Times New Roman" w:cs="Times New Roman"/>
          <w:color w:val="000000" w:themeColor="text1"/>
          <w:sz w:val="24"/>
          <w:szCs w:val="24"/>
        </w:rPr>
        <w:t xml:space="preserve"> subsets</w:t>
      </w:r>
      <w:r>
        <w:rPr>
          <w:rFonts w:ascii="Times New Roman" w:hAnsi="Times New Roman" w:cs="Times New Roman"/>
          <w:color w:val="000000" w:themeColor="text1"/>
          <w:sz w:val="24"/>
          <w:szCs w:val="24"/>
        </w:rPr>
        <w:t xml:space="preserve"> of 117 days</w:t>
      </w:r>
      <w:r w:rsidRPr="00232E7C">
        <w:rPr>
          <w:rFonts w:ascii="Times New Roman" w:hAnsi="Times New Roman" w:cs="Times New Roman"/>
          <w:color w:val="000000" w:themeColor="text1"/>
          <w:sz w:val="24"/>
          <w:szCs w:val="24"/>
        </w:rPr>
        <w:t xml:space="preserve"> data points, respectively. The number of degrees of freedom (</w:t>
      </w:r>
      <w:proofErr w:type="spellStart"/>
      <w:r w:rsidRPr="00232E7C">
        <w:rPr>
          <w:rFonts w:ascii="Times New Roman" w:hAnsi="Times New Roman" w:cs="Times New Roman"/>
          <w:color w:val="000000" w:themeColor="text1"/>
          <w:sz w:val="24"/>
          <w:szCs w:val="24"/>
        </w:rPr>
        <w:t>d.o.f</w:t>
      </w:r>
      <w:proofErr w:type="spellEnd"/>
      <w:r w:rsidRPr="00232E7C">
        <w:rPr>
          <w:rFonts w:ascii="Times New Roman" w:hAnsi="Times New Roman" w:cs="Times New Roman"/>
          <w:color w:val="000000" w:themeColor="text1"/>
          <w:sz w:val="24"/>
          <w:szCs w:val="24"/>
        </w:rPr>
        <w:t xml:space="preserve">), easily derived from the number of bins, is also indicated with the “critical”  </w:t>
      </w:r>
      <m:oMath>
        <m:sSubSup>
          <m:sSubSupPr>
            <m:ctrlPr>
              <w:rPr>
                <w:rFonts w:ascii="Cambria Math" w:hAnsi="Cambria Math" w:cs="Times New Roman"/>
                <w:i/>
                <w:color w:val="000000" w:themeColor="text1"/>
                <w:sz w:val="24"/>
                <w:szCs w:val="24"/>
              </w:rPr>
            </m:ctrlPr>
          </m:sSubSupPr>
          <m:e>
            <m:r>
              <m:rPr>
                <m:sty m:val="p"/>
              </m:rPr>
              <w:rPr>
                <w:rFonts w:ascii="Cambria Math" w:hAnsi="Cambria Math" w:cs="Times New Roman"/>
                <w:color w:val="000000" w:themeColor="text1"/>
                <w:sz w:val="24"/>
                <w:szCs w:val="24"/>
              </w:rPr>
              <m:t>χ</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2</m:t>
            </m:r>
          </m:sup>
        </m:sSubSup>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(0.05) value. </w:t>
      </w:r>
      <w:r w:rsidR="006E53D6" w:rsidRPr="006E53D6">
        <w:rPr>
          <w:rFonts w:ascii="Times New Roman" w:hAnsi="Times New Roman" w:cs="Times New Roman"/>
          <w:color w:val="000000" w:themeColor="text1"/>
          <w:sz w:val="24"/>
          <w:szCs w:val="24"/>
        </w:rPr>
        <w:t xml:space="preserve">One can barely concede any congruity, given the huge qualities contrasted with the </w:t>
      </w:r>
      <w:r w:rsidRPr="00232E7C">
        <w:rPr>
          <w:rFonts w:ascii="Times New Roman" w:hAnsi="Times New Roman" w:cs="Times New Roman"/>
          <w:color w:val="000000" w:themeColor="text1"/>
          <w:sz w:val="24"/>
          <w:szCs w:val="24"/>
        </w:rPr>
        <w:t xml:space="preserve">“critical” </w:t>
      </w:r>
      <m:oMath>
        <m:sSubSup>
          <m:sSubSupPr>
            <m:ctrlPr>
              <w:rPr>
                <w:rFonts w:ascii="Cambria Math" w:hAnsi="Cambria Math" w:cs="Times New Roman"/>
                <w:i/>
                <w:color w:val="000000" w:themeColor="text1"/>
                <w:sz w:val="24"/>
                <w:szCs w:val="24"/>
              </w:rPr>
            </m:ctrlPr>
          </m:sSubSupPr>
          <m:e>
            <m:r>
              <m:rPr>
                <m:sty m:val="p"/>
              </m:rPr>
              <w:rPr>
                <w:rFonts w:ascii="Cambria Math" w:hAnsi="Cambria Math" w:cs="Times New Roman"/>
                <w:color w:val="000000" w:themeColor="text1"/>
                <w:sz w:val="24"/>
                <w:szCs w:val="24"/>
              </w:rPr>
              <m:t>χ</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2</m:t>
            </m:r>
          </m:sup>
        </m:sSubSup>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(0.05) value. </w:t>
      </w:r>
      <w:r w:rsidR="006E53D6">
        <w:rPr>
          <w:rFonts w:ascii="Times New Roman" w:hAnsi="Times New Roman" w:cs="Times New Roman"/>
          <w:color w:val="000000" w:themeColor="text1"/>
          <w:sz w:val="24"/>
          <w:szCs w:val="24"/>
        </w:rPr>
        <w:t>Regardless of whether</w:t>
      </w:r>
      <w:r w:rsidRPr="00232E7C">
        <w:rPr>
          <w:rFonts w:ascii="Times New Roman" w:hAnsi="Times New Roman" w:cs="Times New Roman"/>
          <w:color w:val="000000" w:themeColor="text1"/>
          <w:sz w:val="24"/>
          <w:szCs w:val="24"/>
        </w:rPr>
        <w:t xml:space="preserve"> a χ 2 test can be </w:t>
      </w:r>
      <w:r w:rsidR="006E53D6" w:rsidRPr="006E53D6">
        <w:rPr>
          <w:rFonts w:ascii="Times New Roman" w:hAnsi="Times New Roman" w:cs="Times New Roman"/>
          <w:color w:val="000000" w:themeColor="text1"/>
          <w:sz w:val="24"/>
          <w:szCs w:val="24"/>
        </w:rPr>
        <w:t>guaranteed as not being the most impressive test for BL conformance (</w:t>
      </w:r>
      <w:proofErr w:type="spellStart"/>
      <w:r w:rsidR="006E53D6" w:rsidRPr="006E53D6">
        <w:rPr>
          <w:rFonts w:ascii="Times New Roman" w:hAnsi="Times New Roman" w:cs="Times New Roman"/>
          <w:color w:val="000000" w:themeColor="text1"/>
          <w:sz w:val="24"/>
          <w:szCs w:val="24"/>
        </w:rPr>
        <w:t>Lesperance</w:t>
      </w:r>
      <w:proofErr w:type="spellEnd"/>
      <w:r w:rsidR="006E53D6" w:rsidRPr="006E53D6">
        <w:rPr>
          <w:rFonts w:ascii="Times New Roman" w:hAnsi="Times New Roman" w:cs="Times New Roman"/>
          <w:color w:val="000000" w:themeColor="text1"/>
          <w:sz w:val="24"/>
          <w:szCs w:val="24"/>
        </w:rPr>
        <w:t xml:space="preserve"> et al., 2016), the current outcomes are so unique in relation to "any great assumption" that the use of another test will be improbable ready to converse the </w:t>
      </w:r>
      <w:r w:rsidRPr="00232E7C">
        <w:rPr>
          <w:rFonts w:ascii="Times New Roman" w:hAnsi="Times New Roman" w:cs="Times New Roman"/>
          <w:color w:val="000000" w:themeColor="text1"/>
          <w:sz w:val="24"/>
          <w:szCs w:val="24"/>
        </w:rPr>
        <w:t>conclusions.</w:t>
      </w:r>
    </w:p>
    <w:p w14:paraId="7522D7C3" w14:textId="5EB3B007" w:rsidR="008B2804"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Let’s turn attention to the log-returns. As mentioned, there </w:t>
      </w:r>
      <w:r w:rsidRPr="00ED18B5">
        <w:rPr>
          <w:rFonts w:ascii="Times New Roman" w:hAnsi="Times New Roman" w:cs="Times New Roman"/>
          <w:color w:val="000000" w:themeColor="text1"/>
          <w:sz w:val="24"/>
          <w:szCs w:val="24"/>
        </w:rPr>
        <w:t>are 32 cases in</w:t>
      </w:r>
      <w:r w:rsidRPr="00232E7C">
        <w:rPr>
          <w:rFonts w:ascii="Times New Roman" w:hAnsi="Times New Roman" w:cs="Times New Roman"/>
          <w:color w:val="000000" w:themeColor="text1"/>
          <w:sz w:val="24"/>
          <w:szCs w:val="24"/>
        </w:rPr>
        <w:t xml:space="preserve"> which the log-return is equal to 0, since the closing prices are identical two consecutive</w:t>
      </w:r>
      <w:r w:rsidR="009340A8">
        <w:rPr>
          <w:rFonts w:ascii="Times New Roman" w:hAnsi="Times New Roman" w:cs="Times New Roman"/>
          <w:color w:val="000000" w:themeColor="text1"/>
          <w:sz w:val="24"/>
          <w:szCs w:val="24"/>
        </w:rPr>
        <w:t>.</w:t>
      </w:r>
    </w:p>
    <w:p w14:paraId="5FE0EC5E" w14:textId="799DFF85" w:rsidR="0049607F" w:rsidRPr="0049607F" w:rsidRDefault="0049607F" w:rsidP="0049607F">
      <w:pPr>
        <w:pStyle w:val="Caption"/>
        <w:keepNext/>
        <w:rPr>
          <w:rFonts w:ascii="Times New Roman" w:hAnsi="Times New Roman" w:cs="Times New Roman"/>
          <w:color w:val="auto"/>
          <w:sz w:val="24"/>
          <w:szCs w:val="24"/>
        </w:rPr>
      </w:pPr>
      <w:r w:rsidRPr="0049607F">
        <w:rPr>
          <w:rFonts w:ascii="Times New Roman" w:hAnsi="Times New Roman" w:cs="Times New Roman"/>
          <w:color w:val="auto"/>
          <w:sz w:val="24"/>
          <w:szCs w:val="24"/>
        </w:rPr>
        <w:t>Table 2.4.3 log-</w:t>
      </w:r>
      <w:r w:rsidRPr="00614C4F">
        <w:rPr>
          <w:rFonts w:ascii="Times New Roman" w:hAnsi="Times New Roman" w:cs="Times New Roman"/>
          <w:color w:val="auto"/>
          <w:sz w:val="24"/>
          <w:szCs w:val="24"/>
        </w:rPr>
        <w:t xml:space="preserve">return </w:t>
      </w:r>
      <w:r w:rsidR="00C51D72" w:rsidRPr="00614C4F">
        <w:rPr>
          <w:rFonts w:ascii="Times New Roman" w:hAnsi="Times New Roman" w:cs="Times New Roman"/>
          <w:color w:val="auto"/>
          <w:sz w:val="24"/>
          <w:szCs w:val="24"/>
        </w:rPr>
        <w:t xml:space="preserve">incorporating </w:t>
      </w:r>
      <w:r w:rsidRPr="00614C4F">
        <w:rPr>
          <w:rFonts w:ascii="Times New Roman" w:hAnsi="Times New Roman" w:cs="Times New Roman"/>
          <w:color w:val="auto"/>
          <w:sz w:val="24"/>
          <w:szCs w:val="24"/>
        </w:rPr>
        <w:t>0</w:t>
      </w:r>
    </w:p>
    <w:tbl>
      <w:tblPr>
        <w:tblW w:w="9108" w:type="dxa"/>
        <w:tblLook w:val="04A0" w:firstRow="1" w:lastRow="0" w:firstColumn="1" w:lastColumn="0" w:noHBand="0" w:noVBand="1"/>
      </w:tblPr>
      <w:tblGrid>
        <w:gridCol w:w="1256"/>
        <w:gridCol w:w="2737"/>
        <w:gridCol w:w="1194"/>
        <w:gridCol w:w="1307"/>
        <w:gridCol w:w="1307"/>
        <w:gridCol w:w="1307"/>
      </w:tblGrid>
      <w:tr w:rsidR="008B2804" w:rsidRPr="004A6666" w14:paraId="3EBD48B1" w14:textId="77777777" w:rsidTr="002E143B">
        <w:trPr>
          <w:trHeight w:val="396"/>
        </w:trPr>
        <w:tc>
          <w:tcPr>
            <w:tcW w:w="1256" w:type="dxa"/>
            <w:tcBorders>
              <w:top w:val="single" w:sz="8" w:space="0" w:color="auto"/>
              <w:left w:val="single" w:sz="8" w:space="0" w:color="auto"/>
              <w:bottom w:val="single" w:sz="4" w:space="0" w:color="auto"/>
              <w:right w:val="nil"/>
            </w:tcBorders>
            <w:shd w:val="clear" w:color="auto" w:fill="auto"/>
            <w:noWrap/>
            <w:vAlign w:val="bottom"/>
            <w:hideMark/>
          </w:tcPr>
          <w:p w14:paraId="572D8489"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 </w:t>
            </w:r>
          </w:p>
        </w:tc>
        <w:tc>
          <w:tcPr>
            <w:tcW w:w="27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4267D2"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194" w:type="dxa"/>
            <w:tcBorders>
              <w:top w:val="single" w:sz="8" w:space="0" w:color="auto"/>
              <w:left w:val="nil"/>
              <w:bottom w:val="single" w:sz="4" w:space="0" w:color="auto"/>
              <w:right w:val="single" w:sz="4" w:space="0" w:color="auto"/>
            </w:tcBorders>
            <w:shd w:val="clear" w:color="auto" w:fill="auto"/>
            <w:noWrap/>
            <w:vAlign w:val="bottom"/>
            <w:hideMark/>
          </w:tcPr>
          <w:p w14:paraId="769593EA"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307" w:type="dxa"/>
            <w:tcBorders>
              <w:top w:val="single" w:sz="8" w:space="0" w:color="auto"/>
              <w:left w:val="nil"/>
              <w:bottom w:val="single" w:sz="4" w:space="0" w:color="auto"/>
              <w:right w:val="single" w:sz="4" w:space="0" w:color="auto"/>
            </w:tcBorders>
            <w:shd w:val="clear" w:color="auto" w:fill="auto"/>
            <w:noWrap/>
            <w:vAlign w:val="bottom"/>
            <w:hideMark/>
          </w:tcPr>
          <w:p w14:paraId="635873CA"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chi_d1</w:t>
            </w:r>
          </w:p>
        </w:tc>
        <w:tc>
          <w:tcPr>
            <w:tcW w:w="1307" w:type="dxa"/>
            <w:tcBorders>
              <w:top w:val="single" w:sz="8" w:space="0" w:color="auto"/>
              <w:left w:val="nil"/>
              <w:bottom w:val="single" w:sz="4" w:space="0" w:color="auto"/>
              <w:right w:val="single" w:sz="4" w:space="0" w:color="auto"/>
            </w:tcBorders>
            <w:shd w:val="clear" w:color="auto" w:fill="auto"/>
            <w:noWrap/>
            <w:vAlign w:val="bottom"/>
            <w:hideMark/>
          </w:tcPr>
          <w:p w14:paraId="535EE8EB"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chi_d2</w:t>
            </w:r>
          </w:p>
        </w:tc>
        <w:tc>
          <w:tcPr>
            <w:tcW w:w="1307" w:type="dxa"/>
            <w:tcBorders>
              <w:top w:val="single" w:sz="8" w:space="0" w:color="auto"/>
              <w:left w:val="nil"/>
              <w:bottom w:val="single" w:sz="4" w:space="0" w:color="auto"/>
              <w:right w:val="single" w:sz="8" w:space="0" w:color="auto"/>
            </w:tcBorders>
            <w:shd w:val="clear" w:color="auto" w:fill="auto"/>
            <w:noWrap/>
            <w:vAlign w:val="bottom"/>
            <w:hideMark/>
          </w:tcPr>
          <w:p w14:paraId="7B1A65B8"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chi_d12</w:t>
            </w:r>
          </w:p>
        </w:tc>
      </w:tr>
      <w:tr w:rsidR="008B2804" w:rsidRPr="004A6666" w14:paraId="025717C8" w14:textId="77777777" w:rsidTr="002E143B">
        <w:trPr>
          <w:trHeight w:val="412"/>
        </w:trPr>
        <w:tc>
          <w:tcPr>
            <w:tcW w:w="1256" w:type="dxa"/>
            <w:tcBorders>
              <w:top w:val="nil"/>
              <w:left w:val="single" w:sz="8" w:space="0" w:color="auto"/>
              <w:bottom w:val="nil"/>
              <w:right w:val="nil"/>
            </w:tcBorders>
            <w:shd w:val="clear" w:color="auto" w:fill="auto"/>
            <w:noWrap/>
            <w:vAlign w:val="bottom"/>
            <w:hideMark/>
          </w:tcPr>
          <w:p w14:paraId="7E9A8A16"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 </w:t>
            </w:r>
          </w:p>
        </w:tc>
        <w:tc>
          <w:tcPr>
            <w:tcW w:w="2737" w:type="dxa"/>
            <w:tcBorders>
              <w:top w:val="nil"/>
              <w:left w:val="single" w:sz="8" w:space="0" w:color="auto"/>
              <w:bottom w:val="single" w:sz="8" w:space="0" w:color="auto"/>
              <w:right w:val="single" w:sz="4" w:space="0" w:color="auto"/>
            </w:tcBorders>
            <w:shd w:val="clear" w:color="auto" w:fill="auto"/>
            <w:noWrap/>
            <w:vAlign w:val="bottom"/>
            <w:hideMark/>
          </w:tcPr>
          <w:p w14:paraId="09B05B64"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xml:space="preserve">Chi </w:t>
            </w:r>
            <w:proofErr w:type="spellStart"/>
            <w:r w:rsidRPr="004A6666">
              <w:rPr>
                <w:rFonts w:ascii="Calibri" w:eastAsia="Times New Roman" w:hAnsi="Calibri" w:cs="Calibri"/>
                <w:b/>
                <w:bCs/>
                <w:color w:val="000000"/>
                <w:lang w:eastAsia="en-GB"/>
              </w:rPr>
              <w:t>sq</w:t>
            </w:r>
            <w:proofErr w:type="spellEnd"/>
          </w:p>
        </w:tc>
        <w:tc>
          <w:tcPr>
            <w:tcW w:w="1194" w:type="dxa"/>
            <w:tcBorders>
              <w:top w:val="nil"/>
              <w:left w:val="nil"/>
              <w:bottom w:val="single" w:sz="8" w:space="0" w:color="auto"/>
              <w:right w:val="single" w:sz="4" w:space="0" w:color="auto"/>
            </w:tcBorders>
            <w:shd w:val="clear" w:color="auto" w:fill="auto"/>
            <w:noWrap/>
            <w:vAlign w:val="bottom"/>
            <w:hideMark/>
          </w:tcPr>
          <w:p w14:paraId="4DAEC64C"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 </w:t>
            </w:r>
          </w:p>
        </w:tc>
        <w:tc>
          <w:tcPr>
            <w:tcW w:w="1307" w:type="dxa"/>
            <w:tcBorders>
              <w:top w:val="nil"/>
              <w:left w:val="nil"/>
              <w:bottom w:val="single" w:sz="8" w:space="0" w:color="auto"/>
              <w:right w:val="single" w:sz="4" w:space="0" w:color="auto"/>
            </w:tcBorders>
            <w:shd w:val="clear" w:color="auto" w:fill="auto"/>
            <w:noWrap/>
            <w:vAlign w:val="bottom"/>
            <w:hideMark/>
          </w:tcPr>
          <w:p w14:paraId="44FA2993" w14:textId="77777777" w:rsidR="008B2804" w:rsidRPr="004A6666" w:rsidRDefault="008B2804" w:rsidP="002E143B">
            <w:pPr>
              <w:spacing w:after="0" w:line="240" w:lineRule="auto"/>
              <w:jc w:val="right"/>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15.507</w:t>
            </w:r>
          </w:p>
        </w:tc>
        <w:tc>
          <w:tcPr>
            <w:tcW w:w="1307" w:type="dxa"/>
            <w:tcBorders>
              <w:top w:val="nil"/>
              <w:left w:val="nil"/>
              <w:bottom w:val="single" w:sz="8" w:space="0" w:color="auto"/>
              <w:right w:val="single" w:sz="4" w:space="0" w:color="auto"/>
            </w:tcBorders>
            <w:shd w:val="clear" w:color="auto" w:fill="auto"/>
            <w:noWrap/>
            <w:vAlign w:val="bottom"/>
            <w:hideMark/>
          </w:tcPr>
          <w:p w14:paraId="4C19CFAF" w14:textId="77777777" w:rsidR="008B2804" w:rsidRPr="004A6666" w:rsidRDefault="008B2804" w:rsidP="002E143B">
            <w:pPr>
              <w:spacing w:after="0" w:line="240" w:lineRule="auto"/>
              <w:jc w:val="right"/>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16.919</w:t>
            </w:r>
          </w:p>
        </w:tc>
        <w:tc>
          <w:tcPr>
            <w:tcW w:w="1307" w:type="dxa"/>
            <w:tcBorders>
              <w:top w:val="nil"/>
              <w:left w:val="nil"/>
              <w:bottom w:val="single" w:sz="8" w:space="0" w:color="auto"/>
              <w:right w:val="single" w:sz="8" w:space="0" w:color="auto"/>
            </w:tcBorders>
            <w:shd w:val="clear" w:color="auto" w:fill="auto"/>
            <w:noWrap/>
            <w:vAlign w:val="bottom"/>
            <w:hideMark/>
          </w:tcPr>
          <w:p w14:paraId="154139E7" w14:textId="77777777" w:rsidR="008B2804" w:rsidRPr="004A6666" w:rsidRDefault="008B2804" w:rsidP="002E143B">
            <w:pPr>
              <w:spacing w:after="0" w:line="240" w:lineRule="auto"/>
              <w:jc w:val="right"/>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112.022</w:t>
            </w:r>
          </w:p>
        </w:tc>
      </w:tr>
      <w:tr w:rsidR="008B2804" w:rsidRPr="004A6666" w14:paraId="3EA3DB22" w14:textId="77777777" w:rsidTr="002E143B">
        <w:trPr>
          <w:trHeight w:val="396"/>
        </w:trPr>
        <w:tc>
          <w:tcPr>
            <w:tcW w:w="125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238045C" w14:textId="40654A6B" w:rsidR="008B2804" w:rsidRPr="004A6666" w:rsidRDefault="00295E00"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C</w:t>
            </w:r>
            <w:r w:rsidR="008B2804" w:rsidRPr="004A6666">
              <w:rPr>
                <w:rFonts w:ascii="Calibri" w:eastAsia="Times New Roman" w:hAnsi="Calibri" w:cs="Calibri"/>
                <w:b/>
                <w:bCs/>
                <w:color w:val="000000"/>
                <w:lang w:eastAsia="en-GB"/>
              </w:rPr>
              <w:t>hunk</w:t>
            </w:r>
          </w:p>
        </w:tc>
        <w:tc>
          <w:tcPr>
            <w:tcW w:w="2737" w:type="dxa"/>
            <w:tcBorders>
              <w:top w:val="nil"/>
              <w:left w:val="nil"/>
              <w:bottom w:val="single" w:sz="4" w:space="0" w:color="auto"/>
              <w:right w:val="single" w:sz="4" w:space="0" w:color="auto"/>
            </w:tcBorders>
            <w:shd w:val="clear" w:color="auto" w:fill="auto"/>
            <w:noWrap/>
            <w:vAlign w:val="bottom"/>
            <w:hideMark/>
          </w:tcPr>
          <w:p w14:paraId="1A0C19D0"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type</w:t>
            </w:r>
          </w:p>
        </w:tc>
        <w:tc>
          <w:tcPr>
            <w:tcW w:w="1194" w:type="dxa"/>
            <w:tcBorders>
              <w:top w:val="nil"/>
              <w:left w:val="nil"/>
              <w:bottom w:val="single" w:sz="4" w:space="0" w:color="auto"/>
              <w:right w:val="single" w:sz="4" w:space="0" w:color="auto"/>
            </w:tcBorders>
            <w:shd w:val="clear" w:color="auto" w:fill="auto"/>
            <w:noWrap/>
            <w:vAlign w:val="bottom"/>
            <w:hideMark/>
          </w:tcPr>
          <w:p w14:paraId="5D47099E"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N</w:t>
            </w:r>
          </w:p>
        </w:tc>
        <w:tc>
          <w:tcPr>
            <w:tcW w:w="1307" w:type="dxa"/>
            <w:tcBorders>
              <w:top w:val="nil"/>
              <w:left w:val="nil"/>
              <w:bottom w:val="single" w:sz="4" w:space="0" w:color="auto"/>
              <w:right w:val="single" w:sz="4" w:space="0" w:color="auto"/>
            </w:tcBorders>
            <w:shd w:val="clear" w:color="auto" w:fill="auto"/>
            <w:noWrap/>
            <w:vAlign w:val="bottom"/>
            <w:hideMark/>
          </w:tcPr>
          <w:p w14:paraId="0948D010"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 </w:t>
            </w:r>
          </w:p>
        </w:tc>
        <w:tc>
          <w:tcPr>
            <w:tcW w:w="1307" w:type="dxa"/>
            <w:tcBorders>
              <w:top w:val="nil"/>
              <w:left w:val="nil"/>
              <w:bottom w:val="single" w:sz="4" w:space="0" w:color="auto"/>
              <w:right w:val="single" w:sz="4" w:space="0" w:color="auto"/>
            </w:tcBorders>
            <w:shd w:val="clear" w:color="auto" w:fill="auto"/>
            <w:noWrap/>
            <w:vAlign w:val="bottom"/>
            <w:hideMark/>
          </w:tcPr>
          <w:p w14:paraId="4962AB3C"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 </w:t>
            </w:r>
          </w:p>
        </w:tc>
        <w:tc>
          <w:tcPr>
            <w:tcW w:w="1307" w:type="dxa"/>
            <w:tcBorders>
              <w:top w:val="nil"/>
              <w:left w:val="nil"/>
              <w:bottom w:val="single" w:sz="4" w:space="0" w:color="auto"/>
              <w:right w:val="single" w:sz="8" w:space="0" w:color="auto"/>
            </w:tcBorders>
            <w:shd w:val="clear" w:color="auto" w:fill="auto"/>
            <w:noWrap/>
            <w:vAlign w:val="bottom"/>
            <w:hideMark/>
          </w:tcPr>
          <w:p w14:paraId="69500A31"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 </w:t>
            </w:r>
          </w:p>
        </w:tc>
      </w:tr>
      <w:tr w:rsidR="008B2804" w:rsidRPr="004A6666" w14:paraId="6218FC01"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2F1A7F52"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LR_TOT</w:t>
            </w:r>
          </w:p>
        </w:tc>
        <w:tc>
          <w:tcPr>
            <w:tcW w:w="2737" w:type="dxa"/>
            <w:tcBorders>
              <w:top w:val="nil"/>
              <w:left w:val="nil"/>
              <w:bottom w:val="single" w:sz="4" w:space="0" w:color="auto"/>
              <w:right w:val="single" w:sz="4" w:space="0" w:color="auto"/>
            </w:tcBorders>
            <w:shd w:val="clear" w:color="auto" w:fill="auto"/>
            <w:noWrap/>
            <w:vAlign w:val="bottom"/>
            <w:hideMark/>
          </w:tcPr>
          <w:p w14:paraId="269329B5"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TOT with 0</w:t>
            </w:r>
          </w:p>
        </w:tc>
        <w:tc>
          <w:tcPr>
            <w:tcW w:w="1194" w:type="dxa"/>
            <w:tcBorders>
              <w:top w:val="nil"/>
              <w:left w:val="nil"/>
              <w:bottom w:val="single" w:sz="4" w:space="0" w:color="auto"/>
              <w:right w:val="single" w:sz="4" w:space="0" w:color="auto"/>
            </w:tcBorders>
            <w:shd w:val="clear" w:color="auto" w:fill="auto"/>
            <w:noWrap/>
            <w:vAlign w:val="bottom"/>
            <w:hideMark/>
          </w:tcPr>
          <w:p w14:paraId="76B3D214"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481769</w:t>
            </w:r>
          </w:p>
        </w:tc>
        <w:tc>
          <w:tcPr>
            <w:tcW w:w="1307" w:type="dxa"/>
            <w:tcBorders>
              <w:top w:val="nil"/>
              <w:left w:val="nil"/>
              <w:bottom w:val="single" w:sz="4" w:space="0" w:color="auto"/>
              <w:right w:val="single" w:sz="4" w:space="0" w:color="auto"/>
            </w:tcBorders>
            <w:shd w:val="clear" w:color="auto" w:fill="auto"/>
            <w:noWrap/>
            <w:vAlign w:val="bottom"/>
            <w:hideMark/>
          </w:tcPr>
          <w:p w14:paraId="6B8F347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8877.386</w:t>
            </w:r>
          </w:p>
        </w:tc>
        <w:tc>
          <w:tcPr>
            <w:tcW w:w="1307" w:type="dxa"/>
            <w:tcBorders>
              <w:top w:val="nil"/>
              <w:left w:val="nil"/>
              <w:bottom w:val="single" w:sz="4" w:space="0" w:color="auto"/>
              <w:right w:val="single" w:sz="4" w:space="0" w:color="auto"/>
            </w:tcBorders>
            <w:shd w:val="clear" w:color="auto" w:fill="auto"/>
            <w:noWrap/>
            <w:vAlign w:val="bottom"/>
            <w:hideMark/>
          </w:tcPr>
          <w:p w14:paraId="6FDD768D"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240.0422</w:t>
            </w:r>
          </w:p>
        </w:tc>
        <w:tc>
          <w:tcPr>
            <w:tcW w:w="1307" w:type="dxa"/>
            <w:tcBorders>
              <w:top w:val="nil"/>
              <w:left w:val="nil"/>
              <w:bottom w:val="single" w:sz="4" w:space="0" w:color="auto"/>
              <w:right w:val="single" w:sz="8" w:space="0" w:color="auto"/>
            </w:tcBorders>
            <w:shd w:val="clear" w:color="auto" w:fill="auto"/>
            <w:noWrap/>
            <w:vAlign w:val="bottom"/>
            <w:hideMark/>
          </w:tcPr>
          <w:p w14:paraId="1E19E2A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10447.65</w:t>
            </w:r>
          </w:p>
        </w:tc>
      </w:tr>
      <w:tr w:rsidR="008B2804" w:rsidRPr="004A6666" w14:paraId="122531E7"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73889C4F"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LRV[I]</w:t>
            </w:r>
          </w:p>
        </w:tc>
        <w:tc>
          <w:tcPr>
            <w:tcW w:w="2737" w:type="dxa"/>
            <w:tcBorders>
              <w:top w:val="nil"/>
              <w:left w:val="nil"/>
              <w:bottom w:val="single" w:sz="4" w:space="0" w:color="auto"/>
              <w:right w:val="single" w:sz="4" w:space="0" w:color="auto"/>
            </w:tcBorders>
            <w:shd w:val="clear" w:color="auto" w:fill="auto"/>
            <w:noWrap/>
            <w:vAlign w:val="bottom"/>
            <w:hideMark/>
          </w:tcPr>
          <w:p w14:paraId="5AE17CC2"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177BF446"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43777</w:t>
            </w:r>
          </w:p>
        </w:tc>
        <w:tc>
          <w:tcPr>
            <w:tcW w:w="1307" w:type="dxa"/>
            <w:tcBorders>
              <w:top w:val="nil"/>
              <w:left w:val="nil"/>
              <w:bottom w:val="single" w:sz="4" w:space="0" w:color="auto"/>
              <w:right w:val="single" w:sz="4" w:space="0" w:color="auto"/>
            </w:tcBorders>
            <w:shd w:val="clear" w:color="auto" w:fill="auto"/>
            <w:noWrap/>
            <w:vAlign w:val="bottom"/>
            <w:hideMark/>
          </w:tcPr>
          <w:p w14:paraId="0956D416"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956.9712</w:t>
            </w:r>
          </w:p>
        </w:tc>
        <w:tc>
          <w:tcPr>
            <w:tcW w:w="1307" w:type="dxa"/>
            <w:tcBorders>
              <w:top w:val="nil"/>
              <w:left w:val="nil"/>
              <w:bottom w:val="single" w:sz="4" w:space="0" w:color="auto"/>
              <w:right w:val="single" w:sz="4" w:space="0" w:color="auto"/>
            </w:tcBorders>
            <w:shd w:val="clear" w:color="auto" w:fill="auto"/>
            <w:noWrap/>
            <w:vAlign w:val="bottom"/>
            <w:hideMark/>
          </w:tcPr>
          <w:p w14:paraId="6312FB60"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30.33526</w:t>
            </w:r>
          </w:p>
        </w:tc>
        <w:tc>
          <w:tcPr>
            <w:tcW w:w="1307" w:type="dxa"/>
            <w:tcBorders>
              <w:top w:val="nil"/>
              <w:left w:val="nil"/>
              <w:bottom w:val="single" w:sz="4" w:space="0" w:color="auto"/>
              <w:right w:val="single" w:sz="8" w:space="0" w:color="auto"/>
            </w:tcBorders>
            <w:shd w:val="clear" w:color="auto" w:fill="auto"/>
            <w:noWrap/>
            <w:vAlign w:val="bottom"/>
            <w:hideMark/>
          </w:tcPr>
          <w:p w14:paraId="6A42723B"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1152.966</w:t>
            </w:r>
          </w:p>
        </w:tc>
      </w:tr>
      <w:tr w:rsidR="008B2804" w:rsidRPr="004A6666" w14:paraId="2FE402ED"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37F8370C"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LRV[II]</w:t>
            </w:r>
          </w:p>
        </w:tc>
        <w:tc>
          <w:tcPr>
            <w:tcW w:w="2737" w:type="dxa"/>
            <w:tcBorders>
              <w:top w:val="nil"/>
              <w:left w:val="nil"/>
              <w:bottom w:val="single" w:sz="4" w:space="0" w:color="auto"/>
              <w:right w:val="single" w:sz="4" w:space="0" w:color="auto"/>
            </w:tcBorders>
            <w:shd w:val="clear" w:color="auto" w:fill="auto"/>
            <w:noWrap/>
            <w:vAlign w:val="bottom"/>
            <w:hideMark/>
          </w:tcPr>
          <w:p w14:paraId="48648FD1"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54EE1134"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43627</w:t>
            </w:r>
          </w:p>
        </w:tc>
        <w:tc>
          <w:tcPr>
            <w:tcW w:w="1307" w:type="dxa"/>
            <w:tcBorders>
              <w:top w:val="nil"/>
              <w:left w:val="nil"/>
              <w:bottom w:val="single" w:sz="4" w:space="0" w:color="auto"/>
              <w:right w:val="single" w:sz="4" w:space="0" w:color="auto"/>
            </w:tcBorders>
            <w:shd w:val="clear" w:color="auto" w:fill="auto"/>
            <w:noWrap/>
            <w:vAlign w:val="bottom"/>
            <w:hideMark/>
          </w:tcPr>
          <w:p w14:paraId="4C16CE4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811.2248</w:t>
            </w:r>
          </w:p>
        </w:tc>
        <w:tc>
          <w:tcPr>
            <w:tcW w:w="1307" w:type="dxa"/>
            <w:tcBorders>
              <w:top w:val="nil"/>
              <w:left w:val="nil"/>
              <w:bottom w:val="single" w:sz="4" w:space="0" w:color="auto"/>
              <w:right w:val="single" w:sz="4" w:space="0" w:color="auto"/>
            </w:tcBorders>
            <w:shd w:val="clear" w:color="auto" w:fill="auto"/>
            <w:noWrap/>
            <w:vAlign w:val="bottom"/>
            <w:hideMark/>
          </w:tcPr>
          <w:p w14:paraId="21F48A8E"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27.45276</w:t>
            </w:r>
          </w:p>
        </w:tc>
        <w:tc>
          <w:tcPr>
            <w:tcW w:w="1307" w:type="dxa"/>
            <w:tcBorders>
              <w:top w:val="nil"/>
              <w:left w:val="nil"/>
              <w:bottom w:val="single" w:sz="4" w:space="0" w:color="auto"/>
              <w:right w:val="single" w:sz="8" w:space="0" w:color="auto"/>
            </w:tcBorders>
            <w:shd w:val="clear" w:color="auto" w:fill="auto"/>
            <w:noWrap/>
            <w:vAlign w:val="bottom"/>
            <w:hideMark/>
          </w:tcPr>
          <w:p w14:paraId="3D7440BA"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1023.942</w:t>
            </w:r>
          </w:p>
        </w:tc>
      </w:tr>
      <w:tr w:rsidR="008B2804" w:rsidRPr="004A6666" w14:paraId="659F5F35"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59511264"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LRV[III]</w:t>
            </w:r>
          </w:p>
        </w:tc>
        <w:tc>
          <w:tcPr>
            <w:tcW w:w="2737" w:type="dxa"/>
            <w:tcBorders>
              <w:top w:val="nil"/>
              <w:left w:val="nil"/>
              <w:bottom w:val="single" w:sz="4" w:space="0" w:color="auto"/>
              <w:right w:val="single" w:sz="4" w:space="0" w:color="auto"/>
            </w:tcBorders>
            <w:shd w:val="clear" w:color="auto" w:fill="auto"/>
            <w:noWrap/>
            <w:vAlign w:val="bottom"/>
            <w:hideMark/>
          </w:tcPr>
          <w:p w14:paraId="163B6D6F"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00E1EC6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43811</w:t>
            </w:r>
          </w:p>
        </w:tc>
        <w:tc>
          <w:tcPr>
            <w:tcW w:w="1307" w:type="dxa"/>
            <w:tcBorders>
              <w:top w:val="nil"/>
              <w:left w:val="nil"/>
              <w:bottom w:val="single" w:sz="4" w:space="0" w:color="auto"/>
              <w:right w:val="single" w:sz="4" w:space="0" w:color="auto"/>
            </w:tcBorders>
            <w:shd w:val="clear" w:color="auto" w:fill="auto"/>
            <w:noWrap/>
            <w:vAlign w:val="bottom"/>
            <w:hideMark/>
          </w:tcPr>
          <w:p w14:paraId="7637044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1076.101</w:t>
            </w:r>
          </w:p>
        </w:tc>
        <w:tc>
          <w:tcPr>
            <w:tcW w:w="1307" w:type="dxa"/>
            <w:tcBorders>
              <w:top w:val="nil"/>
              <w:left w:val="nil"/>
              <w:bottom w:val="single" w:sz="4" w:space="0" w:color="auto"/>
              <w:right w:val="single" w:sz="4" w:space="0" w:color="auto"/>
            </w:tcBorders>
            <w:shd w:val="clear" w:color="auto" w:fill="auto"/>
            <w:noWrap/>
            <w:vAlign w:val="bottom"/>
            <w:hideMark/>
          </w:tcPr>
          <w:p w14:paraId="37AC2855"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38.20197</w:t>
            </w:r>
          </w:p>
        </w:tc>
        <w:tc>
          <w:tcPr>
            <w:tcW w:w="1307" w:type="dxa"/>
            <w:tcBorders>
              <w:top w:val="nil"/>
              <w:left w:val="nil"/>
              <w:bottom w:val="single" w:sz="4" w:space="0" w:color="auto"/>
              <w:right w:val="single" w:sz="8" w:space="0" w:color="auto"/>
            </w:tcBorders>
            <w:shd w:val="clear" w:color="auto" w:fill="auto"/>
            <w:noWrap/>
            <w:vAlign w:val="bottom"/>
            <w:hideMark/>
          </w:tcPr>
          <w:p w14:paraId="629412BA"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1264.585</w:t>
            </w:r>
          </w:p>
        </w:tc>
      </w:tr>
      <w:tr w:rsidR="008B2804" w:rsidRPr="004A6666" w14:paraId="26782ECA"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2E1454D7"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LRV[IV]</w:t>
            </w:r>
          </w:p>
        </w:tc>
        <w:tc>
          <w:tcPr>
            <w:tcW w:w="2737" w:type="dxa"/>
            <w:tcBorders>
              <w:top w:val="nil"/>
              <w:left w:val="nil"/>
              <w:bottom w:val="single" w:sz="4" w:space="0" w:color="auto"/>
              <w:right w:val="single" w:sz="4" w:space="0" w:color="auto"/>
            </w:tcBorders>
            <w:shd w:val="clear" w:color="auto" w:fill="auto"/>
            <w:noWrap/>
            <w:vAlign w:val="bottom"/>
            <w:hideMark/>
          </w:tcPr>
          <w:p w14:paraId="5D0774C0"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0216CFE2"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43616</w:t>
            </w:r>
          </w:p>
        </w:tc>
        <w:tc>
          <w:tcPr>
            <w:tcW w:w="1307" w:type="dxa"/>
            <w:tcBorders>
              <w:top w:val="nil"/>
              <w:left w:val="nil"/>
              <w:bottom w:val="single" w:sz="4" w:space="0" w:color="auto"/>
              <w:right w:val="single" w:sz="4" w:space="0" w:color="auto"/>
            </w:tcBorders>
            <w:shd w:val="clear" w:color="auto" w:fill="auto"/>
            <w:noWrap/>
            <w:vAlign w:val="bottom"/>
            <w:hideMark/>
          </w:tcPr>
          <w:p w14:paraId="4031B451"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1009.273</w:t>
            </w:r>
          </w:p>
        </w:tc>
        <w:tc>
          <w:tcPr>
            <w:tcW w:w="1307" w:type="dxa"/>
            <w:tcBorders>
              <w:top w:val="nil"/>
              <w:left w:val="nil"/>
              <w:bottom w:val="single" w:sz="4" w:space="0" w:color="auto"/>
              <w:right w:val="single" w:sz="4" w:space="0" w:color="auto"/>
            </w:tcBorders>
            <w:shd w:val="clear" w:color="auto" w:fill="auto"/>
            <w:noWrap/>
            <w:vAlign w:val="bottom"/>
            <w:hideMark/>
          </w:tcPr>
          <w:p w14:paraId="4DDF6F81"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41.96765</w:t>
            </w:r>
          </w:p>
        </w:tc>
        <w:tc>
          <w:tcPr>
            <w:tcW w:w="1307" w:type="dxa"/>
            <w:tcBorders>
              <w:top w:val="nil"/>
              <w:left w:val="nil"/>
              <w:bottom w:val="single" w:sz="4" w:space="0" w:color="auto"/>
              <w:right w:val="single" w:sz="8" w:space="0" w:color="auto"/>
            </w:tcBorders>
            <w:shd w:val="clear" w:color="auto" w:fill="auto"/>
            <w:noWrap/>
            <w:vAlign w:val="bottom"/>
            <w:hideMark/>
          </w:tcPr>
          <w:p w14:paraId="0FC57DCF"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1255.186</w:t>
            </w:r>
          </w:p>
        </w:tc>
      </w:tr>
      <w:tr w:rsidR="008B2804" w:rsidRPr="004A6666" w14:paraId="6F668924"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6BA7C4E3"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LRV[V]</w:t>
            </w:r>
          </w:p>
        </w:tc>
        <w:tc>
          <w:tcPr>
            <w:tcW w:w="2737" w:type="dxa"/>
            <w:tcBorders>
              <w:top w:val="nil"/>
              <w:left w:val="nil"/>
              <w:bottom w:val="single" w:sz="4" w:space="0" w:color="auto"/>
              <w:right w:val="single" w:sz="4" w:space="0" w:color="auto"/>
            </w:tcBorders>
            <w:shd w:val="clear" w:color="auto" w:fill="auto"/>
            <w:noWrap/>
            <w:vAlign w:val="bottom"/>
            <w:hideMark/>
          </w:tcPr>
          <w:p w14:paraId="1E391993"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0F96DF77"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43974</w:t>
            </w:r>
          </w:p>
        </w:tc>
        <w:tc>
          <w:tcPr>
            <w:tcW w:w="1307" w:type="dxa"/>
            <w:tcBorders>
              <w:top w:val="nil"/>
              <w:left w:val="nil"/>
              <w:bottom w:val="single" w:sz="4" w:space="0" w:color="auto"/>
              <w:right w:val="single" w:sz="4" w:space="0" w:color="auto"/>
            </w:tcBorders>
            <w:shd w:val="clear" w:color="auto" w:fill="auto"/>
            <w:noWrap/>
            <w:vAlign w:val="bottom"/>
            <w:hideMark/>
          </w:tcPr>
          <w:p w14:paraId="2A07A183"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1035.019</w:t>
            </w:r>
          </w:p>
        </w:tc>
        <w:tc>
          <w:tcPr>
            <w:tcW w:w="1307" w:type="dxa"/>
            <w:tcBorders>
              <w:top w:val="nil"/>
              <w:left w:val="nil"/>
              <w:bottom w:val="single" w:sz="4" w:space="0" w:color="auto"/>
              <w:right w:val="single" w:sz="4" w:space="0" w:color="auto"/>
            </w:tcBorders>
            <w:shd w:val="clear" w:color="auto" w:fill="auto"/>
            <w:noWrap/>
            <w:vAlign w:val="bottom"/>
            <w:hideMark/>
          </w:tcPr>
          <w:p w14:paraId="01CBEAC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58.09611</w:t>
            </w:r>
          </w:p>
        </w:tc>
        <w:tc>
          <w:tcPr>
            <w:tcW w:w="1307" w:type="dxa"/>
            <w:tcBorders>
              <w:top w:val="nil"/>
              <w:left w:val="nil"/>
              <w:bottom w:val="single" w:sz="4" w:space="0" w:color="auto"/>
              <w:right w:val="single" w:sz="8" w:space="0" w:color="auto"/>
            </w:tcBorders>
            <w:shd w:val="clear" w:color="auto" w:fill="auto"/>
            <w:noWrap/>
            <w:vAlign w:val="bottom"/>
            <w:hideMark/>
          </w:tcPr>
          <w:p w14:paraId="06FB3D2D"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1264.963</w:t>
            </w:r>
          </w:p>
        </w:tc>
      </w:tr>
      <w:tr w:rsidR="008B2804" w:rsidRPr="004A6666" w14:paraId="40EE5514"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4BA817D7"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LRV[VI]</w:t>
            </w:r>
          </w:p>
        </w:tc>
        <w:tc>
          <w:tcPr>
            <w:tcW w:w="2737" w:type="dxa"/>
            <w:tcBorders>
              <w:top w:val="nil"/>
              <w:left w:val="nil"/>
              <w:bottom w:val="single" w:sz="4" w:space="0" w:color="auto"/>
              <w:right w:val="single" w:sz="4" w:space="0" w:color="auto"/>
            </w:tcBorders>
            <w:shd w:val="clear" w:color="auto" w:fill="auto"/>
            <w:noWrap/>
            <w:vAlign w:val="bottom"/>
            <w:hideMark/>
          </w:tcPr>
          <w:p w14:paraId="0AA761B5"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525C24F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43962</w:t>
            </w:r>
          </w:p>
        </w:tc>
        <w:tc>
          <w:tcPr>
            <w:tcW w:w="1307" w:type="dxa"/>
            <w:tcBorders>
              <w:top w:val="nil"/>
              <w:left w:val="nil"/>
              <w:bottom w:val="single" w:sz="4" w:space="0" w:color="auto"/>
              <w:right w:val="single" w:sz="4" w:space="0" w:color="auto"/>
            </w:tcBorders>
            <w:shd w:val="clear" w:color="auto" w:fill="auto"/>
            <w:noWrap/>
            <w:vAlign w:val="bottom"/>
            <w:hideMark/>
          </w:tcPr>
          <w:p w14:paraId="3403B549"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822.2179</w:t>
            </w:r>
          </w:p>
        </w:tc>
        <w:tc>
          <w:tcPr>
            <w:tcW w:w="1307" w:type="dxa"/>
            <w:tcBorders>
              <w:top w:val="nil"/>
              <w:left w:val="nil"/>
              <w:bottom w:val="single" w:sz="4" w:space="0" w:color="auto"/>
              <w:right w:val="single" w:sz="4" w:space="0" w:color="auto"/>
            </w:tcBorders>
            <w:shd w:val="clear" w:color="auto" w:fill="auto"/>
            <w:noWrap/>
            <w:vAlign w:val="bottom"/>
            <w:hideMark/>
          </w:tcPr>
          <w:p w14:paraId="0D4E6DEA"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39.56903</w:t>
            </w:r>
          </w:p>
        </w:tc>
        <w:tc>
          <w:tcPr>
            <w:tcW w:w="1307" w:type="dxa"/>
            <w:tcBorders>
              <w:top w:val="nil"/>
              <w:left w:val="nil"/>
              <w:bottom w:val="single" w:sz="4" w:space="0" w:color="auto"/>
              <w:right w:val="single" w:sz="8" w:space="0" w:color="auto"/>
            </w:tcBorders>
            <w:shd w:val="clear" w:color="auto" w:fill="auto"/>
            <w:noWrap/>
            <w:vAlign w:val="bottom"/>
            <w:hideMark/>
          </w:tcPr>
          <w:p w14:paraId="14DB6CE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1017.388</w:t>
            </w:r>
          </w:p>
        </w:tc>
      </w:tr>
      <w:tr w:rsidR="008B2804" w:rsidRPr="004A6666" w14:paraId="41BE19C3"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1242B4B7"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LRV[VII]</w:t>
            </w:r>
          </w:p>
        </w:tc>
        <w:tc>
          <w:tcPr>
            <w:tcW w:w="2737" w:type="dxa"/>
            <w:tcBorders>
              <w:top w:val="nil"/>
              <w:left w:val="nil"/>
              <w:bottom w:val="single" w:sz="4" w:space="0" w:color="auto"/>
              <w:right w:val="single" w:sz="4" w:space="0" w:color="auto"/>
            </w:tcBorders>
            <w:shd w:val="clear" w:color="auto" w:fill="auto"/>
            <w:noWrap/>
            <w:vAlign w:val="bottom"/>
            <w:hideMark/>
          </w:tcPr>
          <w:p w14:paraId="241B78CB"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4CF5D2F2"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43571</w:t>
            </w:r>
          </w:p>
        </w:tc>
        <w:tc>
          <w:tcPr>
            <w:tcW w:w="1307" w:type="dxa"/>
            <w:tcBorders>
              <w:top w:val="nil"/>
              <w:left w:val="nil"/>
              <w:bottom w:val="single" w:sz="4" w:space="0" w:color="auto"/>
              <w:right w:val="single" w:sz="4" w:space="0" w:color="auto"/>
            </w:tcBorders>
            <w:shd w:val="clear" w:color="auto" w:fill="auto"/>
            <w:noWrap/>
            <w:vAlign w:val="bottom"/>
            <w:hideMark/>
          </w:tcPr>
          <w:p w14:paraId="0DAA678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985.4344</w:t>
            </w:r>
          </w:p>
        </w:tc>
        <w:tc>
          <w:tcPr>
            <w:tcW w:w="1307" w:type="dxa"/>
            <w:tcBorders>
              <w:top w:val="nil"/>
              <w:left w:val="nil"/>
              <w:bottom w:val="single" w:sz="4" w:space="0" w:color="auto"/>
              <w:right w:val="single" w:sz="4" w:space="0" w:color="auto"/>
            </w:tcBorders>
            <w:shd w:val="clear" w:color="auto" w:fill="auto"/>
            <w:noWrap/>
            <w:vAlign w:val="bottom"/>
            <w:hideMark/>
          </w:tcPr>
          <w:p w14:paraId="5D52892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41.64779</w:t>
            </w:r>
          </w:p>
        </w:tc>
        <w:tc>
          <w:tcPr>
            <w:tcW w:w="1307" w:type="dxa"/>
            <w:tcBorders>
              <w:top w:val="nil"/>
              <w:left w:val="nil"/>
              <w:bottom w:val="single" w:sz="4" w:space="0" w:color="auto"/>
              <w:right w:val="single" w:sz="8" w:space="0" w:color="auto"/>
            </w:tcBorders>
            <w:shd w:val="clear" w:color="auto" w:fill="auto"/>
            <w:noWrap/>
            <w:vAlign w:val="bottom"/>
            <w:hideMark/>
          </w:tcPr>
          <w:p w14:paraId="426542BD"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1267.581</w:t>
            </w:r>
          </w:p>
        </w:tc>
      </w:tr>
      <w:tr w:rsidR="008B2804" w:rsidRPr="004A6666" w14:paraId="5402010D"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34EF2429"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LRV[VIII]</w:t>
            </w:r>
          </w:p>
        </w:tc>
        <w:tc>
          <w:tcPr>
            <w:tcW w:w="2737" w:type="dxa"/>
            <w:tcBorders>
              <w:top w:val="nil"/>
              <w:left w:val="nil"/>
              <w:bottom w:val="single" w:sz="4" w:space="0" w:color="auto"/>
              <w:right w:val="single" w:sz="4" w:space="0" w:color="auto"/>
            </w:tcBorders>
            <w:shd w:val="clear" w:color="auto" w:fill="auto"/>
            <w:noWrap/>
            <w:vAlign w:val="bottom"/>
            <w:hideMark/>
          </w:tcPr>
          <w:p w14:paraId="554AF5F6"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37CAB9A1"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43903</w:t>
            </w:r>
          </w:p>
        </w:tc>
        <w:tc>
          <w:tcPr>
            <w:tcW w:w="1307" w:type="dxa"/>
            <w:tcBorders>
              <w:top w:val="nil"/>
              <w:left w:val="nil"/>
              <w:bottom w:val="single" w:sz="4" w:space="0" w:color="auto"/>
              <w:right w:val="single" w:sz="4" w:space="0" w:color="auto"/>
            </w:tcBorders>
            <w:shd w:val="clear" w:color="auto" w:fill="auto"/>
            <w:noWrap/>
            <w:vAlign w:val="bottom"/>
            <w:hideMark/>
          </w:tcPr>
          <w:p w14:paraId="77403877"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1087.114</w:t>
            </w:r>
          </w:p>
        </w:tc>
        <w:tc>
          <w:tcPr>
            <w:tcW w:w="1307" w:type="dxa"/>
            <w:tcBorders>
              <w:top w:val="nil"/>
              <w:left w:val="nil"/>
              <w:bottom w:val="single" w:sz="4" w:space="0" w:color="auto"/>
              <w:right w:val="single" w:sz="4" w:space="0" w:color="auto"/>
            </w:tcBorders>
            <w:shd w:val="clear" w:color="auto" w:fill="auto"/>
            <w:noWrap/>
            <w:vAlign w:val="bottom"/>
            <w:hideMark/>
          </w:tcPr>
          <w:p w14:paraId="75C32B68"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25.95437</w:t>
            </w:r>
          </w:p>
        </w:tc>
        <w:tc>
          <w:tcPr>
            <w:tcW w:w="1307" w:type="dxa"/>
            <w:tcBorders>
              <w:top w:val="nil"/>
              <w:left w:val="nil"/>
              <w:bottom w:val="single" w:sz="4" w:space="0" w:color="auto"/>
              <w:right w:val="single" w:sz="8" w:space="0" w:color="auto"/>
            </w:tcBorders>
            <w:shd w:val="clear" w:color="auto" w:fill="auto"/>
            <w:noWrap/>
            <w:vAlign w:val="bottom"/>
            <w:hideMark/>
          </w:tcPr>
          <w:p w14:paraId="5B65307D"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1296.072</w:t>
            </w:r>
          </w:p>
        </w:tc>
      </w:tr>
      <w:tr w:rsidR="008B2804" w:rsidRPr="004A6666" w14:paraId="58EC5F54"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6BEF4129"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LRV[IX]</w:t>
            </w:r>
          </w:p>
        </w:tc>
        <w:tc>
          <w:tcPr>
            <w:tcW w:w="2737" w:type="dxa"/>
            <w:tcBorders>
              <w:top w:val="nil"/>
              <w:left w:val="nil"/>
              <w:bottom w:val="single" w:sz="4" w:space="0" w:color="auto"/>
              <w:right w:val="single" w:sz="4" w:space="0" w:color="auto"/>
            </w:tcBorders>
            <w:shd w:val="clear" w:color="auto" w:fill="auto"/>
            <w:noWrap/>
            <w:vAlign w:val="bottom"/>
            <w:hideMark/>
          </w:tcPr>
          <w:p w14:paraId="54A3C23F"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295FCA92"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43816</w:t>
            </w:r>
          </w:p>
        </w:tc>
        <w:tc>
          <w:tcPr>
            <w:tcW w:w="1307" w:type="dxa"/>
            <w:tcBorders>
              <w:top w:val="nil"/>
              <w:left w:val="nil"/>
              <w:bottom w:val="single" w:sz="4" w:space="0" w:color="auto"/>
              <w:right w:val="single" w:sz="4" w:space="0" w:color="auto"/>
            </w:tcBorders>
            <w:shd w:val="clear" w:color="auto" w:fill="auto"/>
            <w:noWrap/>
            <w:vAlign w:val="bottom"/>
            <w:hideMark/>
          </w:tcPr>
          <w:p w14:paraId="5AEB1B27"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1038.212</w:t>
            </w:r>
          </w:p>
        </w:tc>
        <w:tc>
          <w:tcPr>
            <w:tcW w:w="130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87D9863" w14:textId="77777777" w:rsidR="008B2804" w:rsidRPr="004A6666" w:rsidRDefault="008B2804" w:rsidP="002E143B">
            <w:pPr>
              <w:spacing w:after="0" w:line="240" w:lineRule="auto"/>
              <w:jc w:val="right"/>
              <w:rPr>
                <w:rFonts w:ascii="Calibri" w:eastAsia="Times New Roman" w:hAnsi="Calibri" w:cs="Calibri"/>
                <w:color w:val="006100"/>
                <w:lang w:eastAsia="en-GB"/>
              </w:rPr>
            </w:pPr>
            <w:r w:rsidRPr="004A6666">
              <w:rPr>
                <w:rFonts w:ascii="Calibri" w:eastAsia="Times New Roman" w:hAnsi="Calibri" w:cs="Calibri"/>
                <w:color w:val="006100"/>
                <w:lang w:eastAsia="en-GB"/>
              </w:rPr>
              <w:t>15.17244</w:t>
            </w:r>
          </w:p>
        </w:tc>
        <w:tc>
          <w:tcPr>
            <w:tcW w:w="1307" w:type="dxa"/>
            <w:tcBorders>
              <w:top w:val="nil"/>
              <w:left w:val="nil"/>
              <w:bottom w:val="single" w:sz="4" w:space="0" w:color="auto"/>
              <w:right w:val="single" w:sz="8" w:space="0" w:color="auto"/>
            </w:tcBorders>
            <w:shd w:val="clear" w:color="auto" w:fill="auto"/>
            <w:noWrap/>
            <w:vAlign w:val="bottom"/>
            <w:hideMark/>
          </w:tcPr>
          <w:p w14:paraId="554BD30C"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1255.852</w:t>
            </w:r>
          </w:p>
        </w:tc>
      </w:tr>
      <w:tr w:rsidR="008B2804" w:rsidRPr="004A6666" w14:paraId="5463DE8D" w14:textId="77777777" w:rsidTr="002E143B">
        <w:trPr>
          <w:trHeight w:val="396"/>
        </w:trPr>
        <w:tc>
          <w:tcPr>
            <w:tcW w:w="1256" w:type="dxa"/>
            <w:tcBorders>
              <w:top w:val="nil"/>
              <w:left w:val="single" w:sz="8" w:space="0" w:color="auto"/>
              <w:bottom w:val="single" w:sz="4" w:space="0" w:color="auto"/>
              <w:right w:val="single" w:sz="8" w:space="0" w:color="auto"/>
            </w:tcBorders>
            <w:shd w:val="clear" w:color="auto" w:fill="auto"/>
            <w:noWrap/>
            <w:vAlign w:val="bottom"/>
            <w:hideMark/>
          </w:tcPr>
          <w:p w14:paraId="7F120FE6"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LRV[X]</w:t>
            </w:r>
          </w:p>
        </w:tc>
        <w:tc>
          <w:tcPr>
            <w:tcW w:w="2737" w:type="dxa"/>
            <w:tcBorders>
              <w:top w:val="nil"/>
              <w:left w:val="nil"/>
              <w:bottom w:val="single" w:sz="4" w:space="0" w:color="auto"/>
              <w:right w:val="single" w:sz="4" w:space="0" w:color="auto"/>
            </w:tcBorders>
            <w:shd w:val="clear" w:color="auto" w:fill="auto"/>
            <w:noWrap/>
            <w:vAlign w:val="bottom"/>
            <w:hideMark/>
          </w:tcPr>
          <w:p w14:paraId="72F8EA74"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4" w:space="0" w:color="auto"/>
              <w:right w:val="single" w:sz="4" w:space="0" w:color="auto"/>
            </w:tcBorders>
            <w:shd w:val="clear" w:color="auto" w:fill="auto"/>
            <w:noWrap/>
            <w:vAlign w:val="bottom"/>
            <w:hideMark/>
          </w:tcPr>
          <w:p w14:paraId="524766BD"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43842</w:t>
            </w:r>
          </w:p>
        </w:tc>
        <w:tc>
          <w:tcPr>
            <w:tcW w:w="1307" w:type="dxa"/>
            <w:tcBorders>
              <w:top w:val="nil"/>
              <w:left w:val="nil"/>
              <w:bottom w:val="single" w:sz="4" w:space="0" w:color="auto"/>
              <w:right w:val="single" w:sz="4" w:space="0" w:color="auto"/>
            </w:tcBorders>
            <w:shd w:val="clear" w:color="auto" w:fill="auto"/>
            <w:noWrap/>
            <w:vAlign w:val="bottom"/>
            <w:hideMark/>
          </w:tcPr>
          <w:p w14:paraId="183D5194"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897.0796</w:t>
            </w:r>
          </w:p>
        </w:tc>
        <w:tc>
          <w:tcPr>
            <w:tcW w:w="130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36F6A58" w14:textId="77777777" w:rsidR="008B2804" w:rsidRPr="004A6666" w:rsidRDefault="008B2804" w:rsidP="002E143B">
            <w:pPr>
              <w:spacing w:after="0" w:line="240" w:lineRule="auto"/>
              <w:jc w:val="right"/>
              <w:rPr>
                <w:rFonts w:ascii="Calibri" w:eastAsia="Times New Roman" w:hAnsi="Calibri" w:cs="Calibri"/>
                <w:color w:val="006100"/>
                <w:lang w:eastAsia="en-GB"/>
              </w:rPr>
            </w:pPr>
            <w:r w:rsidRPr="004A6666">
              <w:rPr>
                <w:rFonts w:ascii="Calibri" w:eastAsia="Times New Roman" w:hAnsi="Calibri" w:cs="Calibri"/>
                <w:color w:val="006100"/>
                <w:lang w:eastAsia="en-GB"/>
              </w:rPr>
              <w:t>16.85738</w:t>
            </w:r>
          </w:p>
        </w:tc>
        <w:tc>
          <w:tcPr>
            <w:tcW w:w="1307" w:type="dxa"/>
            <w:tcBorders>
              <w:top w:val="nil"/>
              <w:left w:val="nil"/>
              <w:bottom w:val="single" w:sz="4" w:space="0" w:color="auto"/>
              <w:right w:val="single" w:sz="8" w:space="0" w:color="auto"/>
            </w:tcBorders>
            <w:shd w:val="clear" w:color="auto" w:fill="auto"/>
            <w:noWrap/>
            <w:vAlign w:val="bottom"/>
            <w:hideMark/>
          </w:tcPr>
          <w:p w14:paraId="644F61B2"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1099.259</w:t>
            </w:r>
          </w:p>
        </w:tc>
      </w:tr>
      <w:tr w:rsidR="008B2804" w:rsidRPr="004A6666" w14:paraId="520EDF61" w14:textId="77777777" w:rsidTr="002E143B">
        <w:trPr>
          <w:trHeight w:val="412"/>
        </w:trPr>
        <w:tc>
          <w:tcPr>
            <w:tcW w:w="1256" w:type="dxa"/>
            <w:tcBorders>
              <w:top w:val="nil"/>
              <w:left w:val="single" w:sz="8" w:space="0" w:color="auto"/>
              <w:bottom w:val="single" w:sz="8" w:space="0" w:color="auto"/>
              <w:right w:val="single" w:sz="8" w:space="0" w:color="auto"/>
            </w:tcBorders>
            <w:shd w:val="clear" w:color="auto" w:fill="auto"/>
            <w:noWrap/>
            <w:vAlign w:val="bottom"/>
            <w:hideMark/>
          </w:tcPr>
          <w:p w14:paraId="165DAEDA" w14:textId="77777777" w:rsidR="008B2804" w:rsidRPr="004A6666" w:rsidRDefault="008B2804" w:rsidP="002E143B">
            <w:pPr>
              <w:spacing w:after="0" w:line="240" w:lineRule="auto"/>
              <w:rPr>
                <w:rFonts w:ascii="Calibri" w:eastAsia="Times New Roman" w:hAnsi="Calibri" w:cs="Calibri"/>
                <w:b/>
                <w:bCs/>
                <w:color w:val="000000"/>
                <w:lang w:eastAsia="en-GB"/>
              </w:rPr>
            </w:pPr>
            <w:r w:rsidRPr="004A6666">
              <w:rPr>
                <w:rFonts w:ascii="Calibri" w:eastAsia="Times New Roman" w:hAnsi="Calibri" w:cs="Calibri"/>
                <w:b/>
                <w:bCs/>
                <w:color w:val="000000"/>
                <w:lang w:eastAsia="en-GB"/>
              </w:rPr>
              <w:t>LRV[XI]</w:t>
            </w:r>
          </w:p>
        </w:tc>
        <w:tc>
          <w:tcPr>
            <w:tcW w:w="2737" w:type="dxa"/>
            <w:tcBorders>
              <w:top w:val="nil"/>
              <w:left w:val="nil"/>
              <w:bottom w:val="single" w:sz="8" w:space="0" w:color="auto"/>
              <w:right w:val="single" w:sz="4" w:space="0" w:color="auto"/>
            </w:tcBorders>
            <w:shd w:val="clear" w:color="auto" w:fill="auto"/>
            <w:noWrap/>
            <w:vAlign w:val="bottom"/>
            <w:hideMark/>
          </w:tcPr>
          <w:p w14:paraId="23099CB1" w14:textId="77777777" w:rsidR="008B2804" w:rsidRPr="004A6666" w:rsidRDefault="008B2804" w:rsidP="002E143B">
            <w:pPr>
              <w:spacing w:after="0" w:line="240" w:lineRule="auto"/>
              <w:rPr>
                <w:rFonts w:ascii="Calibri" w:eastAsia="Times New Roman" w:hAnsi="Calibri" w:cs="Calibri"/>
                <w:color w:val="000000"/>
                <w:lang w:eastAsia="en-GB"/>
              </w:rPr>
            </w:pPr>
            <w:r w:rsidRPr="004A6666">
              <w:rPr>
                <w:rFonts w:ascii="Calibri" w:eastAsia="Times New Roman" w:hAnsi="Calibri" w:cs="Calibri"/>
                <w:color w:val="000000"/>
                <w:lang w:eastAsia="en-GB"/>
              </w:rPr>
              <w:t>Log Change w 0</w:t>
            </w:r>
          </w:p>
        </w:tc>
        <w:tc>
          <w:tcPr>
            <w:tcW w:w="1194" w:type="dxa"/>
            <w:tcBorders>
              <w:top w:val="nil"/>
              <w:left w:val="nil"/>
              <w:bottom w:val="single" w:sz="8" w:space="0" w:color="auto"/>
              <w:right w:val="single" w:sz="4" w:space="0" w:color="auto"/>
            </w:tcBorders>
            <w:shd w:val="clear" w:color="auto" w:fill="auto"/>
            <w:noWrap/>
            <w:vAlign w:val="bottom"/>
            <w:hideMark/>
          </w:tcPr>
          <w:p w14:paraId="42CCEE52"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43870</w:t>
            </w:r>
          </w:p>
        </w:tc>
        <w:tc>
          <w:tcPr>
            <w:tcW w:w="1307" w:type="dxa"/>
            <w:tcBorders>
              <w:top w:val="nil"/>
              <w:left w:val="nil"/>
              <w:bottom w:val="single" w:sz="8" w:space="0" w:color="auto"/>
              <w:right w:val="single" w:sz="4" w:space="0" w:color="auto"/>
            </w:tcBorders>
            <w:shd w:val="clear" w:color="auto" w:fill="auto"/>
            <w:noWrap/>
            <w:vAlign w:val="bottom"/>
            <w:hideMark/>
          </w:tcPr>
          <w:p w14:paraId="4ADF8639"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1068.288</w:t>
            </w:r>
          </w:p>
        </w:tc>
        <w:tc>
          <w:tcPr>
            <w:tcW w:w="1307" w:type="dxa"/>
            <w:tcBorders>
              <w:top w:val="single" w:sz="4" w:space="0" w:color="auto"/>
              <w:left w:val="single" w:sz="4" w:space="0" w:color="auto"/>
              <w:bottom w:val="single" w:sz="8" w:space="0" w:color="auto"/>
              <w:right w:val="single" w:sz="4" w:space="0" w:color="auto"/>
            </w:tcBorders>
            <w:shd w:val="clear" w:color="000000" w:fill="C6EFCE"/>
            <w:noWrap/>
            <w:vAlign w:val="bottom"/>
            <w:hideMark/>
          </w:tcPr>
          <w:p w14:paraId="7C2D08A7" w14:textId="77777777" w:rsidR="008B2804" w:rsidRPr="004A6666" w:rsidRDefault="008B2804" w:rsidP="002E143B">
            <w:pPr>
              <w:spacing w:after="0" w:line="240" w:lineRule="auto"/>
              <w:jc w:val="right"/>
              <w:rPr>
                <w:rFonts w:ascii="Calibri" w:eastAsia="Times New Roman" w:hAnsi="Calibri" w:cs="Calibri"/>
                <w:color w:val="006100"/>
                <w:lang w:eastAsia="en-GB"/>
              </w:rPr>
            </w:pPr>
            <w:r w:rsidRPr="004A6666">
              <w:rPr>
                <w:rFonts w:ascii="Calibri" w:eastAsia="Times New Roman" w:hAnsi="Calibri" w:cs="Calibri"/>
                <w:color w:val="006100"/>
                <w:lang w:eastAsia="en-GB"/>
              </w:rPr>
              <w:t>9.280211</w:t>
            </w:r>
          </w:p>
        </w:tc>
        <w:tc>
          <w:tcPr>
            <w:tcW w:w="1307" w:type="dxa"/>
            <w:tcBorders>
              <w:top w:val="nil"/>
              <w:left w:val="nil"/>
              <w:bottom w:val="single" w:sz="8" w:space="0" w:color="auto"/>
              <w:right w:val="single" w:sz="8" w:space="0" w:color="auto"/>
            </w:tcBorders>
            <w:shd w:val="clear" w:color="auto" w:fill="auto"/>
            <w:noWrap/>
            <w:vAlign w:val="bottom"/>
            <w:hideMark/>
          </w:tcPr>
          <w:p w14:paraId="66B1E79A" w14:textId="77777777" w:rsidR="008B2804" w:rsidRPr="004A6666" w:rsidRDefault="008B2804" w:rsidP="002E143B">
            <w:pPr>
              <w:spacing w:after="0" w:line="240" w:lineRule="auto"/>
              <w:jc w:val="right"/>
              <w:rPr>
                <w:rFonts w:ascii="Calibri" w:eastAsia="Times New Roman" w:hAnsi="Calibri" w:cs="Calibri"/>
                <w:color w:val="000000"/>
                <w:lang w:eastAsia="en-GB"/>
              </w:rPr>
            </w:pPr>
            <w:r w:rsidRPr="004A6666">
              <w:rPr>
                <w:rFonts w:ascii="Calibri" w:eastAsia="Times New Roman" w:hAnsi="Calibri" w:cs="Calibri"/>
                <w:color w:val="000000"/>
                <w:lang w:eastAsia="en-GB"/>
              </w:rPr>
              <w:t>1253.185</w:t>
            </w:r>
          </w:p>
        </w:tc>
      </w:tr>
    </w:tbl>
    <w:p w14:paraId="1F9C5D50"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128980B2" w14:textId="77777777" w:rsidR="009340A8" w:rsidRDefault="009340A8" w:rsidP="008B2804">
      <w:pPr>
        <w:spacing w:line="480" w:lineRule="auto"/>
        <w:jc w:val="both"/>
        <w:rPr>
          <w:rFonts w:ascii="Times New Roman" w:hAnsi="Times New Roman" w:cs="Times New Roman"/>
          <w:color w:val="000000" w:themeColor="text1"/>
          <w:sz w:val="24"/>
          <w:szCs w:val="24"/>
        </w:rPr>
      </w:pPr>
    </w:p>
    <w:p w14:paraId="680FD502" w14:textId="2E29569B" w:rsidR="0049607F" w:rsidRPr="0049607F" w:rsidRDefault="0049607F" w:rsidP="0049607F">
      <w:pPr>
        <w:pStyle w:val="Caption"/>
        <w:keepNext/>
        <w:rPr>
          <w:rFonts w:ascii="Times New Roman" w:hAnsi="Times New Roman" w:cs="Times New Roman"/>
          <w:color w:val="auto"/>
          <w:sz w:val="24"/>
          <w:szCs w:val="24"/>
        </w:rPr>
      </w:pPr>
      <w:r w:rsidRPr="0049607F">
        <w:rPr>
          <w:rFonts w:ascii="Times New Roman" w:hAnsi="Times New Roman" w:cs="Times New Roman"/>
          <w:color w:val="auto"/>
          <w:sz w:val="24"/>
          <w:szCs w:val="24"/>
        </w:rPr>
        <w:lastRenderedPageBreak/>
        <w:t>Table 2.4.4 distinguish (top of table) the case of the absolute values of log returns and those corresponding to either positive or negative log-return sign</w:t>
      </w:r>
    </w:p>
    <w:tbl>
      <w:tblPr>
        <w:tblW w:w="8745" w:type="dxa"/>
        <w:tblLook w:val="04A0" w:firstRow="1" w:lastRow="0" w:firstColumn="1" w:lastColumn="0" w:noHBand="0" w:noVBand="1"/>
      </w:tblPr>
      <w:tblGrid>
        <w:gridCol w:w="1214"/>
        <w:gridCol w:w="2622"/>
        <w:gridCol w:w="1144"/>
        <w:gridCol w:w="1255"/>
        <w:gridCol w:w="1255"/>
        <w:gridCol w:w="1255"/>
      </w:tblGrid>
      <w:tr w:rsidR="008B2804" w:rsidRPr="00277503" w14:paraId="0DBE9CDF" w14:textId="77777777" w:rsidTr="002E143B">
        <w:trPr>
          <w:trHeight w:val="371"/>
        </w:trPr>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5BB115F"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2622" w:type="dxa"/>
            <w:tcBorders>
              <w:top w:val="single" w:sz="8" w:space="0" w:color="auto"/>
              <w:left w:val="nil"/>
              <w:bottom w:val="single" w:sz="4" w:space="0" w:color="auto"/>
              <w:right w:val="single" w:sz="4" w:space="0" w:color="auto"/>
            </w:tcBorders>
            <w:shd w:val="clear" w:color="auto" w:fill="auto"/>
            <w:noWrap/>
            <w:vAlign w:val="bottom"/>
            <w:hideMark/>
          </w:tcPr>
          <w:p w14:paraId="34963245"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144" w:type="dxa"/>
            <w:tcBorders>
              <w:top w:val="single" w:sz="8" w:space="0" w:color="auto"/>
              <w:left w:val="nil"/>
              <w:bottom w:val="single" w:sz="4" w:space="0" w:color="auto"/>
              <w:right w:val="single" w:sz="4" w:space="0" w:color="auto"/>
            </w:tcBorders>
            <w:shd w:val="clear" w:color="auto" w:fill="auto"/>
            <w:noWrap/>
            <w:vAlign w:val="bottom"/>
            <w:hideMark/>
          </w:tcPr>
          <w:p w14:paraId="011342D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55" w:type="dxa"/>
            <w:tcBorders>
              <w:top w:val="single" w:sz="8" w:space="0" w:color="auto"/>
              <w:left w:val="nil"/>
              <w:bottom w:val="single" w:sz="4" w:space="0" w:color="auto"/>
              <w:right w:val="single" w:sz="4" w:space="0" w:color="auto"/>
            </w:tcBorders>
            <w:shd w:val="clear" w:color="auto" w:fill="auto"/>
            <w:noWrap/>
            <w:vAlign w:val="bottom"/>
            <w:hideMark/>
          </w:tcPr>
          <w:p w14:paraId="5AF89177"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chi_d1</w:t>
            </w:r>
          </w:p>
        </w:tc>
        <w:tc>
          <w:tcPr>
            <w:tcW w:w="1255" w:type="dxa"/>
            <w:tcBorders>
              <w:top w:val="single" w:sz="8" w:space="0" w:color="auto"/>
              <w:left w:val="nil"/>
              <w:bottom w:val="single" w:sz="4" w:space="0" w:color="auto"/>
              <w:right w:val="single" w:sz="4" w:space="0" w:color="auto"/>
            </w:tcBorders>
            <w:shd w:val="clear" w:color="auto" w:fill="auto"/>
            <w:noWrap/>
            <w:vAlign w:val="bottom"/>
            <w:hideMark/>
          </w:tcPr>
          <w:p w14:paraId="0CF16E22"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chi_d2</w:t>
            </w:r>
          </w:p>
        </w:tc>
        <w:tc>
          <w:tcPr>
            <w:tcW w:w="1255" w:type="dxa"/>
            <w:tcBorders>
              <w:top w:val="single" w:sz="8" w:space="0" w:color="auto"/>
              <w:left w:val="nil"/>
              <w:bottom w:val="single" w:sz="4" w:space="0" w:color="auto"/>
              <w:right w:val="single" w:sz="8" w:space="0" w:color="auto"/>
            </w:tcBorders>
            <w:shd w:val="clear" w:color="auto" w:fill="auto"/>
            <w:noWrap/>
            <w:vAlign w:val="bottom"/>
            <w:hideMark/>
          </w:tcPr>
          <w:p w14:paraId="251ABC82"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chi_d12</w:t>
            </w:r>
          </w:p>
        </w:tc>
      </w:tr>
      <w:tr w:rsidR="008B2804" w:rsidRPr="00277503" w14:paraId="2459CF1C" w14:textId="77777777" w:rsidTr="002E143B">
        <w:trPr>
          <w:trHeight w:val="390"/>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6494E217"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2622" w:type="dxa"/>
            <w:tcBorders>
              <w:top w:val="nil"/>
              <w:left w:val="nil"/>
              <w:bottom w:val="single" w:sz="8" w:space="0" w:color="auto"/>
              <w:right w:val="single" w:sz="4" w:space="0" w:color="auto"/>
            </w:tcBorders>
            <w:shd w:val="clear" w:color="auto" w:fill="auto"/>
            <w:noWrap/>
            <w:vAlign w:val="bottom"/>
            <w:hideMark/>
          </w:tcPr>
          <w:p w14:paraId="3EB26658"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xml:space="preserve">Chi </w:t>
            </w:r>
            <w:proofErr w:type="spellStart"/>
            <w:r w:rsidRPr="00277503">
              <w:rPr>
                <w:rFonts w:ascii="Calibri" w:eastAsia="Times New Roman" w:hAnsi="Calibri" w:cs="Calibri"/>
                <w:b/>
                <w:bCs/>
                <w:color w:val="000000"/>
                <w:lang w:eastAsia="en-GB"/>
              </w:rPr>
              <w:t>sq</w:t>
            </w:r>
            <w:proofErr w:type="spellEnd"/>
          </w:p>
        </w:tc>
        <w:tc>
          <w:tcPr>
            <w:tcW w:w="1144" w:type="dxa"/>
            <w:tcBorders>
              <w:top w:val="nil"/>
              <w:left w:val="nil"/>
              <w:bottom w:val="single" w:sz="8" w:space="0" w:color="auto"/>
              <w:right w:val="single" w:sz="4" w:space="0" w:color="auto"/>
            </w:tcBorders>
            <w:shd w:val="clear" w:color="auto" w:fill="auto"/>
            <w:noWrap/>
            <w:vAlign w:val="bottom"/>
            <w:hideMark/>
          </w:tcPr>
          <w:p w14:paraId="5D0D1D93"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55" w:type="dxa"/>
            <w:tcBorders>
              <w:top w:val="nil"/>
              <w:left w:val="nil"/>
              <w:bottom w:val="single" w:sz="8" w:space="0" w:color="auto"/>
              <w:right w:val="single" w:sz="4" w:space="0" w:color="auto"/>
            </w:tcBorders>
            <w:shd w:val="clear" w:color="auto" w:fill="auto"/>
            <w:noWrap/>
            <w:vAlign w:val="bottom"/>
            <w:hideMark/>
          </w:tcPr>
          <w:p w14:paraId="5B3487E9"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15.507</w:t>
            </w:r>
          </w:p>
        </w:tc>
        <w:tc>
          <w:tcPr>
            <w:tcW w:w="1255" w:type="dxa"/>
            <w:tcBorders>
              <w:top w:val="nil"/>
              <w:left w:val="nil"/>
              <w:bottom w:val="single" w:sz="8" w:space="0" w:color="auto"/>
              <w:right w:val="single" w:sz="4" w:space="0" w:color="auto"/>
            </w:tcBorders>
            <w:shd w:val="clear" w:color="auto" w:fill="auto"/>
            <w:noWrap/>
            <w:vAlign w:val="bottom"/>
            <w:hideMark/>
          </w:tcPr>
          <w:p w14:paraId="094EEAFC"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16.919</w:t>
            </w:r>
          </w:p>
        </w:tc>
        <w:tc>
          <w:tcPr>
            <w:tcW w:w="1255" w:type="dxa"/>
            <w:tcBorders>
              <w:top w:val="nil"/>
              <w:left w:val="nil"/>
              <w:bottom w:val="single" w:sz="8" w:space="0" w:color="auto"/>
              <w:right w:val="single" w:sz="8" w:space="0" w:color="auto"/>
            </w:tcBorders>
            <w:shd w:val="clear" w:color="auto" w:fill="auto"/>
            <w:noWrap/>
            <w:vAlign w:val="bottom"/>
            <w:hideMark/>
          </w:tcPr>
          <w:p w14:paraId="33998A42"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112.022</w:t>
            </w:r>
          </w:p>
        </w:tc>
      </w:tr>
      <w:tr w:rsidR="008B2804" w:rsidRPr="00277503" w14:paraId="103966B4"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246B2370"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chunk</w:t>
            </w:r>
          </w:p>
        </w:tc>
        <w:tc>
          <w:tcPr>
            <w:tcW w:w="2622" w:type="dxa"/>
            <w:tcBorders>
              <w:top w:val="nil"/>
              <w:left w:val="nil"/>
              <w:bottom w:val="single" w:sz="4" w:space="0" w:color="auto"/>
              <w:right w:val="single" w:sz="4" w:space="0" w:color="auto"/>
            </w:tcBorders>
            <w:shd w:val="clear" w:color="auto" w:fill="auto"/>
            <w:noWrap/>
            <w:vAlign w:val="bottom"/>
            <w:hideMark/>
          </w:tcPr>
          <w:p w14:paraId="3D3B575B" w14:textId="44B3FEB5" w:rsidR="008B2804" w:rsidRPr="00277503" w:rsidRDefault="00B06DC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T</w:t>
            </w:r>
            <w:r w:rsidR="008B2804" w:rsidRPr="00277503">
              <w:rPr>
                <w:rFonts w:ascii="Calibri" w:eastAsia="Times New Roman" w:hAnsi="Calibri" w:cs="Calibri"/>
                <w:b/>
                <w:bCs/>
                <w:color w:val="000000"/>
                <w:lang w:eastAsia="en-GB"/>
              </w:rPr>
              <w:t>ype</w:t>
            </w:r>
          </w:p>
        </w:tc>
        <w:tc>
          <w:tcPr>
            <w:tcW w:w="1144" w:type="dxa"/>
            <w:tcBorders>
              <w:top w:val="nil"/>
              <w:left w:val="nil"/>
              <w:bottom w:val="single" w:sz="4" w:space="0" w:color="auto"/>
              <w:right w:val="single" w:sz="4" w:space="0" w:color="auto"/>
            </w:tcBorders>
            <w:shd w:val="clear" w:color="auto" w:fill="auto"/>
            <w:noWrap/>
            <w:vAlign w:val="bottom"/>
            <w:hideMark/>
          </w:tcPr>
          <w:p w14:paraId="28930578"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N</w:t>
            </w:r>
          </w:p>
        </w:tc>
        <w:tc>
          <w:tcPr>
            <w:tcW w:w="1255" w:type="dxa"/>
            <w:tcBorders>
              <w:top w:val="nil"/>
              <w:left w:val="nil"/>
              <w:bottom w:val="single" w:sz="4" w:space="0" w:color="auto"/>
              <w:right w:val="single" w:sz="4" w:space="0" w:color="auto"/>
            </w:tcBorders>
            <w:shd w:val="clear" w:color="auto" w:fill="auto"/>
            <w:noWrap/>
            <w:vAlign w:val="bottom"/>
            <w:hideMark/>
          </w:tcPr>
          <w:p w14:paraId="2B45840B"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14:paraId="24E75D5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14:paraId="5AF55136"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r>
      <w:tr w:rsidR="008B2804" w:rsidRPr="00277503" w14:paraId="1B07558C"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0525B1F4"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LR_TOT+</w:t>
            </w:r>
          </w:p>
        </w:tc>
        <w:tc>
          <w:tcPr>
            <w:tcW w:w="2622" w:type="dxa"/>
            <w:tcBorders>
              <w:top w:val="nil"/>
              <w:left w:val="nil"/>
              <w:bottom w:val="single" w:sz="4" w:space="0" w:color="auto"/>
              <w:right w:val="single" w:sz="4" w:space="0" w:color="auto"/>
            </w:tcBorders>
            <w:shd w:val="clear" w:color="auto" w:fill="auto"/>
            <w:noWrap/>
            <w:vAlign w:val="bottom"/>
            <w:hideMark/>
          </w:tcPr>
          <w:p w14:paraId="122897B7"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TOT Log Ret +</w:t>
            </w:r>
          </w:p>
        </w:tc>
        <w:tc>
          <w:tcPr>
            <w:tcW w:w="1144" w:type="dxa"/>
            <w:tcBorders>
              <w:top w:val="nil"/>
              <w:left w:val="nil"/>
              <w:bottom w:val="single" w:sz="4" w:space="0" w:color="auto"/>
              <w:right w:val="single" w:sz="4" w:space="0" w:color="auto"/>
            </w:tcBorders>
            <w:shd w:val="clear" w:color="auto" w:fill="auto"/>
            <w:noWrap/>
            <w:vAlign w:val="bottom"/>
            <w:hideMark/>
          </w:tcPr>
          <w:p w14:paraId="3A50F231"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236084</w:t>
            </w:r>
          </w:p>
        </w:tc>
        <w:tc>
          <w:tcPr>
            <w:tcW w:w="1255" w:type="dxa"/>
            <w:tcBorders>
              <w:top w:val="nil"/>
              <w:left w:val="nil"/>
              <w:bottom w:val="single" w:sz="4" w:space="0" w:color="auto"/>
              <w:right w:val="single" w:sz="4" w:space="0" w:color="auto"/>
            </w:tcBorders>
            <w:shd w:val="clear" w:color="auto" w:fill="auto"/>
            <w:noWrap/>
            <w:vAlign w:val="bottom"/>
            <w:hideMark/>
          </w:tcPr>
          <w:p w14:paraId="4E6809C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3789.962</w:t>
            </w:r>
          </w:p>
        </w:tc>
        <w:tc>
          <w:tcPr>
            <w:tcW w:w="1255" w:type="dxa"/>
            <w:tcBorders>
              <w:top w:val="nil"/>
              <w:left w:val="nil"/>
              <w:bottom w:val="single" w:sz="4" w:space="0" w:color="auto"/>
              <w:right w:val="single" w:sz="4" w:space="0" w:color="auto"/>
            </w:tcBorders>
            <w:shd w:val="clear" w:color="auto" w:fill="auto"/>
            <w:noWrap/>
            <w:vAlign w:val="bottom"/>
            <w:hideMark/>
          </w:tcPr>
          <w:p w14:paraId="084D1309"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149.9528</w:t>
            </w:r>
          </w:p>
        </w:tc>
        <w:tc>
          <w:tcPr>
            <w:tcW w:w="1255" w:type="dxa"/>
            <w:tcBorders>
              <w:top w:val="nil"/>
              <w:left w:val="nil"/>
              <w:bottom w:val="single" w:sz="4" w:space="0" w:color="auto"/>
              <w:right w:val="single" w:sz="8" w:space="0" w:color="auto"/>
            </w:tcBorders>
            <w:shd w:val="clear" w:color="auto" w:fill="auto"/>
            <w:noWrap/>
            <w:vAlign w:val="bottom"/>
            <w:hideMark/>
          </w:tcPr>
          <w:p w14:paraId="0FDFE2AA"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4574.722</w:t>
            </w:r>
          </w:p>
        </w:tc>
      </w:tr>
      <w:tr w:rsidR="008B2804" w:rsidRPr="00277503" w14:paraId="0B368DA5"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0369A1C6"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w:t>
            </w:r>
          </w:p>
        </w:tc>
        <w:tc>
          <w:tcPr>
            <w:tcW w:w="2622" w:type="dxa"/>
            <w:tcBorders>
              <w:top w:val="nil"/>
              <w:left w:val="nil"/>
              <w:bottom w:val="single" w:sz="4" w:space="0" w:color="auto"/>
              <w:right w:val="single" w:sz="4" w:space="0" w:color="auto"/>
            </w:tcBorders>
            <w:shd w:val="clear" w:color="auto" w:fill="auto"/>
            <w:noWrap/>
            <w:vAlign w:val="bottom"/>
            <w:hideMark/>
          </w:tcPr>
          <w:p w14:paraId="066FC81B"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095C5681"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21311</w:t>
            </w:r>
          </w:p>
        </w:tc>
        <w:tc>
          <w:tcPr>
            <w:tcW w:w="1255" w:type="dxa"/>
            <w:tcBorders>
              <w:top w:val="nil"/>
              <w:left w:val="nil"/>
              <w:bottom w:val="single" w:sz="4" w:space="0" w:color="auto"/>
              <w:right w:val="single" w:sz="4" w:space="0" w:color="auto"/>
            </w:tcBorders>
            <w:shd w:val="clear" w:color="auto" w:fill="auto"/>
            <w:noWrap/>
            <w:vAlign w:val="bottom"/>
            <w:hideMark/>
          </w:tcPr>
          <w:p w14:paraId="366F4A29"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369.9884</w:t>
            </w:r>
          </w:p>
        </w:tc>
        <w:tc>
          <w:tcPr>
            <w:tcW w:w="1255" w:type="dxa"/>
            <w:tcBorders>
              <w:top w:val="nil"/>
              <w:left w:val="nil"/>
              <w:bottom w:val="single" w:sz="4" w:space="0" w:color="auto"/>
              <w:right w:val="single" w:sz="4" w:space="0" w:color="auto"/>
            </w:tcBorders>
            <w:shd w:val="clear" w:color="auto" w:fill="auto"/>
            <w:noWrap/>
            <w:vAlign w:val="bottom"/>
            <w:hideMark/>
          </w:tcPr>
          <w:p w14:paraId="667CE2A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33.55425</w:t>
            </w:r>
          </w:p>
        </w:tc>
        <w:tc>
          <w:tcPr>
            <w:tcW w:w="1255" w:type="dxa"/>
            <w:tcBorders>
              <w:top w:val="nil"/>
              <w:left w:val="nil"/>
              <w:bottom w:val="single" w:sz="4" w:space="0" w:color="auto"/>
              <w:right w:val="single" w:sz="8" w:space="0" w:color="auto"/>
            </w:tcBorders>
            <w:shd w:val="clear" w:color="auto" w:fill="auto"/>
            <w:noWrap/>
            <w:vAlign w:val="bottom"/>
            <w:hideMark/>
          </w:tcPr>
          <w:p w14:paraId="60111A9B"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519.4224</w:t>
            </w:r>
          </w:p>
        </w:tc>
      </w:tr>
      <w:tr w:rsidR="008B2804" w:rsidRPr="00277503" w14:paraId="13EE74D6"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46E4A48B"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LRV[II]</w:t>
            </w:r>
          </w:p>
        </w:tc>
        <w:tc>
          <w:tcPr>
            <w:tcW w:w="2622" w:type="dxa"/>
            <w:tcBorders>
              <w:top w:val="nil"/>
              <w:left w:val="nil"/>
              <w:bottom w:val="single" w:sz="4" w:space="0" w:color="auto"/>
              <w:right w:val="single" w:sz="4" w:space="0" w:color="auto"/>
            </w:tcBorders>
            <w:shd w:val="clear" w:color="auto" w:fill="auto"/>
            <w:noWrap/>
            <w:vAlign w:val="bottom"/>
            <w:hideMark/>
          </w:tcPr>
          <w:p w14:paraId="4C894BC7"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4A2CDE9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21312</w:t>
            </w:r>
          </w:p>
        </w:tc>
        <w:tc>
          <w:tcPr>
            <w:tcW w:w="1255" w:type="dxa"/>
            <w:tcBorders>
              <w:top w:val="nil"/>
              <w:left w:val="nil"/>
              <w:bottom w:val="single" w:sz="4" w:space="0" w:color="auto"/>
              <w:right w:val="single" w:sz="4" w:space="0" w:color="auto"/>
            </w:tcBorders>
            <w:shd w:val="clear" w:color="auto" w:fill="auto"/>
            <w:noWrap/>
            <w:vAlign w:val="bottom"/>
            <w:hideMark/>
          </w:tcPr>
          <w:p w14:paraId="36653E9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373.2466</w:t>
            </w:r>
          </w:p>
        </w:tc>
        <w:tc>
          <w:tcPr>
            <w:tcW w:w="1255" w:type="dxa"/>
            <w:tcBorders>
              <w:top w:val="nil"/>
              <w:left w:val="nil"/>
              <w:bottom w:val="single" w:sz="4" w:space="0" w:color="auto"/>
              <w:right w:val="single" w:sz="4" w:space="0" w:color="auto"/>
            </w:tcBorders>
            <w:shd w:val="clear" w:color="auto" w:fill="auto"/>
            <w:noWrap/>
            <w:vAlign w:val="bottom"/>
            <w:hideMark/>
          </w:tcPr>
          <w:p w14:paraId="652030D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24.99364</w:t>
            </w:r>
          </w:p>
        </w:tc>
        <w:tc>
          <w:tcPr>
            <w:tcW w:w="1255" w:type="dxa"/>
            <w:tcBorders>
              <w:top w:val="nil"/>
              <w:left w:val="nil"/>
              <w:bottom w:val="single" w:sz="4" w:space="0" w:color="auto"/>
              <w:right w:val="single" w:sz="8" w:space="0" w:color="auto"/>
            </w:tcBorders>
            <w:shd w:val="clear" w:color="auto" w:fill="auto"/>
            <w:noWrap/>
            <w:vAlign w:val="bottom"/>
            <w:hideMark/>
          </w:tcPr>
          <w:p w14:paraId="1EFE1168"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499.3249</w:t>
            </w:r>
          </w:p>
        </w:tc>
      </w:tr>
      <w:tr w:rsidR="008B2804" w:rsidRPr="00277503" w14:paraId="33D74927"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3E04F61B"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LRV[III]</w:t>
            </w:r>
          </w:p>
        </w:tc>
        <w:tc>
          <w:tcPr>
            <w:tcW w:w="2622" w:type="dxa"/>
            <w:tcBorders>
              <w:top w:val="nil"/>
              <w:left w:val="nil"/>
              <w:bottom w:val="single" w:sz="4" w:space="0" w:color="auto"/>
              <w:right w:val="single" w:sz="4" w:space="0" w:color="auto"/>
            </w:tcBorders>
            <w:shd w:val="clear" w:color="auto" w:fill="auto"/>
            <w:noWrap/>
            <w:vAlign w:val="bottom"/>
            <w:hideMark/>
          </w:tcPr>
          <w:p w14:paraId="5F6244C5"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57F52709"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21247</w:t>
            </w:r>
          </w:p>
        </w:tc>
        <w:tc>
          <w:tcPr>
            <w:tcW w:w="1255" w:type="dxa"/>
            <w:tcBorders>
              <w:top w:val="nil"/>
              <w:left w:val="nil"/>
              <w:bottom w:val="single" w:sz="4" w:space="0" w:color="auto"/>
              <w:right w:val="single" w:sz="4" w:space="0" w:color="auto"/>
            </w:tcBorders>
            <w:shd w:val="clear" w:color="auto" w:fill="auto"/>
            <w:noWrap/>
            <w:vAlign w:val="bottom"/>
            <w:hideMark/>
          </w:tcPr>
          <w:p w14:paraId="72E76C91"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557.745</w:t>
            </w:r>
          </w:p>
        </w:tc>
        <w:tc>
          <w:tcPr>
            <w:tcW w:w="1255" w:type="dxa"/>
            <w:tcBorders>
              <w:top w:val="nil"/>
              <w:left w:val="nil"/>
              <w:bottom w:val="single" w:sz="4" w:space="0" w:color="auto"/>
              <w:right w:val="single" w:sz="4" w:space="0" w:color="auto"/>
            </w:tcBorders>
            <w:shd w:val="clear" w:color="auto" w:fill="auto"/>
            <w:noWrap/>
            <w:vAlign w:val="bottom"/>
            <w:hideMark/>
          </w:tcPr>
          <w:p w14:paraId="333CF0E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24.95572</w:t>
            </w:r>
          </w:p>
        </w:tc>
        <w:tc>
          <w:tcPr>
            <w:tcW w:w="1255" w:type="dxa"/>
            <w:tcBorders>
              <w:top w:val="nil"/>
              <w:left w:val="nil"/>
              <w:bottom w:val="single" w:sz="4" w:space="0" w:color="auto"/>
              <w:right w:val="single" w:sz="8" w:space="0" w:color="auto"/>
            </w:tcBorders>
            <w:shd w:val="clear" w:color="auto" w:fill="auto"/>
            <w:noWrap/>
            <w:vAlign w:val="bottom"/>
            <w:hideMark/>
          </w:tcPr>
          <w:p w14:paraId="43F1F1D5"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683.7617</w:t>
            </w:r>
          </w:p>
        </w:tc>
      </w:tr>
      <w:tr w:rsidR="008B2804" w:rsidRPr="00277503" w14:paraId="2690784E"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651E2FA9"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LRV[IV]</w:t>
            </w:r>
          </w:p>
        </w:tc>
        <w:tc>
          <w:tcPr>
            <w:tcW w:w="2622" w:type="dxa"/>
            <w:tcBorders>
              <w:top w:val="nil"/>
              <w:left w:val="nil"/>
              <w:bottom w:val="single" w:sz="4" w:space="0" w:color="auto"/>
              <w:right w:val="single" w:sz="4" w:space="0" w:color="auto"/>
            </w:tcBorders>
            <w:shd w:val="clear" w:color="auto" w:fill="auto"/>
            <w:noWrap/>
            <w:vAlign w:val="bottom"/>
            <w:hideMark/>
          </w:tcPr>
          <w:p w14:paraId="52176612"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66B3AE28"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21194</w:t>
            </w:r>
          </w:p>
        </w:tc>
        <w:tc>
          <w:tcPr>
            <w:tcW w:w="1255" w:type="dxa"/>
            <w:tcBorders>
              <w:top w:val="nil"/>
              <w:left w:val="nil"/>
              <w:bottom w:val="single" w:sz="4" w:space="0" w:color="auto"/>
              <w:right w:val="single" w:sz="4" w:space="0" w:color="auto"/>
            </w:tcBorders>
            <w:shd w:val="clear" w:color="auto" w:fill="auto"/>
            <w:noWrap/>
            <w:vAlign w:val="bottom"/>
            <w:hideMark/>
          </w:tcPr>
          <w:p w14:paraId="162D2AC5"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409.5804</w:t>
            </w:r>
          </w:p>
        </w:tc>
        <w:tc>
          <w:tcPr>
            <w:tcW w:w="1255" w:type="dxa"/>
            <w:tcBorders>
              <w:top w:val="nil"/>
              <w:left w:val="nil"/>
              <w:bottom w:val="single" w:sz="4" w:space="0" w:color="auto"/>
              <w:right w:val="single" w:sz="4" w:space="0" w:color="auto"/>
            </w:tcBorders>
            <w:shd w:val="clear" w:color="auto" w:fill="auto"/>
            <w:noWrap/>
            <w:vAlign w:val="bottom"/>
            <w:hideMark/>
          </w:tcPr>
          <w:p w14:paraId="5DCE932B"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30.74787</w:t>
            </w:r>
          </w:p>
        </w:tc>
        <w:tc>
          <w:tcPr>
            <w:tcW w:w="1255" w:type="dxa"/>
            <w:tcBorders>
              <w:top w:val="nil"/>
              <w:left w:val="nil"/>
              <w:bottom w:val="single" w:sz="4" w:space="0" w:color="auto"/>
              <w:right w:val="single" w:sz="8" w:space="0" w:color="auto"/>
            </w:tcBorders>
            <w:shd w:val="clear" w:color="auto" w:fill="auto"/>
            <w:noWrap/>
            <w:vAlign w:val="bottom"/>
            <w:hideMark/>
          </w:tcPr>
          <w:p w14:paraId="58F0BD0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576.6392</w:t>
            </w:r>
          </w:p>
        </w:tc>
      </w:tr>
      <w:tr w:rsidR="008B2804" w:rsidRPr="00277503" w14:paraId="342F2234"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0F641C1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w:t>
            </w:r>
          </w:p>
        </w:tc>
        <w:tc>
          <w:tcPr>
            <w:tcW w:w="2622" w:type="dxa"/>
            <w:tcBorders>
              <w:top w:val="nil"/>
              <w:left w:val="nil"/>
              <w:bottom w:val="single" w:sz="4" w:space="0" w:color="auto"/>
              <w:right w:val="single" w:sz="4" w:space="0" w:color="auto"/>
            </w:tcBorders>
            <w:shd w:val="clear" w:color="auto" w:fill="auto"/>
            <w:noWrap/>
            <w:vAlign w:val="bottom"/>
            <w:hideMark/>
          </w:tcPr>
          <w:p w14:paraId="0E971480"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54FA1A1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21547</w:t>
            </w:r>
          </w:p>
        </w:tc>
        <w:tc>
          <w:tcPr>
            <w:tcW w:w="1255" w:type="dxa"/>
            <w:tcBorders>
              <w:top w:val="nil"/>
              <w:left w:val="nil"/>
              <w:bottom w:val="single" w:sz="4" w:space="0" w:color="auto"/>
              <w:right w:val="single" w:sz="4" w:space="0" w:color="auto"/>
            </w:tcBorders>
            <w:shd w:val="clear" w:color="auto" w:fill="auto"/>
            <w:noWrap/>
            <w:vAlign w:val="bottom"/>
            <w:hideMark/>
          </w:tcPr>
          <w:p w14:paraId="19C6AE0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469.6467</w:t>
            </w:r>
          </w:p>
        </w:tc>
        <w:tc>
          <w:tcPr>
            <w:tcW w:w="1255" w:type="dxa"/>
            <w:tcBorders>
              <w:top w:val="nil"/>
              <w:left w:val="nil"/>
              <w:bottom w:val="single" w:sz="4" w:space="0" w:color="auto"/>
              <w:right w:val="single" w:sz="4" w:space="0" w:color="auto"/>
            </w:tcBorders>
            <w:shd w:val="clear" w:color="auto" w:fill="auto"/>
            <w:noWrap/>
            <w:vAlign w:val="bottom"/>
            <w:hideMark/>
          </w:tcPr>
          <w:p w14:paraId="76102B8B"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26.69556</w:t>
            </w:r>
          </w:p>
        </w:tc>
        <w:tc>
          <w:tcPr>
            <w:tcW w:w="1255" w:type="dxa"/>
            <w:tcBorders>
              <w:top w:val="nil"/>
              <w:left w:val="nil"/>
              <w:bottom w:val="single" w:sz="4" w:space="0" w:color="auto"/>
              <w:right w:val="single" w:sz="8" w:space="0" w:color="auto"/>
            </w:tcBorders>
            <w:shd w:val="clear" w:color="auto" w:fill="auto"/>
            <w:noWrap/>
            <w:vAlign w:val="bottom"/>
            <w:hideMark/>
          </w:tcPr>
          <w:p w14:paraId="6563793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625.696</w:t>
            </w:r>
          </w:p>
        </w:tc>
      </w:tr>
      <w:tr w:rsidR="008B2804" w:rsidRPr="00277503" w14:paraId="45A113DA"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0F400733"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w:t>
            </w:r>
          </w:p>
        </w:tc>
        <w:tc>
          <w:tcPr>
            <w:tcW w:w="2622" w:type="dxa"/>
            <w:tcBorders>
              <w:top w:val="nil"/>
              <w:left w:val="nil"/>
              <w:bottom w:val="single" w:sz="4" w:space="0" w:color="auto"/>
              <w:right w:val="single" w:sz="4" w:space="0" w:color="auto"/>
            </w:tcBorders>
            <w:shd w:val="clear" w:color="auto" w:fill="auto"/>
            <w:noWrap/>
            <w:vAlign w:val="bottom"/>
            <w:hideMark/>
          </w:tcPr>
          <w:p w14:paraId="2660EEFE"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6FBD5A57"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21488</w:t>
            </w:r>
          </w:p>
        </w:tc>
        <w:tc>
          <w:tcPr>
            <w:tcW w:w="1255" w:type="dxa"/>
            <w:tcBorders>
              <w:top w:val="nil"/>
              <w:left w:val="nil"/>
              <w:bottom w:val="single" w:sz="4" w:space="0" w:color="auto"/>
              <w:right w:val="single" w:sz="4" w:space="0" w:color="auto"/>
            </w:tcBorders>
            <w:shd w:val="clear" w:color="auto" w:fill="auto"/>
            <w:noWrap/>
            <w:vAlign w:val="bottom"/>
            <w:hideMark/>
          </w:tcPr>
          <w:p w14:paraId="4E3FB42A"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388.0196</w:t>
            </w:r>
          </w:p>
        </w:tc>
        <w:tc>
          <w:tcPr>
            <w:tcW w:w="1255" w:type="dxa"/>
            <w:tcBorders>
              <w:top w:val="nil"/>
              <w:left w:val="nil"/>
              <w:bottom w:val="single" w:sz="4" w:space="0" w:color="auto"/>
              <w:right w:val="single" w:sz="4" w:space="0" w:color="auto"/>
            </w:tcBorders>
            <w:shd w:val="clear" w:color="auto" w:fill="auto"/>
            <w:noWrap/>
            <w:vAlign w:val="bottom"/>
            <w:hideMark/>
          </w:tcPr>
          <w:p w14:paraId="7CEF932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29.29325</w:t>
            </w:r>
          </w:p>
        </w:tc>
        <w:tc>
          <w:tcPr>
            <w:tcW w:w="1255" w:type="dxa"/>
            <w:tcBorders>
              <w:top w:val="nil"/>
              <w:left w:val="nil"/>
              <w:bottom w:val="single" w:sz="4" w:space="0" w:color="auto"/>
              <w:right w:val="single" w:sz="8" w:space="0" w:color="auto"/>
            </w:tcBorders>
            <w:shd w:val="clear" w:color="auto" w:fill="auto"/>
            <w:noWrap/>
            <w:vAlign w:val="bottom"/>
            <w:hideMark/>
          </w:tcPr>
          <w:p w14:paraId="0DEC846D"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530.044</w:t>
            </w:r>
          </w:p>
        </w:tc>
      </w:tr>
      <w:tr w:rsidR="008B2804" w:rsidRPr="00277503" w14:paraId="755B2596"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4F836C42"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LRV[VII]</w:t>
            </w:r>
          </w:p>
        </w:tc>
        <w:tc>
          <w:tcPr>
            <w:tcW w:w="2622" w:type="dxa"/>
            <w:tcBorders>
              <w:top w:val="nil"/>
              <w:left w:val="nil"/>
              <w:bottom w:val="single" w:sz="4" w:space="0" w:color="auto"/>
              <w:right w:val="single" w:sz="4" w:space="0" w:color="auto"/>
            </w:tcBorders>
            <w:shd w:val="clear" w:color="auto" w:fill="auto"/>
            <w:noWrap/>
            <w:vAlign w:val="bottom"/>
            <w:hideMark/>
          </w:tcPr>
          <w:p w14:paraId="7FDD068D"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5D51429C"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21383</w:t>
            </w:r>
          </w:p>
        </w:tc>
        <w:tc>
          <w:tcPr>
            <w:tcW w:w="1255" w:type="dxa"/>
            <w:tcBorders>
              <w:top w:val="nil"/>
              <w:left w:val="nil"/>
              <w:bottom w:val="single" w:sz="4" w:space="0" w:color="auto"/>
              <w:right w:val="single" w:sz="4" w:space="0" w:color="auto"/>
            </w:tcBorders>
            <w:shd w:val="clear" w:color="auto" w:fill="auto"/>
            <w:noWrap/>
            <w:vAlign w:val="bottom"/>
            <w:hideMark/>
          </w:tcPr>
          <w:p w14:paraId="1175506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417.3019</w:t>
            </w:r>
          </w:p>
        </w:tc>
        <w:tc>
          <w:tcPr>
            <w:tcW w:w="1255" w:type="dxa"/>
            <w:tcBorders>
              <w:top w:val="nil"/>
              <w:left w:val="nil"/>
              <w:bottom w:val="single" w:sz="4" w:space="0" w:color="auto"/>
              <w:right w:val="single" w:sz="4" w:space="0" w:color="auto"/>
            </w:tcBorders>
            <w:shd w:val="clear" w:color="auto" w:fill="auto"/>
            <w:noWrap/>
            <w:vAlign w:val="bottom"/>
            <w:hideMark/>
          </w:tcPr>
          <w:p w14:paraId="5C99A727"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23.70641</w:t>
            </w:r>
          </w:p>
        </w:tc>
        <w:tc>
          <w:tcPr>
            <w:tcW w:w="1255" w:type="dxa"/>
            <w:tcBorders>
              <w:top w:val="nil"/>
              <w:left w:val="nil"/>
              <w:bottom w:val="single" w:sz="4" w:space="0" w:color="auto"/>
              <w:right w:val="single" w:sz="8" w:space="0" w:color="auto"/>
            </w:tcBorders>
            <w:shd w:val="clear" w:color="auto" w:fill="auto"/>
            <w:noWrap/>
            <w:vAlign w:val="bottom"/>
            <w:hideMark/>
          </w:tcPr>
          <w:p w14:paraId="0DAE5E0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594.5901</w:t>
            </w:r>
          </w:p>
        </w:tc>
      </w:tr>
      <w:tr w:rsidR="008B2804" w:rsidRPr="00277503" w14:paraId="5859C6C2"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44BDD7EA"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LRV[VIII]</w:t>
            </w:r>
          </w:p>
        </w:tc>
        <w:tc>
          <w:tcPr>
            <w:tcW w:w="2622" w:type="dxa"/>
            <w:tcBorders>
              <w:top w:val="nil"/>
              <w:left w:val="nil"/>
              <w:bottom w:val="single" w:sz="4" w:space="0" w:color="auto"/>
              <w:right w:val="single" w:sz="4" w:space="0" w:color="auto"/>
            </w:tcBorders>
            <w:shd w:val="clear" w:color="auto" w:fill="auto"/>
            <w:noWrap/>
            <w:vAlign w:val="bottom"/>
            <w:hideMark/>
          </w:tcPr>
          <w:p w14:paraId="4210FF8E"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2128B25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21608</w:t>
            </w:r>
          </w:p>
        </w:tc>
        <w:tc>
          <w:tcPr>
            <w:tcW w:w="1255" w:type="dxa"/>
            <w:tcBorders>
              <w:top w:val="nil"/>
              <w:left w:val="nil"/>
              <w:bottom w:val="single" w:sz="4" w:space="0" w:color="auto"/>
              <w:right w:val="single" w:sz="4" w:space="0" w:color="auto"/>
            </w:tcBorders>
            <w:shd w:val="clear" w:color="auto" w:fill="auto"/>
            <w:noWrap/>
            <w:vAlign w:val="bottom"/>
            <w:hideMark/>
          </w:tcPr>
          <w:p w14:paraId="314F9A7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465.8416</w:t>
            </w:r>
          </w:p>
        </w:tc>
        <w:tc>
          <w:tcPr>
            <w:tcW w:w="1255" w:type="dxa"/>
            <w:tcBorders>
              <w:top w:val="nil"/>
              <w:left w:val="nil"/>
              <w:bottom w:val="single" w:sz="4" w:space="0" w:color="auto"/>
              <w:right w:val="single" w:sz="4" w:space="0" w:color="auto"/>
            </w:tcBorders>
            <w:shd w:val="clear" w:color="auto" w:fill="auto"/>
            <w:noWrap/>
            <w:vAlign w:val="bottom"/>
            <w:hideMark/>
          </w:tcPr>
          <w:p w14:paraId="55E48FC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18.30568</w:t>
            </w:r>
          </w:p>
        </w:tc>
        <w:tc>
          <w:tcPr>
            <w:tcW w:w="1255" w:type="dxa"/>
            <w:tcBorders>
              <w:top w:val="nil"/>
              <w:left w:val="nil"/>
              <w:bottom w:val="single" w:sz="4" w:space="0" w:color="auto"/>
              <w:right w:val="single" w:sz="8" w:space="0" w:color="auto"/>
            </w:tcBorders>
            <w:shd w:val="clear" w:color="auto" w:fill="auto"/>
            <w:noWrap/>
            <w:vAlign w:val="bottom"/>
            <w:hideMark/>
          </w:tcPr>
          <w:p w14:paraId="3C6DB8DD"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572.8814</w:t>
            </w:r>
          </w:p>
        </w:tc>
      </w:tr>
      <w:tr w:rsidR="008B2804" w:rsidRPr="00277503" w14:paraId="59E0B0A4"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072ADD77"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LRV[IX]</w:t>
            </w:r>
          </w:p>
        </w:tc>
        <w:tc>
          <w:tcPr>
            <w:tcW w:w="2622" w:type="dxa"/>
            <w:tcBorders>
              <w:top w:val="nil"/>
              <w:left w:val="nil"/>
              <w:bottom w:val="single" w:sz="4" w:space="0" w:color="auto"/>
              <w:right w:val="single" w:sz="4" w:space="0" w:color="auto"/>
            </w:tcBorders>
            <w:shd w:val="clear" w:color="auto" w:fill="auto"/>
            <w:noWrap/>
            <w:vAlign w:val="bottom"/>
            <w:hideMark/>
          </w:tcPr>
          <w:p w14:paraId="127EE1AB"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28A422E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21574</w:t>
            </w:r>
          </w:p>
        </w:tc>
        <w:tc>
          <w:tcPr>
            <w:tcW w:w="1255" w:type="dxa"/>
            <w:tcBorders>
              <w:top w:val="nil"/>
              <w:left w:val="nil"/>
              <w:bottom w:val="single" w:sz="4" w:space="0" w:color="auto"/>
              <w:right w:val="single" w:sz="4" w:space="0" w:color="auto"/>
            </w:tcBorders>
            <w:shd w:val="clear" w:color="auto" w:fill="auto"/>
            <w:noWrap/>
            <w:vAlign w:val="bottom"/>
            <w:hideMark/>
          </w:tcPr>
          <w:p w14:paraId="3BDAEFB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424.6637</w:t>
            </w:r>
          </w:p>
        </w:tc>
        <w:tc>
          <w:tcPr>
            <w:tcW w:w="125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92A7753"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14.23121</w:t>
            </w:r>
          </w:p>
        </w:tc>
        <w:tc>
          <w:tcPr>
            <w:tcW w:w="1255" w:type="dxa"/>
            <w:tcBorders>
              <w:top w:val="nil"/>
              <w:left w:val="nil"/>
              <w:bottom w:val="single" w:sz="4" w:space="0" w:color="auto"/>
              <w:right w:val="single" w:sz="8" w:space="0" w:color="auto"/>
            </w:tcBorders>
            <w:shd w:val="clear" w:color="auto" w:fill="auto"/>
            <w:noWrap/>
            <w:vAlign w:val="bottom"/>
            <w:hideMark/>
          </w:tcPr>
          <w:p w14:paraId="4D30881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585.9661</w:t>
            </w:r>
          </w:p>
        </w:tc>
      </w:tr>
      <w:tr w:rsidR="008B2804" w:rsidRPr="00277503" w14:paraId="4EF9459E" w14:textId="77777777" w:rsidTr="002E143B">
        <w:trPr>
          <w:trHeight w:val="371"/>
        </w:trPr>
        <w:tc>
          <w:tcPr>
            <w:tcW w:w="1214" w:type="dxa"/>
            <w:tcBorders>
              <w:top w:val="nil"/>
              <w:left w:val="single" w:sz="8" w:space="0" w:color="auto"/>
              <w:bottom w:val="single" w:sz="4" w:space="0" w:color="auto"/>
              <w:right w:val="single" w:sz="8" w:space="0" w:color="auto"/>
            </w:tcBorders>
            <w:shd w:val="clear" w:color="auto" w:fill="auto"/>
            <w:noWrap/>
            <w:vAlign w:val="bottom"/>
            <w:hideMark/>
          </w:tcPr>
          <w:p w14:paraId="1BE573D3"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LRV[X]</w:t>
            </w:r>
          </w:p>
        </w:tc>
        <w:tc>
          <w:tcPr>
            <w:tcW w:w="2622" w:type="dxa"/>
            <w:tcBorders>
              <w:top w:val="nil"/>
              <w:left w:val="nil"/>
              <w:bottom w:val="single" w:sz="4" w:space="0" w:color="auto"/>
              <w:right w:val="single" w:sz="4" w:space="0" w:color="auto"/>
            </w:tcBorders>
            <w:shd w:val="clear" w:color="auto" w:fill="auto"/>
            <w:noWrap/>
            <w:vAlign w:val="bottom"/>
            <w:hideMark/>
          </w:tcPr>
          <w:p w14:paraId="4C991CE0"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4" w:space="0" w:color="auto"/>
              <w:right w:val="single" w:sz="4" w:space="0" w:color="auto"/>
            </w:tcBorders>
            <w:shd w:val="clear" w:color="auto" w:fill="auto"/>
            <w:noWrap/>
            <w:vAlign w:val="bottom"/>
            <w:hideMark/>
          </w:tcPr>
          <w:p w14:paraId="28F5923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21649</w:t>
            </w:r>
          </w:p>
        </w:tc>
        <w:tc>
          <w:tcPr>
            <w:tcW w:w="1255" w:type="dxa"/>
            <w:tcBorders>
              <w:top w:val="nil"/>
              <w:left w:val="nil"/>
              <w:bottom w:val="single" w:sz="4" w:space="0" w:color="auto"/>
              <w:right w:val="single" w:sz="4" w:space="0" w:color="auto"/>
            </w:tcBorders>
            <w:shd w:val="clear" w:color="auto" w:fill="auto"/>
            <w:noWrap/>
            <w:vAlign w:val="bottom"/>
            <w:hideMark/>
          </w:tcPr>
          <w:p w14:paraId="6FF65351"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402.602</w:t>
            </w:r>
          </w:p>
        </w:tc>
        <w:tc>
          <w:tcPr>
            <w:tcW w:w="125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7E72B62"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13.34576</w:t>
            </w:r>
          </w:p>
        </w:tc>
        <w:tc>
          <w:tcPr>
            <w:tcW w:w="1255" w:type="dxa"/>
            <w:tcBorders>
              <w:top w:val="nil"/>
              <w:left w:val="nil"/>
              <w:bottom w:val="single" w:sz="4" w:space="0" w:color="auto"/>
              <w:right w:val="single" w:sz="8" w:space="0" w:color="auto"/>
            </w:tcBorders>
            <w:shd w:val="clear" w:color="auto" w:fill="auto"/>
            <w:noWrap/>
            <w:vAlign w:val="bottom"/>
            <w:hideMark/>
          </w:tcPr>
          <w:p w14:paraId="5A782A3D"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545.1732</w:t>
            </w:r>
          </w:p>
        </w:tc>
      </w:tr>
      <w:tr w:rsidR="008B2804" w:rsidRPr="00277503" w14:paraId="3CBA16A4" w14:textId="77777777" w:rsidTr="002E143B">
        <w:trPr>
          <w:trHeight w:val="390"/>
        </w:trPr>
        <w:tc>
          <w:tcPr>
            <w:tcW w:w="1214" w:type="dxa"/>
            <w:tcBorders>
              <w:top w:val="nil"/>
              <w:left w:val="single" w:sz="8" w:space="0" w:color="auto"/>
              <w:bottom w:val="single" w:sz="8" w:space="0" w:color="auto"/>
              <w:right w:val="single" w:sz="8" w:space="0" w:color="auto"/>
            </w:tcBorders>
            <w:shd w:val="clear" w:color="auto" w:fill="auto"/>
            <w:noWrap/>
            <w:vAlign w:val="bottom"/>
            <w:hideMark/>
          </w:tcPr>
          <w:p w14:paraId="4BF0A7F9"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LRV[XI]</w:t>
            </w:r>
          </w:p>
        </w:tc>
        <w:tc>
          <w:tcPr>
            <w:tcW w:w="2622" w:type="dxa"/>
            <w:tcBorders>
              <w:top w:val="nil"/>
              <w:left w:val="nil"/>
              <w:bottom w:val="single" w:sz="8" w:space="0" w:color="auto"/>
              <w:right w:val="single" w:sz="4" w:space="0" w:color="auto"/>
            </w:tcBorders>
            <w:shd w:val="clear" w:color="auto" w:fill="auto"/>
            <w:noWrap/>
            <w:vAlign w:val="bottom"/>
            <w:hideMark/>
          </w:tcPr>
          <w:p w14:paraId="6A68D2AC"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44" w:type="dxa"/>
            <w:tcBorders>
              <w:top w:val="nil"/>
              <w:left w:val="nil"/>
              <w:bottom w:val="single" w:sz="8" w:space="0" w:color="auto"/>
              <w:right w:val="single" w:sz="4" w:space="0" w:color="auto"/>
            </w:tcBorders>
            <w:shd w:val="clear" w:color="auto" w:fill="auto"/>
            <w:noWrap/>
            <w:vAlign w:val="bottom"/>
            <w:hideMark/>
          </w:tcPr>
          <w:p w14:paraId="5266FAC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21771</w:t>
            </w:r>
          </w:p>
        </w:tc>
        <w:tc>
          <w:tcPr>
            <w:tcW w:w="1255" w:type="dxa"/>
            <w:tcBorders>
              <w:top w:val="nil"/>
              <w:left w:val="nil"/>
              <w:bottom w:val="single" w:sz="8" w:space="0" w:color="auto"/>
              <w:right w:val="single" w:sz="4" w:space="0" w:color="auto"/>
            </w:tcBorders>
            <w:shd w:val="clear" w:color="auto" w:fill="auto"/>
            <w:noWrap/>
            <w:vAlign w:val="bottom"/>
            <w:hideMark/>
          </w:tcPr>
          <w:p w14:paraId="53B0A75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494.3357</w:t>
            </w:r>
          </w:p>
        </w:tc>
        <w:tc>
          <w:tcPr>
            <w:tcW w:w="1255" w:type="dxa"/>
            <w:tcBorders>
              <w:top w:val="single" w:sz="4" w:space="0" w:color="auto"/>
              <w:left w:val="single" w:sz="4" w:space="0" w:color="auto"/>
              <w:bottom w:val="single" w:sz="8" w:space="0" w:color="auto"/>
              <w:right w:val="single" w:sz="4" w:space="0" w:color="auto"/>
            </w:tcBorders>
            <w:shd w:val="clear" w:color="000000" w:fill="C6EFCE"/>
            <w:noWrap/>
            <w:vAlign w:val="bottom"/>
            <w:hideMark/>
          </w:tcPr>
          <w:p w14:paraId="3B11CEFD"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12.02638</w:t>
            </w:r>
          </w:p>
        </w:tc>
        <w:tc>
          <w:tcPr>
            <w:tcW w:w="1255" w:type="dxa"/>
            <w:tcBorders>
              <w:top w:val="nil"/>
              <w:left w:val="nil"/>
              <w:bottom w:val="single" w:sz="8" w:space="0" w:color="auto"/>
              <w:right w:val="single" w:sz="8" w:space="0" w:color="auto"/>
            </w:tcBorders>
            <w:shd w:val="clear" w:color="auto" w:fill="auto"/>
            <w:noWrap/>
            <w:vAlign w:val="bottom"/>
            <w:hideMark/>
          </w:tcPr>
          <w:p w14:paraId="353E93D5"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632.8762</w:t>
            </w:r>
          </w:p>
        </w:tc>
      </w:tr>
    </w:tbl>
    <w:p w14:paraId="4A035743" w14:textId="77777777" w:rsidR="008B2804" w:rsidRDefault="008B2804" w:rsidP="008B2804">
      <w:pPr>
        <w:spacing w:line="480" w:lineRule="auto"/>
        <w:jc w:val="both"/>
        <w:rPr>
          <w:rFonts w:ascii="Times New Roman" w:hAnsi="Times New Roman" w:cs="Times New Roman"/>
          <w:color w:val="000000" w:themeColor="text1"/>
          <w:sz w:val="24"/>
          <w:szCs w:val="24"/>
        </w:rPr>
      </w:pPr>
    </w:p>
    <w:tbl>
      <w:tblPr>
        <w:tblW w:w="8967" w:type="dxa"/>
        <w:tblLook w:val="04A0" w:firstRow="1" w:lastRow="0" w:firstColumn="1" w:lastColumn="0" w:noHBand="0" w:noVBand="1"/>
      </w:tblPr>
      <w:tblGrid>
        <w:gridCol w:w="1238"/>
        <w:gridCol w:w="2691"/>
        <w:gridCol w:w="1174"/>
        <w:gridCol w:w="1288"/>
        <w:gridCol w:w="1288"/>
        <w:gridCol w:w="1288"/>
      </w:tblGrid>
      <w:tr w:rsidR="008B2804" w:rsidRPr="00277503" w14:paraId="73654DDE" w14:textId="77777777" w:rsidTr="002E143B">
        <w:trPr>
          <w:trHeight w:val="353"/>
        </w:trPr>
        <w:tc>
          <w:tcPr>
            <w:tcW w:w="123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D377C54"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2691" w:type="dxa"/>
            <w:tcBorders>
              <w:top w:val="single" w:sz="8" w:space="0" w:color="auto"/>
              <w:left w:val="nil"/>
              <w:bottom w:val="single" w:sz="4" w:space="0" w:color="auto"/>
              <w:right w:val="single" w:sz="4" w:space="0" w:color="auto"/>
            </w:tcBorders>
            <w:shd w:val="clear" w:color="auto" w:fill="auto"/>
            <w:noWrap/>
            <w:vAlign w:val="bottom"/>
            <w:hideMark/>
          </w:tcPr>
          <w:p w14:paraId="54A99E4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174" w:type="dxa"/>
            <w:tcBorders>
              <w:top w:val="single" w:sz="8" w:space="0" w:color="auto"/>
              <w:left w:val="nil"/>
              <w:bottom w:val="single" w:sz="4" w:space="0" w:color="auto"/>
              <w:right w:val="single" w:sz="4" w:space="0" w:color="auto"/>
            </w:tcBorders>
            <w:shd w:val="clear" w:color="auto" w:fill="auto"/>
            <w:noWrap/>
            <w:vAlign w:val="bottom"/>
            <w:hideMark/>
          </w:tcPr>
          <w:p w14:paraId="0A2AA626"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88" w:type="dxa"/>
            <w:tcBorders>
              <w:top w:val="single" w:sz="8" w:space="0" w:color="auto"/>
              <w:left w:val="nil"/>
              <w:bottom w:val="single" w:sz="4" w:space="0" w:color="auto"/>
              <w:right w:val="single" w:sz="4" w:space="0" w:color="auto"/>
            </w:tcBorders>
            <w:shd w:val="clear" w:color="auto" w:fill="auto"/>
            <w:noWrap/>
            <w:vAlign w:val="bottom"/>
            <w:hideMark/>
          </w:tcPr>
          <w:p w14:paraId="2134BFC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chi_d1</w:t>
            </w:r>
          </w:p>
        </w:tc>
        <w:tc>
          <w:tcPr>
            <w:tcW w:w="1288" w:type="dxa"/>
            <w:tcBorders>
              <w:top w:val="single" w:sz="8" w:space="0" w:color="auto"/>
              <w:left w:val="nil"/>
              <w:bottom w:val="single" w:sz="4" w:space="0" w:color="auto"/>
              <w:right w:val="single" w:sz="4" w:space="0" w:color="auto"/>
            </w:tcBorders>
            <w:shd w:val="clear" w:color="auto" w:fill="auto"/>
            <w:noWrap/>
            <w:vAlign w:val="bottom"/>
            <w:hideMark/>
          </w:tcPr>
          <w:p w14:paraId="7FAEAD3A"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chi_d2</w:t>
            </w:r>
          </w:p>
        </w:tc>
        <w:tc>
          <w:tcPr>
            <w:tcW w:w="1288" w:type="dxa"/>
            <w:tcBorders>
              <w:top w:val="single" w:sz="8" w:space="0" w:color="auto"/>
              <w:left w:val="nil"/>
              <w:bottom w:val="single" w:sz="4" w:space="0" w:color="auto"/>
              <w:right w:val="single" w:sz="8" w:space="0" w:color="auto"/>
            </w:tcBorders>
            <w:shd w:val="clear" w:color="auto" w:fill="auto"/>
            <w:noWrap/>
            <w:vAlign w:val="bottom"/>
            <w:hideMark/>
          </w:tcPr>
          <w:p w14:paraId="6B388C25"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chi_d12</w:t>
            </w:r>
          </w:p>
        </w:tc>
      </w:tr>
      <w:tr w:rsidR="008B2804" w:rsidRPr="00277503" w14:paraId="30718838" w14:textId="77777777" w:rsidTr="002E143B">
        <w:trPr>
          <w:trHeight w:val="371"/>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14:paraId="1069232E"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2691" w:type="dxa"/>
            <w:tcBorders>
              <w:top w:val="nil"/>
              <w:left w:val="nil"/>
              <w:bottom w:val="single" w:sz="8" w:space="0" w:color="auto"/>
              <w:right w:val="single" w:sz="4" w:space="0" w:color="auto"/>
            </w:tcBorders>
            <w:shd w:val="clear" w:color="auto" w:fill="auto"/>
            <w:noWrap/>
            <w:vAlign w:val="bottom"/>
            <w:hideMark/>
          </w:tcPr>
          <w:p w14:paraId="2C7753FC"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xml:space="preserve">Chi </w:t>
            </w:r>
            <w:proofErr w:type="spellStart"/>
            <w:r w:rsidRPr="00277503">
              <w:rPr>
                <w:rFonts w:ascii="Calibri" w:eastAsia="Times New Roman" w:hAnsi="Calibri" w:cs="Calibri"/>
                <w:b/>
                <w:bCs/>
                <w:color w:val="000000"/>
                <w:lang w:eastAsia="en-GB"/>
              </w:rPr>
              <w:t>sq</w:t>
            </w:r>
            <w:proofErr w:type="spellEnd"/>
          </w:p>
        </w:tc>
        <w:tc>
          <w:tcPr>
            <w:tcW w:w="1174" w:type="dxa"/>
            <w:tcBorders>
              <w:top w:val="nil"/>
              <w:left w:val="nil"/>
              <w:bottom w:val="single" w:sz="8" w:space="0" w:color="auto"/>
              <w:right w:val="single" w:sz="4" w:space="0" w:color="auto"/>
            </w:tcBorders>
            <w:shd w:val="clear" w:color="auto" w:fill="auto"/>
            <w:noWrap/>
            <w:vAlign w:val="bottom"/>
            <w:hideMark/>
          </w:tcPr>
          <w:p w14:paraId="78DDADD4"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 </w:t>
            </w:r>
          </w:p>
        </w:tc>
        <w:tc>
          <w:tcPr>
            <w:tcW w:w="1288" w:type="dxa"/>
            <w:tcBorders>
              <w:top w:val="nil"/>
              <w:left w:val="nil"/>
              <w:bottom w:val="single" w:sz="8" w:space="0" w:color="auto"/>
              <w:right w:val="single" w:sz="4" w:space="0" w:color="auto"/>
            </w:tcBorders>
            <w:shd w:val="clear" w:color="auto" w:fill="auto"/>
            <w:noWrap/>
            <w:vAlign w:val="bottom"/>
            <w:hideMark/>
          </w:tcPr>
          <w:p w14:paraId="6B62A290"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15.507</w:t>
            </w:r>
          </w:p>
        </w:tc>
        <w:tc>
          <w:tcPr>
            <w:tcW w:w="1288" w:type="dxa"/>
            <w:tcBorders>
              <w:top w:val="nil"/>
              <w:left w:val="nil"/>
              <w:bottom w:val="single" w:sz="8" w:space="0" w:color="auto"/>
              <w:right w:val="single" w:sz="4" w:space="0" w:color="auto"/>
            </w:tcBorders>
            <w:shd w:val="clear" w:color="auto" w:fill="auto"/>
            <w:noWrap/>
            <w:vAlign w:val="bottom"/>
            <w:hideMark/>
          </w:tcPr>
          <w:p w14:paraId="42035497"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16.919</w:t>
            </w:r>
          </w:p>
        </w:tc>
        <w:tc>
          <w:tcPr>
            <w:tcW w:w="1288" w:type="dxa"/>
            <w:tcBorders>
              <w:top w:val="nil"/>
              <w:left w:val="nil"/>
              <w:bottom w:val="single" w:sz="8" w:space="0" w:color="auto"/>
              <w:right w:val="single" w:sz="8" w:space="0" w:color="auto"/>
            </w:tcBorders>
            <w:shd w:val="clear" w:color="auto" w:fill="auto"/>
            <w:noWrap/>
            <w:vAlign w:val="bottom"/>
            <w:hideMark/>
          </w:tcPr>
          <w:p w14:paraId="14D0FC73" w14:textId="77777777" w:rsidR="008B2804" w:rsidRPr="00277503" w:rsidRDefault="008B2804" w:rsidP="002E143B">
            <w:pPr>
              <w:spacing w:after="0" w:line="240" w:lineRule="auto"/>
              <w:jc w:val="right"/>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112.022</w:t>
            </w:r>
          </w:p>
        </w:tc>
      </w:tr>
      <w:tr w:rsidR="008B2804" w:rsidRPr="00277503" w14:paraId="1B63144F"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0E8387EA"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chunk</w:t>
            </w:r>
          </w:p>
        </w:tc>
        <w:tc>
          <w:tcPr>
            <w:tcW w:w="2691" w:type="dxa"/>
            <w:tcBorders>
              <w:top w:val="nil"/>
              <w:left w:val="nil"/>
              <w:bottom w:val="single" w:sz="4" w:space="0" w:color="auto"/>
              <w:right w:val="single" w:sz="4" w:space="0" w:color="auto"/>
            </w:tcBorders>
            <w:shd w:val="clear" w:color="auto" w:fill="auto"/>
            <w:noWrap/>
            <w:vAlign w:val="bottom"/>
            <w:hideMark/>
          </w:tcPr>
          <w:p w14:paraId="6701DEFE" w14:textId="3B77D2E9" w:rsidR="008B2804" w:rsidRPr="00277503" w:rsidRDefault="00B06DC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T</w:t>
            </w:r>
            <w:r w:rsidR="008B2804" w:rsidRPr="00277503">
              <w:rPr>
                <w:rFonts w:ascii="Calibri" w:eastAsia="Times New Roman" w:hAnsi="Calibri" w:cs="Calibri"/>
                <w:color w:val="000000"/>
                <w:lang w:eastAsia="en-GB"/>
              </w:rPr>
              <w:t>ype</w:t>
            </w:r>
          </w:p>
        </w:tc>
        <w:tc>
          <w:tcPr>
            <w:tcW w:w="1174" w:type="dxa"/>
            <w:tcBorders>
              <w:top w:val="nil"/>
              <w:left w:val="nil"/>
              <w:bottom w:val="single" w:sz="4" w:space="0" w:color="auto"/>
              <w:right w:val="single" w:sz="4" w:space="0" w:color="auto"/>
            </w:tcBorders>
            <w:shd w:val="clear" w:color="auto" w:fill="auto"/>
            <w:noWrap/>
            <w:vAlign w:val="bottom"/>
            <w:hideMark/>
          </w:tcPr>
          <w:p w14:paraId="4DD49EF3"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N</w:t>
            </w:r>
          </w:p>
        </w:tc>
        <w:tc>
          <w:tcPr>
            <w:tcW w:w="1288" w:type="dxa"/>
            <w:tcBorders>
              <w:top w:val="nil"/>
              <w:left w:val="nil"/>
              <w:bottom w:val="single" w:sz="4" w:space="0" w:color="auto"/>
              <w:right w:val="single" w:sz="4" w:space="0" w:color="auto"/>
            </w:tcBorders>
            <w:shd w:val="clear" w:color="auto" w:fill="auto"/>
            <w:noWrap/>
            <w:vAlign w:val="bottom"/>
            <w:hideMark/>
          </w:tcPr>
          <w:p w14:paraId="70E2A099"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 </w:t>
            </w:r>
          </w:p>
        </w:tc>
        <w:tc>
          <w:tcPr>
            <w:tcW w:w="1288" w:type="dxa"/>
            <w:tcBorders>
              <w:top w:val="nil"/>
              <w:left w:val="nil"/>
              <w:bottom w:val="single" w:sz="4" w:space="0" w:color="auto"/>
              <w:right w:val="single" w:sz="4" w:space="0" w:color="auto"/>
            </w:tcBorders>
            <w:shd w:val="clear" w:color="auto" w:fill="auto"/>
            <w:noWrap/>
            <w:vAlign w:val="bottom"/>
            <w:hideMark/>
          </w:tcPr>
          <w:p w14:paraId="413802FF"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 </w:t>
            </w:r>
          </w:p>
        </w:tc>
        <w:tc>
          <w:tcPr>
            <w:tcW w:w="1288" w:type="dxa"/>
            <w:tcBorders>
              <w:top w:val="nil"/>
              <w:left w:val="nil"/>
              <w:bottom w:val="single" w:sz="4" w:space="0" w:color="auto"/>
              <w:right w:val="single" w:sz="8" w:space="0" w:color="auto"/>
            </w:tcBorders>
            <w:shd w:val="clear" w:color="auto" w:fill="auto"/>
            <w:noWrap/>
            <w:vAlign w:val="bottom"/>
            <w:hideMark/>
          </w:tcPr>
          <w:p w14:paraId="1CD7BC64"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 </w:t>
            </w:r>
          </w:p>
        </w:tc>
      </w:tr>
      <w:tr w:rsidR="008B2804" w:rsidRPr="00277503" w14:paraId="6ACC2907"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430ED538"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LR_TOT-</w:t>
            </w:r>
          </w:p>
        </w:tc>
        <w:tc>
          <w:tcPr>
            <w:tcW w:w="2691" w:type="dxa"/>
            <w:tcBorders>
              <w:top w:val="nil"/>
              <w:left w:val="nil"/>
              <w:bottom w:val="single" w:sz="4" w:space="0" w:color="auto"/>
              <w:right w:val="single" w:sz="4" w:space="0" w:color="auto"/>
            </w:tcBorders>
            <w:shd w:val="clear" w:color="auto" w:fill="auto"/>
            <w:noWrap/>
            <w:vAlign w:val="bottom"/>
            <w:hideMark/>
          </w:tcPr>
          <w:p w14:paraId="2B1699DD"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TOT Log Ret -</w:t>
            </w:r>
          </w:p>
        </w:tc>
        <w:tc>
          <w:tcPr>
            <w:tcW w:w="1174" w:type="dxa"/>
            <w:tcBorders>
              <w:top w:val="nil"/>
              <w:left w:val="nil"/>
              <w:bottom w:val="single" w:sz="4" w:space="0" w:color="auto"/>
              <w:right w:val="single" w:sz="4" w:space="0" w:color="auto"/>
            </w:tcBorders>
            <w:shd w:val="clear" w:color="auto" w:fill="auto"/>
            <w:noWrap/>
            <w:vAlign w:val="bottom"/>
            <w:hideMark/>
          </w:tcPr>
          <w:p w14:paraId="1D1988E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245653</w:t>
            </w:r>
          </w:p>
        </w:tc>
        <w:tc>
          <w:tcPr>
            <w:tcW w:w="1288" w:type="dxa"/>
            <w:tcBorders>
              <w:top w:val="nil"/>
              <w:left w:val="nil"/>
              <w:bottom w:val="single" w:sz="4" w:space="0" w:color="auto"/>
              <w:right w:val="single" w:sz="4" w:space="0" w:color="auto"/>
            </w:tcBorders>
            <w:shd w:val="clear" w:color="auto" w:fill="auto"/>
            <w:noWrap/>
            <w:vAlign w:val="bottom"/>
            <w:hideMark/>
          </w:tcPr>
          <w:p w14:paraId="77A6DD89"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5163.392</w:t>
            </w:r>
          </w:p>
        </w:tc>
        <w:tc>
          <w:tcPr>
            <w:tcW w:w="1288" w:type="dxa"/>
            <w:tcBorders>
              <w:top w:val="nil"/>
              <w:left w:val="nil"/>
              <w:bottom w:val="single" w:sz="4" w:space="0" w:color="auto"/>
              <w:right w:val="single" w:sz="4" w:space="0" w:color="auto"/>
            </w:tcBorders>
            <w:shd w:val="clear" w:color="auto" w:fill="auto"/>
            <w:noWrap/>
            <w:vAlign w:val="bottom"/>
            <w:hideMark/>
          </w:tcPr>
          <w:p w14:paraId="578DD11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98.72612</w:t>
            </w:r>
          </w:p>
        </w:tc>
        <w:tc>
          <w:tcPr>
            <w:tcW w:w="1288" w:type="dxa"/>
            <w:tcBorders>
              <w:top w:val="nil"/>
              <w:left w:val="nil"/>
              <w:bottom w:val="single" w:sz="4" w:space="0" w:color="auto"/>
              <w:right w:val="single" w:sz="8" w:space="0" w:color="auto"/>
            </w:tcBorders>
            <w:shd w:val="clear" w:color="auto" w:fill="auto"/>
            <w:noWrap/>
            <w:vAlign w:val="bottom"/>
            <w:hideMark/>
          </w:tcPr>
          <w:p w14:paraId="769C71F1"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6025.158</w:t>
            </w:r>
          </w:p>
        </w:tc>
      </w:tr>
      <w:tr w:rsidR="008B2804" w:rsidRPr="00277503" w14:paraId="5FA561CD"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354EE2C3"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w:t>
            </w:r>
          </w:p>
        </w:tc>
        <w:tc>
          <w:tcPr>
            <w:tcW w:w="2691" w:type="dxa"/>
            <w:tcBorders>
              <w:top w:val="nil"/>
              <w:left w:val="nil"/>
              <w:bottom w:val="single" w:sz="4" w:space="0" w:color="auto"/>
              <w:right w:val="single" w:sz="4" w:space="0" w:color="auto"/>
            </w:tcBorders>
            <w:shd w:val="clear" w:color="auto" w:fill="auto"/>
            <w:noWrap/>
            <w:vAlign w:val="bottom"/>
            <w:hideMark/>
          </w:tcPr>
          <w:p w14:paraId="2E5E1800"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6ACB849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22466</w:t>
            </w:r>
          </w:p>
        </w:tc>
        <w:tc>
          <w:tcPr>
            <w:tcW w:w="1288" w:type="dxa"/>
            <w:tcBorders>
              <w:top w:val="nil"/>
              <w:left w:val="nil"/>
              <w:bottom w:val="single" w:sz="4" w:space="0" w:color="auto"/>
              <w:right w:val="single" w:sz="4" w:space="0" w:color="auto"/>
            </w:tcBorders>
            <w:shd w:val="clear" w:color="auto" w:fill="auto"/>
            <w:noWrap/>
            <w:vAlign w:val="bottom"/>
            <w:hideMark/>
          </w:tcPr>
          <w:p w14:paraId="1CA9EDAC"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625.6019</w:t>
            </w:r>
          </w:p>
        </w:tc>
        <w:tc>
          <w:tcPr>
            <w:tcW w:w="128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E0F931C"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11.4837</w:t>
            </w:r>
          </w:p>
        </w:tc>
        <w:tc>
          <w:tcPr>
            <w:tcW w:w="1288" w:type="dxa"/>
            <w:tcBorders>
              <w:top w:val="nil"/>
              <w:left w:val="nil"/>
              <w:bottom w:val="single" w:sz="4" w:space="0" w:color="auto"/>
              <w:right w:val="single" w:sz="8" w:space="0" w:color="auto"/>
            </w:tcBorders>
            <w:shd w:val="clear" w:color="auto" w:fill="auto"/>
            <w:noWrap/>
            <w:vAlign w:val="bottom"/>
            <w:hideMark/>
          </w:tcPr>
          <w:p w14:paraId="768B78C7"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749.1347</w:t>
            </w:r>
          </w:p>
        </w:tc>
      </w:tr>
      <w:tr w:rsidR="008B2804" w:rsidRPr="00277503" w14:paraId="4CD97FE6"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66A5EAE2"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LRV[II]</w:t>
            </w:r>
          </w:p>
        </w:tc>
        <w:tc>
          <w:tcPr>
            <w:tcW w:w="2691" w:type="dxa"/>
            <w:tcBorders>
              <w:top w:val="nil"/>
              <w:left w:val="nil"/>
              <w:bottom w:val="single" w:sz="4" w:space="0" w:color="auto"/>
              <w:right w:val="single" w:sz="4" w:space="0" w:color="auto"/>
            </w:tcBorders>
            <w:shd w:val="clear" w:color="auto" w:fill="auto"/>
            <w:noWrap/>
            <w:vAlign w:val="bottom"/>
            <w:hideMark/>
          </w:tcPr>
          <w:p w14:paraId="0630D225"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19FA9A7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22315</w:t>
            </w:r>
          </w:p>
        </w:tc>
        <w:tc>
          <w:tcPr>
            <w:tcW w:w="1288" w:type="dxa"/>
            <w:tcBorders>
              <w:top w:val="nil"/>
              <w:left w:val="nil"/>
              <w:bottom w:val="single" w:sz="4" w:space="0" w:color="auto"/>
              <w:right w:val="single" w:sz="4" w:space="0" w:color="auto"/>
            </w:tcBorders>
            <w:shd w:val="clear" w:color="auto" w:fill="auto"/>
            <w:noWrap/>
            <w:vAlign w:val="bottom"/>
            <w:hideMark/>
          </w:tcPr>
          <w:p w14:paraId="3E0412C8"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449.9112</w:t>
            </w:r>
          </w:p>
        </w:tc>
        <w:tc>
          <w:tcPr>
            <w:tcW w:w="128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D5156CD"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11.90237</w:t>
            </w:r>
          </w:p>
        </w:tc>
        <w:tc>
          <w:tcPr>
            <w:tcW w:w="1288" w:type="dxa"/>
            <w:tcBorders>
              <w:top w:val="nil"/>
              <w:left w:val="nil"/>
              <w:bottom w:val="single" w:sz="4" w:space="0" w:color="auto"/>
              <w:right w:val="single" w:sz="8" w:space="0" w:color="auto"/>
            </w:tcBorders>
            <w:shd w:val="clear" w:color="auto" w:fill="auto"/>
            <w:noWrap/>
            <w:vAlign w:val="bottom"/>
            <w:hideMark/>
          </w:tcPr>
          <w:p w14:paraId="747BCFA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608.2338</w:t>
            </w:r>
          </w:p>
        </w:tc>
      </w:tr>
      <w:tr w:rsidR="008B2804" w:rsidRPr="00277503" w14:paraId="3FDCA65D"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4F0C72BF"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LRV[III]</w:t>
            </w:r>
          </w:p>
        </w:tc>
        <w:tc>
          <w:tcPr>
            <w:tcW w:w="2691" w:type="dxa"/>
            <w:tcBorders>
              <w:top w:val="nil"/>
              <w:left w:val="nil"/>
              <w:bottom w:val="single" w:sz="4" w:space="0" w:color="auto"/>
              <w:right w:val="single" w:sz="4" w:space="0" w:color="auto"/>
            </w:tcBorders>
            <w:shd w:val="clear" w:color="auto" w:fill="auto"/>
            <w:noWrap/>
            <w:vAlign w:val="bottom"/>
            <w:hideMark/>
          </w:tcPr>
          <w:p w14:paraId="2B9ADB36"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6ED8679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22564</w:t>
            </w:r>
          </w:p>
        </w:tc>
        <w:tc>
          <w:tcPr>
            <w:tcW w:w="1288" w:type="dxa"/>
            <w:tcBorders>
              <w:top w:val="nil"/>
              <w:left w:val="nil"/>
              <w:bottom w:val="single" w:sz="4" w:space="0" w:color="auto"/>
              <w:right w:val="single" w:sz="4" w:space="0" w:color="auto"/>
            </w:tcBorders>
            <w:shd w:val="clear" w:color="auto" w:fill="auto"/>
            <w:noWrap/>
            <w:vAlign w:val="bottom"/>
            <w:hideMark/>
          </w:tcPr>
          <w:p w14:paraId="7F0A851C"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530.5809</w:t>
            </w:r>
          </w:p>
        </w:tc>
        <w:tc>
          <w:tcPr>
            <w:tcW w:w="1288" w:type="dxa"/>
            <w:tcBorders>
              <w:top w:val="nil"/>
              <w:left w:val="nil"/>
              <w:bottom w:val="single" w:sz="4" w:space="0" w:color="auto"/>
              <w:right w:val="single" w:sz="4" w:space="0" w:color="auto"/>
            </w:tcBorders>
            <w:shd w:val="clear" w:color="auto" w:fill="auto"/>
            <w:noWrap/>
            <w:vAlign w:val="bottom"/>
            <w:hideMark/>
          </w:tcPr>
          <w:p w14:paraId="51A1763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25.42897</w:t>
            </w:r>
          </w:p>
        </w:tc>
        <w:tc>
          <w:tcPr>
            <w:tcW w:w="1288" w:type="dxa"/>
            <w:tcBorders>
              <w:top w:val="nil"/>
              <w:left w:val="nil"/>
              <w:bottom w:val="single" w:sz="4" w:space="0" w:color="auto"/>
              <w:right w:val="single" w:sz="8" w:space="0" w:color="auto"/>
            </w:tcBorders>
            <w:shd w:val="clear" w:color="auto" w:fill="auto"/>
            <w:noWrap/>
            <w:vAlign w:val="bottom"/>
            <w:hideMark/>
          </w:tcPr>
          <w:p w14:paraId="3A3FE26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672.0921</w:t>
            </w:r>
          </w:p>
        </w:tc>
      </w:tr>
      <w:tr w:rsidR="008B2804" w:rsidRPr="00277503" w14:paraId="4AE9A075"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0EE712AF"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LRV[IV]</w:t>
            </w:r>
          </w:p>
        </w:tc>
        <w:tc>
          <w:tcPr>
            <w:tcW w:w="2691" w:type="dxa"/>
            <w:tcBorders>
              <w:top w:val="nil"/>
              <w:left w:val="nil"/>
              <w:bottom w:val="single" w:sz="4" w:space="0" w:color="auto"/>
              <w:right w:val="single" w:sz="4" w:space="0" w:color="auto"/>
            </w:tcBorders>
            <w:shd w:val="clear" w:color="auto" w:fill="auto"/>
            <w:noWrap/>
            <w:vAlign w:val="bottom"/>
            <w:hideMark/>
          </w:tcPr>
          <w:p w14:paraId="51C46F55"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77EFECB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22422</w:t>
            </w:r>
          </w:p>
        </w:tc>
        <w:tc>
          <w:tcPr>
            <w:tcW w:w="1288" w:type="dxa"/>
            <w:tcBorders>
              <w:top w:val="nil"/>
              <w:left w:val="nil"/>
              <w:bottom w:val="single" w:sz="4" w:space="0" w:color="auto"/>
              <w:right w:val="single" w:sz="4" w:space="0" w:color="auto"/>
            </w:tcBorders>
            <w:shd w:val="clear" w:color="auto" w:fill="auto"/>
            <w:noWrap/>
            <w:vAlign w:val="bottom"/>
            <w:hideMark/>
          </w:tcPr>
          <w:p w14:paraId="4A590458"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623.1925</w:t>
            </w:r>
          </w:p>
        </w:tc>
        <w:tc>
          <w:tcPr>
            <w:tcW w:w="1288" w:type="dxa"/>
            <w:tcBorders>
              <w:top w:val="nil"/>
              <w:left w:val="nil"/>
              <w:bottom w:val="single" w:sz="4" w:space="0" w:color="auto"/>
              <w:right w:val="single" w:sz="4" w:space="0" w:color="auto"/>
            </w:tcBorders>
            <w:shd w:val="clear" w:color="auto" w:fill="auto"/>
            <w:noWrap/>
            <w:vAlign w:val="bottom"/>
            <w:hideMark/>
          </w:tcPr>
          <w:p w14:paraId="5408721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18.85329</w:t>
            </w:r>
          </w:p>
        </w:tc>
        <w:tc>
          <w:tcPr>
            <w:tcW w:w="1288" w:type="dxa"/>
            <w:tcBorders>
              <w:top w:val="nil"/>
              <w:left w:val="nil"/>
              <w:bottom w:val="single" w:sz="4" w:space="0" w:color="auto"/>
              <w:right w:val="single" w:sz="8" w:space="0" w:color="auto"/>
            </w:tcBorders>
            <w:shd w:val="clear" w:color="auto" w:fill="auto"/>
            <w:noWrap/>
            <w:vAlign w:val="bottom"/>
            <w:hideMark/>
          </w:tcPr>
          <w:p w14:paraId="630ED40B"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794.6152</w:t>
            </w:r>
          </w:p>
        </w:tc>
      </w:tr>
      <w:tr w:rsidR="008B2804" w:rsidRPr="00277503" w14:paraId="47CBE7F4"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7FBD8902"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w:t>
            </w:r>
          </w:p>
        </w:tc>
        <w:tc>
          <w:tcPr>
            <w:tcW w:w="2691" w:type="dxa"/>
            <w:tcBorders>
              <w:top w:val="nil"/>
              <w:left w:val="nil"/>
              <w:bottom w:val="single" w:sz="4" w:space="0" w:color="auto"/>
              <w:right w:val="single" w:sz="4" w:space="0" w:color="auto"/>
            </w:tcBorders>
            <w:shd w:val="clear" w:color="auto" w:fill="auto"/>
            <w:noWrap/>
            <w:vAlign w:val="bottom"/>
            <w:hideMark/>
          </w:tcPr>
          <w:p w14:paraId="253E1022"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58FDAC4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22427</w:t>
            </w:r>
          </w:p>
        </w:tc>
        <w:tc>
          <w:tcPr>
            <w:tcW w:w="1288" w:type="dxa"/>
            <w:tcBorders>
              <w:top w:val="nil"/>
              <w:left w:val="nil"/>
              <w:bottom w:val="single" w:sz="4" w:space="0" w:color="auto"/>
              <w:right w:val="single" w:sz="4" w:space="0" w:color="auto"/>
            </w:tcBorders>
            <w:shd w:val="clear" w:color="auto" w:fill="auto"/>
            <w:noWrap/>
            <w:vAlign w:val="bottom"/>
            <w:hideMark/>
          </w:tcPr>
          <w:p w14:paraId="16C8493D"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576.2205</w:t>
            </w:r>
          </w:p>
        </w:tc>
        <w:tc>
          <w:tcPr>
            <w:tcW w:w="1288" w:type="dxa"/>
            <w:tcBorders>
              <w:top w:val="nil"/>
              <w:left w:val="nil"/>
              <w:bottom w:val="single" w:sz="4" w:space="0" w:color="auto"/>
              <w:right w:val="single" w:sz="4" w:space="0" w:color="auto"/>
            </w:tcBorders>
            <w:shd w:val="clear" w:color="auto" w:fill="auto"/>
            <w:noWrap/>
            <w:vAlign w:val="bottom"/>
            <w:hideMark/>
          </w:tcPr>
          <w:p w14:paraId="1CAE6A4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38.89997</w:t>
            </w:r>
          </w:p>
        </w:tc>
        <w:tc>
          <w:tcPr>
            <w:tcW w:w="1288" w:type="dxa"/>
            <w:tcBorders>
              <w:top w:val="nil"/>
              <w:left w:val="nil"/>
              <w:bottom w:val="single" w:sz="4" w:space="0" w:color="auto"/>
              <w:right w:val="single" w:sz="8" w:space="0" w:color="auto"/>
            </w:tcBorders>
            <w:shd w:val="clear" w:color="auto" w:fill="auto"/>
            <w:noWrap/>
            <w:vAlign w:val="bottom"/>
            <w:hideMark/>
          </w:tcPr>
          <w:p w14:paraId="6A2FD359"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741.8394</w:t>
            </w:r>
          </w:p>
        </w:tc>
      </w:tr>
      <w:tr w:rsidR="008B2804" w:rsidRPr="00277503" w14:paraId="7B678E28"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748E67AF"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w:t>
            </w:r>
          </w:p>
        </w:tc>
        <w:tc>
          <w:tcPr>
            <w:tcW w:w="2691" w:type="dxa"/>
            <w:tcBorders>
              <w:top w:val="nil"/>
              <w:left w:val="nil"/>
              <w:bottom w:val="single" w:sz="4" w:space="0" w:color="auto"/>
              <w:right w:val="single" w:sz="4" w:space="0" w:color="auto"/>
            </w:tcBorders>
            <w:shd w:val="clear" w:color="auto" w:fill="auto"/>
            <w:noWrap/>
            <w:vAlign w:val="bottom"/>
            <w:hideMark/>
          </w:tcPr>
          <w:p w14:paraId="162CA1EF"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494CFCF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22474</w:t>
            </w:r>
          </w:p>
        </w:tc>
        <w:tc>
          <w:tcPr>
            <w:tcW w:w="1288" w:type="dxa"/>
            <w:tcBorders>
              <w:top w:val="nil"/>
              <w:left w:val="nil"/>
              <w:bottom w:val="single" w:sz="4" w:space="0" w:color="auto"/>
              <w:right w:val="single" w:sz="4" w:space="0" w:color="auto"/>
            </w:tcBorders>
            <w:shd w:val="clear" w:color="auto" w:fill="auto"/>
            <w:noWrap/>
            <w:vAlign w:val="bottom"/>
            <w:hideMark/>
          </w:tcPr>
          <w:p w14:paraId="2991002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441.1901</w:t>
            </w:r>
          </w:p>
        </w:tc>
        <w:tc>
          <w:tcPr>
            <w:tcW w:w="1288" w:type="dxa"/>
            <w:tcBorders>
              <w:top w:val="nil"/>
              <w:left w:val="nil"/>
              <w:bottom w:val="single" w:sz="4" w:space="0" w:color="auto"/>
              <w:right w:val="single" w:sz="4" w:space="0" w:color="auto"/>
            </w:tcBorders>
            <w:shd w:val="clear" w:color="auto" w:fill="auto"/>
            <w:noWrap/>
            <w:vAlign w:val="bottom"/>
            <w:hideMark/>
          </w:tcPr>
          <w:p w14:paraId="3ABF6DAC"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18.9292</w:t>
            </w:r>
          </w:p>
        </w:tc>
        <w:tc>
          <w:tcPr>
            <w:tcW w:w="1288" w:type="dxa"/>
            <w:tcBorders>
              <w:top w:val="nil"/>
              <w:left w:val="nil"/>
              <w:bottom w:val="single" w:sz="4" w:space="0" w:color="auto"/>
              <w:right w:val="single" w:sz="8" w:space="0" w:color="auto"/>
            </w:tcBorders>
            <w:shd w:val="clear" w:color="auto" w:fill="auto"/>
            <w:noWrap/>
            <w:vAlign w:val="bottom"/>
            <w:hideMark/>
          </w:tcPr>
          <w:p w14:paraId="5CDF3E58"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591.7037</w:t>
            </w:r>
          </w:p>
        </w:tc>
      </w:tr>
      <w:tr w:rsidR="008B2804" w:rsidRPr="00277503" w14:paraId="09F6FE15"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4EC58CB7"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LRV[VII]</w:t>
            </w:r>
          </w:p>
        </w:tc>
        <w:tc>
          <w:tcPr>
            <w:tcW w:w="2691" w:type="dxa"/>
            <w:tcBorders>
              <w:top w:val="nil"/>
              <w:left w:val="nil"/>
              <w:bottom w:val="single" w:sz="4" w:space="0" w:color="auto"/>
              <w:right w:val="single" w:sz="4" w:space="0" w:color="auto"/>
            </w:tcBorders>
            <w:shd w:val="clear" w:color="auto" w:fill="auto"/>
            <w:noWrap/>
            <w:vAlign w:val="bottom"/>
            <w:hideMark/>
          </w:tcPr>
          <w:p w14:paraId="0BB42FCF"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1A9ADE2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22188</w:t>
            </w:r>
          </w:p>
        </w:tc>
        <w:tc>
          <w:tcPr>
            <w:tcW w:w="1288" w:type="dxa"/>
            <w:tcBorders>
              <w:top w:val="nil"/>
              <w:left w:val="nil"/>
              <w:bottom w:val="single" w:sz="4" w:space="0" w:color="auto"/>
              <w:right w:val="single" w:sz="4" w:space="0" w:color="auto"/>
            </w:tcBorders>
            <w:shd w:val="clear" w:color="auto" w:fill="auto"/>
            <w:noWrap/>
            <w:vAlign w:val="bottom"/>
            <w:hideMark/>
          </w:tcPr>
          <w:p w14:paraId="424A7D9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582.324</w:t>
            </w:r>
          </w:p>
        </w:tc>
        <w:tc>
          <w:tcPr>
            <w:tcW w:w="1288" w:type="dxa"/>
            <w:tcBorders>
              <w:top w:val="nil"/>
              <w:left w:val="nil"/>
              <w:bottom w:val="single" w:sz="4" w:space="0" w:color="auto"/>
              <w:right w:val="single" w:sz="4" w:space="0" w:color="auto"/>
            </w:tcBorders>
            <w:shd w:val="clear" w:color="auto" w:fill="auto"/>
            <w:noWrap/>
            <w:vAlign w:val="bottom"/>
            <w:hideMark/>
          </w:tcPr>
          <w:p w14:paraId="3EC05BB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31.88035</w:t>
            </w:r>
          </w:p>
        </w:tc>
        <w:tc>
          <w:tcPr>
            <w:tcW w:w="1288" w:type="dxa"/>
            <w:tcBorders>
              <w:top w:val="nil"/>
              <w:left w:val="nil"/>
              <w:bottom w:val="single" w:sz="4" w:space="0" w:color="auto"/>
              <w:right w:val="single" w:sz="8" w:space="0" w:color="auto"/>
            </w:tcBorders>
            <w:shd w:val="clear" w:color="auto" w:fill="auto"/>
            <w:noWrap/>
            <w:vAlign w:val="bottom"/>
            <w:hideMark/>
          </w:tcPr>
          <w:p w14:paraId="748AC00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783.0445</w:t>
            </w:r>
          </w:p>
        </w:tc>
      </w:tr>
      <w:tr w:rsidR="008B2804" w:rsidRPr="00277503" w14:paraId="47C4503B"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637E1E34"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LRV[VIII]</w:t>
            </w:r>
          </w:p>
        </w:tc>
        <w:tc>
          <w:tcPr>
            <w:tcW w:w="2691" w:type="dxa"/>
            <w:tcBorders>
              <w:top w:val="nil"/>
              <w:left w:val="nil"/>
              <w:bottom w:val="single" w:sz="4" w:space="0" w:color="auto"/>
              <w:right w:val="single" w:sz="4" w:space="0" w:color="auto"/>
            </w:tcBorders>
            <w:shd w:val="clear" w:color="auto" w:fill="auto"/>
            <w:noWrap/>
            <w:vAlign w:val="bottom"/>
            <w:hideMark/>
          </w:tcPr>
          <w:p w14:paraId="7859A207"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21A9F16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22295</w:t>
            </w:r>
          </w:p>
        </w:tc>
        <w:tc>
          <w:tcPr>
            <w:tcW w:w="1288" w:type="dxa"/>
            <w:tcBorders>
              <w:top w:val="nil"/>
              <w:left w:val="nil"/>
              <w:bottom w:val="single" w:sz="4" w:space="0" w:color="auto"/>
              <w:right w:val="single" w:sz="4" w:space="0" w:color="auto"/>
            </w:tcBorders>
            <w:shd w:val="clear" w:color="auto" w:fill="auto"/>
            <w:noWrap/>
            <w:vAlign w:val="bottom"/>
            <w:hideMark/>
          </w:tcPr>
          <w:p w14:paraId="0F9E2CC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631.6797</w:t>
            </w:r>
          </w:p>
        </w:tc>
        <w:tc>
          <w:tcPr>
            <w:tcW w:w="128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228582F"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15.21211</w:t>
            </w:r>
          </w:p>
        </w:tc>
        <w:tc>
          <w:tcPr>
            <w:tcW w:w="1288" w:type="dxa"/>
            <w:tcBorders>
              <w:top w:val="nil"/>
              <w:left w:val="nil"/>
              <w:bottom w:val="single" w:sz="4" w:space="0" w:color="auto"/>
              <w:right w:val="single" w:sz="8" w:space="0" w:color="auto"/>
            </w:tcBorders>
            <w:shd w:val="clear" w:color="auto" w:fill="auto"/>
            <w:noWrap/>
            <w:vAlign w:val="bottom"/>
            <w:hideMark/>
          </w:tcPr>
          <w:p w14:paraId="20CBDC04"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806.3703</w:t>
            </w:r>
          </w:p>
        </w:tc>
      </w:tr>
      <w:tr w:rsidR="008B2804" w:rsidRPr="00277503" w14:paraId="0FA55E05"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5146CBE9"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LRV[IX]</w:t>
            </w:r>
          </w:p>
        </w:tc>
        <w:tc>
          <w:tcPr>
            <w:tcW w:w="2691" w:type="dxa"/>
            <w:tcBorders>
              <w:top w:val="nil"/>
              <w:left w:val="nil"/>
              <w:bottom w:val="single" w:sz="4" w:space="0" w:color="auto"/>
              <w:right w:val="single" w:sz="4" w:space="0" w:color="auto"/>
            </w:tcBorders>
            <w:shd w:val="clear" w:color="auto" w:fill="auto"/>
            <w:noWrap/>
            <w:vAlign w:val="bottom"/>
            <w:hideMark/>
          </w:tcPr>
          <w:p w14:paraId="240999BD"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1F5BB75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22242</w:t>
            </w:r>
          </w:p>
        </w:tc>
        <w:tc>
          <w:tcPr>
            <w:tcW w:w="1288" w:type="dxa"/>
            <w:tcBorders>
              <w:top w:val="nil"/>
              <w:left w:val="nil"/>
              <w:bottom w:val="single" w:sz="4" w:space="0" w:color="auto"/>
              <w:right w:val="single" w:sz="4" w:space="0" w:color="auto"/>
            </w:tcBorders>
            <w:shd w:val="clear" w:color="auto" w:fill="auto"/>
            <w:noWrap/>
            <w:vAlign w:val="bottom"/>
            <w:hideMark/>
          </w:tcPr>
          <w:p w14:paraId="1C942EC3"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625.9589</w:t>
            </w:r>
          </w:p>
        </w:tc>
        <w:tc>
          <w:tcPr>
            <w:tcW w:w="128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BD2B93E"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13.06083</w:t>
            </w:r>
          </w:p>
        </w:tc>
        <w:tc>
          <w:tcPr>
            <w:tcW w:w="1288" w:type="dxa"/>
            <w:tcBorders>
              <w:top w:val="nil"/>
              <w:left w:val="nil"/>
              <w:bottom w:val="single" w:sz="4" w:space="0" w:color="auto"/>
              <w:right w:val="single" w:sz="8" w:space="0" w:color="auto"/>
            </w:tcBorders>
            <w:shd w:val="clear" w:color="auto" w:fill="auto"/>
            <w:noWrap/>
            <w:vAlign w:val="bottom"/>
            <w:hideMark/>
          </w:tcPr>
          <w:p w14:paraId="5E196786"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760.471</w:t>
            </w:r>
          </w:p>
        </w:tc>
      </w:tr>
      <w:tr w:rsidR="008B2804" w:rsidRPr="00277503" w14:paraId="504D17B4" w14:textId="77777777" w:rsidTr="002E143B">
        <w:trPr>
          <w:trHeight w:val="353"/>
        </w:trPr>
        <w:tc>
          <w:tcPr>
            <w:tcW w:w="1238" w:type="dxa"/>
            <w:tcBorders>
              <w:top w:val="nil"/>
              <w:left w:val="single" w:sz="8" w:space="0" w:color="auto"/>
              <w:bottom w:val="single" w:sz="4" w:space="0" w:color="auto"/>
              <w:right w:val="single" w:sz="8" w:space="0" w:color="auto"/>
            </w:tcBorders>
            <w:shd w:val="clear" w:color="auto" w:fill="auto"/>
            <w:noWrap/>
            <w:vAlign w:val="bottom"/>
            <w:hideMark/>
          </w:tcPr>
          <w:p w14:paraId="56148D3A"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LRV[X]</w:t>
            </w:r>
          </w:p>
        </w:tc>
        <w:tc>
          <w:tcPr>
            <w:tcW w:w="2691" w:type="dxa"/>
            <w:tcBorders>
              <w:top w:val="nil"/>
              <w:left w:val="nil"/>
              <w:bottom w:val="single" w:sz="4" w:space="0" w:color="auto"/>
              <w:right w:val="single" w:sz="4" w:space="0" w:color="auto"/>
            </w:tcBorders>
            <w:shd w:val="clear" w:color="auto" w:fill="auto"/>
            <w:noWrap/>
            <w:vAlign w:val="bottom"/>
            <w:hideMark/>
          </w:tcPr>
          <w:p w14:paraId="6D7AD8BD"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4" w:space="0" w:color="auto"/>
              <w:right w:val="single" w:sz="4" w:space="0" w:color="auto"/>
            </w:tcBorders>
            <w:shd w:val="clear" w:color="auto" w:fill="auto"/>
            <w:noWrap/>
            <w:vAlign w:val="bottom"/>
            <w:hideMark/>
          </w:tcPr>
          <w:p w14:paraId="1CD9AF5E"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22193</w:t>
            </w:r>
          </w:p>
        </w:tc>
        <w:tc>
          <w:tcPr>
            <w:tcW w:w="1288" w:type="dxa"/>
            <w:tcBorders>
              <w:top w:val="nil"/>
              <w:left w:val="nil"/>
              <w:bottom w:val="single" w:sz="4" w:space="0" w:color="auto"/>
              <w:right w:val="single" w:sz="4" w:space="0" w:color="auto"/>
            </w:tcBorders>
            <w:shd w:val="clear" w:color="auto" w:fill="auto"/>
            <w:noWrap/>
            <w:vAlign w:val="bottom"/>
            <w:hideMark/>
          </w:tcPr>
          <w:p w14:paraId="6629616B"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509.1456</w:t>
            </w:r>
          </w:p>
        </w:tc>
        <w:tc>
          <w:tcPr>
            <w:tcW w:w="128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8B2F85"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12.48341</w:t>
            </w:r>
          </w:p>
        </w:tc>
        <w:tc>
          <w:tcPr>
            <w:tcW w:w="1288" w:type="dxa"/>
            <w:tcBorders>
              <w:top w:val="nil"/>
              <w:left w:val="nil"/>
              <w:bottom w:val="single" w:sz="4" w:space="0" w:color="auto"/>
              <w:right w:val="single" w:sz="8" w:space="0" w:color="auto"/>
            </w:tcBorders>
            <w:shd w:val="clear" w:color="auto" w:fill="auto"/>
            <w:noWrap/>
            <w:vAlign w:val="bottom"/>
            <w:hideMark/>
          </w:tcPr>
          <w:p w14:paraId="62AADF80"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639.291</w:t>
            </w:r>
          </w:p>
        </w:tc>
      </w:tr>
      <w:tr w:rsidR="008B2804" w:rsidRPr="00277503" w14:paraId="35A8B90F" w14:textId="77777777" w:rsidTr="002E143B">
        <w:trPr>
          <w:trHeight w:val="371"/>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14:paraId="389324F0" w14:textId="77777777" w:rsidR="008B2804" w:rsidRPr="00277503" w:rsidRDefault="008B2804" w:rsidP="002E143B">
            <w:pPr>
              <w:spacing w:after="0" w:line="240" w:lineRule="auto"/>
              <w:rPr>
                <w:rFonts w:ascii="Calibri" w:eastAsia="Times New Roman" w:hAnsi="Calibri" w:cs="Calibri"/>
                <w:b/>
                <w:bCs/>
                <w:color w:val="000000"/>
                <w:lang w:eastAsia="en-GB"/>
              </w:rPr>
            </w:pPr>
            <w:r w:rsidRPr="00277503">
              <w:rPr>
                <w:rFonts w:ascii="Calibri" w:eastAsia="Times New Roman" w:hAnsi="Calibri" w:cs="Calibri"/>
                <w:b/>
                <w:bCs/>
                <w:color w:val="000000"/>
                <w:lang w:eastAsia="en-GB"/>
              </w:rPr>
              <w:t>LRV[XI]</w:t>
            </w:r>
          </w:p>
        </w:tc>
        <w:tc>
          <w:tcPr>
            <w:tcW w:w="2691" w:type="dxa"/>
            <w:tcBorders>
              <w:top w:val="nil"/>
              <w:left w:val="nil"/>
              <w:bottom w:val="single" w:sz="8" w:space="0" w:color="auto"/>
              <w:right w:val="single" w:sz="4" w:space="0" w:color="auto"/>
            </w:tcBorders>
            <w:shd w:val="clear" w:color="auto" w:fill="auto"/>
            <w:noWrap/>
            <w:vAlign w:val="bottom"/>
            <w:hideMark/>
          </w:tcPr>
          <w:p w14:paraId="7FFCEF23" w14:textId="77777777" w:rsidR="008B2804" w:rsidRPr="00277503" w:rsidRDefault="008B2804" w:rsidP="002E143B">
            <w:pPr>
              <w:spacing w:after="0" w:line="240" w:lineRule="auto"/>
              <w:rPr>
                <w:rFonts w:ascii="Calibri" w:eastAsia="Times New Roman" w:hAnsi="Calibri" w:cs="Calibri"/>
                <w:color w:val="000000"/>
                <w:lang w:eastAsia="en-GB"/>
              </w:rPr>
            </w:pPr>
            <w:r w:rsidRPr="00277503">
              <w:rPr>
                <w:rFonts w:ascii="Calibri" w:eastAsia="Times New Roman" w:hAnsi="Calibri" w:cs="Calibri"/>
                <w:color w:val="000000"/>
                <w:lang w:eastAsia="en-GB"/>
              </w:rPr>
              <w:t>Log Ret -</w:t>
            </w:r>
          </w:p>
        </w:tc>
        <w:tc>
          <w:tcPr>
            <w:tcW w:w="1174" w:type="dxa"/>
            <w:tcBorders>
              <w:top w:val="nil"/>
              <w:left w:val="nil"/>
              <w:bottom w:val="single" w:sz="8" w:space="0" w:color="auto"/>
              <w:right w:val="single" w:sz="4" w:space="0" w:color="auto"/>
            </w:tcBorders>
            <w:shd w:val="clear" w:color="auto" w:fill="auto"/>
            <w:noWrap/>
            <w:vAlign w:val="bottom"/>
            <w:hideMark/>
          </w:tcPr>
          <w:p w14:paraId="256F1DC2"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22099</w:t>
            </w:r>
          </w:p>
        </w:tc>
        <w:tc>
          <w:tcPr>
            <w:tcW w:w="1288" w:type="dxa"/>
            <w:tcBorders>
              <w:top w:val="nil"/>
              <w:left w:val="nil"/>
              <w:bottom w:val="single" w:sz="8" w:space="0" w:color="auto"/>
              <w:right w:val="single" w:sz="4" w:space="0" w:color="auto"/>
            </w:tcBorders>
            <w:shd w:val="clear" w:color="auto" w:fill="auto"/>
            <w:noWrap/>
            <w:vAlign w:val="bottom"/>
            <w:hideMark/>
          </w:tcPr>
          <w:p w14:paraId="32D561A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585.9183</w:t>
            </w:r>
          </w:p>
        </w:tc>
        <w:tc>
          <w:tcPr>
            <w:tcW w:w="1288" w:type="dxa"/>
            <w:tcBorders>
              <w:top w:val="single" w:sz="4" w:space="0" w:color="auto"/>
              <w:left w:val="single" w:sz="4" w:space="0" w:color="auto"/>
              <w:bottom w:val="single" w:sz="8" w:space="0" w:color="auto"/>
              <w:right w:val="single" w:sz="4" w:space="0" w:color="auto"/>
            </w:tcBorders>
            <w:shd w:val="clear" w:color="000000" w:fill="C6EFCE"/>
            <w:noWrap/>
            <w:vAlign w:val="bottom"/>
            <w:hideMark/>
          </w:tcPr>
          <w:p w14:paraId="3F1157FB" w14:textId="77777777" w:rsidR="008B2804" w:rsidRPr="00277503" w:rsidRDefault="008B2804" w:rsidP="002E143B">
            <w:pPr>
              <w:spacing w:after="0" w:line="240" w:lineRule="auto"/>
              <w:jc w:val="right"/>
              <w:rPr>
                <w:rFonts w:ascii="Calibri" w:eastAsia="Times New Roman" w:hAnsi="Calibri" w:cs="Calibri"/>
                <w:color w:val="006100"/>
                <w:lang w:eastAsia="en-GB"/>
              </w:rPr>
            </w:pPr>
            <w:r w:rsidRPr="00277503">
              <w:rPr>
                <w:rFonts w:ascii="Calibri" w:eastAsia="Times New Roman" w:hAnsi="Calibri" w:cs="Calibri"/>
                <w:color w:val="006100"/>
                <w:lang w:eastAsia="en-GB"/>
              </w:rPr>
              <w:t>9.370041</w:t>
            </w:r>
          </w:p>
        </w:tc>
        <w:tc>
          <w:tcPr>
            <w:tcW w:w="1288" w:type="dxa"/>
            <w:tcBorders>
              <w:top w:val="nil"/>
              <w:left w:val="nil"/>
              <w:bottom w:val="single" w:sz="8" w:space="0" w:color="auto"/>
              <w:right w:val="single" w:sz="8" w:space="0" w:color="auto"/>
            </w:tcBorders>
            <w:shd w:val="clear" w:color="auto" w:fill="auto"/>
            <w:noWrap/>
            <w:vAlign w:val="bottom"/>
            <w:hideMark/>
          </w:tcPr>
          <w:p w14:paraId="1769171F" w14:textId="77777777" w:rsidR="008B2804" w:rsidRPr="00277503" w:rsidRDefault="008B2804" w:rsidP="002E143B">
            <w:pPr>
              <w:spacing w:after="0" w:line="240" w:lineRule="auto"/>
              <w:jc w:val="right"/>
              <w:rPr>
                <w:rFonts w:ascii="Calibri" w:eastAsia="Times New Roman" w:hAnsi="Calibri" w:cs="Calibri"/>
                <w:color w:val="000000"/>
                <w:lang w:eastAsia="en-GB"/>
              </w:rPr>
            </w:pPr>
            <w:r w:rsidRPr="00277503">
              <w:rPr>
                <w:rFonts w:ascii="Calibri" w:eastAsia="Times New Roman" w:hAnsi="Calibri" w:cs="Calibri"/>
                <w:color w:val="000000"/>
                <w:lang w:eastAsia="en-GB"/>
              </w:rPr>
              <w:t>697.6186</w:t>
            </w:r>
          </w:p>
        </w:tc>
      </w:tr>
    </w:tbl>
    <w:p w14:paraId="24D04227" w14:textId="77777777" w:rsidR="008B2804" w:rsidRPr="00232E7C" w:rsidRDefault="008B2804" w:rsidP="008B2804">
      <w:pPr>
        <w:spacing w:line="480" w:lineRule="auto"/>
        <w:jc w:val="both"/>
        <w:rPr>
          <w:rFonts w:ascii="Times New Roman" w:hAnsi="Times New Roman" w:cs="Times New Roman"/>
          <w:color w:val="000000" w:themeColor="text1"/>
          <w:sz w:val="24"/>
          <w:szCs w:val="24"/>
        </w:rPr>
      </w:pPr>
    </w:p>
    <w:p w14:paraId="19D5A4B1" w14:textId="4798325C"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lastRenderedPageBreak/>
        <w:t xml:space="preserve">Table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4.4</w:t>
      </w:r>
      <w:r w:rsidRPr="00232E7C">
        <w:rPr>
          <w:rFonts w:ascii="Times New Roman" w:hAnsi="Times New Roman" w:cs="Times New Roman"/>
          <w:color w:val="000000" w:themeColor="text1"/>
          <w:sz w:val="24"/>
          <w:szCs w:val="24"/>
        </w:rPr>
        <w:t>: Results of χ 2 conformity test with BL1, BL2, and BL12 for the S&amp;P500 corresponding daily log-returns (LR</w:t>
      </w:r>
      <w:r>
        <w:rPr>
          <w:rFonts w:ascii="Times New Roman" w:hAnsi="Times New Roman" w:cs="Times New Roman"/>
          <w:color w:val="000000" w:themeColor="text1"/>
          <w:sz w:val="24"/>
          <w:szCs w:val="24"/>
        </w:rPr>
        <w:t>V</w:t>
      </w:r>
      <w:r w:rsidRPr="00232E7C">
        <w:rPr>
          <w:rFonts w:ascii="Times New Roman" w:hAnsi="Times New Roman" w:cs="Times New Roman"/>
          <w:color w:val="000000" w:themeColor="text1"/>
          <w:sz w:val="24"/>
          <w:szCs w:val="24"/>
        </w:rPr>
        <w:t>) for the whole data set and for the subsets. The number of degrees of freedom (</w:t>
      </w:r>
      <w:proofErr w:type="spellStart"/>
      <w:r w:rsidRPr="00232E7C">
        <w:rPr>
          <w:rFonts w:ascii="Times New Roman" w:hAnsi="Times New Roman" w:cs="Times New Roman"/>
          <w:color w:val="000000" w:themeColor="text1"/>
          <w:sz w:val="24"/>
          <w:szCs w:val="24"/>
        </w:rPr>
        <w:t>d.o.f</w:t>
      </w:r>
      <w:proofErr w:type="spellEnd"/>
      <w:r w:rsidRPr="00232E7C">
        <w:rPr>
          <w:rFonts w:ascii="Times New Roman" w:hAnsi="Times New Roman" w:cs="Times New Roman"/>
          <w:color w:val="000000" w:themeColor="text1"/>
          <w:sz w:val="24"/>
          <w:szCs w:val="24"/>
        </w:rPr>
        <w:t>), easily derived from the number of bins, is also indicated. The number N of data points is equal to 48</w:t>
      </w:r>
      <w:r>
        <w:rPr>
          <w:rFonts w:ascii="Times New Roman" w:hAnsi="Times New Roman" w:cs="Times New Roman"/>
          <w:color w:val="000000" w:themeColor="text1"/>
          <w:sz w:val="24"/>
          <w:szCs w:val="24"/>
        </w:rPr>
        <w:t>1768</w:t>
      </w:r>
      <w:r w:rsidRPr="00232E7C">
        <w:rPr>
          <w:rFonts w:ascii="Times New Roman" w:hAnsi="Times New Roman" w:cs="Times New Roman"/>
          <w:color w:val="000000" w:themeColor="text1"/>
          <w:sz w:val="24"/>
          <w:szCs w:val="24"/>
        </w:rPr>
        <w:t xml:space="preserve"> for the whole set and should be expected to be </w:t>
      </w:r>
      <w:r>
        <w:rPr>
          <w:rFonts w:ascii="Times New Roman" w:hAnsi="Times New Roman" w:cs="Times New Roman"/>
          <w:color w:val="000000" w:themeColor="text1"/>
          <w:sz w:val="24"/>
          <w:szCs w:val="24"/>
        </w:rPr>
        <w:t>around 4</w:t>
      </w:r>
      <w:r w:rsidR="00CD7AD3">
        <w:rPr>
          <w:rFonts w:ascii="Times New Roman" w:hAnsi="Times New Roman" w:cs="Times New Roman"/>
          <w:color w:val="000000" w:themeColor="text1"/>
          <w:sz w:val="24"/>
          <w:szCs w:val="24"/>
        </w:rPr>
        <w:t>8173</w:t>
      </w:r>
      <w:r>
        <w:rPr>
          <w:rFonts w:ascii="Times New Roman" w:hAnsi="Times New Roman" w:cs="Times New Roman"/>
          <w:color w:val="000000" w:themeColor="text1"/>
          <w:sz w:val="24"/>
          <w:szCs w:val="24"/>
        </w:rPr>
        <w:t>7</w:t>
      </w:r>
      <w:r w:rsidRPr="00232E7C">
        <w:rPr>
          <w:rFonts w:ascii="Times New Roman" w:hAnsi="Times New Roman" w:cs="Times New Roman"/>
          <w:color w:val="000000" w:themeColor="text1"/>
          <w:sz w:val="24"/>
          <w:szCs w:val="24"/>
        </w:rPr>
        <w:t xml:space="preserve"> for the </w:t>
      </w:r>
      <w:r>
        <w:rPr>
          <w:rFonts w:ascii="Times New Roman" w:hAnsi="Times New Roman" w:cs="Times New Roman"/>
          <w:color w:val="000000" w:themeColor="text1"/>
          <w:sz w:val="24"/>
          <w:szCs w:val="24"/>
        </w:rPr>
        <w:t>11</w:t>
      </w:r>
      <w:r w:rsidRPr="00232E7C">
        <w:rPr>
          <w:rFonts w:ascii="Times New Roman" w:hAnsi="Times New Roman" w:cs="Times New Roman"/>
          <w:color w:val="000000" w:themeColor="text1"/>
          <w:sz w:val="24"/>
          <w:szCs w:val="24"/>
        </w:rPr>
        <w:t xml:space="preserve"> subsets</w:t>
      </w:r>
      <w:r>
        <w:rPr>
          <w:rFonts w:ascii="Times New Roman" w:hAnsi="Times New Roman" w:cs="Times New Roman"/>
          <w:color w:val="000000" w:themeColor="text1"/>
          <w:sz w:val="24"/>
          <w:szCs w:val="24"/>
        </w:rPr>
        <w:t xml:space="preserve"> of 117 days</w:t>
      </w:r>
      <w:r w:rsidRPr="00232E7C">
        <w:rPr>
          <w:rFonts w:ascii="Times New Roman" w:hAnsi="Times New Roman" w:cs="Times New Roman"/>
          <w:color w:val="000000" w:themeColor="text1"/>
          <w:sz w:val="24"/>
          <w:szCs w:val="24"/>
        </w:rPr>
        <w:t xml:space="preserve">; however,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232E7C">
        <w:rPr>
          <w:rFonts w:ascii="Times New Roman" w:hAnsi="Times New Roman" w:cs="Times New Roman"/>
          <w:color w:val="000000" w:themeColor="text1"/>
          <w:sz w:val="24"/>
          <w:szCs w:val="24"/>
        </w:rPr>
        <w:t xml:space="preserve">, </w:t>
      </w:r>
      <w:r w:rsidR="00794627" w:rsidRPr="00794627">
        <w:rPr>
          <w:rFonts w:ascii="Times New Roman" w:hAnsi="Times New Roman" w:cs="Times New Roman"/>
          <w:color w:val="000000" w:themeColor="text1"/>
          <w:sz w:val="24"/>
          <w:szCs w:val="24"/>
        </w:rPr>
        <w:t xml:space="preserve">the "quantity of perceptions", shifts for the different cases, since one isn't considering the number (32) of log-return </w:t>
      </w:r>
      <w:r w:rsidR="00794627">
        <w:rPr>
          <w:rFonts w:ascii="Times New Roman" w:hAnsi="Times New Roman" w:cs="Times New Roman"/>
          <w:color w:val="000000" w:themeColor="text1"/>
          <w:sz w:val="24"/>
          <w:szCs w:val="24"/>
        </w:rPr>
        <w:t>values</w:t>
      </w:r>
      <w:r w:rsidR="00794627" w:rsidRPr="00794627">
        <w:rPr>
          <w:rFonts w:ascii="Times New Roman" w:hAnsi="Times New Roman" w:cs="Times New Roman"/>
          <w:color w:val="000000" w:themeColor="text1"/>
          <w:sz w:val="24"/>
          <w:szCs w:val="24"/>
        </w:rPr>
        <w:t xml:space="preserve"> stringently equivalent to 0. In addition, notice that we recognize (top of table) the instance of the outright upsides of log returns and those relating to one or the other positive or negative log-return sign</w:t>
      </w:r>
      <w:r w:rsidR="00794627">
        <w:rPr>
          <w:rFonts w:ascii="Times New Roman"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days: these cases occur unevenly in the different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SP</m:t>
            </m:r>
          </m:e>
          <m:sub>
            <m:r>
              <w:rPr>
                <w:rFonts w:ascii="Cambria Math" w:hAnsi="Cambria Math" w:cs="Times New Roman"/>
                <w:color w:val="000000" w:themeColor="text1"/>
                <w:sz w:val="24"/>
                <w:szCs w:val="24"/>
              </w:rPr>
              <m:t>k</m:t>
            </m:r>
          </m:sub>
        </m:sSub>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intervals: for completeness, let us mention their occurrence. This influences the number of observations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in each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LR</m:t>
            </m:r>
          </m:e>
          <m:sub>
            <m:r>
              <w:rPr>
                <w:rFonts w:ascii="Cambria Math" w:hAnsi="Cambria Math" w:cs="Times New Roman"/>
                <w:color w:val="000000" w:themeColor="text1"/>
                <w:sz w:val="24"/>
                <w:szCs w:val="24"/>
              </w:rPr>
              <m:t>k</m:t>
            </m:r>
          </m:sub>
        </m:sSub>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subgroup; see first column in Table </w:t>
      </w:r>
      <w:r w:rsidR="00BA27A7">
        <w:rPr>
          <w:rFonts w:ascii="Times New Roman" w:hAnsi="Times New Roman" w:cs="Times New Roman"/>
          <w:color w:val="000000" w:themeColor="text1"/>
          <w:sz w:val="24"/>
          <w:szCs w:val="24"/>
        </w:rPr>
        <w:t>2.4.4</w:t>
      </w:r>
      <w:r w:rsidRPr="00232E7C">
        <w:rPr>
          <w:rFonts w:ascii="Times New Roman" w:hAnsi="Times New Roman" w:cs="Times New Roman"/>
          <w:color w:val="000000" w:themeColor="text1"/>
          <w:sz w:val="24"/>
          <w:szCs w:val="24"/>
        </w:rPr>
        <w:t>.</w:t>
      </w:r>
    </w:p>
    <w:p w14:paraId="341BD233" w14:textId="6B39CD14"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Therefore, there </w:t>
      </w:r>
      <w:r w:rsidRPr="0088399A">
        <w:rPr>
          <w:rFonts w:ascii="Times New Roman" w:hAnsi="Times New Roman" w:cs="Times New Roman"/>
          <w:color w:val="000000" w:themeColor="text1"/>
          <w:sz w:val="24"/>
          <w:szCs w:val="24"/>
        </w:rPr>
        <w:t>are 481769 - 32 = 481737</w:t>
      </w:r>
      <w:r w:rsidRPr="00232E7C">
        <w:rPr>
          <w:rFonts w:ascii="Times New Roman" w:hAnsi="Times New Roman" w:cs="Times New Roman"/>
          <w:color w:val="000000" w:themeColor="text1"/>
          <w:sz w:val="24"/>
          <w:szCs w:val="24"/>
        </w:rPr>
        <w:t xml:space="preserve"> cases to be examined in the whole LR</w:t>
      </w:r>
      <w:r>
        <w:rPr>
          <w:rFonts w:ascii="Times New Roman" w:hAnsi="Times New Roman" w:cs="Times New Roman"/>
          <w:color w:val="000000" w:themeColor="text1"/>
          <w:sz w:val="24"/>
          <w:szCs w:val="24"/>
        </w:rPr>
        <w:t>V</w:t>
      </w:r>
      <w:r w:rsidRPr="00232E7C">
        <w:rPr>
          <w:rFonts w:ascii="Times New Roman" w:hAnsi="Times New Roman" w:cs="Times New Roman"/>
          <w:color w:val="000000" w:themeColor="text1"/>
          <w:sz w:val="24"/>
          <w:szCs w:val="24"/>
        </w:rPr>
        <w:t xml:space="preserve"> series. When dividing the LR series into 5 subsets, for coherence, the r</w:t>
      </w:r>
      <w:r w:rsidR="003753A6">
        <w:rPr>
          <w:rFonts w:ascii="Times New Roman" w:hAnsi="Times New Roman" w:cs="Times New Roman"/>
          <w:color w:val="000000" w:themeColor="text1"/>
          <w:sz w:val="24"/>
          <w:szCs w:val="24"/>
        </w:rPr>
        <w:t>e</w:t>
      </w:r>
      <w:r w:rsidRPr="00232E7C">
        <w:rPr>
          <w:rFonts w:ascii="Times New Roman" w:hAnsi="Times New Roman" w:cs="Times New Roman"/>
          <w:color w:val="000000" w:themeColor="text1"/>
          <w:sz w:val="24"/>
          <w:szCs w:val="24"/>
        </w:rPr>
        <w:t xml:space="preserve">st value in the II, III, IV, </w:t>
      </w:r>
      <w:proofErr w:type="gramStart"/>
      <w:r w:rsidRPr="00232E7C">
        <w:rPr>
          <w:rFonts w:ascii="Times New Roman" w:hAnsi="Times New Roman" w:cs="Times New Roman"/>
          <w:color w:val="000000" w:themeColor="text1"/>
          <w:sz w:val="24"/>
          <w:szCs w:val="24"/>
        </w:rPr>
        <w:t>V ,</w:t>
      </w:r>
      <w:proofErr w:type="gramEnd"/>
      <w:r w:rsidRPr="00232E7C">
        <w:rPr>
          <w:rFonts w:ascii="Times New Roman" w:hAnsi="Times New Roman" w:cs="Times New Roman"/>
          <w:color w:val="000000" w:themeColor="text1"/>
          <w:sz w:val="24"/>
          <w:szCs w:val="24"/>
        </w:rPr>
        <w:t xml:space="preserve"> subsets are disregarded, since the first one (day) is “missing” in 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LR</m:t>
            </m:r>
          </m:e>
          <m:sub>
            <m:r>
              <w:rPr>
                <w:rFonts w:ascii="Cambria Math" w:hAnsi="Cambria Math" w:cs="Times New Roman"/>
                <w:color w:val="000000" w:themeColor="text1"/>
                <w:sz w:val="24"/>
                <w:szCs w:val="24"/>
              </w:rPr>
              <m:t>I</m:t>
            </m:r>
          </m:sub>
        </m:sSub>
      </m:oMath>
      <w:r w:rsidRPr="00232E7C">
        <w:rPr>
          <w:rFonts w:ascii="Times New Roman" w:hAnsi="Times New Roman" w:cs="Times New Roman"/>
          <w:color w:val="000000" w:themeColor="text1"/>
          <w:sz w:val="24"/>
          <w:szCs w:val="24"/>
        </w:rPr>
        <w:t xml:space="preserve"> case. Thus, the number of LR observations on which to test BL1 amounts </w:t>
      </w:r>
      <w:r w:rsidRPr="0088399A">
        <w:rPr>
          <w:rFonts w:ascii="Times New Roman" w:hAnsi="Times New Roman" w:cs="Times New Roman"/>
          <w:color w:val="000000" w:themeColor="text1"/>
          <w:sz w:val="24"/>
          <w:szCs w:val="24"/>
        </w:rPr>
        <w:t>to 481768 - 32 = 4861736.</w:t>
      </w:r>
    </w:p>
    <w:p w14:paraId="2A5BB556" w14:textId="6BB085F8" w:rsidR="008B2804" w:rsidRPr="00232E7C"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 xml:space="preserve">The number N of data points should be expected to be </w:t>
      </w:r>
      <w:r>
        <w:rPr>
          <w:rFonts w:ascii="Times New Roman" w:hAnsi="Times New Roman" w:cs="Times New Roman"/>
          <w:color w:val="000000" w:themeColor="text1"/>
          <w:sz w:val="24"/>
          <w:szCs w:val="24"/>
        </w:rPr>
        <w:t>around 4</w:t>
      </w:r>
      <w:r w:rsidR="003753A6">
        <w:rPr>
          <w:rFonts w:ascii="Times New Roman" w:hAnsi="Times New Roman" w:cs="Times New Roman"/>
          <w:color w:val="000000" w:themeColor="text1"/>
          <w:sz w:val="24"/>
          <w:szCs w:val="24"/>
        </w:rPr>
        <w:t>861737</w:t>
      </w:r>
      <w:r w:rsidRPr="00232E7C">
        <w:rPr>
          <w:rFonts w:ascii="Times New Roman" w:hAnsi="Times New Roman" w:cs="Times New Roman"/>
          <w:color w:val="000000" w:themeColor="text1"/>
          <w:sz w:val="24"/>
          <w:szCs w:val="24"/>
        </w:rPr>
        <w:t xml:space="preserve"> for the </w:t>
      </w:r>
      <w:r>
        <w:rPr>
          <w:rFonts w:ascii="Times New Roman" w:hAnsi="Times New Roman" w:cs="Times New Roman"/>
          <w:color w:val="000000" w:themeColor="text1"/>
          <w:sz w:val="24"/>
          <w:szCs w:val="24"/>
        </w:rPr>
        <w:t>11</w:t>
      </w:r>
      <w:r w:rsidRPr="00232E7C">
        <w:rPr>
          <w:rFonts w:ascii="Times New Roman" w:hAnsi="Times New Roman" w:cs="Times New Roman"/>
          <w:color w:val="000000" w:themeColor="text1"/>
          <w:sz w:val="24"/>
          <w:szCs w:val="24"/>
        </w:rPr>
        <w:t xml:space="preserve"> LR</w:t>
      </w:r>
      <w:r>
        <w:rPr>
          <w:rFonts w:ascii="Times New Roman" w:hAnsi="Times New Roman" w:cs="Times New Roman"/>
          <w:color w:val="000000" w:themeColor="text1"/>
          <w:sz w:val="24"/>
          <w:szCs w:val="24"/>
        </w:rPr>
        <w:t>V</w:t>
      </w:r>
      <w:r w:rsidRPr="00232E7C">
        <w:rPr>
          <w:rFonts w:ascii="Times New Roman" w:hAnsi="Times New Roman" w:cs="Times New Roman"/>
          <w:color w:val="000000" w:themeColor="text1"/>
          <w:sz w:val="24"/>
          <w:szCs w:val="24"/>
        </w:rPr>
        <w:t xml:space="preserve"> subsets. However,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 , the number of observations in the k-subset, varies in each subset, since one is not </w:t>
      </w:r>
      <w:proofErr w:type="gramStart"/>
      <w:r w:rsidRPr="00232E7C">
        <w:rPr>
          <w:rFonts w:ascii="Times New Roman" w:hAnsi="Times New Roman" w:cs="Times New Roman"/>
          <w:color w:val="000000" w:themeColor="text1"/>
          <w:sz w:val="24"/>
          <w:szCs w:val="24"/>
        </w:rPr>
        <w:t>taking into account</w:t>
      </w:r>
      <w:proofErr w:type="gramEnd"/>
      <w:r w:rsidRPr="00232E7C">
        <w:rPr>
          <w:rFonts w:ascii="Times New Roman" w:hAnsi="Times New Roman" w:cs="Times New Roman"/>
          <w:color w:val="000000" w:themeColor="text1"/>
          <w:sz w:val="24"/>
          <w:szCs w:val="24"/>
        </w:rPr>
        <w:t xml:space="preserve"> the number (32) of log-return values strictly equal to 0, and such a number is not uniformly distributed through the subsets. Moreover, notice that we distinguish (top of Table </w:t>
      </w:r>
      <w:r w:rsidR="00794627">
        <w:rPr>
          <w:rFonts w:ascii="Times New Roman" w:hAnsi="Times New Roman" w:cs="Times New Roman"/>
          <w:color w:val="000000" w:themeColor="text1"/>
          <w:sz w:val="24"/>
          <w:szCs w:val="24"/>
        </w:rPr>
        <w:t>2.</w:t>
      </w:r>
      <w:r w:rsidRPr="00232E7C">
        <w:rPr>
          <w:rFonts w:ascii="Times New Roman" w:hAnsi="Times New Roman" w:cs="Times New Roman"/>
          <w:color w:val="000000" w:themeColor="text1"/>
          <w:sz w:val="24"/>
          <w:szCs w:val="24"/>
        </w:rPr>
        <w:t>5) the case of the absolute values of log-returns and those corresponding to either positive or negative log-return sign.</w:t>
      </w:r>
    </w:p>
    <w:p w14:paraId="45173473" w14:textId="4ED9F21B" w:rsidR="008B2804" w:rsidRDefault="008B2804" w:rsidP="009340A8">
      <w:pPr>
        <w:spacing w:line="360" w:lineRule="auto"/>
        <w:jc w:val="both"/>
        <w:rPr>
          <w:rFonts w:ascii="Times New Roman" w:hAnsi="Times New Roman" w:cs="Times New Roman"/>
          <w:color w:val="000000" w:themeColor="text1"/>
          <w:sz w:val="24"/>
          <w:szCs w:val="24"/>
        </w:rPr>
      </w:pPr>
      <w:r w:rsidRPr="00232E7C">
        <w:rPr>
          <w:rFonts w:ascii="Times New Roman" w:hAnsi="Times New Roman" w:cs="Times New Roman"/>
          <w:color w:val="000000" w:themeColor="text1"/>
          <w:sz w:val="24"/>
          <w:szCs w:val="24"/>
        </w:rPr>
        <w:t>The results of the χ 2 test of variables conformity with BL1, BL2, and BL12 for the S&amp;P500 corresponding daily log-returns (LR</w:t>
      </w:r>
      <w:r>
        <w:rPr>
          <w:rFonts w:ascii="Times New Roman" w:hAnsi="Times New Roman" w:cs="Times New Roman"/>
          <w:color w:val="000000" w:themeColor="text1"/>
          <w:sz w:val="24"/>
          <w:szCs w:val="24"/>
        </w:rPr>
        <w:t>V</w:t>
      </w:r>
      <w:r w:rsidRPr="00232E7C">
        <w:rPr>
          <w:rFonts w:ascii="Times New Roman" w:hAnsi="Times New Roman" w:cs="Times New Roman"/>
          <w:color w:val="000000" w:themeColor="text1"/>
          <w:sz w:val="24"/>
          <w:szCs w:val="24"/>
        </w:rPr>
        <w:t xml:space="preserve">) for the whole data set and for the subsets are given in Table </w:t>
      </w:r>
      <w:r>
        <w:rPr>
          <w:rFonts w:ascii="Times New Roman" w:hAnsi="Times New Roman" w:cs="Times New Roman"/>
          <w:color w:val="000000" w:themeColor="text1"/>
          <w:sz w:val="24"/>
          <w:szCs w:val="24"/>
        </w:rPr>
        <w:t>2.</w:t>
      </w:r>
      <w:r w:rsidR="0049607F">
        <w:rPr>
          <w:rFonts w:ascii="Times New Roman" w:hAnsi="Times New Roman" w:cs="Times New Roman"/>
          <w:color w:val="000000" w:themeColor="text1"/>
          <w:sz w:val="24"/>
          <w:szCs w:val="24"/>
        </w:rPr>
        <w:t>4.4</w:t>
      </w:r>
      <w:r w:rsidRPr="00232E7C">
        <w:rPr>
          <w:rFonts w:ascii="Times New Roman" w:hAnsi="Times New Roman" w:cs="Times New Roman"/>
          <w:color w:val="000000" w:themeColor="text1"/>
          <w:sz w:val="24"/>
          <w:szCs w:val="24"/>
        </w:rPr>
        <w:t xml:space="preserve">. BL1 is hardly obeyed, but the difference between the χ 2 values and the </w:t>
      </w:r>
      <m:oMath>
        <m:sSubSup>
          <m:sSubSupPr>
            <m:ctrlPr>
              <w:rPr>
                <w:rFonts w:ascii="Cambria Math" w:hAnsi="Cambria Math" w:cs="Times New Roman"/>
                <w:i/>
                <w:color w:val="000000" w:themeColor="text1"/>
                <w:sz w:val="24"/>
                <w:szCs w:val="24"/>
              </w:rPr>
            </m:ctrlPr>
          </m:sSubSupPr>
          <m:e>
            <m:r>
              <m:rPr>
                <m:sty m:val="p"/>
              </m:rPr>
              <w:rPr>
                <w:rFonts w:ascii="Cambria Math" w:hAnsi="Cambria Math" w:cs="Times New Roman"/>
                <w:color w:val="000000" w:themeColor="text1"/>
                <w:sz w:val="24"/>
                <w:szCs w:val="24"/>
              </w:rPr>
              <m:t>χ</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2</m:t>
            </m:r>
          </m:sup>
        </m:sSubSup>
      </m:oMath>
      <w:r w:rsidRPr="00232E7C">
        <w:rPr>
          <w:rFonts w:ascii="Times New Roman" w:eastAsiaTheme="minorEastAsia" w:hAnsi="Times New Roman" w:cs="Times New Roman"/>
          <w:color w:val="000000" w:themeColor="text1"/>
          <w:sz w:val="24"/>
          <w:szCs w:val="24"/>
        </w:rPr>
        <w:t xml:space="preserve">  </w:t>
      </w:r>
      <w:r w:rsidRPr="00232E7C">
        <w:rPr>
          <w:rFonts w:ascii="Times New Roman" w:hAnsi="Times New Roman" w:cs="Times New Roman"/>
          <w:color w:val="000000" w:themeColor="text1"/>
          <w:sz w:val="24"/>
          <w:szCs w:val="24"/>
        </w:rPr>
        <w:t xml:space="preserve">Is not so big as for the SP minute volume sample. Some exceptional cases appear to obey BL1, all of the fall in the study of negative returns,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LRV</m:t>
            </m:r>
          </m:e>
          <m:sub>
            <m:r>
              <w:rPr>
                <w:rFonts w:ascii="Cambria Math" w:hAnsi="Cambria Math" w:cs="Times New Roman"/>
                <w:color w:val="000000" w:themeColor="text1"/>
                <w:sz w:val="24"/>
                <w:szCs w:val="24"/>
              </w:rPr>
              <m:t>II</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 xml:space="preserve">,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LRV</m:t>
            </m:r>
          </m:e>
          <m:sub>
            <m:r>
              <w:rPr>
                <w:rFonts w:ascii="Cambria Math" w:hAnsi="Cambria Math" w:cs="Times New Roman"/>
                <w:color w:val="000000" w:themeColor="text1"/>
                <w:sz w:val="24"/>
                <w:szCs w:val="24"/>
              </w:rPr>
              <m:t>IV</m:t>
            </m:r>
          </m:sub>
          <m:sup>
            <m:r>
              <w:rPr>
                <w:rFonts w:ascii="Cambria Math" w:hAnsi="Cambria Math" w:cs="Times New Roman"/>
                <w:color w:val="000000" w:themeColor="text1"/>
                <w:sz w:val="24"/>
                <w:szCs w:val="24"/>
              </w:rPr>
              <m:t>-</m:t>
            </m:r>
          </m:sup>
        </m:sSubSup>
      </m:oMath>
      <w:r w:rsidRPr="00232E7C">
        <w:rPr>
          <w:rFonts w:ascii="Times New Roman" w:hAnsi="Times New Roman" w:cs="Times New Roman"/>
          <w:color w:val="000000" w:themeColor="text1"/>
          <w:sz w:val="24"/>
          <w:szCs w:val="24"/>
        </w:rPr>
        <w:t xml:space="preserve"> and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LRV</m:t>
            </m:r>
          </m:e>
          <m:sub>
            <m:r>
              <w:rPr>
                <w:rFonts w:ascii="Cambria Math" w:hAnsi="Cambria Math" w:cs="Times New Roman"/>
                <w:color w:val="000000" w:themeColor="text1"/>
                <w:sz w:val="24"/>
                <w:szCs w:val="24"/>
              </w:rPr>
              <m:t>V</m:t>
            </m:r>
          </m:sub>
          <m:sup>
            <m:r>
              <w:rPr>
                <w:rFonts w:ascii="Cambria Math" w:hAnsi="Cambria Math" w:cs="Times New Roman"/>
                <w:color w:val="000000" w:themeColor="text1"/>
                <w:sz w:val="24"/>
                <w:szCs w:val="24"/>
              </w:rPr>
              <m:t>-</m:t>
            </m:r>
          </m:sup>
        </m:sSubSup>
      </m:oMath>
      <w:r w:rsidRPr="00232E7C">
        <w:rPr>
          <w:rFonts w:ascii="Times New Roman" w:hAnsi="Times New Roman" w:cs="Times New Roman"/>
          <w:color w:val="000000" w:themeColor="text1"/>
          <w:sz w:val="24"/>
          <w:szCs w:val="24"/>
        </w:rPr>
        <w:t xml:space="preserve"> . </w:t>
      </w:r>
      <w:r w:rsidR="00794627" w:rsidRPr="00794627">
        <w:rPr>
          <w:rFonts w:ascii="Times New Roman" w:hAnsi="Times New Roman" w:cs="Times New Roman"/>
          <w:color w:val="000000" w:themeColor="text1"/>
          <w:sz w:val="24"/>
          <w:szCs w:val="24"/>
        </w:rPr>
        <w:t>The circumstance is practically ideally suited for BL2, for which just</w:t>
      </w:r>
      <w:r w:rsidRPr="00232E7C">
        <w:rPr>
          <w:rFonts w:ascii="Times New Roman" w:hAnsi="Times New Roman" w:cs="Times New Roman"/>
          <w:color w:val="000000" w:themeColor="text1"/>
          <w:sz w:val="24"/>
          <w:szCs w:val="24"/>
        </w:rPr>
        <w:t xml:space="preserve">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LRV</m:t>
            </m:r>
          </m:e>
          <m:sub>
            <m:r>
              <w:rPr>
                <w:rFonts w:ascii="Cambria Math" w:hAnsi="Cambria Math" w:cs="Times New Roman"/>
                <w:color w:val="000000" w:themeColor="text1"/>
                <w:sz w:val="24"/>
                <w:szCs w:val="24"/>
              </w:rPr>
              <m:t>II</m:t>
            </m:r>
          </m:sub>
          <m:sup>
            <m:r>
              <w:rPr>
                <w:rFonts w:ascii="Cambria Math" w:hAnsi="Cambria Math" w:cs="Times New Roman"/>
                <w:color w:val="000000" w:themeColor="text1"/>
                <w:sz w:val="24"/>
                <w:szCs w:val="24"/>
              </w:rPr>
              <m:t>+</m:t>
            </m:r>
          </m:sup>
        </m:sSubSup>
      </m:oMath>
      <w:r w:rsidRPr="00232E7C">
        <w:rPr>
          <w:rFonts w:ascii="Times New Roman" w:hAnsi="Times New Roman" w:cs="Times New Roman"/>
          <w:color w:val="000000" w:themeColor="text1"/>
          <w:sz w:val="24"/>
          <w:szCs w:val="24"/>
        </w:rPr>
        <w:t xml:space="preserve"> </w:t>
      </w:r>
      <w:r w:rsidR="00794627" w:rsidRPr="00794627">
        <w:rPr>
          <w:rFonts w:ascii="Times New Roman" w:hAnsi="Times New Roman" w:cs="Times New Roman"/>
          <w:color w:val="000000" w:themeColor="text1"/>
          <w:sz w:val="24"/>
          <w:szCs w:val="24"/>
        </w:rPr>
        <w:t>is marginally conflicting. On account of BL12, unquestionably the most recent subsets present some arrangement, however the primary subset and the entire example series are doubtlessly not submitting to BL12.</w:t>
      </w:r>
    </w:p>
    <w:p w14:paraId="264401EF"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1A0B05B8" w14:textId="77777777" w:rsidR="008B2804" w:rsidRDefault="008B2804" w:rsidP="008B2804">
      <w:pPr>
        <w:spacing w:line="480" w:lineRule="auto"/>
        <w:jc w:val="both"/>
        <w:rPr>
          <w:rFonts w:ascii="Times New Roman" w:hAnsi="Times New Roman" w:cs="Times New Roman"/>
          <w:color w:val="000000" w:themeColor="text1"/>
          <w:sz w:val="24"/>
          <w:szCs w:val="24"/>
        </w:rPr>
      </w:pPr>
    </w:p>
    <w:p w14:paraId="6CBD197E" w14:textId="77777777" w:rsidR="008B2804" w:rsidRPr="00BA27A7" w:rsidRDefault="008B2804" w:rsidP="008B2804">
      <w:pPr>
        <w:pStyle w:val="Heading1"/>
      </w:pPr>
      <w:bookmarkStart w:id="153" w:name="_Toc90499987"/>
      <w:r w:rsidRPr="00BA27A7">
        <w:lastRenderedPageBreak/>
        <w:t>2.5 Conclusions</w:t>
      </w:r>
      <w:bookmarkEnd w:id="153"/>
      <w:r w:rsidRPr="00BA27A7">
        <w:t xml:space="preserve"> </w:t>
      </w:r>
    </w:p>
    <w:p w14:paraId="372A1319" w14:textId="3B0E5D8C" w:rsidR="005D7B8E" w:rsidRDefault="005D7B8E" w:rsidP="009340A8">
      <w:pPr>
        <w:spacing w:line="360" w:lineRule="auto"/>
        <w:jc w:val="both"/>
        <w:rPr>
          <w:rFonts w:ascii="Times New Roman" w:hAnsi="Times New Roman" w:cs="Times New Roman"/>
          <w:sz w:val="24"/>
          <w:szCs w:val="24"/>
        </w:rPr>
      </w:pPr>
      <w:r w:rsidRPr="005D7B8E">
        <w:rPr>
          <w:rFonts w:ascii="Times New Roman" w:hAnsi="Times New Roman" w:cs="Times New Roman"/>
          <w:sz w:val="24"/>
          <w:szCs w:val="24"/>
        </w:rPr>
        <w:t xml:space="preserve">Considering expanding information about utilizations of </w:t>
      </w:r>
      <w:proofErr w:type="spellStart"/>
      <w:r w:rsidRPr="005D7B8E">
        <w:rPr>
          <w:rFonts w:ascii="Times New Roman" w:hAnsi="Times New Roman" w:cs="Times New Roman"/>
          <w:sz w:val="24"/>
          <w:szCs w:val="24"/>
        </w:rPr>
        <w:t>Benford's</w:t>
      </w:r>
      <w:proofErr w:type="spellEnd"/>
      <w:r w:rsidRPr="005D7B8E">
        <w:rPr>
          <w:rFonts w:ascii="Times New Roman" w:hAnsi="Times New Roman" w:cs="Times New Roman"/>
          <w:sz w:val="24"/>
          <w:szCs w:val="24"/>
        </w:rPr>
        <w:t xml:space="preserve"> laws, this doctoral examination investigated highlights </w:t>
      </w:r>
      <w:r w:rsidR="008B2804" w:rsidRPr="001F44C1">
        <w:rPr>
          <w:rFonts w:ascii="Times New Roman" w:hAnsi="Times New Roman" w:cs="Times New Roman"/>
          <w:sz w:val="24"/>
          <w:szCs w:val="24"/>
        </w:rPr>
        <w:t xml:space="preserve">in the distributions of S&amp;P500 daily minute volume and the corresponding daily log-returns over a long-time interval, that is, from the first days of May 2013 till almost the end of December 2013, amounting to 481769 data points. </w:t>
      </w:r>
      <w:r w:rsidRPr="005D7B8E">
        <w:rPr>
          <w:rFonts w:ascii="Times New Roman" w:hAnsi="Times New Roman" w:cs="Times New Roman"/>
          <w:sz w:val="24"/>
          <w:szCs w:val="24"/>
        </w:rPr>
        <w:t xml:space="preserve">This review addressed contemplations to the measure of first, second and initial two critical digits. Concentrate likewise investigated the conformance to </w:t>
      </w:r>
      <w:proofErr w:type="spellStart"/>
      <w:r w:rsidRPr="005D7B8E">
        <w:rPr>
          <w:rFonts w:ascii="Times New Roman" w:hAnsi="Times New Roman" w:cs="Times New Roman"/>
          <w:sz w:val="24"/>
          <w:szCs w:val="24"/>
        </w:rPr>
        <w:t>Benford's</w:t>
      </w:r>
      <w:proofErr w:type="spellEnd"/>
      <w:r w:rsidRPr="005D7B8E">
        <w:rPr>
          <w:rFonts w:ascii="Times New Roman" w:hAnsi="Times New Roman" w:cs="Times New Roman"/>
          <w:sz w:val="24"/>
          <w:szCs w:val="24"/>
        </w:rPr>
        <w:t xml:space="preserve"> laws of these </w:t>
      </w:r>
      <w:r>
        <w:rPr>
          <w:rFonts w:ascii="Times New Roman" w:hAnsi="Times New Roman" w:cs="Times New Roman"/>
          <w:sz w:val="24"/>
          <w:szCs w:val="24"/>
        </w:rPr>
        <w:t>distributions</w:t>
      </w:r>
      <w:r w:rsidRPr="005D7B8E">
        <w:rPr>
          <w:rFonts w:ascii="Times New Roman" w:hAnsi="Times New Roman" w:cs="Times New Roman"/>
          <w:sz w:val="24"/>
          <w:szCs w:val="24"/>
        </w:rPr>
        <w:t xml:space="preserve"> recognizing 11 unique window of 117 days levels of disaggregation, to test a few (non)stationarities (stowed away) highlight, - in the event that it may happen. Besides, albeit this isn't common, we have recognized negative log-</w:t>
      </w:r>
      <w:r>
        <w:rPr>
          <w:rFonts w:ascii="Times New Roman" w:hAnsi="Times New Roman" w:cs="Times New Roman"/>
          <w:sz w:val="24"/>
          <w:szCs w:val="24"/>
        </w:rPr>
        <w:t>returns</w:t>
      </w:r>
      <w:r w:rsidRPr="005D7B8E">
        <w:rPr>
          <w:rFonts w:ascii="Times New Roman" w:hAnsi="Times New Roman" w:cs="Times New Roman"/>
          <w:sz w:val="24"/>
          <w:szCs w:val="24"/>
        </w:rPr>
        <w:t xml:space="preserve"> from positive ones, or more their blend, since we have sufficient accessible </w:t>
      </w:r>
      <w:r>
        <w:rPr>
          <w:rFonts w:ascii="Times New Roman" w:hAnsi="Times New Roman" w:cs="Times New Roman"/>
          <w:sz w:val="24"/>
          <w:szCs w:val="24"/>
        </w:rPr>
        <w:t>data points.</w:t>
      </w:r>
    </w:p>
    <w:p w14:paraId="546B22F2" w14:textId="03099EC6" w:rsidR="008B2804" w:rsidRPr="001F44C1" w:rsidRDefault="008B2804" w:rsidP="009340A8">
      <w:pPr>
        <w:spacing w:line="360" w:lineRule="auto"/>
        <w:jc w:val="both"/>
        <w:rPr>
          <w:rFonts w:ascii="Times New Roman" w:hAnsi="Times New Roman" w:cs="Times New Roman"/>
          <w:sz w:val="24"/>
          <w:szCs w:val="24"/>
        </w:rPr>
      </w:pPr>
      <w:r w:rsidRPr="001F44C1">
        <w:rPr>
          <w:rFonts w:ascii="Times New Roman" w:hAnsi="Times New Roman" w:cs="Times New Roman"/>
          <w:sz w:val="24"/>
          <w:szCs w:val="24"/>
        </w:rPr>
        <w:t xml:space="preserve">The </w:t>
      </w:r>
      <w:r w:rsidR="005B1793" w:rsidRPr="001F44C1">
        <w:rPr>
          <w:rFonts w:ascii="Times New Roman" w:hAnsi="Times New Roman" w:cs="Times New Roman"/>
          <w:sz w:val="24"/>
          <w:szCs w:val="24"/>
        </w:rPr>
        <w:t>outcomes</w:t>
      </w:r>
      <w:r w:rsidRPr="001F44C1">
        <w:rPr>
          <w:rFonts w:ascii="Times New Roman" w:hAnsi="Times New Roman" w:cs="Times New Roman"/>
          <w:sz w:val="24"/>
          <w:szCs w:val="24"/>
        </w:rPr>
        <w:t xml:space="preserve"> for the S&amp;P500 minute volume values </w:t>
      </w:r>
      <m:oMath>
        <m:r>
          <w:rPr>
            <w:rFonts w:ascii="Cambria Math" w:hAnsi="Cambria Math" w:cs="Times New Roman"/>
            <w:sz w:val="24"/>
            <w:szCs w:val="24"/>
          </w:rPr>
          <m:t>(SP )</m:t>
        </m:r>
      </m:oMath>
      <w:r w:rsidRPr="001F44C1">
        <w:rPr>
          <w:rFonts w:ascii="Times New Roman" w:hAnsi="Times New Roman" w:cs="Times New Roman"/>
          <w:sz w:val="24"/>
          <w:szCs w:val="24"/>
        </w:rPr>
        <w:t xml:space="preserve"> are unexpectedly showing a huge lack of </w:t>
      </w:r>
      <w:r w:rsidR="005B1793" w:rsidRPr="001F44C1">
        <w:rPr>
          <w:rFonts w:ascii="Times New Roman" w:hAnsi="Times New Roman" w:cs="Times New Roman"/>
          <w:sz w:val="24"/>
          <w:szCs w:val="24"/>
        </w:rPr>
        <w:t>compliance</w:t>
      </w:r>
      <w:r w:rsidRPr="001F44C1">
        <w:rPr>
          <w:rFonts w:ascii="Times New Roman" w:hAnsi="Times New Roman" w:cs="Times New Roman"/>
          <w:sz w:val="24"/>
          <w:szCs w:val="24"/>
        </w:rPr>
        <w:t xml:space="preserve">, whatever the different levels of disaggregation. We have noticed that some first digits and “first two digits” values are missing in some subsets. The agreements with </w:t>
      </w:r>
      <w:proofErr w:type="spellStart"/>
      <w:r w:rsidRPr="001F44C1">
        <w:rPr>
          <w:rFonts w:ascii="Times New Roman" w:hAnsi="Times New Roman" w:cs="Times New Roman"/>
          <w:sz w:val="24"/>
          <w:szCs w:val="24"/>
        </w:rPr>
        <w:t>Benford's</w:t>
      </w:r>
      <w:proofErr w:type="spellEnd"/>
      <w:r w:rsidRPr="001F44C1">
        <w:rPr>
          <w:rFonts w:ascii="Times New Roman" w:hAnsi="Times New Roman" w:cs="Times New Roman"/>
          <w:sz w:val="24"/>
          <w:szCs w:val="24"/>
        </w:rPr>
        <w:t xml:space="preserve"> laws are much better for the log-returns </w:t>
      </w:r>
      <m:oMath>
        <m:r>
          <w:rPr>
            <w:rFonts w:ascii="Cambria Math" w:hAnsi="Cambria Math" w:cs="Times New Roman"/>
            <w:sz w:val="24"/>
            <w:szCs w:val="24"/>
          </w:rPr>
          <m:t>(LRV)</m:t>
        </m:r>
      </m:oMath>
      <w:r w:rsidRPr="001F44C1">
        <w:rPr>
          <w:rFonts w:ascii="Times New Roman" w:hAnsi="Times New Roman" w:cs="Times New Roman"/>
          <w:sz w:val="24"/>
          <w:szCs w:val="24"/>
        </w:rPr>
        <w:t xml:space="preserve">. </w:t>
      </w:r>
      <w:proofErr w:type="spellStart"/>
      <w:r w:rsidR="005B1793" w:rsidRPr="005B1793">
        <w:rPr>
          <w:rFonts w:ascii="Times New Roman" w:hAnsi="Times New Roman" w:cs="Times New Roman"/>
          <w:sz w:val="24"/>
          <w:szCs w:val="24"/>
        </w:rPr>
        <w:t>uch</w:t>
      </w:r>
      <w:proofErr w:type="spellEnd"/>
      <w:r w:rsidR="005B1793" w:rsidRPr="005B1793">
        <w:rPr>
          <w:rFonts w:ascii="Times New Roman" w:hAnsi="Times New Roman" w:cs="Times New Roman"/>
          <w:sz w:val="24"/>
          <w:szCs w:val="24"/>
        </w:rPr>
        <w:t xml:space="preserve"> a divergence in arrangements discovers a clarification in the informational collection itself, as opposed to in a chance of misrepresentation!</w:t>
      </w:r>
    </w:p>
    <w:p w14:paraId="5ADC54D8" w14:textId="77777777" w:rsidR="00DC722D" w:rsidRDefault="008B2804" w:rsidP="009340A8">
      <w:pPr>
        <w:spacing w:line="360" w:lineRule="auto"/>
        <w:jc w:val="both"/>
        <w:rPr>
          <w:rFonts w:ascii="Times New Roman" w:hAnsi="Times New Roman" w:cs="Times New Roman"/>
          <w:sz w:val="24"/>
          <w:szCs w:val="24"/>
        </w:rPr>
      </w:pPr>
      <w:r w:rsidRPr="001F44C1">
        <w:rPr>
          <w:rFonts w:ascii="Times New Roman" w:hAnsi="Times New Roman" w:cs="Times New Roman"/>
          <w:sz w:val="24"/>
          <w:szCs w:val="24"/>
        </w:rPr>
        <w:t xml:space="preserve">In fact, </w:t>
      </w:r>
      <w:r w:rsidR="005B1793" w:rsidRPr="005B1793">
        <w:rPr>
          <w:rFonts w:ascii="Times New Roman" w:hAnsi="Times New Roman" w:cs="Times New Roman"/>
          <w:sz w:val="24"/>
          <w:szCs w:val="24"/>
        </w:rPr>
        <w:t xml:space="preserve">this component permits us to remark on some regularly failed to remember basis for testing the similarity of BLs (Berger and Hill, 2020). Without a doubt, one ought to underline that BLs must be helpfully contemplated and noticed if all digits - from 1 to 9 - are very much addressed as each first digit. A </w:t>
      </w:r>
      <w:r w:rsidR="005B1793">
        <w:rPr>
          <w:rFonts w:ascii="Times New Roman" w:hAnsi="Times New Roman" w:cs="Times New Roman"/>
          <w:sz w:val="24"/>
          <w:szCs w:val="24"/>
        </w:rPr>
        <w:t>time</w:t>
      </w:r>
      <w:r w:rsidR="005B1793" w:rsidRPr="005B1793">
        <w:rPr>
          <w:rFonts w:ascii="Times New Roman" w:hAnsi="Times New Roman" w:cs="Times New Roman"/>
          <w:sz w:val="24"/>
          <w:szCs w:val="24"/>
        </w:rPr>
        <w:t xml:space="preserve"> series or a bunch of information focuses should initially be tried for its reach, essentially, the base and greatest qualities. The contention is here very much supported by noticing the advancement of the </w:t>
      </w:r>
      <w:r w:rsidRPr="001F44C1">
        <w:rPr>
          <w:rFonts w:ascii="Times New Roman" w:hAnsi="Times New Roman" w:cs="Times New Roman"/>
          <w:sz w:val="24"/>
          <w:szCs w:val="24"/>
        </w:rPr>
        <w:t>S&amp;P500</w:t>
      </w:r>
      <m:oMath>
        <m:r>
          <w:rPr>
            <w:rFonts w:ascii="Cambria Math" w:hAnsi="Cambria Math" w:cs="Times New Roman"/>
            <w:sz w:val="24"/>
            <w:szCs w:val="24"/>
          </w:rPr>
          <m:t xml:space="preserve"> (SP)</m:t>
        </m:r>
      </m:oMath>
      <w:r w:rsidRPr="001F44C1">
        <w:rPr>
          <w:rFonts w:ascii="Times New Roman" w:hAnsi="Times New Roman" w:cs="Times New Roman"/>
          <w:sz w:val="24"/>
          <w:szCs w:val="24"/>
        </w:rPr>
        <w:t xml:space="preserve"> </w:t>
      </w:r>
      <w:r w:rsidR="005B1793" w:rsidRPr="005B1793">
        <w:rPr>
          <w:rFonts w:ascii="Times New Roman" w:hAnsi="Times New Roman" w:cs="Times New Roman"/>
          <w:sz w:val="24"/>
          <w:szCs w:val="24"/>
        </w:rPr>
        <w:t>over the long run.</w:t>
      </w:r>
    </w:p>
    <w:p w14:paraId="47C10D70" w14:textId="5879FC99" w:rsidR="008966FB" w:rsidRDefault="008B2804" w:rsidP="009340A8">
      <w:pPr>
        <w:spacing w:line="360" w:lineRule="auto"/>
        <w:jc w:val="both"/>
        <w:rPr>
          <w:rFonts w:ascii="Times New Roman" w:hAnsi="Times New Roman" w:cs="Times New Roman"/>
          <w:sz w:val="24"/>
          <w:szCs w:val="24"/>
        </w:rPr>
      </w:pPr>
      <w:r w:rsidRPr="001F44C1">
        <w:rPr>
          <w:rFonts w:ascii="Times New Roman" w:hAnsi="Times New Roman" w:cs="Times New Roman"/>
          <w:sz w:val="24"/>
          <w:szCs w:val="24"/>
        </w:rPr>
        <w:t xml:space="preserve">Fig. </w:t>
      </w:r>
      <w:r w:rsidR="0049607F">
        <w:rPr>
          <w:rFonts w:ascii="Times New Roman" w:hAnsi="Times New Roman" w:cs="Times New Roman"/>
          <w:sz w:val="24"/>
          <w:szCs w:val="24"/>
        </w:rPr>
        <w:t>2.4.</w:t>
      </w:r>
      <w:r>
        <w:rPr>
          <w:rFonts w:ascii="Times New Roman" w:hAnsi="Times New Roman" w:cs="Times New Roman"/>
          <w:sz w:val="24"/>
          <w:szCs w:val="24"/>
        </w:rPr>
        <w:t>2</w:t>
      </w:r>
      <w:r w:rsidRPr="001F44C1">
        <w:rPr>
          <w:rFonts w:ascii="Times New Roman" w:hAnsi="Times New Roman" w:cs="Times New Roman"/>
          <w:sz w:val="24"/>
          <w:szCs w:val="24"/>
        </w:rPr>
        <w:t xml:space="preserve"> provides a semi-log </w:t>
      </w:r>
      <w:r w:rsidR="005B1793" w:rsidRPr="005B1793">
        <w:rPr>
          <w:rFonts w:ascii="Times New Roman" w:hAnsi="Times New Roman" w:cs="Times New Roman"/>
          <w:sz w:val="24"/>
          <w:szCs w:val="24"/>
        </w:rPr>
        <w:t>perspective</w:t>
      </w:r>
      <w:r w:rsidRPr="001F44C1">
        <w:rPr>
          <w:rFonts w:ascii="Times New Roman" w:hAnsi="Times New Roman" w:cs="Times New Roman"/>
          <w:sz w:val="24"/>
          <w:szCs w:val="24"/>
        </w:rPr>
        <w:t xml:space="preserve"> of the S&amp;P500 minute volume log returns; the eleven studied subsets are </w:t>
      </w:r>
      <w:r w:rsidR="005B1793" w:rsidRPr="001F44C1">
        <w:rPr>
          <w:rFonts w:ascii="Times New Roman" w:hAnsi="Times New Roman" w:cs="Times New Roman"/>
          <w:sz w:val="24"/>
          <w:szCs w:val="24"/>
        </w:rPr>
        <w:t>stressed</w:t>
      </w:r>
      <w:r w:rsidRPr="001F44C1">
        <w:rPr>
          <w:rFonts w:ascii="Times New Roman" w:hAnsi="Times New Roman" w:cs="Times New Roman"/>
          <w:sz w:val="24"/>
          <w:szCs w:val="24"/>
        </w:rPr>
        <w:t xml:space="preserve">. </w:t>
      </w:r>
      <w:r w:rsidR="005B1793" w:rsidRPr="005B1793">
        <w:rPr>
          <w:rFonts w:ascii="Times New Roman" w:hAnsi="Times New Roman" w:cs="Times New Roman"/>
          <w:sz w:val="24"/>
          <w:szCs w:val="24"/>
        </w:rPr>
        <w:t>This permits one to comprehend why the</w:t>
      </w:r>
      <w:r w:rsidR="005B1793">
        <w:rPr>
          <w:rFonts w:ascii="Times New Roman" w:hAnsi="Times New Roman" w:cs="Times New Roman"/>
          <w:sz w:val="24"/>
          <w:szCs w:val="24"/>
        </w:rPr>
        <w:t xml:space="preserve"> </w:t>
      </w:r>
      <w:r w:rsidRPr="001F44C1">
        <w:rPr>
          <w:rFonts w:ascii="Times New Roman" w:hAnsi="Times New Roman" w:cs="Times New Roman"/>
          <w:sz w:val="24"/>
          <w:szCs w:val="24"/>
        </w:rPr>
        <w:t xml:space="preserve">distributions of digits </w:t>
      </w:r>
      <w:r w:rsidR="005B1793" w:rsidRPr="005B1793">
        <w:rPr>
          <w:rFonts w:ascii="Times New Roman" w:hAnsi="Times New Roman" w:cs="Times New Roman"/>
          <w:sz w:val="24"/>
          <w:szCs w:val="24"/>
        </w:rPr>
        <w:t>are exceptional. Having "deserted" a 1 first digit in some area because of the</w:t>
      </w:r>
      <w:r w:rsidR="005B1793">
        <w:rPr>
          <w:rFonts w:ascii="Times New Roman" w:hAnsi="Times New Roman" w:cs="Times New Roman"/>
          <w:sz w:val="24"/>
          <w:szCs w:val="24"/>
        </w:rPr>
        <w:t xml:space="preserve"> </w:t>
      </w:r>
      <w:r w:rsidRPr="001F44C1">
        <w:rPr>
          <w:rFonts w:ascii="Times New Roman" w:hAnsi="Times New Roman" w:cs="Times New Roman"/>
          <w:sz w:val="24"/>
          <w:szCs w:val="24"/>
        </w:rPr>
        <w:t>financial trend, it takes “</w:t>
      </w:r>
      <w:r w:rsidR="005B1793">
        <w:rPr>
          <w:rFonts w:ascii="Times New Roman" w:hAnsi="Times New Roman" w:cs="Times New Roman"/>
          <w:sz w:val="24"/>
          <w:szCs w:val="24"/>
        </w:rPr>
        <w:t>some time</w:t>
      </w:r>
      <w:r w:rsidRPr="001F44C1">
        <w:rPr>
          <w:rFonts w:ascii="Times New Roman" w:hAnsi="Times New Roman" w:cs="Times New Roman"/>
          <w:sz w:val="24"/>
          <w:szCs w:val="24"/>
        </w:rPr>
        <w:t xml:space="preserve">” before one goes from a 9 to a new 1 (for the following decade for example). </w:t>
      </w:r>
      <w:r w:rsidR="008966FB" w:rsidRPr="008966FB">
        <w:rPr>
          <w:rFonts w:ascii="Times New Roman" w:hAnsi="Times New Roman" w:cs="Times New Roman"/>
          <w:sz w:val="24"/>
          <w:szCs w:val="24"/>
        </w:rPr>
        <w:t xml:space="preserve">Another model appearance </w:t>
      </w:r>
      <w:r w:rsidR="00DC722D" w:rsidRPr="008966FB">
        <w:rPr>
          <w:rFonts w:ascii="Times New Roman" w:hAnsi="Times New Roman" w:cs="Times New Roman"/>
          <w:sz w:val="24"/>
          <w:szCs w:val="24"/>
        </w:rPr>
        <w:t>because</w:t>
      </w:r>
      <w:r w:rsidR="008966FB" w:rsidRPr="008966FB">
        <w:rPr>
          <w:rFonts w:ascii="Times New Roman" w:hAnsi="Times New Roman" w:cs="Times New Roman"/>
          <w:sz w:val="24"/>
          <w:szCs w:val="24"/>
        </w:rPr>
        <w:t xml:space="preserve"> at times a BL investigation and peculiarity allowance may be dicey is found </w:t>
      </w:r>
      <w:r w:rsidRPr="001F44C1">
        <w:rPr>
          <w:rFonts w:ascii="Times New Roman" w:hAnsi="Times New Roman" w:cs="Times New Roman"/>
          <w:sz w:val="24"/>
          <w:szCs w:val="24"/>
        </w:rPr>
        <w:t xml:space="preserve">in sector </w:t>
      </w:r>
      <m:oMath>
        <m:sSub>
          <m:sSubPr>
            <m:ctrlPr>
              <w:rPr>
                <w:rFonts w:ascii="Cambria Math" w:hAnsi="Cambria Math" w:cs="Times New Roman"/>
                <w:i/>
                <w:sz w:val="24"/>
                <w:szCs w:val="24"/>
              </w:rPr>
            </m:ctrlPr>
          </m:sSubPr>
          <m:e>
            <m:r>
              <w:rPr>
                <w:rFonts w:ascii="Cambria Math" w:hAnsi="Cambria Math" w:cs="Times New Roman"/>
                <w:sz w:val="24"/>
                <w:szCs w:val="24"/>
              </w:rPr>
              <m:t>SP</m:t>
            </m:r>
          </m:e>
          <m:sub>
            <m:r>
              <w:rPr>
                <w:rFonts w:ascii="Cambria Math" w:hAnsi="Cambria Math" w:cs="Times New Roman"/>
                <w:sz w:val="24"/>
                <w:szCs w:val="24"/>
              </w:rPr>
              <m:t>II</m:t>
            </m:r>
          </m:sub>
        </m:sSub>
      </m:oMath>
      <w:r w:rsidRPr="001F44C1">
        <w:rPr>
          <w:rFonts w:ascii="Times New Roman" w:hAnsi="Times New Roman" w:cs="Times New Roman"/>
          <w:sz w:val="24"/>
          <w:szCs w:val="24"/>
        </w:rPr>
        <w:t xml:space="preserve"> : the index starts from </w:t>
      </w:r>
      <m:oMath>
        <m:r>
          <w:rPr>
            <w:rFonts w:ascii="Cambria Math" w:hAnsi="Cambria Math" w:cs="Times New Roman"/>
            <w:sz w:val="24"/>
            <w:szCs w:val="24"/>
          </w:rPr>
          <m:t>≃</m:t>
        </m:r>
      </m:oMath>
      <w:r w:rsidRPr="001F44C1">
        <w:rPr>
          <w:rFonts w:ascii="Times New Roman" w:eastAsiaTheme="minorEastAsia" w:hAnsi="Times New Roman" w:cs="Times New Roman"/>
          <w:sz w:val="24"/>
          <w:szCs w:val="24"/>
        </w:rPr>
        <w:t xml:space="preserve"> 62</w:t>
      </w:r>
      <w:r w:rsidRPr="001F44C1">
        <w:rPr>
          <w:rFonts w:ascii="Times New Roman" w:hAnsi="Times New Roman" w:cs="Times New Roman"/>
          <w:sz w:val="24"/>
          <w:szCs w:val="24"/>
        </w:rPr>
        <w:t xml:space="preserve">, reaches </w:t>
      </w:r>
      <m:oMath>
        <m:r>
          <w:rPr>
            <w:rFonts w:ascii="Cambria Math" w:hAnsi="Cambria Math" w:cs="Times New Roman"/>
            <w:sz w:val="24"/>
            <w:szCs w:val="24"/>
          </w:rPr>
          <m:t xml:space="preserve"> ≃89</m:t>
        </m:r>
      </m:oMath>
      <w:r w:rsidRPr="001F44C1">
        <w:rPr>
          <w:rFonts w:ascii="Times New Roman" w:hAnsi="Times New Roman" w:cs="Times New Roman"/>
          <w:sz w:val="24"/>
          <w:szCs w:val="24"/>
        </w:rPr>
        <w:t xml:space="preserve">, but never goes to any 50, or 20 or 200, a fortiori 300, etc. </w:t>
      </w:r>
      <w:r w:rsidR="008966FB" w:rsidRPr="008966FB">
        <w:rPr>
          <w:rFonts w:ascii="Times New Roman" w:hAnsi="Times New Roman" w:cs="Times New Roman"/>
          <w:sz w:val="24"/>
          <w:szCs w:val="24"/>
        </w:rPr>
        <w:t xml:space="preserve">Hence, the list "misses" a couple of first digit esteems. A similar perception goes valid for different areas where first digits are absent. In the current investigation of a </w:t>
      </w:r>
      <w:r w:rsidR="008966FB">
        <w:rPr>
          <w:rFonts w:ascii="Times New Roman" w:hAnsi="Times New Roman" w:cs="Times New Roman"/>
          <w:sz w:val="24"/>
          <w:szCs w:val="24"/>
        </w:rPr>
        <w:t xml:space="preserve">financial </w:t>
      </w:r>
      <w:r w:rsidR="008966FB" w:rsidRPr="008966FB">
        <w:rPr>
          <w:rFonts w:ascii="Times New Roman" w:hAnsi="Times New Roman" w:cs="Times New Roman"/>
          <w:sz w:val="24"/>
          <w:szCs w:val="24"/>
        </w:rPr>
        <w:t xml:space="preserve">market, this is because of the inborn pattern in the list. Such reasons </w:t>
      </w:r>
      <w:r w:rsidR="008966FB" w:rsidRPr="008966FB">
        <w:rPr>
          <w:rFonts w:ascii="Times New Roman" w:hAnsi="Times New Roman" w:cs="Times New Roman"/>
          <w:sz w:val="24"/>
          <w:szCs w:val="24"/>
        </w:rPr>
        <w:lastRenderedPageBreak/>
        <w:t>for no congruity clarify beforehand astounding perceptions like in (</w:t>
      </w:r>
      <w:proofErr w:type="spellStart"/>
      <w:r w:rsidR="008966FB" w:rsidRPr="008966FB">
        <w:rPr>
          <w:rFonts w:ascii="Times New Roman" w:hAnsi="Times New Roman" w:cs="Times New Roman"/>
          <w:sz w:val="24"/>
          <w:szCs w:val="24"/>
        </w:rPr>
        <w:t>Clippe</w:t>
      </w:r>
      <w:proofErr w:type="spellEnd"/>
      <w:r w:rsidR="008966FB" w:rsidRPr="008966FB">
        <w:rPr>
          <w:rFonts w:ascii="Times New Roman" w:hAnsi="Times New Roman" w:cs="Times New Roman"/>
          <w:sz w:val="24"/>
          <w:szCs w:val="24"/>
        </w:rPr>
        <w:t xml:space="preserve"> and </w:t>
      </w:r>
      <w:proofErr w:type="spellStart"/>
      <w:r w:rsidR="008966FB" w:rsidRPr="008966FB">
        <w:rPr>
          <w:rFonts w:ascii="Times New Roman" w:hAnsi="Times New Roman" w:cs="Times New Roman"/>
          <w:sz w:val="24"/>
          <w:szCs w:val="24"/>
        </w:rPr>
        <w:t>Ausloos</w:t>
      </w:r>
      <w:proofErr w:type="spellEnd"/>
      <w:r w:rsidR="008966FB" w:rsidRPr="008966FB">
        <w:rPr>
          <w:rFonts w:ascii="Times New Roman" w:hAnsi="Times New Roman" w:cs="Times New Roman"/>
          <w:sz w:val="24"/>
          <w:szCs w:val="24"/>
        </w:rPr>
        <w:t>, 2012). Related clarifications do follow for instances of information containing crashes, and "long time" spent in developing and recuperating (</w:t>
      </w:r>
      <w:proofErr w:type="spellStart"/>
      <w:r w:rsidR="008966FB" w:rsidRPr="008966FB">
        <w:rPr>
          <w:rFonts w:ascii="Times New Roman" w:hAnsi="Times New Roman" w:cs="Times New Roman"/>
          <w:sz w:val="24"/>
          <w:szCs w:val="24"/>
        </w:rPr>
        <w:t>Corazza</w:t>
      </w:r>
      <w:proofErr w:type="spellEnd"/>
      <w:r w:rsidR="008966FB" w:rsidRPr="008966FB">
        <w:rPr>
          <w:rFonts w:ascii="Times New Roman" w:hAnsi="Times New Roman" w:cs="Times New Roman"/>
          <w:sz w:val="24"/>
          <w:szCs w:val="24"/>
        </w:rPr>
        <w:t xml:space="preserve">, </w:t>
      </w:r>
      <w:proofErr w:type="spellStart"/>
      <w:r w:rsidR="008966FB" w:rsidRPr="008966FB">
        <w:rPr>
          <w:rFonts w:ascii="Times New Roman" w:hAnsi="Times New Roman" w:cs="Times New Roman"/>
          <w:sz w:val="24"/>
          <w:szCs w:val="24"/>
        </w:rPr>
        <w:t>Ellero</w:t>
      </w:r>
      <w:proofErr w:type="spellEnd"/>
      <w:r w:rsidR="008966FB" w:rsidRPr="008966FB">
        <w:rPr>
          <w:rFonts w:ascii="Times New Roman" w:hAnsi="Times New Roman" w:cs="Times New Roman"/>
          <w:sz w:val="24"/>
          <w:szCs w:val="24"/>
        </w:rPr>
        <w:t xml:space="preserve"> and </w:t>
      </w:r>
      <w:proofErr w:type="spellStart"/>
      <w:r w:rsidR="008966FB" w:rsidRPr="008966FB">
        <w:rPr>
          <w:rFonts w:ascii="Times New Roman" w:hAnsi="Times New Roman" w:cs="Times New Roman"/>
          <w:sz w:val="24"/>
          <w:szCs w:val="24"/>
        </w:rPr>
        <w:t>Zorzi</w:t>
      </w:r>
      <w:proofErr w:type="spellEnd"/>
      <w:r w:rsidR="008966FB" w:rsidRPr="008966FB">
        <w:rPr>
          <w:rFonts w:ascii="Times New Roman" w:hAnsi="Times New Roman" w:cs="Times New Roman"/>
          <w:sz w:val="24"/>
          <w:szCs w:val="24"/>
        </w:rPr>
        <w:t>, 2010).</w:t>
      </w:r>
    </w:p>
    <w:p w14:paraId="09D76556" w14:textId="4B4A1D91" w:rsidR="008B2804" w:rsidRPr="001F44C1" w:rsidRDefault="008966FB" w:rsidP="009340A8">
      <w:pPr>
        <w:spacing w:line="360" w:lineRule="auto"/>
        <w:jc w:val="both"/>
        <w:rPr>
          <w:rFonts w:ascii="Times New Roman" w:hAnsi="Times New Roman" w:cs="Times New Roman"/>
          <w:sz w:val="24"/>
          <w:szCs w:val="24"/>
        </w:rPr>
      </w:pPr>
      <w:r w:rsidRPr="008966FB">
        <w:rPr>
          <w:rFonts w:ascii="Times New Roman" w:hAnsi="Times New Roman" w:cs="Times New Roman"/>
          <w:sz w:val="24"/>
          <w:szCs w:val="24"/>
        </w:rPr>
        <w:t xml:space="preserve">Consequently, next to an exhaustive examination of a </w:t>
      </w:r>
      <w:r>
        <w:rPr>
          <w:rFonts w:ascii="Times New Roman" w:hAnsi="Times New Roman" w:cs="Times New Roman"/>
          <w:sz w:val="24"/>
          <w:szCs w:val="24"/>
        </w:rPr>
        <w:t>financial index</w:t>
      </w:r>
      <w:r w:rsidRPr="008966FB">
        <w:rPr>
          <w:rFonts w:ascii="Times New Roman" w:hAnsi="Times New Roman" w:cs="Times New Roman"/>
          <w:sz w:val="24"/>
          <w:szCs w:val="24"/>
        </w:rPr>
        <w:t xml:space="preserve">, a case infrequently analysed, certainly over a so huge arrangement of information focuses, explicit reasons for this non-congruity are introduced, highlighting the risk of underestimating </w:t>
      </w:r>
      <w:proofErr w:type="spellStart"/>
      <w:r w:rsidRPr="008966FB">
        <w:rPr>
          <w:rFonts w:ascii="Times New Roman" w:hAnsi="Times New Roman" w:cs="Times New Roman"/>
          <w:sz w:val="24"/>
          <w:szCs w:val="24"/>
        </w:rPr>
        <w:t>Benford's</w:t>
      </w:r>
      <w:proofErr w:type="spellEnd"/>
      <w:r w:rsidRPr="008966FB">
        <w:rPr>
          <w:rFonts w:ascii="Times New Roman" w:hAnsi="Times New Roman" w:cs="Times New Roman"/>
          <w:sz w:val="24"/>
          <w:szCs w:val="24"/>
        </w:rPr>
        <w:t xml:space="preserve"> laws in enormous information bases, whence prompting "unmistakable ends". </w:t>
      </w:r>
      <w:r w:rsidR="008B2804" w:rsidRPr="001F44C1">
        <w:rPr>
          <w:rFonts w:ascii="Times New Roman" w:hAnsi="Times New Roman" w:cs="Times New Roman"/>
          <w:sz w:val="24"/>
          <w:szCs w:val="24"/>
        </w:rPr>
        <w:t>“</w:t>
      </w:r>
      <w:r w:rsidR="00077725" w:rsidRPr="001F44C1">
        <w:rPr>
          <w:rFonts w:ascii="Times New Roman" w:hAnsi="Times New Roman" w:cs="Times New Roman"/>
          <w:sz w:val="24"/>
          <w:szCs w:val="24"/>
        </w:rPr>
        <w:t>Definite</w:t>
      </w:r>
      <w:r w:rsidR="008B2804" w:rsidRPr="001F44C1">
        <w:rPr>
          <w:rFonts w:ascii="Times New Roman" w:hAnsi="Times New Roman" w:cs="Times New Roman"/>
          <w:sz w:val="24"/>
          <w:szCs w:val="24"/>
        </w:rPr>
        <w:t xml:space="preserve"> conclusions”.</w:t>
      </w:r>
    </w:p>
    <w:p w14:paraId="5D046727" w14:textId="3963B280" w:rsidR="008966FB" w:rsidRDefault="008966FB" w:rsidP="009340A8">
      <w:pPr>
        <w:spacing w:line="360" w:lineRule="auto"/>
        <w:jc w:val="both"/>
        <w:rPr>
          <w:rFonts w:ascii="Times New Roman" w:hAnsi="Times New Roman" w:cs="Times New Roman"/>
          <w:sz w:val="24"/>
          <w:szCs w:val="24"/>
        </w:rPr>
      </w:pPr>
      <w:r w:rsidRPr="008966FB">
        <w:rPr>
          <w:rFonts w:ascii="Times New Roman" w:hAnsi="Times New Roman" w:cs="Times New Roman"/>
          <w:sz w:val="24"/>
          <w:szCs w:val="24"/>
        </w:rPr>
        <w:t xml:space="preserve">One frequently peruses "the more, the better" as in (Nairn, 2011) or (Collins, 2017) where it is asserted "the bigger, the better" for applying </w:t>
      </w:r>
      <w:proofErr w:type="spellStart"/>
      <w:r w:rsidRPr="008966FB">
        <w:rPr>
          <w:rFonts w:ascii="Times New Roman" w:hAnsi="Times New Roman" w:cs="Times New Roman"/>
          <w:sz w:val="24"/>
          <w:szCs w:val="24"/>
        </w:rPr>
        <w:t>Benford's</w:t>
      </w:r>
      <w:proofErr w:type="spellEnd"/>
      <w:r w:rsidRPr="008966FB">
        <w:rPr>
          <w:rFonts w:ascii="Times New Roman" w:hAnsi="Times New Roman" w:cs="Times New Roman"/>
          <w:sz w:val="24"/>
          <w:szCs w:val="24"/>
        </w:rPr>
        <w:t xml:space="preserve"> laws and reasoning misrepresentation or not through absence of similarity or not. This isn't correct! A huge arrangement of information focuses is neither an adequate nor fundamental rule for a particularly measurable similarity test (Heilig and Lusk, 2018). Under this point of view, one could apply reproduction of day-by-day returns utilizing the midpoints of the genuine information introduced in this exploration with the Geometric Brownian Motion definition. What's more, for each mean, henceforth for each concentrated on stretch of time, the standard deviations connected. The BL consistence results could in accordance with the results got with the noticed information. This is an extra clue; truth be told, one necessity to consider the distributional provisions of the wonder being scrutinized rather than just zeroing in on the quantity of perceptions or on the granularity of the information. This sort of remarks is in accordance with (Mebane, 2011), where the creator has remarked equivalent exercise runs for concentrating on misrepresentation discovery utilization of BL in political races.</w:t>
      </w:r>
    </w:p>
    <w:p w14:paraId="4A46B459" w14:textId="2C035518" w:rsidR="008966FB" w:rsidRDefault="008966FB" w:rsidP="009340A8">
      <w:pPr>
        <w:spacing w:line="360" w:lineRule="auto"/>
        <w:rPr>
          <w:rFonts w:ascii="Times New Roman" w:hAnsi="Times New Roman" w:cs="Times New Roman"/>
          <w:sz w:val="24"/>
          <w:szCs w:val="24"/>
        </w:rPr>
      </w:pPr>
      <w:r w:rsidRPr="008966FB">
        <w:rPr>
          <w:rFonts w:ascii="Times New Roman" w:hAnsi="Times New Roman" w:cs="Times New Roman"/>
          <w:sz w:val="24"/>
          <w:szCs w:val="24"/>
        </w:rPr>
        <w:t>At last, review that BLs are utilized to recognize misrepresentation primarily. Obviously, there are informational indexes which can be barely controlled. We are completely persuaded that S&amp;P 500 and other monetary lists result from midpoints, hence clearly submitting to the BL legitimacy hypothetical models, whence couldn't have deceitful angles. Nonetheless, the current review recommends that one may utilize BLs at a more minute level, that of organization share cost, as currently valued by (Saville, 2006).</w:t>
      </w:r>
    </w:p>
    <w:p w14:paraId="66DF31C0" w14:textId="2B5AF37D" w:rsidR="008966FB" w:rsidRDefault="008966FB" w:rsidP="009340A8">
      <w:pPr>
        <w:spacing w:line="360" w:lineRule="auto"/>
        <w:jc w:val="both"/>
        <w:rPr>
          <w:rFonts w:ascii="Times New Roman" w:hAnsi="Times New Roman" w:cs="Times New Roman"/>
          <w:sz w:val="24"/>
          <w:szCs w:val="24"/>
        </w:rPr>
      </w:pPr>
      <w:r w:rsidRPr="008966FB">
        <w:rPr>
          <w:rFonts w:ascii="Times New Roman" w:hAnsi="Times New Roman" w:cs="Times New Roman"/>
          <w:sz w:val="24"/>
          <w:szCs w:val="24"/>
        </w:rPr>
        <w:t>As currently expressed, one of the principal discoveries of this exploration has been about the information range. Without a doubt, to adjust with the law, the informational collection should contain information in which each number 1 through 9 has an equivalent shot at being the main digit; there ought to be equipartition (</w:t>
      </w:r>
      <w:proofErr w:type="spellStart"/>
      <w:r w:rsidRPr="008966FB">
        <w:rPr>
          <w:rFonts w:ascii="Times New Roman" w:hAnsi="Times New Roman" w:cs="Times New Roman"/>
          <w:sz w:val="24"/>
          <w:szCs w:val="24"/>
        </w:rPr>
        <w:t>Janvresse</w:t>
      </w:r>
      <w:proofErr w:type="spellEnd"/>
      <w:r w:rsidRPr="008966FB">
        <w:rPr>
          <w:rFonts w:ascii="Times New Roman" w:hAnsi="Times New Roman" w:cs="Times New Roman"/>
          <w:sz w:val="24"/>
          <w:szCs w:val="24"/>
        </w:rPr>
        <w:t xml:space="preserve"> and de la Rue, 2004; </w:t>
      </w:r>
      <w:proofErr w:type="spellStart"/>
      <w:r w:rsidRPr="008966FB">
        <w:rPr>
          <w:rFonts w:ascii="Times New Roman" w:hAnsi="Times New Roman" w:cs="Times New Roman"/>
          <w:sz w:val="24"/>
          <w:szCs w:val="24"/>
        </w:rPr>
        <w:t>Lafrate</w:t>
      </w:r>
      <w:proofErr w:type="spellEnd"/>
      <w:r w:rsidRPr="008966FB">
        <w:rPr>
          <w:rFonts w:ascii="Times New Roman" w:hAnsi="Times New Roman" w:cs="Times New Roman"/>
          <w:sz w:val="24"/>
          <w:szCs w:val="24"/>
        </w:rPr>
        <w:t xml:space="preserve">, Miller and Strauch, 2015). In any case, this appears to be confusing. What this review show is that the </w:t>
      </w:r>
      <w:r w:rsidRPr="008966FB">
        <w:rPr>
          <w:rFonts w:ascii="Times New Roman" w:hAnsi="Times New Roman" w:cs="Times New Roman"/>
          <w:sz w:val="24"/>
          <w:szCs w:val="24"/>
        </w:rPr>
        <w:lastRenderedPageBreak/>
        <w:t xml:space="preserve">information change, from the crude record worth to the log-return space, is a vital stage for seeing that there is no information control and compliance to BL. The pattern </w:t>
      </w:r>
      <w:r w:rsidR="00DC722D">
        <w:rPr>
          <w:rFonts w:ascii="Times New Roman" w:hAnsi="Times New Roman" w:cs="Times New Roman"/>
          <w:sz w:val="24"/>
          <w:szCs w:val="24"/>
        </w:rPr>
        <w:t>value</w:t>
      </w:r>
      <w:r w:rsidRPr="008966FB">
        <w:rPr>
          <w:rFonts w:ascii="Times New Roman" w:hAnsi="Times New Roman" w:cs="Times New Roman"/>
          <w:sz w:val="24"/>
          <w:szCs w:val="24"/>
        </w:rPr>
        <w:t xml:space="preserve"> is stayed away from. Also, BL2 and BL12 are less delicate to drift control.</w:t>
      </w:r>
    </w:p>
    <w:p w14:paraId="2ACB9FDB" w14:textId="26028611" w:rsidR="008B2804" w:rsidRDefault="00DC722D" w:rsidP="009340A8">
      <w:pPr>
        <w:spacing w:line="360" w:lineRule="auto"/>
        <w:jc w:val="both"/>
        <w:rPr>
          <w:rFonts w:ascii="Times New Roman" w:hAnsi="Times New Roman" w:cs="Times New Roman"/>
          <w:sz w:val="24"/>
          <w:szCs w:val="24"/>
        </w:rPr>
      </w:pPr>
      <w:r w:rsidRPr="00DC722D">
        <w:rPr>
          <w:rFonts w:ascii="Times New Roman" w:hAnsi="Times New Roman" w:cs="Times New Roman"/>
          <w:sz w:val="24"/>
          <w:szCs w:val="24"/>
        </w:rPr>
        <w:t xml:space="preserve">As so noticed, one might envision that BL2 and BL12 are of revenue for financial backers, since a difference in the primary digit is preferably uncommon when offer costs are higher over 10 (whatever </w:t>
      </w:r>
      <w:r>
        <w:rPr>
          <w:rFonts w:ascii="Times New Roman" w:hAnsi="Times New Roman" w:cs="Times New Roman"/>
          <w:sz w:val="24"/>
          <w:szCs w:val="24"/>
        </w:rPr>
        <w:t>currency</w:t>
      </w:r>
      <w:r w:rsidRPr="00DC722D">
        <w:rPr>
          <w:rFonts w:ascii="Times New Roman" w:hAnsi="Times New Roman" w:cs="Times New Roman"/>
          <w:sz w:val="24"/>
          <w:szCs w:val="24"/>
        </w:rPr>
        <w:t xml:space="preserve">). BL1 ought to be checked at &lt;&lt; modest </w:t>
      </w:r>
      <w:r>
        <w:rPr>
          <w:rFonts w:ascii="Times New Roman" w:hAnsi="Times New Roman" w:cs="Times New Roman"/>
          <w:sz w:val="24"/>
          <w:szCs w:val="24"/>
        </w:rPr>
        <w:t>values</w:t>
      </w:r>
      <w:r w:rsidRPr="00DC722D">
        <w:rPr>
          <w:rFonts w:ascii="Times New Roman" w:hAnsi="Times New Roman" w:cs="Times New Roman"/>
          <w:sz w:val="24"/>
          <w:szCs w:val="24"/>
        </w:rPr>
        <w:t xml:space="preserve"> &gt;&gt;, lower than 10. This would prompt a venture methodology like that considering the equality of digits in information series to letters in texts (</w:t>
      </w:r>
      <w:proofErr w:type="spellStart"/>
      <w:r w:rsidRPr="00DC722D">
        <w:rPr>
          <w:rFonts w:ascii="Times New Roman" w:hAnsi="Times New Roman" w:cs="Times New Roman"/>
          <w:sz w:val="24"/>
          <w:szCs w:val="24"/>
        </w:rPr>
        <w:t>Ausloos</w:t>
      </w:r>
      <w:proofErr w:type="spellEnd"/>
      <w:r w:rsidRPr="00DC722D">
        <w:rPr>
          <w:rFonts w:ascii="Times New Roman" w:hAnsi="Times New Roman" w:cs="Times New Roman"/>
          <w:sz w:val="24"/>
          <w:szCs w:val="24"/>
        </w:rPr>
        <w:t xml:space="preserve"> and </w:t>
      </w:r>
      <w:proofErr w:type="spellStart"/>
      <w:r w:rsidRPr="00DC722D">
        <w:rPr>
          <w:rFonts w:ascii="Times New Roman" w:hAnsi="Times New Roman" w:cs="Times New Roman"/>
          <w:sz w:val="24"/>
          <w:szCs w:val="24"/>
        </w:rPr>
        <w:t>Bronlet</w:t>
      </w:r>
      <w:proofErr w:type="spellEnd"/>
      <w:r w:rsidRPr="00DC722D">
        <w:rPr>
          <w:rFonts w:ascii="Times New Roman" w:hAnsi="Times New Roman" w:cs="Times New Roman"/>
          <w:sz w:val="24"/>
          <w:szCs w:val="24"/>
        </w:rPr>
        <w:t xml:space="preserve">, 2003). Whence it would be intriguing for </w:t>
      </w:r>
      <w:r>
        <w:rPr>
          <w:rFonts w:ascii="Times New Roman" w:hAnsi="Times New Roman" w:cs="Times New Roman"/>
          <w:sz w:val="24"/>
          <w:szCs w:val="24"/>
        </w:rPr>
        <w:t xml:space="preserve">financial </w:t>
      </w:r>
      <w:r w:rsidRPr="00DC722D">
        <w:rPr>
          <w:rFonts w:ascii="Times New Roman" w:hAnsi="Times New Roman" w:cs="Times New Roman"/>
          <w:sz w:val="24"/>
          <w:szCs w:val="24"/>
        </w:rPr>
        <w:t xml:space="preserve">investigators to rethink an association among </w:t>
      </w:r>
      <w:proofErr w:type="spellStart"/>
      <w:r w:rsidRPr="00DC722D">
        <w:rPr>
          <w:rFonts w:ascii="Times New Roman" w:hAnsi="Times New Roman" w:cs="Times New Roman"/>
          <w:sz w:val="24"/>
          <w:szCs w:val="24"/>
        </w:rPr>
        <w:t>Benford</w:t>
      </w:r>
      <w:proofErr w:type="spellEnd"/>
      <w:r w:rsidRPr="00DC722D">
        <w:rPr>
          <w:rFonts w:ascii="Times New Roman" w:hAnsi="Times New Roman" w:cs="Times New Roman"/>
          <w:sz w:val="24"/>
          <w:szCs w:val="24"/>
        </w:rPr>
        <w:t xml:space="preserve"> and </w:t>
      </w:r>
      <w:proofErr w:type="spellStart"/>
      <w:r w:rsidRPr="00DC722D">
        <w:rPr>
          <w:rFonts w:ascii="Times New Roman" w:hAnsi="Times New Roman" w:cs="Times New Roman"/>
          <w:sz w:val="24"/>
          <w:szCs w:val="24"/>
        </w:rPr>
        <w:t>Zipf</w:t>
      </w:r>
      <w:proofErr w:type="spellEnd"/>
      <w:r w:rsidRPr="00DC722D">
        <w:rPr>
          <w:rFonts w:ascii="Times New Roman" w:hAnsi="Times New Roman" w:cs="Times New Roman"/>
          <w:sz w:val="24"/>
          <w:szCs w:val="24"/>
        </w:rPr>
        <w:t xml:space="preserve"> law draws near.</w:t>
      </w:r>
    </w:p>
    <w:p w14:paraId="62492D75" w14:textId="77777777" w:rsidR="007344C9" w:rsidRPr="00B06DC4" w:rsidRDefault="007344C9" w:rsidP="009340A8">
      <w:pPr>
        <w:autoSpaceDE w:val="0"/>
        <w:autoSpaceDN w:val="0"/>
        <w:adjustRightInd w:val="0"/>
        <w:spacing w:after="0" w:line="360" w:lineRule="auto"/>
        <w:jc w:val="both"/>
        <w:rPr>
          <w:rFonts w:ascii="Times New Roman" w:hAnsi="Times New Roman" w:cs="Times New Roman"/>
          <w:sz w:val="24"/>
          <w:szCs w:val="24"/>
        </w:rPr>
      </w:pPr>
      <w:r w:rsidRPr="00B06DC4">
        <w:rPr>
          <w:rStyle w:val="landing-page-changedtext-0-2-17"/>
          <w:rFonts w:ascii="Times New Roman" w:hAnsi="Times New Roman" w:cs="Times New Roman"/>
          <w:sz w:val="24"/>
          <w:szCs w:val="24"/>
          <w:shd w:val="clear" w:color="auto" w:fill="FFFFFF"/>
        </w:rPr>
        <w:t>A</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frequent</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feature</w:t>
      </w:r>
      <w:r w:rsidRPr="00B06DC4">
        <w:rPr>
          <w:rFonts w:ascii="Times New Roman" w:hAnsi="Times New Roman" w:cs="Times New Roman"/>
          <w:sz w:val="24"/>
          <w:szCs w:val="24"/>
          <w:shd w:val="clear" w:color="auto" w:fill="FFFFFF"/>
        </w:rPr>
        <w:t> of many datasets </w:t>
      </w:r>
      <w:r w:rsidRPr="00B06DC4">
        <w:rPr>
          <w:rStyle w:val="landing-page-changedtext-0-2-17"/>
          <w:rFonts w:ascii="Times New Roman" w:hAnsi="Times New Roman" w:cs="Times New Roman"/>
          <w:sz w:val="24"/>
          <w:szCs w:val="24"/>
          <w:shd w:val="clear" w:color="auto" w:fill="FFFFFF"/>
        </w:rPr>
        <w:t>is</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the regularity of their </w:t>
      </w:r>
      <w:r w:rsidRPr="00B06DC4">
        <w:rPr>
          <w:rFonts w:ascii="Times New Roman" w:hAnsi="Times New Roman" w:cs="Times New Roman"/>
          <w:sz w:val="24"/>
          <w:szCs w:val="24"/>
          <w:shd w:val="clear" w:color="auto" w:fill="FFFFFF"/>
        </w:rPr>
        <w:t>elements</w:t>
      </w:r>
      <w:r w:rsidRPr="00B06DC4">
        <w:rPr>
          <w:rStyle w:val="landing-page-changedtext-0-2-17"/>
          <w:rFonts w:ascii="Times New Roman" w:hAnsi="Times New Roman" w:cs="Times New Roman"/>
          <w:sz w:val="24"/>
          <w:szCs w:val="24"/>
          <w:shd w:val="clear" w:color="auto" w:fill="FFFFFF"/>
        </w:rPr>
        <w:t>,</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which</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allows them to keep </w:t>
      </w:r>
      <w:r w:rsidRPr="00B06DC4">
        <w:rPr>
          <w:rFonts w:ascii="Times New Roman" w:hAnsi="Times New Roman" w:cs="Times New Roman"/>
          <w:sz w:val="24"/>
          <w:szCs w:val="24"/>
          <w:shd w:val="clear" w:color="auto" w:fill="FFFFFF"/>
        </w:rPr>
        <w:t>their individuality </w:t>
      </w:r>
      <w:r w:rsidRPr="00B06DC4">
        <w:rPr>
          <w:rStyle w:val="landing-page-changedtext-0-2-17"/>
          <w:rFonts w:ascii="Times New Roman" w:hAnsi="Times New Roman" w:cs="Times New Roman"/>
          <w:sz w:val="24"/>
          <w:szCs w:val="24"/>
          <w:shd w:val="clear" w:color="auto" w:fill="FFFFFF"/>
        </w:rPr>
        <w:t>within</w:t>
      </w:r>
      <w:r w:rsidRPr="00B06DC4">
        <w:rPr>
          <w:rFonts w:ascii="Times New Roman" w:hAnsi="Times New Roman" w:cs="Times New Roman"/>
          <w:sz w:val="24"/>
          <w:szCs w:val="24"/>
          <w:shd w:val="clear" w:color="auto" w:fill="FFFFFF"/>
        </w:rPr>
        <w:t> a unified framework. </w:t>
      </w:r>
      <w:r w:rsidRPr="00B06DC4">
        <w:rPr>
          <w:rStyle w:val="landing-page-changedtext-0-2-17"/>
          <w:rFonts w:ascii="Times New Roman" w:hAnsi="Times New Roman" w:cs="Times New Roman"/>
          <w:sz w:val="24"/>
          <w:szCs w:val="24"/>
          <w:shd w:val="clear" w:color="auto" w:fill="FFFFFF"/>
        </w:rPr>
        <w:t>An</w:t>
      </w:r>
      <w:r w:rsidRPr="00B06DC4">
        <w:rPr>
          <w:rFonts w:ascii="Times New Roman" w:hAnsi="Times New Roman" w:cs="Times New Roman"/>
          <w:sz w:val="24"/>
          <w:szCs w:val="24"/>
          <w:shd w:val="clear" w:color="auto" w:fill="FFFFFF"/>
        </w:rPr>
        <w:t> illustrative </w:t>
      </w:r>
      <w:r w:rsidRPr="00B06DC4">
        <w:rPr>
          <w:rStyle w:val="landing-page-changedtext-0-2-17"/>
          <w:rFonts w:ascii="Times New Roman" w:hAnsi="Times New Roman" w:cs="Times New Roman"/>
          <w:sz w:val="24"/>
          <w:szCs w:val="24"/>
          <w:shd w:val="clear" w:color="auto" w:fill="FFFFFF"/>
        </w:rPr>
        <w:t>example</w:t>
      </w:r>
      <w:r w:rsidRPr="00B06DC4">
        <w:rPr>
          <w:rFonts w:ascii="Times New Roman" w:hAnsi="Times New Roman" w:cs="Times New Roman"/>
          <w:sz w:val="24"/>
          <w:szCs w:val="24"/>
          <w:shd w:val="clear" w:color="auto" w:fill="FFFFFF"/>
        </w:rPr>
        <w:t> of </w:t>
      </w:r>
      <w:r w:rsidRPr="00B06DC4">
        <w:rPr>
          <w:rStyle w:val="landing-page-changedtext-0-2-17"/>
          <w:rFonts w:ascii="Times New Roman" w:hAnsi="Times New Roman" w:cs="Times New Roman"/>
          <w:sz w:val="24"/>
          <w:szCs w:val="24"/>
          <w:shd w:val="clear" w:color="auto" w:fill="FFFFFF"/>
        </w:rPr>
        <w:t>this</w:t>
      </w:r>
      <w:r w:rsidRPr="00B06DC4">
        <w:rPr>
          <w:rFonts w:ascii="Times New Roman" w:hAnsi="Times New Roman" w:cs="Times New Roman"/>
          <w:sz w:val="24"/>
          <w:szCs w:val="24"/>
          <w:shd w:val="clear" w:color="auto" w:fill="FFFFFF"/>
        </w:rPr>
        <w:t> </w:t>
      </w:r>
      <w:r w:rsidRPr="00B06DC4">
        <w:rPr>
          <w:rStyle w:val="landing-page-changedtext-0-2-17"/>
          <w:rFonts w:ascii="Times New Roman" w:hAnsi="Times New Roman" w:cs="Times New Roman"/>
          <w:sz w:val="24"/>
          <w:szCs w:val="24"/>
          <w:shd w:val="clear" w:color="auto" w:fill="FFFFFF"/>
        </w:rPr>
        <w:t>feature</w:t>
      </w:r>
      <w:r w:rsidRPr="00B06DC4">
        <w:rPr>
          <w:rFonts w:ascii="Times New Roman" w:hAnsi="Times New Roman" w:cs="Times New Roman"/>
          <w:sz w:val="24"/>
          <w:szCs w:val="24"/>
          <w:shd w:val="clear" w:color="auto" w:fill="FFFFFF"/>
        </w:rPr>
        <w:t xml:space="preserve"> is that of </w:t>
      </w:r>
      <w:proofErr w:type="spellStart"/>
      <w:r w:rsidRPr="00B06DC4">
        <w:rPr>
          <w:rFonts w:ascii="Times New Roman" w:hAnsi="Times New Roman" w:cs="Times New Roman"/>
          <w:sz w:val="24"/>
          <w:szCs w:val="24"/>
          <w:shd w:val="clear" w:color="auto" w:fill="FFFFFF"/>
        </w:rPr>
        <w:t>Benford</w:t>
      </w:r>
      <w:r w:rsidRPr="00B06DC4">
        <w:rPr>
          <w:rStyle w:val="landing-page-changedtext-0-2-17"/>
          <w:rFonts w:ascii="Times New Roman" w:hAnsi="Times New Roman" w:cs="Times New Roman"/>
          <w:sz w:val="24"/>
          <w:szCs w:val="24"/>
          <w:shd w:val="clear" w:color="auto" w:fill="FFFFFF"/>
        </w:rPr>
        <w:t>'</w:t>
      </w:r>
      <w:r w:rsidRPr="00B06DC4">
        <w:rPr>
          <w:rFonts w:ascii="Times New Roman" w:hAnsi="Times New Roman" w:cs="Times New Roman"/>
          <w:sz w:val="24"/>
          <w:szCs w:val="24"/>
          <w:shd w:val="clear" w:color="auto" w:fill="FFFFFF"/>
        </w:rPr>
        <w:t>s</w:t>
      </w:r>
      <w:proofErr w:type="spellEnd"/>
      <w:r w:rsidRPr="00B06DC4">
        <w:rPr>
          <w:rFonts w:ascii="Times New Roman" w:hAnsi="Times New Roman" w:cs="Times New Roman"/>
          <w:sz w:val="24"/>
          <w:szCs w:val="24"/>
          <w:shd w:val="clear" w:color="auto" w:fill="FFFFFF"/>
        </w:rPr>
        <w:t xml:space="preserve"> law, introduced in (Newcomb, 1881)</w:t>
      </w:r>
      <w:r w:rsidRPr="00B06DC4">
        <w:rPr>
          <w:rStyle w:val="landing-page-changedtext-0-2-17"/>
          <w:rFonts w:ascii="Times New Roman" w:hAnsi="Times New Roman" w:cs="Times New Roman"/>
          <w:sz w:val="24"/>
          <w:szCs w:val="24"/>
          <w:shd w:val="clear" w:color="auto" w:fill="FFFFFF"/>
        </w:rPr>
        <w:t xml:space="preserve"> </w:t>
      </w:r>
      <w:r w:rsidRPr="00B06DC4">
        <w:rPr>
          <w:rFonts w:ascii="Times New Roman" w:hAnsi="Times New Roman" w:cs="Times New Roman"/>
          <w:sz w:val="24"/>
          <w:szCs w:val="24"/>
        </w:rPr>
        <w:t>and successfully tested and described in (</w:t>
      </w:r>
      <w:proofErr w:type="spellStart"/>
      <w:r w:rsidRPr="00B06DC4">
        <w:rPr>
          <w:rFonts w:ascii="Times New Roman" w:hAnsi="Times New Roman" w:cs="Times New Roman"/>
          <w:sz w:val="24"/>
          <w:szCs w:val="24"/>
        </w:rPr>
        <w:t>Benford</w:t>
      </w:r>
      <w:proofErr w:type="spellEnd"/>
      <w:r w:rsidRPr="00B06DC4">
        <w:rPr>
          <w:rFonts w:ascii="Times New Roman" w:hAnsi="Times New Roman" w:cs="Times New Roman"/>
          <w:sz w:val="24"/>
          <w:szCs w:val="24"/>
        </w:rPr>
        <w:t xml:space="preserve">, 1938). </w:t>
      </w:r>
      <w:proofErr w:type="spellStart"/>
      <w:r w:rsidRPr="00B06DC4">
        <w:rPr>
          <w:rFonts w:ascii="Times New Roman" w:hAnsi="Times New Roman" w:cs="Times New Roman"/>
          <w:color w:val="000000"/>
          <w:sz w:val="24"/>
          <w:szCs w:val="24"/>
        </w:rPr>
        <w:t>Benford’s</w:t>
      </w:r>
      <w:proofErr w:type="spellEnd"/>
      <w:r w:rsidRPr="00B06DC4">
        <w:rPr>
          <w:rFonts w:ascii="Times New Roman" w:hAnsi="Times New Roman" w:cs="Times New Roman"/>
          <w:color w:val="000000"/>
          <w:sz w:val="24"/>
          <w:szCs w:val="24"/>
        </w:rPr>
        <w:t xml:space="preserve"> law is a sort of magic rule, for which the first digit(s) of the elements of a given dataset follow a specific distribution called </w:t>
      </w:r>
      <w:proofErr w:type="spellStart"/>
      <w:r w:rsidRPr="00B06DC4">
        <w:rPr>
          <w:rFonts w:ascii="Times New Roman" w:hAnsi="Times New Roman" w:cs="Times New Roman"/>
          <w:color w:val="000000"/>
          <w:sz w:val="24"/>
          <w:szCs w:val="24"/>
        </w:rPr>
        <w:t>Benford’s</w:t>
      </w:r>
      <w:proofErr w:type="spellEnd"/>
      <w:r w:rsidRPr="00B06DC4">
        <w:rPr>
          <w:rFonts w:ascii="Times New Roman" w:hAnsi="Times New Roman" w:cs="Times New Roman"/>
          <w:color w:val="000000"/>
          <w:sz w:val="24"/>
          <w:szCs w:val="24"/>
        </w:rPr>
        <w:t xml:space="preserve"> distribution. </w:t>
      </w:r>
      <w:proofErr w:type="spellStart"/>
      <w:r w:rsidRPr="00B06DC4">
        <w:rPr>
          <w:rFonts w:ascii="Times New Roman" w:hAnsi="Times New Roman" w:cs="Times New Roman"/>
          <w:color w:val="000000"/>
          <w:sz w:val="24"/>
          <w:szCs w:val="24"/>
        </w:rPr>
        <w:t>Benford’s</w:t>
      </w:r>
      <w:proofErr w:type="spellEnd"/>
      <w:r w:rsidRPr="00B06DC4">
        <w:rPr>
          <w:rFonts w:ascii="Times New Roman" w:hAnsi="Times New Roman" w:cs="Times New Roman"/>
          <w:color w:val="000000"/>
          <w:sz w:val="24"/>
          <w:szCs w:val="24"/>
        </w:rPr>
        <w:t xml:space="preserve"> law is not at all intuitive; however, over the years, long after Frank </w:t>
      </w:r>
      <w:proofErr w:type="spellStart"/>
      <w:r w:rsidRPr="00B06DC4">
        <w:rPr>
          <w:rFonts w:ascii="Times New Roman" w:hAnsi="Times New Roman" w:cs="Times New Roman"/>
          <w:color w:val="000000"/>
          <w:sz w:val="24"/>
          <w:szCs w:val="24"/>
        </w:rPr>
        <w:t>Benford’s</w:t>
      </w:r>
      <w:proofErr w:type="spellEnd"/>
      <w:r w:rsidRPr="00B06DC4">
        <w:rPr>
          <w:rFonts w:ascii="Times New Roman" w:hAnsi="Times New Roman" w:cs="Times New Roman"/>
          <w:color w:val="000000"/>
          <w:sz w:val="24"/>
          <w:szCs w:val="24"/>
        </w:rPr>
        <w:t xml:space="preserve"> </w:t>
      </w:r>
      <w:proofErr w:type="spellStart"/>
      <w:r w:rsidRPr="00B06DC4">
        <w:rPr>
          <w:rFonts w:ascii="Times New Roman" w:hAnsi="Times New Roman" w:cs="Times New Roman"/>
          <w:color w:val="000000"/>
          <w:sz w:val="24"/>
          <w:szCs w:val="24"/>
        </w:rPr>
        <w:t>rsearch</w:t>
      </w:r>
      <w:proofErr w:type="spellEnd"/>
      <w:r w:rsidRPr="00B06DC4">
        <w:rPr>
          <w:rFonts w:ascii="Times New Roman" w:hAnsi="Times New Roman" w:cs="Times New Roman"/>
          <w:color w:val="000000"/>
          <w:sz w:val="24"/>
          <w:szCs w:val="24"/>
        </w:rPr>
        <w:t xml:space="preserve"> appeared and provide several solid theoretical motivations and explanations have been found, mathematically validating the phenomenon (</w:t>
      </w:r>
      <w:proofErr w:type="spellStart"/>
      <w:r w:rsidRPr="00B06DC4">
        <w:rPr>
          <w:rFonts w:ascii="Times New Roman" w:hAnsi="Times New Roman" w:cs="Times New Roman"/>
          <w:color w:val="000000"/>
          <w:sz w:val="24"/>
          <w:szCs w:val="24"/>
        </w:rPr>
        <w:t>Kossovsky</w:t>
      </w:r>
      <w:proofErr w:type="spellEnd"/>
      <w:r w:rsidRPr="00B06DC4">
        <w:rPr>
          <w:rFonts w:ascii="Times New Roman" w:hAnsi="Times New Roman" w:cs="Times New Roman"/>
          <w:color w:val="000000"/>
          <w:sz w:val="24"/>
          <w:szCs w:val="24"/>
        </w:rPr>
        <w:t xml:space="preserve">, 2014; </w:t>
      </w:r>
      <w:proofErr w:type="spellStart"/>
      <w:r w:rsidRPr="00B06DC4">
        <w:rPr>
          <w:rFonts w:ascii="Times New Roman" w:hAnsi="Times New Roman" w:cs="Times New Roman"/>
          <w:color w:val="000000"/>
          <w:sz w:val="24"/>
          <w:szCs w:val="24"/>
        </w:rPr>
        <w:t>Bergers</w:t>
      </w:r>
      <w:proofErr w:type="spellEnd"/>
      <w:r w:rsidRPr="00B06DC4">
        <w:rPr>
          <w:rFonts w:ascii="Times New Roman" w:hAnsi="Times New Roman" w:cs="Times New Roman"/>
          <w:color w:val="000000"/>
          <w:sz w:val="24"/>
          <w:szCs w:val="24"/>
        </w:rPr>
        <w:t xml:space="preserve">, 2015; </w:t>
      </w:r>
      <w:proofErr w:type="spellStart"/>
      <w:r w:rsidRPr="00B06DC4">
        <w:rPr>
          <w:rFonts w:ascii="Times New Roman" w:hAnsi="Times New Roman" w:cs="Times New Roman"/>
          <w:color w:val="000000"/>
          <w:sz w:val="24"/>
          <w:szCs w:val="24"/>
        </w:rPr>
        <w:t>Riami</w:t>
      </w:r>
      <w:proofErr w:type="spellEnd"/>
      <w:r w:rsidRPr="00B06DC4">
        <w:rPr>
          <w:rFonts w:ascii="Times New Roman" w:hAnsi="Times New Roman" w:cs="Times New Roman"/>
          <w:color w:val="000000"/>
          <w:sz w:val="24"/>
          <w:szCs w:val="24"/>
        </w:rPr>
        <w:t xml:space="preserve">, 1976; Hill, 1995; </w:t>
      </w:r>
      <w:proofErr w:type="spellStart"/>
      <w:r w:rsidRPr="00B06DC4">
        <w:rPr>
          <w:rFonts w:ascii="Times New Roman" w:hAnsi="Times New Roman" w:cs="Times New Roman"/>
          <w:color w:val="000000"/>
          <w:sz w:val="24"/>
          <w:szCs w:val="24"/>
        </w:rPr>
        <w:t>Leemis</w:t>
      </w:r>
      <w:proofErr w:type="spellEnd"/>
      <w:r w:rsidRPr="00B06DC4">
        <w:rPr>
          <w:rFonts w:ascii="Times New Roman" w:hAnsi="Times New Roman" w:cs="Times New Roman"/>
          <w:color w:val="000000"/>
          <w:sz w:val="24"/>
          <w:szCs w:val="24"/>
        </w:rPr>
        <w:t xml:space="preserve">, 2015; Miller, 2015; </w:t>
      </w:r>
      <w:proofErr w:type="spellStart"/>
      <w:r w:rsidRPr="00B06DC4">
        <w:rPr>
          <w:rFonts w:ascii="Times New Roman" w:hAnsi="Times New Roman" w:cs="Times New Roman"/>
          <w:color w:val="000000"/>
          <w:sz w:val="24"/>
          <w:szCs w:val="24"/>
        </w:rPr>
        <w:t>Schurger</w:t>
      </w:r>
      <w:proofErr w:type="spellEnd"/>
      <w:r w:rsidRPr="00B06DC4">
        <w:rPr>
          <w:rFonts w:ascii="Times New Roman" w:hAnsi="Times New Roman" w:cs="Times New Roman"/>
          <w:color w:val="000000"/>
          <w:sz w:val="24"/>
          <w:szCs w:val="24"/>
        </w:rPr>
        <w:t xml:space="preserve">, 2015; and </w:t>
      </w:r>
      <w:proofErr w:type="spellStart"/>
      <w:r w:rsidRPr="00B06DC4">
        <w:rPr>
          <w:rFonts w:ascii="Times New Roman" w:hAnsi="Times New Roman" w:cs="Times New Roman"/>
          <w:color w:val="000000"/>
          <w:sz w:val="24"/>
          <w:szCs w:val="24"/>
        </w:rPr>
        <w:t>Kossovsky</w:t>
      </w:r>
      <w:proofErr w:type="spellEnd"/>
      <w:r w:rsidRPr="00B06DC4">
        <w:rPr>
          <w:rFonts w:ascii="Times New Roman" w:hAnsi="Times New Roman" w:cs="Times New Roman"/>
          <w:color w:val="000000"/>
          <w:sz w:val="24"/>
          <w:szCs w:val="24"/>
        </w:rPr>
        <w:t xml:space="preserve">, 2021). Surprisingly, this digital pattern holds true in a large number of cases, with datasets in the fields of economics, accounting, finance, geophysics and hydrology, as well as social sciences. </w:t>
      </w:r>
    </w:p>
    <w:p w14:paraId="2C61D8B7" w14:textId="77777777" w:rsidR="007344C9" w:rsidRPr="00B06DC4" w:rsidRDefault="007344C9" w:rsidP="009340A8">
      <w:pPr>
        <w:spacing w:line="360" w:lineRule="auto"/>
        <w:jc w:val="both"/>
        <w:rPr>
          <w:rFonts w:ascii="Times New Roman" w:hAnsi="Times New Roman" w:cs="Times New Roman"/>
          <w:color w:val="333333"/>
          <w:sz w:val="24"/>
          <w:szCs w:val="24"/>
          <w:shd w:val="clear" w:color="auto" w:fill="FFFFFF"/>
        </w:rPr>
      </w:pPr>
      <w:r w:rsidRPr="00B06DC4">
        <w:rPr>
          <w:rFonts w:ascii="Times New Roman" w:hAnsi="Times New Roman" w:cs="Times New Roman"/>
          <w:color w:val="333333"/>
          <w:sz w:val="24"/>
          <w:szCs w:val="24"/>
          <w:shd w:val="clear" w:color="auto" w:fill="FFFFFF"/>
        </w:rPr>
        <w:t xml:space="preserve">The application of </w:t>
      </w:r>
      <w:proofErr w:type="spellStart"/>
      <w:r w:rsidRPr="00B06DC4">
        <w:rPr>
          <w:rFonts w:ascii="Times New Roman" w:hAnsi="Times New Roman" w:cs="Times New Roman"/>
          <w:color w:val="333333"/>
          <w:sz w:val="24"/>
          <w:szCs w:val="24"/>
          <w:shd w:val="clear" w:color="auto" w:fill="FFFFFF"/>
        </w:rPr>
        <w:t>Benford’s</w:t>
      </w:r>
      <w:proofErr w:type="spellEnd"/>
      <w:r w:rsidRPr="00B06DC4">
        <w:rPr>
          <w:rFonts w:ascii="Times New Roman" w:hAnsi="Times New Roman" w:cs="Times New Roman"/>
          <w:color w:val="333333"/>
          <w:sz w:val="24"/>
          <w:szCs w:val="24"/>
          <w:shd w:val="clear" w:color="auto" w:fill="FFFFFF"/>
        </w:rPr>
        <w:t xml:space="preserve"> law to stock trade and returns was explored and it was found that stock trade that included volume, number of trades, and turnover confirmed the distribution but stock returns did not conform the distribution (Jayashree, 2017). In this context, the present study attempts to understand its implications to investors by examining the data of stock volume tick by tick data to cover during announcement and post-announcement period of observation. The study also examines whether stocks volume conforming the distribution and stocks volume returns not conforming the distribution are significantly different in buying and selling.</w:t>
      </w:r>
    </w:p>
    <w:p w14:paraId="40C3BDF2" w14:textId="77777777" w:rsidR="007344C9" w:rsidRPr="00B06DC4" w:rsidRDefault="007344C9" w:rsidP="009340A8">
      <w:pPr>
        <w:shd w:val="clear" w:color="auto" w:fill="FFFFFF"/>
        <w:spacing w:after="0" w:line="360" w:lineRule="auto"/>
        <w:jc w:val="both"/>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 xml:space="preserve">Some of the obvious reasons for further research are identified below. First, the data collection method may include an obvious source of sample bias in that with the benefit of hindsight, the status of ‘errant’ and ‘compliant’ companies was known before testing was conducted. This begs the question of whether the test method would be as reliable in the case of live data, that </w:t>
      </w:r>
      <w:r w:rsidRPr="00B06DC4">
        <w:rPr>
          <w:rFonts w:ascii="Times New Roman" w:eastAsia="Times New Roman" w:hAnsi="Times New Roman" w:cs="Times New Roman"/>
          <w:sz w:val="24"/>
          <w:szCs w:val="24"/>
          <w:lang w:eastAsia="en-GB"/>
        </w:rPr>
        <w:lastRenderedPageBreak/>
        <w:t>is, as a prediction tool (where the value of the instrument is unambiguously greatest). There is no cause to doubt that this is the case. Nevertheless, testing of live data would go some way in confirming the tool’s validity. Second, and related to this point, the results reveal that the test functions in a highly effective fashion in the tails of the distribution– correctly failing ‘errant’ companies and passing ‘compliant’ companies. However, the data set used in this study offers no insight as to ‘what goes on in between’. Over most of the sample period there were in excess.</w:t>
      </w:r>
    </w:p>
    <w:p w14:paraId="305AC21C" w14:textId="77777777" w:rsidR="007344C9" w:rsidRPr="00B06DC4" w:rsidRDefault="007344C9" w:rsidP="009340A8">
      <w:pPr>
        <w:shd w:val="clear" w:color="auto" w:fill="FFFFFF"/>
        <w:spacing w:after="0" w:line="360" w:lineRule="auto"/>
        <w:jc w:val="both"/>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 xml:space="preserve">The instrument is arguably best used as an indicator of potential data error or fraud rather than a corroborator of data problems. Third, the results offer no guide as to whether all windows that fail the test ultimately fail and, if so, what the extent of the lag in time is between detection and failure. Fourth, why would not in the international setting, </w:t>
      </w:r>
      <w:proofErr w:type="spellStart"/>
      <w:r w:rsidRPr="00B06DC4">
        <w:rPr>
          <w:rFonts w:ascii="Times New Roman" w:eastAsia="Times New Roman" w:hAnsi="Times New Roman" w:cs="Times New Roman"/>
          <w:sz w:val="24"/>
          <w:szCs w:val="24"/>
          <w:lang w:eastAsia="en-GB"/>
        </w:rPr>
        <w:t>Benford’s</w:t>
      </w:r>
      <w:proofErr w:type="spellEnd"/>
      <w:r w:rsidRPr="00B06DC4">
        <w:rPr>
          <w:rFonts w:ascii="Times New Roman" w:eastAsia="Times New Roman" w:hAnsi="Times New Roman" w:cs="Times New Roman"/>
          <w:sz w:val="24"/>
          <w:szCs w:val="24"/>
          <w:lang w:eastAsia="en-GB"/>
        </w:rPr>
        <w:t xml:space="preserve"> Law has been applied more widely than accounting data as the basis for detecting data error or fraud. </w:t>
      </w:r>
    </w:p>
    <w:p w14:paraId="60C06E05" w14:textId="69C58704" w:rsidR="008B2804" w:rsidRPr="00B06DC4" w:rsidRDefault="00B41143" w:rsidP="00B41143">
      <w:pPr>
        <w:pStyle w:val="Heading2"/>
      </w:pPr>
      <w:bookmarkStart w:id="154" w:name="_Toc90499988"/>
      <w:r w:rsidRPr="00B06DC4">
        <w:t>2.6 Contribution To knowledge</w:t>
      </w:r>
      <w:bookmarkEnd w:id="154"/>
      <w:r w:rsidRPr="00B06DC4">
        <w:t xml:space="preserve"> </w:t>
      </w:r>
    </w:p>
    <w:p w14:paraId="6E4621C3" w14:textId="77777777" w:rsidR="00B41143" w:rsidRPr="00B06DC4" w:rsidRDefault="00B41143" w:rsidP="00B41143">
      <w:pPr>
        <w:shd w:val="clear" w:color="auto" w:fill="FFFFFF"/>
        <w:spacing w:after="0" w:line="360" w:lineRule="auto"/>
        <w:jc w:val="both"/>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 xml:space="preserve">Over the past decade, the frequency of accounting data error and fraud has increased in the international and domestic settings. The adverse economic effects of these data problems are considered to be material. For this reason, broad-based efforts are being made by the accounting and auditing professions and regulatory authorities to reduce the incidence of data error and fraud. However, even in a world where recording and reporting of data is potentially error free, elements of human behaviour (such as greed and deceit) will linger on, causing data error and fraud to persist. Moreover, the pace at which progress in accounting, auditing and regulatory advances are being made is slow. For these reasons, error and fraud detection instruments are likely to remain important instruments in the toolkits of auditors, shareholders, financial analysts, investment managers, private investors and other users of publicly reported accounting data, such as the revenue services. One such potential tool is </w:t>
      </w:r>
      <w:proofErr w:type="spellStart"/>
      <w:r w:rsidRPr="00B06DC4">
        <w:rPr>
          <w:rFonts w:ascii="Times New Roman" w:eastAsia="Times New Roman" w:hAnsi="Times New Roman" w:cs="Times New Roman"/>
          <w:sz w:val="24"/>
          <w:szCs w:val="24"/>
          <w:lang w:eastAsia="en-GB"/>
        </w:rPr>
        <w:t>Benford’s</w:t>
      </w:r>
      <w:proofErr w:type="spellEnd"/>
      <w:r w:rsidRPr="00B06DC4">
        <w:rPr>
          <w:rFonts w:ascii="Times New Roman" w:eastAsia="Times New Roman" w:hAnsi="Times New Roman" w:cs="Times New Roman"/>
          <w:sz w:val="24"/>
          <w:szCs w:val="24"/>
          <w:lang w:eastAsia="en-GB"/>
        </w:rPr>
        <w:t xml:space="preserve"> Law. However, whilst the potential effectiveness of the law has been established in the international literature, the domestic research environment is silent on the topic. </w:t>
      </w:r>
      <w:r w:rsidRPr="00B06DC4">
        <w:rPr>
          <w:rFonts w:ascii="Times New Roman" w:hAnsi="Times New Roman" w:cs="Times New Roman"/>
          <w:spacing w:val="-1"/>
          <w:sz w:val="24"/>
          <w:szCs w:val="24"/>
          <w:shd w:val="clear" w:color="auto" w:fill="FFFFFF"/>
        </w:rPr>
        <w:t>Similar to the usage of Normal distribution as a tool for reference and gold standard, this law can be utilized to detect </w:t>
      </w:r>
      <w:r w:rsidRPr="00B06DC4">
        <w:rPr>
          <w:rStyle w:val="Strong"/>
          <w:rFonts w:ascii="Times New Roman" w:hAnsi="Times New Roman" w:cs="Times New Roman"/>
          <w:b w:val="0"/>
          <w:spacing w:val="-1"/>
          <w:sz w:val="24"/>
          <w:szCs w:val="24"/>
          <w:shd w:val="clear" w:color="auto" w:fill="FFFFFF"/>
        </w:rPr>
        <w:t>patterns (or lack thereof)</w:t>
      </w:r>
      <w:r w:rsidRPr="00B06DC4">
        <w:rPr>
          <w:rFonts w:ascii="Times New Roman" w:hAnsi="Times New Roman" w:cs="Times New Roman"/>
          <w:b/>
          <w:spacing w:val="-1"/>
          <w:sz w:val="24"/>
          <w:szCs w:val="24"/>
          <w:shd w:val="clear" w:color="auto" w:fill="FFFFFF"/>
        </w:rPr>
        <w:t> </w:t>
      </w:r>
      <w:r w:rsidRPr="00B06DC4">
        <w:rPr>
          <w:rFonts w:ascii="Times New Roman" w:hAnsi="Times New Roman" w:cs="Times New Roman"/>
          <w:spacing w:val="-1"/>
          <w:sz w:val="24"/>
          <w:szCs w:val="24"/>
          <w:shd w:val="clear" w:color="auto" w:fill="FFFFFF"/>
        </w:rPr>
        <w:t>in naturally occurring datasets. This can lead to important applications in data science such as </w:t>
      </w:r>
      <w:r w:rsidRPr="00B06DC4">
        <w:rPr>
          <w:rStyle w:val="Strong"/>
          <w:rFonts w:ascii="Times New Roman" w:hAnsi="Times New Roman" w:cs="Times New Roman"/>
          <w:b w:val="0"/>
          <w:spacing w:val="-1"/>
          <w:sz w:val="24"/>
          <w:szCs w:val="24"/>
          <w:shd w:val="clear" w:color="auto" w:fill="FFFFFF"/>
        </w:rPr>
        <w:t>catching anomalies</w:t>
      </w:r>
      <w:r w:rsidRPr="00B06DC4">
        <w:rPr>
          <w:rFonts w:ascii="Times New Roman" w:hAnsi="Times New Roman" w:cs="Times New Roman"/>
          <w:spacing w:val="-1"/>
          <w:sz w:val="24"/>
          <w:szCs w:val="24"/>
          <w:shd w:val="clear" w:color="auto" w:fill="FFFFFF"/>
        </w:rPr>
        <w:t> or </w:t>
      </w:r>
      <w:r w:rsidRPr="00B06DC4">
        <w:rPr>
          <w:rStyle w:val="Strong"/>
          <w:rFonts w:ascii="Times New Roman" w:hAnsi="Times New Roman" w:cs="Times New Roman"/>
          <w:b w:val="0"/>
          <w:spacing w:val="-1"/>
          <w:sz w:val="24"/>
          <w:szCs w:val="24"/>
          <w:shd w:val="clear" w:color="auto" w:fill="FFFFFF"/>
        </w:rPr>
        <w:t>fraud detection</w:t>
      </w:r>
      <w:r w:rsidRPr="00B06DC4">
        <w:rPr>
          <w:rFonts w:ascii="Times New Roman" w:hAnsi="Times New Roman" w:cs="Times New Roman"/>
          <w:b/>
          <w:spacing w:val="-1"/>
          <w:sz w:val="24"/>
          <w:szCs w:val="24"/>
          <w:shd w:val="clear" w:color="auto" w:fill="FFFFFF"/>
        </w:rPr>
        <w:t xml:space="preserve">. </w:t>
      </w:r>
      <w:r w:rsidRPr="00B06DC4">
        <w:rPr>
          <w:rFonts w:ascii="Times New Roman" w:eastAsia="Times New Roman" w:hAnsi="Times New Roman" w:cs="Times New Roman"/>
          <w:sz w:val="24"/>
          <w:szCs w:val="24"/>
          <w:lang w:eastAsia="en-GB"/>
        </w:rPr>
        <w:t xml:space="preserve">The reason for this appears to be elegantly simple: like supernovae, fraudulent companies give themselves away by shining more brightly than their peers as they zealously thrash away them final moments. Nevertheless, whilst these early results of the application of </w:t>
      </w:r>
      <w:proofErr w:type="spellStart"/>
      <w:r w:rsidRPr="00B06DC4">
        <w:rPr>
          <w:rFonts w:ascii="Times New Roman" w:eastAsia="Times New Roman" w:hAnsi="Times New Roman" w:cs="Times New Roman"/>
          <w:sz w:val="24"/>
          <w:szCs w:val="24"/>
          <w:lang w:eastAsia="en-GB"/>
        </w:rPr>
        <w:t>Benford’s</w:t>
      </w:r>
      <w:proofErr w:type="spellEnd"/>
      <w:r w:rsidRPr="00B06DC4">
        <w:rPr>
          <w:rFonts w:ascii="Times New Roman" w:eastAsia="Times New Roman" w:hAnsi="Times New Roman" w:cs="Times New Roman"/>
          <w:sz w:val="24"/>
          <w:szCs w:val="24"/>
          <w:lang w:eastAsia="en-GB"/>
        </w:rPr>
        <w:t xml:space="preserve"> Law yield encouraging findings, the test procedure and data set have limitations that suggest further research is required. </w:t>
      </w:r>
    </w:p>
    <w:p w14:paraId="36AA285E" w14:textId="77777777" w:rsidR="00B41143" w:rsidRPr="00B06DC4" w:rsidRDefault="00B41143" w:rsidP="00B41143">
      <w:pPr>
        <w:shd w:val="clear" w:color="auto" w:fill="FFFFFF"/>
        <w:spacing w:after="0" w:line="360" w:lineRule="auto"/>
        <w:jc w:val="both"/>
        <w:rPr>
          <w:rFonts w:ascii="Times New Roman" w:eastAsia="Times New Roman" w:hAnsi="Times New Roman" w:cs="Times New Roman"/>
          <w:sz w:val="24"/>
          <w:szCs w:val="24"/>
          <w:lang w:eastAsia="en-GB"/>
        </w:rPr>
      </w:pPr>
      <w:r w:rsidRPr="00B06DC4">
        <w:rPr>
          <w:rFonts w:ascii="Times New Roman" w:hAnsi="Times New Roman" w:cs="Times New Roman"/>
          <w:sz w:val="24"/>
          <w:szCs w:val="24"/>
        </w:rPr>
        <w:lastRenderedPageBreak/>
        <w:t xml:space="preserve">The evolution of prices and volumes in the international stock markets has a remarkable informative content. In fact, financial markets and their components are highly correlated with the surrounding socio-political environment and a shock of noneconomic nature might influence the economic system. </w:t>
      </w:r>
      <w:r w:rsidRPr="00B06DC4">
        <w:rPr>
          <w:rFonts w:ascii="Times New Roman" w:eastAsia="Times New Roman" w:hAnsi="Times New Roman" w:cs="Times New Roman"/>
          <w:sz w:val="24"/>
          <w:szCs w:val="24"/>
          <w:lang w:eastAsia="en-GB"/>
        </w:rPr>
        <w:t xml:space="preserve">Indeed, the potential applications of the law are wide. For instance, the law has been identified as relevant to the interrogation of design efficiency (Hamming, 1970 and Knuth, 1981 in Scott and </w:t>
      </w:r>
      <w:proofErr w:type="spellStart"/>
      <w:r w:rsidRPr="00B06DC4">
        <w:rPr>
          <w:rFonts w:ascii="Times New Roman" w:eastAsia="Times New Roman" w:hAnsi="Times New Roman" w:cs="Times New Roman"/>
          <w:sz w:val="24"/>
          <w:szCs w:val="24"/>
          <w:lang w:eastAsia="en-GB"/>
        </w:rPr>
        <w:t>Fasli</w:t>
      </w:r>
      <w:proofErr w:type="spellEnd"/>
      <w:r w:rsidRPr="00B06DC4">
        <w:rPr>
          <w:rFonts w:ascii="Times New Roman" w:eastAsia="Times New Roman" w:hAnsi="Times New Roman" w:cs="Times New Roman"/>
          <w:sz w:val="24"/>
          <w:szCs w:val="24"/>
          <w:lang w:eastAsia="en-GB"/>
        </w:rPr>
        <w:t xml:space="preserve">, 2001), the examination of authenticity of mathematical models (Varian, 1972 in Scott and </w:t>
      </w:r>
      <w:proofErr w:type="spellStart"/>
      <w:r w:rsidRPr="00B06DC4">
        <w:rPr>
          <w:rFonts w:ascii="Times New Roman" w:eastAsia="Times New Roman" w:hAnsi="Times New Roman" w:cs="Times New Roman"/>
          <w:sz w:val="24"/>
          <w:szCs w:val="24"/>
          <w:lang w:eastAsia="en-GB"/>
        </w:rPr>
        <w:t>Fasli</w:t>
      </w:r>
      <w:proofErr w:type="spellEnd"/>
      <w:r w:rsidRPr="00B06DC4">
        <w:rPr>
          <w:rFonts w:ascii="Times New Roman" w:eastAsia="Times New Roman" w:hAnsi="Times New Roman" w:cs="Times New Roman"/>
          <w:sz w:val="24"/>
          <w:szCs w:val="24"/>
          <w:lang w:eastAsia="en-GB"/>
        </w:rPr>
        <w:t xml:space="preserve">; </w:t>
      </w:r>
      <w:proofErr w:type="spellStart"/>
      <w:r w:rsidRPr="00B06DC4">
        <w:rPr>
          <w:rFonts w:ascii="Times New Roman" w:eastAsia="Times New Roman" w:hAnsi="Times New Roman" w:cs="Times New Roman"/>
          <w:sz w:val="24"/>
          <w:szCs w:val="24"/>
          <w:lang w:eastAsia="en-GB"/>
        </w:rPr>
        <w:t>Nigrini</w:t>
      </w:r>
      <w:proofErr w:type="spellEnd"/>
      <w:r w:rsidRPr="00B06DC4">
        <w:rPr>
          <w:rFonts w:ascii="Times New Roman" w:eastAsia="Times New Roman" w:hAnsi="Times New Roman" w:cs="Times New Roman"/>
          <w:sz w:val="24"/>
          <w:szCs w:val="24"/>
          <w:lang w:eastAsia="en-GB"/>
        </w:rPr>
        <w:t>, 1996), assessment of the validity of research results (Matthews, 1999: 26) and the examination of data storage and data management efficiency (</w:t>
      </w:r>
      <w:proofErr w:type="spellStart"/>
      <w:r w:rsidRPr="00B06DC4">
        <w:rPr>
          <w:rFonts w:ascii="Times New Roman" w:eastAsia="Times New Roman" w:hAnsi="Times New Roman" w:cs="Times New Roman"/>
          <w:sz w:val="24"/>
          <w:szCs w:val="24"/>
          <w:lang w:eastAsia="en-GB"/>
        </w:rPr>
        <w:t>Nigrini</w:t>
      </w:r>
      <w:proofErr w:type="spellEnd"/>
      <w:r w:rsidRPr="00B06DC4">
        <w:rPr>
          <w:rFonts w:ascii="Times New Roman" w:eastAsia="Times New Roman" w:hAnsi="Times New Roman" w:cs="Times New Roman"/>
          <w:sz w:val="24"/>
          <w:szCs w:val="24"/>
          <w:lang w:eastAsia="en-GB"/>
        </w:rPr>
        <w:t xml:space="preserve">, 1999). Moreover, the tool also is applicable as an instrument for detecting fraud in claims (such as insurance claims and expense account claims), payments (bank payments and payroll disbursements) and tax fraud (income declarations and expense claims). However, constraints of time confine the extant study to a consideration of stocks data problems amongst listed companies. Broader, and more detailed, studies of </w:t>
      </w:r>
      <w:proofErr w:type="spellStart"/>
      <w:r w:rsidRPr="00B06DC4">
        <w:rPr>
          <w:rFonts w:ascii="Times New Roman" w:eastAsia="Times New Roman" w:hAnsi="Times New Roman" w:cs="Times New Roman"/>
          <w:sz w:val="24"/>
          <w:szCs w:val="24"/>
          <w:lang w:eastAsia="en-GB"/>
        </w:rPr>
        <w:t>Benford’s</w:t>
      </w:r>
      <w:proofErr w:type="spellEnd"/>
      <w:r w:rsidRPr="00B06DC4">
        <w:rPr>
          <w:rFonts w:ascii="Times New Roman" w:eastAsia="Times New Roman" w:hAnsi="Times New Roman" w:cs="Times New Roman"/>
          <w:sz w:val="24"/>
          <w:szCs w:val="24"/>
          <w:lang w:eastAsia="en-GB"/>
        </w:rPr>
        <w:t xml:space="preserve"> Law should address these limitations.</w:t>
      </w:r>
    </w:p>
    <w:p w14:paraId="24B9AE03" w14:textId="77777777" w:rsidR="00C63836" w:rsidRPr="00B06DC4" w:rsidRDefault="00C63836" w:rsidP="00B41143">
      <w:pPr>
        <w:spacing w:line="360" w:lineRule="auto"/>
        <w:jc w:val="both"/>
        <w:rPr>
          <w:rFonts w:ascii="Times New Roman" w:hAnsi="Times New Roman" w:cs="Times New Roman"/>
          <w:sz w:val="24"/>
          <w:szCs w:val="24"/>
        </w:rPr>
      </w:pPr>
    </w:p>
    <w:p w14:paraId="54832E82" w14:textId="16C528C4" w:rsidR="00B41143" w:rsidRPr="00B06DC4" w:rsidRDefault="00B41143" w:rsidP="00B4114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This doctoral research tried to interpret the efficacy and functionality of financial markets worldwide. It checked the reliability of </w:t>
      </w:r>
      <w:proofErr w:type="spellStart"/>
      <w:r w:rsidRPr="00B06DC4">
        <w:rPr>
          <w:rFonts w:ascii="Times New Roman" w:hAnsi="Times New Roman" w:cs="Times New Roman"/>
          <w:sz w:val="24"/>
          <w:szCs w:val="24"/>
        </w:rPr>
        <w:t>Benford</w:t>
      </w:r>
      <w:proofErr w:type="spellEnd"/>
      <w:r w:rsidRPr="00B06DC4">
        <w:rPr>
          <w:rFonts w:ascii="Times New Roman" w:hAnsi="Times New Roman" w:cs="Times New Roman"/>
          <w:sz w:val="24"/>
          <w:szCs w:val="24"/>
        </w:rPr>
        <w:t xml:space="preserve"> law for stock volume to apply it on daily volumes of stocks comprising S&amp;P500 minute data. It will be interesting to see how this application of </w:t>
      </w:r>
      <w:proofErr w:type="spellStart"/>
      <w:r w:rsidRPr="00B06DC4">
        <w:rPr>
          <w:rFonts w:ascii="Times New Roman" w:hAnsi="Times New Roman" w:cs="Times New Roman"/>
          <w:sz w:val="24"/>
          <w:szCs w:val="24"/>
        </w:rPr>
        <w:t>Benford</w:t>
      </w:r>
      <w:proofErr w:type="spellEnd"/>
      <w:r w:rsidRPr="00B06DC4">
        <w:rPr>
          <w:rFonts w:ascii="Times New Roman" w:hAnsi="Times New Roman" w:cs="Times New Roman"/>
          <w:sz w:val="24"/>
          <w:szCs w:val="24"/>
        </w:rPr>
        <w:t xml:space="preserve"> law analyses and comments consistent results; in fact, the cases in which the Law will be verified are various, and research provide a brief discussion on the technical and historical reasons leading to the failure of this law.</w:t>
      </w:r>
    </w:p>
    <w:p w14:paraId="47954608" w14:textId="1C21A1F1" w:rsidR="00B41143" w:rsidRPr="00B06DC4" w:rsidRDefault="00B41143" w:rsidP="00B4114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This research moves from this scientific ground. We aim at analysing the context of global stock markets with a specific focus on all the indexes composing them. In particular, this research deal with the nature of complex system of the markets and discuss whenever the available time series associated to prices and volumes of the stocks exhibit a sort of “regularity”. Indeed, datasets often exhibit deviations from a pure uniform law, even if they are not constructed in an “ad-hoc” manner. Think about countries’ GDPs, with a great percentage of low levels and a few data with high values.</w:t>
      </w:r>
    </w:p>
    <w:p w14:paraId="44AC6BFC" w14:textId="77777777" w:rsidR="00B41143" w:rsidRPr="00CE5607" w:rsidRDefault="00B41143" w:rsidP="00B41143">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 xml:space="preserve">Consequently, next to an exhaustive examination of a financial index, a case infrequently analysed, certainly over a so huge arrangement of information focuses, explicit reasons for this non-congruity are introduced, highlighting the risk of underestimating </w:t>
      </w:r>
      <w:proofErr w:type="spellStart"/>
      <w:r w:rsidRPr="00B06DC4">
        <w:rPr>
          <w:rFonts w:ascii="Times New Roman" w:hAnsi="Times New Roman" w:cs="Times New Roman"/>
          <w:sz w:val="24"/>
          <w:szCs w:val="24"/>
        </w:rPr>
        <w:t>Benford's</w:t>
      </w:r>
      <w:proofErr w:type="spellEnd"/>
      <w:r w:rsidRPr="00B06DC4">
        <w:rPr>
          <w:rFonts w:ascii="Times New Roman" w:hAnsi="Times New Roman" w:cs="Times New Roman"/>
          <w:sz w:val="24"/>
          <w:szCs w:val="24"/>
        </w:rPr>
        <w:t xml:space="preserve"> laws in enormous information bases, whence prompting "unmistakable ends". “Definite conclusions”.</w:t>
      </w:r>
    </w:p>
    <w:p w14:paraId="45C38294" w14:textId="77777777" w:rsidR="008B2804" w:rsidRDefault="008B2804" w:rsidP="008B2804">
      <w:pPr>
        <w:pStyle w:val="Heading1"/>
        <w:rPr>
          <w:b w:val="0"/>
          <w:bCs w:val="0"/>
          <w:lang w:val="es-AR"/>
        </w:rPr>
      </w:pPr>
      <w:bookmarkStart w:id="155" w:name="_Toc90499989"/>
      <w:proofErr w:type="spellStart"/>
      <w:r w:rsidRPr="009854DA">
        <w:rPr>
          <w:lang w:val="es-AR"/>
        </w:rPr>
        <w:lastRenderedPageBreak/>
        <w:t>References</w:t>
      </w:r>
      <w:bookmarkEnd w:id="155"/>
      <w:proofErr w:type="spellEnd"/>
      <w:r w:rsidRPr="009854DA">
        <w:rPr>
          <w:lang w:val="es-AR"/>
        </w:rPr>
        <w:t xml:space="preserve"> </w:t>
      </w:r>
    </w:p>
    <w:p w14:paraId="57B584B8" w14:textId="77777777" w:rsidR="004613E5" w:rsidRPr="004613E5" w:rsidRDefault="004613E5" w:rsidP="004613E5">
      <w:pPr>
        <w:pStyle w:val="ListParagraph"/>
        <w:spacing w:line="360" w:lineRule="auto"/>
        <w:ind w:left="714"/>
        <w:jc w:val="both"/>
        <w:rPr>
          <w:rFonts w:ascii="Times New Roman" w:hAnsi="Times New Roman" w:cs="Times New Roman"/>
          <w:sz w:val="24"/>
          <w:szCs w:val="24"/>
        </w:rPr>
      </w:pPr>
    </w:p>
    <w:p w14:paraId="6AE25D8B"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A. </w:t>
      </w:r>
      <w:proofErr w:type="spellStart"/>
      <w:r w:rsidRPr="004613E5">
        <w:rPr>
          <w:rFonts w:ascii="Times New Roman" w:hAnsi="Times New Roman" w:cs="Times New Roman"/>
          <w:sz w:val="24"/>
          <w:szCs w:val="24"/>
        </w:rPr>
        <w:t>Aybars</w:t>
      </w:r>
      <w:proofErr w:type="spellEnd"/>
      <w:r w:rsidRPr="004613E5">
        <w:rPr>
          <w:rFonts w:ascii="Times New Roman" w:hAnsi="Times New Roman" w:cs="Times New Roman"/>
          <w:sz w:val="24"/>
          <w:szCs w:val="24"/>
        </w:rPr>
        <w:t xml:space="preserve"> and L. </w:t>
      </w:r>
      <w:proofErr w:type="spellStart"/>
      <w:r w:rsidRPr="004613E5">
        <w:rPr>
          <w:rFonts w:ascii="Times New Roman" w:hAnsi="Times New Roman" w:cs="Times New Roman"/>
          <w:sz w:val="24"/>
          <w:szCs w:val="24"/>
        </w:rPr>
        <w:t>Ataunal</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2016</w:t>
      </w:r>
      <w:r>
        <w:rPr>
          <w:rFonts w:ascii="Times New Roman" w:hAnsi="Times New Roman" w:cs="Times New Roman"/>
          <w:sz w:val="24"/>
          <w:szCs w:val="24"/>
        </w:rPr>
        <w:t>)</w:t>
      </w:r>
      <w:r w:rsidRPr="004613E5">
        <w:rPr>
          <w:rFonts w:ascii="Times New Roman" w:hAnsi="Times New Roman" w:cs="Times New Roman"/>
          <w:sz w:val="24"/>
          <w:szCs w:val="24"/>
        </w:rPr>
        <w:t xml:space="preserve">. “An Application of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to Fundamental Accounting Figures Reported by </w:t>
      </w:r>
      <w:proofErr w:type="spellStart"/>
      <w:r w:rsidRPr="004613E5">
        <w:rPr>
          <w:rFonts w:ascii="Times New Roman" w:hAnsi="Times New Roman" w:cs="Times New Roman"/>
          <w:sz w:val="24"/>
          <w:szCs w:val="24"/>
        </w:rPr>
        <w:t>Borsa</w:t>
      </w:r>
      <w:proofErr w:type="spellEnd"/>
      <w:r w:rsidRPr="004613E5">
        <w:rPr>
          <w:rFonts w:ascii="Times New Roman" w:hAnsi="Times New Roman" w:cs="Times New Roman"/>
          <w:sz w:val="24"/>
          <w:szCs w:val="24"/>
        </w:rPr>
        <w:t xml:space="preserve"> Istanbul (BIST) Companies.,” </w:t>
      </w:r>
      <w:r w:rsidRPr="004613E5">
        <w:rPr>
          <w:rFonts w:ascii="Times New Roman" w:hAnsi="Times New Roman" w:cs="Times New Roman"/>
          <w:i/>
          <w:iCs/>
          <w:sz w:val="24"/>
          <w:szCs w:val="24"/>
        </w:rPr>
        <w:t>Journal of Economics Finance and Accounting</w:t>
      </w:r>
      <w:r w:rsidRPr="004613E5">
        <w:rPr>
          <w:rFonts w:ascii="Times New Roman" w:hAnsi="Times New Roman" w:cs="Times New Roman"/>
          <w:sz w:val="24"/>
          <w:szCs w:val="24"/>
        </w:rPr>
        <w:t>, vol. 3, no. 3, pp. 234-243.</w:t>
      </w:r>
    </w:p>
    <w:p w14:paraId="092B813B"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A. Berger and T. P. Hill., </w:t>
      </w:r>
      <w:r>
        <w:rPr>
          <w:rFonts w:ascii="Times New Roman" w:hAnsi="Times New Roman" w:cs="Times New Roman"/>
          <w:sz w:val="24"/>
          <w:szCs w:val="24"/>
        </w:rPr>
        <w:t>(</w:t>
      </w:r>
      <w:r w:rsidRPr="004613E5">
        <w:rPr>
          <w:rFonts w:ascii="Times New Roman" w:hAnsi="Times New Roman" w:cs="Times New Roman"/>
          <w:sz w:val="24"/>
          <w:szCs w:val="24"/>
        </w:rPr>
        <w:t>2015</w:t>
      </w:r>
      <w:r>
        <w:rPr>
          <w:rFonts w:ascii="Times New Roman" w:hAnsi="Times New Roman" w:cs="Times New Roman"/>
          <w:sz w:val="24"/>
          <w:szCs w:val="24"/>
        </w:rPr>
        <w:t>)</w:t>
      </w:r>
      <w:r w:rsidRPr="004613E5">
        <w:rPr>
          <w:rFonts w:ascii="Times New Roman" w:hAnsi="Times New Roman" w:cs="Times New Roman"/>
          <w:sz w:val="24"/>
          <w:szCs w:val="24"/>
        </w:rPr>
        <w:t xml:space="preserve">. An introduction to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w:t>
      </w:r>
      <w:r w:rsidRPr="004613E5">
        <w:rPr>
          <w:rFonts w:ascii="Times New Roman" w:hAnsi="Times New Roman" w:cs="Times New Roman"/>
          <w:i/>
          <w:iCs/>
          <w:sz w:val="24"/>
          <w:szCs w:val="24"/>
        </w:rPr>
        <w:t>Princeton University Press</w:t>
      </w:r>
      <w:r w:rsidRPr="004613E5">
        <w:rPr>
          <w:rFonts w:ascii="Times New Roman" w:hAnsi="Times New Roman" w:cs="Times New Roman"/>
          <w:sz w:val="24"/>
          <w:szCs w:val="24"/>
        </w:rPr>
        <w:t xml:space="preserve">, </w:t>
      </w:r>
    </w:p>
    <w:p w14:paraId="65095EEA"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A. Berger and T. P. Hill.,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“The mathematics of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a primer,” </w:t>
      </w:r>
      <w:r w:rsidRPr="004613E5">
        <w:rPr>
          <w:rFonts w:ascii="Times New Roman" w:hAnsi="Times New Roman" w:cs="Times New Roman"/>
          <w:i/>
          <w:iCs/>
          <w:sz w:val="24"/>
          <w:szCs w:val="24"/>
        </w:rPr>
        <w:t>Statistical Methods &amp; Applications</w:t>
      </w:r>
      <w:r w:rsidRPr="004613E5">
        <w:rPr>
          <w:rFonts w:ascii="Times New Roman" w:hAnsi="Times New Roman" w:cs="Times New Roman"/>
          <w:sz w:val="24"/>
          <w:szCs w:val="24"/>
        </w:rPr>
        <w:t>, vol. 1, pp. 1-17.</w:t>
      </w:r>
    </w:p>
    <w:p w14:paraId="338B36D6"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A. D. Saville., </w:t>
      </w:r>
      <w:r>
        <w:rPr>
          <w:rFonts w:ascii="Times New Roman" w:hAnsi="Times New Roman" w:cs="Times New Roman"/>
          <w:sz w:val="24"/>
          <w:szCs w:val="24"/>
        </w:rPr>
        <w:t>(</w:t>
      </w:r>
      <w:r w:rsidRPr="004613E5">
        <w:rPr>
          <w:rFonts w:ascii="Times New Roman" w:hAnsi="Times New Roman" w:cs="Times New Roman"/>
          <w:sz w:val="24"/>
          <w:szCs w:val="24"/>
        </w:rPr>
        <w:t>2006</w:t>
      </w:r>
      <w:r>
        <w:rPr>
          <w:rFonts w:ascii="Times New Roman" w:hAnsi="Times New Roman" w:cs="Times New Roman"/>
          <w:sz w:val="24"/>
          <w:szCs w:val="24"/>
        </w:rPr>
        <w:t>)</w:t>
      </w:r>
      <w:r w:rsidRPr="004613E5">
        <w:rPr>
          <w:rFonts w:ascii="Times New Roman" w:hAnsi="Times New Roman" w:cs="Times New Roman"/>
          <w:sz w:val="24"/>
          <w:szCs w:val="24"/>
        </w:rPr>
        <w:t xml:space="preserve">. “Using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to detect data error and fraud: an examination of companies listed on the Johannesburg Stock Exchange: economics,” </w:t>
      </w:r>
      <w:r w:rsidRPr="004613E5">
        <w:rPr>
          <w:rFonts w:ascii="Times New Roman" w:hAnsi="Times New Roman" w:cs="Times New Roman"/>
          <w:i/>
          <w:iCs/>
          <w:sz w:val="24"/>
          <w:szCs w:val="24"/>
        </w:rPr>
        <w:t>South African Journal of Economic and Management Sciences</w:t>
      </w:r>
      <w:r w:rsidRPr="004613E5">
        <w:rPr>
          <w:rFonts w:ascii="Times New Roman" w:hAnsi="Times New Roman" w:cs="Times New Roman"/>
          <w:sz w:val="24"/>
          <w:szCs w:val="24"/>
        </w:rPr>
        <w:t>, vol. 9, no. 3, pp. 341- 354.</w:t>
      </w:r>
    </w:p>
    <w:p w14:paraId="7EC384EF"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lang w:val="es-AR"/>
        </w:rPr>
        <w:t>Alvarez</w:t>
      </w:r>
      <w:proofErr w:type="spellEnd"/>
      <w:r w:rsidRPr="004613E5">
        <w:rPr>
          <w:rFonts w:ascii="Times New Roman" w:hAnsi="Times New Roman" w:cs="Times New Roman"/>
          <w:sz w:val="24"/>
          <w:szCs w:val="24"/>
          <w:lang w:val="es-AR"/>
        </w:rPr>
        <w:t xml:space="preserve">, F.E., Argente, D., </w:t>
      </w:r>
      <w:proofErr w:type="spellStart"/>
      <w:r w:rsidRPr="004613E5">
        <w:rPr>
          <w:rFonts w:ascii="Times New Roman" w:hAnsi="Times New Roman" w:cs="Times New Roman"/>
          <w:sz w:val="24"/>
          <w:szCs w:val="24"/>
          <w:lang w:val="es-AR"/>
        </w:rPr>
        <w:t>Lippi</w:t>
      </w:r>
      <w:proofErr w:type="spellEnd"/>
      <w:r w:rsidRPr="004613E5">
        <w:rPr>
          <w:rFonts w:ascii="Times New Roman" w:hAnsi="Times New Roman" w:cs="Times New Roman"/>
          <w:sz w:val="24"/>
          <w:szCs w:val="24"/>
          <w:lang w:val="es-AR"/>
        </w:rPr>
        <w:t xml:space="preserve">, F., </w:t>
      </w:r>
      <w:r>
        <w:rPr>
          <w:rFonts w:ascii="Times New Roman" w:hAnsi="Times New Roman" w:cs="Times New Roman"/>
          <w:sz w:val="24"/>
          <w:szCs w:val="24"/>
          <w:lang w:val="es-AR"/>
        </w:rPr>
        <w:t>(</w:t>
      </w:r>
      <w:r w:rsidRPr="004613E5">
        <w:rPr>
          <w:rFonts w:ascii="Times New Roman" w:hAnsi="Times New Roman" w:cs="Times New Roman"/>
          <w:sz w:val="24"/>
          <w:szCs w:val="24"/>
          <w:lang w:val="es-AR"/>
        </w:rPr>
        <w:t>2020</w:t>
      </w:r>
      <w:r>
        <w:rPr>
          <w:rFonts w:ascii="Times New Roman" w:hAnsi="Times New Roman" w:cs="Times New Roman"/>
          <w:sz w:val="24"/>
          <w:szCs w:val="24"/>
          <w:lang w:val="es-AR"/>
        </w:rPr>
        <w:t>)</w:t>
      </w:r>
      <w:r w:rsidRPr="004613E5">
        <w:rPr>
          <w:rFonts w:ascii="Times New Roman" w:hAnsi="Times New Roman" w:cs="Times New Roman"/>
          <w:sz w:val="24"/>
          <w:szCs w:val="24"/>
          <w:lang w:val="es-AR"/>
        </w:rPr>
        <w:t xml:space="preserve">. </w:t>
      </w:r>
      <w:r w:rsidRPr="004613E5">
        <w:rPr>
          <w:rFonts w:ascii="Times New Roman" w:hAnsi="Times New Roman" w:cs="Times New Roman"/>
          <w:sz w:val="24"/>
          <w:szCs w:val="24"/>
        </w:rPr>
        <w:t xml:space="preserve">A Simple Planning Problem for COVID19 Lockdown. Working Paper Series 26981, </w:t>
      </w:r>
      <w:r w:rsidRPr="004613E5">
        <w:rPr>
          <w:rFonts w:ascii="Times New Roman" w:hAnsi="Times New Roman" w:cs="Times New Roman"/>
          <w:i/>
          <w:iCs/>
          <w:sz w:val="24"/>
          <w:szCs w:val="24"/>
        </w:rPr>
        <w:t>National Bureau of Economic Research</w:t>
      </w:r>
      <w:r w:rsidRPr="004613E5">
        <w:rPr>
          <w:rFonts w:ascii="Times New Roman" w:hAnsi="Times New Roman" w:cs="Times New Roman"/>
          <w:sz w:val="24"/>
          <w:szCs w:val="24"/>
        </w:rPr>
        <w:t xml:space="preserve">. </w:t>
      </w:r>
    </w:p>
    <w:p w14:paraId="2DCFB2D2"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Atkeson</w:t>
      </w:r>
      <w:proofErr w:type="spellEnd"/>
      <w:r w:rsidRPr="004613E5">
        <w:rPr>
          <w:rFonts w:ascii="Times New Roman" w:hAnsi="Times New Roman" w:cs="Times New Roman"/>
          <w:sz w:val="24"/>
          <w:szCs w:val="24"/>
        </w:rPr>
        <w:t xml:space="preserve">, A.,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What Will Be the Economic Impact of COVID-19 in the US? Rough Estimates of Disease Scenarios. Working Paper Series 26867, </w:t>
      </w:r>
      <w:r w:rsidRPr="004613E5">
        <w:rPr>
          <w:rFonts w:ascii="Times New Roman" w:hAnsi="Times New Roman" w:cs="Times New Roman"/>
          <w:i/>
          <w:iCs/>
          <w:sz w:val="24"/>
          <w:szCs w:val="24"/>
        </w:rPr>
        <w:t>National Bureau of Economic Research</w:t>
      </w:r>
      <w:r w:rsidRPr="004613E5">
        <w:rPr>
          <w:rFonts w:ascii="Times New Roman" w:hAnsi="Times New Roman" w:cs="Times New Roman"/>
          <w:sz w:val="24"/>
          <w:szCs w:val="24"/>
        </w:rPr>
        <w:t xml:space="preserve">. </w:t>
      </w:r>
    </w:p>
    <w:p w14:paraId="140BEEA5"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Benford</w:t>
      </w:r>
      <w:proofErr w:type="spellEnd"/>
      <w:r w:rsidRPr="004613E5">
        <w:rPr>
          <w:rFonts w:ascii="Times New Roman" w:hAnsi="Times New Roman" w:cs="Times New Roman"/>
          <w:sz w:val="24"/>
          <w:szCs w:val="24"/>
        </w:rPr>
        <w:t xml:space="preserve">, F., </w:t>
      </w:r>
      <w:r>
        <w:rPr>
          <w:rFonts w:ascii="Times New Roman" w:hAnsi="Times New Roman" w:cs="Times New Roman"/>
          <w:sz w:val="24"/>
          <w:szCs w:val="24"/>
        </w:rPr>
        <w:t>(</w:t>
      </w:r>
      <w:r w:rsidRPr="004613E5">
        <w:rPr>
          <w:rFonts w:ascii="Times New Roman" w:hAnsi="Times New Roman" w:cs="Times New Roman"/>
          <w:sz w:val="24"/>
          <w:szCs w:val="24"/>
        </w:rPr>
        <w:t>1938</w:t>
      </w:r>
      <w:r>
        <w:rPr>
          <w:rFonts w:ascii="Times New Roman" w:hAnsi="Times New Roman" w:cs="Times New Roman"/>
          <w:sz w:val="24"/>
          <w:szCs w:val="24"/>
        </w:rPr>
        <w:t>)</w:t>
      </w:r>
      <w:r w:rsidRPr="004613E5">
        <w:rPr>
          <w:rFonts w:ascii="Times New Roman" w:hAnsi="Times New Roman" w:cs="Times New Roman"/>
          <w:sz w:val="24"/>
          <w:szCs w:val="24"/>
        </w:rPr>
        <w:t xml:space="preserve">. The law of anomalous numbers. Proc. </w:t>
      </w:r>
      <w:r w:rsidRPr="004613E5">
        <w:rPr>
          <w:rFonts w:ascii="Times New Roman" w:hAnsi="Times New Roman" w:cs="Times New Roman"/>
          <w:i/>
          <w:iCs/>
          <w:sz w:val="24"/>
          <w:szCs w:val="24"/>
        </w:rPr>
        <w:t>Am. Phil. Soc</w:t>
      </w:r>
      <w:r w:rsidRPr="004613E5">
        <w:rPr>
          <w:rFonts w:ascii="Times New Roman" w:hAnsi="Times New Roman" w:cs="Times New Roman"/>
          <w:sz w:val="24"/>
          <w:szCs w:val="24"/>
        </w:rPr>
        <w:t xml:space="preserve">. 78 (4), 551–572. </w:t>
      </w:r>
    </w:p>
    <w:p w14:paraId="28CEE6F1"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proofErr w:type="spellStart"/>
      <w:r w:rsidRPr="009104F6">
        <w:rPr>
          <w:rFonts w:ascii="Times New Roman" w:hAnsi="Times New Roman" w:cs="Times New Roman"/>
          <w:sz w:val="24"/>
          <w:szCs w:val="24"/>
        </w:rPr>
        <w:t>Benford</w:t>
      </w:r>
      <w:proofErr w:type="spellEnd"/>
      <w:r w:rsidRPr="009104F6">
        <w:rPr>
          <w:rFonts w:ascii="Times New Roman" w:hAnsi="Times New Roman" w:cs="Times New Roman"/>
          <w:sz w:val="24"/>
          <w:szCs w:val="24"/>
        </w:rPr>
        <w:t>, F., (1938). The law of anomalous numbers. Proceedings of the American Philosophical Society78, 551–572.</w:t>
      </w:r>
    </w:p>
    <w:p w14:paraId="247E6B77"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C. Collins., </w:t>
      </w:r>
      <w:r>
        <w:rPr>
          <w:rFonts w:ascii="Times New Roman" w:hAnsi="Times New Roman" w:cs="Times New Roman"/>
          <w:sz w:val="24"/>
          <w:szCs w:val="24"/>
        </w:rPr>
        <w:t>(</w:t>
      </w:r>
      <w:r w:rsidRPr="004613E5">
        <w:rPr>
          <w:rFonts w:ascii="Times New Roman" w:hAnsi="Times New Roman" w:cs="Times New Roman"/>
          <w:sz w:val="24"/>
          <w:szCs w:val="24"/>
        </w:rPr>
        <w:t>2017</w:t>
      </w:r>
      <w:r>
        <w:rPr>
          <w:rFonts w:ascii="Times New Roman" w:hAnsi="Times New Roman" w:cs="Times New Roman"/>
          <w:sz w:val="24"/>
          <w:szCs w:val="24"/>
        </w:rPr>
        <w:t>)</w:t>
      </w:r>
      <w:r w:rsidRPr="004613E5">
        <w:rPr>
          <w:rFonts w:ascii="Times New Roman" w:hAnsi="Times New Roman" w:cs="Times New Roman"/>
          <w:sz w:val="24"/>
          <w:szCs w:val="24"/>
        </w:rPr>
        <w:t xml:space="preserve">. “Using Excel and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to Detect Fraud: Learn the Formulas, Functions, and Techniques That Enable E</w:t>
      </w:r>
      <w:r w:rsidRPr="004613E5">
        <w:rPr>
          <w:rFonts w:ascii="Times New Roman" w:hAnsi="Times New Roman" w:cs="Times New Roman"/>
          <w:sz w:val="24"/>
          <w:szCs w:val="24"/>
        </w:rPr>
        <w:noBreakHyphen/>
        <w:t xml:space="preserve">client </w:t>
      </w:r>
      <w:proofErr w:type="spellStart"/>
      <w:r w:rsidRPr="004613E5">
        <w:rPr>
          <w:rFonts w:ascii="Times New Roman" w:hAnsi="Times New Roman" w:cs="Times New Roman"/>
          <w:sz w:val="24"/>
          <w:szCs w:val="24"/>
        </w:rPr>
        <w:t>Benford</w:t>
      </w:r>
      <w:proofErr w:type="spellEnd"/>
      <w:r w:rsidRPr="004613E5">
        <w:rPr>
          <w:rFonts w:ascii="Times New Roman" w:hAnsi="Times New Roman" w:cs="Times New Roman"/>
          <w:sz w:val="24"/>
          <w:szCs w:val="24"/>
        </w:rPr>
        <w:t xml:space="preserve"> Analysis of Data Sets,” </w:t>
      </w:r>
      <w:r w:rsidRPr="004613E5">
        <w:rPr>
          <w:rFonts w:ascii="Times New Roman" w:hAnsi="Times New Roman" w:cs="Times New Roman"/>
          <w:i/>
          <w:iCs/>
          <w:sz w:val="24"/>
          <w:szCs w:val="24"/>
        </w:rPr>
        <w:t>Journal of Accountancy</w:t>
      </w:r>
      <w:r w:rsidRPr="004613E5">
        <w:rPr>
          <w:rFonts w:ascii="Times New Roman" w:hAnsi="Times New Roman" w:cs="Times New Roman"/>
          <w:sz w:val="24"/>
          <w:szCs w:val="24"/>
        </w:rPr>
        <w:t>, vol. 223, no. 4, p. 44.</w:t>
      </w:r>
    </w:p>
    <w:p w14:paraId="20ED8BC0"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lang w:val="es-AR"/>
        </w:rPr>
        <w:t xml:space="preserve">De </w:t>
      </w:r>
      <w:proofErr w:type="spellStart"/>
      <w:r w:rsidRPr="009104F6">
        <w:rPr>
          <w:rFonts w:ascii="Times New Roman" w:hAnsi="Times New Roman" w:cs="Times New Roman"/>
          <w:sz w:val="24"/>
          <w:szCs w:val="24"/>
          <w:lang w:val="es-AR"/>
        </w:rPr>
        <w:t>Grauwe</w:t>
      </w:r>
      <w:proofErr w:type="spellEnd"/>
      <w:r w:rsidRPr="009104F6">
        <w:rPr>
          <w:rFonts w:ascii="Times New Roman" w:hAnsi="Times New Roman" w:cs="Times New Roman"/>
          <w:sz w:val="24"/>
          <w:szCs w:val="24"/>
          <w:lang w:val="es-AR"/>
        </w:rPr>
        <w:t xml:space="preserve">, P., </w:t>
      </w:r>
      <w:proofErr w:type="spellStart"/>
      <w:r w:rsidRPr="009104F6">
        <w:rPr>
          <w:rFonts w:ascii="Times New Roman" w:hAnsi="Times New Roman" w:cs="Times New Roman"/>
          <w:sz w:val="24"/>
          <w:szCs w:val="24"/>
          <w:lang w:val="es-AR"/>
        </w:rPr>
        <w:t>Decupere</w:t>
      </w:r>
      <w:proofErr w:type="spellEnd"/>
      <w:r w:rsidRPr="009104F6">
        <w:rPr>
          <w:rFonts w:ascii="Times New Roman" w:hAnsi="Times New Roman" w:cs="Times New Roman"/>
          <w:sz w:val="24"/>
          <w:szCs w:val="24"/>
          <w:lang w:val="es-AR"/>
        </w:rPr>
        <w:t xml:space="preserve">, D., (1992). </w:t>
      </w:r>
      <w:r w:rsidRPr="009104F6">
        <w:rPr>
          <w:rFonts w:ascii="Times New Roman" w:hAnsi="Times New Roman" w:cs="Times New Roman"/>
          <w:sz w:val="24"/>
          <w:szCs w:val="24"/>
        </w:rPr>
        <w:t xml:space="preserve">Psychological barriers in the foreign exchange markets. Journal </w:t>
      </w:r>
      <w:proofErr w:type="spellStart"/>
      <w:r w:rsidRPr="009104F6">
        <w:rPr>
          <w:rFonts w:ascii="Times New Roman" w:hAnsi="Times New Roman" w:cs="Times New Roman"/>
          <w:sz w:val="24"/>
          <w:szCs w:val="24"/>
        </w:rPr>
        <w:t>ofInternational</w:t>
      </w:r>
      <w:proofErr w:type="spellEnd"/>
      <w:r w:rsidRPr="009104F6">
        <w:rPr>
          <w:rFonts w:ascii="Times New Roman" w:hAnsi="Times New Roman" w:cs="Times New Roman"/>
          <w:sz w:val="24"/>
          <w:szCs w:val="24"/>
        </w:rPr>
        <w:t xml:space="preserve"> and Comparative Economics 1, 87–101.</w:t>
      </w:r>
    </w:p>
    <w:p w14:paraId="5416FE38"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Diekmann</w:t>
      </w:r>
      <w:proofErr w:type="spellEnd"/>
      <w:r w:rsidRPr="004613E5">
        <w:rPr>
          <w:rFonts w:ascii="Times New Roman" w:hAnsi="Times New Roman" w:cs="Times New Roman"/>
          <w:sz w:val="24"/>
          <w:szCs w:val="24"/>
        </w:rPr>
        <w:t xml:space="preserve">, A., </w:t>
      </w:r>
      <w:r>
        <w:rPr>
          <w:rFonts w:ascii="Times New Roman" w:hAnsi="Times New Roman" w:cs="Times New Roman"/>
          <w:sz w:val="24"/>
          <w:szCs w:val="24"/>
        </w:rPr>
        <w:t>(</w:t>
      </w:r>
      <w:r w:rsidRPr="004613E5">
        <w:rPr>
          <w:rFonts w:ascii="Times New Roman" w:hAnsi="Times New Roman" w:cs="Times New Roman"/>
          <w:sz w:val="24"/>
          <w:szCs w:val="24"/>
        </w:rPr>
        <w:t>2007</w:t>
      </w:r>
      <w:r>
        <w:rPr>
          <w:rFonts w:ascii="Times New Roman" w:hAnsi="Times New Roman" w:cs="Times New Roman"/>
          <w:sz w:val="24"/>
          <w:szCs w:val="24"/>
        </w:rPr>
        <w:t>)</w:t>
      </w:r>
      <w:r w:rsidRPr="004613E5">
        <w:rPr>
          <w:rFonts w:ascii="Times New Roman" w:hAnsi="Times New Roman" w:cs="Times New Roman"/>
          <w:sz w:val="24"/>
          <w:szCs w:val="24"/>
        </w:rPr>
        <w:t xml:space="preserve">. Not the first digit! using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to detect fraudulent scientific data. </w:t>
      </w:r>
      <w:r w:rsidRPr="004613E5">
        <w:rPr>
          <w:rFonts w:ascii="Times New Roman" w:hAnsi="Times New Roman" w:cs="Times New Roman"/>
          <w:i/>
          <w:iCs/>
          <w:sz w:val="24"/>
          <w:szCs w:val="24"/>
        </w:rPr>
        <w:t>J. Appl. Stat</w:t>
      </w:r>
      <w:r w:rsidRPr="004613E5">
        <w:rPr>
          <w:rFonts w:ascii="Times New Roman" w:hAnsi="Times New Roman" w:cs="Times New Roman"/>
          <w:sz w:val="24"/>
          <w:szCs w:val="24"/>
        </w:rPr>
        <w:t xml:space="preserve">. 34 (3), 321–329. </w:t>
      </w:r>
    </w:p>
    <w:p w14:paraId="11239066"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Donaldson, G.R., (1990).  International Evidence on Psychological Barriers in Asset Prices and the Efficient Market Hypothesis. Financial Research Centre Memorandum No. 116. Princeton University.</w:t>
      </w:r>
    </w:p>
    <w:p w14:paraId="1C675BAB"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Donaldson, G.R., Kim, H.Y., (1993).  Price barriers in the Dow Jones Industrial Average.  Journal of Financial and Quantitative Analysis 28, 313–330.</w:t>
      </w:r>
    </w:p>
    <w:p w14:paraId="443474F4"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E. Ley., </w:t>
      </w:r>
      <w:r>
        <w:rPr>
          <w:rFonts w:ascii="Times New Roman" w:hAnsi="Times New Roman" w:cs="Times New Roman"/>
          <w:sz w:val="24"/>
          <w:szCs w:val="24"/>
        </w:rPr>
        <w:t>(</w:t>
      </w:r>
      <w:r w:rsidRPr="004613E5">
        <w:rPr>
          <w:rFonts w:ascii="Times New Roman" w:hAnsi="Times New Roman" w:cs="Times New Roman"/>
          <w:sz w:val="24"/>
          <w:szCs w:val="24"/>
        </w:rPr>
        <w:t>1996</w:t>
      </w:r>
      <w:r>
        <w:rPr>
          <w:rFonts w:ascii="Times New Roman" w:hAnsi="Times New Roman" w:cs="Times New Roman"/>
          <w:sz w:val="24"/>
          <w:szCs w:val="24"/>
        </w:rPr>
        <w:t>)</w:t>
      </w:r>
      <w:r w:rsidRPr="004613E5">
        <w:rPr>
          <w:rFonts w:ascii="Times New Roman" w:hAnsi="Times New Roman" w:cs="Times New Roman"/>
          <w:sz w:val="24"/>
          <w:szCs w:val="24"/>
        </w:rPr>
        <w:t xml:space="preserve">. “On the peculiar distribution of the US stock indexes' digits,” </w:t>
      </w:r>
      <w:r w:rsidRPr="004613E5">
        <w:rPr>
          <w:rFonts w:ascii="Times New Roman" w:hAnsi="Times New Roman" w:cs="Times New Roman"/>
          <w:i/>
          <w:iCs/>
          <w:sz w:val="24"/>
          <w:szCs w:val="24"/>
        </w:rPr>
        <w:t>The American Statistician</w:t>
      </w:r>
      <w:r w:rsidRPr="004613E5">
        <w:rPr>
          <w:rFonts w:ascii="Times New Roman" w:hAnsi="Times New Roman" w:cs="Times New Roman"/>
          <w:sz w:val="24"/>
          <w:szCs w:val="24"/>
        </w:rPr>
        <w:t>, vol. 50, no. 4, pp. 311-313.</w:t>
      </w:r>
    </w:p>
    <w:p w14:paraId="2B779992"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E. </w:t>
      </w:r>
      <w:proofErr w:type="spellStart"/>
      <w:r w:rsidRPr="004613E5">
        <w:rPr>
          <w:rFonts w:ascii="Times New Roman" w:hAnsi="Times New Roman" w:cs="Times New Roman"/>
          <w:sz w:val="24"/>
          <w:szCs w:val="24"/>
        </w:rPr>
        <w:t>Shulzinger</w:t>
      </w:r>
      <w:proofErr w:type="spellEnd"/>
      <w:r w:rsidRPr="004613E5">
        <w:rPr>
          <w:rFonts w:ascii="Times New Roman" w:hAnsi="Times New Roman" w:cs="Times New Roman"/>
          <w:sz w:val="24"/>
          <w:szCs w:val="24"/>
        </w:rPr>
        <w:t xml:space="preserve"> and E. </w:t>
      </w:r>
      <w:proofErr w:type="spellStart"/>
      <w:r w:rsidRPr="004613E5">
        <w:rPr>
          <w:rFonts w:ascii="Times New Roman" w:hAnsi="Times New Roman" w:cs="Times New Roman"/>
          <w:sz w:val="24"/>
          <w:szCs w:val="24"/>
        </w:rPr>
        <w:t>Bormashenko</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2017</w:t>
      </w:r>
      <w:r>
        <w:rPr>
          <w:rFonts w:ascii="Times New Roman" w:hAnsi="Times New Roman" w:cs="Times New Roman"/>
          <w:sz w:val="24"/>
          <w:szCs w:val="24"/>
        </w:rPr>
        <w:t>)</w:t>
      </w:r>
      <w:r w:rsidRPr="004613E5">
        <w:rPr>
          <w:rFonts w:ascii="Times New Roman" w:hAnsi="Times New Roman" w:cs="Times New Roman"/>
          <w:sz w:val="24"/>
          <w:szCs w:val="24"/>
        </w:rPr>
        <w:t xml:space="preserve">. “On the universal quantitative pattern of the distribution of initial characters in general dictionaries: The exponential distribution is valid for various languages,” </w:t>
      </w:r>
      <w:r w:rsidRPr="004613E5">
        <w:rPr>
          <w:rFonts w:ascii="Times New Roman" w:hAnsi="Times New Roman" w:cs="Times New Roman"/>
          <w:i/>
          <w:iCs/>
          <w:sz w:val="24"/>
          <w:szCs w:val="24"/>
        </w:rPr>
        <w:t>Journal of Quantitative Linguistics</w:t>
      </w:r>
      <w:r w:rsidRPr="004613E5">
        <w:rPr>
          <w:rFonts w:ascii="Times New Roman" w:hAnsi="Times New Roman" w:cs="Times New Roman"/>
          <w:sz w:val="24"/>
          <w:szCs w:val="24"/>
        </w:rPr>
        <w:t>, vol. 24, no. 4, pp. 273-288.</w:t>
      </w:r>
    </w:p>
    <w:p w14:paraId="264B4338"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lang w:val="es-AR"/>
        </w:rPr>
        <w:t>Eichenbaum</w:t>
      </w:r>
      <w:proofErr w:type="spellEnd"/>
      <w:r w:rsidRPr="004613E5">
        <w:rPr>
          <w:rFonts w:ascii="Times New Roman" w:hAnsi="Times New Roman" w:cs="Times New Roman"/>
          <w:sz w:val="24"/>
          <w:szCs w:val="24"/>
          <w:lang w:val="es-AR"/>
        </w:rPr>
        <w:t xml:space="preserve">, M.S., Rebelo, S., </w:t>
      </w:r>
      <w:proofErr w:type="spellStart"/>
      <w:r w:rsidRPr="004613E5">
        <w:rPr>
          <w:rFonts w:ascii="Times New Roman" w:hAnsi="Times New Roman" w:cs="Times New Roman"/>
          <w:sz w:val="24"/>
          <w:szCs w:val="24"/>
          <w:lang w:val="es-AR"/>
        </w:rPr>
        <w:t>Trabandt</w:t>
      </w:r>
      <w:proofErr w:type="spellEnd"/>
      <w:r w:rsidRPr="004613E5">
        <w:rPr>
          <w:rFonts w:ascii="Times New Roman" w:hAnsi="Times New Roman" w:cs="Times New Roman"/>
          <w:sz w:val="24"/>
          <w:szCs w:val="24"/>
          <w:lang w:val="es-AR"/>
        </w:rPr>
        <w:t xml:space="preserve">, M., </w:t>
      </w:r>
      <w:r>
        <w:rPr>
          <w:rFonts w:ascii="Times New Roman" w:hAnsi="Times New Roman" w:cs="Times New Roman"/>
          <w:sz w:val="24"/>
          <w:szCs w:val="24"/>
          <w:lang w:val="es-AR"/>
        </w:rPr>
        <w:t>(</w:t>
      </w:r>
      <w:r w:rsidRPr="004613E5">
        <w:rPr>
          <w:rFonts w:ascii="Times New Roman" w:hAnsi="Times New Roman" w:cs="Times New Roman"/>
          <w:sz w:val="24"/>
          <w:szCs w:val="24"/>
          <w:lang w:val="es-AR"/>
        </w:rPr>
        <w:t>2020</w:t>
      </w:r>
      <w:r>
        <w:rPr>
          <w:rFonts w:ascii="Times New Roman" w:hAnsi="Times New Roman" w:cs="Times New Roman"/>
          <w:sz w:val="24"/>
          <w:szCs w:val="24"/>
          <w:lang w:val="es-AR"/>
        </w:rPr>
        <w:t>)</w:t>
      </w:r>
      <w:r w:rsidRPr="004613E5">
        <w:rPr>
          <w:rFonts w:ascii="Times New Roman" w:hAnsi="Times New Roman" w:cs="Times New Roman"/>
          <w:sz w:val="24"/>
          <w:szCs w:val="24"/>
          <w:lang w:val="es-AR"/>
        </w:rPr>
        <w:t xml:space="preserve">. </w:t>
      </w:r>
      <w:r w:rsidRPr="004613E5">
        <w:rPr>
          <w:rFonts w:ascii="Times New Roman" w:hAnsi="Times New Roman" w:cs="Times New Roman"/>
          <w:sz w:val="24"/>
          <w:szCs w:val="24"/>
        </w:rPr>
        <w:t xml:space="preserve">The Macroeconomics of Epidemics. Working Paper Series 26882, </w:t>
      </w:r>
      <w:r w:rsidRPr="004613E5">
        <w:rPr>
          <w:rFonts w:ascii="Times New Roman" w:hAnsi="Times New Roman" w:cs="Times New Roman"/>
          <w:i/>
          <w:iCs/>
          <w:sz w:val="24"/>
          <w:szCs w:val="24"/>
        </w:rPr>
        <w:t>National Bureau of Economic Research</w:t>
      </w:r>
      <w:r w:rsidRPr="004613E5">
        <w:rPr>
          <w:rFonts w:ascii="Times New Roman" w:hAnsi="Times New Roman" w:cs="Times New Roman"/>
          <w:sz w:val="24"/>
          <w:szCs w:val="24"/>
        </w:rPr>
        <w:t xml:space="preserve">. </w:t>
      </w:r>
    </w:p>
    <w:p w14:paraId="305E7244"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 xml:space="preserve">Elliott, P.T.D.A., (1979). Probabilistic Number Theory. Springer, New York. </w:t>
      </w:r>
    </w:p>
    <w:p w14:paraId="32527A03"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Fang, H., Wang, L., Yang, Y.,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Human Mobility Restrictions and the Spread of the Novel Coronavirus (2019-nCoV) in China. Working Paper Series 26906, </w:t>
      </w:r>
      <w:r w:rsidRPr="004613E5">
        <w:rPr>
          <w:rFonts w:ascii="Times New Roman" w:hAnsi="Times New Roman" w:cs="Times New Roman"/>
          <w:i/>
          <w:iCs/>
          <w:sz w:val="24"/>
          <w:szCs w:val="24"/>
        </w:rPr>
        <w:t>National Bureau of Economic Research</w:t>
      </w:r>
      <w:r w:rsidRPr="004613E5">
        <w:rPr>
          <w:rFonts w:ascii="Times New Roman" w:hAnsi="Times New Roman" w:cs="Times New Roman"/>
          <w:sz w:val="24"/>
          <w:szCs w:val="24"/>
        </w:rPr>
        <w:t xml:space="preserve">. </w:t>
      </w:r>
    </w:p>
    <w:p w14:paraId="211FA0BB"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Friedson</w:t>
      </w:r>
      <w:proofErr w:type="spellEnd"/>
      <w:r w:rsidRPr="004613E5">
        <w:rPr>
          <w:rFonts w:ascii="Times New Roman" w:hAnsi="Times New Roman" w:cs="Times New Roman"/>
          <w:sz w:val="24"/>
          <w:szCs w:val="24"/>
        </w:rPr>
        <w:t xml:space="preserve">, A.I., Matsuzawa, K., Sabia, J.J.,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When do shelter-in-place orders fight COVID-19 best? Policy heterogeneity across states and adoption time. </w:t>
      </w:r>
      <w:r w:rsidRPr="004613E5">
        <w:rPr>
          <w:rFonts w:ascii="Times New Roman" w:hAnsi="Times New Roman" w:cs="Times New Roman"/>
          <w:i/>
          <w:iCs/>
          <w:sz w:val="24"/>
          <w:szCs w:val="24"/>
        </w:rPr>
        <w:t>Econ. Inq</w:t>
      </w:r>
      <w:r w:rsidRPr="004613E5">
        <w:rPr>
          <w:rFonts w:ascii="Times New Roman" w:hAnsi="Times New Roman" w:cs="Times New Roman"/>
          <w:sz w:val="24"/>
          <w:szCs w:val="24"/>
        </w:rPr>
        <w:t xml:space="preserve">. </w:t>
      </w:r>
    </w:p>
    <w:p w14:paraId="5565DF07"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lastRenderedPageBreak/>
        <w:t xml:space="preserve">G. D'Amico., 2013. “A semi-Markov approach to the stock valuation problem,” </w:t>
      </w:r>
      <w:r w:rsidRPr="004613E5">
        <w:rPr>
          <w:rFonts w:ascii="Times New Roman" w:hAnsi="Times New Roman" w:cs="Times New Roman"/>
          <w:i/>
          <w:iCs/>
          <w:sz w:val="24"/>
          <w:szCs w:val="24"/>
        </w:rPr>
        <w:t>Annals of Finance</w:t>
      </w:r>
      <w:r w:rsidRPr="004613E5">
        <w:rPr>
          <w:rFonts w:ascii="Times New Roman" w:hAnsi="Times New Roman" w:cs="Times New Roman"/>
          <w:sz w:val="24"/>
          <w:szCs w:val="24"/>
        </w:rPr>
        <w:t>, vol. 9, no. 4, pp. 589-610.</w:t>
      </w:r>
    </w:p>
    <w:p w14:paraId="4029F91E"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lang w:val="es-AR"/>
        </w:rPr>
        <w:t>Gonzales-</w:t>
      </w:r>
      <w:proofErr w:type="spellStart"/>
      <w:r w:rsidRPr="004613E5">
        <w:rPr>
          <w:rFonts w:ascii="Times New Roman" w:hAnsi="Times New Roman" w:cs="Times New Roman"/>
          <w:sz w:val="24"/>
          <w:szCs w:val="24"/>
          <w:lang w:val="es-AR"/>
        </w:rPr>
        <w:t>Garcia</w:t>
      </w:r>
      <w:proofErr w:type="spellEnd"/>
      <w:r w:rsidRPr="004613E5">
        <w:rPr>
          <w:rFonts w:ascii="Times New Roman" w:hAnsi="Times New Roman" w:cs="Times New Roman"/>
          <w:sz w:val="24"/>
          <w:szCs w:val="24"/>
          <w:lang w:val="es-AR"/>
        </w:rPr>
        <w:t xml:space="preserve">, J., Pastor, G., </w:t>
      </w:r>
      <w:r>
        <w:rPr>
          <w:rFonts w:ascii="Times New Roman" w:hAnsi="Times New Roman" w:cs="Times New Roman"/>
          <w:sz w:val="24"/>
          <w:szCs w:val="24"/>
          <w:lang w:val="es-AR"/>
        </w:rPr>
        <w:t>(</w:t>
      </w:r>
      <w:r w:rsidRPr="004613E5">
        <w:rPr>
          <w:rFonts w:ascii="Times New Roman" w:hAnsi="Times New Roman" w:cs="Times New Roman"/>
          <w:sz w:val="24"/>
          <w:szCs w:val="24"/>
          <w:lang w:val="es-AR"/>
        </w:rPr>
        <w:t>2009</w:t>
      </w:r>
      <w:r>
        <w:rPr>
          <w:rFonts w:ascii="Times New Roman" w:hAnsi="Times New Roman" w:cs="Times New Roman"/>
          <w:sz w:val="24"/>
          <w:szCs w:val="24"/>
          <w:lang w:val="es-AR"/>
        </w:rPr>
        <w:t>)</w:t>
      </w:r>
      <w:r w:rsidRPr="004613E5">
        <w:rPr>
          <w:rFonts w:ascii="Times New Roman" w:hAnsi="Times New Roman" w:cs="Times New Roman"/>
          <w:sz w:val="24"/>
          <w:szCs w:val="24"/>
          <w:lang w:val="es-AR"/>
        </w:rPr>
        <w:t xml:space="preserve">.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and Macroeconomic Data Quality. </w:t>
      </w:r>
      <w:r w:rsidRPr="004613E5">
        <w:rPr>
          <w:rFonts w:ascii="Times New Roman" w:hAnsi="Times New Roman" w:cs="Times New Roman"/>
          <w:i/>
          <w:iCs/>
          <w:sz w:val="24"/>
          <w:szCs w:val="24"/>
        </w:rPr>
        <w:t>International Monetary Fund</w:t>
      </w:r>
      <w:r w:rsidRPr="004613E5">
        <w:rPr>
          <w:rFonts w:ascii="Times New Roman" w:hAnsi="Times New Roman" w:cs="Times New Roman"/>
          <w:sz w:val="24"/>
          <w:szCs w:val="24"/>
        </w:rPr>
        <w:t xml:space="preserve"> Working Paper 2009-10. </w:t>
      </w:r>
    </w:p>
    <w:p w14:paraId="2546CB1E"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Holz</w:t>
      </w:r>
      <w:proofErr w:type="spellEnd"/>
      <w:r w:rsidRPr="004613E5">
        <w:rPr>
          <w:rFonts w:ascii="Times New Roman" w:hAnsi="Times New Roman" w:cs="Times New Roman"/>
          <w:sz w:val="24"/>
          <w:szCs w:val="24"/>
        </w:rPr>
        <w:t xml:space="preserve">, C.A., 2014. The quality of China’s GDP statistics. China Econ. Rev. 30, 309–338. </w:t>
      </w:r>
    </w:p>
    <w:p w14:paraId="27EB01DC"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J. L. </w:t>
      </w:r>
      <w:proofErr w:type="spellStart"/>
      <w:r w:rsidRPr="004613E5">
        <w:rPr>
          <w:rFonts w:ascii="Times New Roman" w:hAnsi="Times New Roman" w:cs="Times New Roman"/>
          <w:sz w:val="24"/>
          <w:szCs w:val="24"/>
        </w:rPr>
        <w:t>Juergens</w:t>
      </w:r>
      <w:proofErr w:type="spellEnd"/>
      <w:r w:rsidRPr="004613E5">
        <w:rPr>
          <w:rFonts w:ascii="Times New Roman" w:hAnsi="Times New Roman" w:cs="Times New Roman"/>
          <w:sz w:val="24"/>
          <w:szCs w:val="24"/>
        </w:rPr>
        <w:t xml:space="preserve"> and L. Lindsey., </w:t>
      </w:r>
      <w:r>
        <w:rPr>
          <w:rFonts w:ascii="Times New Roman" w:hAnsi="Times New Roman" w:cs="Times New Roman"/>
          <w:sz w:val="24"/>
          <w:szCs w:val="24"/>
        </w:rPr>
        <w:t>(</w:t>
      </w:r>
      <w:r w:rsidRPr="004613E5">
        <w:rPr>
          <w:rFonts w:ascii="Times New Roman" w:hAnsi="Times New Roman" w:cs="Times New Roman"/>
          <w:sz w:val="24"/>
          <w:szCs w:val="24"/>
        </w:rPr>
        <w:t>2009</w:t>
      </w:r>
      <w:r>
        <w:rPr>
          <w:rFonts w:ascii="Times New Roman" w:hAnsi="Times New Roman" w:cs="Times New Roman"/>
          <w:sz w:val="24"/>
          <w:szCs w:val="24"/>
        </w:rPr>
        <w:t>)</w:t>
      </w:r>
      <w:r w:rsidRPr="004613E5">
        <w:rPr>
          <w:rFonts w:ascii="Times New Roman" w:hAnsi="Times New Roman" w:cs="Times New Roman"/>
          <w:sz w:val="24"/>
          <w:szCs w:val="24"/>
        </w:rPr>
        <w:t xml:space="preserve">. “Getting out early: an analysis of market making activity at the recommending analyst's firm,” </w:t>
      </w:r>
      <w:r w:rsidRPr="004613E5">
        <w:rPr>
          <w:rFonts w:ascii="Times New Roman" w:hAnsi="Times New Roman" w:cs="Times New Roman"/>
          <w:i/>
          <w:iCs/>
          <w:sz w:val="24"/>
          <w:szCs w:val="24"/>
        </w:rPr>
        <w:t>The Journal of Finance</w:t>
      </w:r>
      <w:r w:rsidRPr="004613E5">
        <w:rPr>
          <w:rFonts w:ascii="Times New Roman" w:hAnsi="Times New Roman" w:cs="Times New Roman"/>
          <w:sz w:val="24"/>
          <w:szCs w:val="24"/>
        </w:rPr>
        <w:t>, vol. 64, no. 5, pp. 2327-2359.</w:t>
      </w:r>
    </w:p>
    <w:p w14:paraId="7DB32517"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Jones, C.J., Philippon, T., </w:t>
      </w:r>
      <w:proofErr w:type="spellStart"/>
      <w:r w:rsidRPr="004613E5">
        <w:rPr>
          <w:rFonts w:ascii="Times New Roman" w:hAnsi="Times New Roman" w:cs="Times New Roman"/>
          <w:sz w:val="24"/>
          <w:szCs w:val="24"/>
        </w:rPr>
        <w:t>Venkateswaran</w:t>
      </w:r>
      <w:proofErr w:type="spellEnd"/>
      <w:r w:rsidRPr="004613E5">
        <w:rPr>
          <w:rFonts w:ascii="Times New Roman" w:hAnsi="Times New Roman" w:cs="Times New Roman"/>
          <w:sz w:val="24"/>
          <w:szCs w:val="24"/>
        </w:rPr>
        <w:t xml:space="preserve">, V.,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Optimal Mitigation Policies in a Pandemic: Social Distancing and Working from Home. Working Paper Series 26984, </w:t>
      </w:r>
      <w:r w:rsidRPr="004613E5">
        <w:rPr>
          <w:rFonts w:ascii="Times New Roman" w:hAnsi="Times New Roman" w:cs="Times New Roman"/>
          <w:i/>
          <w:iCs/>
          <w:sz w:val="24"/>
          <w:szCs w:val="24"/>
        </w:rPr>
        <w:t>National Bureau of Economic Research</w:t>
      </w:r>
      <w:r w:rsidRPr="004613E5">
        <w:rPr>
          <w:rFonts w:ascii="Times New Roman" w:hAnsi="Times New Roman" w:cs="Times New Roman"/>
          <w:sz w:val="24"/>
          <w:szCs w:val="24"/>
        </w:rPr>
        <w:t xml:space="preserve">. </w:t>
      </w:r>
    </w:p>
    <w:p w14:paraId="5CA2F131"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Kessler, S.M., </w:t>
      </w:r>
      <w:proofErr w:type="spellStart"/>
      <w:r w:rsidRPr="004613E5">
        <w:rPr>
          <w:rFonts w:ascii="Times New Roman" w:hAnsi="Times New Roman" w:cs="Times New Roman"/>
          <w:sz w:val="24"/>
          <w:szCs w:val="24"/>
        </w:rPr>
        <w:t>Tedijanto</w:t>
      </w:r>
      <w:proofErr w:type="spellEnd"/>
      <w:r w:rsidRPr="004613E5">
        <w:rPr>
          <w:rFonts w:ascii="Times New Roman" w:hAnsi="Times New Roman" w:cs="Times New Roman"/>
          <w:sz w:val="24"/>
          <w:szCs w:val="24"/>
        </w:rPr>
        <w:t xml:space="preserve">, C., </w:t>
      </w:r>
      <w:proofErr w:type="spellStart"/>
      <w:r w:rsidRPr="004613E5">
        <w:rPr>
          <w:rFonts w:ascii="Times New Roman" w:hAnsi="Times New Roman" w:cs="Times New Roman"/>
          <w:sz w:val="24"/>
          <w:szCs w:val="24"/>
        </w:rPr>
        <w:t>Lipsitch</w:t>
      </w:r>
      <w:proofErr w:type="spellEnd"/>
      <w:r w:rsidRPr="004613E5">
        <w:rPr>
          <w:rFonts w:ascii="Times New Roman" w:hAnsi="Times New Roman" w:cs="Times New Roman"/>
          <w:sz w:val="24"/>
          <w:szCs w:val="24"/>
        </w:rPr>
        <w:t xml:space="preserve">, M., Grad, Y.,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Social distancing strategies for curbing the COVID-19 epidemic. </w:t>
      </w:r>
      <w:proofErr w:type="spellStart"/>
      <w:r w:rsidRPr="004613E5">
        <w:rPr>
          <w:rFonts w:ascii="Times New Roman" w:hAnsi="Times New Roman" w:cs="Times New Roman"/>
          <w:sz w:val="24"/>
          <w:szCs w:val="24"/>
        </w:rPr>
        <w:t>medRxiv</w:t>
      </w:r>
      <w:proofErr w:type="spellEnd"/>
      <w:r w:rsidRPr="004613E5">
        <w:rPr>
          <w:rFonts w:ascii="Times New Roman" w:hAnsi="Times New Roman" w:cs="Times New Roman"/>
          <w:sz w:val="24"/>
          <w:szCs w:val="24"/>
        </w:rPr>
        <w:t xml:space="preserve">. </w:t>
      </w:r>
    </w:p>
    <w:p w14:paraId="720BDF28"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proofErr w:type="spellStart"/>
      <w:r w:rsidRPr="009104F6">
        <w:rPr>
          <w:rFonts w:ascii="Times New Roman" w:hAnsi="Times New Roman" w:cs="Times New Roman"/>
          <w:sz w:val="24"/>
          <w:szCs w:val="24"/>
        </w:rPr>
        <w:t>Koedijk</w:t>
      </w:r>
      <w:proofErr w:type="spellEnd"/>
      <w:r w:rsidRPr="009104F6">
        <w:rPr>
          <w:rFonts w:ascii="Times New Roman" w:hAnsi="Times New Roman" w:cs="Times New Roman"/>
          <w:sz w:val="24"/>
          <w:szCs w:val="24"/>
        </w:rPr>
        <w:t>, K.G., Stork, P.A., (1994). Should we care? Psychological barriers in stock markets. Economics Letters 44, 427–432.</w:t>
      </w:r>
    </w:p>
    <w:p w14:paraId="4C7CF31F"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 xml:space="preserve">Ley, E., Varian, H., </w:t>
      </w:r>
      <w:r>
        <w:rPr>
          <w:rFonts w:ascii="Times New Roman" w:hAnsi="Times New Roman" w:cs="Times New Roman"/>
          <w:sz w:val="24"/>
          <w:szCs w:val="24"/>
        </w:rPr>
        <w:t>(</w:t>
      </w:r>
      <w:r w:rsidRPr="009104F6">
        <w:rPr>
          <w:rFonts w:ascii="Times New Roman" w:hAnsi="Times New Roman" w:cs="Times New Roman"/>
          <w:sz w:val="24"/>
          <w:szCs w:val="24"/>
        </w:rPr>
        <w:t>1994</w:t>
      </w:r>
      <w:r>
        <w:rPr>
          <w:rFonts w:ascii="Times New Roman" w:hAnsi="Times New Roman" w:cs="Times New Roman"/>
          <w:sz w:val="24"/>
          <w:szCs w:val="24"/>
        </w:rPr>
        <w:t>)</w:t>
      </w:r>
      <w:r w:rsidRPr="009104F6">
        <w:rPr>
          <w:rFonts w:ascii="Times New Roman" w:hAnsi="Times New Roman" w:cs="Times New Roman"/>
          <w:sz w:val="24"/>
          <w:szCs w:val="24"/>
        </w:rPr>
        <w:t>. Are there psychological barriers in the Dow-Jones Index? Applied Financial Economics 4, 217–224.</w:t>
      </w:r>
    </w:p>
    <w:p w14:paraId="7087D42F"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Lyu</w:t>
      </w:r>
      <w:proofErr w:type="spellEnd"/>
      <w:r w:rsidRPr="004613E5">
        <w:rPr>
          <w:rFonts w:ascii="Times New Roman" w:hAnsi="Times New Roman" w:cs="Times New Roman"/>
          <w:sz w:val="24"/>
          <w:szCs w:val="24"/>
        </w:rPr>
        <w:t xml:space="preserve">, C., Wang, K., Zhang, F., Zhang, X., </w:t>
      </w:r>
      <w:r>
        <w:rPr>
          <w:rFonts w:ascii="Times New Roman" w:hAnsi="Times New Roman" w:cs="Times New Roman"/>
          <w:sz w:val="24"/>
          <w:szCs w:val="24"/>
        </w:rPr>
        <w:t>(</w:t>
      </w:r>
      <w:r w:rsidRPr="004613E5">
        <w:rPr>
          <w:rFonts w:ascii="Times New Roman" w:hAnsi="Times New Roman" w:cs="Times New Roman"/>
          <w:sz w:val="24"/>
          <w:szCs w:val="24"/>
        </w:rPr>
        <w:t>2018</w:t>
      </w:r>
      <w:r>
        <w:rPr>
          <w:rFonts w:ascii="Times New Roman" w:hAnsi="Times New Roman" w:cs="Times New Roman"/>
          <w:sz w:val="24"/>
          <w:szCs w:val="24"/>
        </w:rPr>
        <w:t>)</w:t>
      </w:r>
      <w:r w:rsidRPr="004613E5">
        <w:rPr>
          <w:rFonts w:ascii="Times New Roman" w:hAnsi="Times New Roman" w:cs="Times New Roman"/>
          <w:sz w:val="24"/>
          <w:szCs w:val="24"/>
        </w:rPr>
        <w:t>. GDP Management to meet or beat growth targets</w:t>
      </w:r>
      <w:r w:rsidRPr="004613E5">
        <w:rPr>
          <w:rFonts w:ascii="Times New Roman" w:hAnsi="Times New Roman" w:cs="Times New Roman"/>
          <w:i/>
          <w:iCs/>
          <w:sz w:val="24"/>
          <w:szCs w:val="24"/>
        </w:rPr>
        <w:t>. J. Account. Econ</w:t>
      </w:r>
      <w:r w:rsidRPr="004613E5">
        <w:rPr>
          <w:rFonts w:ascii="Times New Roman" w:hAnsi="Times New Roman" w:cs="Times New Roman"/>
          <w:sz w:val="24"/>
          <w:szCs w:val="24"/>
        </w:rPr>
        <w:t xml:space="preserve">. 66 (1), 318–338. </w:t>
      </w:r>
    </w:p>
    <w:p w14:paraId="25E40CCE"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 </w:t>
      </w:r>
      <w:proofErr w:type="spellStart"/>
      <w:r w:rsidRPr="004613E5">
        <w:rPr>
          <w:rFonts w:ascii="Times New Roman" w:hAnsi="Times New Roman" w:cs="Times New Roman"/>
          <w:sz w:val="24"/>
          <w:szCs w:val="24"/>
        </w:rPr>
        <w:t>Ausloos</w:t>
      </w:r>
      <w:proofErr w:type="spellEnd"/>
      <w:r w:rsidRPr="004613E5">
        <w:rPr>
          <w:rFonts w:ascii="Times New Roman" w:hAnsi="Times New Roman" w:cs="Times New Roman"/>
          <w:sz w:val="24"/>
          <w:szCs w:val="24"/>
        </w:rPr>
        <w:t xml:space="preserve">, C. </w:t>
      </w:r>
      <w:proofErr w:type="spellStart"/>
      <w:r w:rsidRPr="004613E5">
        <w:rPr>
          <w:rFonts w:ascii="Times New Roman" w:hAnsi="Times New Roman" w:cs="Times New Roman"/>
          <w:sz w:val="24"/>
          <w:szCs w:val="24"/>
        </w:rPr>
        <w:t>Herteliu</w:t>
      </w:r>
      <w:proofErr w:type="spellEnd"/>
      <w:r w:rsidRPr="004613E5">
        <w:rPr>
          <w:rFonts w:ascii="Times New Roman" w:hAnsi="Times New Roman" w:cs="Times New Roman"/>
          <w:sz w:val="24"/>
          <w:szCs w:val="24"/>
        </w:rPr>
        <w:t xml:space="preserve">, and B. </w:t>
      </w:r>
      <w:proofErr w:type="spellStart"/>
      <w:r w:rsidRPr="004613E5">
        <w:rPr>
          <w:rFonts w:ascii="Times New Roman" w:hAnsi="Times New Roman" w:cs="Times New Roman"/>
          <w:sz w:val="24"/>
          <w:szCs w:val="24"/>
        </w:rPr>
        <w:t>Ileanu</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2015</w:t>
      </w:r>
      <w:r>
        <w:rPr>
          <w:rFonts w:ascii="Times New Roman" w:hAnsi="Times New Roman" w:cs="Times New Roman"/>
          <w:sz w:val="24"/>
          <w:szCs w:val="24"/>
        </w:rPr>
        <w:t>)</w:t>
      </w:r>
      <w:r w:rsidRPr="004613E5">
        <w:rPr>
          <w:rFonts w:ascii="Times New Roman" w:hAnsi="Times New Roman" w:cs="Times New Roman"/>
          <w:sz w:val="24"/>
          <w:szCs w:val="24"/>
        </w:rPr>
        <w:t xml:space="preserve">. “Breakdown of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for birth data,” </w:t>
      </w:r>
      <w:proofErr w:type="spellStart"/>
      <w:r w:rsidRPr="004613E5">
        <w:rPr>
          <w:rFonts w:ascii="Times New Roman" w:hAnsi="Times New Roman" w:cs="Times New Roman"/>
          <w:i/>
          <w:iCs/>
          <w:sz w:val="24"/>
          <w:szCs w:val="24"/>
        </w:rPr>
        <w:t>Physica</w:t>
      </w:r>
      <w:proofErr w:type="spellEnd"/>
      <w:r w:rsidRPr="004613E5">
        <w:rPr>
          <w:rFonts w:ascii="Times New Roman" w:hAnsi="Times New Roman" w:cs="Times New Roman"/>
          <w:i/>
          <w:iCs/>
          <w:sz w:val="24"/>
          <w:szCs w:val="24"/>
        </w:rPr>
        <w:t xml:space="preserve"> A: Statistical Mechanics and its Applications</w:t>
      </w:r>
      <w:r w:rsidRPr="004613E5">
        <w:rPr>
          <w:rFonts w:ascii="Times New Roman" w:hAnsi="Times New Roman" w:cs="Times New Roman"/>
          <w:sz w:val="24"/>
          <w:szCs w:val="24"/>
        </w:rPr>
        <w:t>, vol. 419, pp. 736- 745.</w:t>
      </w:r>
    </w:p>
    <w:p w14:paraId="38CC0CE2"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 </w:t>
      </w:r>
      <w:proofErr w:type="spellStart"/>
      <w:r w:rsidRPr="004613E5">
        <w:rPr>
          <w:rFonts w:ascii="Times New Roman" w:hAnsi="Times New Roman" w:cs="Times New Roman"/>
          <w:sz w:val="24"/>
          <w:szCs w:val="24"/>
        </w:rPr>
        <w:t>Ausloos</w:t>
      </w:r>
      <w:proofErr w:type="spellEnd"/>
      <w:r w:rsidRPr="004613E5">
        <w:rPr>
          <w:rFonts w:ascii="Times New Roman" w:hAnsi="Times New Roman" w:cs="Times New Roman"/>
          <w:sz w:val="24"/>
          <w:szCs w:val="24"/>
        </w:rPr>
        <w:t xml:space="preserve">, R. </w:t>
      </w:r>
      <w:proofErr w:type="spellStart"/>
      <w:r w:rsidRPr="004613E5">
        <w:rPr>
          <w:rFonts w:ascii="Times New Roman" w:hAnsi="Times New Roman" w:cs="Times New Roman"/>
          <w:sz w:val="24"/>
          <w:szCs w:val="24"/>
        </w:rPr>
        <w:t>Cerqueti</w:t>
      </w:r>
      <w:proofErr w:type="spellEnd"/>
      <w:r w:rsidRPr="004613E5">
        <w:rPr>
          <w:rFonts w:ascii="Times New Roman" w:hAnsi="Times New Roman" w:cs="Times New Roman"/>
          <w:sz w:val="24"/>
          <w:szCs w:val="24"/>
        </w:rPr>
        <w:t xml:space="preserve">, and T. A. Mir., </w:t>
      </w:r>
      <w:r>
        <w:rPr>
          <w:rFonts w:ascii="Times New Roman" w:hAnsi="Times New Roman" w:cs="Times New Roman"/>
          <w:sz w:val="24"/>
          <w:szCs w:val="24"/>
        </w:rPr>
        <w:t>(</w:t>
      </w:r>
      <w:r w:rsidRPr="004613E5">
        <w:rPr>
          <w:rFonts w:ascii="Times New Roman" w:hAnsi="Times New Roman" w:cs="Times New Roman"/>
          <w:sz w:val="24"/>
          <w:szCs w:val="24"/>
        </w:rPr>
        <w:t>2017</w:t>
      </w:r>
      <w:r>
        <w:rPr>
          <w:rFonts w:ascii="Times New Roman" w:hAnsi="Times New Roman" w:cs="Times New Roman"/>
          <w:sz w:val="24"/>
          <w:szCs w:val="24"/>
        </w:rPr>
        <w:t>)</w:t>
      </w:r>
      <w:r w:rsidRPr="004613E5">
        <w:rPr>
          <w:rFonts w:ascii="Times New Roman" w:hAnsi="Times New Roman" w:cs="Times New Roman"/>
          <w:sz w:val="24"/>
          <w:szCs w:val="24"/>
        </w:rPr>
        <w:t xml:space="preserve">. “Data science for assessing possible tax income manipulation: The case of Italy,” </w:t>
      </w:r>
      <w:r w:rsidRPr="004613E5">
        <w:rPr>
          <w:rFonts w:ascii="Times New Roman" w:hAnsi="Times New Roman" w:cs="Times New Roman"/>
          <w:i/>
          <w:iCs/>
          <w:sz w:val="24"/>
          <w:szCs w:val="24"/>
        </w:rPr>
        <w:t>Chaos, Solitons &amp; Fractals</w:t>
      </w:r>
      <w:r w:rsidRPr="004613E5">
        <w:rPr>
          <w:rFonts w:ascii="Times New Roman" w:hAnsi="Times New Roman" w:cs="Times New Roman"/>
          <w:sz w:val="24"/>
          <w:szCs w:val="24"/>
        </w:rPr>
        <w:t>, vol. 104, pp. 238-256.</w:t>
      </w:r>
    </w:p>
    <w:p w14:paraId="07170FF9"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 </w:t>
      </w:r>
      <w:proofErr w:type="spellStart"/>
      <w:r w:rsidRPr="004613E5">
        <w:rPr>
          <w:rFonts w:ascii="Times New Roman" w:hAnsi="Times New Roman" w:cs="Times New Roman"/>
          <w:sz w:val="24"/>
          <w:szCs w:val="24"/>
        </w:rPr>
        <w:t>Cinko</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2014</w:t>
      </w:r>
      <w:r>
        <w:rPr>
          <w:rFonts w:ascii="Times New Roman" w:hAnsi="Times New Roman" w:cs="Times New Roman"/>
          <w:sz w:val="24"/>
          <w:szCs w:val="24"/>
        </w:rPr>
        <w:t>)</w:t>
      </w:r>
      <w:r w:rsidRPr="004613E5">
        <w:rPr>
          <w:rFonts w:ascii="Times New Roman" w:hAnsi="Times New Roman" w:cs="Times New Roman"/>
          <w:sz w:val="24"/>
          <w:szCs w:val="24"/>
        </w:rPr>
        <w:t xml:space="preserve">. “Testing distribution of BIST-100 returns by </w:t>
      </w:r>
      <w:proofErr w:type="spellStart"/>
      <w:r w:rsidRPr="004613E5">
        <w:rPr>
          <w:rFonts w:ascii="Times New Roman" w:hAnsi="Times New Roman" w:cs="Times New Roman"/>
          <w:sz w:val="24"/>
          <w:szCs w:val="24"/>
        </w:rPr>
        <w:t>Benford</w:t>
      </w:r>
      <w:proofErr w:type="spellEnd"/>
      <w:r w:rsidRPr="004613E5">
        <w:rPr>
          <w:rFonts w:ascii="Times New Roman" w:hAnsi="Times New Roman" w:cs="Times New Roman"/>
          <w:sz w:val="24"/>
          <w:szCs w:val="24"/>
        </w:rPr>
        <w:t xml:space="preserve"> Law,” </w:t>
      </w:r>
      <w:r w:rsidRPr="004613E5">
        <w:rPr>
          <w:rFonts w:ascii="Times New Roman" w:hAnsi="Times New Roman" w:cs="Times New Roman"/>
          <w:i/>
          <w:iCs/>
          <w:sz w:val="24"/>
          <w:szCs w:val="24"/>
        </w:rPr>
        <w:t>Journal of Economics Finance and Accounting</w:t>
      </w:r>
      <w:r w:rsidRPr="004613E5">
        <w:rPr>
          <w:rFonts w:ascii="Times New Roman" w:hAnsi="Times New Roman" w:cs="Times New Roman"/>
          <w:sz w:val="24"/>
          <w:szCs w:val="24"/>
        </w:rPr>
        <w:t>, vol. 1, no. 3, pp. 184-191.</w:t>
      </w:r>
    </w:p>
    <w:p w14:paraId="1ACC7D14"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lang w:val="es-AR"/>
        </w:rPr>
        <w:t xml:space="preserve">M. Corazza, A. </w:t>
      </w:r>
      <w:proofErr w:type="spellStart"/>
      <w:r w:rsidRPr="004613E5">
        <w:rPr>
          <w:rFonts w:ascii="Times New Roman" w:hAnsi="Times New Roman" w:cs="Times New Roman"/>
          <w:sz w:val="24"/>
          <w:szCs w:val="24"/>
          <w:lang w:val="es-AR"/>
        </w:rPr>
        <w:t>Ellero</w:t>
      </w:r>
      <w:proofErr w:type="spellEnd"/>
      <w:r w:rsidRPr="004613E5">
        <w:rPr>
          <w:rFonts w:ascii="Times New Roman" w:hAnsi="Times New Roman" w:cs="Times New Roman"/>
          <w:sz w:val="24"/>
          <w:szCs w:val="24"/>
          <w:lang w:val="es-AR"/>
        </w:rPr>
        <w:t xml:space="preserve">, and A. </w:t>
      </w:r>
      <w:proofErr w:type="spellStart"/>
      <w:r w:rsidRPr="004613E5">
        <w:rPr>
          <w:rFonts w:ascii="Times New Roman" w:hAnsi="Times New Roman" w:cs="Times New Roman"/>
          <w:sz w:val="24"/>
          <w:szCs w:val="24"/>
          <w:lang w:val="es-AR"/>
        </w:rPr>
        <w:t>Zorzi</w:t>
      </w:r>
      <w:proofErr w:type="spellEnd"/>
      <w:r w:rsidRPr="004613E5">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4613E5">
        <w:rPr>
          <w:rFonts w:ascii="Times New Roman" w:hAnsi="Times New Roman" w:cs="Times New Roman"/>
          <w:sz w:val="24"/>
          <w:szCs w:val="24"/>
          <w:lang w:val="es-AR"/>
        </w:rPr>
        <w:t>2010</w:t>
      </w:r>
      <w:r>
        <w:rPr>
          <w:rFonts w:ascii="Times New Roman" w:hAnsi="Times New Roman" w:cs="Times New Roman"/>
          <w:sz w:val="24"/>
          <w:szCs w:val="24"/>
          <w:lang w:val="es-AR"/>
        </w:rPr>
        <w:t>)</w:t>
      </w:r>
      <w:r w:rsidRPr="004613E5">
        <w:rPr>
          <w:rFonts w:ascii="Times New Roman" w:hAnsi="Times New Roman" w:cs="Times New Roman"/>
          <w:sz w:val="24"/>
          <w:szCs w:val="24"/>
          <w:lang w:val="es-AR"/>
        </w:rPr>
        <w:t xml:space="preserve">. </w:t>
      </w:r>
      <w:r w:rsidRPr="004613E5">
        <w:rPr>
          <w:rFonts w:ascii="Times New Roman" w:hAnsi="Times New Roman" w:cs="Times New Roman"/>
          <w:sz w:val="24"/>
          <w:szCs w:val="24"/>
        </w:rPr>
        <w:t xml:space="preserve">“Checking financial markets via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The S&amp;P 500 case,” in </w:t>
      </w:r>
      <w:r w:rsidRPr="004613E5">
        <w:rPr>
          <w:rFonts w:ascii="Times New Roman" w:hAnsi="Times New Roman" w:cs="Times New Roman"/>
          <w:i/>
          <w:iCs/>
          <w:sz w:val="24"/>
          <w:szCs w:val="24"/>
        </w:rPr>
        <w:t>Mathematical and statistical methods for actuarial sciences and finance</w:t>
      </w:r>
      <w:r w:rsidRPr="004613E5">
        <w:rPr>
          <w:rFonts w:ascii="Times New Roman" w:hAnsi="Times New Roman" w:cs="Times New Roman"/>
          <w:sz w:val="24"/>
          <w:szCs w:val="24"/>
        </w:rPr>
        <w:t>, pp. 93-102, Springer.</w:t>
      </w:r>
    </w:p>
    <w:p w14:paraId="31E735E4"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 </w:t>
      </w:r>
      <w:proofErr w:type="spellStart"/>
      <w:r w:rsidRPr="004613E5">
        <w:rPr>
          <w:rFonts w:ascii="Times New Roman" w:hAnsi="Times New Roman" w:cs="Times New Roman"/>
          <w:sz w:val="24"/>
          <w:szCs w:val="24"/>
        </w:rPr>
        <w:t>Lesperance</w:t>
      </w:r>
      <w:proofErr w:type="spellEnd"/>
      <w:r w:rsidRPr="004613E5">
        <w:rPr>
          <w:rFonts w:ascii="Times New Roman" w:hAnsi="Times New Roman" w:cs="Times New Roman"/>
          <w:sz w:val="24"/>
          <w:szCs w:val="24"/>
        </w:rPr>
        <w:t xml:space="preserve">, W. Reed, M. Stephens, C. Tsao, and B. Wilton., </w:t>
      </w:r>
      <w:r>
        <w:rPr>
          <w:rFonts w:ascii="Times New Roman" w:hAnsi="Times New Roman" w:cs="Times New Roman"/>
          <w:sz w:val="24"/>
          <w:szCs w:val="24"/>
        </w:rPr>
        <w:t>(</w:t>
      </w:r>
      <w:r w:rsidRPr="004613E5">
        <w:rPr>
          <w:rFonts w:ascii="Times New Roman" w:hAnsi="Times New Roman" w:cs="Times New Roman"/>
          <w:sz w:val="24"/>
          <w:szCs w:val="24"/>
        </w:rPr>
        <w:t>2016</w:t>
      </w:r>
      <w:r>
        <w:rPr>
          <w:rFonts w:ascii="Times New Roman" w:hAnsi="Times New Roman" w:cs="Times New Roman"/>
          <w:sz w:val="24"/>
          <w:szCs w:val="24"/>
        </w:rPr>
        <w:t>)</w:t>
      </w:r>
      <w:r w:rsidRPr="004613E5">
        <w:rPr>
          <w:rFonts w:ascii="Times New Roman" w:hAnsi="Times New Roman" w:cs="Times New Roman"/>
          <w:sz w:val="24"/>
          <w:szCs w:val="24"/>
        </w:rPr>
        <w:t xml:space="preserve">. “Assessing conformance with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Goodness-of-fit tests and simultaneous confidence intervals,” </w:t>
      </w:r>
      <w:proofErr w:type="spellStart"/>
      <w:r w:rsidRPr="004613E5">
        <w:rPr>
          <w:rFonts w:ascii="Times New Roman" w:hAnsi="Times New Roman" w:cs="Times New Roman"/>
          <w:i/>
          <w:iCs/>
          <w:sz w:val="24"/>
          <w:szCs w:val="24"/>
        </w:rPr>
        <w:t>PloS</w:t>
      </w:r>
      <w:proofErr w:type="spellEnd"/>
      <w:r w:rsidRPr="004613E5">
        <w:rPr>
          <w:rFonts w:ascii="Times New Roman" w:hAnsi="Times New Roman" w:cs="Times New Roman"/>
          <w:i/>
          <w:iCs/>
          <w:sz w:val="24"/>
          <w:szCs w:val="24"/>
        </w:rPr>
        <w:t xml:space="preserve"> one</w:t>
      </w:r>
      <w:r w:rsidRPr="004613E5">
        <w:rPr>
          <w:rFonts w:ascii="Times New Roman" w:hAnsi="Times New Roman" w:cs="Times New Roman"/>
          <w:sz w:val="24"/>
          <w:szCs w:val="24"/>
        </w:rPr>
        <w:t>, vol. 11, no. 3, p. e0151235.</w:t>
      </w:r>
    </w:p>
    <w:p w14:paraId="0E0B4C90"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 R. Haley., </w:t>
      </w:r>
      <w:r>
        <w:rPr>
          <w:rFonts w:ascii="Times New Roman" w:hAnsi="Times New Roman" w:cs="Times New Roman"/>
          <w:sz w:val="24"/>
          <w:szCs w:val="24"/>
        </w:rPr>
        <w:t>(</w:t>
      </w:r>
      <w:r w:rsidRPr="004613E5">
        <w:rPr>
          <w:rFonts w:ascii="Times New Roman" w:hAnsi="Times New Roman" w:cs="Times New Roman"/>
          <w:sz w:val="24"/>
          <w:szCs w:val="24"/>
        </w:rPr>
        <w:t>2017</w:t>
      </w:r>
      <w:r>
        <w:rPr>
          <w:rFonts w:ascii="Times New Roman" w:hAnsi="Times New Roman" w:cs="Times New Roman"/>
          <w:sz w:val="24"/>
          <w:szCs w:val="24"/>
        </w:rPr>
        <w:t>)</w:t>
      </w:r>
      <w:r w:rsidRPr="004613E5">
        <w:rPr>
          <w:rFonts w:ascii="Times New Roman" w:hAnsi="Times New Roman" w:cs="Times New Roman"/>
          <w:sz w:val="24"/>
          <w:szCs w:val="24"/>
        </w:rPr>
        <w:t>. “K-fold cross validation performance comparisons of six naive portfolio selection rules: how naive can you be and still have successful out-of-sample portfolio performance?”</w:t>
      </w:r>
      <w:r>
        <w:rPr>
          <w:rFonts w:ascii="Times New Roman" w:hAnsi="Times New Roman" w:cs="Times New Roman"/>
          <w:sz w:val="24"/>
          <w:szCs w:val="24"/>
        </w:rPr>
        <w:t>.</w:t>
      </w:r>
      <w:r w:rsidRPr="004613E5">
        <w:rPr>
          <w:rFonts w:ascii="Times New Roman" w:hAnsi="Times New Roman" w:cs="Times New Roman"/>
          <w:sz w:val="24"/>
          <w:szCs w:val="24"/>
        </w:rPr>
        <w:t xml:space="preserve"> </w:t>
      </w:r>
      <w:r w:rsidRPr="004613E5">
        <w:rPr>
          <w:rFonts w:ascii="Times New Roman" w:hAnsi="Times New Roman" w:cs="Times New Roman"/>
          <w:i/>
          <w:iCs/>
          <w:sz w:val="24"/>
          <w:szCs w:val="24"/>
        </w:rPr>
        <w:t>Annals of Finance</w:t>
      </w:r>
      <w:r w:rsidRPr="004613E5">
        <w:rPr>
          <w:rFonts w:ascii="Times New Roman" w:hAnsi="Times New Roman" w:cs="Times New Roman"/>
          <w:sz w:val="24"/>
          <w:szCs w:val="24"/>
        </w:rPr>
        <w:t>, vol. 13, no. 3, pp. 341-353.</w:t>
      </w:r>
    </w:p>
    <w:p w14:paraId="6284F6E5"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Michalski, T., Stoltz, G., </w:t>
      </w:r>
      <w:r>
        <w:rPr>
          <w:rFonts w:ascii="Times New Roman" w:hAnsi="Times New Roman" w:cs="Times New Roman"/>
          <w:sz w:val="24"/>
          <w:szCs w:val="24"/>
        </w:rPr>
        <w:t>(</w:t>
      </w:r>
      <w:r w:rsidRPr="004613E5">
        <w:rPr>
          <w:rFonts w:ascii="Times New Roman" w:hAnsi="Times New Roman" w:cs="Times New Roman"/>
          <w:sz w:val="24"/>
          <w:szCs w:val="24"/>
        </w:rPr>
        <w:t>2013</w:t>
      </w:r>
      <w:r>
        <w:rPr>
          <w:rFonts w:ascii="Times New Roman" w:hAnsi="Times New Roman" w:cs="Times New Roman"/>
          <w:sz w:val="24"/>
          <w:szCs w:val="24"/>
        </w:rPr>
        <w:t>)</w:t>
      </w:r>
      <w:r w:rsidRPr="004613E5">
        <w:rPr>
          <w:rFonts w:ascii="Times New Roman" w:hAnsi="Times New Roman" w:cs="Times New Roman"/>
          <w:sz w:val="24"/>
          <w:szCs w:val="24"/>
        </w:rPr>
        <w:t xml:space="preserve">. Do countries falsify economic data strategically? Some evidence that they might. Rev. Econ. Stat. 95 (2), 591–616. </w:t>
      </w:r>
    </w:p>
    <w:p w14:paraId="22008D14"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N. </w:t>
      </w:r>
      <w:proofErr w:type="spellStart"/>
      <w:r w:rsidRPr="004613E5">
        <w:rPr>
          <w:rFonts w:ascii="Times New Roman" w:hAnsi="Times New Roman" w:cs="Times New Roman"/>
          <w:sz w:val="24"/>
          <w:szCs w:val="24"/>
        </w:rPr>
        <w:t>Omerzu</w:t>
      </w:r>
      <w:proofErr w:type="spellEnd"/>
      <w:r w:rsidRPr="004613E5">
        <w:rPr>
          <w:rFonts w:ascii="Times New Roman" w:hAnsi="Times New Roman" w:cs="Times New Roman"/>
          <w:sz w:val="24"/>
          <w:szCs w:val="24"/>
        </w:rPr>
        <w:t xml:space="preserve"> and I. Kolar., </w:t>
      </w:r>
      <w:r>
        <w:rPr>
          <w:rFonts w:ascii="Times New Roman" w:hAnsi="Times New Roman" w:cs="Times New Roman"/>
          <w:sz w:val="24"/>
          <w:szCs w:val="24"/>
        </w:rPr>
        <w:t>(</w:t>
      </w:r>
      <w:r w:rsidRPr="004613E5">
        <w:rPr>
          <w:rFonts w:ascii="Times New Roman" w:hAnsi="Times New Roman" w:cs="Times New Roman"/>
          <w:sz w:val="24"/>
          <w:szCs w:val="24"/>
        </w:rPr>
        <w:t>2019</w:t>
      </w:r>
      <w:r>
        <w:rPr>
          <w:rFonts w:ascii="Times New Roman" w:hAnsi="Times New Roman" w:cs="Times New Roman"/>
          <w:sz w:val="24"/>
          <w:szCs w:val="24"/>
        </w:rPr>
        <w:t>)</w:t>
      </w:r>
      <w:r w:rsidRPr="004613E5">
        <w:rPr>
          <w:rFonts w:ascii="Times New Roman" w:hAnsi="Times New Roman" w:cs="Times New Roman"/>
          <w:sz w:val="24"/>
          <w:szCs w:val="24"/>
        </w:rPr>
        <w:t xml:space="preserve">. “Do the Financial Statements of Listed Companies on the Ljubljana Stock Exchange Pass the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Test?” </w:t>
      </w:r>
      <w:r w:rsidRPr="004613E5">
        <w:rPr>
          <w:rFonts w:ascii="Times New Roman" w:hAnsi="Times New Roman" w:cs="Times New Roman"/>
          <w:i/>
          <w:iCs/>
          <w:sz w:val="24"/>
          <w:szCs w:val="24"/>
        </w:rPr>
        <w:t>International Business Research</w:t>
      </w:r>
      <w:r w:rsidRPr="004613E5">
        <w:rPr>
          <w:rFonts w:ascii="Times New Roman" w:hAnsi="Times New Roman" w:cs="Times New Roman"/>
          <w:sz w:val="24"/>
          <w:szCs w:val="24"/>
        </w:rPr>
        <w:t>, vol. 12, no. 1, pp. 54-64.</w:t>
      </w:r>
    </w:p>
    <w:p w14:paraId="0A310299"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 xml:space="preserve">Newcomb, S., (1881). Note on the frequency of use of the different digits in natural numbers. American Journal of Mathematics 4, 39–40. </w:t>
      </w:r>
    </w:p>
    <w:p w14:paraId="153D6241"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Nigrini</w:t>
      </w:r>
      <w:proofErr w:type="spellEnd"/>
      <w:r w:rsidRPr="004613E5">
        <w:rPr>
          <w:rFonts w:ascii="Times New Roman" w:hAnsi="Times New Roman" w:cs="Times New Roman"/>
          <w:sz w:val="24"/>
          <w:szCs w:val="24"/>
        </w:rPr>
        <w:t xml:space="preserve">, M.J., </w:t>
      </w:r>
      <w:r>
        <w:rPr>
          <w:rFonts w:ascii="Times New Roman" w:hAnsi="Times New Roman" w:cs="Times New Roman"/>
          <w:sz w:val="24"/>
          <w:szCs w:val="24"/>
        </w:rPr>
        <w:t>(</w:t>
      </w:r>
      <w:r w:rsidRPr="004613E5">
        <w:rPr>
          <w:rFonts w:ascii="Times New Roman" w:hAnsi="Times New Roman" w:cs="Times New Roman"/>
          <w:sz w:val="24"/>
          <w:szCs w:val="24"/>
        </w:rPr>
        <w:t>1996</w:t>
      </w:r>
      <w:r>
        <w:rPr>
          <w:rFonts w:ascii="Times New Roman" w:hAnsi="Times New Roman" w:cs="Times New Roman"/>
          <w:sz w:val="24"/>
          <w:szCs w:val="24"/>
        </w:rPr>
        <w:t>)</w:t>
      </w:r>
      <w:r w:rsidRPr="004613E5">
        <w:rPr>
          <w:rFonts w:ascii="Times New Roman" w:hAnsi="Times New Roman" w:cs="Times New Roman"/>
          <w:sz w:val="24"/>
          <w:szCs w:val="24"/>
        </w:rPr>
        <w:t xml:space="preserve">. A taxpayer compliance application of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w:t>
      </w:r>
      <w:r w:rsidRPr="004613E5">
        <w:rPr>
          <w:rFonts w:ascii="Times New Roman" w:hAnsi="Times New Roman" w:cs="Times New Roman"/>
          <w:i/>
          <w:iCs/>
          <w:sz w:val="24"/>
          <w:szCs w:val="24"/>
        </w:rPr>
        <w:t>J. Am. Tax. Assoc</w:t>
      </w:r>
      <w:r w:rsidRPr="004613E5">
        <w:rPr>
          <w:rFonts w:ascii="Times New Roman" w:hAnsi="Times New Roman" w:cs="Times New Roman"/>
          <w:sz w:val="24"/>
          <w:szCs w:val="24"/>
        </w:rPr>
        <w:t xml:space="preserve">. 18 (1), 72. </w:t>
      </w:r>
    </w:p>
    <w:p w14:paraId="6EEF13B4"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Nye, J., </w:t>
      </w:r>
      <w:proofErr w:type="spellStart"/>
      <w:r w:rsidRPr="004613E5">
        <w:rPr>
          <w:rFonts w:ascii="Times New Roman" w:hAnsi="Times New Roman" w:cs="Times New Roman"/>
          <w:sz w:val="24"/>
          <w:szCs w:val="24"/>
        </w:rPr>
        <w:t>Moul</w:t>
      </w:r>
      <w:proofErr w:type="spellEnd"/>
      <w:r w:rsidRPr="004613E5">
        <w:rPr>
          <w:rFonts w:ascii="Times New Roman" w:hAnsi="Times New Roman" w:cs="Times New Roman"/>
          <w:sz w:val="24"/>
          <w:szCs w:val="24"/>
        </w:rPr>
        <w:t xml:space="preserve">, C., </w:t>
      </w:r>
      <w:r>
        <w:rPr>
          <w:rFonts w:ascii="Times New Roman" w:hAnsi="Times New Roman" w:cs="Times New Roman"/>
          <w:sz w:val="24"/>
          <w:szCs w:val="24"/>
        </w:rPr>
        <w:t>(</w:t>
      </w:r>
      <w:r w:rsidRPr="004613E5">
        <w:rPr>
          <w:rFonts w:ascii="Times New Roman" w:hAnsi="Times New Roman" w:cs="Times New Roman"/>
          <w:sz w:val="24"/>
          <w:szCs w:val="24"/>
        </w:rPr>
        <w:t>2007</w:t>
      </w:r>
      <w:r>
        <w:rPr>
          <w:rFonts w:ascii="Times New Roman" w:hAnsi="Times New Roman" w:cs="Times New Roman"/>
          <w:sz w:val="24"/>
          <w:szCs w:val="24"/>
        </w:rPr>
        <w:t>)</w:t>
      </w:r>
      <w:r w:rsidRPr="004613E5">
        <w:rPr>
          <w:rFonts w:ascii="Times New Roman" w:hAnsi="Times New Roman" w:cs="Times New Roman"/>
          <w:sz w:val="24"/>
          <w:szCs w:val="24"/>
        </w:rPr>
        <w:t xml:space="preserve">. The political economy of numbers: On the application of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to international macroeconomic statistics.</w:t>
      </w:r>
    </w:p>
    <w:p w14:paraId="64D3D427"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P. </w:t>
      </w:r>
      <w:proofErr w:type="spellStart"/>
      <w:r w:rsidRPr="004613E5">
        <w:rPr>
          <w:rFonts w:ascii="Times New Roman" w:hAnsi="Times New Roman" w:cs="Times New Roman"/>
          <w:sz w:val="24"/>
          <w:szCs w:val="24"/>
        </w:rPr>
        <w:t>Clippe</w:t>
      </w:r>
      <w:proofErr w:type="spellEnd"/>
      <w:r w:rsidRPr="004613E5">
        <w:rPr>
          <w:rFonts w:ascii="Times New Roman" w:hAnsi="Times New Roman" w:cs="Times New Roman"/>
          <w:sz w:val="24"/>
          <w:szCs w:val="24"/>
        </w:rPr>
        <w:t xml:space="preserve"> and M. </w:t>
      </w:r>
      <w:proofErr w:type="spellStart"/>
      <w:r w:rsidRPr="004613E5">
        <w:rPr>
          <w:rFonts w:ascii="Times New Roman" w:hAnsi="Times New Roman" w:cs="Times New Roman"/>
          <w:sz w:val="24"/>
          <w:szCs w:val="24"/>
        </w:rPr>
        <w:t>Ausloos</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2012</w:t>
      </w:r>
      <w:r>
        <w:rPr>
          <w:rFonts w:ascii="Times New Roman" w:hAnsi="Times New Roman" w:cs="Times New Roman"/>
          <w:sz w:val="24"/>
          <w:szCs w:val="24"/>
        </w:rPr>
        <w:t>)</w:t>
      </w:r>
      <w:r w:rsidRPr="004613E5">
        <w:rPr>
          <w:rFonts w:ascii="Times New Roman" w:hAnsi="Times New Roman" w:cs="Times New Roman"/>
          <w:sz w:val="24"/>
          <w:szCs w:val="24"/>
        </w:rPr>
        <w:t>.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and Theil transform of financial data</w:t>
      </w:r>
      <w:r w:rsidRPr="004613E5">
        <w:rPr>
          <w:rFonts w:ascii="Times New Roman" w:hAnsi="Times New Roman" w:cs="Times New Roman"/>
          <w:i/>
          <w:iCs/>
          <w:sz w:val="24"/>
          <w:szCs w:val="24"/>
        </w:rPr>
        <w:t xml:space="preserve">,” </w:t>
      </w:r>
      <w:proofErr w:type="spellStart"/>
      <w:r w:rsidRPr="004613E5">
        <w:rPr>
          <w:rFonts w:ascii="Times New Roman" w:hAnsi="Times New Roman" w:cs="Times New Roman"/>
          <w:i/>
          <w:iCs/>
          <w:sz w:val="24"/>
          <w:szCs w:val="24"/>
        </w:rPr>
        <w:t>Physica</w:t>
      </w:r>
      <w:proofErr w:type="spellEnd"/>
      <w:r w:rsidRPr="004613E5">
        <w:rPr>
          <w:rFonts w:ascii="Times New Roman" w:hAnsi="Times New Roman" w:cs="Times New Roman"/>
          <w:i/>
          <w:iCs/>
          <w:sz w:val="24"/>
          <w:szCs w:val="24"/>
        </w:rPr>
        <w:t xml:space="preserve"> A: Statistical Mechanics and its Applications</w:t>
      </w:r>
      <w:r w:rsidRPr="004613E5">
        <w:rPr>
          <w:rFonts w:ascii="Times New Roman" w:hAnsi="Times New Roman" w:cs="Times New Roman"/>
          <w:sz w:val="24"/>
          <w:szCs w:val="24"/>
        </w:rPr>
        <w:t xml:space="preserve">, vol. 391, no. 24, pp. 6556- 6567.  </w:t>
      </w:r>
    </w:p>
    <w:p w14:paraId="2D7ECE6F"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lastRenderedPageBreak/>
        <w:t xml:space="preserve">Parry, J., </w:t>
      </w:r>
      <w:r>
        <w:rPr>
          <w:rFonts w:ascii="Times New Roman" w:hAnsi="Times New Roman" w:cs="Times New Roman"/>
          <w:sz w:val="24"/>
          <w:szCs w:val="24"/>
        </w:rPr>
        <w:t>(</w:t>
      </w:r>
      <w:r w:rsidRPr="004613E5">
        <w:rPr>
          <w:rFonts w:ascii="Times New Roman" w:hAnsi="Times New Roman" w:cs="Times New Roman"/>
          <w:sz w:val="24"/>
          <w:szCs w:val="24"/>
        </w:rPr>
        <w:t>2003</w:t>
      </w:r>
      <w:r>
        <w:rPr>
          <w:rFonts w:ascii="Times New Roman" w:hAnsi="Times New Roman" w:cs="Times New Roman"/>
          <w:sz w:val="24"/>
          <w:szCs w:val="24"/>
        </w:rPr>
        <w:t>)</w:t>
      </w:r>
      <w:r w:rsidRPr="004613E5">
        <w:rPr>
          <w:rFonts w:ascii="Times New Roman" w:hAnsi="Times New Roman" w:cs="Times New Roman"/>
          <w:sz w:val="24"/>
          <w:szCs w:val="24"/>
        </w:rPr>
        <w:t xml:space="preserve">. WHO Is worried that China is under-reporting SARS? </w:t>
      </w:r>
      <w:r w:rsidRPr="004613E5">
        <w:rPr>
          <w:rFonts w:ascii="Times New Roman" w:hAnsi="Times New Roman" w:cs="Times New Roman"/>
          <w:i/>
          <w:iCs/>
          <w:sz w:val="24"/>
          <w:szCs w:val="24"/>
        </w:rPr>
        <w:t>BMJ</w:t>
      </w:r>
      <w:r w:rsidRPr="004613E5">
        <w:rPr>
          <w:rFonts w:ascii="Times New Roman" w:hAnsi="Times New Roman" w:cs="Times New Roman"/>
          <w:sz w:val="24"/>
          <w:szCs w:val="24"/>
        </w:rPr>
        <w:t xml:space="preserve"> 326 (7399), 1110. </w:t>
      </w:r>
    </w:p>
    <w:p w14:paraId="74C2523C"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 xml:space="preserve">Pinkham, R.S., </w:t>
      </w:r>
      <w:r>
        <w:rPr>
          <w:rFonts w:ascii="Times New Roman" w:hAnsi="Times New Roman" w:cs="Times New Roman"/>
          <w:sz w:val="24"/>
          <w:szCs w:val="24"/>
        </w:rPr>
        <w:t>(</w:t>
      </w:r>
      <w:r w:rsidRPr="009104F6">
        <w:rPr>
          <w:rFonts w:ascii="Times New Roman" w:hAnsi="Times New Roman" w:cs="Times New Roman"/>
          <w:sz w:val="24"/>
          <w:szCs w:val="24"/>
        </w:rPr>
        <w:t>1961</w:t>
      </w:r>
      <w:r>
        <w:rPr>
          <w:rFonts w:ascii="Times New Roman" w:hAnsi="Times New Roman" w:cs="Times New Roman"/>
          <w:sz w:val="24"/>
          <w:szCs w:val="24"/>
        </w:rPr>
        <w:t>)</w:t>
      </w:r>
      <w:r w:rsidRPr="009104F6">
        <w:rPr>
          <w:rFonts w:ascii="Times New Roman" w:hAnsi="Times New Roman" w:cs="Times New Roman"/>
          <w:sz w:val="24"/>
          <w:szCs w:val="24"/>
        </w:rPr>
        <w:t>.  On the distribution of first significant digits.  Annals of Mathematical Statistics32, 1223–1230.</w:t>
      </w:r>
    </w:p>
    <w:p w14:paraId="5DD9C6CD"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proofErr w:type="spellStart"/>
      <w:r w:rsidRPr="004613E5">
        <w:rPr>
          <w:rFonts w:ascii="Times New Roman" w:hAnsi="Times New Roman" w:cs="Times New Roman"/>
          <w:sz w:val="24"/>
          <w:szCs w:val="24"/>
        </w:rPr>
        <w:t>Qiu</w:t>
      </w:r>
      <w:proofErr w:type="spellEnd"/>
      <w:r w:rsidRPr="004613E5">
        <w:rPr>
          <w:rFonts w:ascii="Times New Roman" w:hAnsi="Times New Roman" w:cs="Times New Roman"/>
          <w:sz w:val="24"/>
          <w:szCs w:val="24"/>
        </w:rPr>
        <w:t xml:space="preserve">, Y., Chen, X., Shi, W., </w:t>
      </w:r>
      <w:r>
        <w:rPr>
          <w:rFonts w:ascii="Times New Roman" w:hAnsi="Times New Roman" w:cs="Times New Roman"/>
          <w:sz w:val="24"/>
          <w:szCs w:val="24"/>
        </w:rPr>
        <w:t>(</w:t>
      </w:r>
      <w:r w:rsidRPr="004613E5">
        <w:rPr>
          <w:rFonts w:ascii="Times New Roman" w:hAnsi="Times New Roman" w:cs="Times New Roman"/>
          <w:sz w:val="24"/>
          <w:szCs w:val="24"/>
        </w:rPr>
        <w:t>2020</w:t>
      </w:r>
      <w:r>
        <w:rPr>
          <w:rFonts w:ascii="Times New Roman" w:hAnsi="Times New Roman" w:cs="Times New Roman"/>
          <w:sz w:val="24"/>
          <w:szCs w:val="24"/>
        </w:rPr>
        <w:t>)</w:t>
      </w:r>
      <w:r w:rsidRPr="004613E5">
        <w:rPr>
          <w:rFonts w:ascii="Times New Roman" w:hAnsi="Times New Roman" w:cs="Times New Roman"/>
          <w:sz w:val="24"/>
          <w:szCs w:val="24"/>
        </w:rPr>
        <w:t xml:space="preserve">. Impacts of social and economic factors on the transmission of coronavirus disease 2019 (COVID-19) in China. </w:t>
      </w:r>
      <w:r w:rsidRPr="004613E5">
        <w:rPr>
          <w:rFonts w:ascii="Times New Roman" w:hAnsi="Times New Roman" w:cs="Times New Roman"/>
          <w:i/>
          <w:iCs/>
          <w:sz w:val="24"/>
          <w:szCs w:val="24"/>
        </w:rPr>
        <w:t xml:space="preserve">J. </w:t>
      </w:r>
      <w:proofErr w:type="spellStart"/>
      <w:r w:rsidRPr="004613E5">
        <w:rPr>
          <w:rFonts w:ascii="Times New Roman" w:hAnsi="Times New Roman" w:cs="Times New Roman"/>
          <w:i/>
          <w:iCs/>
          <w:sz w:val="24"/>
          <w:szCs w:val="24"/>
        </w:rPr>
        <w:t>Popul</w:t>
      </w:r>
      <w:proofErr w:type="spellEnd"/>
      <w:r w:rsidRPr="004613E5">
        <w:rPr>
          <w:rFonts w:ascii="Times New Roman" w:hAnsi="Times New Roman" w:cs="Times New Roman"/>
          <w:i/>
          <w:iCs/>
          <w:sz w:val="24"/>
          <w:szCs w:val="24"/>
        </w:rPr>
        <w:t>. Econ</w:t>
      </w:r>
      <w:r w:rsidRPr="004613E5">
        <w:rPr>
          <w:rFonts w:ascii="Times New Roman" w:hAnsi="Times New Roman" w:cs="Times New Roman"/>
          <w:sz w:val="24"/>
          <w:szCs w:val="24"/>
        </w:rPr>
        <w:t xml:space="preserve">. 33 (4), 1–46. </w:t>
      </w:r>
    </w:p>
    <w:p w14:paraId="06AC7BD2"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R. </w:t>
      </w:r>
      <w:proofErr w:type="spellStart"/>
      <w:r w:rsidRPr="004613E5">
        <w:rPr>
          <w:rFonts w:ascii="Times New Roman" w:hAnsi="Times New Roman" w:cs="Times New Roman"/>
          <w:sz w:val="24"/>
          <w:szCs w:val="24"/>
        </w:rPr>
        <w:t>Cerqueti</w:t>
      </w:r>
      <w:proofErr w:type="spellEnd"/>
      <w:r w:rsidRPr="004613E5">
        <w:rPr>
          <w:rFonts w:ascii="Times New Roman" w:hAnsi="Times New Roman" w:cs="Times New Roman"/>
          <w:sz w:val="24"/>
          <w:szCs w:val="24"/>
        </w:rPr>
        <w:t xml:space="preserve"> and M. </w:t>
      </w:r>
      <w:proofErr w:type="spellStart"/>
      <w:r w:rsidRPr="004613E5">
        <w:rPr>
          <w:rFonts w:ascii="Times New Roman" w:hAnsi="Times New Roman" w:cs="Times New Roman"/>
          <w:sz w:val="24"/>
          <w:szCs w:val="24"/>
        </w:rPr>
        <w:t>Ausloos</w:t>
      </w:r>
      <w:proofErr w:type="spellEnd"/>
      <w:r w:rsidRPr="004613E5">
        <w:rPr>
          <w:rFonts w:ascii="Times New Roman" w:hAnsi="Times New Roman" w:cs="Times New Roman"/>
          <w:sz w:val="24"/>
          <w:szCs w:val="24"/>
        </w:rPr>
        <w:t>,</w:t>
      </w:r>
      <w:r>
        <w:rPr>
          <w:rFonts w:ascii="Times New Roman" w:hAnsi="Times New Roman" w:cs="Times New Roman"/>
          <w:sz w:val="24"/>
          <w:szCs w:val="24"/>
        </w:rPr>
        <w:t xml:space="preserve"> (2015)</w:t>
      </w:r>
      <w:r w:rsidRPr="004613E5">
        <w:rPr>
          <w:rFonts w:ascii="Times New Roman" w:hAnsi="Times New Roman" w:cs="Times New Roman"/>
          <w:sz w:val="24"/>
          <w:szCs w:val="24"/>
        </w:rPr>
        <w:t xml:space="preserve"> “Evidence of economic regularities and disparities of Italian regions from aggregated tax income size data,” </w:t>
      </w:r>
      <w:proofErr w:type="spellStart"/>
      <w:r w:rsidRPr="004613E5">
        <w:rPr>
          <w:rFonts w:ascii="Times New Roman" w:hAnsi="Times New Roman" w:cs="Times New Roman"/>
          <w:i/>
          <w:iCs/>
          <w:sz w:val="24"/>
          <w:szCs w:val="24"/>
        </w:rPr>
        <w:t>Physica</w:t>
      </w:r>
      <w:proofErr w:type="spellEnd"/>
      <w:r w:rsidRPr="004613E5">
        <w:rPr>
          <w:rFonts w:ascii="Times New Roman" w:hAnsi="Times New Roman" w:cs="Times New Roman"/>
          <w:i/>
          <w:iCs/>
          <w:sz w:val="24"/>
          <w:szCs w:val="24"/>
        </w:rPr>
        <w:t xml:space="preserve"> A: Statistical Mechanics and its Applications</w:t>
      </w:r>
      <w:r w:rsidRPr="004613E5">
        <w:rPr>
          <w:rFonts w:ascii="Times New Roman" w:hAnsi="Times New Roman" w:cs="Times New Roman"/>
          <w:sz w:val="24"/>
          <w:szCs w:val="24"/>
        </w:rPr>
        <w:t>, vol. 421, pp. 187207.</w:t>
      </w:r>
    </w:p>
    <w:p w14:paraId="2216D67F"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r w:rsidRPr="009104F6">
        <w:rPr>
          <w:rFonts w:ascii="Times New Roman" w:hAnsi="Times New Roman" w:cs="Times New Roman"/>
          <w:sz w:val="24"/>
          <w:szCs w:val="24"/>
        </w:rPr>
        <w:t>Raimi, R.A., (1976). The first digit problem. The American Mathematical Monthly 83, 521–538.</w:t>
      </w:r>
    </w:p>
    <w:p w14:paraId="612F8A3F"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Rauch, B., </w:t>
      </w:r>
      <w:proofErr w:type="spellStart"/>
      <w:r w:rsidRPr="004613E5">
        <w:rPr>
          <w:rFonts w:ascii="Times New Roman" w:hAnsi="Times New Roman" w:cs="Times New Roman"/>
          <w:sz w:val="24"/>
          <w:szCs w:val="24"/>
        </w:rPr>
        <w:t>Göttsche</w:t>
      </w:r>
      <w:proofErr w:type="spellEnd"/>
      <w:r w:rsidRPr="004613E5">
        <w:rPr>
          <w:rFonts w:ascii="Times New Roman" w:hAnsi="Times New Roman" w:cs="Times New Roman"/>
          <w:sz w:val="24"/>
          <w:szCs w:val="24"/>
        </w:rPr>
        <w:t xml:space="preserve">, M., </w:t>
      </w:r>
      <w:proofErr w:type="spellStart"/>
      <w:r w:rsidRPr="004613E5">
        <w:rPr>
          <w:rFonts w:ascii="Times New Roman" w:hAnsi="Times New Roman" w:cs="Times New Roman"/>
          <w:sz w:val="24"/>
          <w:szCs w:val="24"/>
        </w:rPr>
        <w:t>Brähler</w:t>
      </w:r>
      <w:proofErr w:type="spellEnd"/>
      <w:r w:rsidRPr="004613E5">
        <w:rPr>
          <w:rFonts w:ascii="Times New Roman" w:hAnsi="Times New Roman" w:cs="Times New Roman"/>
          <w:sz w:val="24"/>
          <w:szCs w:val="24"/>
        </w:rPr>
        <w:t xml:space="preserve">, G., Engel, S., </w:t>
      </w:r>
      <w:r>
        <w:rPr>
          <w:rFonts w:ascii="Times New Roman" w:hAnsi="Times New Roman" w:cs="Times New Roman"/>
          <w:sz w:val="24"/>
          <w:szCs w:val="24"/>
        </w:rPr>
        <w:t>(</w:t>
      </w:r>
      <w:r w:rsidRPr="004613E5">
        <w:rPr>
          <w:rFonts w:ascii="Times New Roman" w:hAnsi="Times New Roman" w:cs="Times New Roman"/>
          <w:sz w:val="24"/>
          <w:szCs w:val="24"/>
        </w:rPr>
        <w:t>2011</w:t>
      </w:r>
      <w:r>
        <w:rPr>
          <w:rFonts w:ascii="Times New Roman" w:hAnsi="Times New Roman" w:cs="Times New Roman"/>
          <w:sz w:val="24"/>
          <w:szCs w:val="24"/>
        </w:rPr>
        <w:t>)</w:t>
      </w:r>
      <w:r w:rsidRPr="004613E5">
        <w:rPr>
          <w:rFonts w:ascii="Times New Roman" w:hAnsi="Times New Roman" w:cs="Times New Roman"/>
          <w:sz w:val="24"/>
          <w:szCs w:val="24"/>
        </w:rPr>
        <w:t>. Fact and fiction in EU-governmental economic data. Ger.</w:t>
      </w:r>
      <w:r w:rsidRPr="004613E5">
        <w:rPr>
          <w:rFonts w:ascii="Times New Roman" w:hAnsi="Times New Roman" w:cs="Times New Roman"/>
          <w:i/>
          <w:iCs/>
          <w:sz w:val="24"/>
          <w:szCs w:val="24"/>
        </w:rPr>
        <w:t xml:space="preserve"> Econ. Rev</w:t>
      </w:r>
      <w:r w:rsidRPr="004613E5">
        <w:rPr>
          <w:rFonts w:ascii="Times New Roman" w:hAnsi="Times New Roman" w:cs="Times New Roman"/>
          <w:sz w:val="24"/>
          <w:szCs w:val="24"/>
        </w:rPr>
        <w:t xml:space="preserve">. 12 (3), 243–255. </w:t>
      </w:r>
    </w:p>
    <w:p w14:paraId="77D770FE"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S. J. Miller., </w:t>
      </w:r>
      <w:r>
        <w:rPr>
          <w:rFonts w:ascii="Times New Roman" w:hAnsi="Times New Roman" w:cs="Times New Roman"/>
          <w:sz w:val="24"/>
          <w:szCs w:val="24"/>
        </w:rPr>
        <w:t>(</w:t>
      </w:r>
      <w:r w:rsidRPr="004613E5">
        <w:rPr>
          <w:rFonts w:ascii="Times New Roman" w:hAnsi="Times New Roman" w:cs="Times New Roman"/>
          <w:sz w:val="24"/>
          <w:szCs w:val="24"/>
        </w:rPr>
        <w:t>2015</w:t>
      </w:r>
      <w:r>
        <w:rPr>
          <w:rFonts w:ascii="Times New Roman" w:hAnsi="Times New Roman" w:cs="Times New Roman"/>
          <w:sz w:val="24"/>
          <w:szCs w:val="24"/>
        </w:rPr>
        <w:t>)</w:t>
      </w:r>
      <w:r w:rsidRPr="004613E5">
        <w:rPr>
          <w:rFonts w:ascii="Times New Roman" w:hAnsi="Times New Roman" w:cs="Times New Roman"/>
          <w:sz w:val="24"/>
          <w:szCs w:val="24"/>
        </w:rPr>
        <w:t xml:space="preserve">. </w:t>
      </w:r>
      <w:proofErr w:type="spellStart"/>
      <w:r w:rsidRPr="004613E5">
        <w:rPr>
          <w:rFonts w:ascii="Times New Roman" w:hAnsi="Times New Roman" w:cs="Times New Roman"/>
          <w:i/>
          <w:iCs/>
          <w:sz w:val="24"/>
          <w:szCs w:val="24"/>
        </w:rPr>
        <w:t>Benford's</w:t>
      </w:r>
      <w:proofErr w:type="spellEnd"/>
      <w:r w:rsidRPr="004613E5">
        <w:rPr>
          <w:rFonts w:ascii="Times New Roman" w:hAnsi="Times New Roman" w:cs="Times New Roman"/>
          <w:i/>
          <w:iCs/>
          <w:sz w:val="24"/>
          <w:szCs w:val="24"/>
        </w:rPr>
        <w:t xml:space="preserve"> Law: Theory and Applications</w:t>
      </w:r>
      <w:r w:rsidRPr="004613E5">
        <w:rPr>
          <w:rFonts w:ascii="Times New Roman" w:hAnsi="Times New Roman" w:cs="Times New Roman"/>
          <w:sz w:val="24"/>
          <w:szCs w:val="24"/>
        </w:rPr>
        <w:t>. Princeton University Press.</w:t>
      </w:r>
    </w:p>
    <w:p w14:paraId="1F16C5DF"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S. Newcomb., </w:t>
      </w:r>
      <w:r>
        <w:rPr>
          <w:rFonts w:ascii="Times New Roman" w:hAnsi="Times New Roman" w:cs="Times New Roman"/>
          <w:sz w:val="24"/>
          <w:szCs w:val="24"/>
        </w:rPr>
        <w:t>(</w:t>
      </w:r>
      <w:r w:rsidRPr="004613E5">
        <w:rPr>
          <w:rFonts w:ascii="Times New Roman" w:hAnsi="Times New Roman" w:cs="Times New Roman"/>
          <w:sz w:val="24"/>
          <w:szCs w:val="24"/>
        </w:rPr>
        <w:t>1881</w:t>
      </w:r>
      <w:r>
        <w:rPr>
          <w:rFonts w:ascii="Times New Roman" w:hAnsi="Times New Roman" w:cs="Times New Roman"/>
          <w:sz w:val="24"/>
          <w:szCs w:val="24"/>
        </w:rPr>
        <w:t>)</w:t>
      </w:r>
      <w:r w:rsidRPr="004613E5">
        <w:rPr>
          <w:rFonts w:ascii="Times New Roman" w:hAnsi="Times New Roman" w:cs="Times New Roman"/>
          <w:sz w:val="24"/>
          <w:szCs w:val="24"/>
        </w:rPr>
        <w:t xml:space="preserve">. “Note on the frequency of use of the different digits in natural numbers,” </w:t>
      </w:r>
      <w:r w:rsidRPr="004613E5">
        <w:rPr>
          <w:rFonts w:ascii="Times New Roman" w:hAnsi="Times New Roman" w:cs="Times New Roman"/>
          <w:i/>
          <w:iCs/>
          <w:sz w:val="24"/>
          <w:szCs w:val="24"/>
        </w:rPr>
        <w:t>American Journal of Mathematics</w:t>
      </w:r>
      <w:r w:rsidRPr="004613E5">
        <w:rPr>
          <w:rFonts w:ascii="Times New Roman" w:hAnsi="Times New Roman" w:cs="Times New Roman"/>
          <w:sz w:val="24"/>
          <w:szCs w:val="24"/>
        </w:rPr>
        <w:t>, vol. 4, no. 1, pp. 39-40.</w:t>
      </w:r>
    </w:p>
    <w:p w14:paraId="47B1D0C1"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S. Zhao and W. Wu., </w:t>
      </w:r>
      <w:r>
        <w:rPr>
          <w:rFonts w:ascii="Times New Roman" w:hAnsi="Times New Roman" w:cs="Times New Roman"/>
          <w:sz w:val="24"/>
          <w:szCs w:val="24"/>
        </w:rPr>
        <w:t>(</w:t>
      </w:r>
      <w:r w:rsidRPr="004613E5">
        <w:rPr>
          <w:rFonts w:ascii="Times New Roman" w:hAnsi="Times New Roman" w:cs="Times New Roman"/>
          <w:sz w:val="24"/>
          <w:szCs w:val="24"/>
        </w:rPr>
        <w:t>2010</w:t>
      </w:r>
      <w:r>
        <w:rPr>
          <w:rFonts w:ascii="Times New Roman" w:hAnsi="Times New Roman" w:cs="Times New Roman"/>
          <w:sz w:val="24"/>
          <w:szCs w:val="24"/>
        </w:rPr>
        <w:t>)</w:t>
      </w:r>
      <w:r w:rsidRPr="004613E5">
        <w:rPr>
          <w:rFonts w:ascii="Times New Roman" w:hAnsi="Times New Roman" w:cs="Times New Roman"/>
          <w:sz w:val="24"/>
          <w:szCs w:val="24"/>
        </w:rPr>
        <w:t xml:space="preserve">. “Does Chinese Stock Indices Agree with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in </w:t>
      </w:r>
      <w:r w:rsidRPr="004613E5">
        <w:rPr>
          <w:rFonts w:ascii="Times New Roman" w:hAnsi="Times New Roman" w:cs="Times New Roman"/>
          <w:i/>
          <w:iCs/>
          <w:sz w:val="24"/>
          <w:szCs w:val="24"/>
        </w:rPr>
        <w:t>2010 International Conference on Management and Service Science,</w:t>
      </w:r>
      <w:r w:rsidRPr="004613E5">
        <w:rPr>
          <w:rFonts w:ascii="Times New Roman" w:hAnsi="Times New Roman" w:cs="Times New Roman"/>
          <w:sz w:val="24"/>
          <w:szCs w:val="24"/>
        </w:rPr>
        <w:t xml:space="preserve"> pp. 1-3, IEEE.</w:t>
      </w:r>
    </w:p>
    <w:p w14:paraId="0BA266AA"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proofErr w:type="spellStart"/>
      <w:r w:rsidRPr="009104F6">
        <w:rPr>
          <w:rFonts w:ascii="Times New Roman" w:hAnsi="Times New Roman" w:cs="Times New Roman"/>
          <w:sz w:val="24"/>
          <w:szCs w:val="24"/>
        </w:rPr>
        <w:t>Schatte</w:t>
      </w:r>
      <w:proofErr w:type="spellEnd"/>
      <w:r w:rsidRPr="009104F6">
        <w:rPr>
          <w:rFonts w:ascii="Times New Roman" w:hAnsi="Times New Roman" w:cs="Times New Roman"/>
          <w:sz w:val="24"/>
          <w:szCs w:val="24"/>
        </w:rPr>
        <w:t xml:space="preserve">, P., (1984).  On the asymptotic uniform distribution of sums reduced mod 1. </w:t>
      </w:r>
      <w:proofErr w:type="spellStart"/>
      <w:r w:rsidRPr="009104F6">
        <w:rPr>
          <w:rFonts w:ascii="Times New Roman" w:hAnsi="Times New Roman" w:cs="Times New Roman"/>
          <w:sz w:val="24"/>
          <w:szCs w:val="24"/>
        </w:rPr>
        <w:t>Mathematische</w:t>
      </w:r>
      <w:proofErr w:type="spellEnd"/>
      <w:r w:rsidRPr="009104F6">
        <w:rPr>
          <w:rFonts w:ascii="Times New Roman" w:hAnsi="Times New Roman" w:cs="Times New Roman"/>
          <w:sz w:val="24"/>
          <w:szCs w:val="24"/>
        </w:rPr>
        <w:t xml:space="preserve"> </w:t>
      </w:r>
      <w:proofErr w:type="spellStart"/>
      <w:r w:rsidRPr="009104F6">
        <w:rPr>
          <w:rFonts w:ascii="Times New Roman" w:hAnsi="Times New Roman" w:cs="Times New Roman"/>
          <w:sz w:val="24"/>
          <w:szCs w:val="24"/>
        </w:rPr>
        <w:t>Nachrichten</w:t>
      </w:r>
      <w:proofErr w:type="spellEnd"/>
      <w:r w:rsidRPr="009104F6">
        <w:rPr>
          <w:rFonts w:ascii="Times New Roman" w:hAnsi="Times New Roman" w:cs="Times New Roman"/>
          <w:sz w:val="24"/>
          <w:szCs w:val="24"/>
        </w:rPr>
        <w:t xml:space="preserve"> 115, 275–281.</w:t>
      </w:r>
    </w:p>
    <w:p w14:paraId="70494678"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proofErr w:type="spellStart"/>
      <w:r w:rsidRPr="009104F6">
        <w:rPr>
          <w:rFonts w:ascii="Times New Roman" w:hAnsi="Times New Roman" w:cs="Times New Roman"/>
          <w:sz w:val="24"/>
          <w:szCs w:val="24"/>
        </w:rPr>
        <w:t>Schatte</w:t>
      </w:r>
      <w:proofErr w:type="spellEnd"/>
      <w:r w:rsidRPr="009104F6">
        <w:rPr>
          <w:rFonts w:ascii="Times New Roman" w:hAnsi="Times New Roman" w:cs="Times New Roman"/>
          <w:sz w:val="24"/>
          <w:szCs w:val="24"/>
        </w:rPr>
        <w:t xml:space="preserve">, P., (1988a).  On a law of the iterated logarithm for su0ms reduced mod 1 with application to </w:t>
      </w:r>
      <w:proofErr w:type="spellStart"/>
      <w:r w:rsidRPr="009104F6">
        <w:rPr>
          <w:rFonts w:ascii="Times New Roman" w:hAnsi="Times New Roman" w:cs="Times New Roman"/>
          <w:sz w:val="24"/>
          <w:szCs w:val="24"/>
        </w:rPr>
        <w:t>Benford’s</w:t>
      </w:r>
      <w:proofErr w:type="spellEnd"/>
      <w:r w:rsidRPr="009104F6">
        <w:rPr>
          <w:rFonts w:ascii="Times New Roman" w:hAnsi="Times New Roman" w:cs="Times New Roman"/>
          <w:sz w:val="24"/>
          <w:szCs w:val="24"/>
        </w:rPr>
        <w:t xml:space="preserve"> Law. Probability Theory and Related Fields 77, 167–178.</w:t>
      </w:r>
    </w:p>
    <w:p w14:paraId="46216B12" w14:textId="77777777" w:rsidR="00216053" w:rsidRPr="009104F6" w:rsidRDefault="00216053" w:rsidP="009104F6">
      <w:pPr>
        <w:pStyle w:val="ListParagraph"/>
        <w:numPr>
          <w:ilvl w:val="0"/>
          <w:numId w:val="4"/>
        </w:numPr>
        <w:spacing w:line="240" w:lineRule="auto"/>
        <w:jc w:val="both"/>
        <w:rPr>
          <w:rFonts w:ascii="Times New Roman" w:hAnsi="Times New Roman" w:cs="Times New Roman"/>
          <w:sz w:val="24"/>
          <w:szCs w:val="24"/>
        </w:rPr>
      </w:pPr>
      <w:proofErr w:type="spellStart"/>
      <w:r w:rsidRPr="009104F6">
        <w:rPr>
          <w:rFonts w:ascii="Times New Roman" w:hAnsi="Times New Roman" w:cs="Times New Roman"/>
          <w:sz w:val="24"/>
          <w:szCs w:val="24"/>
        </w:rPr>
        <w:t>Schatte</w:t>
      </w:r>
      <w:proofErr w:type="spellEnd"/>
      <w:r w:rsidRPr="009104F6">
        <w:rPr>
          <w:rFonts w:ascii="Times New Roman" w:hAnsi="Times New Roman" w:cs="Times New Roman"/>
          <w:sz w:val="24"/>
          <w:szCs w:val="24"/>
        </w:rPr>
        <w:t xml:space="preserve">, P., (1988b).  On the almost sure convergence of floating-point mantissas and </w:t>
      </w:r>
      <w:proofErr w:type="spellStart"/>
      <w:r w:rsidRPr="009104F6">
        <w:rPr>
          <w:rFonts w:ascii="Times New Roman" w:hAnsi="Times New Roman" w:cs="Times New Roman"/>
          <w:sz w:val="24"/>
          <w:szCs w:val="24"/>
        </w:rPr>
        <w:t>Benford’s</w:t>
      </w:r>
      <w:proofErr w:type="spellEnd"/>
      <w:r w:rsidRPr="009104F6">
        <w:rPr>
          <w:rFonts w:ascii="Times New Roman" w:hAnsi="Times New Roman" w:cs="Times New Roman"/>
          <w:sz w:val="24"/>
          <w:szCs w:val="24"/>
        </w:rPr>
        <w:t xml:space="preserve"> Law. </w:t>
      </w:r>
      <w:proofErr w:type="spellStart"/>
      <w:r w:rsidRPr="009104F6">
        <w:rPr>
          <w:rFonts w:ascii="Times New Roman" w:hAnsi="Times New Roman" w:cs="Times New Roman"/>
          <w:sz w:val="24"/>
          <w:szCs w:val="24"/>
        </w:rPr>
        <w:t>Mathematische</w:t>
      </w:r>
      <w:proofErr w:type="spellEnd"/>
      <w:r w:rsidRPr="009104F6">
        <w:rPr>
          <w:rFonts w:ascii="Times New Roman" w:hAnsi="Times New Roman" w:cs="Times New Roman"/>
          <w:sz w:val="24"/>
          <w:szCs w:val="24"/>
        </w:rPr>
        <w:t xml:space="preserve"> </w:t>
      </w:r>
      <w:proofErr w:type="spellStart"/>
      <w:r w:rsidRPr="009104F6">
        <w:rPr>
          <w:rFonts w:ascii="Times New Roman" w:hAnsi="Times New Roman" w:cs="Times New Roman"/>
          <w:sz w:val="24"/>
          <w:szCs w:val="24"/>
        </w:rPr>
        <w:t>Nachrichten</w:t>
      </w:r>
      <w:proofErr w:type="spellEnd"/>
      <w:r w:rsidRPr="009104F6">
        <w:rPr>
          <w:rFonts w:ascii="Times New Roman" w:hAnsi="Times New Roman" w:cs="Times New Roman"/>
          <w:sz w:val="24"/>
          <w:szCs w:val="24"/>
        </w:rPr>
        <w:t xml:space="preserve"> 135, 79–83.</w:t>
      </w:r>
    </w:p>
    <w:p w14:paraId="0B156696"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T. A. Mir and M. </w:t>
      </w:r>
      <w:proofErr w:type="spellStart"/>
      <w:r w:rsidRPr="004613E5">
        <w:rPr>
          <w:rFonts w:ascii="Times New Roman" w:hAnsi="Times New Roman" w:cs="Times New Roman"/>
          <w:sz w:val="24"/>
          <w:szCs w:val="24"/>
        </w:rPr>
        <w:t>Ausloos</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2018</w:t>
      </w:r>
      <w:r>
        <w:rPr>
          <w:rFonts w:ascii="Times New Roman" w:hAnsi="Times New Roman" w:cs="Times New Roman"/>
          <w:sz w:val="24"/>
          <w:szCs w:val="24"/>
        </w:rPr>
        <w:t>)</w:t>
      </w:r>
      <w:r w:rsidRPr="004613E5">
        <w:rPr>
          <w:rFonts w:ascii="Times New Roman" w:hAnsi="Times New Roman" w:cs="Times New Roman"/>
          <w:sz w:val="24"/>
          <w:szCs w:val="24"/>
        </w:rPr>
        <w:t>.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A “sleeping beauty" sleeping in the dirty pages of logarithmic tables.,” </w:t>
      </w:r>
      <w:r w:rsidRPr="004613E5">
        <w:rPr>
          <w:rFonts w:ascii="Times New Roman" w:hAnsi="Times New Roman" w:cs="Times New Roman"/>
          <w:i/>
          <w:iCs/>
          <w:sz w:val="24"/>
          <w:szCs w:val="24"/>
        </w:rPr>
        <w:t>Journal of the Association for Information Science and Technology</w:t>
      </w:r>
      <w:r w:rsidRPr="004613E5">
        <w:rPr>
          <w:rFonts w:ascii="Times New Roman" w:hAnsi="Times New Roman" w:cs="Times New Roman"/>
          <w:sz w:val="24"/>
          <w:szCs w:val="24"/>
        </w:rPr>
        <w:t>, vol. 69, no. 3, pp. 349-358.</w:t>
      </w:r>
    </w:p>
    <w:p w14:paraId="4F0D4230"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U. Hassler and M. </w:t>
      </w:r>
      <w:proofErr w:type="spellStart"/>
      <w:r w:rsidRPr="004613E5">
        <w:rPr>
          <w:rFonts w:ascii="Times New Roman" w:hAnsi="Times New Roman" w:cs="Times New Roman"/>
          <w:sz w:val="24"/>
          <w:szCs w:val="24"/>
        </w:rPr>
        <w:t>Hosseinkouchack</w:t>
      </w:r>
      <w:proofErr w:type="spellEnd"/>
      <w:r w:rsidRPr="004613E5">
        <w:rPr>
          <w:rFonts w:ascii="Times New Roman" w:hAnsi="Times New Roman" w:cs="Times New Roman"/>
          <w:sz w:val="24"/>
          <w:szCs w:val="24"/>
        </w:rPr>
        <w:t xml:space="preserve">., </w:t>
      </w:r>
      <w:r>
        <w:rPr>
          <w:rFonts w:ascii="Times New Roman" w:hAnsi="Times New Roman" w:cs="Times New Roman"/>
          <w:sz w:val="24"/>
          <w:szCs w:val="24"/>
        </w:rPr>
        <w:t>(</w:t>
      </w:r>
      <w:r w:rsidRPr="004613E5">
        <w:rPr>
          <w:rFonts w:ascii="Times New Roman" w:hAnsi="Times New Roman" w:cs="Times New Roman"/>
          <w:sz w:val="24"/>
          <w:szCs w:val="24"/>
        </w:rPr>
        <w:t>2019</w:t>
      </w:r>
      <w:r>
        <w:rPr>
          <w:rFonts w:ascii="Times New Roman" w:hAnsi="Times New Roman" w:cs="Times New Roman"/>
          <w:sz w:val="24"/>
          <w:szCs w:val="24"/>
        </w:rPr>
        <w:t>)</w:t>
      </w:r>
      <w:r w:rsidRPr="004613E5">
        <w:rPr>
          <w:rFonts w:ascii="Times New Roman" w:hAnsi="Times New Roman" w:cs="Times New Roman"/>
          <w:sz w:val="24"/>
          <w:szCs w:val="24"/>
        </w:rPr>
        <w:t>. “Testing the Newcomb-</w:t>
      </w:r>
      <w:proofErr w:type="spellStart"/>
      <w:r w:rsidRPr="004613E5">
        <w:rPr>
          <w:rFonts w:ascii="Times New Roman" w:hAnsi="Times New Roman" w:cs="Times New Roman"/>
          <w:sz w:val="24"/>
          <w:szCs w:val="24"/>
        </w:rPr>
        <w:t>Benford</w:t>
      </w:r>
      <w:proofErr w:type="spellEnd"/>
      <w:r w:rsidRPr="004613E5">
        <w:rPr>
          <w:rFonts w:ascii="Times New Roman" w:hAnsi="Times New Roman" w:cs="Times New Roman"/>
          <w:sz w:val="24"/>
          <w:szCs w:val="24"/>
        </w:rPr>
        <w:t xml:space="preserve"> law: experimental evidence,” </w:t>
      </w:r>
      <w:r w:rsidRPr="004613E5">
        <w:rPr>
          <w:rFonts w:ascii="Times New Roman" w:hAnsi="Times New Roman" w:cs="Times New Roman"/>
          <w:i/>
          <w:iCs/>
          <w:sz w:val="24"/>
          <w:szCs w:val="24"/>
        </w:rPr>
        <w:t>Applied Economics Letters</w:t>
      </w:r>
      <w:r w:rsidRPr="004613E5">
        <w:rPr>
          <w:rFonts w:ascii="Times New Roman" w:hAnsi="Times New Roman" w:cs="Times New Roman"/>
          <w:sz w:val="24"/>
          <w:szCs w:val="24"/>
        </w:rPr>
        <w:t>, vol. 26, no. 21, pp. 1762-1769.</w:t>
      </w:r>
    </w:p>
    <w:p w14:paraId="4AB10008" w14:textId="77777777" w:rsidR="00216053" w:rsidRPr="004613E5"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Varian, H.R., </w:t>
      </w:r>
      <w:r>
        <w:rPr>
          <w:rFonts w:ascii="Times New Roman" w:hAnsi="Times New Roman" w:cs="Times New Roman"/>
          <w:sz w:val="24"/>
          <w:szCs w:val="24"/>
        </w:rPr>
        <w:t>(</w:t>
      </w:r>
      <w:r w:rsidRPr="004613E5">
        <w:rPr>
          <w:rFonts w:ascii="Times New Roman" w:hAnsi="Times New Roman" w:cs="Times New Roman"/>
          <w:sz w:val="24"/>
          <w:szCs w:val="24"/>
        </w:rPr>
        <w:t>1972</w:t>
      </w:r>
      <w:r>
        <w:rPr>
          <w:rFonts w:ascii="Times New Roman" w:hAnsi="Times New Roman" w:cs="Times New Roman"/>
          <w:sz w:val="24"/>
          <w:szCs w:val="24"/>
        </w:rPr>
        <w:t>)</w:t>
      </w:r>
      <w:r w:rsidRPr="004613E5">
        <w:rPr>
          <w:rFonts w:ascii="Times New Roman" w:hAnsi="Times New Roman" w:cs="Times New Roman"/>
          <w:sz w:val="24"/>
          <w:szCs w:val="24"/>
        </w:rPr>
        <w:t xml:space="preserve">. </w:t>
      </w:r>
      <w:proofErr w:type="spellStart"/>
      <w:r w:rsidRPr="004613E5">
        <w:rPr>
          <w:rFonts w:ascii="Times New Roman" w:hAnsi="Times New Roman" w:cs="Times New Roman"/>
          <w:sz w:val="24"/>
          <w:szCs w:val="24"/>
        </w:rPr>
        <w:t>Benford’s</w:t>
      </w:r>
      <w:proofErr w:type="spellEnd"/>
      <w:r w:rsidRPr="004613E5">
        <w:rPr>
          <w:rFonts w:ascii="Times New Roman" w:hAnsi="Times New Roman" w:cs="Times New Roman"/>
          <w:sz w:val="24"/>
          <w:szCs w:val="24"/>
        </w:rPr>
        <w:t xml:space="preserve"> law (letters to the editor). </w:t>
      </w:r>
      <w:r w:rsidRPr="004613E5">
        <w:rPr>
          <w:rFonts w:ascii="Times New Roman" w:hAnsi="Times New Roman" w:cs="Times New Roman"/>
          <w:i/>
          <w:iCs/>
          <w:sz w:val="24"/>
          <w:szCs w:val="24"/>
        </w:rPr>
        <w:t>Am. Stat</w:t>
      </w:r>
      <w:r w:rsidRPr="004613E5">
        <w:rPr>
          <w:rFonts w:ascii="Times New Roman" w:hAnsi="Times New Roman" w:cs="Times New Roman"/>
          <w:sz w:val="24"/>
          <w:szCs w:val="24"/>
        </w:rPr>
        <w:t xml:space="preserve">. 26 (3), 65. </w:t>
      </w:r>
    </w:p>
    <w:p w14:paraId="035B0F86" w14:textId="77777777" w:rsidR="00216053" w:rsidRDefault="00216053" w:rsidP="00AB3D99">
      <w:pPr>
        <w:pStyle w:val="ListParagraph"/>
        <w:numPr>
          <w:ilvl w:val="0"/>
          <w:numId w:val="4"/>
        </w:numPr>
        <w:spacing w:after="160" w:line="240" w:lineRule="auto"/>
        <w:ind w:left="714" w:hanging="357"/>
        <w:jc w:val="both"/>
        <w:rPr>
          <w:rFonts w:ascii="Times New Roman" w:hAnsi="Times New Roman" w:cs="Times New Roman"/>
          <w:sz w:val="24"/>
          <w:szCs w:val="24"/>
        </w:rPr>
      </w:pPr>
      <w:r w:rsidRPr="004613E5">
        <w:rPr>
          <w:rFonts w:ascii="Times New Roman" w:hAnsi="Times New Roman" w:cs="Times New Roman"/>
          <w:sz w:val="24"/>
          <w:szCs w:val="24"/>
        </w:rPr>
        <w:t xml:space="preserve">Wang, Y., 2013. The H7N9 influenza virus in China–changes since SARS. </w:t>
      </w:r>
      <w:r w:rsidRPr="004613E5">
        <w:rPr>
          <w:rFonts w:ascii="Times New Roman" w:hAnsi="Times New Roman" w:cs="Times New Roman"/>
          <w:i/>
          <w:iCs/>
          <w:sz w:val="24"/>
          <w:szCs w:val="24"/>
        </w:rPr>
        <w:t>New Engl. J. Med</w:t>
      </w:r>
      <w:r w:rsidRPr="004613E5">
        <w:rPr>
          <w:rFonts w:ascii="Times New Roman" w:hAnsi="Times New Roman" w:cs="Times New Roman"/>
          <w:sz w:val="24"/>
          <w:szCs w:val="24"/>
        </w:rPr>
        <w:t>. 368 (25), 2348–2349.</w:t>
      </w:r>
    </w:p>
    <w:p w14:paraId="5279CCFC" w14:textId="77777777" w:rsidR="009104F6" w:rsidRPr="00216053" w:rsidRDefault="009104F6" w:rsidP="00216053">
      <w:pPr>
        <w:spacing w:after="160" w:line="240" w:lineRule="auto"/>
        <w:jc w:val="both"/>
        <w:rPr>
          <w:rFonts w:ascii="Times New Roman" w:hAnsi="Times New Roman" w:cs="Times New Roman"/>
          <w:sz w:val="24"/>
          <w:szCs w:val="24"/>
        </w:rPr>
      </w:pPr>
    </w:p>
    <w:p w14:paraId="4D3C22E9" w14:textId="105F472B" w:rsidR="00C87903" w:rsidRDefault="00C87903" w:rsidP="00831FCE">
      <w:pPr>
        <w:pStyle w:val="Heading2"/>
        <w:rPr>
          <w:w w:val="105"/>
        </w:rPr>
      </w:pPr>
    </w:p>
    <w:p w14:paraId="3239F7D1" w14:textId="74E4D36E" w:rsidR="00362262" w:rsidRDefault="00362262" w:rsidP="00362262"/>
    <w:p w14:paraId="0990203F" w14:textId="7D7C8305" w:rsidR="00362262" w:rsidRDefault="00362262" w:rsidP="00362262"/>
    <w:p w14:paraId="2CBB58D2" w14:textId="2A4B2976" w:rsidR="002268C9" w:rsidRDefault="002268C9" w:rsidP="00362262"/>
    <w:p w14:paraId="20825E0C" w14:textId="15504DC3" w:rsidR="002268C9" w:rsidRDefault="002268C9" w:rsidP="00362262"/>
    <w:p w14:paraId="44C3DE5A" w14:textId="12A2D7C3" w:rsidR="002268C9" w:rsidRDefault="002268C9" w:rsidP="00362262"/>
    <w:p w14:paraId="0C3C0DC3" w14:textId="687699B1" w:rsidR="002268C9" w:rsidRDefault="002268C9" w:rsidP="00362262"/>
    <w:p w14:paraId="28F3186F" w14:textId="4083B4CE" w:rsidR="002268C9" w:rsidRDefault="002268C9" w:rsidP="00362262"/>
    <w:p w14:paraId="43F2F794" w14:textId="17996F5B" w:rsidR="007B399B" w:rsidRDefault="007B399B" w:rsidP="007B399B">
      <w:pPr>
        <w:pStyle w:val="Heading1"/>
      </w:pPr>
      <w:bookmarkStart w:id="156" w:name="_Toc90499990"/>
      <w:r>
        <w:lastRenderedPageBreak/>
        <w:t>Part 3: Model and application: Irrational Fractional Brownian Motion GARCH</w:t>
      </w:r>
      <w:bookmarkEnd w:id="156"/>
    </w:p>
    <w:p w14:paraId="7451BE70" w14:textId="7F03BA5B" w:rsidR="00AB3D99" w:rsidRDefault="00AB3D99" w:rsidP="00AB3D99"/>
    <w:p w14:paraId="629A29D3" w14:textId="77777777" w:rsidR="00AB3D99" w:rsidRPr="00790C35" w:rsidRDefault="00AB3D99" w:rsidP="00AB3D99">
      <w:pPr>
        <w:pStyle w:val="Heading1"/>
        <w:rPr>
          <w:rFonts w:eastAsia="Times New Roman"/>
        </w:rPr>
      </w:pPr>
      <w:bookmarkStart w:id="157" w:name="_Toc90499991"/>
      <w:r>
        <w:rPr>
          <w:rFonts w:eastAsia="Times New Roman"/>
        </w:rPr>
        <w:t>Abstract: part 3</w:t>
      </w:r>
      <w:bookmarkEnd w:id="157"/>
      <w:r>
        <w:rPr>
          <w:rFonts w:eastAsia="Times New Roman"/>
        </w:rPr>
        <w:t xml:space="preserve"> </w:t>
      </w:r>
    </w:p>
    <w:p w14:paraId="6A90EC77" w14:textId="77777777" w:rsidR="00AB3D99" w:rsidRDefault="00AB3D99" w:rsidP="00AB3D99">
      <w:pPr>
        <w:shd w:val="clear" w:color="auto" w:fill="FFFFFF"/>
        <w:jc w:val="both"/>
        <w:rPr>
          <w:rFonts w:ascii="Arial" w:eastAsia="Times New Roman" w:hAnsi="Arial"/>
          <w:i/>
          <w:iCs/>
          <w:sz w:val="24"/>
          <w:szCs w:val="24"/>
        </w:rPr>
      </w:pPr>
    </w:p>
    <w:p w14:paraId="54CC703D" w14:textId="77777777" w:rsidR="00AB3D99" w:rsidRPr="002268C9" w:rsidRDefault="00AB3D99" w:rsidP="00AB3D99">
      <w:pPr>
        <w:shd w:val="clear" w:color="auto" w:fill="FFFFFF"/>
        <w:spacing w:line="360" w:lineRule="auto"/>
        <w:jc w:val="both"/>
        <w:rPr>
          <w:rFonts w:ascii="Times New Roman" w:eastAsia="Times New Roman" w:hAnsi="Times New Roman" w:cs="Times New Roman"/>
          <w:i/>
          <w:iCs/>
          <w:sz w:val="24"/>
          <w:szCs w:val="24"/>
        </w:rPr>
      </w:pPr>
      <w:bookmarkStart w:id="158" w:name="_Hlk78539521"/>
      <w:r w:rsidRPr="002268C9">
        <w:rPr>
          <w:rFonts w:ascii="Times New Roman" w:eastAsia="Times New Roman" w:hAnsi="Times New Roman" w:cs="Times New Roman"/>
          <w:i/>
          <w:iCs/>
          <w:sz w:val="24"/>
          <w:szCs w:val="24"/>
        </w:rPr>
        <w:t>The subject of this research is to modify and test the IFBM GARCH methodology in terms of quantifying the impact of daily rates of return-on-investment activities in the observed S&amp;P 500 stock index. The aim of the research, i.e., a special focus in the research, is to develop the modified GARCH methodology in the observed financial markets and to compare the obtained results between the variation of Modified GARCH models as well.</w:t>
      </w:r>
      <w:r w:rsidRPr="002268C9">
        <w:rPr>
          <w:rStyle w:val="SubtleEmphasis"/>
          <w:rFonts w:ascii="Times New Roman" w:hAnsi="Times New Roman"/>
          <w:color w:val="auto"/>
          <w:sz w:val="24"/>
          <w:szCs w:val="24"/>
        </w:rPr>
        <w:t xml:space="preserve"> The research is also aimed to study the performance of Modified IFBM GARCH models. A comprehensive empirical analysis of returns and conditional variances of the US stock exchange (S&amp;P 500) index are conduct in order to estimate the GARCH models, and also the implementation of symmetric and asymmetric or (A-GARCH) models to observe the daily stock market volatility. </w:t>
      </w:r>
      <w:proofErr w:type="spellStart"/>
      <w:r w:rsidRPr="002268C9">
        <w:rPr>
          <w:rStyle w:val="SubtleEmphasis"/>
          <w:rFonts w:ascii="Times New Roman" w:hAnsi="Times New Roman"/>
          <w:color w:val="auto"/>
          <w:sz w:val="24"/>
          <w:szCs w:val="24"/>
        </w:rPr>
        <w:t>Glosten</w:t>
      </w:r>
      <w:proofErr w:type="spellEnd"/>
      <w:r w:rsidRPr="002268C9">
        <w:rPr>
          <w:rStyle w:val="SubtleEmphasis"/>
          <w:rFonts w:ascii="Times New Roman" w:hAnsi="Times New Roman"/>
          <w:color w:val="auto"/>
          <w:sz w:val="24"/>
          <w:szCs w:val="24"/>
        </w:rPr>
        <w:t xml:space="preserve"> (1993) GJR-GARCH model in term of an alternative edition of the asymmetric mode of Engel et al. (1990). For instance, it is often observed in GJR-GARCH model the asymmetric response is bounded by only the negative shocks of the market. Nelson’s (1991) E-GARCH for formulating the conditional variance equation to implement the method of ensuring, that the variance is positives.</w:t>
      </w:r>
      <w:r w:rsidRPr="002268C9">
        <w:rPr>
          <w:rFonts w:ascii="Times New Roman" w:eastAsia="Times New Roman" w:hAnsi="Times New Roman" w:cs="Times New Roman"/>
          <w:sz w:val="24"/>
          <w:szCs w:val="24"/>
        </w:rPr>
        <w:t xml:space="preserve">, </w:t>
      </w:r>
      <w:r w:rsidRPr="002268C9">
        <w:rPr>
          <w:rFonts w:ascii="Times New Roman" w:eastAsia="Times New Roman" w:hAnsi="Times New Roman" w:cs="Times New Roman"/>
          <w:i/>
          <w:iCs/>
          <w:sz w:val="24"/>
          <w:szCs w:val="24"/>
        </w:rPr>
        <w:t xml:space="preserve">where the width of the research time horizon allows testing the modified GARCH methodology in the different periods. In addition to the use of modified IFBM GARCH econometric models, </w:t>
      </w:r>
      <w:r w:rsidRPr="002268C9">
        <w:rPr>
          <w:rFonts w:ascii="Times New Roman" w:hAnsi="Times New Roman" w:cs="Times New Roman"/>
          <w:i/>
          <w:iCs/>
          <w:sz w:val="24"/>
          <w:szCs w:val="24"/>
        </w:rPr>
        <w:t>the focus of this work is to make use of existing, well-known Information Criteria (IC) to identify the stock index data-generating-process whenever the GARCH effect is present. Akaike Information’s Criteria (AIC) and Bayesian Information Criteria (BIC) have used for this experiment. Research provides different models with different parameter values and observed the abilities of information criterion in choosing the correct model from a given pool of models</w:t>
      </w:r>
      <w:r w:rsidRPr="002268C9">
        <w:rPr>
          <w:rFonts w:ascii="Times New Roman" w:eastAsia="Times New Roman" w:hAnsi="Times New Roman" w:cs="Times New Roman"/>
          <w:i/>
          <w:iCs/>
          <w:sz w:val="24"/>
          <w:szCs w:val="24"/>
        </w:rPr>
        <w:t xml:space="preserve">, as well as the appropriate tests that are suitable for and/or adapted to the specific characteristics of financial markets, </w:t>
      </w:r>
      <w:r w:rsidRPr="002268C9">
        <w:rPr>
          <w:rFonts w:ascii="Times New Roman" w:hAnsi="Times New Roman" w:cs="Times New Roman"/>
          <w:i/>
          <w:iCs/>
          <w:sz w:val="24"/>
          <w:szCs w:val="24"/>
        </w:rPr>
        <w:t>examine irrational agent behaviour reacting to time dependent news on the log-returns for modifying a financial market evolution.</w:t>
      </w:r>
      <w:r w:rsidRPr="002268C9">
        <w:rPr>
          <w:rFonts w:ascii="Times New Roman" w:eastAsia="Times New Roman" w:hAnsi="Times New Roman" w:cs="Times New Roman"/>
          <w:i/>
          <w:iCs/>
          <w:sz w:val="24"/>
          <w:szCs w:val="24"/>
        </w:rPr>
        <w:t xml:space="preserve"> The research results confirm the role and importance of the modified IFBM GARCH methodology for effective investment risk in financial markets, in this sense, the obtained research results will be useful to both the academic community and the professional public in the context of investment decision making.</w:t>
      </w:r>
    </w:p>
    <w:p w14:paraId="5B10B245" w14:textId="77777777" w:rsidR="007B399B" w:rsidRDefault="007B399B" w:rsidP="007B399B">
      <w:pPr>
        <w:pStyle w:val="Heading1"/>
      </w:pPr>
      <w:bookmarkStart w:id="159" w:name="_Toc90499992"/>
      <w:bookmarkEnd w:id="158"/>
      <w:r>
        <w:lastRenderedPageBreak/>
        <w:t>3.1 Introduction</w:t>
      </w:r>
      <w:bookmarkEnd w:id="159"/>
    </w:p>
    <w:p w14:paraId="2A93E22D" w14:textId="77777777" w:rsidR="007B399B" w:rsidRDefault="007B399B" w:rsidP="007B399B">
      <w:pPr>
        <w:pStyle w:val="Heading2"/>
      </w:pPr>
      <w:bookmarkStart w:id="160" w:name="_Toc90499993"/>
      <w:r>
        <w:t>3.1.1 Background</w:t>
      </w:r>
      <w:bookmarkEnd w:id="160"/>
      <w:r>
        <w:t xml:space="preserve"> </w:t>
      </w:r>
    </w:p>
    <w:p w14:paraId="06589B6A" w14:textId="15E10483" w:rsidR="007B399B" w:rsidRPr="00FC4400" w:rsidRDefault="007B399B" w:rsidP="007672D0">
      <w:pPr>
        <w:spacing w:line="360" w:lineRule="auto"/>
        <w:jc w:val="both"/>
        <w:rPr>
          <w:rFonts w:ascii="Times New Roman" w:hAnsi="Times New Roman" w:cs="Times New Roman"/>
          <w:sz w:val="24"/>
          <w:szCs w:val="24"/>
        </w:rPr>
      </w:pPr>
      <w:r w:rsidRPr="00FC4400">
        <w:rPr>
          <w:rFonts w:ascii="Times New Roman" w:hAnsi="Times New Roman" w:cs="Times New Roman"/>
          <w:sz w:val="24"/>
          <w:szCs w:val="24"/>
        </w:rPr>
        <w:t>Financial and economic data are naturally recorded as temporal sequences or time series, and thus one of major tasks on those data is making time series analysis. Typically, a mathematical model is obtained to describe the regression relation of the current observation from its past observations, such that the future observation is predicted. Such a prediction task has been extensively studied in both the literature of time series analysis and the literature of machine learning and neural networks. One most classic tool for time series analyses is the autoregressive (AR) model or generally autoregressive–moving-average (ARMA) model, which describes a linear dependence of the current observation on past values and noise disturbances. Extended from describing stationary processes to data with some identifiable trend of a polynomial growth (Box and Jenkins 1970), an initial differencing step can be applied to remove such a non-stationarity. See Box 1 in Fig. </w:t>
      </w:r>
      <w:r>
        <w:rPr>
          <w:rFonts w:ascii="Times New Roman" w:hAnsi="Times New Roman" w:cs="Times New Roman"/>
          <w:sz w:val="24"/>
          <w:szCs w:val="24"/>
        </w:rPr>
        <w:t>3.</w:t>
      </w:r>
      <w:r w:rsidRPr="00FC4400">
        <w:rPr>
          <w:rFonts w:ascii="Times New Roman" w:hAnsi="Times New Roman" w:cs="Times New Roman"/>
          <w:sz w:val="24"/>
          <w:szCs w:val="24"/>
        </w:rPr>
        <w:t>1</w:t>
      </w:r>
      <w:r w:rsidR="005B0919">
        <w:rPr>
          <w:rFonts w:ascii="Times New Roman" w:hAnsi="Times New Roman" w:cs="Times New Roman"/>
          <w:sz w:val="24"/>
          <w:szCs w:val="24"/>
        </w:rPr>
        <w:t>.1</w:t>
      </w:r>
      <w:r w:rsidRPr="00FC4400">
        <w:rPr>
          <w:rFonts w:ascii="Times New Roman" w:hAnsi="Times New Roman" w:cs="Times New Roman"/>
          <w:sz w:val="24"/>
          <w:szCs w:val="24"/>
        </w:rPr>
        <w:t>; the autoregressive integrated moving average (ARIMA) model is used to refer a “cascade” of this initialization and ARMA. For simplicity, we still prefer to use AMRA to refer ARIMA by regarding such an initialization as a pre-processing stage.</w:t>
      </w:r>
    </w:p>
    <w:p w14:paraId="104ED46D" w14:textId="246CE896" w:rsidR="007B399B" w:rsidRPr="00FC4400" w:rsidRDefault="007B399B" w:rsidP="007672D0">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FC4400">
        <w:rPr>
          <w:rFonts w:ascii="Times New Roman" w:hAnsi="Times New Roman" w:cs="Times New Roman"/>
          <w:sz w:val="24"/>
          <w:szCs w:val="24"/>
        </w:rPr>
        <w:t>he literatures of statistics and econometrics, as outlined in Fig. </w:t>
      </w:r>
      <w:r>
        <w:rPr>
          <w:rFonts w:ascii="Times New Roman" w:hAnsi="Times New Roman" w:cs="Times New Roman"/>
          <w:sz w:val="24"/>
          <w:szCs w:val="24"/>
        </w:rPr>
        <w:t>3.</w:t>
      </w:r>
      <w:r w:rsidRPr="00FC4400">
        <w:rPr>
          <w:rFonts w:ascii="Times New Roman" w:hAnsi="Times New Roman" w:cs="Times New Roman"/>
          <w:sz w:val="24"/>
          <w:szCs w:val="24"/>
        </w:rPr>
        <w:t>1</w:t>
      </w:r>
      <w:r w:rsidR="004D7C43">
        <w:rPr>
          <w:rFonts w:ascii="Times New Roman" w:hAnsi="Times New Roman" w:cs="Times New Roman"/>
          <w:sz w:val="24"/>
          <w:szCs w:val="24"/>
        </w:rPr>
        <w:t>.1</w:t>
      </w:r>
      <w:r w:rsidRPr="00FC4400">
        <w:rPr>
          <w:rFonts w:ascii="Times New Roman" w:hAnsi="Times New Roman" w:cs="Times New Roman"/>
          <w:sz w:val="24"/>
          <w:szCs w:val="24"/>
        </w:rPr>
        <w:t xml:space="preserve"> by Box 2, generalizations of ARMA have also been made toward Autoregressive Conditional Heteroskedasticity (ARCH) and generalized ARCH (GARCH) for considering conditional heteroskedasticity of variables (Engle 1982; </w:t>
      </w:r>
      <w:proofErr w:type="spellStart"/>
      <w:r w:rsidRPr="00FC4400">
        <w:rPr>
          <w:rFonts w:ascii="Times New Roman" w:hAnsi="Times New Roman" w:cs="Times New Roman"/>
          <w:sz w:val="24"/>
          <w:szCs w:val="24"/>
        </w:rPr>
        <w:t>Bollerslev</w:t>
      </w:r>
      <w:proofErr w:type="spellEnd"/>
      <w:r w:rsidRPr="00FC4400">
        <w:rPr>
          <w:rFonts w:ascii="Times New Roman" w:hAnsi="Times New Roman" w:cs="Times New Roman"/>
          <w:sz w:val="24"/>
          <w:szCs w:val="24"/>
        </w:rPr>
        <w:t xml:space="preserve"> 1986), to nonlinear ARMA for modelling nonlinear dependence (</w:t>
      </w:r>
      <w:proofErr w:type="spellStart"/>
      <w:r w:rsidRPr="00FC4400">
        <w:rPr>
          <w:rFonts w:ascii="Times New Roman" w:hAnsi="Times New Roman" w:cs="Times New Roman"/>
          <w:sz w:val="24"/>
          <w:szCs w:val="24"/>
        </w:rPr>
        <w:t>Leontaritis</w:t>
      </w:r>
      <w:proofErr w:type="spellEnd"/>
      <w:r w:rsidRPr="00FC4400">
        <w:rPr>
          <w:rFonts w:ascii="Times New Roman" w:hAnsi="Times New Roman" w:cs="Times New Roman"/>
          <w:sz w:val="24"/>
          <w:szCs w:val="24"/>
        </w:rPr>
        <w:t xml:space="preserve"> and Billings 1985), and Vector AR (VAR) for capturing the linear interdependencies among multiple time series (Sims 1980; Engle and Granger 1987). </w:t>
      </w:r>
    </w:p>
    <w:p w14:paraId="3B3825CD" w14:textId="23566FB2" w:rsidR="007B399B" w:rsidRPr="00FC4400" w:rsidRDefault="007B399B" w:rsidP="007672D0">
      <w:pPr>
        <w:spacing w:line="360" w:lineRule="auto"/>
        <w:jc w:val="both"/>
        <w:rPr>
          <w:rFonts w:ascii="Times New Roman" w:hAnsi="Times New Roman" w:cs="Times New Roman"/>
          <w:sz w:val="24"/>
          <w:szCs w:val="24"/>
        </w:rPr>
      </w:pPr>
      <w:r w:rsidRPr="00FC4400">
        <w:rPr>
          <w:rFonts w:ascii="Times New Roman" w:hAnsi="Times New Roman" w:cs="Times New Roman"/>
          <w:sz w:val="24"/>
          <w:szCs w:val="24"/>
        </w:rPr>
        <w:t>The field of NN-ML in economics and finance involves each of the three streams of studies. In the early stage, most efforts were put on using multilayer neural networks or recurrent networks for a sophisticated nonlinear dependence of the current observation on past values and noise disturbances, as outlined in Fig. </w:t>
      </w:r>
      <w:r w:rsidR="004D7C43">
        <w:rPr>
          <w:rFonts w:ascii="Times New Roman" w:hAnsi="Times New Roman" w:cs="Times New Roman"/>
          <w:sz w:val="24"/>
          <w:szCs w:val="24"/>
        </w:rPr>
        <w:t>3.1.</w:t>
      </w:r>
      <w:r w:rsidRPr="00FC4400">
        <w:rPr>
          <w:rFonts w:ascii="Times New Roman" w:hAnsi="Times New Roman" w:cs="Times New Roman"/>
          <w:sz w:val="24"/>
          <w:szCs w:val="24"/>
        </w:rPr>
        <w:t>1 by Box 3. There have been already several books on these studies (e.g., Azof 1994; Gately 1995; Zhang 2003), and thus this chapter does not cover this type of studies.</w:t>
      </w:r>
    </w:p>
    <w:p w14:paraId="275FEDB2" w14:textId="77777777" w:rsidR="007672D0" w:rsidRDefault="007B399B" w:rsidP="007672D0">
      <w:pPr>
        <w:keepNext/>
        <w:spacing w:line="360" w:lineRule="auto"/>
        <w:jc w:val="both"/>
        <w:rPr>
          <w:rFonts w:ascii="Times New Roman" w:hAnsi="Times New Roman" w:cs="Times New Roman"/>
          <w:sz w:val="24"/>
          <w:szCs w:val="24"/>
        </w:rPr>
      </w:pPr>
      <w:r w:rsidRPr="00FC4400">
        <w:rPr>
          <w:rFonts w:ascii="Times New Roman" w:hAnsi="Times New Roman" w:cs="Times New Roman"/>
          <w:sz w:val="24"/>
          <w:szCs w:val="24"/>
        </w:rPr>
        <w:t>Since 1994, the author’s group has made many efforts on extending AR, ARMA, ARCH and GARCH models into finite mixture or mixture-of-experts (Xu 1994, 1995a, b; Cheung et al. 1996, 1997; Leung 1997; Kwok et al. 1998; Wong et al. 1998; Chiu and Xu 2002a, 2003; Tang et al. 2003). Outlined in Fig. </w:t>
      </w:r>
      <w:r w:rsidR="00C72BB2">
        <w:rPr>
          <w:rFonts w:ascii="Times New Roman" w:hAnsi="Times New Roman" w:cs="Times New Roman"/>
          <w:sz w:val="24"/>
          <w:szCs w:val="24"/>
        </w:rPr>
        <w:t>3.1.</w:t>
      </w:r>
      <w:r w:rsidRPr="00FC4400">
        <w:rPr>
          <w:rFonts w:ascii="Times New Roman" w:hAnsi="Times New Roman" w:cs="Times New Roman"/>
          <w:sz w:val="24"/>
          <w:szCs w:val="24"/>
        </w:rPr>
        <w:t xml:space="preserve">1 by Box 4, studies actually proceed along an alternative road </w:t>
      </w:r>
      <w:r w:rsidRPr="00FC4400">
        <w:rPr>
          <w:rFonts w:ascii="Times New Roman" w:hAnsi="Times New Roman" w:cs="Times New Roman"/>
          <w:sz w:val="24"/>
          <w:szCs w:val="24"/>
        </w:rPr>
        <w:lastRenderedPageBreak/>
        <w:t>for modelling temporal dependence featured with nonlinearity, heteroskedasticity and non-stationarity. “Financial prediction: time series models and three finite mixture extensions” section is dedicated to the studies summari</w:t>
      </w:r>
      <w:r>
        <w:rPr>
          <w:rFonts w:ascii="Times New Roman" w:hAnsi="Times New Roman" w:cs="Times New Roman"/>
          <w:sz w:val="24"/>
          <w:szCs w:val="24"/>
        </w:rPr>
        <w:t>s</w:t>
      </w:r>
      <w:r w:rsidRPr="00FC4400">
        <w:rPr>
          <w:rFonts w:ascii="Times New Roman" w:hAnsi="Times New Roman" w:cs="Times New Roman"/>
          <w:sz w:val="24"/>
          <w:szCs w:val="24"/>
        </w:rPr>
        <w:t>ed in Fig. </w:t>
      </w:r>
      <w:r w:rsidR="00C72BB2">
        <w:rPr>
          <w:rFonts w:ascii="Times New Roman" w:hAnsi="Times New Roman" w:cs="Times New Roman"/>
          <w:sz w:val="24"/>
          <w:szCs w:val="24"/>
        </w:rPr>
        <w:t>3.1.</w:t>
      </w:r>
      <w:r w:rsidRPr="00FC4400">
        <w:rPr>
          <w:rFonts w:ascii="Times New Roman" w:hAnsi="Times New Roman" w:cs="Times New Roman"/>
          <w:sz w:val="24"/>
          <w:szCs w:val="24"/>
        </w:rPr>
        <w:t>1, together with introductions on learning implementations by the maximum likelihood (ML) learning, the rival penalized competitive learning (RPCL) (Xu et al. 1992, 1993), and approaches of learning with model selection.</w:t>
      </w:r>
    </w:p>
    <w:p w14:paraId="078704BE" w14:textId="262E9098" w:rsidR="008128CD" w:rsidRDefault="002268C9" w:rsidP="007672D0">
      <w:pPr>
        <w:keepNext/>
        <w:spacing w:line="360" w:lineRule="auto"/>
        <w:jc w:val="both"/>
      </w:pPr>
      <w:r>
        <w:rPr>
          <w:noProof/>
          <w:lang w:eastAsia="en-GB"/>
        </w:rPr>
        <w:drawing>
          <wp:inline distT="0" distB="0" distL="0" distR="0" wp14:anchorId="1A846D08" wp14:editId="1B625B94">
            <wp:extent cx="5542865" cy="3943847"/>
            <wp:effectExtent l="0" t="0" r="1270" b="0"/>
            <wp:docPr id="205" name="Picture 20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application, Word&#10;&#10;Description automatically generated"/>
                    <pic:cNvPicPr/>
                  </pic:nvPicPr>
                  <pic:blipFill rotWithShape="1">
                    <a:blip r:embed="rId92"/>
                    <a:srcRect l="22602" t="22455" r="23553" b="14706"/>
                    <a:stretch/>
                  </pic:blipFill>
                  <pic:spPr bwMode="auto">
                    <a:xfrm>
                      <a:off x="0" y="0"/>
                      <a:ext cx="5577792" cy="3968698"/>
                    </a:xfrm>
                    <a:prstGeom prst="rect">
                      <a:avLst/>
                    </a:prstGeom>
                    <a:ln>
                      <a:noFill/>
                    </a:ln>
                    <a:extLst>
                      <a:ext uri="{53640926-AAD7-44D8-BBD7-CCE9431645EC}">
                        <a14:shadowObscured xmlns:a14="http://schemas.microsoft.com/office/drawing/2010/main"/>
                      </a:ext>
                    </a:extLst>
                  </pic:spPr>
                </pic:pic>
              </a:graphicData>
            </a:graphic>
          </wp:inline>
        </w:drawing>
      </w:r>
    </w:p>
    <w:p w14:paraId="1E77BC2A" w14:textId="77777777" w:rsidR="007672D0" w:rsidRDefault="007672D0" w:rsidP="008128CD">
      <w:pPr>
        <w:pStyle w:val="Caption"/>
        <w:jc w:val="center"/>
        <w:rPr>
          <w:rFonts w:ascii="Times New Roman" w:hAnsi="Times New Roman" w:cs="Times New Roman"/>
          <w:color w:val="auto"/>
          <w:sz w:val="24"/>
          <w:szCs w:val="24"/>
        </w:rPr>
      </w:pPr>
      <w:bookmarkStart w:id="161" w:name="_Toc78498695"/>
    </w:p>
    <w:p w14:paraId="747823D2" w14:textId="45155EB5" w:rsidR="00AA6A82" w:rsidRPr="008128CD" w:rsidRDefault="008128CD" w:rsidP="008128CD">
      <w:pPr>
        <w:pStyle w:val="Caption"/>
        <w:jc w:val="center"/>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3.1.</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A road map on studies of time series prediction</w:t>
      </w:r>
      <w:bookmarkEnd w:id="161"/>
    </w:p>
    <w:p w14:paraId="61E80A75" w14:textId="53CBD1C1" w:rsidR="007672D0" w:rsidRPr="00295E00" w:rsidRDefault="00A63E9B" w:rsidP="00295E00">
      <w:pPr>
        <w:jc w:val="center"/>
        <w:rPr>
          <w:rFonts w:ascii="Times New Roman" w:hAnsi="Times New Roman" w:cs="Times New Roman"/>
          <w:b/>
          <w:bCs/>
          <w:sz w:val="24"/>
          <w:szCs w:val="24"/>
        </w:rPr>
      </w:pPr>
      <w:r w:rsidRPr="00295E00">
        <w:rPr>
          <w:rFonts w:ascii="Times New Roman" w:hAnsi="Times New Roman" w:cs="Times New Roman"/>
          <w:b/>
          <w:bCs/>
          <w:sz w:val="24"/>
          <w:szCs w:val="24"/>
        </w:rPr>
        <w:t xml:space="preserve">Source: </w:t>
      </w:r>
      <w:r w:rsidRPr="00295E00">
        <w:rPr>
          <w:rFonts w:ascii="Times New Roman" w:hAnsi="Times New Roman" w:cs="Times New Roman"/>
          <w:b/>
          <w:bCs/>
          <w:sz w:val="24"/>
          <w:szCs w:val="24"/>
        </w:rPr>
        <w:t>Xu et al</w:t>
      </w:r>
      <w:r w:rsidR="00295E00">
        <w:rPr>
          <w:rFonts w:ascii="Times New Roman" w:hAnsi="Times New Roman" w:cs="Times New Roman"/>
          <w:b/>
          <w:bCs/>
          <w:sz w:val="24"/>
          <w:szCs w:val="24"/>
        </w:rPr>
        <w:t>.</w:t>
      </w:r>
      <w:r w:rsidRPr="00295E00">
        <w:rPr>
          <w:rFonts w:ascii="Times New Roman" w:hAnsi="Times New Roman" w:cs="Times New Roman"/>
          <w:b/>
          <w:bCs/>
          <w:sz w:val="24"/>
          <w:szCs w:val="24"/>
        </w:rPr>
        <w:t xml:space="preserve"> </w:t>
      </w:r>
      <w:r w:rsidR="00295E00">
        <w:rPr>
          <w:rFonts w:ascii="Times New Roman" w:hAnsi="Times New Roman" w:cs="Times New Roman"/>
          <w:b/>
          <w:bCs/>
          <w:sz w:val="24"/>
          <w:szCs w:val="24"/>
        </w:rPr>
        <w:t>(</w:t>
      </w:r>
      <w:r w:rsidRPr="00295E00">
        <w:rPr>
          <w:rFonts w:ascii="Times New Roman" w:hAnsi="Times New Roman" w:cs="Times New Roman"/>
          <w:b/>
          <w:bCs/>
          <w:sz w:val="24"/>
          <w:szCs w:val="24"/>
        </w:rPr>
        <w:t>1992, 1993)</w:t>
      </w:r>
    </w:p>
    <w:p w14:paraId="68506D0A" w14:textId="77777777" w:rsidR="007672D0" w:rsidRDefault="007672D0" w:rsidP="007672D0"/>
    <w:p w14:paraId="70740F64" w14:textId="77777777" w:rsidR="007672D0" w:rsidRDefault="007672D0" w:rsidP="007672D0"/>
    <w:p w14:paraId="2F7F6BB6" w14:textId="77777777" w:rsidR="007672D0" w:rsidRDefault="007672D0" w:rsidP="007672D0"/>
    <w:p w14:paraId="636DE345" w14:textId="77777777" w:rsidR="007672D0" w:rsidRDefault="007672D0" w:rsidP="007672D0"/>
    <w:p w14:paraId="09B4B5EC" w14:textId="77777777" w:rsidR="007672D0" w:rsidRPr="007672D0" w:rsidRDefault="007672D0" w:rsidP="007672D0"/>
    <w:p w14:paraId="60BF7955" w14:textId="77777777" w:rsidR="007B399B" w:rsidRPr="00FC4400" w:rsidRDefault="007B399B" w:rsidP="007B399B">
      <w:pPr>
        <w:pStyle w:val="Heading2"/>
      </w:pPr>
      <w:bookmarkStart w:id="162" w:name="_Toc90499994"/>
      <w:r>
        <w:lastRenderedPageBreak/>
        <w:t>3.1.2 Rational of study</w:t>
      </w:r>
      <w:bookmarkEnd w:id="162"/>
    </w:p>
    <w:p w14:paraId="2C9E8DE4" w14:textId="63C51BCE" w:rsidR="007B399B" w:rsidRPr="00FC4400" w:rsidRDefault="007B399B" w:rsidP="007672D0">
      <w:pPr>
        <w:spacing w:line="360" w:lineRule="auto"/>
        <w:jc w:val="both"/>
        <w:rPr>
          <w:rFonts w:ascii="Times New Roman" w:hAnsi="Times New Roman" w:cs="Times New Roman"/>
          <w:sz w:val="24"/>
          <w:szCs w:val="24"/>
        </w:rPr>
      </w:pPr>
      <w:r w:rsidRPr="00FC4400">
        <w:rPr>
          <w:rFonts w:ascii="Times New Roman" w:hAnsi="Times New Roman" w:cs="Times New Roman"/>
          <w:sz w:val="24"/>
          <w:szCs w:val="24"/>
        </w:rPr>
        <w:t>Numerous ARCH class models have been proposed to estimate the conditional volatility of log returns including ARCH model (Engel, 1982) and GARCH model (</w:t>
      </w:r>
      <w:proofErr w:type="spellStart"/>
      <w:r w:rsidRPr="00FC4400">
        <w:rPr>
          <w:rFonts w:ascii="Times New Roman" w:hAnsi="Times New Roman" w:cs="Times New Roman"/>
          <w:sz w:val="24"/>
          <w:szCs w:val="24"/>
        </w:rPr>
        <w:t>Bollerslev</w:t>
      </w:r>
      <w:proofErr w:type="spellEnd"/>
      <w:r w:rsidRPr="00FC4400">
        <w:rPr>
          <w:rFonts w:ascii="Times New Roman" w:hAnsi="Times New Roman" w:cs="Times New Roman"/>
          <w:sz w:val="24"/>
          <w:szCs w:val="24"/>
        </w:rPr>
        <w:t>, 1986). Both models are suitable for estimating the time-varying nature of the volatility in log returns of financial assets. The GARCH model is popular today, but it cannot capture the asymmetric effects of shocks on volatilities. The exponential GARCH (EGARCH, Nelson, 1991) and the GJR-GARCH models (</w:t>
      </w:r>
      <w:proofErr w:type="spellStart"/>
      <w:r w:rsidRPr="00FC4400">
        <w:rPr>
          <w:rFonts w:ascii="Times New Roman" w:hAnsi="Times New Roman" w:cs="Times New Roman"/>
          <w:sz w:val="24"/>
          <w:szCs w:val="24"/>
        </w:rPr>
        <w:t>Glosten</w:t>
      </w:r>
      <w:proofErr w:type="spellEnd"/>
      <w:r w:rsidRPr="00FC4400">
        <w:rPr>
          <w:rFonts w:ascii="Times New Roman" w:hAnsi="Times New Roman" w:cs="Times New Roman"/>
          <w:sz w:val="24"/>
          <w:szCs w:val="24"/>
        </w:rPr>
        <w:t xml:space="preserve"> et al., 1993) were introduced to analyse the asymmetric effects. Subsequently proposed were the regime switching GARCH models such as the volatility-switching GARCH (</w:t>
      </w:r>
      <w:proofErr w:type="spellStart"/>
      <w:r w:rsidRPr="00FC4400">
        <w:rPr>
          <w:rFonts w:ascii="Times New Roman" w:hAnsi="Times New Roman" w:cs="Times New Roman"/>
          <w:sz w:val="24"/>
          <w:szCs w:val="24"/>
        </w:rPr>
        <w:t>Fornari</w:t>
      </w:r>
      <w:proofErr w:type="spellEnd"/>
      <w:r w:rsidRPr="00FC4400">
        <w:rPr>
          <w:rFonts w:ascii="Times New Roman" w:hAnsi="Times New Roman" w:cs="Times New Roman"/>
          <w:sz w:val="24"/>
          <w:szCs w:val="24"/>
        </w:rPr>
        <w:t xml:space="preserve"> and Mele, 1996, 1997) and the </w:t>
      </w:r>
      <w:r w:rsidR="002268C9" w:rsidRPr="00FC4400">
        <w:rPr>
          <w:rFonts w:ascii="Times New Roman" w:hAnsi="Times New Roman" w:cs="Times New Roman"/>
          <w:sz w:val="24"/>
          <w:szCs w:val="24"/>
        </w:rPr>
        <w:t>Markov</w:t>
      </w:r>
      <w:r w:rsidRPr="00FC4400">
        <w:rPr>
          <w:rFonts w:ascii="Times New Roman" w:hAnsi="Times New Roman" w:cs="Times New Roman"/>
          <w:sz w:val="24"/>
          <w:szCs w:val="24"/>
        </w:rPr>
        <w:t xml:space="preserve">-switching GARCH (Kim, 1993). The former allows all parameters in the conditional variance equation to depend on the sign of shocks, and, in the latter, the regime of the conditional variance equation is determined by unobservable Markov-processes. Baillie et al. (1996) and </w:t>
      </w:r>
      <w:proofErr w:type="spellStart"/>
      <w:r w:rsidRPr="00FC4400">
        <w:rPr>
          <w:rFonts w:ascii="Times New Roman" w:hAnsi="Times New Roman" w:cs="Times New Roman"/>
          <w:sz w:val="24"/>
          <w:szCs w:val="24"/>
        </w:rPr>
        <w:t>Bollerslev</w:t>
      </w:r>
      <w:proofErr w:type="spellEnd"/>
      <w:r w:rsidRPr="00FC4400">
        <w:rPr>
          <w:rFonts w:ascii="Times New Roman" w:hAnsi="Times New Roman" w:cs="Times New Roman"/>
          <w:sz w:val="24"/>
          <w:szCs w:val="24"/>
        </w:rPr>
        <w:t xml:space="preserve"> and Mikkelsen (1996) proposed the fractionally integrated GARCH and EGARCH, respectively, to analyse the persistent effect of shocks on volatilities. Further, every effort has been made to develop multivariate models including </w:t>
      </w:r>
      <w:proofErr w:type="spellStart"/>
      <w:r w:rsidRPr="00FC4400">
        <w:rPr>
          <w:rFonts w:ascii="Times New Roman" w:hAnsi="Times New Roman" w:cs="Times New Roman"/>
          <w:sz w:val="24"/>
          <w:szCs w:val="24"/>
        </w:rPr>
        <w:t>Bollerslev</w:t>
      </w:r>
      <w:proofErr w:type="spellEnd"/>
      <w:r w:rsidRPr="00FC4400">
        <w:rPr>
          <w:rFonts w:ascii="Times New Roman" w:hAnsi="Times New Roman" w:cs="Times New Roman"/>
          <w:sz w:val="24"/>
          <w:szCs w:val="24"/>
        </w:rPr>
        <w:t xml:space="preserve"> (1990), Engle and Kroner (1995). See Engel et al. (1990) and Kim and Tsurumi (2000) for empirical studies. In this </w:t>
      </w:r>
      <w:r w:rsidR="00C72BB2">
        <w:rPr>
          <w:rFonts w:ascii="Times New Roman" w:hAnsi="Times New Roman" w:cs="Times New Roman"/>
          <w:sz w:val="24"/>
          <w:szCs w:val="24"/>
        </w:rPr>
        <w:t>study</w:t>
      </w:r>
      <w:r w:rsidRPr="00FC4400">
        <w:rPr>
          <w:rFonts w:ascii="Times New Roman" w:hAnsi="Times New Roman" w:cs="Times New Roman"/>
          <w:sz w:val="24"/>
          <w:szCs w:val="24"/>
        </w:rPr>
        <w:t xml:space="preserve">, the GARCH model is modified so that it can capture the effect of spells of positive or negative shocks on volatilities. The number of consecutive positive or negative shocks is incorporated into the GARCH model as a nonlinear coefficient of the ARCH term. Spells of positive or negative shocks are expected to have positive effect on volatilities as the size of returns does. On the other hand, the effect of these spells on returns can be either positive or negative. For instance, a positive return is not necessarily expected to follow from a spell of positive returns. </w:t>
      </w:r>
    </w:p>
    <w:p w14:paraId="59B63FC4" w14:textId="77777777" w:rsidR="007B399B" w:rsidRDefault="007B399B" w:rsidP="007672D0">
      <w:pPr>
        <w:spacing w:line="360" w:lineRule="auto"/>
        <w:jc w:val="both"/>
        <w:rPr>
          <w:rFonts w:ascii="Times New Roman" w:hAnsi="Times New Roman" w:cs="Times New Roman"/>
          <w:sz w:val="24"/>
          <w:szCs w:val="24"/>
        </w:rPr>
      </w:pPr>
      <w:r w:rsidRPr="00FC4400">
        <w:rPr>
          <w:rFonts w:ascii="Times New Roman" w:hAnsi="Times New Roman" w:cs="Times New Roman"/>
          <w:sz w:val="24"/>
          <w:szCs w:val="24"/>
        </w:rPr>
        <w:t xml:space="preserve">One of the main empirical characteristics of financial returns is the dynamic evolution of their volatilities. There are two important properties that characterized this evolution. First of all, power transformations of absolute returns have significant autocorrelations which decay toward zero slower than in a short-memory process. Many authors have argued that this pattern of the sample autocorrelations suggests that the volatilities of financial returns can be represented by long-memory processes; see Ding et al. (1993) and Lobato and </w:t>
      </w:r>
      <w:proofErr w:type="spellStart"/>
      <w:r w:rsidRPr="00FC4400">
        <w:rPr>
          <w:rFonts w:ascii="Times New Roman" w:hAnsi="Times New Roman" w:cs="Times New Roman"/>
          <w:sz w:val="24"/>
          <w:szCs w:val="24"/>
        </w:rPr>
        <w:t>Savin</w:t>
      </w:r>
      <w:proofErr w:type="spellEnd"/>
      <w:r w:rsidRPr="00FC4400">
        <w:rPr>
          <w:rFonts w:ascii="Times New Roman" w:hAnsi="Times New Roman" w:cs="Times New Roman"/>
          <w:sz w:val="24"/>
          <w:szCs w:val="24"/>
        </w:rPr>
        <w:t xml:space="preserve"> (1998) among many others. The second property that characterizes volatilities is their asymmetric response to positive and negative returns. This property, known as leverage effect, was first described by Black (1976). There are two main families of econometric models proposed to represent the dynamic evolution of volatilities. The ARCH-type models are mainly characterized by specifying the volatility as a function of powers of past absolute returns and, </w:t>
      </w:r>
      <w:r w:rsidRPr="00FC4400">
        <w:rPr>
          <w:rFonts w:ascii="Times New Roman" w:hAnsi="Times New Roman" w:cs="Times New Roman"/>
          <w:sz w:val="24"/>
          <w:szCs w:val="24"/>
        </w:rPr>
        <w:lastRenderedPageBreak/>
        <w:t xml:space="preserve">consequently, the volatility can be observed one-step ahead. On the other hand, stochastic volatility (SV) models specify the volatility as a latent variable that is not directly observable. There have been several proposals of ARCH-type models that represent simultaneously leverage effect and long-memory. For example, Hwang (2001) generalizes the long-memory FIGARCH model of Baillie et al. (1996) to represent the leverage effect. However, Davidson (2004) shows that the FIGARCH model has the unpleasant property that the persistence of shocks to volatility decreases as the long-memory parameter increases. A similar conclusion appears in </w:t>
      </w:r>
      <w:proofErr w:type="spellStart"/>
      <w:r w:rsidRPr="00FC4400">
        <w:rPr>
          <w:rFonts w:ascii="Times New Roman" w:hAnsi="Times New Roman" w:cs="Times New Roman"/>
          <w:sz w:val="24"/>
          <w:szCs w:val="24"/>
        </w:rPr>
        <w:t>Zaffaroni</w:t>
      </w:r>
      <w:proofErr w:type="spellEnd"/>
      <w:r w:rsidRPr="00FC4400">
        <w:rPr>
          <w:rFonts w:ascii="Times New Roman" w:hAnsi="Times New Roman" w:cs="Times New Roman"/>
          <w:sz w:val="24"/>
          <w:szCs w:val="24"/>
        </w:rPr>
        <w:t xml:space="preserve"> (2004) who shows that the FIGARCH model cannot generate autocorrelations of squares with long memory. Finally, Ruiz and Pérez (2003) showed that the model proposed by Hwang (2001) has identification problems</w:t>
      </w:r>
      <w:r>
        <w:rPr>
          <w:rFonts w:ascii="Times New Roman" w:hAnsi="Times New Roman" w:cs="Times New Roman"/>
          <w:sz w:val="24"/>
          <w:szCs w:val="24"/>
        </w:rPr>
        <w:t>.</w:t>
      </w:r>
    </w:p>
    <w:p w14:paraId="3FB9172C" w14:textId="77777777" w:rsidR="007B399B" w:rsidRPr="000A6F24" w:rsidRDefault="007B399B" w:rsidP="007672D0">
      <w:pPr>
        <w:shd w:val="clear" w:color="auto" w:fill="FFFFFF"/>
        <w:spacing w:line="360" w:lineRule="auto"/>
        <w:jc w:val="both"/>
        <w:rPr>
          <w:rFonts w:ascii="Times New Roman" w:eastAsia="Times New Roman" w:hAnsi="Times New Roman" w:cs="Times New Roman"/>
          <w:sz w:val="24"/>
          <w:szCs w:val="24"/>
        </w:rPr>
      </w:pPr>
      <w:r w:rsidRPr="000A6F24">
        <w:rPr>
          <w:rFonts w:ascii="Times New Roman" w:eastAsia="Times New Roman" w:hAnsi="Times New Roman" w:cs="Times New Roman"/>
          <w:sz w:val="24"/>
          <w:szCs w:val="24"/>
        </w:rPr>
        <w:t>Current circumstances in the financial markets, globalization trends, the financial crisis and significant volatility of the market are some of the key conditions that have influenced the change in the logic of financial thinking. The forecasting methods and techniques of the expected corresponding investment effects have been inevitably changed and adapted to contemporary market conditions and opportunities. Investing in financial markets today must be considered differently and analysed in relation to the period before the outbreak of the financial crisis. Therefore, it must be seen in the context of modern market conditions, with a resulting change of</w:t>
      </w:r>
      <w:r>
        <w:rPr>
          <w:rFonts w:ascii="Times New Roman" w:eastAsia="Times New Roman" w:hAnsi="Times New Roman" w:cs="Times New Roman"/>
          <w:sz w:val="24"/>
          <w:szCs w:val="24"/>
        </w:rPr>
        <w:t xml:space="preserve"> </w:t>
      </w:r>
      <w:r w:rsidRPr="000A6F24">
        <w:rPr>
          <w:rFonts w:ascii="Times New Roman" w:eastAsia="Times New Roman" w:hAnsi="Times New Roman" w:cs="Times New Roman"/>
          <w:sz w:val="24"/>
          <w:szCs w:val="24"/>
        </w:rPr>
        <w:t xml:space="preserve">the investment strategy in order to optimise the effects.  As the functionality and symmetry of the daily return rates on financial markets have a different "form" after the financial crisis, researchers must use custom models to analyse and quantify the risks of investment activities. </w:t>
      </w:r>
    </w:p>
    <w:p w14:paraId="3ABACC13" w14:textId="18203038" w:rsidR="007B399B" w:rsidRPr="000A6F24" w:rsidRDefault="007B399B" w:rsidP="007672D0">
      <w:pPr>
        <w:shd w:val="clear" w:color="auto" w:fill="FFFFFF"/>
        <w:spacing w:line="360" w:lineRule="auto"/>
        <w:jc w:val="both"/>
        <w:rPr>
          <w:rFonts w:ascii="Times New Roman" w:eastAsia="Times New Roman" w:hAnsi="Times New Roman" w:cs="Times New Roman"/>
          <w:sz w:val="24"/>
          <w:szCs w:val="24"/>
        </w:rPr>
      </w:pPr>
      <w:r w:rsidRPr="000A6F24">
        <w:rPr>
          <w:rFonts w:ascii="Times New Roman" w:eastAsia="Times New Roman" w:hAnsi="Times New Roman" w:cs="Times New Roman"/>
          <w:sz w:val="24"/>
          <w:szCs w:val="24"/>
        </w:rPr>
        <w:t>Compared with developed financial markets, emerging markets are rather</w:t>
      </w:r>
      <w:r w:rsidR="00102C47">
        <w:rPr>
          <w:rFonts w:ascii="Times New Roman" w:eastAsia="Times New Roman" w:hAnsi="Times New Roman" w:cs="Times New Roman"/>
          <w:sz w:val="24"/>
          <w:szCs w:val="24"/>
        </w:rPr>
        <w:t xml:space="preserve"> </w:t>
      </w:r>
      <w:r w:rsidRPr="000A6F24">
        <w:rPr>
          <w:rFonts w:ascii="Times New Roman" w:eastAsia="Times New Roman" w:hAnsi="Times New Roman" w:cs="Times New Roman"/>
          <w:sz w:val="24"/>
          <w:szCs w:val="24"/>
        </w:rPr>
        <w:t>volatile, underdeveloped and "shallow," characterised by the lack of continuous trading, low liquidity, low capitalization, lack of high turnover, and low efficiency. However, the benefits of the financial markets of developing countries are reflected in the fact that they bear a higher risk, as well. as higher returns on investment activities.</w:t>
      </w:r>
    </w:p>
    <w:p w14:paraId="7D6402A2" w14:textId="25E6A51E" w:rsidR="007B399B" w:rsidRPr="000A6F24" w:rsidRDefault="007B399B" w:rsidP="007672D0">
      <w:pPr>
        <w:shd w:val="clear" w:color="auto" w:fill="FFFFFF"/>
        <w:spacing w:line="360" w:lineRule="auto"/>
        <w:jc w:val="both"/>
        <w:rPr>
          <w:rFonts w:ascii="Times New Roman" w:eastAsia="Times New Roman" w:hAnsi="Times New Roman" w:cs="Times New Roman"/>
          <w:sz w:val="24"/>
          <w:szCs w:val="24"/>
        </w:rPr>
      </w:pPr>
      <w:r w:rsidRPr="000A6F24">
        <w:rPr>
          <w:rFonts w:ascii="Times New Roman" w:eastAsia="Times New Roman" w:hAnsi="Times New Roman" w:cs="Times New Roman"/>
          <w:sz w:val="24"/>
          <w:szCs w:val="24"/>
        </w:rPr>
        <w:t xml:space="preserve">Practical testing of econometric models provides information on their quality and efficiency in order to define and measure investment return volatility. In addition, the basic and modified econometric models should be continually tested, emphasising investment risk minimisation, especially given their specificities. As a quantified measure of market risk, volatility estimation is of great importance for investment decisions, where return volatility estimation represents the most important input for determining the optimal investment strategy.  </w:t>
      </w:r>
    </w:p>
    <w:p w14:paraId="00C5F1B3" w14:textId="77777777" w:rsidR="007B399B" w:rsidRPr="000A6F24" w:rsidRDefault="007B399B" w:rsidP="007672D0">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lastRenderedPageBreak/>
        <w:t xml:space="preserve">This study presents a brief description of GARCH processes and how it can lead to potential variation of GARCH based on irrational fractional Brownian motion (IFBM) model. The GARCH process was developed by </w:t>
      </w:r>
      <w:proofErr w:type="spellStart"/>
      <w:r w:rsidRPr="000A6F24">
        <w:rPr>
          <w:rFonts w:ascii="Times New Roman" w:hAnsi="Times New Roman" w:cs="Times New Roman"/>
          <w:sz w:val="24"/>
          <w:szCs w:val="24"/>
        </w:rPr>
        <w:t>Bollerslev</w:t>
      </w:r>
      <w:proofErr w:type="spellEnd"/>
      <w:r w:rsidRPr="000A6F24">
        <w:rPr>
          <w:rFonts w:ascii="Times New Roman" w:hAnsi="Times New Roman" w:cs="Times New Roman"/>
          <w:sz w:val="24"/>
          <w:szCs w:val="24"/>
        </w:rPr>
        <w:t xml:space="preserve"> (1986) and Taylor (1986) which is identical to an ARMA model in terms of efficiency. Due to its characteristics, the GARCH process is most commonly used to analyse economic and financial time series data.</w:t>
      </w:r>
    </w:p>
    <w:p w14:paraId="44D6026B" w14:textId="77777777" w:rsidR="007B399B" w:rsidRPr="000A6F24" w:rsidRDefault="007B399B" w:rsidP="007672D0">
      <w:pPr>
        <w:spacing w:line="360" w:lineRule="auto"/>
        <w:jc w:val="both"/>
        <w:rPr>
          <w:rFonts w:ascii="Times New Roman" w:eastAsiaTheme="minorEastAsia" w:hAnsi="Times New Roman" w:cs="Times New Roman"/>
          <w:sz w:val="24"/>
          <w:szCs w:val="24"/>
        </w:rPr>
      </w:pPr>
      <w:r w:rsidRPr="000A6F24">
        <w:rPr>
          <w:rFonts w:ascii="Times New Roman" w:hAnsi="Times New Roman" w:cs="Times New Roman"/>
          <w:sz w:val="24"/>
          <w:szCs w:val="24"/>
        </w:rPr>
        <w:t xml:space="preserve">Suppose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0A6F24">
        <w:rPr>
          <w:rFonts w:ascii="Times New Roman" w:eastAsiaTheme="minorEastAsia" w:hAnsi="Times New Roman" w:cs="Times New Roman"/>
          <w:sz w:val="24"/>
          <w:szCs w:val="24"/>
        </w:rPr>
        <w:t xml:space="preserve"> is represented by a real value of discrete time stochastic process and </w:t>
      </w:r>
      <m:oMath>
        <m:r>
          <w:rPr>
            <w:rFonts w:ascii="Cambria Math" w:eastAsiaTheme="minorEastAsia" w:hAnsi="Cambria Math" w:cs="Times New Roman"/>
            <w:sz w:val="24"/>
            <w:szCs w:val="24"/>
          </w:rPr>
          <m:t>I</m:t>
        </m:r>
      </m:oMath>
      <w:r w:rsidRPr="000A6F24">
        <w:rPr>
          <w:rFonts w:ascii="Times New Roman" w:eastAsiaTheme="minorEastAsia" w:hAnsi="Times New Roman" w:cs="Times New Roman"/>
          <w:sz w:val="24"/>
          <w:szCs w:val="24"/>
        </w:rPr>
        <w:t xml:space="preserve"> be the information set for all the information at time t then the GARCH (generalized autoregressive conditional heteroskedasticity) process developed by </w:t>
      </w:r>
      <w:proofErr w:type="spellStart"/>
      <w:r w:rsidRPr="000A6F24">
        <w:rPr>
          <w:rFonts w:ascii="Times New Roman" w:hAnsi="Times New Roman" w:cs="Times New Roman"/>
          <w:sz w:val="24"/>
          <w:szCs w:val="24"/>
        </w:rPr>
        <w:t>Bollerslev</w:t>
      </w:r>
      <w:proofErr w:type="spellEnd"/>
      <w:r w:rsidRPr="000A6F24">
        <w:rPr>
          <w:rFonts w:ascii="Times New Roman" w:hAnsi="Times New Roman" w:cs="Times New Roman"/>
          <w:sz w:val="24"/>
          <w:szCs w:val="24"/>
        </w:rPr>
        <w:t xml:space="preserve"> (1986) </w:t>
      </w:r>
      <w:r w:rsidRPr="000A6F24">
        <w:rPr>
          <w:rFonts w:ascii="Times New Roman" w:eastAsiaTheme="minorEastAsia" w:hAnsi="Times New Roman" w:cs="Times New Roman"/>
          <w:sz w:val="24"/>
          <w:szCs w:val="24"/>
        </w:rPr>
        <w:t>can be described as:</w:t>
      </w:r>
    </w:p>
    <w:p w14:paraId="6127AB05" w14:textId="77777777" w:rsidR="007B399B" w:rsidRPr="00753CF5" w:rsidRDefault="002C15FD" w:rsidP="00C72BB2">
      <w:pPr>
        <w:spacing w:line="480" w:lineRule="auto"/>
        <w:jc w:val="both"/>
        <w:rPr>
          <w:rFonts w:ascii="Arial" w:eastAsiaTheme="minorEastAsia" w:hAnsi="Arial"/>
          <w:sz w:val="24"/>
          <w:szCs w:val="24"/>
        </w:rPr>
      </w:pPr>
      <m:oMathPara>
        <m:oMath>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eastAsiaTheme="minorEastAsia" w:hAnsi="Arial"/>
              <w:sz w:val="24"/>
              <w:szCs w:val="24"/>
            </w:rPr>
            <m:t xml:space="preserve"> </m:t>
          </m:r>
          <m:r>
            <w:rPr>
              <w:rFonts w:ascii="Cambria Math" w:eastAsiaTheme="minorEastAsia" w:hAnsi="Cambria Math"/>
              <w:sz w:val="24"/>
              <w:szCs w:val="24"/>
            </w:rPr>
            <m:t>∣</m:t>
          </m:r>
          <m:r>
            <w:rPr>
              <w:rFonts w:ascii="Cambria Math" w:eastAsiaTheme="minorEastAsia" w:hAnsi="Arial"/>
              <w:sz w:val="24"/>
              <w:szCs w:val="24"/>
            </w:rPr>
            <m:t xml:space="preserve"> </m:t>
          </m:r>
          <m:sSub>
            <m:sSubPr>
              <m:ctrlPr>
                <w:rPr>
                  <w:rFonts w:ascii="Cambria Math" w:eastAsiaTheme="minorEastAsia" w:hAnsi="Arial"/>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t-</m:t>
              </m:r>
              <m:r>
                <w:rPr>
                  <w:rFonts w:ascii="Cambria Math" w:eastAsiaTheme="minorEastAsia" w:hAnsi="Arial"/>
                  <w:sz w:val="24"/>
                  <w:szCs w:val="24"/>
                </w:rPr>
                <m:t>1</m:t>
              </m:r>
            </m:sub>
          </m:sSub>
        </m:oMath>
      </m:oMathPara>
    </w:p>
    <w:p w14:paraId="49D8D68D" w14:textId="77777777" w:rsidR="007B399B" w:rsidRPr="00753CF5" w:rsidRDefault="002C15FD" w:rsidP="00C72BB2">
      <w:pPr>
        <w:spacing w:line="480" w:lineRule="auto"/>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t</m:t>
              </m:r>
            </m:sub>
          </m:sSub>
          <m:r>
            <w:rPr>
              <w:rFonts w:ascii="Cambria Math" w:eastAsiaTheme="minorEastAsia" w:hAnsi="Arial"/>
              <w:sz w:val="24"/>
              <w:szCs w:val="24"/>
            </w:rPr>
            <m:t xml:space="preserve">= </m:t>
          </m:r>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Arial"/>
                  <w:sz w:val="24"/>
                  <w:szCs w:val="24"/>
                </w:rPr>
                <m:t>0</m:t>
              </m:r>
            </m:sub>
          </m:sSub>
          <m:r>
            <w:rPr>
              <w:rFonts w:ascii="Cambria Math" w:eastAsiaTheme="minorEastAsia" w:hAnsi="Arial"/>
              <w:sz w:val="24"/>
              <w:szCs w:val="24"/>
            </w:rPr>
            <m:t xml:space="preserve">+ </m:t>
          </m:r>
          <m:nary>
            <m:naryPr>
              <m:chr m:val="∑"/>
              <m:limLoc m:val="undOvr"/>
              <m:ctrlPr>
                <w:rPr>
                  <w:rFonts w:ascii="Cambria Math" w:eastAsiaTheme="minorEastAsia" w:hAnsi="Arial"/>
                  <w:i/>
                  <w:sz w:val="24"/>
                  <w:szCs w:val="24"/>
                </w:rPr>
              </m:ctrlPr>
            </m:naryPr>
            <m:sub>
              <m:r>
                <w:rPr>
                  <w:rFonts w:ascii="Cambria Math" w:eastAsiaTheme="minorEastAsia" w:hAnsi="Cambria Math"/>
                  <w:sz w:val="24"/>
                  <w:szCs w:val="24"/>
                </w:rPr>
                <m:t>i</m:t>
              </m:r>
              <m:r>
                <w:rPr>
                  <w:rFonts w:ascii="Cambria Math" w:eastAsiaTheme="minorEastAsia" w:hAnsi="Arial"/>
                  <w:sz w:val="24"/>
                  <w:szCs w:val="24"/>
                </w:rPr>
                <m:t>=1</m:t>
              </m:r>
            </m:sub>
            <m:sup>
              <m:r>
                <w:rPr>
                  <w:rFonts w:ascii="Cambria Math" w:eastAsiaTheme="minorEastAsia" w:hAnsi="Cambria Math"/>
                  <w:sz w:val="24"/>
                  <w:szCs w:val="24"/>
                </w:rPr>
                <m:t>q</m:t>
              </m:r>
            </m:sup>
            <m:e>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i</m:t>
                  </m:r>
                </m:sub>
              </m:sSub>
            </m:e>
          </m:nary>
          <m:sSubSup>
            <m:sSubSupPr>
              <m:ctrlPr>
                <w:rPr>
                  <w:rFonts w:ascii="Cambria Math" w:eastAsiaTheme="minorEastAsia" w:hAnsi="Arial"/>
                  <w:i/>
                  <w:sz w:val="24"/>
                  <w:szCs w:val="24"/>
                </w:rPr>
              </m:ctrlPr>
            </m:sSubSupPr>
            <m:e>
              <m:r>
                <w:rPr>
                  <w:rFonts w:ascii="Cambria Math" w:eastAsiaTheme="minorEastAsia" w:hAnsi="Cambria Math"/>
                  <w:sz w:val="24"/>
                  <w:szCs w:val="24"/>
                </w:rPr>
                <m:t>ε</m:t>
              </m:r>
            </m:e>
            <m:sub>
              <m:r>
                <w:rPr>
                  <w:rFonts w:ascii="Cambria Math" w:eastAsiaTheme="minorEastAsia" w:hAnsi="Cambria Math"/>
                  <w:sz w:val="24"/>
                  <w:szCs w:val="24"/>
                </w:rPr>
                <m:t>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eastAsiaTheme="minorEastAsia" w:hAnsi="Arial"/>
              <w:sz w:val="24"/>
              <w:szCs w:val="24"/>
            </w:rPr>
            <m:t xml:space="preserve">+ </m:t>
          </m:r>
          <m:nary>
            <m:naryPr>
              <m:chr m:val="∑"/>
              <m:limLoc m:val="undOvr"/>
              <m:ctrlPr>
                <w:rPr>
                  <w:rFonts w:ascii="Cambria Math" w:eastAsiaTheme="minorEastAsia" w:hAnsi="Arial"/>
                  <w:i/>
                  <w:sz w:val="24"/>
                  <w:szCs w:val="24"/>
                </w:rPr>
              </m:ctrlPr>
            </m:naryPr>
            <m:sub>
              <m:r>
                <w:rPr>
                  <w:rFonts w:ascii="Cambria Math" w:eastAsiaTheme="minorEastAsia" w:hAnsi="Cambria Math"/>
                  <w:sz w:val="24"/>
                  <w:szCs w:val="24"/>
                </w:rPr>
                <m:t>i</m:t>
              </m:r>
              <m:r>
                <w:rPr>
                  <w:rFonts w:ascii="Cambria Math" w:eastAsiaTheme="minorEastAsia" w:hAnsi="Arial"/>
                  <w:sz w:val="24"/>
                  <w:szCs w:val="24"/>
                </w:rPr>
                <m:t>=1</m:t>
              </m:r>
            </m:sub>
            <m:sup>
              <m:r>
                <w:rPr>
                  <w:rFonts w:ascii="Cambria Math" w:eastAsiaTheme="minorEastAsia" w:hAnsi="Cambria Math"/>
                  <w:sz w:val="24"/>
                  <w:szCs w:val="24"/>
                </w:rPr>
                <m:t>p</m:t>
              </m:r>
            </m:sup>
            <m:e>
              <m:sSub>
                <m:sSubPr>
                  <m:ctrlPr>
                    <w:rPr>
                      <w:rFonts w:ascii="Cambria Math" w:eastAsiaTheme="minorEastAsia" w:hAnsi="Arial"/>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i</m:t>
                  </m:r>
                </m:sub>
              </m:sSub>
            </m:e>
          </m:nary>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eastAsiaTheme="minorEastAsia" w:hAnsi="Cambria Math"/>
              <w:sz w:val="24"/>
              <w:szCs w:val="24"/>
            </w:rPr>
            <m:t xml:space="preserve">          </m:t>
          </m:r>
        </m:oMath>
      </m:oMathPara>
    </w:p>
    <w:p w14:paraId="1EABC31B" w14:textId="77777777" w:rsidR="007B399B" w:rsidRPr="00753CF5" w:rsidRDefault="007B399B" w:rsidP="00C72BB2">
      <w:pPr>
        <w:spacing w:line="480" w:lineRule="auto"/>
        <w:jc w:val="both"/>
        <w:rPr>
          <w:rFonts w:ascii="Arial" w:eastAsiaTheme="minorEastAsia" w:hAnsi="Arial"/>
          <w:sz w:val="24"/>
          <w:szCs w:val="24"/>
        </w:rPr>
      </w:pPr>
      <w:r w:rsidRPr="00753CF5">
        <w:rPr>
          <w:rFonts w:ascii="Arial" w:eastAsiaTheme="minorEastAsia" w:hAnsi="Arial"/>
          <w:sz w:val="24"/>
          <w:szCs w:val="24"/>
        </w:rPr>
        <w:t xml:space="preserve">Where </w:t>
      </w:r>
    </w:p>
    <w:p w14:paraId="3E689B28" w14:textId="77777777" w:rsidR="007B399B" w:rsidRPr="00753CF5" w:rsidRDefault="007B399B" w:rsidP="00C72BB2">
      <w:pPr>
        <w:spacing w:line="480" w:lineRule="auto"/>
        <w:jc w:val="both"/>
        <w:rPr>
          <w:rFonts w:ascii="Arial" w:eastAsiaTheme="minorEastAsia" w:hAnsi="Arial"/>
          <w:sz w:val="24"/>
          <w:szCs w:val="24"/>
        </w:rPr>
      </w:pPr>
      <m:oMathPara>
        <m:oMath>
          <m:r>
            <w:rPr>
              <w:rFonts w:ascii="Cambria Math" w:eastAsiaTheme="minorEastAsia" w:hAnsi="Arial"/>
              <w:sz w:val="24"/>
              <w:szCs w:val="24"/>
            </w:rPr>
            <m:t xml:space="preserve">                               </m:t>
          </m:r>
          <m:r>
            <w:rPr>
              <w:rFonts w:ascii="Cambria Math" w:eastAsiaTheme="minorEastAsia" w:hAnsi="Cambria Math"/>
              <w:sz w:val="24"/>
              <w:szCs w:val="24"/>
            </w:rPr>
            <m:t>p</m:t>
          </m:r>
          <m:r>
            <w:rPr>
              <w:rFonts w:ascii="Cambria Math" w:eastAsiaTheme="minorEastAsia" w:hAnsi="Arial"/>
              <w:sz w:val="24"/>
              <w:szCs w:val="24"/>
            </w:rPr>
            <m:t xml:space="preserve"> </m:t>
          </m:r>
          <m:r>
            <w:rPr>
              <w:rFonts w:ascii="Cambria Math" w:eastAsiaTheme="minorEastAsia" w:hAnsi="Arial"/>
              <w:sz w:val="24"/>
              <w:szCs w:val="24"/>
            </w:rPr>
            <m:t>≥</m:t>
          </m:r>
          <m:r>
            <w:rPr>
              <w:rFonts w:ascii="Cambria Math" w:eastAsiaTheme="minorEastAsia" w:hAnsi="Arial"/>
              <w:sz w:val="24"/>
              <w:szCs w:val="24"/>
            </w:rPr>
            <m:t xml:space="preserve">0 ,       </m:t>
          </m:r>
          <m:r>
            <w:rPr>
              <w:rFonts w:ascii="Cambria Math" w:eastAsiaTheme="minorEastAsia" w:hAnsi="Cambria Math"/>
              <w:sz w:val="24"/>
              <w:szCs w:val="24"/>
            </w:rPr>
            <m:t>q</m:t>
          </m:r>
          <m:r>
            <w:rPr>
              <w:rFonts w:ascii="Cambria Math" w:eastAsiaTheme="minorEastAsia" w:hAnsi="Arial"/>
              <w:sz w:val="24"/>
              <w:szCs w:val="24"/>
            </w:rPr>
            <m:t xml:space="preserve">&gt;0                                                             </m:t>
          </m:r>
        </m:oMath>
      </m:oMathPara>
    </w:p>
    <w:p w14:paraId="4E1517C9" w14:textId="77777777" w:rsidR="007B399B" w:rsidRPr="00753CF5" w:rsidRDefault="002C15FD" w:rsidP="00C72BB2">
      <w:pPr>
        <w:spacing w:line="480" w:lineRule="auto"/>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Arial"/>
                  <w:sz w:val="24"/>
                  <w:szCs w:val="24"/>
                </w:rPr>
                <m:t>0</m:t>
              </m:r>
            </m:sub>
          </m:sSub>
          <m:r>
            <w:rPr>
              <w:rFonts w:ascii="Cambria Math" w:eastAsiaTheme="minorEastAsia" w:hAnsi="Arial"/>
              <w:sz w:val="24"/>
              <w:szCs w:val="24"/>
            </w:rPr>
            <m:t xml:space="preserve">&gt;0 ,      </m:t>
          </m:r>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i</m:t>
              </m:r>
            </m:sub>
          </m:sSub>
          <m:r>
            <w:rPr>
              <w:rFonts w:ascii="Cambria Math" w:eastAsiaTheme="minorEastAsia" w:hAnsi="Arial"/>
              <w:sz w:val="24"/>
              <w:szCs w:val="24"/>
            </w:rPr>
            <m:t>≥</m:t>
          </m:r>
          <m:r>
            <w:rPr>
              <w:rFonts w:ascii="Cambria Math" w:eastAsiaTheme="minorEastAsia" w:hAnsi="Arial"/>
              <w:sz w:val="24"/>
              <w:szCs w:val="24"/>
            </w:rPr>
            <m:t xml:space="preserve">0      </m:t>
          </m:r>
          <m:r>
            <w:rPr>
              <w:rFonts w:ascii="Cambria Math" w:eastAsiaTheme="minorEastAsia" w:hAnsi="Cambria Math"/>
              <w:sz w:val="24"/>
              <w:szCs w:val="24"/>
            </w:rPr>
            <m:t>i</m:t>
          </m:r>
          <m:r>
            <w:rPr>
              <w:rFonts w:ascii="Cambria Math" w:eastAsiaTheme="minorEastAsia" w:hAnsi="Arial"/>
              <w:sz w:val="24"/>
              <w:szCs w:val="24"/>
            </w:rPr>
            <m:t xml:space="preserve">=1, </m:t>
          </m:r>
          <m:r>
            <w:rPr>
              <w:rFonts w:ascii="Cambria Math" w:eastAsiaTheme="minorEastAsia" w:hAnsi="Arial"/>
              <w:sz w:val="24"/>
              <w:szCs w:val="24"/>
            </w:rPr>
            <m:t>…</m:t>
          </m:r>
          <m:r>
            <w:rPr>
              <w:rFonts w:ascii="Cambria Math" w:eastAsiaTheme="minorEastAsia" w:hAnsi="Arial"/>
              <w:sz w:val="24"/>
              <w:szCs w:val="24"/>
            </w:rPr>
            <m:t>.,</m:t>
          </m:r>
          <m:r>
            <w:rPr>
              <w:rFonts w:ascii="Cambria Math" w:eastAsiaTheme="minorEastAsia" w:hAnsi="Cambria Math"/>
              <w:sz w:val="24"/>
              <w:szCs w:val="24"/>
            </w:rPr>
            <m:t>q</m:t>
          </m:r>
        </m:oMath>
      </m:oMathPara>
    </w:p>
    <w:p w14:paraId="1A3E5416" w14:textId="77777777" w:rsidR="007B399B" w:rsidRPr="00753CF5" w:rsidRDefault="002C15FD" w:rsidP="00C72BB2">
      <w:pPr>
        <w:spacing w:line="480" w:lineRule="auto"/>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i</m:t>
              </m:r>
            </m:sub>
          </m:sSub>
          <m:r>
            <w:rPr>
              <w:rFonts w:ascii="Cambria Math" w:eastAsiaTheme="minorEastAsia" w:hAnsi="Arial"/>
              <w:sz w:val="24"/>
              <w:szCs w:val="24"/>
            </w:rPr>
            <m:t>≥</m:t>
          </m:r>
          <m:r>
            <w:rPr>
              <w:rFonts w:ascii="Cambria Math" w:eastAsiaTheme="minorEastAsia" w:hAnsi="Arial"/>
              <w:sz w:val="24"/>
              <w:szCs w:val="24"/>
            </w:rPr>
            <m:t xml:space="preserve">0      </m:t>
          </m:r>
          <m:r>
            <w:rPr>
              <w:rFonts w:ascii="Cambria Math" w:eastAsiaTheme="minorEastAsia" w:hAnsi="Cambria Math"/>
              <w:sz w:val="24"/>
              <w:szCs w:val="24"/>
            </w:rPr>
            <m:t>i</m:t>
          </m:r>
          <m:r>
            <w:rPr>
              <w:rFonts w:ascii="Cambria Math" w:eastAsiaTheme="minorEastAsia" w:hAnsi="Arial"/>
              <w:sz w:val="24"/>
              <w:szCs w:val="24"/>
            </w:rPr>
            <m:t xml:space="preserve">=1, </m:t>
          </m:r>
          <m:r>
            <w:rPr>
              <w:rFonts w:ascii="Cambria Math" w:eastAsiaTheme="minorEastAsia" w:hAnsi="Arial"/>
              <w:sz w:val="24"/>
              <w:szCs w:val="24"/>
            </w:rPr>
            <m:t>…</m:t>
          </m:r>
          <m:r>
            <w:rPr>
              <w:rFonts w:ascii="Cambria Math" w:eastAsiaTheme="minorEastAsia" w:hAnsi="Arial"/>
              <w:sz w:val="24"/>
              <w:szCs w:val="24"/>
            </w:rPr>
            <m:t>.,</m:t>
          </m:r>
          <m:r>
            <w:rPr>
              <w:rFonts w:ascii="Cambria Math" w:eastAsiaTheme="minorEastAsia" w:hAnsi="Cambria Math"/>
              <w:sz w:val="24"/>
              <w:szCs w:val="24"/>
            </w:rPr>
            <m:t>p</m:t>
          </m:r>
        </m:oMath>
      </m:oMathPara>
    </w:p>
    <w:p w14:paraId="1CA50E48" w14:textId="203644F6" w:rsidR="007B399B" w:rsidRPr="00C72BB2" w:rsidRDefault="007B399B" w:rsidP="007672D0">
      <w:pPr>
        <w:spacing w:line="360" w:lineRule="auto"/>
        <w:jc w:val="both"/>
        <w:rPr>
          <w:rFonts w:ascii="Arial" w:eastAsiaTheme="minorEastAsia" w:hAnsi="Arial"/>
          <w:sz w:val="24"/>
          <w:szCs w:val="24"/>
        </w:rPr>
      </w:pPr>
      <w:r w:rsidRPr="000A6F24">
        <w:rPr>
          <w:rFonts w:ascii="Times New Roman" w:hAnsi="Times New Roman" w:cs="Times New Roman"/>
          <w:sz w:val="24"/>
          <w:szCs w:val="24"/>
        </w:rPr>
        <w:t>The main essence of ARCH/GARCH processes is the assumption of homoskedasticity. It states that for a least squares model, the mean value of all error terms remains unchanged for any time if squared once. In other words, the variance of the error terms does not change with the passage of time.</w:t>
      </w:r>
    </w:p>
    <w:p w14:paraId="0321AF82" w14:textId="1C594266" w:rsidR="007B399B" w:rsidRPr="000A6F24" w:rsidRDefault="007B399B" w:rsidP="007672D0">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Whereas heteroskedasticity states that the variance of error terms keeps changing over time for time series data. As a result, the mean value of the error terms can change as well. Alternatively, the data is said to be heteroskedastic if it shows signs of a GARCH sequence. Therefore, for any ordinary least square’s regression, the estimates of regression coefficients are unbiased. However</w:t>
      </w:r>
      <w:r w:rsidR="00102C47">
        <w:rPr>
          <w:rFonts w:ascii="Times New Roman" w:hAnsi="Times New Roman" w:cs="Times New Roman"/>
          <w:sz w:val="24"/>
          <w:szCs w:val="24"/>
        </w:rPr>
        <w:t>,</w:t>
      </w:r>
      <w:r w:rsidRPr="000A6F24">
        <w:rPr>
          <w:rFonts w:ascii="Times New Roman" w:hAnsi="Times New Roman" w:cs="Times New Roman"/>
          <w:sz w:val="24"/>
          <w:szCs w:val="24"/>
        </w:rPr>
        <w:t xml:space="preserve"> standard errors and confidence intervals for the significance of these estimates would become very slim, pretending an artificial accuracy. These hiccups in least squares are corrected by ARCH/GARCH processes; also, these models measure the level of heteroskedasticity.  </w:t>
      </w:r>
    </w:p>
    <w:p w14:paraId="3E56CF6A" w14:textId="77777777" w:rsidR="007B399B" w:rsidRPr="000A6F24" w:rsidRDefault="007B399B" w:rsidP="007672D0">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lastRenderedPageBreak/>
        <w:t>The basic version of GARCH states that conditional variance changes with the passage of time for a Gaussian distribution and is symmetric in acknowledging the previous changes. This symmetric GARCH is known as the plain vanilla version of GARCH model. Vanilla GARCH model estimates variances and co variances of stock returns by modelling time changing conditional variances. Whereas in ARCH process, the conditional variance changes by time as a function of previous squared deviations from mean, without considering previous variance. Parameter estimation is carried out in GARCH by increasing the value of log likelihood function. These parameters are induced from the underlying distribution for the model (for example normal distribution). Conditional volatility in GARCH is defined as the annualised square root of conditional variance. The conditional variance and volatility are referred to be conditional on the basis that these are conditional on the data set, which provides information till current time.</w:t>
      </w:r>
    </w:p>
    <w:p w14:paraId="235FF066" w14:textId="75920887" w:rsidR="007B399B" w:rsidRPr="000A6F24" w:rsidRDefault="007B399B" w:rsidP="007672D0">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Another extension of GARCH process named as Normal GARCH is applied to detect volatility clustering in data; </w:t>
      </w:r>
      <w:r w:rsidR="002268C9" w:rsidRPr="000A6F24">
        <w:rPr>
          <w:rFonts w:ascii="Times New Roman" w:hAnsi="Times New Roman" w:cs="Times New Roman"/>
          <w:sz w:val="24"/>
          <w:szCs w:val="24"/>
        </w:rPr>
        <w:t>however,</w:t>
      </w:r>
      <w:r w:rsidRPr="000A6F24">
        <w:rPr>
          <w:rFonts w:ascii="Times New Roman" w:hAnsi="Times New Roman" w:cs="Times New Roman"/>
          <w:sz w:val="24"/>
          <w:szCs w:val="24"/>
        </w:rPr>
        <w:t xml:space="preserve"> it does not distinguish the leverage effect that is to signal that the market reaction to bad news is greater than to the good news. Asymmetric GARCH model includes an extra parameter to the symmetric GARCH model so that so that it has a system to trap asymmetric volatility response. The GARCH (1, 1) is known as the general volatility model in the GARCH family, which can be modified in a number of ways. For example, parameters are evaluated by maximising likelihood function. Mean reversion effect is same as in the symmetric GARCH model, however response to market disturbance is asymmetric.</w:t>
      </w:r>
    </w:p>
    <w:p w14:paraId="32965033" w14:textId="77777777" w:rsidR="007B399B" w:rsidRPr="000A6F24" w:rsidRDefault="007B399B" w:rsidP="007672D0">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But, the GARCH model has its constraints that the conditional variance is dependent on the number of lags of error terms, it does not consider the symmetry of underlying distribution and does not consider the sign of error term. According to Yoon and Lee (2008), “GARCH model cannot reflect leverage effects, a kind of asymmetric information effects that have more crucial impact on volatility when negative shocks happen than positive shocks do”. This is why further extensions of GARCH process have been introduced and some of them have been described briefly in the above sentences. These innovative models of GARCH analyse the shape of a distribution, include extra lag terms for errors. Some of these extended GARCH models include:</w:t>
      </w:r>
    </w:p>
    <w:p w14:paraId="4B8F7185" w14:textId="77777777" w:rsidR="007B399B" w:rsidRPr="000A6F24" w:rsidRDefault="007B399B" w:rsidP="00990265">
      <w:pPr>
        <w:pStyle w:val="ListParagraph"/>
        <w:numPr>
          <w:ilvl w:val="0"/>
          <w:numId w:val="8"/>
        </w:num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Exponential GARCH (EGARCH) developed by </w:t>
      </w:r>
      <w:proofErr w:type="spellStart"/>
      <w:r w:rsidRPr="000A6F24">
        <w:rPr>
          <w:rFonts w:ascii="Times New Roman" w:hAnsi="Times New Roman" w:cs="Times New Roman"/>
          <w:sz w:val="24"/>
          <w:szCs w:val="24"/>
        </w:rPr>
        <w:t>Glosten</w:t>
      </w:r>
      <w:proofErr w:type="spellEnd"/>
      <w:r w:rsidRPr="000A6F24">
        <w:rPr>
          <w:rFonts w:ascii="Times New Roman" w:hAnsi="Times New Roman" w:cs="Times New Roman"/>
          <w:sz w:val="24"/>
          <w:szCs w:val="24"/>
        </w:rPr>
        <w:t xml:space="preserve"> and Rankle (1992)</w:t>
      </w:r>
    </w:p>
    <w:p w14:paraId="5902CF9C" w14:textId="77777777" w:rsidR="007B399B" w:rsidRPr="000A6F24" w:rsidRDefault="007B399B" w:rsidP="00990265">
      <w:pPr>
        <w:pStyle w:val="ListParagraph"/>
        <w:numPr>
          <w:ilvl w:val="0"/>
          <w:numId w:val="8"/>
        </w:num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GJR-GARCH model</w:t>
      </w:r>
    </w:p>
    <w:p w14:paraId="5BE37AC6" w14:textId="77777777" w:rsidR="007B399B" w:rsidRDefault="007B399B" w:rsidP="00990265">
      <w:pPr>
        <w:pStyle w:val="ListParagraph"/>
        <w:numPr>
          <w:ilvl w:val="0"/>
          <w:numId w:val="8"/>
        </w:num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Asymmetric power ARCH (APARCH)model</w:t>
      </w:r>
    </w:p>
    <w:p w14:paraId="40E9D55F" w14:textId="10D5FAF4" w:rsidR="007B399B" w:rsidRPr="00CF7B6D" w:rsidRDefault="007B399B" w:rsidP="007B399B">
      <w:pPr>
        <w:shd w:val="clear" w:color="auto" w:fill="FFFFFF"/>
        <w:spacing w:line="360" w:lineRule="auto"/>
        <w:jc w:val="both"/>
        <w:rPr>
          <w:rFonts w:ascii="Times New Roman" w:eastAsia="Times New Roman" w:hAnsi="Times New Roman" w:cs="Times New Roman"/>
          <w:sz w:val="24"/>
          <w:szCs w:val="24"/>
        </w:rPr>
      </w:pPr>
      <w:r w:rsidRPr="00CF7B6D">
        <w:rPr>
          <w:rFonts w:ascii="Times New Roman" w:eastAsia="Times New Roman" w:hAnsi="Times New Roman" w:cs="Times New Roman"/>
          <w:sz w:val="24"/>
          <w:szCs w:val="24"/>
        </w:rPr>
        <w:lastRenderedPageBreak/>
        <w:t>Testing and contrasting the modified</w:t>
      </w:r>
      <w:r w:rsidR="00BA27A7">
        <w:rPr>
          <w:rFonts w:ascii="Times New Roman" w:eastAsia="Times New Roman" w:hAnsi="Times New Roman" w:cs="Times New Roman"/>
          <w:sz w:val="24"/>
          <w:szCs w:val="24"/>
        </w:rPr>
        <w:t xml:space="preserve"> IFBM</w:t>
      </w:r>
      <w:r w:rsidRPr="00CF7B6D">
        <w:rPr>
          <w:rFonts w:ascii="Times New Roman" w:eastAsia="Times New Roman" w:hAnsi="Times New Roman" w:cs="Times New Roman"/>
          <w:sz w:val="24"/>
          <w:szCs w:val="24"/>
        </w:rPr>
        <w:t xml:space="preserve"> GARCH methodology on </w:t>
      </w:r>
      <w:r>
        <w:rPr>
          <w:rFonts w:ascii="Times New Roman" w:eastAsia="Times New Roman" w:hAnsi="Times New Roman" w:cs="Times New Roman"/>
          <w:sz w:val="24"/>
          <w:szCs w:val="24"/>
        </w:rPr>
        <w:t>S&amp;P 500 stock index</w:t>
      </w:r>
      <w:r w:rsidRPr="00CF7B6D">
        <w:rPr>
          <w:rFonts w:ascii="Times New Roman" w:eastAsia="Times New Roman" w:hAnsi="Times New Roman" w:cs="Times New Roman"/>
          <w:sz w:val="24"/>
          <w:szCs w:val="24"/>
        </w:rPr>
        <w:t xml:space="preserve"> not only provide quantitative information on the impact effectiveness but also analyse the differences between the observed financial </w:t>
      </w:r>
      <w:r>
        <w:rPr>
          <w:rFonts w:ascii="Times New Roman" w:eastAsia="Times New Roman" w:hAnsi="Times New Roman" w:cs="Times New Roman"/>
          <w:sz w:val="24"/>
          <w:szCs w:val="24"/>
        </w:rPr>
        <w:t>p</w:t>
      </w:r>
      <w:r w:rsidRPr="00CF7B6D">
        <w:rPr>
          <w:rFonts w:ascii="Times New Roman" w:eastAsia="Times New Roman" w:hAnsi="Times New Roman" w:cs="Times New Roman"/>
          <w:sz w:val="24"/>
          <w:szCs w:val="24"/>
        </w:rPr>
        <w:t xml:space="preserve">eriods. The following hypotheses have been tested in this study: </w:t>
      </w:r>
    </w:p>
    <w:p w14:paraId="7DE92B0C" w14:textId="77777777" w:rsidR="007B399B" w:rsidRPr="003C21D3" w:rsidRDefault="007B399B" w:rsidP="007B399B">
      <w:pPr>
        <w:shd w:val="clear" w:color="auto" w:fill="FFFFFF"/>
        <w:spacing w:line="360" w:lineRule="auto"/>
        <w:rPr>
          <w:rFonts w:ascii="Times New Roman" w:eastAsia="Times New Roman" w:hAnsi="Times New Roman" w:cs="Times New Roman"/>
          <w:sz w:val="24"/>
          <w:szCs w:val="24"/>
        </w:rPr>
      </w:pPr>
      <w:r w:rsidRPr="003C21D3">
        <w:rPr>
          <w:rFonts w:ascii="Times New Roman" w:eastAsia="Times New Roman" w:hAnsi="Times New Roman" w:cs="Times New Roman"/>
          <w:b/>
          <w:bCs/>
          <w:sz w:val="24"/>
          <w:szCs w:val="24"/>
        </w:rPr>
        <w:t>H0:</w:t>
      </w:r>
      <w:r w:rsidRPr="003C21D3">
        <w:rPr>
          <w:rFonts w:ascii="Times New Roman" w:eastAsia="Times New Roman" w:hAnsi="Times New Roman" w:cs="Times New Roman"/>
          <w:sz w:val="24"/>
          <w:szCs w:val="24"/>
        </w:rPr>
        <w:t xml:space="preserve"> The application of the modified (IFBM) GARCH methodology in order to quantify the impact of the inflation rate, on the daily rates of return significantly contributes to reducing the risk of investment activities. Accordingly, the additional (derived) hypotheses have been tested as follows: </w:t>
      </w:r>
    </w:p>
    <w:p w14:paraId="752553F5" w14:textId="77777777" w:rsidR="007B399B" w:rsidRPr="003C21D3" w:rsidRDefault="007B399B" w:rsidP="007B399B">
      <w:pPr>
        <w:shd w:val="clear" w:color="auto" w:fill="FFFFFF"/>
        <w:spacing w:line="360" w:lineRule="auto"/>
        <w:rPr>
          <w:rFonts w:ascii="Times New Roman" w:eastAsia="Times New Roman" w:hAnsi="Times New Roman" w:cs="Times New Roman"/>
          <w:sz w:val="24"/>
          <w:szCs w:val="24"/>
        </w:rPr>
      </w:pPr>
      <w:r w:rsidRPr="003C21D3">
        <w:rPr>
          <w:rFonts w:ascii="Times New Roman" w:eastAsia="Times New Roman" w:hAnsi="Times New Roman" w:cs="Times New Roman"/>
          <w:b/>
          <w:bCs/>
          <w:sz w:val="24"/>
          <w:szCs w:val="24"/>
        </w:rPr>
        <w:t>H1:</w:t>
      </w:r>
      <w:r w:rsidRPr="003C21D3">
        <w:rPr>
          <w:rFonts w:ascii="Times New Roman" w:eastAsia="Times New Roman" w:hAnsi="Times New Roman" w:cs="Times New Roman"/>
          <w:sz w:val="24"/>
          <w:szCs w:val="24"/>
        </w:rPr>
        <w:t xml:space="preserve"> The application of the modified GARCH (1,1) model can be equally successful in real financial markets. </w:t>
      </w:r>
    </w:p>
    <w:p w14:paraId="3412CDB9" w14:textId="77777777" w:rsidR="007B399B" w:rsidRPr="003C21D3" w:rsidRDefault="007B399B" w:rsidP="007B399B">
      <w:pPr>
        <w:shd w:val="clear" w:color="auto" w:fill="FFFFFF"/>
        <w:spacing w:line="360" w:lineRule="auto"/>
        <w:rPr>
          <w:rFonts w:ascii="Times New Roman" w:eastAsia="Times New Roman" w:hAnsi="Times New Roman" w:cs="Times New Roman"/>
          <w:sz w:val="24"/>
          <w:szCs w:val="24"/>
        </w:rPr>
      </w:pPr>
      <w:r w:rsidRPr="003C21D3">
        <w:rPr>
          <w:rFonts w:ascii="Times New Roman" w:eastAsia="Times New Roman" w:hAnsi="Times New Roman" w:cs="Times New Roman"/>
          <w:b/>
          <w:bCs/>
          <w:sz w:val="24"/>
          <w:szCs w:val="24"/>
        </w:rPr>
        <w:t>H2:</w:t>
      </w:r>
      <w:r w:rsidRPr="003C21D3">
        <w:rPr>
          <w:rFonts w:ascii="Times New Roman" w:eastAsia="Times New Roman" w:hAnsi="Times New Roman" w:cs="Times New Roman"/>
          <w:sz w:val="24"/>
          <w:szCs w:val="24"/>
        </w:rPr>
        <w:t xml:space="preserve"> The modified GARCH (1,1) model is the most effective for assessing the impact significance of some particular macroeconomic factors.</w:t>
      </w:r>
    </w:p>
    <w:p w14:paraId="74481E70" w14:textId="77777777" w:rsidR="007B399B" w:rsidRDefault="007B399B" w:rsidP="007B399B">
      <w:pPr>
        <w:spacing w:line="360" w:lineRule="auto"/>
        <w:jc w:val="both"/>
        <w:rPr>
          <w:rFonts w:ascii="Times New Roman" w:hAnsi="Times New Roman" w:cs="Times New Roman"/>
          <w:sz w:val="24"/>
          <w:szCs w:val="24"/>
        </w:rPr>
      </w:pPr>
    </w:p>
    <w:p w14:paraId="0DC4A381" w14:textId="3BB07E37" w:rsidR="007B399B" w:rsidRDefault="007B399B" w:rsidP="007B399B">
      <w:pPr>
        <w:spacing w:line="360" w:lineRule="auto"/>
        <w:jc w:val="both"/>
        <w:rPr>
          <w:rFonts w:ascii="Times New Roman" w:hAnsi="Times New Roman" w:cs="Times New Roman"/>
          <w:sz w:val="24"/>
          <w:szCs w:val="24"/>
        </w:rPr>
      </w:pPr>
    </w:p>
    <w:p w14:paraId="7CE6D8F2" w14:textId="3F1DBB5E" w:rsidR="00BA27A7" w:rsidRDefault="00BA27A7" w:rsidP="007B399B">
      <w:pPr>
        <w:spacing w:line="360" w:lineRule="auto"/>
        <w:jc w:val="both"/>
        <w:rPr>
          <w:rFonts w:ascii="Times New Roman" w:hAnsi="Times New Roman" w:cs="Times New Roman"/>
          <w:sz w:val="24"/>
          <w:szCs w:val="24"/>
        </w:rPr>
      </w:pPr>
    </w:p>
    <w:p w14:paraId="72A9DDF0" w14:textId="420EDBC7" w:rsidR="00BA27A7" w:rsidRDefault="00BA27A7" w:rsidP="007B399B">
      <w:pPr>
        <w:spacing w:line="360" w:lineRule="auto"/>
        <w:jc w:val="both"/>
        <w:rPr>
          <w:rFonts w:ascii="Times New Roman" w:hAnsi="Times New Roman" w:cs="Times New Roman"/>
          <w:sz w:val="24"/>
          <w:szCs w:val="24"/>
        </w:rPr>
      </w:pPr>
    </w:p>
    <w:p w14:paraId="4F123EF4" w14:textId="1CF4ED9C" w:rsidR="00BA27A7" w:rsidRDefault="00BA27A7" w:rsidP="007B399B">
      <w:pPr>
        <w:spacing w:line="360" w:lineRule="auto"/>
        <w:jc w:val="both"/>
        <w:rPr>
          <w:rFonts w:ascii="Times New Roman" w:hAnsi="Times New Roman" w:cs="Times New Roman"/>
          <w:sz w:val="24"/>
          <w:szCs w:val="24"/>
        </w:rPr>
      </w:pPr>
    </w:p>
    <w:p w14:paraId="7B4C2B45" w14:textId="6DD0D824" w:rsidR="00BA27A7" w:rsidRDefault="00BA27A7" w:rsidP="007B399B">
      <w:pPr>
        <w:spacing w:line="360" w:lineRule="auto"/>
        <w:jc w:val="both"/>
        <w:rPr>
          <w:rFonts w:ascii="Times New Roman" w:hAnsi="Times New Roman" w:cs="Times New Roman"/>
          <w:sz w:val="24"/>
          <w:szCs w:val="24"/>
        </w:rPr>
      </w:pPr>
    </w:p>
    <w:p w14:paraId="0000D664" w14:textId="04437309" w:rsidR="00BA27A7" w:rsidRDefault="00BA27A7" w:rsidP="007B399B">
      <w:pPr>
        <w:spacing w:line="360" w:lineRule="auto"/>
        <w:jc w:val="both"/>
        <w:rPr>
          <w:rFonts w:ascii="Times New Roman" w:hAnsi="Times New Roman" w:cs="Times New Roman"/>
          <w:sz w:val="24"/>
          <w:szCs w:val="24"/>
        </w:rPr>
      </w:pPr>
    </w:p>
    <w:p w14:paraId="2AA0C0F1" w14:textId="0F58F397" w:rsidR="00BA27A7" w:rsidRDefault="00BA27A7" w:rsidP="007B399B">
      <w:pPr>
        <w:spacing w:line="360" w:lineRule="auto"/>
        <w:jc w:val="both"/>
        <w:rPr>
          <w:rFonts w:ascii="Times New Roman" w:hAnsi="Times New Roman" w:cs="Times New Roman"/>
          <w:sz w:val="24"/>
          <w:szCs w:val="24"/>
        </w:rPr>
      </w:pPr>
    </w:p>
    <w:p w14:paraId="62859CC1" w14:textId="65DCA01C" w:rsidR="00BA27A7" w:rsidRDefault="00BA27A7" w:rsidP="007B399B">
      <w:pPr>
        <w:spacing w:line="360" w:lineRule="auto"/>
        <w:jc w:val="both"/>
        <w:rPr>
          <w:rFonts w:ascii="Times New Roman" w:hAnsi="Times New Roman" w:cs="Times New Roman"/>
          <w:sz w:val="24"/>
          <w:szCs w:val="24"/>
        </w:rPr>
      </w:pPr>
    </w:p>
    <w:p w14:paraId="5BF74E1A" w14:textId="037EFBEC" w:rsidR="00BA27A7" w:rsidRDefault="00BA27A7" w:rsidP="007B399B">
      <w:pPr>
        <w:spacing w:line="360" w:lineRule="auto"/>
        <w:jc w:val="both"/>
        <w:rPr>
          <w:rFonts w:ascii="Times New Roman" w:hAnsi="Times New Roman" w:cs="Times New Roman"/>
          <w:sz w:val="24"/>
          <w:szCs w:val="24"/>
        </w:rPr>
      </w:pPr>
    </w:p>
    <w:p w14:paraId="39933B1E" w14:textId="16C529E7" w:rsidR="00BA27A7" w:rsidRDefault="00BA27A7" w:rsidP="007B399B">
      <w:pPr>
        <w:spacing w:line="360" w:lineRule="auto"/>
        <w:jc w:val="both"/>
        <w:rPr>
          <w:rFonts w:ascii="Times New Roman" w:hAnsi="Times New Roman" w:cs="Times New Roman"/>
          <w:sz w:val="24"/>
          <w:szCs w:val="24"/>
        </w:rPr>
      </w:pPr>
    </w:p>
    <w:p w14:paraId="24E5502C" w14:textId="20F0F954" w:rsidR="002477E6" w:rsidRDefault="002477E6" w:rsidP="007B399B">
      <w:pPr>
        <w:spacing w:line="360" w:lineRule="auto"/>
        <w:jc w:val="both"/>
        <w:rPr>
          <w:rFonts w:ascii="Times New Roman" w:hAnsi="Times New Roman" w:cs="Times New Roman"/>
          <w:sz w:val="24"/>
          <w:szCs w:val="24"/>
        </w:rPr>
      </w:pPr>
    </w:p>
    <w:p w14:paraId="5799C117" w14:textId="77777777" w:rsidR="002477E6" w:rsidRDefault="002477E6" w:rsidP="007B399B">
      <w:pPr>
        <w:spacing w:line="360" w:lineRule="auto"/>
        <w:jc w:val="both"/>
        <w:rPr>
          <w:rFonts w:ascii="Times New Roman" w:hAnsi="Times New Roman" w:cs="Times New Roman"/>
          <w:sz w:val="24"/>
          <w:szCs w:val="24"/>
        </w:rPr>
      </w:pPr>
    </w:p>
    <w:p w14:paraId="4BC1463B" w14:textId="77777777" w:rsidR="007B399B" w:rsidRPr="006E5DCD" w:rsidRDefault="007B399B" w:rsidP="007B399B">
      <w:pPr>
        <w:pStyle w:val="Heading1"/>
      </w:pPr>
      <w:bookmarkStart w:id="163" w:name="_Toc90499995"/>
      <w:r>
        <w:lastRenderedPageBreak/>
        <w:t xml:space="preserve">3.2 </w:t>
      </w:r>
      <w:r w:rsidRPr="006E5DCD">
        <w:t>Literature Review</w:t>
      </w:r>
      <w:bookmarkEnd w:id="163"/>
    </w:p>
    <w:p w14:paraId="50B03261" w14:textId="77777777" w:rsidR="007B399B" w:rsidRPr="000A6F24"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The history of stochastic integration and the modelling of risky asset prices both begin with Brownian motion. The earliest attempts to model Brownian motion mathematically can be traced to three sources, each of which knew nothing about the others: the first was that of T. N. Thiele of Copenhagen, who effectively created a model of Brownian motion while studying time series in 1880.; the second was that of Louis </w:t>
      </w:r>
      <w:proofErr w:type="spellStart"/>
      <w:r w:rsidRPr="000A6F24">
        <w:rPr>
          <w:rFonts w:ascii="Times New Roman" w:hAnsi="Times New Roman" w:cs="Times New Roman"/>
          <w:sz w:val="24"/>
          <w:szCs w:val="24"/>
        </w:rPr>
        <w:t>Bachelier</w:t>
      </w:r>
      <w:proofErr w:type="spellEnd"/>
      <w:r w:rsidRPr="000A6F24">
        <w:rPr>
          <w:rFonts w:ascii="Times New Roman" w:hAnsi="Times New Roman" w:cs="Times New Roman"/>
          <w:sz w:val="24"/>
          <w:szCs w:val="24"/>
        </w:rPr>
        <w:t xml:space="preserve"> , who created a model of Brownian motion while deriving the dynamic behaviour of the Paris stock market, in 1900 (</w:t>
      </w:r>
      <w:proofErr w:type="spellStart"/>
      <w:r w:rsidRPr="000A6F24">
        <w:rPr>
          <w:rFonts w:ascii="Times New Roman" w:hAnsi="Times New Roman" w:cs="Times New Roman"/>
          <w:sz w:val="24"/>
          <w:szCs w:val="24"/>
        </w:rPr>
        <w:t>Bachelier</w:t>
      </w:r>
      <w:proofErr w:type="spellEnd"/>
      <w:r w:rsidRPr="000A6F24">
        <w:rPr>
          <w:rFonts w:ascii="Times New Roman" w:hAnsi="Times New Roman" w:cs="Times New Roman"/>
          <w:sz w:val="24"/>
          <w:szCs w:val="24"/>
        </w:rPr>
        <w:t xml:space="preserve">); and the third was that of A. Einstein, who proposed a model of the motion of small particles suspended in a liquid, in an attempt to convince other physicists of the molecular nature of matter, in 1905. Of these three models, those of Thiele and </w:t>
      </w:r>
      <w:proofErr w:type="spellStart"/>
      <w:r w:rsidRPr="000A6F24">
        <w:rPr>
          <w:rFonts w:ascii="Times New Roman" w:hAnsi="Times New Roman" w:cs="Times New Roman"/>
          <w:sz w:val="24"/>
          <w:szCs w:val="24"/>
        </w:rPr>
        <w:t>Bachelier</w:t>
      </w:r>
      <w:proofErr w:type="spellEnd"/>
      <w:r w:rsidRPr="000A6F24">
        <w:rPr>
          <w:rFonts w:ascii="Times New Roman" w:hAnsi="Times New Roman" w:cs="Times New Roman"/>
          <w:sz w:val="24"/>
          <w:szCs w:val="24"/>
        </w:rPr>
        <w:t xml:space="preserve"> had little impact for a long time, while that of Einstein was immediately influential. </w:t>
      </w:r>
    </w:p>
    <w:p w14:paraId="12899120" w14:textId="77777777" w:rsidR="007B399B" w:rsidRPr="000A6F24" w:rsidRDefault="007B399B" w:rsidP="007B399B">
      <w:pPr>
        <w:pStyle w:val="Heading2"/>
        <w:jc w:val="both"/>
        <w:rPr>
          <w:rFonts w:ascii="Times New Roman" w:hAnsi="Times New Roman" w:cs="Times New Roman"/>
          <w:sz w:val="24"/>
          <w:szCs w:val="24"/>
        </w:rPr>
      </w:pPr>
      <w:bookmarkStart w:id="164" w:name="_Toc326066076"/>
      <w:bookmarkStart w:id="165" w:name="_Toc11914208"/>
      <w:bookmarkStart w:id="166" w:name="_Toc90499996"/>
      <w:r>
        <w:rPr>
          <w:rFonts w:ascii="Times New Roman" w:hAnsi="Times New Roman" w:cs="Times New Roman"/>
          <w:sz w:val="24"/>
          <w:szCs w:val="24"/>
        </w:rPr>
        <w:t xml:space="preserve">3.2.1 </w:t>
      </w:r>
      <w:proofErr w:type="spellStart"/>
      <w:r w:rsidRPr="000A6F24">
        <w:rPr>
          <w:rFonts w:ascii="Times New Roman" w:hAnsi="Times New Roman" w:cs="Times New Roman"/>
          <w:sz w:val="24"/>
          <w:szCs w:val="24"/>
        </w:rPr>
        <w:t>Bachelier’s</w:t>
      </w:r>
      <w:proofErr w:type="spellEnd"/>
      <w:r w:rsidRPr="000A6F24">
        <w:rPr>
          <w:rFonts w:ascii="Times New Roman" w:hAnsi="Times New Roman" w:cs="Times New Roman"/>
          <w:sz w:val="24"/>
          <w:szCs w:val="24"/>
        </w:rPr>
        <w:t xml:space="preserve"> Model:</w:t>
      </w:r>
      <w:bookmarkEnd w:id="164"/>
      <w:bookmarkEnd w:id="165"/>
      <w:bookmarkEnd w:id="166"/>
    </w:p>
    <w:p w14:paraId="429142F4" w14:textId="77777777" w:rsidR="007B399B" w:rsidRPr="000A6F24" w:rsidRDefault="007B399B" w:rsidP="007B399B">
      <w:pPr>
        <w:spacing w:line="360" w:lineRule="auto"/>
        <w:jc w:val="both"/>
        <w:rPr>
          <w:rFonts w:ascii="Times New Roman" w:hAnsi="Times New Roman" w:cs="Times New Roman"/>
          <w:sz w:val="24"/>
          <w:szCs w:val="24"/>
        </w:rPr>
      </w:pPr>
    </w:p>
    <w:p w14:paraId="59C26BAC" w14:textId="77777777" w:rsidR="007B399B" w:rsidRPr="000A6F24"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Consider </w:t>
      </w:r>
      <m:oMath>
        <m:r>
          <w:rPr>
            <w:rFonts w:ascii="Cambria Math" w:hAnsi="Cambria Math" w:cs="Times New Roman"/>
            <w:sz w:val="24"/>
            <w:szCs w:val="24"/>
          </w:rPr>
          <m:t>P(x,t)dx</m:t>
        </m:r>
      </m:oMath>
      <w:r w:rsidRPr="000A6F24">
        <w:rPr>
          <w:rFonts w:ascii="Times New Roman" w:hAnsi="Times New Roman" w:cs="Times New Roman"/>
          <w:sz w:val="24"/>
          <w:szCs w:val="24"/>
        </w:rPr>
        <w:t xml:space="preserve"> represent the probability of price being in the interval</w:t>
      </w:r>
      <m:oMath>
        <m:r>
          <w:rPr>
            <w:rFonts w:ascii="Cambria Math" w:hAnsi="Cambria Math" w:cs="Times New Roman"/>
            <w:sz w:val="24"/>
            <w:szCs w:val="24"/>
          </w:rPr>
          <m:t>[x,x+dx)</m:t>
        </m:r>
      </m:oMath>
      <w:r w:rsidRPr="000A6F24">
        <w:rPr>
          <w:rFonts w:ascii="Times New Roman" w:hAnsi="Times New Roman" w:cs="Times New Roman"/>
          <w:sz w:val="24"/>
          <w:szCs w:val="24"/>
        </w:rPr>
        <w:t>, at time t. Then the diffusion equation of probability P is written as (Davis and Etheridge, 2006):</w:t>
      </w:r>
    </w:p>
    <w:p w14:paraId="0CD0F5F5" w14:textId="2BCC03C6" w:rsidR="007B399B" w:rsidRPr="006E5DCD" w:rsidRDefault="007B399B" w:rsidP="007B399B">
      <w:pPr>
        <w:spacing w:line="480" w:lineRule="auto"/>
        <w:jc w:val="both"/>
        <w:rPr>
          <w:rFonts w:ascii="Cambria Math" w:hAnsi="Cambria Math" w:cs="Times New Roman"/>
          <w:sz w:val="24"/>
          <w:szCs w:val="24"/>
          <w:oMath/>
        </w:rPr>
      </w:pPr>
      <w:r w:rsidRPr="006E5DCD">
        <w:rPr>
          <w:rFonts w:ascii="Times New Roman" w:hAnsi="Times New Roman" w:cs="Times New Roman"/>
          <w:sz w:val="24"/>
          <w:szCs w:val="24"/>
        </w:rPr>
        <w:t xml:space="preserve">                                          </w:t>
      </w:r>
      <w:r w:rsidRPr="006E5DCD">
        <w:rPr>
          <w:rFonts w:ascii="Times New Roman" w:hAnsi="Times New Roman" w:cs="Times New Roman"/>
          <w:position w:val="-24"/>
          <w:sz w:val="24"/>
          <w:szCs w:val="24"/>
        </w:rPr>
        <w:object w:dxaOrig="1420" w:dyaOrig="660" w14:anchorId="62715ED0">
          <v:shape id="_x0000_i1053" type="#_x0000_t75" style="width:1in;height:36pt" o:ole="">
            <v:imagedata r:id="rId93" o:title=""/>
          </v:shape>
          <o:OLEObject Type="Embed" ProgID="Equation.3" ShapeID="_x0000_i1053" DrawAspect="Content" ObjectID="_1704578325" r:id="rId94"/>
        </w:object>
      </w:r>
      <w:r w:rsidRPr="006E5DCD">
        <w:rPr>
          <w:rFonts w:ascii="Times New Roman" w:hAnsi="Times New Roman" w:cs="Times New Roman"/>
          <w:sz w:val="24"/>
          <w:szCs w:val="24"/>
        </w:rPr>
        <w:t xml:space="preserve">                       </w:t>
      </w:r>
    </w:p>
    <w:p w14:paraId="47785D78"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With the solution</w:t>
      </w:r>
    </w:p>
    <w:p w14:paraId="6FA69789" w14:textId="77777777" w:rsidR="007B399B" w:rsidRPr="006E5DCD" w:rsidRDefault="007B399B" w:rsidP="007B399B">
      <w:pPr>
        <w:spacing w:line="480" w:lineRule="auto"/>
        <w:jc w:val="both"/>
        <w:rPr>
          <w:rFonts w:ascii="Cambria Math" w:hAnsi="Cambria Math" w:cs="Times New Roman"/>
          <w:sz w:val="24"/>
          <w:szCs w:val="24"/>
          <w:oMath/>
        </w:rPr>
      </w:pPr>
      <w:r w:rsidRPr="006E5DCD">
        <w:rPr>
          <w:rFonts w:ascii="Times New Roman" w:hAnsi="Times New Roman" w:cs="Times New Roman"/>
          <w:sz w:val="24"/>
          <w:szCs w:val="24"/>
        </w:rPr>
        <w:t xml:space="preserve">             </w:t>
      </w:r>
      <w:r w:rsidRPr="006E5DCD">
        <w:rPr>
          <w:rFonts w:ascii="Times New Roman" w:hAnsi="Times New Roman" w:cs="Times New Roman"/>
          <w:position w:val="-38"/>
          <w:sz w:val="24"/>
          <w:szCs w:val="24"/>
        </w:rPr>
        <w:object w:dxaOrig="2439" w:dyaOrig="820" w14:anchorId="324F45B4">
          <v:shape id="_x0000_i1054" type="#_x0000_t75" style="width:122.25pt;height:43.5pt" o:ole="">
            <v:imagedata r:id="rId95" o:title=""/>
          </v:shape>
          <o:OLEObject Type="Embed" ProgID="Equation.3" ShapeID="_x0000_i1054" DrawAspect="Content" ObjectID="_1704578326" r:id="rId96"/>
        </w:object>
      </w:r>
      <w:r w:rsidRPr="006E5DCD">
        <w:rPr>
          <w:rFonts w:ascii="Times New Roman" w:hAnsi="Times New Roman" w:cs="Times New Roman"/>
          <w:sz w:val="24"/>
          <w:szCs w:val="24"/>
        </w:rPr>
        <w:t xml:space="preserve">                                    </w:t>
      </w:r>
      <m:oMath>
        <m:r>
          <w:rPr>
            <w:rFonts w:ascii="Cambria Math" w:hAnsi="Cambria Math" w:cs="Times New Roman"/>
            <w:sz w:val="24"/>
            <w:szCs w:val="24"/>
          </w:rPr>
          <m:t xml:space="preserve">  </m:t>
        </m:r>
      </m:oMath>
    </w:p>
    <w:p w14:paraId="4121D73C"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The notion is directly related to that of the movement of particle in a fluid or air, moving freely thus following an abnormal pattern.  The continuous impacts of particle with fluid molecules from different directions through different angles cause the irregular movement of particle; hence the probability of position of particle at future time can be proportional to different probabilities of being at different positions. Thus, making the displacement of particle during a small-time interval is almost independent of its previous movements (Einstein, 1906; Wax, 1954).</w:t>
      </w:r>
    </w:p>
    <w:p w14:paraId="4A4AF8DB" w14:textId="42B625AD" w:rsidR="007B399B" w:rsidRPr="006E5DCD" w:rsidRDefault="007B399B" w:rsidP="007B399B">
      <w:pPr>
        <w:spacing w:line="360" w:lineRule="auto"/>
        <w:jc w:val="both"/>
        <w:rPr>
          <w:rFonts w:ascii="Times New Roman" w:eastAsia="Times New Roman" w:hAnsi="Times New Roman" w:cs="Times New Roman"/>
          <w:sz w:val="24"/>
          <w:szCs w:val="24"/>
        </w:rPr>
      </w:pPr>
      <w:proofErr w:type="spellStart"/>
      <w:r w:rsidRPr="006E5DCD">
        <w:rPr>
          <w:rFonts w:ascii="Times New Roman" w:hAnsi="Times New Roman" w:cs="Times New Roman"/>
          <w:sz w:val="24"/>
          <w:szCs w:val="24"/>
        </w:rPr>
        <w:t>Bachelier</w:t>
      </w:r>
      <w:proofErr w:type="spellEnd"/>
      <w:r w:rsidRPr="006E5DCD">
        <w:rPr>
          <w:rFonts w:ascii="Times New Roman" w:hAnsi="Times New Roman" w:cs="Times New Roman"/>
          <w:sz w:val="24"/>
          <w:szCs w:val="24"/>
        </w:rPr>
        <w:t xml:space="preserve"> is now seen by many as the founder of modern Mathematical Finance. Ignorant of the work of Thiele (which was little appreciated in its day) and preceding the work of Einstein, </w:t>
      </w:r>
      <w:proofErr w:type="spellStart"/>
      <w:r w:rsidRPr="006E5DCD">
        <w:rPr>
          <w:rFonts w:ascii="Times New Roman" w:hAnsi="Times New Roman" w:cs="Times New Roman"/>
          <w:sz w:val="24"/>
          <w:szCs w:val="24"/>
        </w:rPr>
        <w:lastRenderedPageBreak/>
        <w:t>Bachelier</w:t>
      </w:r>
      <w:proofErr w:type="spellEnd"/>
      <w:r w:rsidRPr="006E5DCD">
        <w:rPr>
          <w:rFonts w:ascii="Times New Roman" w:hAnsi="Times New Roman" w:cs="Times New Roman"/>
          <w:sz w:val="24"/>
          <w:szCs w:val="24"/>
        </w:rPr>
        <w:t xml:space="preserve"> attempted to model the market noise of the Paris Bourse. Exploiting the ideas of the Central Limit Theorem, and realizing that market noise should be without memory, he reasoned </w:t>
      </w:r>
      <w:r w:rsidR="002268C9" w:rsidRPr="006E5DCD">
        <w:rPr>
          <w:rFonts w:ascii="Times New Roman" w:hAnsi="Times New Roman" w:cs="Times New Roman"/>
          <w:sz w:val="24"/>
          <w:szCs w:val="24"/>
        </w:rPr>
        <w:t>those increments of stock</w:t>
      </w:r>
      <w:r w:rsidRPr="006E5DCD">
        <w:rPr>
          <w:rFonts w:ascii="Times New Roman" w:hAnsi="Times New Roman" w:cs="Times New Roman"/>
          <w:sz w:val="24"/>
          <w:szCs w:val="24"/>
        </w:rPr>
        <w:t xml:space="preserve"> prices should be independent and normally distributed. He combined his reasoning with the Markov property and semi groups, and connected Brownian motion with the heat equation, using that the Gaussian kernel is the fundamental solution to the heat equation. He was able to define other processes related to Brownian motion, such as the maximum change during a time interval (for one dimensional Brownian motion), by using random walks and letting the time steps go to zero, and by then taking limits.</w:t>
      </w:r>
    </w:p>
    <w:p w14:paraId="3939BE27" w14:textId="77777777" w:rsidR="007B399B" w:rsidRPr="006E5DCD" w:rsidRDefault="007B399B" w:rsidP="007B399B">
      <w:pPr>
        <w:spacing w:line="360" w:lineRule="auto"/>
        <w:jc w:val="both"/>
        <w:rPr>
          <w:rFonts w:ascii="Times New Roman" w:hAnsi="Times New Roman" w:cs="Times New Roman"/>
          <w:sz w:val="24"/>
          <w:szCs w:val="24"/>
        </w:rPr>
      </w:pPr>
      <w:proofErr w:type="spellStart"/>
      <w:r w:rsidRPr="006E5DCD">
        <w:rPr>
          <w:rFonts w:ascii="Times New Roman" w:hAnsi="Times New Roman" w:cs="Times New Roman"/>
          <w:sz w:val="24"/>
          <w:szCs w:val="24"/>
        </w:rPr>
        <w:t>Bachelier’s</w:t>
      </w:r>
      <w:proofErr w:type="spellEnd"/>
      <w:r w:rsidRPr="006E5DCD">
        <w:rPr>
          <w:rFonts w:ascii="Times New Roman" w:hAnsi="Times New Roman" w:cs="Times New Roman"/>
          <w:sz w:val="24"/>
          <w:szCs w:val="24"/>
        </w:rPr>
        <w:t xml:space="preserve"> Brownian motion arises as a model of the fluctuations in stock prices. He argues that the small fluctuations in price seen over a short time interval should be independent of the current value of the price. Implicitly he also assumes them to be independent of past behaviour of the process and combined with the Central Limit Theorem he deduces that increments of the process are independent and normally distributed. In modern language, he obtains Brownian motion as the diffusion limit (that is as a particular rescaling limit) of random walk. Having obtained the increments of his price process as independent Gaussian random variables, </w:t>
      </w:r>
      <w:proofErr w:type="spellStart"/>
      <w:r w:rsidRPr="006E5DCD">
        <w:rPr>
          <w:rFonts w:ascii="Times New Roman" w:hAnsi="Times New Roman" w:cs="Times New Roman"/>
          <w:sz w:val="24"/>
          <w:szCs w:val="24"/>
        </w:rPr>
        <w:t>Bachelier</w:t>
      </w:r>
      <w:proofErr w:type="spellEnd"/>
      <w:r w:rsidRPr="006E5DCD">
        <w:rPr>
          <w:rFonts w:ascii="Times New Roman" w:hAnsi="Times New Roman" w:cs="Times New Roman"/>
          <w:sz w:val="24"/>
          <w:szCs w:val="24"/>
        </w:rPr>
        <w:t xml:space="preserve"> uses the ‘lack of memory’ property for the price process to write down what we would now call the Chapman-Kolmogorov equation and from this derives (not completely rigorously) the connection with the heat equation. This ‘lack of memory property’, now known as the Markov property, was formalised by A. A. Markov in 1906 when he initiated the study of systems of random variables ‘connected in a chain’, processes that we now call Markov chains in his honour. Markov also wrote down the Chapman-Kolmogorov equation for chains, but it was another quarter of a century before there was a rigorous treatment of </w:t>
      </w:r>
      <w:proofErr w:type="spellStart"/>
      <w:r w:rsidRPr="006E5DCD">
        <w:rPr>
          <w:rFonts w:ascii="Times New Roman" w:hAnsi="Times New Roman" w:cs="Times New Roman"/>
          <w:sz w:val="24"/>
          <w:szCs w:val="24"/>
        </w:rPr>
        <w:t>Bachelier’s</w:t>
      </w:r>
      <w:proofErr w:type="spellEnd"/>
      <w:r w:rsidRPr="006E5DCD">
        <w:rPr>
          <w:rFonts w:ascii="Times New Roman" w:hAnsi="Times New Roman" w:cs="Times New Roman"/>
          <w:sz w:val="24"/>
          <w:szCs w:val="24"/>
        </w:rPr>
        <w:t xml:space="preserve"> case, in which the process has continuous paths.</w:t>
      </w:r>
    </w:p>
    <w:p w14:paraId="7740BAC7" w14:textId="77777777" w:rsidR="007B399B" w:rsidRPr="006E5DCD" w:rsidRDefault="007B399B" w:rsidP="007B399B">
      <w:pPr>
        <w:pStyle w:val="Heading2"/>
        <w:jc w:val="both"/>
        <w:rPr>
          <w:rFonts w:ascii="Times New Roman" w:hAnsi="Times New Roman" w:cs="Times New Roman"/>
          <w:sz w:val="24"/>
          <w:szCs w:val="24"/>
        </w:rPr>
      </w:pPr>
      <w:bookmarkStart w:id="167" w:name="_Toc326066081"/>
      <w:bookmarkStart w:id="168" w:name="_Toc357670945"/>
      <w:bookmarkStart w:id="169" w:name="_Toc11914212"/>
      <w:bookmarkStart w:id="170" w:name="_Toc90499997"/>
      <w:r>
        <w:rPr>
          <w:rFonts w:ascii="Times New Roman" w:hAnsi="Times New Roman" w:cs="Times New Roman"/>
          <w:sz w:val="24"/>
          <w:szCs w:val="24"/>
        </w:rPr>
        <w:t xml:space="preserve">3.2.2 </w:t>
      </w:r>
      <w:r w:rsidRPr="006E5DCD">
        <w:rPr>
          <w:rFonts w:ascii="Times New Roman" w:hAnsi="Times New Roman" w:cs="Times New Roman"/>
          <w:sz w:val="24"/>
          <w:szCs w:val="24"/>
        </w:rPr>
        <w:t>Geometric Brownian Motion:</w:t>
      </w:r>
      <w:bookmarkEnd w:id="167"/>
      <w:bookmarkEnd w:id="168"/>
      <w:bookmarkEnd w:id="169"/>
      <w:bookmarkEnd w:id="170"/>
    </w:p>
    <w:p w14:paraId="094A519E" w14:textId="77777777" w:rsidR="007B399B" w:rsidRPr="006E5DCD" w:rsidRDefault="007B399B" w:rsidP="007B399B">
      <w:pPr>
        <w:jc w:val="both"/>
        <w:rPr>
          <w:rFonts w:ascii="Times New Roman" w:hAnsi="Times New Roman" w:cs="Times New Roman"/>
          <w:sz w:val="24"/>
          <w:szCs w:val="24"/>
        </w:rPr>
      </w:pPr>
    </w:p>
    <w:p w14:paraId="0329CE7A"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    The stochastic model to represent stock price using Brownian Motion model is given by:</w:t>
      </w:r>
    </w:p>
    <w:p w14:paraId="75E2DB02"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                                                    </w:t>
      </w:r>
      <w:r w:rsidRPr="006E5DCD">
        <w:rPr>
          <w:rFonts w:ascii="Times New Roman" w:hAnsi="Times New Roman" w:cs="Times New Roman"/>
          <w:position w:val="-24"/>
          <w:sz w:val="24"/>
          <w:szCs w:val="24"/>
        </w:rPr>
        <w:object w:dxaOrig="1660" w:dyaOrig="620" w14:anchorId="2631D2B3">
          <v:shape id="_x0000_i1055" type="#_x0000_t75" style="width:87pt;height:28.5pt" o:ole="">
            <v:imagedata r:id="rId97" o:title=""/>
          </v:shape>
          <o:OLEObject Type="Embed" ProgID="Equation.3" ShapeID="_x0000_i1055" DrawAspect="Content" ObjectID="_1704578327" r:id="rId98"/>
        </w:object>
      </w:r>
      <w:r w:rsidRPr="006E5DCD">
        <w:rPr>
          <w:rFonts w:ascii="Times New Roman" w:hAnsi="Times New Roman" w:cs="Times New Roman"/>
          <w:sz w:val="24"/>
          <w:szCs w:val="24"/>
        </w:rPr>
        <w:t xml:space="preserve">                                                                           </w:t>
      </w:r>
    </w:p>
    <w:p w14:paraId="1AF8E0E1" w14:textId="77777777" w:rsidR="007B399B" w:rsidRPr="006E5DCD" w:rsidRDefault="007B399B" w:rsidP="00990265">
      <w:pPr>
        <w:numPr>
          <w:ilvl w:val="0"/>
          <w:numId w:val="1"/>
        </w:numPr>
        <w:spacing w:after="0" w:line="480" w:lineRule="auto"/>
        <w:jc w:val="both"/>
        <w:rPr>
          <w:rFonts w:ascii="Times New Roman" w:hAnsi="Times New Roman" w:cs="Times New Roman"/>
          <w:sz w:val="24"/>
          <w:szCs w:val="24"/>
        </w:rPr>
      </w:pPr>
      <w:r w:rsidRPr="006E5DCD">
        <w:rPr>
          <w:rFonts w:ascii="Times New Roman" w:hAnsi="Times New Roman" w:cs="Times New Roman"/>
          <w:sz w:val="24"/>
          <w:szCs w:val="24"/>
        </w:rPr>
        <w:t>α is instantaneous rate of returns</w:t>
      </w:r>
    </w:p>
    <w:p w14:paraId="58D7D999" w14:textId="77777777" w:rsidR="007B399B" w:rsidRPr="006E5DCD" w:rsidRDefault="007B399B" w:rsidP="00990265">
      <w:pPr>
        <w:numPr>
          <w:ilvl w:val="0"/>
          <w:numId w:val="1"/>
        </w:numPr>
        <w:spacing w:after="0" w:line="480" w:lineRule="auto"/>
        <w:jc w:val="both"/>
        <w:rPr>
          <w:rFonts w:ascii="Times New Roman" w:hAnsi="Times New Roman" w:cs="Times New Roman"/>
          <w:b/>
          <w:sz w:val="24"/>
          <w:szCs w:val="24"/>
        </w:rPr>
      </w:pPr>
      <w:r w:rsidRPr="006E5DCD">
        <w:rPr>
          <w:rFonts w:ascii="Times New Roman" w:hAnsi="Times New Roman" w:cs="Times New Roman"/>
          <w:sz w:val="24"/>
          <w:szCs w:val="24"/>
        </w:rPr>
        <w:t>σ is standard deviation of returns</w:t>
      </w:r>
    </w:p>
    <w:p w14:paraId="6BC3B5D2" w14:textId="77777777" w:rsidR="007B399B" w:rsidRPr="006E5DCD" w:rsidRDefault="007B399B" w:rsidP="00990265">
      <w:pPr>
        <w:numPr>
          <w:ilvl w:val="0"/>
          <w:numId w:val="1"/>
        </w:numPr>
        <w:spacing w:after="0" w:line="480" w:lineRule="auto"/>
        <w:jc w:val="both"/>
        <w:rPr>
          <w:rFonts w:ascii="Times New Roman" w:hAnsi="Times New Roman" w:cs="Times New Roman"/>
          <w:b/>
          <w:sz w:val="24"/>
          <w:szCs w:val="24"/>
        </w:rPr>
      </w:pPr>
      <w:r w:rsidRPr="006E5DCD">
        <w:rPr>
          <w:rFonts w:ascii="Times New Roman" w:hAnsi="Times New Roman" w:cs="Times New Roman"/>
          <w:sz w:val="24"/>
          <w:szCs w:val="24"/>
        </w:rPr>
        <w:lastRenderedPageBreak/>
        <w:t>W is standard Brownian motion</w:t>
      </w:r>
    </w:p>
    <w:p w14:paraId="4E232110" w14:textId="77777777" w:rsidR="007B399B" w:rsidRPr="006E5DCD" w:rsidRDefault="007B399B" w:rsidP="007B399B">
      <w:pPr>
        <w:spacing w:line="480" w:lineRule="auto"/>
        <w:jc w:val="both"/>
        <w:rPr>
          <w:rFonts w:ascii="Times New Roman" w:hAnsi="Times New Roman" w:cs="Times New Roman"/>
          <w:sz w:val="24"/>
          <w:szCs w:val="24"/>
        </w:rPr>
      </w:pPr>
    </w:p>
    <w:p w14:paraId="34B852AE"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For any initial value S (0) above mentioned equation has solution</w:t>
      </w:r>
    </w:p>
    <w:p w14:paraId="1E48BE52"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                 </w:t>
      </w:r>
      <w:r w:rsidRPr="006E5DCD">
        <w:rPr>
          <w:rFonts w:ascii="Times New Roman" w:hAnsi="Times New Roman" w:cs="Times New Roman"/>
          <w:position w:val="-10"/>
          <w:sz w:val="24"/>
          <w:szCs w:val="24"/>
        </w:rPr>
        <w:object w:dxaOrig="2760" w:dyaOrig="320" w14:anchorId="606CDB5E">
          <v:shape id="_x0000_i1056" type="#_x0000_t75" style="width:137.25pt;height:15pt" o:ole="">
            <v:imagedata r:id="rId99" o:title=""/>
          </v:shape>
          <o:OLEObject Type="Embed" ProgID="Equation.3" ShapeID="_x0000_i1056" DrawAspect="Content" ObjectID="_1704578328" r:id="rId100"/>
        </w:object>
      </w:r>
      <w:r w:rsidRPr="006E5DCD">
        <w:rPr>
          <w:rFonts w:ascii="Times New Roman" w:hAnsi="Times New Roman" w:cs="Times New Roman"/>
          <w:sz w:val="24"/>
          <w:szCs w:val="24"/>
        </w:rPr>
        <w:t xml:space="preserve">                            </w:t>
      </w:r>
    </w:p>
    <w:p w14:paraId="67BA12D9" w14:textId="77777777" w:rsidR="007B399B" w:rsidRPr="006E5DCD" w:rsidRDefault="007B399B" w:rsidP="007B399B">
      <w:pPr>
        <w:spacing w:line="48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With </w:t>
      </w:r>
      <m:oMath>
        <m:r>
          <w:rPr>
            <w:rFonts w:ascii="Cambria Math" w:hAnsi="Cambria Math" w:cs="Times New Roman"/>
            <w:sz w:val="24"/>
            <w:szCs w:val="24"/>
          </w:rPr>
          <m:t>μ=α+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6E5DCD">
        <w:rPr>
          <w:rFonts w:ascii="Times New Roman" w:hAnsi="Times New Roman" w:cs="Times New Roman"/>
          <w:sz w:val="24"/>
          <w:szCs w:val="24"/>
        </w:rPr>
        <w:t xml:space="preserve"> is obtained by applying Ito’s lemma.</w:t>
      </w:r>
    </w:p>
    <w:p w14:paraId="6871FE79" w14:textId="77777777" w:rsidR="007B399B" w:rsidRPr="006E5DCD" w:rsidRDefault="007B399B" w:rsidP="007B399B">
      <w:pPr>
        <w:pStyle w:val="Heading2"/>
        <w:jc w:val="both"/>
        <w:rPr>
          <w:rFonts w:ascii="Times New Roman" w:hAnsi="Times New Roman" w:cs="Times New Roman"/>
          <w:sz w:val="24"/>
          <w:szCs w:val="24"/>
        </w:rPr>
      </w:pPr>
      <w:bookmarkStart w:id="171" w:name="_Toc326066083"/>
      <w:bookmarkStart w:id="172" w:name="_Toc357670946"/>
      <w:bookmarkStart w:id="173" w:name="_Toc11914213"/>
      <w:bookmarkStart w:id="174" w:name="_Toc90499998"/>
      <w:r>
        <w:rPr>
          <w:rFonts w:ascii="Times New Roman" w:hAnsi="Times New Roman" w:cs="Times New Roman"/>
          <w:sz w:val="24"/>
          <w:szCs w:val="24"/>
        </w:rPr>
        <w:t xml:space="preserve">3.2.3 </w:t>
      </w:r>
      <w:r w:rsidRPr="006E5DCD">
        <w:rPr>
          <w:rFonts w:ascii="Times New Roman" w:hAnsi="Times New Roman" w:cs="Times New Roman"/>
          <w:sz w:val="24"/>
          <w:szCs w:val="24"/>
        </w:rPr>
        <w:t>Variations of Brownian Motion:</w:t>
      </w:r>
      <w:bookmarkEnd w:id="171"/>
      <w:bookmarkEnd w:id="172"/>
      <w:bookmarkEnd w:id="173"/>
      <w:bookmarkEnd w:id="174"/>
    </w:p>
    <w:p w14:paraId="783C5A85" w14:textId="77777777" w:rsidR="007B399B" w:rsidRPr="006E5DCD" w:rsidRDefault="007B399B" w:rsidP="007B399B">
      <w:pPr>
        <w:jc w:val="both"/>
        <w:rPr>
          <w:rFonts w:ascii="Times New Roman" w:hAnsi="Times New Roman" w:cs="Times New Roman"/>
          <w:sz w:val="24"/>
          <w:szCs w:val="24"/>
        </w:rPr>
      </w:pPr>
    </w:p>
    <w:p w14:paraId="3E69961B" w14:textId="57A80BB1" w:rsidR="007B399B" w:rsidRPr="006E5DCD" w:rsidRDefault="007B399B" w:rsidP="007B399B">
      <w:pPr>
        <w:autoSpaceDE w:val="0"/>
        <w:autoSpaceDN w:val="0"/>
        <w:adjustRightInd w:val="0"/>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Since the situation of world in general and of financial market in particular is not same all the </w:t>
      </w:r>
      <w:r w:rsidR="002268C9" w:rsidRPr="006E5DCD">
        <w:rPr>
          <w:rFonts w:ascii="Times New Roman" w:hAnsi="Times New Roman" w:cs="Times New Roman"/>
          <w:sz w:val="24"/>
          <w:szCs w:val="24"/>
        </w:rPr>
        <w:t>time</w:t>
      </w:r>
      <w:r w:rsidRPr="006E5DCD">
        <w:rPr>
          <w:rFonts w:ascii="Times New Roman" w:hAnsi="Times New Roman" w:cs="Times New Roman"/>
          <w:sz w:val="24"/>
          <w:szCs w:val="24"/>
        </w:rPr>
        <w:t xml:space="preserve"> thus element of risk increases or decreases with the time and so returns associated with these factors vary in each situation which does not support the assumption that returns are identically distributed as the standard deviation of returns will vary during different periods which will be less when markets are stable and increased during the period of instability. Benoit Mandelbrot, as cited by John </w:t>
      </w:r>
      <w:proofErr w:type="spellStart"/>
      <w:r w:rsidRPr="006E5DCD">
        <w:rPr>
          <w:rFonts w:ascii="Times New Roman" w:hAnsi="Times New Roman" w:cs="Times New Roman"/>
          <w:sz w:val="24"/>
          <w:szCs w:val="24"/>
        </w:rPr>
        <w:t>Norstadt</w:t>
      </w:r>
      <w:proofErr w:type="spellEnd"/>
      <w:r w:rsidRPr="006E5DCD">
        <w:rPr>
          <w:rFonts w:ascii="Times New Roman" w:hAnsi="Times New Roman" w:cs="Times New Roman"/>
          <w:sz w:val="24"/>
          <w:szCs w:val="24"/>
        </w:rPr>
        <w:t xml:space="preserve"> (2005), believe that returns most likely have a fractal </w:t>
      </w:r>
      <w:r w:rsidR="002268C9" w:rsidRPr="006E5DCD">
        <w:rPr>
          <w:rFonts w:ascii="Times New Roman" w:hAnsi="Times New Roman" w:cs="Times New Roman"/>
          <w:sz w:val="24"/>
          <w:szCs w:val="24"/>
        </w:rPr>
        <w:t>distribution,</w:t>
      </w:r>
      <w:r w:rsidRPr="006E5DCD">
        <w:rPr>
          <w:rFonts w:ascii="Times New Roman" w:hAnsi="Times New Roman" w:cs="Times New Roman"/>
          <w:sz w:val="24"/>
          <w:szCs w:val="24"/>
        </w:rPr>
        <w:t xml:space="preserve"> a key property of such distribution is that it has infinite </w:t>
      </w:r>
      <w:r w:rsidR="002268C9" w:rsidRPr="006E5DCD">
        <w:rPr>
          <w:rFonts w:ascii="Times New Roman" w:hAnsi="Times New Roman" w:cs="Times New Roman"/>
          <w:sz w:val="24"/>
          <w:szCs w:val="24"/>
        </w:rPr>
        <w:t>variance which</w:t>
      </w:r>
      <w:r w:rsidRPr="006E5DCD">
        <w:rPr>
          <w:rFonts w:ascii="Times New Roman" w:hAnsi="Times New Roman" w:cs="Times New Roman"/>
          <w:sz w:val="24"/>
          <w:szCs w:val="24"/>
        </w:rPr>
        <w:t xml:space="preserve"> is against the assumption </w:t>
      </w:r>
      <w:r w:rsidR="002268C9" w:rsidRPr="006E5DCD">
        <w:rPr>
          <w:rFonts w:ascii="Times New Roman" w:hAnsi="Times New Roman" w:cs="Times New Roman"/>
          <w:sz w:val="24"/>
          <w:szCs w:val="24"/>
        </w:rPr>
        <w:t>of a</w:t>
      </w:r>
      <w:r w:rsidRPr="006E5DCD">
        <w:rPr>
          <w:rFonts w:ascii="Times New Roman" w:hAnsi="Times New Roman" w:cs="Times New Roman"/>
          <w:sz w:val="24"/>
          <w:szCs w:val="24"/>
        </w:rPr>
        <w:t xml:space="preserve"> Random Walk Model that returns have a finite variance.</w:t>
      </w:r>
    </w:p>
    <w:p w14:paraId="73B051F6" w14:textId="77777777" w:rsidR="007B399B" w:rsidRDefault="007B399B" w:rsidP="007B399B">
      <w:pPr>
        <w:spacing w:line="360" w:lineRule="auto"/>
        <w:jc w:val="both"/>
        <w:rPr>
          <w:rFonts w:ascii="Times New Roman" w:hAnsi="Times New Roman" w:cs="Times New Roman"/>
          <w:sz w:val="24"/>
          <w:szCs w:val="24"/>
        </w:rPr>
      </w:pPr>
      <w:proofErr w:type="spellStart"/>
      <w:r w:rsidRPr="006E5DCD">
        <w:rPr>
          <w:rFonts w:ascii="Times New Roman" w:hAnsi="Times New Roman" w:cs="Times New Roman"/>
          <w:sz w:val="24"/>
          <w:szCs w:val="24"/>
        </w:rPr>
        <w:t>Bachelier’s</w:t>
      </w:r>
      <w:proofErr w:type="spellEnd"/>
      <w:r w:rsidRPr="006E5DCD">
        <w:rPr>
          <w:rFonts w:ascii="Times New Roman" w:hAnsi="Times New Roman" w:cs="Times New Roman"/>
          <w:sz w:val="24"/>
          <w:szCs w:val="24"/>
        </w:rPr>
        <w:t xml:space="preserve"> seminal work for finance was almost unnoticed till 1950. By the evolution in computing technology and Economics and Finance, researchers and academics started thinking along those lines. Following </w:t>
      </w:r>
      <w:proofErr w:type="spellStart"/>
      <w:r w:rsidRPr="006E5DCD">
        <w:rPr>
          <w:rFonts w:ascii="Times New Roman" w:hAnsi="Times New Roman" w:cs="Times New Roman"/>
          <w:sz w:val="24"/>
          <w:szCs w:val="24"/>
        </w:rPr>
        <w:t>Bachelier’s</w:t>
      </w:r>
      <w:proofErr w:type="spellEnd"/>
      <w:r w:rsidRPr="006E5DCD">
        <w:rPr>
          <w:rFonts w:ascii="Times New Roman" w:hAnsi="Times New Roman" w:cs="Times New Roman"/>
          <w:sz w:val="24"/>
          <w:szCs w:val="24"/>
        </w:rPr>
        <w:t xml:space="preserve"> work, several improved models for asset pricing, derivatives and interest rates were developed.  The Table below presents a snapshot of different variations of GBM model which are applied to price different financial instruments and their underlying volatility:</w:t>
      </w:r>
    </w:p>
    <w:p w14:paraId="4E45477F" w14:textId="64D56009" w:rsidR="007B399B" w:rsidRDefault="007B399B" w:rsidP="007B399B">
      <w:pPr>
        <w:spacing w:line="360" w:lineRule="auto"/>
        <w:jc w:val="both"/>
        <w:rPr>
          <w:rFonts w:ascii="Times New Roman" w:hAnsi="Times New Roman" w:cs="Times New Roman"/>
          <w:sz w:val="24"/>
          <w:szCs w:val="24"/>
        </w:rPr>
      </w:pPr>
    </w:p>
    <w:p w14:paraId="68D23832" w14:textId="63C2CAD3" w:rsidR="002268C9" w:rsidRDefault="002268C9" w:rsidP="007B399B">
      <w:pPr>
        <w:spacing w:line="360" w:lineRule="auto"/>
        <w:jc w:val="both"/>
        <w:rPr>
          <w:rFonts w:ascii="Times New Roman" w:hAnsi="Times New Roman" w:cs="Times New Roman"/>
          <w:sz w:val="24"/>
          <w:szCs w:val="24"/>
        </w:rPr>
      </w:pPr>
    </w:p>
    <w:p w14:paraId="42EBF9BD" w14:textId="71D88F84" w:rsidR="002268C9" w:rsidRDefault="002268C9" w:rsidP="007B399B">
      <w:pPr>
        <w:spacing w:line="360" w:lineRule="auto"/>
        <w:jc w:val="both"/>
        <w:rPr>
          <w:rFonts w:ascii="Times New Roman" w:hAnsi="Times New Roman" w:cs="Times New Roman"/>
          <w:sz w:val="24"/>
          <w:szCs w:val="24"/>
        </w:rPr>
      </w:pPr>
    </w:p>
    <w:p w14:paraId="1C069C36" w14:textId="44A394C4" w:rsidR="002268C9" w:rsidRDefault="002268C9" w:rsidP="007B399B">
      <w:pPr>
        <w:spacing w:line="360" w:lineRule="auto"/>
        <w:jc w:val="both"/>
        <w:rPr>
          <w:rFonts w:ascii="Times New Roman" w:hAnsi="Times New Roman" w:cs="Times New Roman"/>
          <w:sz w:val="24"/>
          <w:szCs w:val="24"/>
        </w:rPr>
      </w:pPr>
    </w:p>
    <w:p w14:paraId="528EF22D" w14:textId="77777777" w:rsidR="002268C9" w:rsidRPr="006E5DCD" w:rsidRDefault="002268C9" w:rsidP="007B399B">
      <w:pPr>
        <w:spacing w:line="360" w:lineRule="auto"/>
        <w:jc w:val="both"/>
        <w:rPr>
          <w:rFonts w:ascii="Times New Roman" w:hAnsi="Times New Roman" w:cs="Times New Roman"/>
          <w:sz w:val="24"/>
          <w:szCs w:val="24"/>
        </w:rPr>
      </w:pPr>
    </w:p>
    <w:p w14:paraId="5B823221" w14:textId="5A6BDEA6" w:rsidR="00CD12E9" w:rsidRPr="00CD12E9" w:rsidRDefault="00CD12E9" w:rsidP="00CD12E9">
      <w:pPr>
        <w:pStyle w:val="Caption"/>
        <w:keepNext/>
        <w:rPr>
          <w:rFonts w:ascii="Times New Roman" w:hAnsi="Times New Roman" w:cs="Times New Roman"/>
          <w:color w:val="auto"/>
          <w:sz w:val="24"/>
          <w:szCs w:val="24"/>
        </w:rPr>
      </w:pPr>
      <w:r w:rsidRPr="00CD12E9">
        <w:rPr>
          <w:rFonts w:ascii="Times New Roman" w:hAnsi="Times New Roman" w:cs="Times New Roman"/>
          <w:color w:val="auto"/>
          <w:sz w:val="24"/>
          <w:szCs w:val="24"/>
        </w:rPr>
        <w:lastRenderedPageBreak/>
        <w:t>Table 3.2.1 Some variations of Brownian Motion.</w:t>
      </w:r>
    </w:p>
    <w:tbl>
      <w:tblPr>
        <w:tblStyle w:val="TableGrid"/>
        <w:tblW w:w="9576" w:type="dxa"/>
        <w:tblLayout w:type="fixed"/>
        <w:tblLook w:val="04A0" w:firstRow="1" w:lastRow="0" w:firstColumn="1" w:lastColumn="0" w:noHBand="0" w:noVBand="1"/>
      </w:tblPr>
      <w:tblGrid>
        <w:gridCol w:w="1696"/>
        <w:gridCol w:w="3090"/>
        <w:gridCol w:w="1134"/>
        <w:gridCol w:w="1418"/>
        <w:gridCol w:w="2238"/>
      </w:tblGrid>
      <w:tr w:rsidR="007B399B" w:rsidRPr="006E5DCD" w14:paraId="0D81AFFD" w14:textId="77777777" w:rsidTr="002E143B">
        <w:trPr>
          <w:trHeight w:val="113"/>
        </w:trPr>
        <w:tc>
          <w:tcPr>
            <w:tcW w:w="1696" w:type="dxa"/>
          </w:tcPr>
          <w:p w14:paraId="52D4BA2A" w14:textId="77777777" w:rsidR="007B399B" w:rsidRPr="006E5DCD" w:rsidRDefault="007B399B" w:rsidP="002E143B">
            <w:pPr>
              <w:spacing w:line="360" w:lineRule="auto"/>
              <w:jc w:val="center"/>
              <w:rPr>
                <w:rFonts w:ascii="Times New Roman" w:hAnsi="Times New Roman" w:cs="Times New Roman"/>
                <w:b/>
                <w:sz w:val="24"/>
                <w:szCs w:val="24"/>
              </w:rPr>
            </w:pPr>
            <w:r w:rsidRPr="006E5DCD">
              <w:rPr>
                <w:rFonts w:ascii="Times New Roman" w:hAnsi="Times New Roman" w:cs="Times New Roman"/>
                <w:b/>
                <w:sz w:val="24"/>
                <w:szCs w:val="24"/>
              </w:rPr>
              <w:t>Name</w:t>
            </w:r>
          </w:p>
        </w:tc>
        <w:tc>
          <w:tcPr>
            <w:tcW w:w="3090" w:type="dxa"/>
          </w:tcPr>
          <w:p w14:paraId="45F6ADBB" w14:textId="77777777" w:rsidR="007B399B" w:rsidRPr="006E5DCD" w:rsidRDefault="007B399B" w:rsidP="002E143B">
            <w:pPr>
              <w:spacing w:line="360" w:lineRule="auto"/>
              <w:jc w:val="center"/>
              <w:rPr>
                <w:rFonts w:ascii="Times New Roman" w:hAnsi="Times New Roman" w:cs="Times New Roman"/>
                <w:b/>
                <w:sz w:val="24"/>
                <w:szCs w:val="24"/>
              </w:rPr>
            </w:pPr>
            <w:r w:rsidRPr="006E5DCD">
              <w:rPr>
                <w:rFonts w:ascii="Times New Roman" w:hAnsi="Times New Roman" w:cs="Times New Roman"/>
                <w:b/>
                <w:sz w:val="24"/>
                <w:szCs w:val="24"/>
              </w:rPr>
              <w:t>Model</w:t>
            </w:r>
          </w:p>
        </w:tc>
        <w:tc>
          <w:tcPr>
            <w:tcW w:w="1134" w:type="dxa"/>
          </w:tcPr>
          <w:p w14:paraId="2373BBEC" w14:textId="77777777" w:rsidR="007B399B" w:rsidRPr="006E5DCD" w:rsidRDefault="007B399B" w:rsidP="002E143B">
            <w:pPr>
              <w:spacing w:line="360" w:lineRule="auto"/>
              <w:jc w:val="center"/>
              <w:rPr>
                <w:rFonts w:ascii="Times New Roman" w:hAnsi="Times New Roman" w:cs="Times New Roman"/>
                <w:b/>
                <w:sz w:val="24"/>
                <w:szCs w:val="24"/>
              </w:rPr>
            </w:pPr>
            <w:r w:rsidRPr="006E5DCD">
              <w:rPr>
                <w:rFonts w:ascii="Times New Roman" w:hAnsi="Times New Roman" w:cs="Times New Roman"/>
                <w:b/>
                <w:sz w:val="24"/>
                <w:szCs w:val="24"/>
              </w:rPr>
              <w:t>EXTRA FACTOR</w:t>
            </w:r>
          </w:p>
        </w:tc>
        <w:tc>
          <w:tcPr>
            <w:tcW w:w="1418" w:type="dxa"/>
          </w:tcPr>
          <w:p w14:paraId="29FD102C" w14:textId="77777777" w:rsidR="007B399B" w:rsidRPr="006E5DCD" w:rsidRDefault="007B399B" w:rsidP="002E143B">
            <w:pPr>
              <w:spacing w:line="360" w:lineRule="auto"/>
              <w:jc w:val="center"/>
              <w:rPr>
                <w:rFonts w:ascii="Times New Roman" w:hAnsi="Times New Roman" w:cs="Times New Roman"/>
                <w:b/>
                <w:sz w:val="24"/>
                <w:szCs w:val="24"/>
              </w:rPr>
            </w:pPr>
            <w:r w:rsidRPr="006E5DCD">
              <w:rPr>
                <w:rFonts w:ascii="Times New Roman" w:hAnsi="Times New Roman" w:cs="Times New Roman"/>
                <w:b/>
                <w:sz w:val="24"/>
                <w:szCs w:val="24"/>
              </w:rPr>
              <w:t>Application in Pricing</w:t>
            </w:r>
          </w:p>
        </w:tc>
        <w:tc>
          <w:tcPr>
            <w:tcW w:w="2238" w:type="dxa"/>
          </w:tcPr>
          <w:p w14:paraId="6C622DBD" w14:textId="77777777" w:rsidR="007B399B" w:rsidRPr="006E5DCD" w:rsidRDefault="007B399B" w:rsidP="002E143B">
            <w:pPr>
              <w:spacing w:line="360" w:lineRule="auto"/>
              <w:jc w:val="center"/>
              <w:rPr>
                <w:rFonts w:ascii="Times New Roman" w:hAnsi="Times New Roman" w:cs="Times New Roman"/>
                <w:b/>
                <w:sz w:val="24"/>
                <w:szCs w:val="24"/>
              </w:rPr>
            </w:pPr>
            <w:r w:rsidRPr="006E5DCD">
              <w:rPr>
                <w:rFonts w:ascii="Times New Roman" w:hAnsi="Times New Roman" w:cs="Times New Roman"/>
                <w:b/>
                <w:sz w:val="24"/>
                <w:szCs w:val="24"/>
              </w:rPr>
              <w:t>Limitations</w:t>
            </w:r>
          </w:p>
        </w:tc>
      </w:tr>
      <w:tr w:rsidR="007B399B" w:rsidRPr="006E5DCD" w14:paraId="41332F23" w14:textId="77777777" w:rsidTr="002E143B">
        <w:tc>
          <w:tcPr>
            <w:tcW w:w="1696" w:type="dxa"/>
          </w:tcPr>
          <w:p w14:paraId="434927FE"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GBM</w:t>
            </w:r>
          </w:p>
        </w:tc>
        <w:tc>
          <w:tcPr>
            <w:tcW w:w="3090" w:type="dxa"/>
          </w:tcPr>
          <w:p w14:paraId="6890261E"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position w:val="-10"/>
                <w:sz w:val="24"/>
                <w:szCs w:val="24"/>
              </w:rPr>
              <w:object w:dxaOrig="1900" w:dyaOrig="320" w14:anchorId="4B2883C8">
                <v:shape id="_x0000_i1057" type="#_x0000_t75" style="width:93.75pt;height:15pt" o:ole="">
                  <v:imagedata r:id="rId101" o:title=""/>
                </v:shape>
                <o:OLEObject Type="Embed" ProgID="Equation.3" ShapeID="_x0000_i1057" DrawAspect="Content" ObjectID="_1704578329" r:id="rId102"/>
              </w:object>
            </w:r>
          </w:p>
        </w:tc>
        <w:tc>
          <w:tcPr>
            <w:tcW w:w="1134" w:type="dxa"/>
          </w:tcPr>
          <w:p w14:paraId="7D134DD9" w14:textId="77777777" w:rsidR="007B399B" w:rsidRPr="006E5DCD" w:rsidRDefault="007B399B" w:rsidP="002E143B">
            <w:pPr>
              <w:spacing w:line="360" w:lineRule="auto"/>
              <w:rPr>
                <w:rFonts w:ascii="Times New Roman" w:hAnsi="Times New Roman" w:cs="Times New Roman"/>
                <w:sz w:val="24"/>
                <w:szCs w:val="24"/>
              </w:rPr>
            </w:pPr>
          </w:p>
        </w:tc>
        <w:tc>
          <w:tcPr>
            <w:tcW w:w="1418" w:type="dxa"/>
          </w:tcPr>
          <w:p w14:paraId="689E6ED2"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 xml:space="preserve">Stock </w:t>
            </w:r>
          </w:p>
        </w:tc>
        <w:tc>
          <w:tcPr>
            <w:tcW w:w="2238" w:type="dxa"/>
          </w:tcPr>
          <w:p w14:paraId="210E6B32"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The returns are not Normally distributed</w:t>
            </w:r>
          </w:p>
        </w:tc>
      </w:tr>
      <w:tr w:rsidR="007B399B" w:rsidRPr="006E5DCD" w14:paraId="0A866721" w14:textId="77777777" w:rsidTr="002E143B">
        <w:tc>
          <w:tcPr>
            <w:tcW w:w="1696" w:type="dxa"/>
          </w:tcPr>
          <w:p w14:paraId="63A4209D"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CEV (1975)</w:t>
            </w:r>
          </w:p>
        </w:tc>
        <w:tc>
          <w:tcPr>
            <w:tcW w:w="3090" w:type="dxa"/>
          </w:tcPr>
          <w:p w14:paraId="2A840B24" w14:textId="77777777" w:rsidR="007B399B" w:rsidRPr="006E5DCD" w:rsidRDefault="007B399B" w:rsidP="002E143B">
            <w:pPr>
              <w:spacing w:line="360" w:lineRule="auto"/>
              <w:rPr>
                <w:rFonts w:ascii="Times New Roman" w:hAnsi="Times New Roman" w:cs="Times New Roman"/>
                <w:sz w:val="24"/>
                <w:szCs w:val="24"/>
              </w:rPr>
            </w:pPr>
            <m:oMathPara>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 μ</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dt+σ</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m:oMathPara>
          </w:p>
        </w:tc>
        <w:tc>
          <w:tcPr>
            <w:tcW w:w="1134" w:type="dxa"/>
          </w:tcPr>
          <w:p w14:paraId="26AC3155"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α ≥0</w:t>
            </w:r>
          </w:p>
        </w:tc>
        <w:tc>
          <w:tcPr>
            <w:tcW w:w="1418" w:type="dxa"/>
          </w:tcPr>
          <w:p w14:paraId="36ED47C5"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Stock, Commodities</w:t>
            </w:r>
          </w:p>
        </w:tc>
        <w:tc>
          <w:tcPr>
            <w:tcW w:w="2238" w:type="dxa"/>
          </w:tcPr>
          <w:p w14:paraId="47E72BC1"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Assumes a positive probability of stock price being zero.</w:t>
            </w:r>
          </w:p>
        </w:tc>
      </w:tr>
      <w:tr w:rsidR="007B399B" w:rsidRPr="006E5DCD" w14:paraId="3916E88E" w14:textId="77777777" w:rsidTr="002E143B">
        <w:tc>
          <w:tcPr>
            <w:tcW w:w="1696" w:type="dxa"/>
          </w:tcPr>
          <w:p w14:paraId="612F128F"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CIR (1985)</w:t>
            </w:r>
          </w:p>
        </w:tc>
        <w:tc>
          <w:tcPr>
            <w:tcW w:w="3090" w:type="dxa"/>
          </w:tcPr>
          <w:p w14:paraId="65E7F347" w14:textId="77777777" w:rsidR="007B399B" w:rsidRPr="006E5DCD" w:rsidRDefault="007B399B" w:rsidP="002E143B">
            <w:pPr>
              <w:spacing w:line="360" w:lineRule="auto"/>
              <w:rPr>
                <w:rFonts w:ascii="Times New Roman" w:hAnsi="Times New Roman" w:cs="Times New Roman"/>
                <w:sz w:val="24"/>
                <w:szCs w:val="24"/>
              </w:rPr>
            </w:pPr>
            <m:oMathPara>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=k(μ-</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)dt+σ</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ra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m:oMathPara>
          </w:p>
        </w:tc>
        <w:tc>
          <w:tcPr>
            <w:tcW w:w="1134" w:type="dxa"/>
          </w:tcPr>
          <w:p w14:paraId="0E6CEA40" w14:textId="77777777" w:rsidR="007B399B" w:rsidRPr="006E5DCD" w:rsidRDefault="007B399B" w:rsidP="002E143B">
            <w:pPr>
              <w:spacing w:line="360" w:lineRule="auto"/>
              <w:rPr>
                <w:rFonts w:ascii="Times New Roman" w:hAnsi="Times New Roman" w:cs="Times New Roman"/>
                <w:sz w:val="24"/>
                <w:szCs w:val="24"/>
              </w:rPr>
            </w:pPr>
            <w:proofErr w:type="gramStart"/>
            <w:r w:rsidRPr="006E5DCD">
              <w:rPr>
                <w:rFonts w:ascii="Times New Roman" w:hAnsi="Times New Roman" w:cs="Times New Roman"/>
                <w:sz w:val="24"/>
                <w:szCs w:val="24"/>
              </w:rPr>
              <w:t>k,α</w:t>
            </w:r>
            <w:proofErr w:type="gramEnd"/>
            <w:r w:rsidRPr="006E5DCD">
              <w:rPr>
                <w:rFonts w:ascii="Times New Roman" w:hAnsi="Times New Roman" w:cs="Times New Roman"/>
                <w:sz w:val="24"/>
                <w:szCs w:val="24"/>
              </w:rPr>
              <w:t>=1/2</w:t>
            </w:r>
          </w:p>
        </w:tc>
        <w:tc>
          <w:tcPr>
            <w:tcW w:w="1418" w:type="dxa"/>
          </w:tcPr>
          <w:p w14:paraId="03634B9B"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Interest Rate, Volatility</w:t>
            </w:r>
          </w:p>
        </w:tc>
        <w:tc>
          <w:tcPr>
            <w:tcW w:w="2238" w:type="dxa"/>
          </w:tcPr>
          <w:p w14:paraId="13582F2F"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Accommodates only positive interest rates</w:t>
            </w:r>
          </w:p>
        </w:tc>
      </w:tr>
      <w:tr w:rsidR="007B399B" w:rsidRPr="006E5DCD" w14:paraId="72C6405D" w14:textId="77777777" w:rsidTr="002E143B">
        <w:tc>
          <w:tcPr>
            <w:tcW w:w="1696" w:type="dxa"/>
          </w:tcPr>
          <w:p w14:paraId="3EE45831"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HULL-</w:t>
            </w:r>
            <w:proofErr w:type="gramStart"/>
            <w:r w:rsidRPr="006E5DCD">
              <w:rPr>
                <w:rFonts w:ascii="Times New Roman" w:hAnsi="Times New Roman" w:cs="Times New Roman"/>
                <w:sz w:val="24"/>
                <w:szCs w:val="24"/>
              </w:rPr>
              <w:t>WHITE(</w:t>
            </w:r>
            <w:proofErr w:type="gramEnd"/>
            <w:r w:rsidRPr="006E5DCD">
              <w:rPr>
                <w:rFonts w:ascii="Times New Roman" w:hAnsi="Times New Roman" w:cs="Times New Roman"/>
                <w:sz w:val="24"/>
                <w:szCs w:val="24"/>
              </w:rPr>
              <w:t>1990)</w:t>
            </w:r>
          </w:p>
        </w:tc>
        <w:tc>
          <w:tcPr>
            <w:tcW w:w="3090" w:type="dxa"/>
          </w:tcPr>
          <w:p w14:paraId="59182A03" w14:textId="77777777" w:rsidR="007B399B" w:rsidRPr="006E5DCD" w:rsidRDefault="007B399B" w:rsidP="002E143B">
            <w:pPr>
              <w:spacing w:line="360" w:lineRule="auto"/>
              <w:rPr>
                <w:rFonts w:ascii="Times New Roman" w:hAnsi="Times New Roman" w:cs="Times New Roman"/>
                <w:sz w:val="24"/>
                <w:szCs w:val="24"/>
              </w:rPr>
            </w:pPr>
            <m:oMathPara>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)dt+σd</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m:oMathPara>
          </w:p>
          <w:p w14:paraId="0F10A99B" w14:textId="77777777" w:rsidR="007B399B" w:rsidRPr="006E5DCD" w:rsidRDefault="007B399B" w:rsidP="002E143B">
            <w:pPr>
              <w:spacing w:line="360" w:lineRule="auto"/>
              <w:rPr>
                <w:rFonts w:ascii="Times New Roman" w:hAnsi="Times New Roman" w:cs="Times New Roman"/>
                <w:sz w:val="24"/>
                <w:szCs w:val="24"/>
              </w:rPr>
            </w:pPr>
          </w:p>
        </w:tc>
        <w:tc>
          <w:tcPr>
            <w:tcW w:w="1134" w:type="dxa"/>
          </w:tcPr>
          <w:p w14:paraId="0D476419" w14:textId="77777777" w:rsidR="007B399B" w:rsidRPr="006E5DCD" w:rsidRDefault="002C15FD" w:rsidP="002E143B">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sub>
                </m:sSub>
              </m:oMath>
            </m:oMathPara>
          </w:p>
        </w:tc>
        <w:tc>
          <w:tcPr>
            <w:tcW w:w="1418" w:type="dxa"/>
          </w:tcPr>
          <w:p w14:paraId="06D7BCD2"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Interest Rate, Bonds</w:t>
            </w:r>
          </w:p>
        </w:tc>
        <w:tc>
          <w:tcPr>
            <w:tcW w:w="2238" w:type="dxa"/>
          </w:tcPr>
          <w:p w14:paraId="1D737E70"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Possibility of negative interest rates</w:t>
            </w:r>
          </w:p>
        </w:tc>
      </w:tr>
      <w:tr w:rsidR="007B399B" w:rsidRPr="006E5DCD" w14:paraId="289BC600" w14:textId="77777777" w:rsidTr="002E143B">
        <w:tc>
          <w:tcPr>
            <w:tcW w:w="1696" w:type="dxa"/>
          </w:tcPr>
          <w:p w14:paraId="3AA01A09"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HESTON (1993)</w:t>
            </w:r>
          </w:p>
        </w:tc>
        <w:tc>
          <w:tcPr>
            <w:tcW w:w="3090" w:type="dxa"/>
          </w:tcPr>
          <w:p w14:paraId="2B1394A0" w14:textId="77777777" w:rsidR="007B399B" w:rsidRPr="006E5DCD" w:rsidRDefault="007B399B" w:rsidP="002E143B">
            <w:pPr>
              <w:spacing w:line="360" w:lineRule="auto"/>
              <w:rPr>
                <w:rFonts w:ascii="Times New Roman" w:hAnsi="Times New Roman" w:cs="Times New Roman"/>
                <w:sz w:val="24"/>
                <w:szCs w:val="24"/>
              </w:rPr>
            </w:pPr>
            <m:oMathPara>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 μ</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dt+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rad>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t</m:t>
                    </m:r>
                  </m:sub>
                  <m:sup>
                    <m:r>
                      <w:rPr>
                        <w:rFonts w:ascii="Cambria Math" w:hAnsi="Cambria Math" w:cs="Times New Roman"/>
                        <w:sz w:val="24"/>
                        <w:szCs w:val="24"/>
                      </w:rPr>
                      <m:t>s</m:t>
                    </m:r>
                  </m:sup>
                </m:sSubSup>
              </m:oMath>
            </m:oMathPara>
          </w:p>
          <w:p w14:paraId="2939914C" w14:textId="77777777" w:rsidR="007B399B" w:rsidRPr="006E5DCD" w:rsidRDefault="007B399B" w:rsidP="002E143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&amp;</w:t>
            </w:r>
            <w:r w:rsidRPr="006E5DCD">
              <w:rPr>
                <w:rFonts w:ascii="Times New Roman" w:hAnsi="Times New Roman" w:cs="Times New Roman"/>
                <w:sz w:val="24"/>
                <w:szCs w:val="24"/>
              </w:rPr>
              <w:br/>
            </w:r>
            <m:oMathPara>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=k(σ-</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)dt+γ</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rad>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t</m:t>
                    </m:r>
                  </m:sub>
                  <m:sup>
                    <m:r>
                      <w:rPr>
                        <w:rFonts w:ascii="Cambria Math" w:hAnsi="Cambria Math" w:cs="Times New Roman"/>
                        <w:sz w:val="24"/>
                        <w:szCs w:val="24"/>
                      </w:rPr>
                      <m:t>v</m:t>
                    </m:r>
                  </m:sup>
                </m:sSubSup>
              </m:oMath>
            </m:oMathPara>
          </w:p>
          <w:p w14:paraId="2087DBEA" w14:textId="77777777" w:rsidR="007B399B" w:rsidRPr="006E5DCD" w:rsidRDefault="007B399B" w:rsidP="002E143B">
            <w:pPr>
              <w:spacing w:line="360" w:lineRule="auto"/>
              <w:rPr>
                <w:rFonts w:ascii="Times New Roman" w:hAnsi="Times New Roman" w:cs="Times New Roman"/>
                <w:sz w:val="24"/>
                <w:szCs w:val="24"/>
              </w:rPr>
            </w:pPr>
          </w:p>
        </w:tc>
        <w:tc>
          <w:tcPr>
            <w:tcW w:w="1134" w:type="dxa"/>
          </w:tcPr>
          <w:p w14:paraId="170C688B" w14:textId="77777777" w:rsidR="007B399B" w:rsidRPr="006E5DCD" w:rsidRDefault="002C15FD" w:rsidP="002E143B">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007B399B" w:rsidRPr="006E5DCD">
              <w:rPr>
                <w:rFonts w:ascii="Times New Roman" w:hAnsi="Times New Roman" w:cs="Times New Roman"/>
                <w:sz w:val="24"/>
                <w:szCs w:val="24"/>
              </w:rPr>
              <w:t xml:space="preserve"> is not constant</w:t>
            </w:r>
          </w:p>
        </w:tc>
        <w:tc>
          <w:tcPr>
            <w:tcW w:w="1418" w:type="dxa"/>
          </w:tcPr>
          <w:p w14:paraId="52134961"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Volatility</w:t>
            </w:r>
          </w:p>
        </w:tc>
        <w:tc>
          <w:tcPr>
            <w:tcW w:w="2238" w:type="dxa"/>
          </w:tcPr>
          <w:p w14:paraId="48F2E082"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Tricky to estimate parameters, not a good fit for small data set.</w:t>
            </w:r>
          </w:p>
        </w:tc>
      </w:tr>
      <w:tr w:rsidR="007B399B" w:rsidRPr="006E5DCD" w14:paraId="4ADA16FE" w14:textId="77777777" w:rsidTr="002E143B">
        <w:tc>
          <w:tcPr>
            <w:tcW w:w="1696" w:type="dxa"/>
          </w:tcPr>
          <w:p w14:paraId="7B07C19E" w14:textId="77777777" w:rsidR="007B399B" w:rsidRPr="006E5DCD" w:rsidRDefault="007B399B" w:rsidP="002E143B">
            <w:pPr>
              <w:spacing w:line="360" w:lineRule="auto"/>
              <w:rPr>
                <w:rFonts w:ascii="Times New Roman" w:hAnsi="Times New Roman" w:cs="Times New Roman"/>
                <w:sz w:val="24"/>
                <w:szCs w:val="24"/>
              </w:rPr>
            </w:pPr>
            <w:proofErr w:type="gramStart"/>
            <w:r w:rsidRPr="006E5DCD">
              <w:rPr>
                <w:rFonts w:ascii="Times New Roman" w:hAnsi="Times New Roman" w:cs="Times New Roman"/>
                <w:sz w:val="24"/>
                <w:szCs w:val="24"/>
              </w:rPr>
              <w:t>MRW(</w:t>
            </w:r>
            <w:proofErr w:type="gramEnd"/>
            <w:r w:rsidRPr="006E5DCD">
              <w:rPr>
                <w:rFonts w:ascii="Times New Roman" w:hAnsi="Times New Roman" w:cs="Times New Roman"/>
                <w:sz w:val="24"/>
                <w:szCs w:val="24"/>
              </w:rPr>
              <w:t>1997)</w:t>
            </w:r>
          </w:p>
        </w:tc>
        <w:tc>
          <w:tcPr>
            <w:tcW w:w="3090" w:type="dxa"/>
          </w:tcPr>
          <w:p w14:paraId="739BBF82" w14:textId="77777777" w:rsidR="007B399B" w:rsidRPr="006E5DCD" w:rsidRDefault="002C15FD" w:rsidP="002E143B">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t</m:t>
                    </m:r>
                  </m:sub>
                  <m:sup>
                    <m:r>
                      <w:rPr>
                        <w:rFonts w:ascii="Cambria Math" w:hAnsi="Cambria Math" w:cs="Times New Roman"/>
                        <w:sz w:val="24"/>
                        <w:szCs w:val="24"/>
                      </w:rPr>
                      <m:t>T</m:t>
                    </m:r>
                  </m:sup>
                </m:sSubSup>
                <m:r>
                  <w:rPr>
                    <w:rFonts w:ascii="Cambria Math" w:hAnsi="Cambria Math" w:cs="Times New Roman"/>
                    <w:sz w:val="24"/>
                    <w:szCs w:val="24"/>
                  </w:rPr>
                  <m:t>=μt-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δt+σ</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δt</m:t>
                    </m:r>
                  </m:sub>
                </m:sSub>
              </m:oMath>
            </m:oMathPara>
          </w:p>
          <w:p w14:paraId="390EDAD5" w14:textId="77777777" w:rsidR="007B399B" w:rsidRPr="006E5DCD" w:rsidRDefault="007B399B" w:rsidP="002E143B">
            <w:pPr>
              <w:spacing w:line="360" w:lineRule="auto"/>
              <w:rPr>
                <w:rFonts w:ascii="Times New Roman" w:hAnsi="Times New Roman" w:cs="Times New Roman"/>
                <w:sz w:val="24"/>
                <w:szCs w:val="24"/>
              </w:rPr>
            </w:pPr>
          </w:p>
        </w:tc>
        <w:tc>
          <w:tcPr>
            <w:tcW w:w="1134" w:type="dxa"/>
          </w:tcPr>
          <w:p w14:paraId="09EDF9EB"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 xml:space="preserve">T </w:t>
            </w:r>
          </w:p>
        </w:tc>
        <w:tc>
          <w:tcPr>
            <w:tcW w:w="1418" w:type="dxa"/>
          </w:tcPr>
          <w:p w14:paraId="09996C5D"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 xml:space="preserve">Volatility, </w:t>
            </w:r>
            <w:proofErr w:type="spellStart"/>
            <w:r w:rsidRPr="006E5DCD">
              <w:rPr>
                <w:rFonts w:ascii="Times New Roman" w:hAnsi="Times New Roman" w:cs="Times New Roman"/>
                <w:sz w:val="24"/>
                <w:szCs w:val="24"/>
              </w:rPr>
              <w:t>VaR</w:t>
            </w:r>
            <w:proofErr w:type="spellEnd"/>
          </w:p>
        </w:tc>
        <w:tc>
          <w:tcPr>
            <w:tcW w:w="2238" w:type="dxa"/>
          </w:tcPr>
          <w:p w14:paraId="5DDEE3E8"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 xml:space="preserve">Non-Stationary, Challenging to model realistic financial market </w:t>
            </w:r>
          </w:p>
        </w:tc>
      </w:tr>
      <w:tr w:rsidR="007B399B" w:rsidRPr="006E5DCD" w14:paraId="25605D07" w14:textId="77777777" w:rsidTr="002E143B">
        <w:tc>
          <w:tcPr>
            <w:tcW w:w="1696" w:type="dxa"/>
          </w:tcPr>
          <w:p w14:paraId="2BB0F4B4"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Jump Diffusion</w:t>
            </w:r>
          </w:p>
        </w:tc>
        <w:tc>
          <w:tcPr>
            <w:tcW w:w="3090" w:type="dxa"/>
          </w:tcPr>
          <w:p w14:paraId="3EA85C7B" w14:textId="77777777" w:rsidR="007B399B" w:rsidRPr="006E5DCD" w:rsidRDefault="007B399B" w:rsidP="002E143B">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dz</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dJ</m:t>
                </m:r>
                <m:d>
                  <m:dPr>
                    <m:ctrlPr>
                      <w:rPr>
                        <w:rFonts w:ascii="Cambria Math" w:hAnsi="Cambria Math" w:cs="Times New Roman"/>
                        <w:i/>
                        <w:sz w:val="24"/>
                        <w:szCs w:val="24"/>
                      </w:rPr>
                    </m:ctrlPr>
                  </m:dPr>
                  <m:e>
                    <m:r>
                      <w:rPr>
                        <w:rFonts w:ascii="Cambria Math" w:hAnsi="Cambria Math" w:cs="Times New Roman"/>
                        <w:sz w:val="24"/>
                        <w:szCs w:val="24"/>
                      </w:rPr>
                      <m:t>t</m:t>
                    </m:r>
                  </m:e>
                </m:d>
              </m:oMath>
            </m:oMathPara>
          </w:p>
          <w:p w14:paraId="5BF0B246" w14:textId="77777777" w:rsidR="007B399B" w:rsidRPr="006E5DCD" w:rsidRDefault="007B399B" w:rsidP="002E143B">
            <w:pPr>
              <w:spacing w:line="360" w:lineRule="auto"/>
              <w:jc w:val="both"/>
              <w:rPr>
                <w:rFonts w:ascii="Times New Roman" w:hAnsi="Times New Roman" w:cs="Times New Roman"/>
                <w:sz w:val="24"/>
                <w:szCs w:val="24"/>
              </w:rPr>
            </w:pPr>
            <m:oMath>
              <m:r>
                <w:rPr>
                  <w:rFonts w:ascii="Cambria Math" w:hAnsi="Cambria Math" w:cs="Times New Roman"/>
                  <w:sz w:val="24"/>
                  <w:szCs w:val="24"/>
                </w:rPr>
                <m:t>dJ</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YN</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m:t>
                  </m:r>
                </m:e>
              </m:d>
              <m:r>
                <w:rPr>
                  <w:rFonts w:ascii="Cambria Math" w:hAnsi="Cambria Math" w:cs="Times New Roman"/>
                  <w:sz w:val="24"/>
                  <w:szCs w:val="24"/>
                </w:rPr>
                <m:t>dN(t)</m:t>
              </m:r>
            </m:oMath>
            <w:r w:rsidRPr="006E5DCD">
              <w:rPr>
                <w:rFonts w:ascii="Times New Roman" w:hAnsi="Times New Roman" w:cs="Times New Roman"/>
                <w:sz w:val="24"/>
                <w:szCs w:val="24"/>
              </w:rPr>
              <w:t>,</w:t>
            </w:r>
          </w:p>
        </w:tc>
        <w:tc>
          <w:tcPr>
            <w:tcW w:w="1134" w:type="dxa"/>
          </w:tcPr>
          <w:p w14:paraId="3BF40E3B" w14:textId="77777777" w:rsidR="007B399B" w:rsidRPr="006E5DCD" w:rsidRDefault="007B399B" w:rsidP="002E143B">
            <w:pPr>
              <w:spacing w:line="360" w:lineRule="auto"/>
              <w:rPr>
                <w:rFonts w:ascii="Times New Roman" w:hAnsi="Times New Roman" w:cs="Times New Roman"/>
                <w:sz w:val="24"/>
                <w:szCs w:val="24"/>
              </w:rPr>
            </w:pPr>
            <w:proofErr w:type="spellStart"/>
            <w:r w:rsidRPr="006E5DCD">
              <w:rPr>
                <w:rFonts w:ascii="Times New Roman" w:hAnsi="Times New Roman" w:cs="Times New Roman"/>
                <w:sz w:val="24"/>
                <w:szCs w:val="24"/>
              </w:rPr>
              <w:t>dJ</w:t>
            </w:r>
            <w:proofErr w:type="spellEnd"/>
            <w:r w:rsidRPr="006E5DCD">
              <w:rPr>
                <w:rFonts w:ascii="Times New Roman" w:hAnsi="Times New Roman" w:cs="Times New Roman"/>
                <w:sz w:val="24"/>
                <w:szCs w:val="24"/>
              </w:rPr>
              <w:t>(t)</w:t>
            </w:r>
          </w:p>
        </w:tc>
        <w:tc>
          <w:tcPr>
            <w:tcW w:w="1418" w:type="dxa"/>
          </w:tcPr>
          <w:p w14:paraId="1CD2CF5E"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Option Pricing</w:t>
            </w:r>
          </w:p>
        </w:tc>
        <w:tc>
          <w:tcPr>
            <w:tcW w:w="2238" w:type="dxa"/>
          </w:tcPr>
          <w:p w14:paraId="5E6A0C22" w14:textId="77777777" w:rsidR="007B399B" w:rsidRPr="006E5DCD" w:rsidRDefault="007B399B" w:rsidP="002E143B">
            <w:pPr>
              <w:spacing w:line="360" w:lineRule="auto"/>
              <w:rPr>
                <w:rFonts w:ascii="Times New Roman" w:hAnsi="Times New Roman" w:cs="Times New Roman"/>
                <w:sz w:val="24"/>
                <w:szCs w:val="24"/>
              </w:rPr>
            </w:pPr>
            <w:r w:rsidRPr="006E5DCD">
              <w:rPr>
                <w:rFonts w:ascii="Times New Roman" w:hAnsi="Times New Roman" w:cs="Times New Roman"/>
                <w:sz w:val="24"/>
                <w:szCs w:val="24"/>
              </w:rPr>
              <w:t>Mixed density</w:t>
            </w:r>
          </w:p>
        </w:tc>
      </w:tr>
    </w:tbl>
    <w:p w14:paraId="5E3104B2" w14:textId="77777777" w:rsidR="007B399B" w:rsidRPr="006E5DCD" w:rsidRDefault="007B399B" w:rsidP="007B399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sidRPr="000A6F24">
        <w:rPr>
          <w:rFonts w:ascii="Times New Roman" w:hAnsi="Times New Roman" w:cs="Times New Roman"/>
          <w:sz w:val="24"/>
          <w:szCs w:val="24"/>
        </w:rPr>
        <w:t xml:space="preserve">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2016</w:t>
      </w:r>
    </w:p>
    <w:p w14:paraId="198E12C8" w14:textId="77777777" w:rsidR="007B399B" w:rsidRPr="006E5DCD" w:rsidRDefault="007B399B" w:rsidP="007B399B">
      <w:pPr>
        <w:spacing w:line="360" w:lineRule="auto"/>
        <w:jc w:val="both"/>
        <w:rPr>
          <w:rFonts w:ascii="Times New Roman" w:hAnsi="Times New Roman" w:cs="Times New Roman"/>
          <w:sz w:val="24"/>
          <w:szCs w:val="24"/>
        </w:rPr>
      </w:pPr>
    </w:p>
    <w:p w14:paraId="7A734EA1" w14:textId="161D2D8F" w:rsidR="007B399B" w:rsidRPr="000A6F24" w:rsidRDefault="007B399B" w:rsidP="007B399B">
      <w:pPr>
        <w:autoSpaceDE w:val="0"/>
        <w:autoSpaceDN w:val="0"/>
        <w:adjustRightInd w:val="0"/>
        <w:spacing w:line="360" w:lineRule="auto"/>
        <w:jc w:val="both"/>
        <w:rPr>
          <w:rFonts w:ascii="Times New Roman" w:hAnsi="Times New Roman" w:cs="Times New Roman"/>
          <w:sz w:val="24"/>
          <w:szCs w:val="24"/>
        </w:rPr>
      </w:pPr>
      <w:bookmarkStart w:id="175" w:name="_Toc11914247"/>
      <w:r w:rsidRPr="000A6F24">
        <w:rPr>
          <w:rFonts w:ascii="Times New Roman" w:hAnsi="Times New Roman" w:cs="Times New Roman"/>
          <w:sz w:val="24"/>
          <w:szCs w:val="24"/>
        </w:rPr>
        <w:t xml:space="preserve">Financial asset models </w:t>
      </w:r>
      <w:proofErr w:type="gramStart"/>
      <w:r w:rsidRPr="000A6F24">
        <w:rPr>
          <w:rFonts w:ascii="Times New Roman" w:hAnsi="Times New Roman" w:cs="Times New Roman"/>
          <w:sz w:val="24"/>
          <w:szCs w:val="24"/>
        </w:rPr>
        <w:t>has</w:t>
      </w:r>
      <w:proofErr w:type="gramEnd"/>
      <w:r w:rsidRPr="000A6F24">
        <w:rPr>
          <w:rFonts w:ascii="Times New Roman" w:hAnsi="Times New Roman" w:cs="Times New Roman"/>
          <w:sz w:val="24"/>
          <w:szCs w:val="24"/>
        </w:rPr>
        <w:t xml:space="preserve"> been also addressed by the development of Normal Inverse Gaussian Levy Process providing the explanation of the empirical scaling power law as in </w:t>
      </w:r>
      <w:proofErr w:type="spellStart"/>
      <w:r w:rsidRPr="000A6F24">
        <w:rPr>
          <w:rFonts w:ascii="Times New Roman" w:hAnsi="Times New Roman" w:cs="Times New Roman"/>
          <w:sz w:val="24"/>
          <w:szCs w:val="24"/>
        </w:rPr>
        <w:t>Barndorff</w:t>
      </w:r>
      <w:proofErr w:type="spellEnd"/>
      <w:r w:rsidRPr="000A6F24">
        <w:rPr>
          <w:rFonts w:ascii="Times New Roman" w:hAnsi="Times New Roman" w:cs="Times New Roman"/>
          <w:sz w:val="24"/>
          <w:szCs w:val="24"/>
        </w:rPr>
        <w:t xml:space="preserve">-Nielson </w:t>
      </w:r>
      <w:r w:rsidR="002268C9" w:rsidRPr="000A6F24">
        <w:rPr>
          <w:rFonts w:ascii="Times New Roman" w:hAnsi="Times New Roman" w:cs="Times New Roman"/>
          <w:sz w:val="24"/>
          <w:szCs w:val="24"/>
        </w:rPr>
        <w:t>(1997</w:t>
      </w:r>
      <w:r w:rsidRPr="000A6F24">
        <w:rPr>
          <w:rFonts w:ascii="Times New Roman" w:hAnsi="Times New Roman" w:cs="Times New Roman"/>
          <w:sz w:val="24"/>
          <w:szCs w:val="24"/>
        </w:rPr>
        <w:t>,</w:t>
      </w:r>
      <w:r w:rsidR="002268C9">
        <w:rPr>
          <w:rFonts w:ascii="Times New Roman" w:hAnsi="Times New Roman" w:cs="Times New Roman"/>
          <w:sz w:val="24"/>
          <w:szCs w:val="24"/>
        </w:rPr>
        <w:t xml:space="preserve"> </w:t>
      </w:r>
      <w:r w:rsidRPr="000A6F24">
        <w:rPr>
          <w:rFonts w:ascii="Times New Roman" w:hAnsi="Times New Roman" w:cs="Times New Roman"/>
          <w:sz w:val="24"/>
          <w:szCs w:val="24"/>
        </w:rPr>
        <w:t>1998a, 1998b</w:t>
      </w:r>
      <w:r w:rsidR="00AA6A82" w:rsidRPr="000A6F24">
        <w:rPr>
          <w:rFonts w:ascii="Times New Roman" w:hAnsi="Times New Roman" w:cs="Times New Roman"/>
          <w:sz w:val="24"/>
          <w:szCs w:val="24"/>
        </w:rPr>
        <w:t>). Alternatively</w:t>
      </w:r>
      <w:r w:rsidRPr="000A6F24">
        <w:rPr>
          <w:rFonts w:ascii="Times New Roman" w:hAnsi="Times New Roman" w:cs="Times New Roman"/>
          <w:sz w:val="24"/>
          <w:szCs w:val="24"/>
        </w:rPr>
        <w:t xml:space="preserve">, distributions that can account for </w:t>
      </w:r>
      <w:r w:rsidRPr="000A6F24">
        <w:rPr>
          <w:rFonts w:ascii="Times New Roman" w:hAnsi="Times New Roman" w:cs="Times New Roman"/>
          <w:sz w:val="24"/>
          <w:szCs w:val="24"/>
        </w:rPr>
        <w:lastRenderedPageBreak/>
        <w:t xml:space="preserve">skewness and kurtosis can be obtained by introducing skewness into a symmetric distribution that already contains a shape parameter. Examples of distributions obtained by this method are skew-t distributions (Hansen, 1994; Fernandez and Steel, 1998a; </w:t>
      </w:r>
      <w:proofErr w:type="spellStart"/>
      <w:r w:rsidRPr="000A6F24">
        <w:rPr>
          <w:rFonts w:ascii="Times New Roman" w:hAnsi="Times New Roman" w:cs="Times New Roman"/>
          <w:sz w:val="24"/>
          <w:szCs w:val="24"/>
        </w:rPr>
        <w:t>Azzalini</w:t>
      </w:r>
      <w:proofErr w:type="spellEnd"/>
      <w:r w:rsidRPr="000A6F24">
        <w:rPr>
          <w:rFonts w:ascii="Times New Roman" w:hAnsi="Times New Roman" w:cs="Times New Roman"/>
          <w:sz w:val="24"/>
          <w:szCs w:val="24"/>
        </w:rPr>
        <w:t xml:space="preserve"> and </w:t>
      </w:r>
      <w:proofErr w:type="spellStart"/>
      <w:r w:rsidRPr="000A6F24">
        <w:rPr>
          <w:rFonts w:ascii="Times New Roman" w:hAnsi="Times New Roman" w:cs="Times New Roman"/>
          <w:sz w:val="24"/>
          <w:szCs w:val="24"/>
        </w:rPr>
        <w:t>Capitanio</w:t>
      </w:r>
      <w:proofErr w:type="spellEnd"/>
      <w:r w:rsidRPr="000A6F24">
        <w:rPr>
          <w:rFonts w:ascii="Times New Roman" w:hAnsi="Times New Roman" w:cs="Times New Roman"/>
          <w:sz w:val="24"/>
          <w:szCs w:val="24"/>
        </w:rPr>
        <w:t xml:space="preserve">, 2003; Rosco </w:t>
      </w:r>
      <w:r w:rsidRPr="000A6F24">
        <w:rPr>
          <w:rFonts w:ascii="Times New Roman" w:hAnsi="Times New Roman" w:cs="Times New Roman"/>
          <w:i/>
          <w:sz w:val="24"/>
          <w:szCs w:val="24"/>
        </w:rPr>
        <w:t>et al</w:t>
      </w:r>
      <w:r w:rsidRPr="000A6F24">
        <w:rPr>
          <w:rFonts w:ascii="Times New Roman" w:hAnsi="Times New Roman" w:cs="Times New Roman"/>
          <w:sz w:val="24"/>
          <w:szCs w:val="24"/>
        </w:rPr>
        <w:t>., 2011), and skew-Exponential power distributions (</w:t>
      </w:r>
      <w:proofErr w:type="spellStart"/>
      <w:r w:rsidRPr="000A6F24">
        <w:rPr>
          <w:rFonts w:ascii="Times New Roman" w:hAnsi="Times New Roman" w:cs="Times New Roman"/>
          <w:sz w:val="24"/>
          <w:szCs w:val="24"/>
        </w:rPr>
        <w:t>Azzalini</w:t>
      </w:r>
      <w:proofErr w:type="spellEnd"/>
      <w:r w:rsidRPr="000A6F24">
        <w:rPr>
          <w:rFonts w:ascii="Times New Roman" w:hAnsi="Times New Roman" w:cs="Times New Roman"/>
          <w:sz w:val="24"/>
          <w:szCs w:val="24"/>
        </w:rPr>
        <w:t xml:space="preserve">, 1986; Fernandez </w:t>
      </w:r>
      <w:r w:rsidRPr="000A6F24">
        <w:rPr>
          <w:rFonts w:ascii="Times New Roman" w:hAnsi="Times New Roman" w:cs="Times New Roman"/>
          <w:i/>
          <w:sz w:val="24"/>
          <w:szCs w:val="24"/>
        </w:rPr>
        <w:t>et al</w:t>
      </w:r>
      <w:r w:rsidRPr="000A6F24">
        <w:rPr>
          <w:rFonts w:ascii="Times New Roman" w:hAnsi="Times New Roman" w:cs="Times New Roman"/>
          <w:sz w:val="24"/>
          <w:szCs w:val="24"/>
        </w:rPr>
        <w:t>., 1995). Other distributions containing shape and skewness parameters have been proposed in different contexts such as the generalized hyperbolic distribution (</w:t>
      </w:r>
      <w:proofErr w:type="spellStart"/>
      <w:r w:rsidRPr="000A6F24">
        <w:rPr>
          <w:rFonts w:ascii="Times New Roman" w:hAnsi="Times New Roman" w:cs="Times New Roman"/>
          <w:sz w:val="24"/>
          <w:szCs w:val="24"/>
        </w:rPr>
        <w:t>Barndorff</w:t>
      </w:r>
      <w:proofErr w:type="spellEnd"/>
      <w:r w:rsidRPr="000A6F24">
        <w:rPr>
          <w:rFonts w:ascii="Times New Roman" w:hAnsi="Times New Roman" w:cs="Times New Roman"/>
          <w:sz w:val="24"/>
          <w:szCs w:val="24"/>
        </w:rPr>
        <w:t xml:space="preserve">-Nielsen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1982; </w:t>
      </w:r>
      <w:proofErr w:type="spellStart"/>
      <w:r w:rsidRPr="000A6F24">
        <w:rPr>
          <w:rFonts w:ascii="Times New Roman" w:hAnsi="Times New Roman" w:cs="Times New Roman"/>
          <w:sz w:val="24"/>
          <w:szCs w:val="24"/>
        </w:rPr>
        <w:t>Aas</w:t>
      </w:r>
      <w:proofErr w:type="spellEnd"/>
      <w:r w:rsidRPr="000A6F24">
        <w:rPr>
          <w:rFonts w:ascii="Times New Roman" w:hAnsi="Times New Roman" w:cs="Times New Roman"/>
          <w:sz w:val="24"/>
          <w:szCs w:val="24"/>
        </w:rPr>
        <w:t xml:space="preserve"> and Haff, 2006), the skew–t proposed in Jones and Faddy (2003), and the α−stable family of distributions. With the exception of the so called “two–piece” transformation (Fernandez and Steel, 1998a; Arellano-Valle </w:t>
      </w:r>
      <w:r w:rsidRPr="000A6F24">
        <w:rPr>
          <w:rFonts w:ascii="Times New Roman" w:hAnsi="Times New Roman" w:cs="Times New Roman"/>
          <w:i/>
          <w:sz w:val="24"/>
          <w:szCs w:val="24"/>
        </w:rPr>
        <w:t>et al.</w:t>
      </w:r>
      <w:r w:rsidRPr="000A6F24">
        <w:rPr>
          <w:rFonts w:ascii="Times New Roman" w:hAnsi="Times New Roman" w:cs="Times New Roman"/>
          <w:sz w:val="24"/>
          <w:szCs w:val="24"/>
        </w:rPr>
        <w:t>, 2005), the aforementioned transformations produce distributions with different shapes and/or different tail behaviour in each direction. Surveys on families of “flexible</w:t>
      </w:r>
      <w:r w:rsidRPr="000A6F24">
        <w:rPr>
          <w:rFonts w:ascii="Times New Roman" w:hAnsi="Times New Roman" w:cs="Times New Roman"/>
          <w:color w:val="0000FF"/>
          <w:sz w:val="24"/>
          <w:szCs w:val="24"/>
        </w:rPr>
        <w:t xml:space="preserve"> </w:t>
      </w:r>
      <w:r w:rsidRPr="000A6F24">
        <w:rPr>
          <w:rFonts w:ascii="Times New Roman" w:hAnsi="Times New Roman" w:cs="Times New Roman"/>
          <w:sz w:val="24"/>
          <w:szCs w:val="24"/>
        </w:rPr>
        <w:t xml:space="preserve">tail” distributions can be found in Jones (2014b) and Ley (2015). Levy processes combined with jump models have been developed and applied for financial asset modelling as in Leon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(2002) and </w:t>
      </w:r>
      <w:proofErr w:type="spellStart"/>
      <w:r w:rsidRPr="000A6F24">
        <w:rPr>
          <w:rFonts w:ascii="Times New Roman" w:hAnsi="Times New Roman" w:cs="Times New Roman"/>
          <w:sz w:val="24"/>
          <w:szCs w:val="24"/>
        </w:rPr>
        <w:t>Corcuera</w:t>
      </w:r>
      <w:proofErr w:type="spellEnd"/>
      <w:r w:rsidRPr="000A6F24">
        <w:rPr>
          <w:rFonts w:ascii="Times New Roman" w:hAnsi="Times New Roman" w:cs="Times New Roman"/>
          <w:sz w:val="24"/>
          <w:szCs w:val="24"/>
        </w:rPr>
        <w:t xml:space="preserve"> </w:t>
      </w:r>
      <w:r w:rsidRPr="000A6F24">
        <w:rPr>
          <w:rFonts w:ascii="Times New Roman" w:hAnsi="Times New Roman" w:cs="Times New Roman"/>
          <w:i/>
          <w:sz w:val="24"/>
          <w:szCs w:val="24"/>
        </w:rPr>
        <w:t>et al</w:t>
      </w:r>
      <w:r w:rsidRPr="000A6F24">
        <w:rPr>
          <w:rFonts w:ascii="Times New Roman" w:hAnsi="Times New Roman" w:cs="Times New Roman"/>
          <w:sz w:val="24"/>
          <w:szCs w:val="24"/>
        </w:rPr>
        <w:t>., (2003).</w:t>
      </w:r>
    </w:p>
    <w:p w14:paraId="349C7DBC" w14:textId="43C46947" w:rsidR="007B399B" w:rsidRPr="000A6F24"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Finally, other approaches used to produce so called flexible models are semi-parametric models (Quintana </w:t>
      </w:r>
      <w:r w:rsidRPr="000A6F24">
        <w:rPr>
          <w:rFonts w:ascii="Times New Roman" w:hAnsi="Times New Roman" w:cs="Times New Roman"/>
          <w:i/>
          <w:sz w:val="24"/>
          <w:szCs w:val="24"/>
        </w:rPr>
        <w:t>et al</w:t>
      </w:r>
      <w:r w:rsidRPr="000A6F24">
        <w:rPr>
          <w:rFonts w:ascii="Times New Roman" w:hAnsi="Times New Roman" w:cs="Times New Roman"/>
          <w:sz w:val="24"/>
          <w:szCs w:val="24"/>
        </w:rPr>
        <w:t>., 2009) or fully nonparametric models (</w:t>
      </w:r>
      <w:r w:rsidR="00AA6A82" w:rsidRPr="000A6F24">
        <w:rPr>
          <w:rFonts w:ascii="Times New Roman" w:hAnsi="Times New Roman" w:cs="Times New Roman"/>
          <w:sz w:val="24"/>
          <w:szCs w:val="24"/>
        </w:rPr>
        <w:t>e.g.,</w:t>
      </w:r>
      <w:r w:rsidRPr="000A6F24">
        <w:rPr>
          <w:rFonts w:ascii="Times New Roman" w:hAnsi="Times New Roman" w:cs="Times New Roman"/>
          <w:sz w:val="24"/>
          <w:szCs w:val="24"/>
        </w:rPr>
        <w:t xml:space="preserve"> kernel density estimators and Bayesian nonparametric density estimation). </w:t>
      </w:r>
    </w:p>
    <w:p w14:paraId="729069E3" w14:textId="77777777" w:rsidR="007B399B" w:rsidRPr="000A6F24"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However, recent papers use a quite innovative approach for doing so (Dhesi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2011; 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2016; Dhesi and </w:t>
      </w:r>
      <w:proofErr w:type="spellStart"/>
      <w:r w:rsidRPr="000A6F24">
        <w:rPr>
          <w:rFonts w:ascii="Times New Roman" w:hAnsi="Times New Roman" w:cs="Times New Roman"/>
          <w:sz w:val="24"/>
          <w:szCs w:val="24"/>
        </w:rPr>
        <w:t>Ausloos</w:t>
      </w:r>
      <w:proofErr w:type="spellEnd"/>
      <w:r w:rsidRPr="000A6F24">
        <w:rPr>
          <w:rFonts w:ascii="Times New Roman" w:hAnsi="Times New Roman" w:cs="Times New Roman"/>
          <w:sz w:val="24"/>
          <w:szCs w:val="24"/>
        </w:rPr>
        <w:t xml:space="preserve">, 2016). This is achieved by adding an extra stochastic function, with only two parameters (k and c) to be estimated, to the GBM, incorporating a weighting factor (see equation 5 here below).  The introduction of such (up to now) parameters can be easily argued, see below in Sect.1. Interestingly, this type of modelling is endogenous and part of some coherent understanding of the market process, i.e., considering some so-called irrationality of agents. Feedback and success of “irrational investors” is for example reported in </w:t>
      </w:r>
      <w:proofErr w:type="spellStart"/>
      <w:r w:rsidRPr="000A6F24">
        <w:rPr>
          <w:rFonts w:ascii="Times New Roman" w:hAnsi="Times New Roman" w:cs="Times New Roman"/>
          <w:sz w:val="24"/>
          <w:szCs w:val="24"/>
        </w:rPr>
        <w:t>Hiershleifer</w:t>
      </w:r>
      <w:proofErr w:type="spellEnd"/>
      <w:r w:rsidRPr="000A6F24">
        <w:rPr>
          <w:rFonts w:ascii="Times New Roman" w:hAnsi="Times New Roman" w:cs="Times New Roman"/>
          <w:sz w:val="24"/>
          <w:szCs w:val="24"/>
        </w:rPr>
        <w:t xml:space="preserve">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(2006). Such a psychological behaviour is sometimes accepted as common knowledge that is as a realistic possibility, but rarely included in models.</w:t>
      </w:r>
    </w:p>
    <w:p w14:paraId="293B2C71" w14:textId="77777777" w:rsidR="007B399B" w:rsidRPr="000A6F24"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The Irrational Fractional Brownian Motion (IFBM) modelling captures the fat tails and overall leptokurtosis (</w:t>
      </w:r>
      <w:bookmarkStart w:id="176" w:name="_Hlk77619226"/>
      <w:r w:rsidRPr="000A6F24">
        <w:rPr>
          <w:rFonts w:ascii="Times New Roman" w:hAnsi="Times New Roman" w:cs="Times New Roman"/>
          <w:sz w:val="24"/>
          <w:szCs w:val="24"/>
        </w:rPr>
        <w:t xml:space="preserve">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2016</w:t>
      </w:r>
      <w:bookmarkEnd w:id="176"/>
      <w:r w:rsidRPr="000A6F24">
        <w:rPr>
          <w:rFonts w:ascii="Times New Roman" w:hAnsi="Times New Roman" w:cs="Times New Roman"/>
          <w:sz w:val="24"/>
          <w:szCs w:val="24"/>
        </w:rPr>
        <w:t xml:space="preserve">; Dhesi and </w:t>
      </w:r>
      <w:proofErr w:type="spellStart"/>
      <w:r w:rsidRPr="000A6F24">
        <w:rPr>
          <w:rFonts w:ascii="Times New Roman" w:hAnsi="Times New Roman" w:cs="Times New Roman"/>
          <w:sz w:val="24"/>
          <w:szCs w:val="24"/>
        </w:rPr>
        <w:t>Ausloos</w:t>
      </w:r>
      <w:proofErr w:type="spellEnd"/>
      <w:r w:rsidRPr="000A6F24">
        <w:rPr>
          <w:rFonts w:ascii="Times New Roman" w:hAnsi="Times New Roman" w:cs="Times New Roman"/>
          <w:sz w:val="24"/>
          <w:szCs w:val="24"/>
        </w:rPr>
        <w:t>, 2016). Therefore, it can be claimed that the model makes a fully pertinent connection between the extra function and so-called irrational behaviour of financial markets.</w:t>
      </w:r>
    </w:p>
    <w:p w14:paraId="5E24B202" w14:textId="77777777" w:rsidR="007B399B" w:rsidRPr="000A6F24" w:rsidRDefault="007B399B" w:rsidP="00BA27A7">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In light of such premises, and in view of predicting/explaining the exponent, the chapter</w:t>
      </w:r>
      <w:r>
        <w:rPr>
          <w:rFonts w:ascii="Times New Roman" w:hAnsi="Times New Roman" w:cs="Times New Roman"/>
          <w:sz w:val="24"/>
          <w:szCs w:val="24"/>
        </w:rPr>
        <w:t>s</w:t>
      </w:r>
      <w:r w:rsidRPr="000A6F24">
        <w:rPr>
          <w:rFonts w:ascii="Times New Roman" w:hAnsi="Times New Roman" w:cs="Times New Roman"/>
          <w:sz w:val="24"/>
          <w:szCs w:val="24"/>
        </w:rPr>
        <w:t xml:space="preserve"> </w:t>
      </w:r>
      <w:r>
        <w:rPr>
          <w:rFonts w:ascii="Times New Roman" w:hAnsi="Times New Roman" w:cs="Times New Roman"/>
          <w:sz w:val="24"/>
          <w:szCs w:val="24"/>
        </w:rPr>
        <w:t>are</w:t>
      </w:r>
      <w:r w:rsidRPr="000A6F24">
        <w:rPr>
          <w:rFonts w:ascii="Times New Roman" w:hAnsi="Times New Roman" w:cs="Times New Roman"/>
          <w:sz w:val="24"/>
          <w:szCs w:val="24"/>
        </w:rPr>
        <w:t xml:space="preserve"> organized as follows. Section 2 briefly outlines the Geometric Brownian Motion model, for completeness</w:t>
      </w:r>
      <w:r>
        <w:rPr>
          <w:rFonts w:ascii="Times New Roman" w:hAnsi="Times New Roman" w:cs="Times New Roman"/>
          <w:sz w:val="24"/>
          <w:szCs w:val="24"/>
        </w:rPr>
        <w:t xml:space="preserve"> and the development of MBMM</w:t>
      </w:r>
      <w:r w:rsidRPr="000A6F24">
        <w:rPr>
          <w:rFonts w:ascii="Times New Roman" w:hAnsi="Times New Roman" w:cs="Times New Roman"/>
          <w:sz w:val="24"/>
          <w:szCs w:val="24"/>
        </w:rPr>
        <w:t xml:space="preserve">, while Section 3 explains the novel Irrational </w:t>
      </w:r>
      <w:r w:rsidRPr="000A6F24">
        <w:rPr>
          <w:rFonts w:ascii="Times New Roman" w:hAnsi="Times New Roman" w:cs="Times New Roman"/>
          <w:sz w:val="24"/>
          <w:szCs w:val="24"/>
        </w:rPr>
        <w:lastRenderedPageBreak/>
        <w:t>Fractional Brownian Motion model</w:t>
      </w:r>
      <w:r>
        <w:rPr>
          <w:rFonts w:ascii="Times New Roman" w:hAnsi="Times New Roman" w:cs="Times New Roman"/>
          <w:sz w:val="24"/>
          <w:szCs w:val="24"/>
        </w:rPr>
        <w:t xml:space="preserve"> and development of IFBM GARCH</w:t>
      </w:r>
      <w:r w:rsidRPr="000A6F24">
        <w:rPr>
          <w:rFonts w:ascii="Times New Roman" w:hAnsi="Times New Roman" w:cs="Times New Roman"/>
          <w:sz w:val="24"/>
          <w:szCs w:val="24"/>
        </w:rPr>
        <w:t xml:space="preserve">. Section 4 explains </w:t>
      </w:r>
      <w:r>
        <w:rPr>
          <w:rFonts w:ascii="Times New Roman" w:hAnsi="Times New Roman" w:cs="Times New Roman"/>
          <w:sz w:val="24"/>
          <w:szCs w:val="24"/>
        </w:rPr>
        <w:t>t</w:t>
      </w:r>
      <w:r w:rsidRPr="000A6F24">
        <w:rPr>
          <w:rFonts w:ascii="Times New Roman" w:hAnsi="Times New Roman" w:cs="Times New Roman"/>
          <w:sz w:val="24"/>
          <w:szCs w:val="24"/>
        </w:rPr>
        <w:t xml:space="preserve">he fine results obtained from this method are summarized and further discussed in Section 5.  </w:t>
      </w:r>
    </w:p>
    <w:p w14:paraId="40CDD117" w14:textId="77777777" w:rsidR="007B399B" w:rsidRPr="006E5DCD" w:rsidRDefault="007B399B" w:rsidP="007B399B">
      <w:pPr>
        <w:pStyle w:val="Heading2"/>
        <w:rPr>
          <w:rFonts w:ascii="Times New Roman" w:hAnsi="Times New Roman" w:cs="Times New Roman"/>
          <w:sz w:val="24"/>
          <w:szCs w:val="24"/>
        </w:rPr>
      </w:pPr>
      <w:bookmarkStart w:id="177" w:name="_Toc90499999"/>
      <w:r>
        <w:rPr>
          <w:rFonts w:ascii="Times New Roman" w:hAnsi="Times New Roman" w:cs="Times New Roman"/>
          <w:sz w:val="24"/>
          <w:szCs w:val="24"/>
        </w:rPr>
        <w:t xml:space="preserve">3.2.4 </w:t>
      </w:r>
      <w:r w:rsidRPr="006E5DCD">
        <w:rPr>
          <w:rFonts w:ascii="Times New Roman" w:hAnsi="Times New Roman" w:cs="Times New Roman"/>
          <w:sz w:val="24"/>
          <w:szCs w:val="24"/>
        </w:rPr>
        <w:t>Standard Brownian Motion:</w:t>
      </w:r>
      <w:bookmarkEnd w:id="175"/>
      <w:bookmarkEnd w:id="177"/>
    </w:p>
    <w:p w14:paraId="32DB3B72" w14:textId="77777777" w:rsidR="007B399B" w:rsidRPr="006E5DCD" w:rsidRDefault="007B399B" w:rsidP="007B399B">
      <w:pPr>
        <w:spacing w:line="360" w:lineRule="auto"/>
        <w:rPr>
          <w:rFonts w:ascii="Times New Roman" w:eastAsiaTheme="minorEastAsia" w:hAnsi="Times New Roman" w:cs="Times New Roman"/>
          <w:sz w:val="24"/>
          <w:szCs w:val="24"/>
        </w:rPr>
      </w:pPr>
      <w:r w:rsidRPr="006E5DCD">
        <w:rPr>
          <w:rFonts w:ascii="Times New Roman" w:hAnsi="Times New Roman" w:cs="Times New Roman"/>
          <w:sz w:val="24"/>
          <w:szCs w:val="24"/>
        </w:rPr>
        <w:t xml:space="preserve">A standard Brownian Motion or Wiener process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,t&gt;0</m:t>
            </m:r>
          </m:e>
        </m:d>
      </m:oMath>
      <w:r w:rsidRPr="006E5DCD">
        <w:rPr>
          <w:rFonts w:ascii="Times New Roman" w:eastAsiaTheme="minorEastAsia" w:hAnsi="Times New Roman" w:cs="Times New Roman"/>
          <w:sz w:val="24"/>
          <w:szCs w:val="24"/>
        </w:rPr>
        <w:t xml:space="preserve"> is defined as a stochastic process with following properties:</w:t>
      </w:r>
    </w:p>
    <w:p w14:paraId="1F8440F5" w14:textId="77777777" w:rsidR="007B399B" w:rsidRPr="006E5DCD" w:rsidRDefault="007B399B" w:rsidP="00990265">
      <w:pPr>
        <w:pStyle w:val="ListParagraph"/>
        <w:numPr>
          <w:ilvl w:val="0"/>
          <w:numId w:val="6"/>
        </w:numPr>
        <w:spacing w:line="360" w:lineRule="auto"/>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Continuous sample paths</w:t>
      </w:r>
    </w:p>
    <w:p w14:paraId="2FBCC7DA" w14:textId="77777777" w:rsidR="007B399B" w:rsidRPr="006E5DCD" w:rsidRDefault="007B399B" w:rsidP="00990265">
      <w:pPr>
        <w:pStyle w:val="ListParagraph"/>
        <w:numPr>
          <w:ilvl w:val="0"/>
          <w:numId w:val="6"/>
        </w:numPr>
        <w:spacing w:line="360" w:lineRule="auto"/>
        <w:rPr>
          <w:rFonts w:ascii="Times New Roman" w:hAnsi="Times New Roman" w:cs="Times New Roman"/>
          <w:sz w:val="24"/>
          <w:szCs w:val="24"/>
        </w:rPr>
      </w:pPr>
      <w:r w:rsidRPr="006E5DCD">
        <w:rPr>
          <w:rFonts w:ascii="Times New Roman" w:eastAsiaTheme="minorEastAsia" w:hAnsi="Times New Roman" w:cs="Times New Roman"/>
          <w:sz w:val="24"/>
          <w:szCs w:val="24"/>
        </w:rPr>
        <w:t xml:space="preserve">Independent increments, that is, for each </w:t>
      </w:r>
      <m:oMath>
        <m:r>
          <w:rPr>
            <w:rFonts w:ascii="Cambria Math" w:eastAsiaTheme="minorEastAsia" w:hAnsi="Cambria Math" w:cs="Times New Roman"/>
            <w:sz w:val="24"/>
            <w:szCs w:val="24"/>
          </w:rPr>
          <m:t xml:space="preserve">0&lt;s&lt;t,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r>
          <w:rPr>
            <w:rFonts w:ascii="Cambria Math" w:eastAsiaTheme="minorEastAsia" w:hAnsi="Cambria Math" w:cs="Times New Roman"/>
            <w:sz w:val="24"/>
            <w:szCs w:val="24"/>
          </w:rPr>
          <m:t xml:space="preserve"> </m:t>
        </m:r>
      </m:oMath>
      <w:r w:rsidRPr="006E5DCD">
        <w:rPr>
          <w:rFonts w:ascii="Times New Roman" w:eastAsiaTheme="minorEastAsia" w:hAnsi="Times New Roman" w:cs="Times New Roman"/>
          <w:sz w:val="24"/>
          <w:szCs w:val="24"/>
        </w:rPr>
        <w:t xml:space="preserve">is independent of values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u</m:t>
            </m:r>
          </m:sub>
        </m:sSub>
      </m:oMath>
      <w:r w:rsidRPr="006E5DCD">
        <w:rPr>
          <w:rFonts w:ascii="Times New Roman" w:eastAsiaTheme="minorEastAsia" w:hAnsi="Times New Roman" w:cs="Times New Roman"/>
          <w:sz w:val="24"/>
          <w:szCs w:val="24"/>
        </w:rPr>
        <w:t xml:space="preserve"> such that </w:t>
      </w:r>
      <m:oMath>
        <m:r>
          <w:rPr>
            <w:rFonts w:ascii="Cambria Math" w:eastAsiaTheme="minorEastAsia" w:hAnsi="Cambria Math" w:cs="Times New Roman"/>
            <w:sz w:val="24"/>
            <w:szCs w:val="24"/>
          </w:rPr>
          <m:t>0≤u≤s.</m:t>
        </m:r>
      </m:oMath>
    </w:p>
    <w:p w14:paraId="784BCFA8" w14:textId="77777777" w:rsidR="007B399B" w:rsidRPr="006E5DCD" w:rsidRDefault="007B399B" w:rsidP="00990265">
      <w:pPr>
        <w:pStyle w:val="ListParagraph"/>
        <w:numPr>
          <w:ilvl w:val="0"/>
          <w:numId w:val="6"/>
        </w:numPr>
        <w:spacing w:line="360" w:lineRule="auto"/>
        <w:rPr>
          <w:rFonts w:ascii="Times New Roman" w:eastAsiaTheme="minorEastAsia" w:hAnsi="Times New Roman" w:cs="Times New Roman"/>
          <w:sz w:val="24"/>
          <w:szCs w:val="24"/>
        </w:rPr>
      </w:pPr>
      <w:r w:rsidRPr="006E5DCD">
        <w:rPr>
          <w:rFonts w:ascii="Times New Roman" w:hAnsi="Times New Roman" w:cs="Times New Roman"/>
          <w:sz w:val="24"/>
          <w:szCs w:val="24"/>
        </w:rPr>
        <w:t xml:space="preserve">Stationary Increments, for each </w:t>
      </w:r>
      <m:oMath>
        <m:r>
          <w:rPr>
            <w:rFonts w:ascii="Cambria Math" w:eastAsiaTheme="minorEastAsia" w:hAnsi="Cambria Math" w:cs="Times New Roman"/>
            <w:sz w:val="24"/>
            <w:szCs w:val="24"/>
          </w:rPr>
          <m:t xml:space="preserve">s&lt;t,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oMath>
      <w:r w:rsidRPr="006E5DCD">
        <w:rPr>
          <w:rFonts w:ascii="Times New Roman" w:eastAsiaTheme="minorEastAsia" w:hAnsi="Times New Roman" w:cs="Times New Roman"/>
          <w:sz w:val="24"/>
          <w:szCs w:val="24"/>
        </w:rPr>
        <w:t xml:space="preserve"> depends only on </w:t>
      </w:r>
      <m:oMath>
        <m:r>
          <w:rPr>
            <w:rFonts w:ascii="Cambria Math" w:eastAsiaTheme="minorEastAsia" w:hAnsi="Cambria Math" w:cs="Times New Roman"/>
            <w:sz w:val="24"/>
            <w:szCs w:val="24"/>
          </w:rPr>
          <m:t>t-s.</m:t>
        </m:r>
      </m:oMath>
    </w:p>
    <w:p w14:paraId="0F6A5B97" w14:textId="77777777" w:rsidR="007B399B" w:rsidRPr="006E5DCD" w:rsidRDefault="002C15FD" w:rsidP="00990265">
      <w:pPr>
        <w:pStyle w:val="ListParagraph"/>
        <w:numPr>
          <w:ilvl w:val="0"/>
          <w:numId w:val="6"/>
        </w:num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r>
          <w:rPr>
            <w:rFonts w:ascii="Cambria Math" w:hAnsi="Cambria Math" w:cs="Times New Roman"/>
            <w:sz w:val="24"/>
            <w:szCs w:val="24"/>
          </w:rPr>
          <m:t>=0</m:t>
        </m:r>
      </m:oMath>
    </w:p>
    <w:p w14:paraId="7E48778F" w14:textId="77777777" w:rsidR="007B399B" w:rsidRPr="006E5DCD" w:rsidRDefault="007B399B" w:rsidP="00990265">
      <w:pPr>
        <w:pStyle w:val="ListParagraph"/>
        <w:numPr>
          <w:ilvl w:val="0"/>
          <w:numId w:val="6"/>
        </w:numPr>
        <w:spacing w:line="360" w:lineRule="auto"/>
        <w:rPr>
          <w:rFonts w:ascii="Times New Roman" w:hAnsi="Times New Roman" w:cs="Times New Roman"/>
          <w:sz w:val="24"/>
          <w:szCs w:val="24"/>
        </w:rPr>
      </w:pPr>
      <w:r w:rsidRPr="006E5DCD">
        <w:rPr>
          <w:rFonts w:ascii="Times New Roman" w:hAnsi="Times New Roman" w:cs="Times New Roman"/>
          <w:sz w:val="24"/>
          <w:szCs w:val="24"/>
        </w:rPr>
        <w:t>Increments are stationary and normally distributed.</w:t>
      </w:r>
    </w:p>
    <w:p w14:paraId="171330EC"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The basics of quantitative finance still rely heavily in line with rational behaviour of investors and weak form EMH. That is continuous financial returns can be expressed as  </w:t>
      </w:r>
    </w:p>
    <w:p w14:paraId="56488F25"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position w:val="-30"/>
          <w:sz w:val="24"/>
          <w:szCs w:val="24"/>
        </w:rPr>
        <w:object w:dxaOrig="3960" w:dyaOrig="680" w14:anchorId="4AC86B98">
          <v:shape id="_x0000_i1058" type="#_x0000_t75" style="width:194.25pt;height:36pt" o:ole="">
            <v:imagedata r:id="rId103" o:title=""/>
          </v:shape>
          <o:OLEObject Type="Embed" ProgID="Equation.DSMT4" ShapeID="_x0000_i1058" DrawAspect="Content" ObjectID="_1704578330" r:id="rId104"/>
        </w:object>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p>
    <w:p w14:paraId="38A86E3C"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where µ is the average returns and </w:t>
      </w:r>
      <w:r w:rsidRPr="006E5DCD">
        <w:rPr>
          <w:rFonts w:ascii="Times New Roman" w:hAnsi="Times New Roman" w:cs="Times New Roman"/>
          <w:position w:val="-12"/>
          <w:sz w:val="24"/>
          <w:szCs w:val="24"/>
        </w:rPr>
        <w:object w:dxaOrig="240" w:dyaOrig="360" w14:anchorId="05D47DD0">
          <v:shape id="_x0000_i1059" type="#_x0000_t75" style="width:15pt;height:21.75pt" o:ole="">
            <v:imagedata r:id="rId105" o:title=""/>
          </v:shape>
          <o:OLEObject Type="Embed" ProgID="Equation.DSMT4" ShapeID="_x0000_i1059" DrawAspect="Content" ObjectID="_1704578331" r:id="rId106"/>
        </w:object>
      </w:r>
      <w:r w:rsidRPr="006E5DCD">
        <w:rPr>
          <w:rFonts w:ascii="Times New Roman" w:hAnsi="Times New Roman" w:cs="Times New Roman"/>
          <w:sz w:val="24"/>
          <w:szCs w:val="24"/>
        </w:rPr>
        <w:t xml:space="preserve"> is assumed to be normally independently distributed with zero mean and constant variance. The above equation can be written as </w:t>
      </w:r>
    </w:p>
    <w:p w14:paraId="3099CDF0" w14:textId="77777777" w:rsidR="007B399B" w:rsidRPr="006E5DCD" w:rsidRDefault="007B399B" w:rsidP="007B399B">
      <w:pPr>
        <w:spacing w:line="360" w:lineRule="auto"/>
        <w:jc w:val="both"/>
        <w:rPr>
          <w:rFonts w:ascii="Cambria Math" w:hAnsi="Cambria Math" w:cs="Times New Roman"/>
          <w:sz w:val="24"/>
          <w:szCs w:val="24"/>
          <w:oMath/>
        </w:rPr>
      </w:pPr>
      <w:r w:rsidRPr="006E5DCD">
        <w:rPr>
          <w:rFonts w:ascii="Times New Roman" w:hAnsi="Times New Roman" w:cs="Times New Roman"/>
          <w:position w:val="-12"/>
          <w:sz w:val="24"/>
          <w:szCs w:val="24"/>
        </w:rPr>
        <w:object w:dxaOrig="2799" w:dyaOrig="400" w14:anchorId="43EB5500">
          <v:shape id="_x0000_i1060" type="#_x0000_t75" style="width:137.25pt;height:21.75pt" o:ole="">
            <v:imagedata r:id="rId107" o:title=""/>
          </v:shape>
          <o:OLEObject Type="Embed" ProgID="Equation.DSMT4" ShapeID="_x0000_i1060" DrawAspect="Content" ObjectID="_1704578332" r:id="rId108"/>
        </w:object>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p>
    <w:p w14:paraId="177E375F"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where </w:t>
      </w:r>
      <w:r w:rsidRPr="006E5DCD">
        <w:rPr>
          <w:rFonts w:ascii="Times New Roman" w:hAnsi="Times New Roman" w:cs="Times New Roman"/>
          <w:position w:val="-12"/>
          <w:sz w:val="24"/>
          <w:szCs w:val="24"/>
        </w:rPr>
        <w:object w:dxaOrig="279" w:dyaOrig="360" w14:anchorId="3628C2EF">
          <v:shape id="_x0000_i1061" type="#_x0000_t75" style="width:15pt;height:21.75pt" o:ole="">
            <v:imagedata r:id="rId109" o:title=""/>
          </v:shape>
          <o:OLEObject Type="Embed" ProgID="Equation.DSMT4" ShapeID="_x0000_i1061" DrawAspect="Content" ObjectID="_1704578333" r:id="rId110"/>
        </w:object>
      </w:r>
      <w:r w:rsidRPr="006E5DCD">
        <w:rPr>
          <w:rFonts w:ascii="Times New Roman" w:hAnsi="Times New Roman" w:cs="Times New Roman"/>
          <w:sz w:val="24"/>
          <w:szCs w:val="24"/>
        </w:rPr>
        <w:t xml:space="preserve"> is a random number drawn from standardised normal distribution and </w:t>
      </w:r>
      <m:oMath>
        <m:r>
          <w:rPr>
            <w:rFonts w:ascii="Cambria Math" w:hAnsi="Cambria Math" w:cs="Times New Roman"/>
            <w:sz w:val="24"/>
            <w:szCs w:val="24"/>
          </w:rPr>
          <m:t xml:space="preserve">δt </m:t>
        </m:r>
      </m:oMath>
      <w:r w:rsidRPr="006E5DCD">
        <w:rPr>
          <w:rFonts w:ascii="Times New Roman" w:hAnsi="Times New Roman" w:cs="Times New Roman"/>
          <w:sz w:val="24"/>
          <w:szCs w:val="24"/>
        </w:rPr>
        <w:t xml:space="preserve">is a small time </w:t>
      </w:r>
      <w:proofErr w:type="gramStart"/>
      <w:r w:rsidRPr="006E5DCD">
        <w:rPr>
          <w:rFonts w:ascii="Times New Roman" w:hAnsi="Times New Roman" w:cs="Times New Roman"/>
          <w:sz w:val="24"/>
          <w:szCs w:val="24"/>
        </w:rPr>
        <w:t>step.</w:t>
      </w:r>
      <w:proofErr w:type="gramEnd"/>
      <w:r w:rsidRPr="006E5DCD">
        <w:rPr>
          <w:rFonts w:ascii="Times New Roman" w:hAnsi="Times New Roman" w:cs="Times New Roman"/>
          <w:sz w:val="24"/>
          <w:szCs w:val="24"/>
        </w:rPr>
        <w:t xml:space="preserve"> This equation is deployed to run simulations and construct the modelled returns distribution based on the Geometric Brownian Motion (GBM). Furthermore, the continuous time version of the above equation is </w:t>
      </w:r>
    </w:p>
    <w:p w14:paraId="601F006A" w14:textId="77777777" w:rsidR="007B399B" w:rsidRPr="006E5DCD" w:rsidRDefault="007B399B" w:rsidP="007B399B">
      <w:pPr>
        <w:spacing w:line="360" w:lineRule="auto"/>
        <w:jc w:val="both"/>
        <w:rPr>
          <w:rFonts w:ascii="Cambria Math" w:hAnsi="Cambria Math" w:cs="Times New Roman"/>
          <w:color w:val="FF0000"/>
          <w:sz w:val="24"/>
          <w:szCs w:val="24"/>
          <w:oMath/>
        </w:rPr>
      </w:pPr>
      <w:r w:rsidRPr="006E5DCD">
        <w:rPr>
          <w:rFonts w:ascii="Times New Roman" w:hAnsi="Times New Roman" w:cs="Times New Roman"/>
          <w:position w:val="-24"/>
          <w:sz w:val="24"/>
          <w:szCs w:val="24"/>
        </w:rPr>
        <w:object w:dxaOrig="2700" w:dyaOrig="620" w14:anchorId="54CB0DCF">
          <v:shape id="_x0000_i1062" type="#_x0000_t75" style="width:137.25pt;height:28.5pt" o:ole="">
            <v:imagedata r:id="rId111" o:title=""/>
          </v:shape>
          <o:OLEObject Type="Embed" ProgID="Equation.DSMT4" ShapeID="_x0000_i1062" DrawAspect="Content" ObjectID="_1704578334" r:id="rId112"/>
        </w:object>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p>
    <w:p w14:paraId="205FD899" w14:textId="0C4C6358"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Applying Ito’s Le</w:t>
      </w:r>
      <w:proofErr w:type="spellStart"/>
      <w:r w:rsidRPr="006E5DCD">
        <w:rPr>
          <w:rFonts w:ascii="Times New Roman" w:hAnsi="Times New Roman" w:cs="Times New Roman"/>
          <w:sz w:val="24"/>
          <w:szCs w:val="24"/>
        </w:rPr>
        <w:t>mma</w:t>
      </w:r>
      <w:proofErr w:type="spellEnd"/>
      <w:r w:rsidRPr="006E5DCD">
        <w:rPr>
          <w:rFonts w:ascii="Times New Roman" w:hAnsi="Times New Roman" w:cs="Times New Roman"/>
          <w:sz w:val="24"/>
          <w:szCs w:val="24"/>
        </w:rPr>
        <w:t xml:space="preserve">, the equivalent stochastic differential equation (SDE) </w:t>
      </w:r>
      <w:proofErr w:type="gramStart"/>
      <w:r w:rsidRPr="006E5DCD">
        <w:rPr>
          <w:rFonts w:ascii="Times New Roman" w:hAnsi="Times New Roman" w:cs="Times New Roman"/>
          <w:sz w:val="24"/>
          <w:szCs w:val="24"/>
        </w:rPr>
        <w:t>form  is</w:t>
      </w:r>
      <w:proofErr w:type="gramEnd"/>
      <w:r w:rsidRPr="006E5DCD">
        <w:rPr>
          <w:rFonts w:ascii="Times New Roman" w:hAnsi="Times New Roman" w:cs="Times New Roman"/>
          <w:sz w:val="24"/>
          <w:szCs w:val="24"/>
        </w:rPr>
        <w:t xml:space="preserve"> expressed as</w:t>
      </w:r>
    </w:p>
    <w:p w14:paraId="18052340" w14:textId="77777777" w:rsidR="007B399B" w:rsidRPr="006E5DCD" w:rsidRDefault="007B399B" w:rsidP="007B399B">
      <w:pPr>
        <w:spacing w:line="360" w:lineRule="auto"/>
        <w:jc w:val="both"/>
        <w:rPr>
          <w:rFonts w:ascii="Cambria Math" w:hAnsi="Cambria Math" w:cs="Times New Roman"/>
          <w:sz w:val="24"/>
          <w:szCs w:val="24"/>
          <w:oMath/>
        </w:rPr>
      </w:pPr>
      <w:r w:rsidRPr="006E5DCD">
        <w:rPr>
          <w:rFonts w:ascii="Times New Roman" w:hAnsi="Times New Roman" w:cs="Times New Roman"/>
          <w:position w:val="-24"/>
          <w:sz w:val="24"/>
          <w:szCs w:val="24"/>
        </w:rPr>
        <w:object w:dxaOrig="3820" w:dyaOrig="620" w14:anchorId="0CDDA6E1">
          <v:shape id="_x0000_i1063" type="#_x0000_t75" style="width:188.25pt;height:28.5pt" o:ole="">
            <v:imagedata r:id="rId113" o:title=""/>
          </v:shape>
          <o:OLEObject Type="Embed" ProgID="Equation.DSMT4" ShapeID="_x0000_i1063" DrawAspect="Content" ObjectID="_1704578335" r:id="rId114"/>
        </w:object>
      </w:r>
      <w:r w:rsidRPr="006E5DCD">
        <w:rPr>
          <w:rFonts w:ascii="Times New Roman" w:hAnsi="Times New Roman" w:cs="Times New Roman"/>
          <w:sz w:val="24"/>
          <w:szCs w:val="24"/>
        </w:rPr>
        <w:tab/>
      </w:r>
      <w:r w:rsidRPr="006E5DCD">
        <w:rPr>
          <w:rFonts w:ascii="Times New Roman" w:hAnsi="Times New Roman" w:cs="Times New Roman"/>
          <w:sz w:val="24"/>
          <w:szCs w:val="24"/>
        </w:rPr>
        <w:tab/>
      </w:r>
      <w:r w:rsidRPr="006E5DCD">
        <w:rPr>
          <w:rFonts w:ascii="Times New Roman" w:hAnsi="Times New Roman" w:cs="Times New Roman"/>
          <w:sz w:val="24"/>
          <w:szCs w:val="24"/>
        </w:rPr>
        <w:tab/>
      </w:r>
    </w:p>
    <w:p w14:paraId="07EE8DC9"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lastRenderedPageBreak/>
        <w:t>The above model (</w:t>
      </w:r>
      <w:r>
        <w:rPr>
          <w:rFonts w:ascii="Times New Roman" w:hAnsi="Times New Roman" w:cs="Times New Roman"/>
          <w:sz w:val="24"/>
          <w:szCs w:val="24"/>
        </w:rPr>
        <w:t xml:space="preserve">four </w:t>
      </w:r>
      <w:r w:rsidRPr="006E5DCD">
        <w:rPr>
          <w:rFonts w:ascii="Times New Roman" w:hAnsi="Times New Roman" w:cs="Times New Roman"/>
          <w:sz w:val="24"/>
          <w:szCs w:val="24"/>
        </w:rPr>
        <w:t xml:space="preserve">equations) provides the foundations of classical quantitative finance and further financial modelling rely on this representation. </w:t>
      </w:r>
    </w:p>
    <w:p w14:paraId="65C20C78"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The extreme events in financial markets are caused by severe fluctuations (oscillations) of prices subject to news about that particular stock. The news in this case acts as a potential moving the price up (bubble) or down (burst). These price oscillations before extreme events increase exponentially suggesting the spread of news among traders and its influence on their behaviour. Consequently, this triggers a huge discrepancy in demand and supply of the stock price. The essential constituent of the pricing process is time at which price changes due to news feedbacks affecting investor’s behaviours. A financial model is considered reputable if it fulfils the underlying assumptions. One of the key assumptions of GBM is that stock returns are independent of their past values. This assumption seems to hold during stable time period in stock markets; but during a speculative bubble or burst time period these assumptions fail as prices does follow a specific pattern.</w:t>
      </w:r>
    </w:p>
    <w:p w14:paraId="60653720" w14:textId="77777777" w:rsidR="007B399B" w:rsidRPr="00D42248" w:rsidRDefault="007B399B" w:rsidP="00D42248">
      <w:pPr>
        <w:pStyle w:val="NoSpacing"/>
        <w:spacing w:line="360" w:lineRule="auto"/>
        <w:jc w:val="both"/>
        <w:rPr>
          <w:rFonts w:ascii="Times New Roman" w:hAnsi="Times New Roman"/>
          <w:sz w:val="24"/>
          <w:szCs w:val="24"/>
        </w:rPr>
      </w:pPr>
      <w:r w:rsidRPr="00D42248">
        <w:rPr>
          <w:rFonts w:ascii="Times New Roman" w:hAnsi="Times New Roman"/>
          <w:sz w:val="24"/>
          <w:szCs w:val="24"/>
        </w:rPr>
        <w:t>Since the randomness or effect of news is modelled as W(t) in the GBM model; therefore, a potential parameter is added as function of W(t). This leads to the notion that if stock price can be modelled as a sinusoidal function or if an extra element of Sine or Cosine functions can be added to the GBM model. Note that extra factor has to be scaled to a very small level to customise the effect on overall model. The modified GBM model then become</w:t>
      </w:r>
    </w:p>
    <w:p w14:paraId="2600B72B" w14:textId="77777777" w:rsidR="007B399B" w:rsidRPr="006E5DCD" w:rsidRDefault="007B399B" w:rsidP="007B399B">
      <w:pPr>
        <w:pStyle w:val="NoSpacing"/>
        <w:spacing w:line="360" w:lineRule="auto"/>
        <w:jc w:val="both"/>
        <w:rPr>
          <w:rFonts w:ascii="Times New Roman" w:hAnsi="Times New Roman"/>
          <w:szCs w:val="24"/>
        </w:rPr>
      </w:pPr>
    </w:p>
    <w:p w14:paraId="047FBFB8" w14:textId="77777777" w:rsidR="007B399B" w:rsidRPr="006E5DCD" w:rsidRDefault="002C15FD" w:rsidP="007B399B">
      <w:pPr>
        <w:tabs>
          <w:tab w:val="left" w:pos="8577"/>
        </w:tabs>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μ+σW</m:t>
                </m:r>
              </m:e>
            </m:d>
          </m:e>
        </m:func>
        <m:r>
          <w:rPr>
            <w:rFonts w:ascii="Cambria Math" w:hAnsi="Cambria Math" w:cs="Times New Roman"/>
            <w:sz w:val="24"/>
            <w:szCs w:val="24"/>
          </w:rPr>
          <m:t>*ksin(W)</m:t>
        </m:r>
      </m:oMath>
      <w:r w:rsidR="007B399B" w:rsidRPr="006E5DCD">
        <w:rPr>
          <w:rFonts w:ascii="Times New Roman" w:hAnsi="Times New Roman" w:cs="Times New Roman"/>
          <w:sz w:val="24"/>
          <w:szCs w:val="24"/>
        </w:rPr>
        <w:t xml:space="preserve"> </w:t>
      </w:r>
    </w:p>
    <w:p w14:paraId="33EABA2E"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Or</w:t>
      </w:r>
    </w:p>
    <w:p w14:paraId="4EF5435D" w14:textId="77777777" w:rsidR="007B399B" w:rsidRPr="006E5DCD" w:rsidRDefault="002C15FD" w:rsidP="007B399B">
      <w:pPr>
        <w:tabs>
          <w:tab w:val="left" w:pos="8577"/>
        </w:tabs>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μ+σW</m:t>
                </m:r>
              </m:e>
            </m:d>
          </m:e>
        </m:func>
        <m:r>
          <w:rPr>
            <w:rFonts w:ascii="Cambria Math" w:hAnsi="Cambria Math" w:cs="Times New Roman"/>
            <w:sz w:val="24"/>
            <w:szCs w:val="24"/>
          </w:rPr>
          <m:t>*kcos</m:t>
        </m:r>
        <m:d>
          <m:dPr>
            <m:ctrlPr>
              <w:rPr>
                <w:rFonts w:ascii="Cambria Math" w:hAnsi="Cambria Math" w:cs="Times New Roman"/>
                <w:i/>
                <w:sz w:val="24"/>
                <w:szCs w:val="24"/>
              </w:rPr>
            </m:ctrlPr>
          </m:dPr>
          <m:e>
            <m:r>
              <w:rPr>
                <w:rFonts w:ascii="Cambria Math" w:hAnsi="Cambria Math" w:cs="Times New Roman"/>
                <w:sz w:val="24"/>
                <w:szCs w:val="24"/>
              </w:rPr>
              <m:t>W</m:t>
            </m:r>
          </m:e>
        </m:d>
      </m:oMath>
      <w:r w:rsidR="007B399B" w:rsidRPr="006E5DCD">
        <w:rPr>
          <w:rFonts w:ascii="Times New Roman" w:hAnsi="Times New Roman" w:cs="Times New Roman"/>
          <w:sz w:val="24"/>
          <w:szCs w:val="24"/>
        </w:rPr>
        <w:t xml:space="preserve"> with </w:t>
      </w: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0,1</m:t>
            </m:r>
          </m:e>
        </m:d>
        <m:r>
          <w:rPr>
            <w:rFonts w:ascii="Cambria Math" w:hAnsi="Cambria Math" w:cs="Times New Roman"/>
            <w:sz w:val="24"/>
            <w:szCs w:val="24"/>
          </w:rPr>
          <m:t>,W~N</m:t>
        </m:r>
        <m:d>
          <m:dPr>
            <m:ctrlPr>
              <w:rPr>
                <w:rFonts w:ascii="Cambria Math" w:hAnsi="Cambria Math" w:cs="Times New Roman"/>
                <w:i/>
                <w:sz w:val="24"/>
                <w:szCs w:val="24"/>
              </w:rPr>
            </m:ctrlPr>
          </m:dPr>
          <m:e>
            <m:r>
              <w:rPr>
                <w:rFonts w:ascii="Cambria Math" w:hAnsi="Cambria Math" w:cs="Times New Roman"/>
                <w:sz w:val="24"/>
                <w:szCs w:val="24"/>
              </w:rPr>
              <m:t>0,1</m:t>
            </m:r>
          </m:e>
        </m:d>
      </m:oMath>
    </w:p>
    <w:p w14:paraId="322619A8"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A much more simple and intuitive approach considered is Taylor series expansion of </w:t>
      </w:r>
      <m:oMath>
        <m:r>
          <w:rPr>
            <w:rFonts w:ascii="Cambria Math" w:hAnsi="Cambria Math" w:cs="Times New Roman"/>
            <w:sz w:val="24"/>
            <w:szCs w:val="24"/>
          </w:rPr>
          <m:t>Sinx</m:t>
        </m:r>
      </m:oMath>
      <w:r w:rsidRPr="006E5DCD">
        <w:rPr>
          <w:rFonts w:ascii="Times New Roman" w:hAnsi="Times New Roman" w:cs="Times New Roman"/>
          <w:sz w:val="24"/>
          <w:szCs w:val="24"/>
        </w:rPr>
        <w:t xml:space="preserve"> and </w:t>
      </w:r>
      <m:oMath>
        <m:r>
          <w:rPr>
            <w:rFonts w:ascii="Cambria Math" w:hAnsi="Cambria Math" w:cs="Times New Roman"/>
            <w:sz w:val="24"/>
            <w:szCs w:val="24"/>
          </w:rPr>
          <m:t>Cosx</m:t>
        </m:r>
      </m:oMath>
      <w:r w:rsidRPr="006E5DCD">
        <w:rPr>
          <w:rFonts w:ascii="Times New Roman" w:hAnsi="Times New Roman" w:cs="Times New Roman"/>
          <w:sz w:val="24"/>
          <w:szCs w:val="24"/>
        </w:rPr>
        <w:t xml:space="preserve"> which is.</w:t>
      </w:r>
    </w:p>
    <w:p w14:paraId="7AB317D2"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Sinx=x-</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5</m:t>
                  </m:r>
                </m:sup>
              </m:sSup>
            </m:num>
            <m:den>
              <m:r>
                <w:rPr>
                  <w:rFonts w:ascii="Cambria Math" w:hAnsi="Cambria Math" w:cs="Times New Roman"/>
                  <w:sz w:val="24"/>
                  <w:szCs w:val="24"/>
                </w:rPr>
                <m:t>5!</m:t>
              </m:r>
            </m:den>
          </m:f>
          <m:r>
            <w:rPr>
              <w:rFonts w:ascii="Cambria Math" w:hAnsi="Cambria Math" w:cs="Times New Roman"/>
              <w:sz w:val="24"/>
              <w:szCs w:val="24"/>
            </w:rPr>
            <m:t>-…for all x</m:t>
          </m:r>
        </m:oMath>
      </m:oMathPara>
    </w:p>
    <w:p w14:paraId="43A5D2AB"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Cosx=1-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num>
            <m:den>
              <m:r>
                <w:rPr>
                  <w:rFonts w:ascii="Cambria Math" w:hAnsi="Cambria Math" w:cs="Times New Roman"/>
                  <w:sz w:val="24"/>
                  <w:szCs w:val="24"/>
                </w:rPr>
                <m:t>4!</m:t>
              </m:r>
            </m:den>
          </m:f>
          <m:r>
            <w:rPr>
              <w:rFonts w:ascii="Cambria Math" w:hAnsi="Cambria Math" w:cs="Times New Roman"/>
              <w:sz w:val="24"/>
              <w:szCs w:val="24"/>
            </w:rPr>
            <m:t>-…for all x</m:t>
          </m:r>
        </m:oMath>
      </m:oMathPara>
    </w:p>
    <w:p w14:paraId="4B8FBBDE"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And then including first two terms of each series into GBM model as</w:t>
      </w:r>
    </w:p>
    <w:p w14:paraId="64271401" w14:textId="77777777" w:rsidR="007B399B" w:rsidRPr="006E5DCD" w:rsidRDefault="002C15FD" w:rsidP="007B399B">
      <w:pPr>
        <w:tabs>
          <w:tab w:val="left" w:pos="8577"/>
        </w:tabs>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μ+σz*k(x-</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e>
              </m:d>
            </m:e>
          </m:func>
          <m:r>
            <w:rPr>
              <w:rFonts w:ascii="Cambria Math" w:hAnsi="Cambria Math" w:cs="Times New Roman"/>
              <w:sz w:val="24"/>
              <w:szCs w:val="24"/>
            </w:rPr>
            <m:t xml:space="preserve">  for Sinx</m:t>
          </m:r>
        </m:oMath>
      </m:oMathPara>
    </w:p>
    <w:p w14:paraId="4A375AD5" w14:textId="77777777" w:rsidR="007B399B" w:rsidRPr="006E5DCD" w:rsidRDefault="007B399B" w:rsidP="007B399B">
      <w:pPr>
        <w:tabs>
          <w:tab w:val="left" w:pos="8577"/>
        </w:tabs>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And </w:t>
      </w:r>
    </w:p>
    <w:p w14:paraId="48A46981" w14:textId="77777777" w:rsidR="007B399B" w:rsidRPr="006E5DCD" w:rsidRDefault="002C15FD" w:rsidP="007B399B">
      <w:pPr>
        <w:tabs>
          <w:tab w:val="left" w:pos="8577"/>
        </w:tabs>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μ+σz*k(1-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e>
              </m:d>
            </m:e>
          </m:func>
          <m:r>
            <w:rPr>
              <w:rFonts w:ascii="Cambria Math" w:hAnsi="Cambria Math" w:cs="Times New Roman"/>
              <w:sz w:val="24"/>
              <w:szCs w:val="24"/>
            </w:rPr>
            <m:t xml:space="preserve">  for Cosx</m:t>
          </m:r>
        </m:oMath>
      </m:oMathPara>
    </w:p>
    <w:p w14:paraId="667068AE" w14:textId="77777777" w:rsidR="007B399B"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Only first two terms of each series were considered in each equation above to have minimum effect on model as it is already increasing exponentially. The embedding of first two terms of Taylor series makes the model more coherent with GBM model. To model the historic returns distribution, this research also included a range of other functions including exponential, trigonometric, inverse trigonometric and combination of such functions to capture the true nature of returns distribution but the quest of modifying the GBM proved as challenging as it was at the start. However, after extensive efforts for developing the modified GBM with all the different combinations of functions, one function which passed the rigorous workings of fitting to different datasets from different time periods is tangent inverse (a</w:t>
      </w:r>
      <w:r>
        <w:rPr>
          <w:rFonts w:ascii="Times New Roman" w:hAnsi="Times New Roman" w:cs="Times New Roman"/>
          <w:sz w:val="24"/>
          <w:szCs w:val="24"/>
        </w:rPr>
        <w:t>rc</w:t>
      </w:r>
      <w:r w:rsidRPr="006E5DCD">
        <w:rPr>
          <w:rFonts w:ascii="Times New Roman" w:hAnsi="Times New Roman" w:cs="Times New Roman"/>
          <w:sz w:val="24"/>
          <w:szCs w:val="24"/>
        </w:rPr>
        <w:t>tan). The reason for that is the shape of the inverse tangent function which when combined with exponential function scales up the shape within a given interval. The figure below presents a sketch of inverse tangent function to explain this phenomenon.</w:t>
      </w:r>
    </w:p>
    <w:p w14:paraId="016CCDDB" w14:textId="77777777" w:rsidR="007B399B" w:rsidRPr="006E5DCD" w:rsidRDefault="007B399B" w:rsidP="007B399B">
      <w:pPr>
        <w:spacing w:line="360" w:lineRule="auto"/>
        <w:jc w:val="both"/>
        <w:rPr>
          <w:rFonts w:ascii="Times New Roman" w:hAnsi="Times New Roman" w:cs="Times New Roman"/>
          <w:sz w:val="24"/>
          <w:szCs w:val="24"/>
        </w:rPr>
      </w:pPr>
    </w:p>
    <w:p w14:paraId="373654D0" w14:textId="77777777" w:rsidR="008128CD" w:rsidRDefault="007B399B" w:rsidP="008128CD">
      <w:pPr>
        <w:keepNext/>
        <w:spacing w:line="360" w:lineRule="auto"/>
      </w:pPr>
      <w:r w:rsidRPr="006E5DCD">
        <w:rPr>
          <w:rFonts w:ascii="Times New Roman" w:hAnsi="Times New Roman" w:cs="Times New Roman"/>
          <w:noProof/>
          <w:sz w:val="24"/>
          <w:szCs w:val="24"/>
          <w:lang w:eastAsia="en-GB"/>
        </w:rPr>
        <w:drawing>
          <wp:inline distT="0" distB="0" distL="0" distR="0" wp14:anchorId="3001724E" wp14:editId="428AEC4F">
            <wp:extent cx="5731510" cy="2534285"/>
            <wp:effectExtent l="19050" t="0" r="2540" b="0"/>
            <wp:docPr id="107" name="Picture 1" desc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n.jpg"/>
                    <pic:cNvPicPr/>
                  </pic:nvPicPr>
                  <pic:blipFill>
                    <a:blip r:embed="rId115" cstate="print"/>
                    <a:stretch>
                      <a:fillRect/>
                    </a:stretch>
                  </pic:blipFill>
                  <pic:spPr>
                    <a:xfrm>
                      <a:off x="0" y="0"/>
                      <a:ext cx="5731510" cy="2534285"/>
                    </a:xfrm>
                    <a:prstGeom prst="rect">
                      <a:avLst/>
                    </a:prstGeom>
                  </pic:spPr>
                </pic:pic>
              </a:graphicData>
            </a:graphic>
          </wp:inline>
        </w:drawing>
      </w:r>
    </w:p>
    <w:p w14:paraId="3B7B82AE" w14:textId="4F57E4B5" w:rsidR="00AA6A82" w:rsidRPr="008128CD" w:rsidRDefault="008128CD" w:rsidP="008128CD">
      <w:pPr>
        <w:pStyle w:val="Caption"/>
        <w:jc w:val="center"/>
        <w:rPr>
          <w:rFonts w:ascii="Times New Roman" w:hAnsi="Times New Roman" w:cs="Times New Roman"/>
          <w:color w:val="auto"/>
          <w:sz w:val="24"/>
          <w:szCs w:val="24"/>
        </w:rPr>
      </w:pPr>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3.1.2</w:t>
      </w:r>
      <w:r w:rsidRPr="008128CD">
        <w:rPr>
          <w:rFonts w:ascii="Times New Roman" w:hAnsi="Times New Roman" w:cs="Times New Roman"/>
          <w:color w:val="auto"/>
          <w:sz w:val="24"/>
          <w:szCs w:val="24"/>
        </w:rPr>
        <w:t xml:space="preserve"> Graph of inverse tangent.</w:t>
      </w:r>
    </w:p>
    <w:p w14:paraId="6421AB6F" w14:textId="77777777" w:rsidR="007B399B" w:rsidRPr="003C21D3" w:rsidRDefault="007B399B" w:rsidP="007B399B">
      <w:pPr>
        <w:pStyle w:val="NoSpacing"/>
        <w:jc w:val="center"/>
        <w:rPr>
          <w:rFonts w:ascii="Times New Roman" w:hAnsi="Times New Roman"/>
        </w:rPr>
      </w:pPr>
      <w:r w:rsidRPr="003C21D3">
        <w:rPr>
          <w:rFonts w:ascii="Times New Roman" w:hAnsi="Times New Roman"/>
        </w:rPr>
        <w:t xml:space="preserve">Source: Dhesi </w:t>
      </w:r>
      <w:r w:rsidRPr="003C21D3">
        <w:rPr>
          <w:rFonts w:ascii="Times New Roman" w:hAnsi="Times New Roman"/>
          <w:i/>
        </w:rPr>
        <w:t>et al</w:t>
      </w:r>
      <w:r w:rsidRPr="003C21D3">
        <w:rPr>
          <w:rFonts w:ascii="Times New Roman" w:hAnsi="Times New Roman"/>
        </w:rPr>
        <w:t>., 2016</w:t>
      </w:r>
    </w:p>
    <w:p w14:paraId="7ABA9CA9" w14:textId="3E129884" w:rsidR="007B399B" w:rsidRPr="00612DC0" w:rsidRDefault="007B399B" w:rsidP="007B399B">
      <w:pPr>
        <w:pStyle w:val="Heading2"/>
        <w:jc w:val="both"/>
        <w:rPr>
          <w:rFonts w:ascii="Times New Roman" w:hAnsi="Times New Roman" w:cs="Times New Roman"/>
        </w:rPr>
      </w:pPr>
      <w:bookmarkStart w:id="178" w:name="_Toc11914270"/>
      <w:bookmarkStart w:id="179" w:name="_Toc90500000"/>
      <w:bookmarkStart w:id="180" w:name="_Hlk82640245"/>
      <w:r>
        <w:rPr>
          <w:rFonts w:ascii="Times New Roman" w:hAnsi="Times New Roman" w:cs="Times New Roman"/>
        </w:rPr>
        <w:lastRenderedPageBreak/>
        <w:t>3.2.</w:t>
      </w:r>
      <w:r w:rsidR="00F23D74">
        <w:rPr>
          <w:rFonts w:ascii="Times New Roman" w:hAnsi="Times New Roman" w:cs="Times New Roman"/>
        </w:rPr>
        <w:t>5</w:t>
      </w:r>
      <w:r>
        <w:rPr>
          <w:rFonts w:ascii="Times New Roman" w:hAnsi="Times New Roman" w:cs="Times New Roman"/>
        </w:rPr>
        <w:t xml:space="preserve"> </w:t>
      </w:r>
      <w:r w:rsidRPr="00612DC0">
        <w:rPr>
          <w:rFonts w:ascii="Times New Roman" w:hAnsi="Times New Roman" w:cs="Times New Roman"/>
        </w:rPr>
        <w:t xml:space="preserve">Towards the </w:t>
      </w:r>
      <m:oMath>
        <m:r>
          <m:rPr>
            <m:sty m:val="bi"/>
          </m:rPr>
          <w:rPr>
            <w:rFonts w:ascii="Cambria Math" w:hAnsi="Cambria Math" w:cs="Times New Roman"/>
          </w:rPr>
          <m:t>f(Z)</m:t>
        </m:r>
      </m:oMath>
      <w:r w:rsidRPr="00612DC0">
        <w:rPr>
          <w:rFonts w:ascii="Times New Roman" w:hAnsi="Times New Roman" w:cs="Times New Roman"/>
        </w:rPr>
        <w:t xml:space="preserve"> function:</w:t>
      </w:r>
      <w:bookmarkEnd w:id="178"/>
      <w:bookmarkEnd w:id="179"/>
    </w:p>
    <w:p w14:paraId="2ABCA8D1" w14:textId="77777777" w:rsidR="007B399B" w:rsidRPr="00612DC0" w:rsidRDefault="007B399B" w:rsidP="007B399B">
      <w:pPr>
        <w:spacing w:line="360" w:lineRule="auto"/>
        <w:jc w:val="both"/>
        <w:rPr>
          <w:rFonts w:ascii="Times New Roman" w:hAnsi="Times New Roman" w:cs="Times New Roman"/>
          <w:sz w:val="24"/>
          <w:szCs w:val="24"/>
        </w:rPr>
      </w:pPr>
      <w:r>
        <w:rPr>
          <w:rFonts w:ascii="Times New Roman" w:hAnsi="Times New Roman" w:cs="Times New Roman"/>
          <w:sz w:val="24"/>
          <w:szCs w:val="24"/>
        </w:rPr>
        <w:t>It is always convoluted</w:t>
      </w:r>
      <w:r w:rsidRPr="00612DC0">
        <w:rPr>
          <w:rFonts w:ascii="Times New Roman" w:hAnsi="Times New Roman" w:cs="Times New Roman"/>
          <w:sz w:val="24"/>
          <w:szCs w:val="24"/>
        </w:rPr>
        <w:t xml:space="preserve"> what is to be considered as rational or irrational behaviour, as briefly outlined in Section</w:t>
      </w:r>
      <w:r>
        <w:rPr>
          <w:rFonts w:ascii="Times New Roman" w:hAnsi="Times New Roman" w:cs="Times New Roman"/>
          <w:sz w:val="24"/>
          <w:szCs w:val="24"/>
        </w:rPr>
        <w:t>,</w:t>
      </w:r>
      <w:r w:rsidRPr="00612DC0">
        <w:rPr>
          <w:rFonts w:ascii="Times New Roman" w:hAnsi="Times New Roman" w:cs="Times New Roman"/>
          <w:sz w:val="24"/>
          <w:szCs w:val="24"/>
        </w:rPr>
        <w:t xml:space="preserve"> through a few references. In line with the Efficient Market Hypothesis, attribute rational behaviour of the markets to the notion that the market price incorporates all information rationally and instantly. Thereafter, the irrational component has to be introduced.</w:t>
      </w:r>
    </w:p>
    <w:p w14:paraId="22A51738" w14:textId="77777777" w:rsidR="007B399B" w:rsidRPr="00612DC0" w:rsidRDefault="007B399B" w:rsidP="007B399B">
      <w:pPr>
        <w:spacing w:line="360" w:lineRule="auto"/>
        <w:jc w:val="both"/>
        <w:rPr>
          <w:rFonts w:ascii="Times New Roman" w:hAnsi="Times New Roman" w:cs="Times New Roman"/>
          <w:sz w:val="24"/>
          <w:szCs w:val="24"/>
        </w:rPr>
      </w:pPr>
      <w:r>
        <w:rPr>
          <w:rFonts w:ascii="Times New Roman" w:hAnsi="Times New Roman" w:cs="Times New Roman"/>
          <w:sz w:val="24"/>
          <w:szCs w:val="24"/>
        </w:rPr>
        <w:t>As discussed,</w:t>
      </w:r>
      <w:r w:rsidRPr="00612DC0">
        <w:rPr>
          <w:rFonts w:ascii="Times New Roman" w:hAnsi="Times New Roman" w:cs="Times New Roman"/>
          <w:sz w:val="24"/>
          <w:szCs w:val="24"/>
        </w:rPr>
        <w:t xml:space="preserve"> the usual financial log-returns definition. </w:t>
      </w:r>
    </w:p>
    <w:p w14:paraId="32788926" w14:textId="77777777" w:rsidR="007B399B" w:rsidRPr="00612DC0" w:rsidRDefault="007B399B" w:rsidP="007B399B">
      <w:pPr>
        <w:spacing w:line="480" w:lineRule="auto"/>
        <w:ind w:left="720" w:firstLine="720"/>
        <w:rPr>
          <w:rFonts w:ascii="Cambria Math" w:hAnsi="Cambria Math" w:cs="Times New Roman"/>
          <w:sz w:val="24"/>
          <w:szCs w:val="24"/>
          <w:oMath/>
        </w:rPr>
      </w:pPr>
      <w:r w:rsidRPr="00612DC0">
        <w:rPr>
          <w:rFonts w:ascii="Times New Roman" w:hAnsi="Times New Roman" w:cs="Times New Roman"/>
          <w:position w:val="-30"/>
          <w:sz w:val="24"/>
          <w:szCs w:val="24"/>
        </w:rPr>
        <w:object w:dxaOrig="3960" w:dyaOrig="680" w14:anchorId="2E57AFB3">
          <v:shape id="_x0000_i1064" type="#_x0000_t75" style="width:194.25pt;height:36pt" o:ole="">
            <v:imagedata r:id="rId103" o:title=""/>
          </v:shape>
          <o:OLEObject Type="Embed" ProgID="Equation.DSMT4" ShapeID="_x0000_i1064" DrawAspect="Content" ObjectID="_1704578336" r:id="rId116"/>
        </w:object>
      </w:r>
      <w:r w:rsidRPr="00612DC0">
        <w:rPr>
          <w:rFonts w:ascii="Times New Roman" w:hAnsi="Times New Roman" w:cs="Times New Roman"/>
          <w:sz w:val="24"/>
          <w:szCs w:val="24"/>
        </w:rPr>
        <w:tab/>
      </w:r>
      <w:r w:rsidRPr="00612DC0">
        <w:rPr>
          <w:rFonts w:ascii="Times New Roman" w:hAnsi="Times New Roman" w:cs="Times New Roman"/>
          <w:sz w:val="24"/>
          <w:szCs w:val="24"/>
        </w:rPr>
        <w:tab/>
      </w:r>
      <w:r w:rsidRPr="00612DC0">
        <w:rPr>
          <w:rFonts w:ascii="Times New Roman" w:hAnsi="Times New Roman" w:cs="Times New Roman"/>
          <w:sz w:val="24"/>
          <w:szCs w:val="24"/>
        </w:rPr>
        <w:tab/>
      </w:r>
    </w:p>
    <w:p w14:paraId="55324D6C" w14:textId="77777777" w:rsidR="007B399B" w:rsidRDefault="007B399B" w:rsidP="007B399B">
      <w:pPr>
        <w:spacing w:line="360" w:lineRule="auto"/>
        <w:jc w:val="both"/>
        <w:rPr>
          <w:rFonts w:ascii="Times New Roman" w:hAnsi="Times New Roman" w:cs="Times New Roman"/>
          <w:sz w:val="24"/>
          <w:szCs w:val="24"/>
        </w:rPr>
      </w:pPr>
      <w:r w:rsidRPr="00612DC0">
        <w:rPr>
          <w:rFonts w:ascii="Times New Roman" w:hAnsi="Times New Roman" w:cs="Times New Roman"/>
          <w:sz w:val="24"/>
          <w:szCs w:val="24"/>
        </w:rPr>
        <w:t xml:space="preserve">where </w:t>
      </w:r>
      <m:oMath>
        <m:r>
          <w:rPr>
            <w:rFonts w:ascii="Cambria Math" w:hAnsi="Cambria Math" w:cs="Times New Roman"/>
            <w:sz w:val="24"/>
            <w:szCs w:val="24"/>
          </w:rPr>
          <m:t>µ</m:t>
        </m:r>
      </m:oMath>
      <w:r w:rsidRPr="00612DC0">
        <w:rPr>
          <w:rFonts w:ascii="Times New Roman" w:hAnsi="Times New Roman" w:cs="Times New Roman"/>
          <w:sz w:val="24"/>
          <w:szCs w:val="24"/>
        </w:rPr>
        <w:t xml:space="preserve"> is the average return and </w:t>
      </w:r>
      <w:r w:rsidRPr="00612DC0">
        <w:rPr>
          <w:rFonts w:ascii="Times New Roman" w:hAnsi="Times New Roman" w:cs="Times New Roman"/>
          <w:position w:val="-12"/>
          <w:sz w:val="24"/>
          <w:szCs w:val="24"/>
        </w:rPr>
        <w:object w:dxaOrig="240" w:dyaOrig="360" w14:anchorId="74FC3513">
          <v:shape id="_x0000_i1065" type="#_x0000_t75" style="width:15pt;height:21.75pt" o:ole="">
            <v:imagedata r:id="rId105" o:title=""/>
          </v:shape>
          <o:OLEObject Type="Embed" ProgID="Equation.DSMT4" ShapeID="_x0000_i1065" DrawAspect="Content" ObjectID="_1704578337" r:id="rId117"/>
        </w:object>
      </w:r>
      <w:r w:rsidRPr="00612DC0">
        <w:rPr>
          <w:rFonts w:ascii="Times New Roman" w:hAnsi="Times New Roman" w:cs="Times New Roman"/>
          <w:sz w:val="24"/>
          <w:szCs w:val="24"/>
        </w:rPr>
        <w:t xml:space="preserve"> is assumed to be normally independently distributed (NID) with zero mean and constant variance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612DC0">
        <w:rPr>
          <w:rFonts w:ascii="Times New Roman" w:hAnsi="Times New Roman" w:cs="Times New Roman"/>
          <w:sz w:val="24"/>
          <w:szCs w:val="24"/>
        </w:rPr>
        <w:t>(a “white noise”), within the underlying assumptions of the error term in the EMH. The above equa</w:t>
      </w:r>
      <w:proofErr w:type="spellStart"/>
      <w:r w:rsidRPr="00612DC0">
        <w:rPr>
          <w:rFonts w:ascii="Times New Roman" w:hAnsi="Times New Roman" w:cs="Times New Roman"/>
          <w:sz w:val="24"/>
          <w:szCs w:val="24"/>
        </w:rPr>
        <w:t>tion</w:t>
      </w:r>
      <w:proofErr w:type="spellEnd"/>
      <w:r w:rsidRPr="00612DC0">
        <w:rPr>
          <w:rFonts w:ascii="Times New Roman" w:hAnsi="Times New Roman" w:cs="Times New Roman"/>
          <w:sz w:val="24"/>
          <w:szCs w:val="24"/>
        </w:rPr>
        <w:t xml:space="preserve"> can be written as </w:t>
      </w:r>
    </w:p>
    <w:p w14:paraId="05D1012E" w14:textId="77777777" w:rsidR="007B399B" w:rsidRPr="00612DC0" w:rsidRDefault="007B399B" w:rsidP="007B399B">
      <w:pPr>
        <w:spacing w:line="480" w:lineRule="auto"/>
        <w:ind w:left="720" w:firstLine="720"/>
        <w:jc w:val="both"/>
        <w:rPr>
          <w:rFonts w:ascii="Cambria Math" w:hAnsi="Cambria Math" w:cs="Times New Roman"/>
          <w:sz w:val="24"/>
          <w:szCs w:val="24"/>
          <w:oMath/>
        </w:rPr>
      </w:pPr>
      <w:r w:rsidRPr="00612DC0">
        <w:rPr>
          <w:rFonts w:ascii="Times New Roman" w:hAnsi="Times New Roman" w:cs="Times New Roman"/>
          <w:position w:val="-12"/>
          <w:sz w:val="24"/>
          <w:szCs w:val="24"/>
        </w:rPr>
        <w:object w:dxaOrig="2680" w:dyaOrig="440" w14:anchorId="0A8D0BF2">
          <v:shape id="_x0000_i1066" type="#_x0000_t75" style="width:129pt;height:21.75pt" o:ole="">
            <v:imagedata r:id="rId118" o:title=""/>
          </v:shape>
          <o:OLEObject Type="Embed" ProgID="Equation.3" ShapeID="_x0000_i1066" DrawAspect="Content" ObjectID="_1704578338" r:id="rId119"/>
        </w:object>
      </w:r>
      <w:r w:rsidRPr="00612DC0">
        <w:rPr>
          <w:rFonts w:ascii="Times New Roman" w:hAnsi="Times New Roman" w:cs="Times New Roman"/>
          <w:sz w:val="24"/>
          <w:szCs w:val="24"/>
        </w:rPr>
        <w:tab/>
      </w:r>
      <w:r w:rsidRPr="00612DC0">
        <w:rPr>
          <w:rFonts w:ascii="Times New Roman" w:hAnsi="Times New Roman" w:cs="Times New Roman"/>
          <w:sz w:val="24"/>
          <w:szCs w:val="24"/>
        </w:rPr>
        <w:tab/>
      </w:r>
      <w:r w:rsidRPr="00612DC0">
        <w:rPr>
          <w:rFonts w:ascii="Times New Roman" w:hAnsi="Times New Roman" w:cs="Times New Roman"/>
          <w:sz w:val="24"/>
          <w:szCs w:val="24"/>
        </w:rPr>
        <w:tab/>
      </w:r>
      <w:r w:rsidRPr="00612DC0">
        <w:rPr>
          <w:rFonts w:ascii="Times New Roman" w:hAnsi="Times New Roman" w:cs="Times New Roman"/>
          <w:sz w:val="24"/>
          <w:szCs w:val="24"/>
        </w:rPr>
        <w:tab/>
      </w:r>
      <w:r w:rsidRPr="00612DC0">
        <w:rPr>
          <w:rFonts w:ascii="Times New Roman" w:hAnsi="Times New Roman" w:cs="Times New Roman"/>
          <w:sz w:val="24"/>
          <w:szCs w:val="24"/>
        </w:rPr>
        <w:tab/>
      </w:r>
    </w:p>
    <w:p w14:paraId="3E26E620" w14:textId="3F5F7B83" w:rsidR="007B399B" w:rsidRDefault="007B399B" w:rsidP="007B399B">
      <w:pPr>
        <w:spacing w:line="360" w:lineRule="auto"/>
        <w:jc w:val="both"/>
        <w:rPr>
          <w:rFonts w:ascii="Times New Roman" w:hAnsi="Times New Roman" w:cs="Times New Roman"/>
          <w:sz w:val="24"/>
          <w:szCs w:val="24"/>
        </w:rPr>
      </w:pPr>
      <w:r w:rsidRPr="00612DC0">
        <w:rPr>
          <w:rFonts w:ascii="Times New Roman" w:hAnsi="Times New Roman" w:cs="Times New Roman"/>
          <w:sz w:val="24"/>
          <w:szCs w:val="24"/>
        </w:rPr>
        <w:t xml:space="preserve">in which </w:t>
      </w:r>
      <w:r w:rsidRPr="00612DC0">
        <w:rPr>
          <w:rFonts w:ascii="Times New Roman" w:hAnsi="Times New Roman" w:cs="Times New Roman"/>
          <w:position w:val="-12"/>
          <w:sz w:val="24"/>
          <w:szCs w:val="24"/>
        </w:rPr>
        <w:object w:dxaOrig="279" w:dyaOrig="360" w14:anchorId="60100812">
          <v:shape id="_x0000_i1067" type="#_x0000_t75" style="width:15pt;height:21.75pt" o:ole="">
            <v:imagedata r:id="rId120" o:title=""/>
          </v:shape>
          <o:OLEObject Type="Embed" ProgID="Equation.DSMT4" ShapeID="_x0000_i1067" DrawAspect="Content" ObjectID="_1704578339" r:id="rId121"/>
        </w:object>
      </w:r>
      <w:r w:rsidRPr="00612DC0">
        <w:rPr>
          <w:rFonts w:ascii="Times New Roman" w:hAnsi="Times New Roman" w:cs="Times New Roman"/>
          <w:sz w:val="24"/>
          <w:szCs w:val="24"/>
        </w:rPr>
        <w:t xml:space="preserve"> is a random number, drawn from a standardised normal (“Gaussian”) distribution and </w:t>
      </w:r>
      <m:oMath>
        <m:r>
          <w:rPr>
            <w:rFonts w:ascii="Cambria Math" w:hAnsi="Cambria Math" w:cs="Times New Roman"/>
            <w:sz w:val="24"/>
            <w:szCs w:val="24"/>
          </w:rPr>
          <m:t xml:space="preserve">δt </m:t>
        </m:r>
      </m:oMath>
      <w:r w:rsidRPr="00612DC0">
        <w:rPr>
          <w:rFonts w:ascii="Times New Roman" w:hAnsi="Times New Roman" w:cs="Times New Roman"/>
          <w:sz w:val="24"/>
          <w:szCs w:val="24"/>
        </w:rPr>
        <w:t>is a small-time step. This equation is deployed to model returns distributions b</w:t>
      </w:r>
      <w:proofErr w:type="spellStart"/>
      <w:r w:rsidRPr="00612DC0">
        <w:rPr>
          <w:rFonts w:ascii="Times New Roman" w:hAnsi="Times New Roman" w:cs="Times New Roman"/>
          <w:sz w:val="24"/>
          <w:szCs w:val="24"/>
        </w:rPr>
        <w:t>ased</w:t>
      </w:r>
      <w:proofErr w:type="spellEnd"/>
      <w:r w:rsidRPr="00612DC0">
        <w:rPr>
          <w:rFonts w:ascii="Times New Roman" w:hAnsi="Times New Roman" w:cs="Times New Roman"/>
          <w:sz w:val="24"/>
          <w:szCs w:val="24"/>
        </w:rPr>
        <w:t xml:space="preserve"> on the Geometric Brownian Motion (GBM), e.g., </w:t>
      </w:r>
      <w:r w:rsidRPr="00612DC0">
        <w:rPr>
          <w:rFonts w:ascii="Times New Roman" w:eastAsia="Times New Roman" w:hAnsi="Times New Roman" w:cs="Times New Roman"/>
          <w:sz w:val="24"/>
          <w:szCs w:val="24"/>
        </w:rPr>
        <w:t xml:space="preserve">see Peters (1990) or Paul and </w:t>
      </w:r>
      <w:proofErr w:type="spellStart"/>
      <w:r w:rsidRPr="00612DC0">
        <w:rPr>
          <w:rFonts w:ascii="Times New Roman" w:eastAsia="Times New Roman" w:hAnsi="Times New Roman" w:cs="Times New Roman"/>
          <w:sz w:val="24"/>
          <w:szCs w:val="24"/>
        </w:rPr>
        <w:t>Baschnagel</w:t>
      </w:r>
      <w:proofErr w:type="spellEnd"/>
      <w:r w:rsidRPr="00612DC0">
        <w:rPr>
          <w:rFonts w:ascii="Times New Roman" w:eastAsia="Times New Roman" w:hAnsi="Times New Roman" w:cs="Times New Roman"/>
          <w:sz w:val="24"/>
          <w:szCs w:val="24"/>
        </w:rPr>
        <w:t xml:space="preserve"> (1989).</w:t>
      </w:r>
      <w:r w:rsidRPr="00612DC0">
        <w:rPr>
          <w:rFonts w:ascii="Times New Roman" w:hAnsi="Times New Roman" w:cs="Times New Roman"/>
          <w:sz w:val="24"/>
          <w:szCs w:val="24"/>
        </w:rPr>
        <w:t xml:space="preserve"> However, the distribution of returns generated from this GBM model does not match the distribution of historic returns data which often show leptokurtosis (Breen </w:t>
      </w:r>
      <w:r w:rsidRPr="00612DC0">
        <w:rPr>
          <w:rFonts w:ascii="Times New Roman" w:hAnsi="Times New Roman" w:cs="Times New Roman"/>
          <w:i/>
          <w:sz w:val="24"/>
          <w:szCs w:val="24"/>
        </w:rPr>
        <w:t>et al.</w:t>
      </w:r>
      <w:r w:rsidRPr="00612DC0">
        <w:rPr>
          <w:rFonts w:ascii="Times New Roman" w:hAnsi="Times New Roman" w:cs="Times New Roman"/>
          <w:sz w:val="24"/>
          <w:szCs w:val="24"/>
        </w:rPr>
        <w:t xml:space="preserve">, 1998; Lux, 1989). Motivated by an experimental paper due to Dhesi </w:t>
      </w:r>
      <w:r w:rsidRPr="00612DC0">
        <w:rPr>
          <w:rFonts w:ascii="Times New Roman" w:hAnsi="Times New Roman" w:cs="Times New Roman"/>
          <w:i/>
          <w:sz w:val="24"/>
          <w:szCs w:val="24"/>
        </w:rPr>
        <w:t>et al. (2011)</w:t>
      </w:r>
      <w:r w:rsidRPr="00612DC0">
        <w:rPr>
          <w:rFonts w:ascii="Times New Roman" w:hAnsi="Times New Roman" w:cs="Times New Roman"/>
          <w:sz w:val="24"/>
          <w:szCs w:val="24"/>
        </w:rPr>
        <w:t xml:space="preserve">, added a function of the random number </w:t>
      </w:r>
      <w:r w:rsidRPr="00612DC0">
        <w:rPr>
          <w:rFonts w:ascii="Times New Roman" w:hAnsi="Times New Roman" w:cs="Times New Roman"/>
          <w:position w:val="-12"/>
          <w:sz w:val="24"/>
          <w:szCs w:val="24"/>
        </w:rPr>
        <w:object w:dxaOrig="279" w:dyaOrig="360" w14:anchorId="62128D7A">
          <v:shape id="_x0000_i1068" type="#_x0000_t75" style="width:15pt;height:21.75pt" o:ole="">
            <v:imagedata r:id="rId109" o:title=""/>
          </v:shape>
          <o:OLEObject Type="Embed" ProgID="Equation.DSMT4" ShapeID="_x0000_i1068" DrawAspect="Content" ObjectID="_1704578340" r:id="rId122"/>
        </w:object>
      </w:r>
      <w:r w:rsidRPr="00612DC0">
        <w:rPr>
          <w:rFonts w:ascii="Times New Roman" w:hAnsi="Times New Roman" w:cs="Times New Roman"/>
          <w:sz w:val="24"/>
          <w:szCs w:val="24"/>
        </w:rPr>
        <w:t xml:space="preserve"> weighted by the mean and an extra parameter  </w:t>
      </w:r>
      <m:oMath>
        <m:r>
          <w:rPr>
            <w:rFonts w:ascii="Cambria Math" w:hAnsi="Cambria Math" w:cs="Times New Roman"/>
            <w:sz w:val="24"/>
            <w:szCs w:val="24"/>
          </w:rPr>
          <m:t xml:space="preserve"> K</m:t>
        </m:r>
      </m:oMath>
      <w:r w:rsidRPr="00612DC0">
        <w:rPr>
          <w:rFonts w:ascii="Times New Roman" w:hAnsi="Times New Roman" w:cs="Times New Roman"/>
          <w:sz w:val="24"/>
          <w:szCs w:val="24"/>
        </w:rPr>
        <w:t xml:space="preserve">, </w:t>
      </w:r>
      <w:proofErr w:type="gramStart"/>
      <w:r w:rsidRPr="00612DC0">
        <w:rPr>
          <w:rFonts w:ascii="Times New Roman" w:hAnsi="Times New Roman" w:cs="Times New Roman"/>
          <w:sz w:val="24"/>
          <w:szCs w:val="24"/>
        </w:rPr>
        <w:t>in order to</w:t>
      </w:r>
      <w:proofErr w:type="gramEnd"/>
      <w:r w:rsidRPr="00612DC0">
        <w:rPr>
          <w:rFonts w:ascii="Times New Roman" w:hAnsi="Times New Roman" w:cs="Times New Roman"/>
          <w:sz w:val="24"/>
          <w:szCs w:val="24"/>
        </w:rPr>
        <w:t xml:space="preserve"> describe the returns distribution through</w:t>
      </w:r>
      <w:r>
        <w:rPr>
          <w:rFonts w:ascii="Times New Roman" w:hAnsi="Times New Roman" w:cs="Times New Roman"/>
          <w:sz w:val="24"/>
          <w:szCs w:val="24"/>
        </w:rPr>
        <w:t xml:space="preserve"> (</w:t>
      </w:r>
      <w:r w:rsidRPr="000A6F24">
        <w:rPr>
          <w:rFonts w:ascii="Times New Roman" w:hAnsi="Times New Roman" w:cs="Times New Roman"/>
          <w:sz w:val="24"/>
          <w:szCs w:val="24"/>
        </w:rPr>
        <w:t xml:space="preserve">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2016</w:t>
      </w:r>
      <w:r>
        <w:rPr>
          <w:rFonts w:ascii="Times New Roman" w:hAnsi="Times New Roman" w:cs="Times New Roman"/>
          <w:sz w:val="24"/>
          <w:szCs w:val="24"/>
        </w:rPr>
        <w:t>)</w:t>
      </w:r>
      <w:r w:rsidRPr="00612DC0">
        <w:rPr>
          <w:rFonts w:ascii="Times New Roman" w:hAnsi="Times New Roman" w:cs="Times New Roman"/>
          <w:sz w:val="24"/>
          <w:szCs w:val="24"/>
        </w:rPr>
        <w:t xml:space="preserve">. </w:t>
      </w:r>
    </w:p>
    <w:p w14:paraId="2EF65B8A" w14:textId="77777777" w:rsidR="007B399B" w:rsidRPr="00612DC0" w:rsidRDefault="007B399B" w:rsidP="007B399B">
      <w:pPr>
        <w:autoSpaceDE w:val="0"/>
        <w:autoSpaceDN w:val="0"/>
        <w:adjustRightInd w:val="0"/>
        <w:spacing w:line="480" w:lineRule="auto"/>
        <w:ind w:left="720" w:firstLine="720"/>
        <w:jc w:val="both"/>
        <w:rPr>
          <w:rFonts w:ascii="Cambria Math" w:hAnsi="Cambria Math" w:cs="Times New Roman"/>
          <w:sz w:val="24"/>
          <w:szCs w:val="24"/>
          <w:oMath/>
        </w:rPr>
      </w:pPr>
      <w:r w:rsidRPr="00612DC0">
        <w:rPr>
          <w:rFonts w:ascii="Times New Roman" w:hAnsi="Times New Roman" w:cs="Times New Roman"/>
          <w:position w:val="-12"/>
          <w:sz w:val="24"/>
          <w:szCs w:val="24"/>
        </w:rPr>
        <w:object w:dxaOrig="3900" w:dyaOrig="440" w14:anchorId="7CCA7395">
          <v:shape id="_x0000_i1069" type="#_x0000_t75" style="width:194.25pt;height:21.75pt" o:ole="">
            <v:imagedata r:id="rId123" o:title=""/>
          </v:shape>
          <o:OLEObject Type="Embed" ProgID="Equation.3" ShapeID="_x0000_i1069" DrawAspect="Content" ObjectID="_1704578341" r:id="rId124"/>
        </w:object>
      </w:r>
      <w:r w:rsidRPr="00612DC0">
        <w:rPr>
          <w:rFonts w:ascii="Times New Roman" w:hAnsi="Times New Roman" w:cs="Times New Roman"/>
          <w:sz w:val="24"/>
          <w:szCs w:val="24"/>
        </w:rPr>
        <w:tab/>
      </w:r>
      <w:r w:rsidRPr="00612DC0">
        <w:rPr>
          <w:rFonts w:ascii="Times New Roman" w:hAnsi="Times New Roman" w:cs="Times New Roman"/>
          <w:sz w:val="24"/>
          <w:szCs w:val="24"/>
        </w:rPr>
        <w:tab/>
      </w:r>
      <w:r w:rsidRPr="00612DC0">
        <w:rPr>
          <w:rFonts w:ascii="Times New Roman" w:hAnsi="Times New Roman" w:cs="Times New Roman"/>
          <w:sz w:val="24"/>
          <w:szCs w:val="24"/>
        </w:rPr>
        <w:tab/>
      </w:r>
    </w:p>
    <w:p w14:paraId="147FB1B8" w14:textId="77777777" w:rsidR="007B399B" w:rsidRPr="00612DC0" w:rsidRDefault="007B399B" w:rsidP="007B399B">
      <w:pPr>
        <w:spacing w:line="360" w:lineRule="auto"/>
        <w:jc w:val="both"/>
        <w:rPr>
          <w:rFonts w:ascii="Times New Roman" w:hAnsi="Times New Roman" w:cs="Times New Roman"/>
          <w:sz w:val="24"/>
          <w:szCs w:val="24"/>
        </w:rPr>
      </w:pPr>
      <w:r w:rsidRPr="00612DC0">
        <w:rPr>
          <w:rFonts w:ascii="Times New Roman" w:hAnsi="Times New Roman" w:cs="Times New Roman"/>
          <w:sz w:val="24"/>
          <w:szCs w:val="24"/>
        </w:rPr>
        <w:t>Thereby</w:t>
      </w:r>
      <w:r>
        <w:rPr>
          <w:rFonts w:ascii="Times New Roman" w:hAnsi="Times New Roman" w:cs="Times New Roman"/>
          <w:sz w:val="24"/>
          <w:szCs w:val="24"/>
        </w:rPr>
        <w:t xml:space="preserve"> </w:t>
      </w:r>
      <w:r w:rsidRPr="00612DC0">
        <w:rPr>
          <w:rFonts w:ascii="Times New Roman" w:hAnsi="Times New Roman" w:cs="Times New Roman"/>
          <w:sz w:val="24"/>
          <w:szCs w:val="24"/>
        </w:rPr>
        <w:t>leading indeed to a much better fit to the log-return distributions, in particular in the peak and the tails: (as explained in previous chapter). This modified specification is important as this endogenously generates a distribution which is not arbitrarily exogenously imposed but demands to choose the appropriate realisation of</w:t>
      </w:r>
      <w:r w:rsidRPr="00612DC0">
        <w:rPr>
          <w:rFonts w:ascii="Times New Roman" w:hAnsi="Times New Roman" w:cs="Times New Roman"/>
          <w:position w:val="-10"/>
          <w:sz w:val="24"/>
          <w:szCs w:val="24"/>
        </w:rPr>
        <w:object w:dxaOrig="580" w:dyaOrig="320" w14:anchorId="7DC11B67">
          <v:shape id="_x0000_i1070" type="#_x0000_t75" style="width:28.5pt;height:15pt" o:ole="">
            <v:imagedata r:id="rId125" o:title=""/>
          </v:shape>
          <o:OLEObject Type="Embed" ProgID="Equation.DSMT4" ShapeID="_x0000_i1070" DrawAspect="Content" ObjectID="_1704578342" r:id="rId126"/>
        </w:object>
      </w:r>
      <w:r w:rsidRPr="00612DC0">
        <w:rPr>
          <w:rFonts w:ascii="Times New Roman" w:hAnsi="Times New Roman" w:cs="Times New Roman"/>
          <w:sz w:val="24"/>
          <w:szCs w:val="24"/>
        </w:rPr>
        <w:t xml:space="preserve">, that is leptokurtic and hence is appropriate for the return’s distributions. </w:t>
      </w:r>
    </w:p>
    <w:p w14:paraId="01D1AA40" w14:textId="10B9A5BD" w:rsidR="007B399B" w:rsidRDefault="007B399B" w:rsidP="007B399B">
      <w:pPr>
        <w:spacing w:line="360" w:lineRule="auto"/>
        <w:jc w:val="both"/>
        <w:rPr>
          <w:rFonts w:ascii="Times New Roman" w:hAnsi="Times New Roman" w:cs="Times New Roman"/>
          <w:sz w:val="24"/>
          <w:szCs w:val="24"/>
        </w:rPr>
      </w:pPr>
      <w:r w:rsidRPr="00612DC0">
        <w:rPr>
          <w:rFonts w:ascii="Times New Roman" w:hAnsi="Times New Roman" w:cs="Times New Roman"/>
          <w:sz w:val="24"/>
          <w:szCs w:val="24"/>
        </w:rPr>
        <w:lastRenderedPageBreak/>
        <w:t xml:space="preserve">Therefore, this modelling process suggests ways to describe irrational behaviour in finance: details are provided in section </w:t>
      </w:r>
      <w:r w:rsidR="00D83F11">
        <w:rPr>
          <w:rFonts w:ascii="Times New Roman" w:hAnsi="Times New Roman" w:cs="Times New Roman"/>
          <w:sz w:val="24"/>
          <w:szCs w:val="24"/>
        </w:rPr>
        <w:t>3.3</w:t>
      </w:r>
      <w:r w:rsidRPr="00612DC0">
        <w:rPr>
          <w:rFonts w:ascii="Times New Roman" w:hAnsi="Times New Roman" w:cs="Times New Roman"/>
          <w:sz w:val="24"/>
          <w:szCs w:val="24"/>
        </w:rPr>
        <w:t xml:space="preserve">. It should be noticed that only the normally distributed </w:t>
      </w:r>
      <w:r w:rsidRPr="00612DC0">
        <w:rPr>
          <w:rFonts w:ascii="Times New Roman" w:hAnsi="Times New Roman" w:cs="Times New Roman"/>
          <w:position w:val="-12"/>
          <w:sz w:val="24"/>
          <w:szCs w:val="24"/>
        </w:rPr>
        <w:object w:dxaOrig="279" w:dyaOrig="360" w14:anchorId="74453D6B">
          <v:shape id="_x0000_i1071" type="#_x0000_t75" style="width:15pt;height:21.75pt" o:ole="">
            <v:imagedata r:id="rId109" o:title=""/>
          </v:shape>
          <o:OLEObject Type="Embed" ProgID="Equation.DSMT4" ShapeID="_x0000_i1071" DrawAspect="Content" ObjectID="_1704578343" r:id="rId127"/>
        </w:object>
      </w:r>
      <w:r w:rsidRPr="00612DC0">
        <w:rPr>
          <w:rFonts w:ascii="Times New Roman" w:hAnsi="Times New Roman" w:cs="Times New Roman"/>
          <w:sz w:val="24"/>
          <w:szCs w:val="24"/>
        </w:rPr>
        <w:t xml:space="preserve"> innovation appears in the model, in contrast to e.g., the numerous models of returns distributions using jump diffusion processes which contain normal and Poisson jumps (</w:t>
      </w:r>
      <w:proofErr w:type="spellStart"/>
      <w:r w:rsidRPr="00612DC0">
        <w:rPr>
          <w:rFonts w:ascii="Times New Roman" w:hAnsi="Times New Roman" w:cs="Times New Roman"/>
          <w:sz w:val="24"/>
          <w:szCs w:val="24"/>
        </w:rPr>
        <w:t>Birge</w:t>
      </w:r>
      <w:proofErr w:type="spellEnd"/>
      <w:r w:rsidRPr="00612DC0">
        <w:rPr>
          <w:rFonts w:ascii="Times New Roman" w:hAnsi="Times New Roman" w:cs="Times New Roman"/>
          <w:sz w:val="24"/>
          <w:szCs w:val="24"/>
        </w:rPr>
        <w:t xml:space="preserve"> and </w:t>
      </w:r>
      <w:proofErr w:type="spellStart"/>
      <w:r w:rsidRPr="00612DC0">
        <w:rPr>
          <w:rFonts w:ascii="Times New Roman" w:hAnsi="Times New Roman" w:cs="Times New Roman"/>
          <w:sz w:val="24"/>
          <w:szCs w:val="24"/>
        </w:rPr>
        <w:t>Lintesky</w:t>
      </w:r>
      <w:proofErr w:type="spellEnd"/>
      <w:r w:rsidRPr="00612DC0">
        <w:rPr>
          <w:rFonts w:ascii="Times New Roman" w:hAnsi="Times New Roman" w:cs="Times New Roman"/>
          <w:sz w:val="24"/>
          <w:szCs w:val="24"/>
        </w:rPr>
        <w:t xml:space="preserve">, 2008). </w:t>
      </w:r>
    </w:p>
    <w:p w14:paraId="637D1AE3" w14:textId="2A55EE18" w:rsidR="007B399B" w:rsidRPr="009A6FE2" w:rsidRDefault="007B399B" w:rsidP="007B399B">
      <w:pPr>
        <w:pStyle w:val="Heading2"/>
        <w:jc w:val="both"/>
        <w:rPr>
          <w:rFonts w:ascii="Times New Roman" w:hAnsi="Times New Roman" w:cs="Times New Roman"/>
          <w:sz w:val="24"/>
          <w:szCs w:val="24"/>
        </w:rPr>
      </w:pPr>
      <w:bookmarkStart w:id="181" w:name="_Toc425246556"/>
      <w:bookmarkStart w:id="182" w:name="_Toc11914249"/>
      <w:bookmarkStart w:id="183" w:name="_Toc90500001"/>
      <w:bookmarkEnd w:id="180"/>
      <w:r>
        <w:rPr>
          <w:rFonts w:ascii="Times New Roman" w:hAnsi="Times New Roman" w:cs="Times New Roman"/>
          <w:sz w:val="24"/>
          <w:szCs w:val="24"/>
        </w:rPr>
        <w:t>3.2.</w:t>
      </w:r>
      <w:r w:rsidR="00F23D74">
        <w:rPr>
          <w:rFonts w:ascii="Times New Roman" w:hAnsi="Times New Roman" w:cs="Times New Roman"/>
          <w:sz w:val="24"/>
          <w:szCs w:val="24"/>
        </w:rPr>
        <w:t>6</w:t>
      </w:r>
      <w:r>
        <w:rPr>
          <w:rFonts w:ascii="Times New Roman" w:hAnsi="Times New Roman" w:cs="Times New Roman"/>
          <w:sz w:val="24"/>
          <w:szCs w:val="24"/>
        </w:rPr>
        <w:t xml:space="preserve"> </w:t>
      </w:r>
      <w:r w:rsidRPr="009A6FE2">
        <w:rPr>
          <w:rFonts w:ascii="Times New Roman" w:hAnsi="Times New Roman" w:cs="Times New Roman"/>
          <w:sz w:val="24"/>
          <w:szCs w:val="24"/>
        </w:rPr>
        <w:t>The Modified Model:</w:t>
      </w:r>
      <w:bookmarkEnd w:id="181"/>
      <w:bookmarkEnd w:id="182"/>
      <w:bookmarkEnd w:id="183"/>
    </w:p>
    <w:p w14:paraId="502B2140" w14:textId="77777777" w:rsidR="007B399B" w:rsidRDefault="007B399B" w:rsidP="007B399B">
      <w:pPr>
        <w:spacing w:line="360" w:lineRule="auto"/>
        <w:jc w:val="both"/>
        <w:rPr>
          <w:rFonts w:ascii="Times New Roman" w:hAnsi="Times New Roman" w:cs="Times New Roman"/>
          <w:sz w:val="24"/>
          <w:szCs w:val="24"/>
        </w:rPr>
      </w:pPr>
      <w:r w:rsidRPr="009A6FE2">
        <w:rPr>
          <w:rFonts w:ascii="Times New Roman" w:eastAsia="Times New Roman" w:hAnsi="Times New Roman" w:cs="Times New Roman"/>
          <w:color w:val="000000"/>
          <w:sz w:val="24"/>
          <w:szCs w:val="24"/>
        </w:rPr>
        <w:t xml:space="preserve">Dhesi </w:t>
      </w:r>
      <w:r w:rsidRPr="009A6FE2">
        <w:rPr>
          <w:rFonts w:ascii="Times New Roman" w:eastAsia="Times New Roman" w:hAnsi="Times New Roman" w:cs="Times New Roman"/>
          <w:i/>
          <w:color w:val="000000"/>
          <w:sz w:val="24"/>
          <w:szCs w:val="24"/>
        </w:rPr>
        <w:t>et al</w:t>
      </w:r>
      <w:r w:rsidRPr="009A6FE2">
        <w:rPr>
          <w:rFonts w:ascii="Times New Roman" w:eastAsia="Times New Roman" w:hAnsi="Times New Roman" w:cs="Times New Roman"/>
          <w:color w:val="000000"/>
          <w:sz w:val="24"/>
          <w:szCs w:val="24"/>
        </w:rPr>
        <w:t xml:space="preserve">., </w:t>
      </w:r>
      <w:r w:rsidRPr="009A6FE2">
        <w:rPr>
          <w:rFonts w:ascii="Times New Roman" w:hAnsi="Times New Roman" w:cs="Times New Roman"/>
          <w:sz w:val="24"/>
          <w:szCs w:val="24"/>
        </w:rPr>
        <w:t>(2019) presents the matching power of the GBM to historical returns distribution by adding a function of Z multiplied by the mean, and a parameter</w:t>
      </w:r>
      <m:oMath>
        <m:r>
          <w:rPr>
            <w:rFonts w:ascii="Cambria Math" w:hAnsi="Cambria Math" w:cs="Times New Roman"/>
            <w:sz w:val="24"/>
            <w:szCs w:val="24"/>
          </w:rPr>
          <m:t xml:space="preserve"> K</m:t>
        </m:r>
      </m:oMath>
      <w:r w:rsidRPr="009A6FE2">
        <w:rPr>
          <w:rFonts w:ascii="Times New Roman" w:hAnsi="Times New Roman" w:cs="Times New Roman"/>
          <w:sz w:val="24"/>
          <w:szCs w:val="24"/>
        </w:rPr>
        <w:t xml:space="preserve">. Of course, when </w:t>
      </w:r>
      <m:oMath>
        <m:r>
          <w:rPr>
            <w:rFonts w:ascii="Cambria Math" w:hAnsi="Cambria Math" w:cs="Times New Roman"/>
            <w:sz w:val="24"/>
            <w:szCs w:val="24"/>
          </w:rPr>
          <m:t>K=0</m:t>
        </m:r>
      </m:oMath>
      <w:r w:rsidRPr="009A6FE2">
        <w:rPr>
          <w:rFonts w:ascii="Times New Roman" w:hAnsi="Times New Roman" w:cs="Times New Roman"/>
          <w:sz w:val="24"/>
          <w:szCs w:val="24"/>
        </w:rPr>
        <w:t xml:space="preserve"> they recover the GBM. In line with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Pr="009A6FE2">
        <w:rPr>
          <w:rFonts w:ascii="Times New Roman" w:hAnsi="Times New Roman" w:cs="Times New Roman"/>
          <w:sz w:val="24"/>
          <w:szCs w:val="24"/>
        </w:rPr>
        <w:t xml:space="preserve"> being an innovation at time t, we can also loosely consider it to be news generated at time t, with the result that the modified model in its general form is: </w:t>
      </w:r>
    </w:p>
    <w:p w14:paraId="30FA85B9" w14:textId="61CB71D0" w:rsidR="007B399B" w:rsidRPr="009A6FE2" w:rsidRDefault="007B399B" w:rsidP="00BA27A7">
      <w:pPr>
        <w:autoSpaceDE w:val="0"/>
        <w:autoSpaceDN w:val="0"/>
        <w:adjustRightInd w:val="0"/>
        <w:spacing w:line="360" w:lineRule="auto"/>
        <w:jc w:val="center"/>
        <w:rPr>
          <w:rFonts w:ascii="Times New Roman" w:hAnsi="Times New Roman" w:cs="Times New Roman"/>
          <w:sz w:val="24"/>
          <w:szCs w:val="24"/>
        </w:rPr>
      </w:pPr>
      <w:r w:rsidRPr="009A6FE2">
        <w:rPr>
          <w:rFonts w:ascii="Times New Roman" w:hAnsi="Times New Roman" w:cs="Times New Roman"/>
          <w:position w:val="-12"/>
          <w:sz w:val="24"/>
          <w:szCs w:val="24"/>
        </w:rPr>
        <w:object w:dxaOrig="4080" w:dyaOrig="400" w14:anchorId="1F522D94">
          <v:shape id="_x0000_i1072" type="#_x0000_t75" style="width:201pt;height:21.75pt" o:ole="">
            <v:imagedata r:id="rId128" o:title=""/>
          </v:shape>
          <o:OLEObject Type="Embed" ProgID="Equation.DSMT4" ShapeID="_x0000_i1072" DrawAspect="Content" ObjectID="_1704578344" r:id="rId129"/>
        </w:object>
      </w:r>
    </w:p>
    <w:p w14:paraId="233689E3" w14:textId="77777777" w:rsidR="007B399B" w:rsidRPr="009A6FE2" w:rsidRDefault="007B399B" w:rsidP="007B399B">
      <w:pPr>
        <w:autoSpaceDE w:val="0"/>
        <w:autoSpaceDN w:val="0"/>
        <w:adjustRightInd w:val="0"/>
        <w:spacing w:line="360" w:lineRule="auto"/>
        <w:jc w:val="both"/>
        <w:rPr>
          <w:rFonts w:ascii="Times New Roman" w:hAnsi="Times New Roman" w:cs="Times New Roman"/>
          <w:sz w:val="24"/>
          <w:szCs w:val="24"/>
        </w:rPr>
      </w:pPr>
      <w:r w:rsidRPr="009A6FE2">
        <w:rPr>
          <w:rFonts w:ascii="Times New Roman" w:hAnsi="Times New Roman" w:cs="Times New Roman"/>
          <w:sz w:val="24"/>
          <w:szCs w:val="24"/>
        </w:rPr>
        <w:t xml:space="preserve">where different equation for a different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oMath>
      <w:r w:rsidRPr="009A6FE2">
        <w:rPr>
          <w:rFonts w:ascii="Times New Roman" w:hAnsi="Times New Roman" w:cs="Times New Roman"/>
          <w:sz w:val="24"/>
          <w:szCs w:val="24"/>
        </w:rPr>
        <w:t xml:space="preserve"> produces a distinct output for various values of</w:t>
      </w:r>
      <m:oMath>
        <m:r>
          <w:rPr>
            <w:rFonts w:ascii="Cambria Math" w:hAnsi="Cambria Math" w:cs="Times New Roman"/>
            <w:sz w:val="24"/>
            <w:szCs w:val="24"/>
          </w:rPr>
          <m:t xml:space="preserve"> K</m:t>
        </m:r>
      </m:oMath>
      <w:r w:rsidRPr="009A6FE2">
        <w:rPr>
          <w:rFonts w:ascii="Times New Roman" w:hAnsi="Times New Roman" w:cs="Times New Roman"/>
          <w:sz w:val="24"/>
          <w:szCs w:val="24"/>
        </w:rPr>
        <w:t xml:space="preserve">.  At least 100,000 simulations have been run for various combinations of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oMath>
      <w:r w:rsidRPr="009A6FE2">
        <w:rPr>
          <w:rFonts w:ascii="Times New Roman" w:hAnsi="Times New Roman" w:cs="Times New Roman"/>
          <w:sz w:val="24"/>
          <w:szCs w:val="24"/>
        </w:rPr>
        <w:t xml:space="preserve"> and </w:t>
      </w:r>
      <m:oMath>
        <m:r>
          <w:rPr>
            <w:rFonts w:ascii="Cambria Math" w:hAnsi="Cambria Math" w:cs="Times New Roman"/>
            <w:sz w:val="24"/>
            <w:szCs w:val="24"/>
          </w:rPr>
          <m:t>K</m:t>
        </m:r>
      </m:oMath>
      <w:r w:rsidRPr="009A6FE2">
        <w:rPr>
          <w:rFonts w:ascii="Times New Roman" w:hAnsi="Times New Roman" w:cs="Times New Roman"/>
          <w:sz w:val="24"/>
          <w:szCs w:val="24"/>
        </w:rPr>
        <w:t xml:space="preserve"> and the average of simulated paths taken. These results have then been used to compare the main features of the simulated series against the originals, by applying descriptive statistics and statistical tests including goodness of fit and the Jacque-</w:t>
      </w:r>
      <w:proofErr w:type="spellStart"/>
      <w:r w:rsidRPr="009A6FE2">
        <w:rPr>
          <w:rFonts w:ascii="Times New Roman" w:hAnsi="Times New Roman" w:cs="Times New Roman"/>
          <w:sz w:val="24"/>
          <w:szCs w:val="24"/>
        </w:rPr>
        <w:t>Bera</w:t>
      </w:r>
      <w:proofErr w:type="spellEnd"/>
      <w:r w:rsidRPr="009A6FE2">
        <w:rPr>
          <w:rFonts w:ascii="Times New Roman" w:hAnsi="Times New Roman" w:cs="Times New Roman"/>
          <w:sz w:val="24"/>
          <w:szCs w:val="24"/>
        </w:rPr>
        <w:t xml:space="preserve"> (JB) test.</w:t>
      </w:r>
    </w:p>
    <w:p w14:paraId="7E548567" w14:textId="77777777" w:rsidR="007B399B" w:rsidRDefault="007B399B" w:rsidP="007B399B">
      <w:pPr>
        <w:spacing w:line="360" w:lineRule="auto"/>
        <w:jc w:val="both"/>
        <w:rPr>
          <w:rFonts w:ascii="Times New Roman" w:hAnsi="Times New Roman" w:cs="Times New Roman"/>
          <w:sz w:val="24"/>
          <w:szCs w:val="24"/>
        </w:rPr>
      </w:pPr>
      <w:r w:rsidRPr="000A6F24">
        <w:rPr>
          <w:rFonts w:ascii="Times New Roman" w:hAnsi="Times New Roman" w:cs="Times New Roman"/>
          <w:sz w:val="24"/>
          <w:szCs w:val="24"/>
        </w:rPr>
        <w:t xml:space="preserve">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xml:space="preserve">., </w:t>
      </w:r>
      <w:r>
        <w:rPr>
          <w:rFonts w:ascii="Times New Roman" w:hAnsi="Times New Roman" w:cs="Times New Roman"/>
          <w:sz w:val="24"/>
          <w:szCs w:val="24"/>
        </w:rPr>
        <w:t>(</w:t>
      </w:r>
      <w:r w:rsidRPr="000A6F24">
        <w:rPr>
          <w:rFonts w:ascii="Times New Roman" w:hAnsi="Times New Roman" w:cs="Times New Roman"/>
          <w:sz w:val="24"/>
          <w:szCs w:val="24"/>
        </w:rPr>
        <w:t>2016</w:t>
      </w:r>
      <w:r>
        <w:rPr>
          <w:rFonts w:ascii="Times New Roman" w:hAnsi="Times New Roman" w:cs="Times New Roman"/>
          <w:sz w:val="24"/>
          <w:szCs w:val="24"/>
        </w:rPr>
        <w:t xml:space="preserve">) </w:t>
      </w:r>
      <w:r w:rsidRPr="009A6FE2">
        <w:rPr>
          <w:rFonts w:ascii="Times New Roman" w:hAnsi="Times New Roman" w:cs="Times New Roman"/>
          <w:sz w:val="24"/>
          <w:szCs w:val="24"/>
        </w:rPr>
        <w:t>referred to as the Modified Brownian Motion Model (MBMM); and it may also be referred to as the Stochastic Mean Model.</w:t>
      </w:r>
      <w:r>
        <w:rPr>
          <w:rFonts w:ascii="Times New Roman" w:hAnsi="Times New Roman" w:cs="Times New Roman"/>
          <w:sz w:val="24"/>
          <w:szCs w:val="24"/>
        </w:rPr>
        <w:t xml:space="preserve"> </w:t>
      </w:r>
      <w:r w:rsidRPr="009A6FE2">
        <w:rPr>
          <w:rFonts w:ascii="Times New Roman" w:hAnsi="Times New Roman" w:cs="Times New Roman"/>
          <w:sz w:val="24"/>
          <w:szCs w:val="24"/>
        </w:rPr>
        <w:t>The realisation of</w:t>
      </w:r>
      <w:r w:rsidRPr="009A6FE2">
        <w:rPr>
          <w:rFonts w:ascii="Times New Roman" w:hAnsi="Times New Roman" w:cs="Times New Roman"/>
          <w:position w:val="-10"/>
          <w:sz w:val="24"/>
          <w:szCs w:val="24"/>
        </w:rPr>
        <w:object w:dxaOrig="580" w:dyaOrig="320" w14:anchorId="2EAB5C69">
          <v:shape id="_x0000_i1073" type="#_x0000_t75" style="width:28.5pt;height:15pt" o:ole="">
            <v:imagedata r:id="rId125" o:title=""/>
          </v:shape>
          <o:OLEObject Type="Embed" ProgID="Equation.DSMT4" ShapeID="_x0000_i1073" DrawAspect="Content" ObjectID="_1704578345" r:id="rId130"/>
        </w:object>
      </w:r>
      <w:r w:rsidRPr="009A6FE2">
        <w:rPr>
          <w:rFonts w:ascii="Times New Roman" w:hAnsi="Times New Roman" w:cs="Times New Roman"/>
          <w:sz w:val="24"/>
          <w:szCs w:val="24"/>
        </w:rPr>
        <w:t xml:space="preserve"> is dependent on extensive empirical analysis of historical data. The function proposed is: </w:t>
      </w:r>
    </w:p>
    <w:p w14:paraId="004C50D2" w14:textId="77777777" w:rsidR="007B399B" w:rsidRPr="009A6FE2" w:rsidRDefault="007B399B" w:rsidP="007B399B">
      <w:pPr>
        <w:spacing w:line="360" w:lineRule="auto"/>
        <w:contextualSpacing/>
        <w:jc w:val="both"/>
        <w:rPr>
          <w:rFonts w:ascii="Cambria Math" w:hAnsi="Cambria Math" w:cs="Times New Roman"/>
          <w:sz w:val="24"/>
          <w:szCs w:val="24"/>
          <w:oMath/>
        </w:rPr>
      </w:pPr>
      <w:r w:rsidRPr="009A6FE2">
        <w:rPr>
          <w:rFonts w:ascii="Times New Roman" w:hAnsi="Times New Roman" w:cs="Times New Roman"/>
          <w:sz w:val="24"/>
          <w:szCs w:val="24"/>
        </w:rPr>
        <w:t xml:space="preserve">                          </w:t>
      </w:r>
      <w:r w:rsidRPr="009A6FE2">
        <w:rPr>
          <w:rFonts w:ascii="Times New Roman" w:hAnsi="Times New Roman" w:cs="Times New Roman"/>
          <w:position w:val="-24"/>
          <w:sz w:val="24"/>
          <w:szCs w:val="24"/>
        </w:rPr>
        <w:object w:dxaOrig="3460" w:dyaOrig="660" w14:anchorId="7F04F338">
          <v:shape id="_x0000_i1074" type="#_x0000_t75" style="width:172.5pt;height:36pt" o:ole="">
            <v:imagedata r:id="rId131" o:title=""/>
          </v:shape>
          <o:OLEObject Type="Embed" ProgID="Equation.DSMT4" ShapeID="_x0000_i1074" DrawAspect="Content" ObjectID="_1704578346" r:id="rId132"/>
        </w:object>
      </w:r>
      <w:r w:rsidRPr="009A6FE2">
        <w:rPr>
          <w:rFonts w:ascii="Times New Roman" w:hAnsi="Times New Roman" w:cs="Times New Roman"/>
          <w:sz w:val="24"/>
          <w:szCs w:val="24"/>
        </w:rPr>
        <w:t xml:space="preserve">                      </w:t>
      </w:r>
    </w:p>
    <w:p w14:paraId="4B78C10A" w14:textId="77777777" w:rsidR="007B399B" w:rsidRDefault="007B399B" w:rsidP="007B399B">
      <w:pPr>
        <w:spacing w:line="360" w:lineRule="auto"/>
        <w:jc w:val="both"/>
        <w:rPr>
          <w:rFonts w:ascii="Times New Roman" w:hAnsi="Times New Roman" w:cs="Times New Roman"/>
          <w:sz w:val="24"/>
          <w:szCs w:val="24"/>
        </w:rPr>
      </w:pPr>
      <w:r w:rsidRPr="009A6FE2">
        <w:rPr>
          <w:rFonts w:ascii="Times New Roman" w:hAnsi="Times New Roman" w:cs="Times New Roman"/>
          <w:sz w:val="24"/>
          <w:szCs w:val="24"/>
        </w:rPr>
        <w:t>The analysis was performed on various market indices. The software package employed for extensive simulations</w:t>
      </w:r>
      <w:r>
        <w:rPr>
          <w:rFonts w:ascii="Times New Roman" w:hAnsi="Times New Roman" w:cs="Times New Roman"/>
          <w:sz w:val="24"/>
          <w:szCs w:val="24"/>
        </w:rPr>
        <w:t>.</w:t>
      </w:r>
      <w:r w:rsidRPr="009A6FE2">
        <w:rPr>
          <w:rFonts w:ascii="Times New Roman" w:hAnsi="Times New Roman" w:cs="Times New Roman"/>
          <w:sz w:val="24"/>
          <w:szCs w:val="24"/>
        </w:rPr>
        <w:t xml:space="preserve"> Fit for purpose optimal value of parameters </w:t>
      </w:r>
      <m:oMath>
        <m:r>
          <w:rPr>
            <w:rFonts w:ascii="Cambria Math" w:hAnsi="Cambria Math" w:cs="Times New Roman"/>
            <w:sz w:val="24"/>
            <w:szCs w:val="24"/>
          </w:rPr>
          <m:t>K and c</m:t>
        </m:r>
      </m:oMath>
      <w:r w:rsidRPr="009A6FE2">
        <w:rPr>
          <w:rFonts w:ascii="Times New Roman" w:hAnsi="Times New Roman" w:cs="Times New Roman"/>
          <w:sz w:val="24"/>
          <w:szCs w:val="24"/>
        </w:rPr>
        <w:t xml:space="preserve"> for specific data sets are selected using chi-squared goodness-of-fit statistics</w:t>
      </w:r>
      <w:r>
        <w:rPr>
          <w:rFonts w:ascii="Times New Roman" w:hAnsi="Times New Roman" w:cs="Times New Roman"/>
          <w:sz w:val="24"/>
          <w:szCs w:val="24"/>
        </w:rPr>
        <w:t xml:space="preserve"> (</w:t>
      </w:r>
      <w:r w:rsidRPr="000A6F24">
        <w:rPr>
          <w:rFonts w:ascii="Times New Roman" w:hAnsi="Times New Roman" w:cs="Times New Roman"/>
          <w:sz w:val="24"/>
          <w:szCs w:val="24"/>
        </w:rPr>
        <w:t xml:space="preserve">Dhesi </w:t>
      </w:r>
      <w:r w:rsidRPr="000A6F24">
        <w:rPr>
          <w:rFonts w:ascii="Times New Roman" w:hAnsi="Times New Roman" w:cs="Times New Roman"/>
          <w:i/>
          <w:sz w:val="24"/>
          <w:szCs w:val="24"/>
        </w:rPr>
        <w:t>et al</w:t>
      </w:r>
      <w:r w:rsidRPr="000A6F24">
        <w:rPr>
          <w:rFonts w:ascii="Times New Roman" w:hAnsi="Times New Roman" w:cs="Times New Roman"/>
          <w:sz w:val="24"/>
          <w:szCs w:val="24"/>
        </w:rPr>
        <w:t>., 201</w:t>
      </w:r>
      <w:r>
        <w:rPr>
          <w:rFonts w:ascii="Times New Roman" w:hAnsi="Times New Roman" w:cs="Times New Roman"/>
          <w:sz w:val="24"/>
          <w:szCs w:val="24"/>
        </w:rPr>
        <w:t>6)</w:t>
      </w:r>
      <w:r w:rsidRPr="009A6FE2">
        <w:rPr>
          <w:rFonts w:ascii="Times New Roman" w:hAnsi="Times New Roman" w:cs="Times New Roman"/>
          <w:sz w:val="24"/>
          <w:szCs w:val="24"/>
        </w:rPr>
        <w:t>.</w:t>
      </w:r>
    </w:p>
    <w:p w14:paraId="6C43ED49" w14:textId="2113092D" w:rsidR="007B399B" w:rsidRPr="009A6FE2" w:rsidRDefault="007B399B" w:rsidP="007B399B">
      <w:pPr>
        <w:pStyle w:val="Heading2"/>
        <w:rPr>
          <w:rFonts w:ascii="Times New Roman" w:hAnsi="Times New Roman" w:cs="Times New Roman"/>
        </w:rPr>
      </w:pPr>
      <w:bookmarkStart w:id="184" w:name="_Toc11914289"/>
      <w:bookmarkStart w:id="185" w:name="_Toc90500002"/>
      <w:bookmarkStart w:id="186" w:name="_Toc11914275"/>
      <w:r>
        <w:rPr>
          <w:rFonts w:ascii="Times New Roman" w:hAnsi="Times New Roman" w:cs="Times New Roman"/>
        </w:rPr>
        <w:t>3.2.</w:t>
      </w:r>
      <w:r w:rsidR="00F23D74">
        <w:rPr>
          <w:rFonts w:ascii="Times New Roman" w:hAnsi="Times New Roman" w:cs="Times New Roman"/>
        </w:rPr>
        <w:t>7</w:t>
      </w:r>
      <w:r>
        <w:rPr>
          <w:rFonts w:ascii="Times New Roman" w:hAnsi="Times New Roman" w:cs="Times New Roman"/>
        </w:rPr>
        <w:t xml:space="preserve"> </w:t>
      </w:r>
      <w:r w:rsidRPr="009A6FE2">
        <w:rPr>
          <w:rFonts w:ascii="Times New Roman" w:hAnsi="Times New Roman" w:cs="Times New Roman"/>
        </w:rPr>
        <w:t>Irrational Fractional Brownian Motion model</w:t>
      </w:r>
      <w:bookmarkEnd w:id="184"/>
      <w:bookmarkEnd w:id="185"/>
    </w:p>
    <w:p w14:paraId="779874AE" w14:textId="77777777" w:rsidR="007B399B" w:rsidRPr="004232CC" w:rsidRDefault="007B399B" w:rsidP="007B399B">
      <w:pPr>
        <w:spacing w:line="360" w:lineRule="auto"/>
        <w:jc w:val="both"/>
        <w:rPr>
          <w:rFonts w:ascii="Times New Roman" w:eastAsia="Times New Roman" w:hAnsi="Times New Roman" w:cs="Times New Roman"/>
          <w:color w:val="000000"/>
          <w:sz w:val="24"/>
          <w:szCs w:val="24"/>
        </w:rPr>
      </w:pPr>
      <w:r w:rsidRPr="009A6FE2">
        <w:rPr>
          <w:rFonts w:ascii="Times New Roman" w:hAnsi="Times New Roman" w:cs="Times New Roman"/>
          <w:sz w:val="24"/>
          <w:szCs w:val="24"/>
        </w:rPr>
        <w:t>Given that market log returns are additive, due to the central limit theorem, one might expect market log returns to be approximately normally distributed. However, this is only the case over the longest of time periods, such as annual returns (</w:t>
      </w:r>
      <w:proofErr w:type="spellStart"/>
      <w:r w:rsidRPr="009A6FE2">
        <w:rPr>
          <w:rFonts w:ascii="Times New Roman" w:hAnsi="Times New Roman" w:cs="Times New Roman"/>
          <w:sz w:val="24"/>
          <w:szCs w:val="24"/>
        </w:rPr>
        <w:t>Ausloos</w:t>
      </w:r>
      <w:proofErr w:type="spellEnd"/>
      <w:r w:rsidRPr="009A6FE2">
        <w:rPr>
          <w:rFonts w:ascii="Times New Roman" w:hAnsi="Times New Roman" w:cs="Times New Roman"/>
          <w:sz w:val="24"/>
          <w:szCs w:val="24"/>
        </w:rPr>
        <w:t xml:space="preserve"> and Ivanova, 2003). One argument could be as follows. Price-influencing events may be normally distributed, but the </w:t>
      </w:r>
      <w:r w:rsidRPr="009A6FE2">
        <w:rPr>
          <w:rFonts w:ascii="Times New Roman" w:hAnsi="Times New Roman" w:cs="Times New Roman"/>
          <w:sz w:val="24"/>
          <w:szCs w:val="24"/>
        </w:rPr>
        <w:lastRenderedPageBreak/>
        <w:t xml:space="preserve">likelihood of said events being reported in the news increases with the magnitude of the impact of the event. For the latter distribution, one can factor in the tendency for the media to simplify and exaggerate the news implication. When multiplying the normal distribution by the distribution according to a function modelling, the likelihood/duration/impact of such news reports leads to a much fatter-tailed distribution than a Gaussian (Dhesi </w:t>
      </w:r>
      <w:r w:rsidRPr="009A6FE2">
        <w:rPr>
          <w:rFonts w:ascii="Times New Roman" w:hAnsi="Times New Roman" w:cs="Times New Roman"/>
          <w:i/>
          <w:sz w:val="24"/>
          <w:szCs w:val="24"/>
        </w:rPr>
        <w:t>et al</w:t>
      </w:r>
      <w:r w:rsidRPr="009A6FE2">
        <w:rPr>
          <w:rFonts w:ascii="Times New Roman" w:hAnsi="Times New Roman" w:cs="Times New Roman"/>
          <w:sz w:val="24"/>
          <w:szCs w:val="24"/>
        </w:rPr>
        <w:t>., 2011).</w:t>
      </w:r>
      <w:r>
        <w:rPr>
          <w:rFonts w:ascii="Times New Roman" w:eastAsia="Times New Roman" w:hAnsi="Times New Roman" w:cs="Times New Roman"/>
          <w:color w:val="000000"/>
          <w:sz w:val="24"/>
          <w:szCs w:val="24"/>
        </w:rPr>
        <w:t xml:space="preserve"> </w:t>
      </w:r>
      <w:r w:rsidRPr="009A6FE2">
        <w:rPr>
          <w:rFonts w:ascii="Times New Roman" w:eastAsia="Times New Roman" w:hAnsi="Times New Roman" w:cs="Times New Roman"/>
          <w:color w:val="000000"/>
          <w:sz w:val="24"/>
          <w:szCs w:val="24"/>
        </w:rPr>
        <w:t xml:space="preserve">After extensive simulations and </w:t>
      </w:r>
      <w:r w:rsidRPr="009A6FE2">
        <w:rPr>
          <w:rFonts w:ascii="Times New Roman" w:eastAsia="Times New Roman" w:hAnsi="Times New Roman" w:cs="Times New Roman"/>
          <w:sz w:val="24"/>
          <w:szCs w:val="24"/>
        </w:rPr>
        <w:t>analyses</w:t>
      </w:r>
      <w:r w:rsidRPr="009A6FE2">
        <w:rPr>
          <w:rFonts w:ascii="Times New Roman" w:eastAsia="Times New Roman" w:hAnsi="Times New Roman" w:cs="Times New Roman"/>
          <w:color w:val="000000"/>
          <w:sz w:val="24"/>
          <w:szCs w:val="24"/>
        </w:rPr>
        <w:t xml:space="preserve">, Dhesi </w:t>
      </w:r>
      <w:r w:rsidRPr="009A6FE2">
        <w:rPr>
          <w:rFonts w:ascii="Times New Roman" w:eastAsia="Times New Roman" w:hAnsi="Times New Roman" w:cs="Times New Roman"/>
          <w:i/>
          <w:color w:val="000000"/>
          <w:sz w:val="24"/>
          <w:szCs w:val="24"/>
        </w:rPr>
        <w:t>et al</w:t>
      </w:r>
      <w:r w:rsidRPr="009A6FE2">
        <w:rPr>
          <w:rFonts w:ascii="Times New Roman" w:eastAsia="Times New Roman" w:hAnsi="Times New Roman" w:cs="Times New Roman"/>
          <w:color w:val="000000"/>
          <w:sz w:val="24"/>
          <w:szCs w:val="24"/>
        </w:rPr>
        <w:t xml:space="preserve">., (2016) proposed the Irrational Fractional Brownian Motion (IFBM): </w:t>
      </w:r>
      <w:r w:rsidRPr="009A6FE2">
        <w:rPr>
          <w:rFonts w:ascii="Times New Roman" w:eastAsia="Times New Roman" w:hAnsi="Times New Roman" w:cs="Times New Roman"/>
          <w:sz w:val="24"/>
          <w:szCs w:val="24"/>
        </w:rPr>
        <w:t>in order to manage such aspects; it reads.</w:t>
      </w:r>
    </w:p>
    <w:p w14:paraId="2EC12B0D" w14:textId="77777777" w:rsidR="007B399B" w:rsidRPr="009A6FE2" w:rsidRDefault="002C15FD" w:rsidP="007B399B">
      <w:pPr>
        <w:spacing w:line="480" w:lineRule="auto"/>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t+δt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m:t>
              </m:r>
            </m:sub>
          </m:sSub>
          <m:func>
            <m:funcPr>
              <m:ctrlPr>
                <w:rPr>
                  <w:rFonts w:ascii="Cambria Math" w:eastAsia="Times New Roman" w:hAnsi="Cambria Math" w:cs="Times New Roman"/>
                  <w:color w:val="000000"/>
                  <w:sz w:val="24"/>
                  <w:szCs w:val="24"/>
                </w:rPr>
              </m:ctrlPr>
            </m:funcPr>
            <m:fName>
              <m:r>
                <m:rPr>
                  <m:sty m:val="p"/>
                </m:rPr>
                <w:rPr>
                  <w:rFonts w:ascii="Cambria Math" w:eastAsia="Times New Roman" w:hAnsi="Cambria Math" w:cs="Times New Roman"/>
                  <w:color w:val="000000"/>
                  <w:sz w:val="24"/>
                  <w:szCs w:val="24"/>
                </w:rPr>
                <m:t>exp</m:t>
              </m:r>
            </m:fName>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μδt+σ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δt</m:t>
                      </m:r>
                    </m:e>
                  </m:rad>
                  <m:r>
                    <w:rPr>
                      <w:rFonts w:ascii="Cambria Math" w:eastAsia="Times New Roman" w:hAnsi="Cambria Math" w:cs="Times New Roman"/>
                      <w:color w:val="000000"/>
                      <w:sz w:val="24"/>
                      <w:szCs w:val="24"/>
                    </w:rPr>
                    <m:t>+μKf</m:t>
                  </m:r>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δt</m:t>
                  </m:r>
                </m:e>
              </m:d>
              <m:r>
                <w:rPr>
                  <w:rFonts w:ascii="Cambria Math" w:eastAsia="Times New Roman" w:hAnsi="Cambria Math" w:cs="Times New Roman"/>
                  <w:color w:val="000000"/>
                  <w:sz w:val="24"/>
                  <w:szCs w:val="24"/>
                </w:rPr>
                <m:t xml:space="preserve">                          </m:t>
              </m:r>
              <m:ctrlPr>
                <w:rPr>
                  <w:rFonts w:ascii="Cambria Math" w:eastAsia="Times New Roman" w:hAnsi="Cambria Math" w:cs="Times New Roman"/>
                  <w:i/>
                  <w:color w:val="000000"/>
                  <w:sz w:val="24"/>
                  <w:szCs w:val="24"/>
                </w:rPr>
              </m:ctrlPr>
            </m:e>
          </m:func>
        </m:oMath>
      </m:oMathPara>
    </w:p>
    <w:p w14:paraId="439D64AB" w14:textId="77777777" w:rsidR="007B399B" w:rsidRPr="009A6FE2" w:rsidRDefault="007B399B" w:rsidP="007B399B">
      <w:pPr>
        <w:spacing w:line="480" w:lineRule="auto"/>
        <w:jc w:val="both"/>
        <w:rPr>
          <w:rFonts w:ascii="Times New Roman" w:eastAsia="Times New Roman" w:hAnsi="Times New Roman" w:cs="Times New Roman"/>
          <w:color w:val="000000"/>
          <w:sz w:val="24"/>
          <w:szCs w:val="24"/>
        </w:rPr>
      </w:pPr>
      <w:r w:rsidRPr="009A6FE2">
        <w:rPr>
          <w:rFonts w:ascii="Times New Roman" w:eastAsia="Times New Roman" w:hAnsi="Times New Roman" w:cs="Times New Roman"/>
          <w:color w:val="000000"/>
          <w:sz w:val="24"/>
          <w:szCs w:val="24"/>
        </w:rPr>
        <w:t>or</w:t>
      </w:r>
    </w:p>
    <w:p w14:paraId="082BD0E3" w14:textId="77777777" w:rsidR="007B399B" w:rsidRPr="009A6FE2" w:rsidRDefault="007B399B" w:rsidP="007B399B">
      <w:pPr>
        <w:spacing w:line="480" w:lineRule="auto"/>
        <w:jc w:val="both"/>
        <w:rPr>
          <w:rFonts w:ascii="Times New Roman" w:eastAsia="Times New Roman" w:hAnsi="Times New Roman" w:cs="Times New Roman"/>
          <w:color w:val="000000"/>
          <w:sz w:val="24"/>
          <w:szCs w:val="24"/>
        </w:rPr>
      </w:pPr>
      <w:r w:rsidRPr="009A6FE2">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t+δt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m:t>
            </m:r>
          </m:sub>
        </m:sSub>
        <m:func>
          <m:funcPr>
            <m:ctrlPr>
              <w:rPr>
                <w:rFonts w:ascii="Cambria Math" w:eastAsia="Times New Roman" w:hAnsi="Cambria Math" w:cs="Times New Roman"/>
                <w:color w:val="000000"/>
                <w:sz w:val="24"/>
                <w:szCs w:val="24"/>
              </w:rPr>
            </m:ctrlPr>
          </m:funcPr>
          <m:fName>
            <m:r>
              <m:rPr>
                <m:sty m:val="p"/>
              </m:rPr>
              <w:rPr>
                <w:rFonts w:ascii="Cambria Math" w:eastAsia="Times New Roman" w:hAnsi="Cambria Math" w:cs="Times New Roman"/>
                <w:color w:val="000000"/>
                <w:sz w:val="24"/>
                <w:szCs w:val="24"/>
              </w:rPr>
              <m:t>exp</m:t>
            </m:r>
          </m:fName>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μδt+σ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δt</m:t>
                    </m:r>
                  </m:e>
                </m:rad>
                <m:r>
                  <w:rPr>
                    <w:rFonts w:ascii="Cambria Math" w:eastAsia="Times New Roman" w:hAnsi="Cambria Math" w:cs="Times New Roman"/>
                    <w:color w:val="000000"/>
                    <w:sz w:val="24"/>
                    <w:szCs w:val="24"/>
                  </w:rPr>
                  <m:t>-kf</m:t>
                </m:r>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δt</m:t>
                </m:r>
              </m:e>
            </m:d>
            <m:r>
              <w:rPr>
                <w:rFonts w:ascii="Cambria Math" w:eastAsia="Times New Roman" w:hAnsi="Cambria Math" w:cs="Times New Roman"/>
                <w:color w:val="000000"/>
                <w:sz w:val="24"/>
                <w:szCs w:val="24"/>
              </w:rPr>
              <m:t xml:space="preserve">         k=-μK </m:t>
            </m:r>
            <m:ctrlPr>
              <w:rPr>
                <w:rFonts w:ascii="Cambria Math" w:eastAsia="Times New Roman" w:hAnsi="Cambria Math" w:cs="Times New Roman"/>
                <w:i/>
                <w:color w:val="000000"/>
                <w:sz w:val="24"/>
                <w:szCs w:val="24"/>
              </w:rPr>
            </m:ctrlPr>
          </m:e>
        </m:func>
        <m:r>
          <w:rPr>
            <w:rFonts w:ascii="Cambria Math" w:eastAsia="Times New Roman" w:hAnsi="Cambria Math" w:cs="Times New Roman"/>
            <w:color w:val="000000"/>
            <w:sz w:val="24"/>
            <w:szCs w:val="24"/>
          </w:rPr>
          <m:t xml:space="preserve"> </m:t>
        </m:r>
      </m:oMath>
      <w:r w:rsidRPr="009A6FE2">
        <w:rPr>
          <w:rFonts w:ascii="Times New Roman" w:eastAsia="Times New Roman" w:hAnsi="Times New Roman" w:cs="Times New Roman"/>
          <w:color w:val="000000"/>
          <w:sz w:val="24"/>
          <w:szCs w:val="24"/>
        </w:rPr>
        <w:t xml:space="preserve">          </w:t>
      </w:r>
    </w:p>
    <w:p w14:paraId="5C8C02C2" w14:textId="77777777" w:rsidR="007B399B" w:rsidRPr="00A75188" w:rsidRDefault="007B399B" w:rsidP="007B399B">
      <w:pPr>
        <w:shd w:val="clear" w:color="auto" w:fill="FFFFFF"/>
        <w:spacing w:line="360" w:lineRule="auto"/>
        <w:jc w:val="both"/>
        <w:rPr>
          <w:rFonts w:ascii="Times New Roman" w:eastAsia="Times New Roman" w:hAnsi="Times New Roman" w:cs="Times New Roman"/>
          <w:sz w:val="24"/>
          <w:szCs w:val="24"/>
        </w:rPr>
      </w:pPr>
      <w:r w:rsidRPr="009A6FE2">
        <w:rPr>
          <w:rFonts w:ascii="Times New Roman" w:eastAsia="Times New Roman" w:hAnsi="Times New Roman" w:cs="Times New Roman"/>
          <w:sz w:val="24"/>
          <w:szCs w:val="24"/>
        </w:rPr>
        <w:t>This research</w:t>
      </w:r>
      <w:r w:rsidRPr="00A75188">
        <w:rPr>
          <w:rFonts w:ascii="Times New Roman" w:eastAsia="Times New Roman" w:hAnsi="Times New Roman" w:cs="Times New Roman"/>
          <w:sz w:val="24"/>
          <w:szCs w:val="24"/>
        </w:rPr>
        <w:t xml:space="preserve"> is structured in the following way: the subject of the research, the goal, and the hypotheses are defined in the introductory considerations. </w:t>
      </w:r>
      <w:r w:rsidRPr="009A6FE2">
        <w:rPr>
          <w:rFonts w:ascii="Times New Roman" w:eastAsia="Times New Roman" w:hAnsi="Times New Roman" w:cs="Times New Roman"/>
          <w:sz w:val="24"/>
          <w:szCs w:val="24"/>
        </w:rPr>
        <w:t>Using above</w:t>
      </w:r>
      <w:r>
        <w:rPr>
          <w:rFonts w:ascii="Times New Roman" w:eastAsia="Times New Roman" w:hAnsi="Times New Roman" w:cs="Times New Roman"/>
          <w:sz w:val="24"/>
          <w:szCs w:val="24"/>
        </w:rPr>
        <w:t xml:space="preserve"> </w:t>
      </w:r>
      <w:r w:rsidRPr="009A6FE2">
        <w:rPr>
          <w:rFonts w:ascii="Times New Roman" w:eastAsia="Times New Roman" w:hAnsi="Times New Roman" w:cs="Times New Roman"/>
          <w:sz w:val="24"/>
          <w:szCs w:val="24"/>
        </w:rPr>
        <w:t>literature and conceptual framework t</w:t>
      </w:r>
      <w:r w:rsidRPr="00A75188">
        <w:rPr>
          <w:rFonts w:ascii="Times New Roman" w:eastAsia="Times New Roman" w:hAnsi="Times New Roman" w:cs="Times New Roman"/>
          <w:sz w:val="24"/>
          <w:szCs w:val="24"/>
        </w:rPr>
        <w:t xml:space="preserve">he next part of </w:t>
      </w:r>
      <w:r w:rsidRPr="009A6FE2">
        <w:rPr>
          <w:rFonts w:ascii="Times New Roman" w:eastAsia="Times New Roman" w:hAnsi="Times New Roman" w:cs="Times New Roman"/>
          <w:sz w:val="24"/>
          <w:szCs w:val="24"/>
        </w:rPr>
        <w:t>the research presents relevant research</w:t>
      </w:r>
      <w:r w:rsidRPr="00A75188">
        <w:rPr>
          <w:rFonts w:ascii="Times New Roman" w:eastAsia="Times New Roman" w:hAnsi="Times New Roman" w:cs="Times New Roman"/>
          <w:sz w:val="24"/>
          <w:szCs w:val="24"/>
        </w:rPr>
        <w:t xml:space="preserve"> methodology </w:t>
      </w:r>
      <w:r w:rsidRPr="009A6FE2">
        <w:rPr>
          <w:rFonts w:ascii="Times New Roman" w:eastAsia="Times New Roman" w:hAnsi="Times New Roman" w:cs="Times New Roman"/>
          <w:sz w:val="24"/>
          <w:szCs w:val="24"/>
        </w:rPr>
        <w:t>and the development of irrational fractional Brownian motion (IFBM) GARCH process.</w:t>
      </w:r>
      <w:r w:rsidRPr="00A75188">
        <w:rPr>
          <w:rFonts w:ascii="Times New Roman" w:eastAsia="Times New Roman" w:hAnsi="Times New Roman" w:cs="Times New Roman"/>
          <w:sz w:val="24"/>
          <w:szCs w:val="24"/>
        </w:rPr>
        <w:t xml:space="preserve"> </w:t>
      </w:r>
    </w:p>
    <w:p w14:paraId="0252A951" w14:textId="40916453" w:rsidR="007B399B" w:rsidRDefault="007B399B" w:rsidP="007B399B">
      <w:pPr>
        <w:spacing w:line="480" w:lineRule="auto"/>
        <w:jc w:val="both"/>
        <w:rPr>
          <w:rFonts w:ascii="Arial" w:eastAsia="Times New Roman" w:hAnsi="Arial"/>
          <w:color w:val="000000"/>
          <w:sz w:val="24"/>
          <w:szCs w:val="24"/>
        </w:rPr>
      </w:pPr>
    </w:p>
    <w:p w14:paraId="24C29D3E" w14:textId="59172C3D" w:rsidR="002477E6" w:rsidRDefault="002477E6" w:rsidP="007B399B">
      <w:pPr>
        <w:spacing w:line="480" w:lineRule="auto"/>
        <w:jc w:val="both"/>
        <w:rPr>
          <w:rFonts w:ascii="Arial" w:eastAsia="Times New Roman" w:hAnsi="Arial"/>
          <w:color w:val="000000"/>
          <w:sz w:val="24"/>
          <w:szCs w:val="24"/>
        </w:rPr>
      </w:pPr>
    </w:p>
    <w:p w14:paraId="6908FC65" w14:textId="5E342416" w:rsidR="002477E6" w:rsidRDefault="002477E6" w:rsidP="007B399B">
      <w:pPr>
        <w:spacing w:line="480" w:lineRule="auto"/>
        <w:jc w:val="both"/>
        <w:rPr>
          <w:rFonts w:ascii="Arial" w:eastAsia="Times New Roman" w:hAnsi="Arial"/>
          <w:color w:val="000000"/>
          <w:sz w:val="24"/>
          <w:szCs w:val="24"/>
        </w:rPr>
      </w:pPr>
    </w:p>
    <w:p w14:paraId="11595482" w14:textId="1EC84CF3" w:rsidR="002477E6" w:rsidRDefault="002477E6" w:rsidP="007B399B">
      <w:pPr>
        <w:spacing w:line="480" w:lineRule="auto"/>
        <w:jc w:val="both"/>
        <w:rPr>
          <w:rFonts w:ascii="Arial" w:eastAsia="Times New Roman" w:hAnsi="Arial"/>
          <w:color w:val="000000"/>
          <w:sz w:val="24"/>
          <w:szCs w:val="24"/>
        </w:rPr>
      </w:pPr>
    </w:p>
    <w:p w14:paraId="053CB7F5" w14:textId="38671F81" w:rsidR="002477E6" w:rsidRDefault="002477E6" w:rsidP="007B399B">
      <w:pPr>
        <w:spacing w:line="480" w:lineRule="auto"/>
        <w:jc w:val="both"/>
        <w:rPr>
          <w:rFonts w:ascii="Arial" w:eastAsia="Times New Roman" w:hAnsi="Arial"/>
          <w:color w:val="000000"/>
          <w:sz w:val="24"/>
          <w:szCs w:val="24"/>
        </w:rPr>
      </w:pPr>
    </w:p>
    <w:p w14:paraId="2059E3A8" w14:textId="77777777" w:rsidR="002477E6" w:rsidRDefault="002477E6" w:rsidP="007B399B">
      <w:pPr>
        <w:spacing w:line="480" w:lineRule="auto"/>
        <w:jc w:val="both"/>
        <w:rPr>
          <w:rFonts w:ascii="Arial" w:eastAsia="Times New Roman" w:hAnsi="Arial"/>
          <w:color w:val="000000"/>
          <w:sz w:val="24"/>
          <w:szCs w:val="24"/>
        </w:rPr>
      </w:pPr>
    </w:p>
    <w:p w14:paraId="7AFD3E70" w14:textId="77777777" w:rsidR="007B399B" w:rsidRDefault="007B399B" w:rsidP="007B399B">
      <w:pPr>
        <w:pStyle w:val="Heading1"/>
      </w:pPr>
      <w:bookmarkStart w:id="187" w:name="_Toc90500003"/>
      <w:r>
        <w:lastRenderedPageBreak/>
        <w:t>3.3 Methodology</w:t>
      </w:r>
      <w:bookmarkEnd w:id="187"/>
      <w:r>
        <w:t xml:space="preserve"> </w:t>
      </w:r>
    </w:p>
    <w:p w14:paraId="698B694A" w14:textId="19E476FC" w:rsidR="00F23D74" w:rsidRPr="00A97ED5" w:rsidRDefault="00F23D74" w:rsidP="00F23D74">
      <w:pPr>
        <w:pStyle w:val="Heading2"/>
      </w:pPr>
      <w:bookmarkStart w:id="188" w:name="_Toc11914277"/>
      <w:bookmarkStart w:id="189" w:name="_Toc90500004"/>
      <w:r w:rsidRPr="00A97ED5">
        <w:t>3.3.</w:t>
      </w:r>
      <w:r>
        <w:t>1</w:t>
      </w:r>
      <w:r w:rsidRPr="00A97ED5">
        <w:t xml:space="preserve"> GARCH (p, q)</w:t>
      </w:r>
      <w:bookmarkEnd w:id="188"/>
      <w:bookmarkEnd w:id="189"/>
    </w:p>
    <w:p w14:paraId="245334E5" w14:textId="77777777" w:rsidR="00F23D74" w:rsidRPr="006E5DCD" w:rsidRDefault="00F23D74" w:rsidP="00F23D74">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The primary GARCH (p, q) process is a symmetric variance process. It does not consider the sign of error term. A general GARCH (p, q) model consists of two halves. First part represents the mean function given by </w:t>
      </w:r>
    </w:p>
    <w:p w14:paraId="2720F615" w14:textId="77777777" w:rsidR="00F23D74" w:rsidRPr="006E5DCD" w:rsidRDefault="00F23D74" w:rsidP="00F23D74">
      <w:pPr>
        <w:jc w:val="both"/>
        <w:rPr>
          <w:rFonts w:ascii="Times New Roman" w:hAnsi="Times New Roman" w:cs="Times New Roman"/>
          <w:position w:val="-24"/>
          <w:sz w:val="24"/>
          <w:szCs w:val="24"/>
        </w:rPr>
      </w:pPr>
      <w:r w:rsidRPr="006E5DCD">
        <w:rPr>
          <w:rFonts w:ascii="Times New Roman" w:hAnsi="Times New Roman" w:cs="Times New Roman"/>
          <w:sz w:val="24"/>
          <w:szCs w:val="24"/>
        </w:rPr>
        <w:t xml:space="preserve">                </w:t>
      </w:r>
      <w:r w:rsidRPr="006E5DCD">
        <w:rPr>
          <w:rFonts w:ascii="Times New Roman" w:hAnsi="Times New Roman" w:cs="Times New Roman"/>
          <w:position w:val="-24"/>
          <w:sz w:val="24"/>
          <w:szCs w:val="24"/>
        </w:rPr>
        <w:object w:dxaOrig="3400" w:dyaOrig="560" w14:anchorId="136B42B6">
          <v:shape id="_x0000_i1075" type="#_x0000_t75" style="width:309.75pt;height:43.5pt" o:ole="">
            <v:imagedata r:id="rId133" o:title=""/>
          </v:shape>
          <o:OLEObject Type="Embed" ProgID="Equation.DSMT4" ShapeID="_x0000_i1075" DrawAspect="Content" ObjectID="_1704578347" r:id="rId134"/>
        </w:object>
      </w:r>
      <w:r w:rsidRPr="006E5DCD">
        <w:rPr>
          <w:rFonts w:ascii="Times New Roman" w:hAnsi="Times New Roman" w:cs="Times New Roman"/>
          <w:sz w:val="24"/>
          <w:szCs w:val="24"/>
        </w:rPr>
        <w:t xml:space="preserve">           </w:t>
      </w:r>
    </w:p>
    <w:p w14:paraId="368D42A5" w14:textId="77777777" w:rsidR="00F23D74" w:rsidRPr="006E5DCD" w:rsidRDefault="00F23D74" w:rsidP="00F23D74">
      <w:pPr>
        <w:jc w:val="both"/>
        <w:rPr>
          <w:rFonts w:ascii="Times New Roman" w:hAnsi="Times New Roman" w:cs="Times New Roman"/>
          <w:position w:val="-24"/>
          <w:sz w:val="24"/>
          <w:szCs w:val="24"/>
        </w:rPr>
      </w:pPr>
    </w:p>
    <w:p w14:paraId="64428490" w14:textId="77777777" w:rsidR="00F23D74" w:rsidRPr="006E5DCD" w:rsidRDefault="00F23D74" w:rsidP="00F23D74">
      <w:pPr>
        <w:spacing w:line="360" w:lineRule="auto"/>
        <w:jc w:val="both"/>
        <w:rPr>
          <w:rFonts w:ascii="Times New Roman" w:hAnsi="Times New Roman" w:cs="Times New Roman"/>
          <w:position w:val="-24"/>
          <w:sz w:val="24"/>
          <w:szCs w:val="24"/>
        </w:rPr>
      </w:pPr>
      <w:r w:rsidRPr="006E5DCD">
        <w:rPr>
          <w:rFonts w:ascii="Times New Roman" w:hAnsi="Times New Roman" w:cs="Times New Roman"/>
          <w:position w:val="-24"/>
          <w:sz w:val="24"/>
          <w:szCs w:val="24"/>
        </w:rPr>
        <w:t xml:space="preserve"> The above model denotes that </w:t>
      </w:r>
      <w:proofErr w:type="spellStart"/>
      <w:r w:rsidRPr="006E5DCD">
        <w:rPr>
          <w:rFonts w:ascii="Times New Roman" w:hAnsi="Times New Roman" w:cs="Times New Roman"/>
          <w:position w:val="-24"/>
          <w:sz w:val="24"/>
          <w:szCs w:val="24"/>
        </w:rPr>
        <w:t>Y</w:t>
      </w:r>
      <w:r w:rsidRPr="006E5DCD">
        <w:rPr>
          <w:rFonts w:ascii="Times New Roman" w:hAnsi="Times New Roman" w:cs="Times New Roman"/>
          <w:position w:val="-24"/>
          <w:sz w:val="24"/>
          <w:szCs w:val="24"/>
          <w:vertAlign w:val="subscript"/>
        </w:rPr>
        <w:t>t</w:t>
      </w:r>
      <w:proofErr w:type="spellEnd"/>
      <w:r w:rsidRPr="006E5DCD">
        <w:rPr>
          <w:rFonts w:ascii="Times New Roman" w:hAnsi="Times New Roman" w:cs="Times New Roman"/>
          <w:position w:val="-24"/>
          <w:sz w:val="24"/>
          <w:szCs w:val="24"/>
        </w:rPr>
        <w:t xml:space="preserve"> follows an ARMA (R, M) process. The other part of process consists of the variance:</w:t>
      </w:r>
    </w:p>
    <w:p w14:paraId="66E4733C" w14:textId="77777777" w:rsidR="00F23D74" w:rsidRPr="006E5DCD" w:rsidRDefault="00F23D74" w:rsidP="00F23D74">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highlight w:val="yellow"/>
        </w:rPr>
        <w:t xml:space="preserve">                                   </w:t>
      </w:r>
      <w:r w:rsidRPr="006E5DCD">
        <w:rPr>
          <w:rFonts w:ascii="Times New Roman" w:hAnsi="Times New Roman" w:cs="Times New Roman"/>
          <w:sz w:val="24"/>
          <w:szCs w:val="24"/>
          <w:highlight w:val="yellow"/>
        </w:rPr>
        <w:br/>
      </w: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=k+</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t-i</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t-j</m:t>
              </m:r>
            </m:sub>
            <m:sup>
              <m:r>
                <w:rPr>
                  <w:rFonts w:ascii="Cambria Math" w:hAnsi="Cambria Math" w:cs="Times New Roman"/>
                  <w:sz w:val="24"/>
                  <w:szCs w:val="24"/>
                </w:rPr>
                <m:t>2</m:t>
              </m:r>
            </m:sup>
          </m:sSubSup>
          <m:r>
            <w:rPr>
              <w:rFonts w:ascii="Cambria Math" w:hAnsi="Cambria Math" w:cs="Times New Roman"/>
              <w:sz w:val="24"/>
              <w:szCs w:val="24"/>
            </w:rPr>
            <m:t xml:space="preserve">              </m:t>
          </m:r>
        </m:oMath>
      </m:oMathPara>
    </w:p>
    <w:p w14:paraId="6525A65A" w14:textId="77777777" w:rsidR="00F23D74" w:rsidRPr="006E5DCD" w:rsidRDefault="00F23D74" w:rsidP="00F23D74">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With following limits:</w:t>
      </w:r>
    </w:p>
    <w:p w14:paraId="706BB790" w14:textId="77777777" w:rsidR="00F23D74" w:rsidRDefault="00F23D74" w:rsidP="00F23D74">
      <w:pPr>
        <w:pStyle w:val="MTDisplayEquation"/>
        <w:spacing w:line="360" w:lineRule="auto"/>
        <w:rPr>
          <w:sz w:val="24"/>
          <w:szCs w:val="24"/>
          <w:lang w:val="en-GB"/>
        </w:rPr>
      </w:pPr>
      <w:r w:rsidRPr="006E5DCD">
        <w:rPr>
          <w:position w:val="-8"/>
          <w:sz w:val="24"/>
          <w:szCs w:val="24"/>
          <w:lang w:val="en-GB"/>
        </w:rPr>
        <w:object w:dxaOrig="1319" w:dyaOrig="260" w14:anchorId="14EAEC1A">
          <v:shape id="_x0000_i1076" type="#_x0000_t75" style="width:93.75pt;height:21.75pt" o:ole="">
            <v:imagedata r:id="rId135" o:title=""/>
          </v:shape>
          <o:OLEObject Type="Embed" ProgID="Equation.DSMT4" ShapeID="_x0000_i1076" DrawAspect="Content" ObjectID="_1704578348" r:id="rId136"/>
        </w:object>
      </w:r>
      <w:r w:rsidRPr="006E5DCD">
        <w:rPr>
          <w:sz w:val="24"/>
          <w:szCs w:val="24"/>
          <w:lang w:val="en-GB"/>
        </w:rPr>
        <w:t>,</w:t>
      </w:r>
      <w:r w:rsidRPr="006E5DCD">
        <w:rPr>
          <w:position w:val="-10"/>
          <w:sz w:val="24"/>
          <w:szCs w:val="24"/>
          <w:lang w:val="en-GB"/>
        </w:rPr>
        <w:object w:dxaOrig="1439" w:dyaOrig="280" w14:anchorId="13706CD4">
          <v:shape id="_x0000_i1077" type="#_x0000_t75" style="width:101.25pt;height:21.75pt" o:ole="">
            <v:imagedata r:id="rId137" o:title=""/>
          </v:shape>
          <o:OLEObject Type="Embed" ProgID="Equation.DSMT4" ShapeID="_x0000_i1077" DrawAspect="Content" ObjectID="_1704578349" r:id="rId138"/>
        </w:object>
      </w:r>
      <w:r w:rsidRPr="006E5DCD">
        <w:rPr>
          <w:sz w:val="24"/>
          <w:szCs w:val="24"/>
          <w:lang w:val="en-GB"/>
        </w:rPr>
        <w:t>,</w:t>
      </w:r>
      <w:r w:rsidRPr="006E5DCD">
        <w:rPr>
          <w:position w:val="-12"/>
          <w:sz w:val="24"/>
          <w:szCs w:val="24"/>
          <w:lang w:val="en-GB"/>
        </w:rPr>
        <w:object w:dxaOrig="1460" w:dyaOrig="300" w14:anchorId="5B0BAA26">
          <v:shape id="_x0000_i1078" type="#_x0000_t75" style="width:87pt;height:21.75pt" o:ole="">
            <v:imagedata r:id="rId139" o:title=""/>
          </v:shape>
          <o:OLEObject Type="Embed" ProgID="Equation.DSMT4" ShapeID="_x0000_i1078" DrawAspect="Content" ObjectID="_1704578350" r:id="rId140"/>
        </w:object>
      </w:r>
      <w:r w:rsidRPr="006E5DCD">
        <w:rPr>
          <w:sz w:val="24"/>
          <w:szCs w:val="24"/>
          <w:lang w:val="en-GB"/>
        </w:rPr>
        <w:t xml:space="preserve">,and </w:t>
      </w:r>
    </w:p>
    <w:p w14:paraId="6F6E0C97" w14:textId="77777777" w:rsidR="00F23D74" w:rsidRPr="006E5DCD" w:rsidRDefault="00F23D74" w:rsidP="00F23D74">
      <w:pPr>
        <w:pStyle w:val="MTDisplayEquation"/>
        <w:spacing w:line="360" w:lineRule="auto"/>
        <w:rPr>
          <w:sz w:val="24"/>
          <w:szCs w:val="24"/>
          <w:lang w:val="en-GB"/>
        </w:rPr>
      </w:pPr>
      <w:r w:rsidRPr="006E5DCD">
        <w:rPr>
          <w:sz w:val="24"/>
          <w:szCs w:val="24"/>
          <w:highlight w:val="yellow"/>
          <w:lang w:val="en-GB"/>
        </w:rPr>
        <w:br/>
      </w:r>
      <m:oMathPara>
        <m:oMath>
          <m:nary>
            <m:naryPr>
              <m:chr m:val="∑"/>
              <m:limLoc m:val="undOvr"/>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p</m:t>
              </m:r>
            </m:sup>
            <m:e>
              <m:sSub>
                <m:sSubPr>
                  <m:ctrlPr>
                    <w:rPr>
                      <w:rFonts w:ascii="Cambria Math" w:hAnsi="Cambria Math"/>
                      <w:i/>
                      <w:sz w:val="24"/>
                      <w:szCs w:val="24"/>
                      <w:lang w:val="en-GB"/>
                    </w:rPr>
                  </m:ctrlPr>
                </m:sSubPr>
                <m:e>
                  <m:r>
                    <w:rPr>
                      <w:rFonts w:ascii="Cambria Math" w:hAnsi="Cambria Math"/>
                      <w:sz w:val="24"/>
                      <w:szCs w:val="24"/>
                      <w:lang w:val="en-GB"/>
                    </w:rPr>
                    <m:t>G</m:t>
                  </m:r>
                </m:e>
                <m:sub>
                  <m:r>
                    <w:rPr>
                      <w:rFonts w:ascii="Cambria Math" w:hAnsi="Cambria Math"/>
                      <w:sz w:val="24"/>
                      <w:szCs w:val="24"/>
                      <w:lang w:val="en-GB"/>
                    </w:rPr>
                    <m:t>i</m:t>
                  </m:r>
                </m:sub>
              </m:sSub>
            </m:e>
          </m:nary>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j=1</m:t>
              </m:r>
            </m:sub>
            <m:sup>
              <m:r>
                <w:rPr>
                  <w:rFonts w:ascii="Cambria Math" w:hAnsi="Cambria Math"/>
                  <w:sz w:val="24"/>
                  <w:szCs w:val="24"/>
                  <w:lang w:val="en-GB"/>
                </w:rPr>
                <m:t>q</m:t>
              </m:r>
            </m:sup>
            <m:e>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j</m:t>
                  </m:r>
                </m:sub>
              </m:sSub>
            </m:e>
          </m:nary>
          <m:r>
            <w:rPr>
              <w:rFonts w:ascii="Cambria Math" w:hAnsi="Cambria Math"/>
              <w:sz w:val="24"/>
              <w:szCs w:val="24"/>
              <w:lang w:val="en-GB"/>
            </w:rPr>
            <m:t xml:space="preserve">&lt;1   </m:t>
          </m:r>
        </m:oMath>
      </m:oMathPara>
    </w:p>
    <w:p w14:paraId="6BE5F1AB" w14:textId="77777777" w:rsidR="00F23D74" w:rsidRDefault="00F23D74" w:rsidP="00F23D74">
      <w:pPr>
        <w:spacing w:line="360" w:lineRule="auto"/>
        <w:jc w:val="both"/>
        <w:rPr>
          <w:rFonts w:ascii="Times New Roman" w:hAnsi="Times New Roman" w:cs="Times New Roman"/>
          <w:sz w:val="24"/>
          <w:szCs w:val="24"/>
        </w:rPr>
      </w:pPr>
    </w:p>
    <w:p w14:paraId="6F750DDA" w14:textId="77777777" w:rsidR="00F23D74" w:rsidRPr="006E5DCD" w:rsidRDefault="00F23D74" w:rsidP="00F23D74">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The procedure of estimation of GARCH (p, q) model is by maximum likelihood function, evaluates the accuracy of estimators predicted by GARCH (p, q) model. Major assumption of maximum likelihood function is that returns are normally distributed with a given mean and variance. The methodology of maximum likelihood function is to develop a likelihood function dependant on the nature of parameters supposed for the underlying distribution. Thus, if logarithmic returns have a normal distribution, then the corresponding parameters of the model can be evaluated by optimising the likelihood function for time series.</w:t>
      </w:r>
    </w:p>
    <w:p w14:paraId="60515375" w14:textId="03C51645" w:rsidR="007B399B" w:rsidRPr="00A97ED5" w:rsidRDefault="007B399B" w:rsidP="007B399B">
      <w:pPr>
        <w:pStyle w:val="Heading2"/>
      </w:pPr>
      <w:bookmarkStart w:id="190" w:name="_Toc90500005"/>
      <w:r w:rsidRPr="00A97ED5">
        <w:lastRenderedPageBreak/>
        <w:t>3.3.</w:t>
      </w:r>
      <w:r w:rsidR="00F23D74">
        <w:t>2</w:t>
      </w:r>
      <w:r w:rsidRPr="00A97ED5">
        <w:t xml:space="preserve"> Development of IFBM GARCH Process:</w:t>
      </w:r>
      <w:bookmarkEnd w:id="186"/>
      <w:bookmarkEnd w:id="190"/>
    </w:p>
    <w:p w14:paraId="2AFBAA9D"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To improve the GARCH process, some extensions of GARCH (p, q) have been introduced including exponential GARCH, GJR-GARCH etc. These extended versions of model deal with irregular volatility, mostly used with large data sets including daily or hourly data, with the inclusion of additional lags in model; these extended models accommodate both quick and gradual diffusion of information.</w:t>
      </w:r>
    </w:p>
    <w:p w14:paraId="13CD0D39" w14:textId="77777777" w:rsidR="007B399B"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GARCH (1, 1) is a basic GARCH model applied to detect volatility clustering and heteroskedasticity within time series. GARCH (1 ,1) is represented as </w:t>
      </w:r>
    </w:p>
    <w:p w14:paraId="3C81026C" w14:textId="77777777" w:rsidR="007B399B" w:rsidRPr="006E5DCD" w:rsidRDefault="007B399B" w:rsidP="007B399B">
      <w:pPr>
        <w:spacing w:line="360" w:lineRule="auto"/>
        <w:jc w:val="both"/>
        <w:rPr>
          <w:rFonts w:ascii="Times New Roman" w:hAnsi="Times New Roman" w:cs="Times New Roman"/>
          <w:sz w:val="24"/>
          <w:szCs w:val="24"/>
        </w:rPr>
      </w:pPr>
    </w:p>
    <w:p w14:paraId="3C46C459" w14:textId="77777777" w:rsidR="007B399B" w:rsidRPr="006E5DCD" w:rsidRDefault="002C15FD" w:rsidP="007B399B">
      <w:pPr>
        <w:autoSpaceDE w:val="0"/>
        <w:autoSpaceDN w:val="0"/>
        <w:adjustRightInd w:val="0"/>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2442C5EF" w14:textId="77777777" w:rsidR="007B399B" w:rsidRPr="006E5DCD" w:rsidRDefault="007B399B" w:rsidP="007B399B">
      <w:pPr>
        <w:autoSpaceDE w:val="0"/>
        <w:autoSpaceDN w:val="0"/>
        <w:adjustRightInd w:val="0"/>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That is returns on security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Pr="006E5DCD">
        <w:rPr>
          <w:rFonts w:ascii="Times New Roman" w:hAnsi="Times New Roman" w:cs="Times New Roman"/>
          <w:sz w:val="24"/>
          <w:szCs w:val="24"/>
        </w:rPr>
        <w:t xml:space="preserve"> are equivalent to a constant term and an uncorrelated white noise innovation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6E5DCD">
        <w:rPr>
          <w:rFonts w:ascii="Times New Roman" w:hAnsi="Times New Roman" w:cs="Times New Roman"/>
          <w:sz w:val="24"/>
          <w:szCs w:val="24"/>
        </w:rPr>
        <w:t xml:space="preserve"> . This model is usually enough to determine the conditional mean of a financial return data. The corresponding variance equation is given by:</w:t>
      </w:r>
    </w:p>
    <w:p w14:paraId="30B0366C" w14:textId="77777777" w:rsidR="007B399B" w:rsidRPr="006E5DCD" w:rsidRDefault="007B399B" w:rsidP="007B399B">
      <w:pPr>
        <w:autoSpaceDE w:val="0"/>
        <w:autoSpaceDN w:val="0"/>
        <w:adjustRightInd w:val="0"/>
        <w:spacing w:line="360" w:lineRule="auto"/>
        <w:jc w:val="both"/>
        <w:rPr>
          <w:rFonts w:ascii="Times New Roman" w:hAnsi="Times New Roman" w:cs="Times New Roman"/>
          <w:sz w:val="24"/>
          <w:szCs w:val="24"/>
        </w:rPr>
      </w:pPr>
    </w:p>
    <w:p w14:paraId="3FF4D5DA" w14:textId="77777777" w:rsidR="00D83F11" w:rsidRPr="00FF69EB" w:rsidRDefault="002C15FD" w:rsidP="00D83F11">
      <w:pPr>
        <w:rPr>
          <w:rFonts w:ascii="Times New Roman" w:eastAsiaTheme="minorEastAsia"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r>
            <m:rPr>
              <m:sty m:val="b"/>
            </m:rPr>
            <w:rPr>
              <w:rFonts w:ascii="Cambria Math" w:hAnsi="Cambria Math" w:cs="Times New Roman"/>
              <w:sz w:val="24"/>
              <w:szCs w:val="24"/>
            </w:rPr>
            <m:t>ω+ α</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ε</m:t>
              </m:r>
            </m:e>
            <m:sub>
              <m:r>
                <m:rPr>
                  <m:sty m:val="b"/>
                </m:rPr>
                <w:rPr>
                  <w:rFonts w:ascii="Cambria Math" w:hAnsi="Cambria Math" w:cs="Times New Roman"/>
                  <w:sz w:val="24"/>
                  <w:szCs w:val="24"/>
                </w:rPr>
                <m:t>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 β</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σ</m:t>
              </m:r>
            </m:e>
            <m:sub>
              <m:r>
                <m:rPr>
                  <m:sty m:val="b"/>
                </m:rPr>
                <w:rPr>
                  <w:rFonts w:ascii="Cambria Math" w:hAnsi="Cambria Math" w:cs="Times New Roman"/>
                  <w:sz w:val="24"/>
                  <w:szCs w:val="24"/>
                </w:rPr>
                <m:t>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m:t>
          </m:r>
        </m:oMath>
      </m:oMathPara>
    </w:p>
    <w:p w14:paraId="5E476B4D" w14:textId="77777777" w:rsidR="007B399B" w:rsidRPr="006E5DCD" w:rsidRDefault="007B399B" w:rsidP="007B399B">
      <w:pPr>
        <w:autoSpaceDE w:val="0"/>
        <w:autoSpaceDN w:val="0"/>
        <w:adjustRightInd w:val="0"/>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Where</w:t>
      </w:r>
    </w:p>
    <w:p w14:paraId="74EC444F" w14:textId="77777777" w:rsidR="007B399B" w:rsidRPr="006E5DCD" w:rsidRDefault="002C15FD" w:rsidP="0099026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oMath>
      <w:r w:rsidR="007B399B" w:rsidRPr="006E5DCD">
        <w:rPr>
          <w:rFonts w:ascii="Times New Roman" w:hAnsi="Times New Roman" w:cs="Times New Roman"/>
          <w:sz w:val="24"/>
          <w:szCs w:val="24"/>
        </w:rPr>
        <w:t xml:space="preserve"> represents variance at time t</w:t>
      </w:r>
    </w:p>
    <w:p w14:paraId="270574A6" w14:textId="77777777" w:rsidR="007B399B" w:rsidRPr="006E5DCD" w:rsidRDefault="002C15FD" w:rsidP="0099026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t-1</m:t>
            </m:r>
          </m:sub>
          <m:sup>
            <m:r>
              <w:rPr>
                <w:rFonts w:ascii="Cambria Math" w:hAnsi="Cambria Math" w:cs="Times New Roman"/>
                <w:sz w:val="24"/>
                <w:szCs w:val="24"/>
              </w:rPr>
              <m:t>2</m:t>
            </m:r>
          </m:sup>
        </m:sSubSup>
      </m:oMath>
      <w:r w:rsidR="007B399B" w:rsidRPr="006E5DCD">
        <w:rPr>
          <w:rFonts w:ascii="Times New Roman" w:hAnsi="Times New Roman" w:cs="Times New Roman"/>
          <w:sz w:val="24"/>
          <w:szCs w:val="24"/>
        </w:rPr>
        <w:t xml:space="preserve"> represents variance at time t-1</w:t>
      </w:r>
    </w:p>
    <w:p w14:paraId="1758D827" w14:textId="77777777" w:rsidR="007B399B" w:rsidRPr="006E5DCD" w:rsidRDefault="002C15FD" w:rsidP="0099026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t-1</m:t>
            </m:r>
          </m:sub>
          <m:sup>
            <m:r>
              <w:rPr>
                <w:rFonts w:ascii="Cambria Math" w:hAnsi="Cambria Math" w:cs="Times New Roman"/>
                <w:sz w:val="24"/>
                <w:szCs w:val="24"/>
              </w:rPr>
              <m:t>2</m:t>
            </m:r>
          </m:sup>
        </m:sSubSup>
      </m:oMath>
      <w:r w:rsidR="007B399B" w:rsidRPr="006E5DCD">
        <w:rPr>
          <w:rFonts w:ascii="Times New Roman" w:hAnsi="Times New Roman" w:cs="Times New Roman"/>
          <w:sz w:val="24"/>
          <w:szCs w:val="24"/>
        </w:rPr>
        <w:t xml:space="preserve"> represents squared error term for time t-1</w:t>
      </w:r>
    </w:p>
    <w:p w14:paraId="46690D76" w14:textId="1C7EDF39" w:rsidR="007B399B" w:rsidRPr="006E5DCD" w:rsidRDefault="00D83F11" w:rsidP="0099026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 xml:space="preserve">ω </m:t>
        </m:r>
      </m:oMath>
      <w:r w:rsidR="007B399B" w:rsidRPr="006E5DCD">
        <w:rPr>
          <w:rFonts w:ascii="Times New Roman" w:hAnsi="Times New Roman" w:cs="Times New Roman"/>
          <w:sz w:val="24"/>
          <w:szCs w:val="24"/>
        </w:rPr>
        <w:t>is a constant</w:t>
      </w:r>
    </w:p>
    <w:p w14:paraId="473631AC" w14:textId="3B7167FA" w:rsidR="007B399B" w:rsidRDefault="00D83F11" w:rsidP="0099026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α and β</m:t>
        </m:r>
      </m:oMath>
      <w:r w:rsidR="007B399B" w:rsidRPr="006E5DCD">
        <w:rPr>
          <w:rFonts w:ascii="Times New Roman" w:hAnsi="Times New Roman" w:cs="Times New Roman"/>
          <w:sz w:val="24"/>
          <w:szCs w:val="24"/>
        </w:rPr>
        <w:t xml:space="preserve"> are the weights associated squared error term </w:t>
      </w:r>
      <w:r w:rsidRPr="006E5DCD">
        <w:rPr>
          <w:rFonts w:ascii="Times New Roman" w:hAnsi="Times New Roman" w:cs="Times New Roman"/>
          <w:sz w:val="24"/>
          <w:szCs w:val="24"/>
        </w:rPr>
        <w:t xml:space="preserve">and with variance </w:t>
      </w:r>
      <w:r w:rsidR="007B399B" w:rsidRPr="006E5DCD">
        <w:rPr>
          <w:rFonts w:ascii="Times New Roman" w:hAnsi="Times New Roman" w:cs="Times New Roman"/>
          <w:sz w:val="24"/>
          <w:szCs w:val="24"/>
        </w:rPr>
        <w:t>for time t-1 respectively?</w:t>
      </w:r>
    </w:p>
    <w:p w14:paraId="434F5C8E" w14:textId="77777777" w:rsidR="00BA27A7" w:rsidRDefault="00BA27A7" w:rsidP="007B399B">
      <w:pPr>
        <w:autoSpaceDE w:val="0"/>
        <w:autoSpaceDN w:val="0"/>
        <w:adjustRightInd w:val="0"/>
        <w:spacing w:line="360" w:lineRule="auto"/>
        <w:ind w:left="68"/>
        <w:jc w:val="both"/>
        <w:rPr>
          <w:rFonts w:ascii="Times New Roman" w:hAnsi="Times New Roman" w:cs="Times New Roman"/>
          <w:sz w:val="24"/>
          <w:szCs w:val="24"/>
        </w:rPr>
      </w:pPr>
    </w:p>
    <w:p w14:paraId="2E1F4063" w14:textId="207BAAAC" w:rsidR="007B399B" w:rsidRDefault="007B399B" w:rsidP="007B399B">
      <w:pPr>
        <w:autoSpaceDE w:val="0"/>
        <w:autoSpaceDN w:val="0"/>
        <w:adjustRightInd w:val="0"/>
        <w:spacing w:line="360" w:lineRule="auto"/>
        <w:ind w:left="68"/>
        <w:jc w:val="both"/>
        <w:rPr>
          <w:rFonts w:ascii="Times New Roman" w:hAnsi="Times New Roman" w:cs="Times New Roman"/>
          <w:sz w:val="24"/>
          <w:szCs w:val="24"/>
        </w:rPr>
      </w:pPr>
      <w:r w:rsidRPr="006E5DCD">
        <w:rPr>
          <w:rFonts w:ascii="Times New Roman" w:hAnsi="Times New Roman" w:cs="Times New Roman"/>
          <w:sz w:val="24"/>
          <w:szCs w:val="24"/>
        </w:rPr>
        <w:t xml:space="preserve">A description of the above variance model can be: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oMath>
      <w:r w:rsidRPr="006E5DCD">
        <w:rPr>
          <w:rFonts w:ascii="Times New Roman" w:hAnsi="Times New Roman" w:cs="Times New Roman"/>
          <w:sz w:val="24"/>
          <w:szCs w:val="24"/>
        </w:rPr>
        <w:t xml:space="preserve"> is represented as a sum of weighted average of variance and squared term from previous time period plus a constant term. The error terms in the model are because of random variables, which are supposed to possess a normal distribution. The conditional distribution of GARCH models has been shown to comprise of heavier tail than that of a normal distribution and so it provides a better estimation to original time series.</w:t>
      </w:r>
    </w:p>
    <w:p w14:paraId="793472C0" w14:textId="77777777" w:rsidR="007B399B" w:rsidRPr="006E5DCD" w:rsidRDefault="007B399B" w:rsidP="007B399B">
      <w:pPr>
        <w:pStyle w:val="Heading2"/>
        <w:rPr>
          <w:rFonts w:ascii="Times New Roman" w:hAnsi="Times New Roman" w:cs="Times New Roman"/>
          <w:sz w:val="24"/>
          <w:szCs w:val="24"/>
        </w:rPr>
      </w:pPr>
      <w:bookmarkStart w:id="191" w:name="_Toc11914282"/>
      <w:bookmarkStart w:id="192" w:name="_Toc90500006"/>
      <w:r>
        <w:rPr>
          <w:rFonts w:ascii="Times New Roman" w:hAnsi="Times New Roman" w:cs="Times New Roman"/>
          <w:sz w:val="24"/>
          <w:szCs w:val="24"/>
        </w:rPr>
        <w:lastRenderedPageBreak/>
        <w:t xml:space="preserve">3.3.3 </w:t>
      </w:r>
      <w:r w:rsidRPr="006E5DCD">
        <w:rPr>
          <w:rFonts w:ascii="Times New Roman" w:hAnsi="Times New Roman" w:cs="Times New Roman"/>
          <w:sz w:val="24"/>
          <w:szCs w:val="24"/>
        </w:rPr>
        <w:t>IFBM GARCH</w:t>
      </w:r>
      <w:r>
        <w:rPr>
          <w:rFonts w:ascii="Times New Roman" w:hAnsi="Times New Roman" w:cs="Times New Roman"/>
          <w:sz w:val="24"/>
          <w:szCs w:val="24"/>
        </w:rPr>
        <w:t xml:space="preserve"> process</w:t>
      </w:r>
      <w:r w:rsidRPr="006E5DCD">
        <w:rPr>
          <w:rFonts w:ascii="Times New Roman" w:hAnsi="Times New Roman" w:cs="Times New Roman"/>
          <w:sz w:val="24"/>
          <w:szCs w:val="24"/>
        </w:rPr>
        <w:t>:</w:t>
      </w:r>
      <w:bookmarkEnd w:id="191"/>
      <w:bookmarkEnd w:id="192"/>
    </w:p>
    <w:p w14:paraId="1B24AA49" w14:textId="77777777" w:rsidR="007B399B" w:rsidRPr="006E5DCD" w:rsidRDefault="007B399B" w:rsidP="007B399B">
      <w:pPr>
        <w:spacing w:line="480" w:lineRule="auto"/>
        <w:rPr>
          <w:rFonts w:ascii="Times New Roman" w:hAnsi="Times New Roman" w:cs="Times New Roman"/>
          <w:sz w:val="24"/>
          <w:szCs w:val="24"/>
        </w:rPr>
      </w:pPr>
      <w:r w:rsidRPr="006E5DCD">
        <w:rPr>
          <w:rFonts w:ascii="Times New Roman" w:hAnsi="Times New Roman" w:cs="Times New Roman"/>
          <w:sz w:val="24"/>
          <w:szCs w:val="24"/>
        </w:rPr>
        <w:t>In line with above equations, this research proposes an initial version of GARCH model based on the IFBM model as follows:</w:t>
      </w:r>
    </w:p>
    <w:p w14:paraId="68A57EDF" w14:textId="77777777" w:rsidR="007B399B" w:rsidRPr="006E5DCD" w:rsidRDefault="007B399B" w:rsidP="007B399B">
      <w:pPr>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GARCH simulation with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oMath>
    </w:p>
    <w:p w14:paraId="30010E60" w14:textId="58079C69" w:rsidR="007B399B" w:rsidRPr="00FF69EB" w:rsidRDefault="002C15FD" w:rsidP="007B399B">
      <w:pPr>
        <w:rPr>
          <w:rFonts w:ascii="Times New Roman" w:eastAsiaTheme="minorEastAsia"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μ+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oMath>
      </m:oMathPara>
    </w:p>
    <w:p w14:paraId="339138CA" w14:textId="77777777" w:rsidR="007B399B" w:rsidRPr="00FF69EB" w:rsidRDefault="007B399B" w:rsidP="007B399B">
      <w:pPr>
        <w:rPr>
          <w:rFonts w:ascii="Times New Roman" w:eastAsiaTheme="minorEastAsia" w:hAnsi="Times New Roman" w:cs="Times New Roman"/>
          <w:b/>
          <w:bCs/>
          <w:sz w:val="24"/>
          <w:szCs w:val="24"/>
        </w:rPr>
      </w:pPr>
    </w:p>
    <w:p w14:paraId="653C74E6" w14:textId="7FF43472" w:rsidR="007B399B" w:rsidRPr="00FF69EB" w:rsidRDefault="002C15FD" w:rsidP="007B399B">
      <w:pPr>
        <w:rPr>
          <w:rFonts w:ascii="Times New Roman" w:eastAsiaTheme="minorEastAsia"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r>
            <m:rPr>
              <m:sty m:val="b"/>
            </m:rPr>
            <w:rPr>
              <w:rFonts w:ascii="Cambria Math" w:hAnsi="Cambria Math" w:cs="Times New Roman"/>
              <w:sz w:val="24"/>
              <w:szCs w:val="24"/>
            </w:rPr>
            <m:t>ω+ α</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ε</m:t>
              </m:r>
            </m:e>
            <m:sub>
              <m:r>
                <m:rPr>
                  <m:sty m:val="b"/>
                </m:rPr>
                <w:rPr>
                  <w:rFonts w:ascii="Cambria Math" w:hAnsi="Cambria Math" w:cs="Times New Roman"/>
                  <w:sz w:val="24"/>
                  <w:szCs w:val="24"/>
                </w:rPr>
                <m:t>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 β</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σ</m:t>
              </m:r>
            </m:e>
            <m:sub>
              <m:r>
                <m:rPr>
                  <m:sty m:val="b"/>
                </m:rPr>
                <w:rPr>
                  <w:rFonts w:ascii="Cambria Math" w:hAnsi="Cambria Math" w:cs="Times New Roman"/>
                  <w:sz w:val="24"/>
                  <w:szCs w:val="24"/>
                </w:rPr>
                <m:t>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m:t>
          </m:r>
        </m:oMath>
      </m:oMathPara>
    </w:p>
    <w:p w14:paraId="5B5D7B63" w14:textId="77777777" w:rsidR="007B399B" w:rsidRPr="00FF69EB" w:rsidRDefault="007B399B" w:rsidP="007B399B">
      <w:pPr>
        <w:rPr>
          <w:rFonts w:ascii="Times New Roman" w:eastAsiaTheme="minorEastAsia" w:hAnsi="Times New Roman" w:cs="Times New Roman"/>
          <w:b/>
          <w:bCs/>
          <w:sz w:val="24"/>
          <w:szCs w:val="24"/>
        </w:rPr>
      </w:pPr>
      <w:r w:rsidRPr="00FF69EB">
        <w:rPr>
          <w:rFonts w:ascii="Times New Roman" w:eastAsiaTheme="minorEastAsia" w:hAnsi="Times New Roman" w:cs="Times New Roman"/>
          <w:b/>
          <w:bCs/>
          <w:sz w:val="24"/>
          <w:szCs w:val="24"/>
        </w:rPr>
        <w:t xml:space="preserve">Since    </w:t>
      </w:r>
    </w:p>
    <w:p w14:paraId="173D616E" w14:textId="67099B09" w:rsidR="007B399B" w:rsidRPr="00FF69EB" w:rsidRDefault="007B399B" w:rsidP="007B399B">
      <w:pPr>
        <w:spacing w:line="480" w:lineRule="auto"/>
        <w:jc w:val="center"/>
        <w:rPr>
          <w:rFonts w:ascii="Times New Roman" w:hAnsi="Times New Roman" w:cs="Times New Roman"/>
          <w:b/>
          <w:bCs/>
          <w:sz w:val="24"/>
          <w:szCs w:val="24"/>
        </w:rPr>
      </w:pPr>
      <w:r w:rsidRPr="00FF69EB">
        <w:rPr>
          <w:rFonts w:ascii="Times New Roman" w:hAnsi="Times New Roman" w:cs="Times New Roman"/>
          <w:b/>
          <w:bCs/>
          <w:sz w:val="24"/>
          <w:szCs w:val="24"/>
        </w:rPr>
        <w:t xml:space="preserve">Where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-E(</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Sub>
          </m:den>
        </m:f>
      </m:oMath>
    </w:p>
    <w:p w14:paraId="28CF7ECC" w14:textId="305940C5" w:rsidR="007B399B" w:rsidRPr="00FF69EB" w:rsidRDefault="007B399B" w:rsidP="007B399B">
      <w:pPr>
        <w:spacing w:line="480" w:lineRule="auto"/>
        <w:jc w:val="center"/>
        <w:rPr>
          <w:rFonts w:ascii="Times New Roman" w:hAnsi="Times New Roman" w:cs="Times New Roman"/>
          <w:b/>
          <w:bCs/>
          <w:sz w:val="24"/>
          <w:szCs w:val="24"/>
        </w:rPr>
      </w:pPr>
      <w:r w:rsidRPr="00FF69EB">
        <w:rPr>
          <w:rFonts w:ascii="Times New Roman" w:hAnsi="Times New Roman" w:cs="Times New Roman"/>
          <w:b/>
          <w:bCs/>
          <w:sz w:val="24"/>
          <w:szCs w:val="24"/>
        </w:rPr>
        <w:t xml:space="preserve">When </w:t>
      </w:r>
      <m:oMath>
        <m:r>
          <m:rPr>
            <m:sty m:val="bi"/>
          </m:rPr>
          <w:rPr>
            <w:rFonts w:ascii="Cambria Math" w:hAnsi="Cambria Math" w:cs="Times New Roman"/>
            <w:sz w:val="24"/>
            <w:szCs w:val="24"/>
          </w:rPr>
          <m:t>E</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e>
        </m:d>
        <m:r>
          <m:rPr>
            <m:sty m:val="bi"/>
          </m:rPr>
          <w:rPr>
            <w:rFonts w:ascii="Cambria Math" w:hAnsi="Cambria Math" w:cs="Times New Roman"/>
            <w:sz w:val="24"/>
            <w:szCs w:val="24"/>
          </w:rPr>
          <m:t>=0</m:t>
        </m:r>
      </m:oMath>
      <w:r w:rsidRPr="00FF69EB">
        <w:rPr>
          <w:rFonts w:ascii="Times New Roman" w:hAnsi="Times New Roman" w:cs="Times New Roman"/>
          <w:b/>
          <w:bCs/>
          <w:sz w:val="24"/>
          <w:szCs w:val="24"/>
        </w:rPr>
        <w:t xml:space="preserve">  we have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Sub>
          </m:den>
        </m:f>
      </m:oMath>
    </w:p>
    <w:p w14:paraId="3B4016AD" w14:textId="7173837A" w:rsidR="007B399B" w:rsidRPr="00FF69EB" w:rsidRDefault="007B399B" w:rsidP="007B399B">
      <w:pPr>
        <w:jc w:val="center"/>
        <w:rPr>
          <w:rFonts w:ascii="Times New Roman" w:hAnsi="Times New Roman" w:cs="Times New Roman"/>
          <w:b/>
          <w:bCs/>
          <w:sz w:val="24"/>
          <w:szCs w:val="24"/>
        </w:rPr>
      </w:pPr>
      <w:r w:rsidRPr="00FF69EB">
        <w:rPr>
          <w:rFonts w:ascii="Times New Roman" w:hAnsi="Times New Roman" w:cs="Times New Roman"/>
          <w:b/>
          <w:bCs/>
          <w:sz w:val="24"/>
          <w:szCs w:val="24"/>
        </w:rPr>
        <w:t xml:space="preserve">Also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acc>
          <m:accPr>
            <m:ctrlPr>
              <w:rPr>
                <w:rFonts w:ascii="Cambria Math" w:hAnsi="Cambria Math" w:cs="Times New Roman"/>
                <w:b/>
                <w:bCs/>
                <w:i/>
                <w:sz w:val="24"/>
                <w:szCs w:val="24"/>
              </w:rPr>
            </m:ctrlPr>
          </m:acc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m:t>
                </m:r>
              </m:sub>
            </m:sSub>
          </m:e>
        </m:acc>
      </m:oMath>
    </w:p>
    <w:p w14:paraId="043B038B" w14:textId="77777777" w:rsidR="007B399B" w:rsidRPr="00FF69EB" w:rsidRDefault="007B399B" w:rsidP="007B399B">
      <w:pPr>
        <w:rPr>
          <w:rFonts w:ascii="Times New Roman" w:eastAsiaTheme="minorEastAsia" w:hAnsi="Times New Roman" w:cs="Times New Roman"/>
          <w:b/>
          <w:bCs/>
          <w:sz w:val="24"/>
          <w:szCs w:val="24"/>
        </w:rPr>
      </w:pPr>
    </w:p>
    <w:p w14:paraId="6703A0C5" w14:textId="0479B00C" w:rsidR="007B399B" w:rsidRPr="00FF69EB" w:rsidRDefault="007B399B" w:rsidP="007B399B">
      <w:pPr>
        <w:rPr>
          <w:rFonts w:ascii="Times New Roman" w:eastAsiaTheme="minorEastAsia" w:hAnsi="Times New Roman" w:cs="Times New Roman"/>
          <w:b/>
          <w:bCs/>
          <w:sz w:val="24"/>
          <w:szCs w:val="24"/>
        </w:rPr>
      </w:pPr>
      <w:r w:rsidRPr="00FF69EB">
        <w:rPr>
          <w:rFonts w:ascii="Times New Roman" w:eastAsiaTheme="minorEastAsia" w:hAnsi="Times New Roman" w:cs="Times New Roman"/>
          <w:b/>
          <w:bCs/>
          <w:sz w:val="24"/>
          <w:szCs w:val="24"/>
        </w:rPr>
        <w:t xml:space="preserve">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 xml:space="preserve">t = </m:t>
            </m:r>
          </m:sub>
        </m:sSub>
        <m:f>
          <m:fPr>
            <m:ctrlPr>
              <w:rPr>
                <w:rFonts w:ascii="Cambria Math" w:eastAsiaTheme="minorEastAsia" w:hAnsi="Cambria Math" w:cs="Times New Roman"/>
                <w:b/>
                <w:bCs/>
                <w:i/>
                <w:sz w:val="24"/>
                <w:szCs w:val="24"/>
              </w:rPr>
            </m:ctrlPr>
          </m:fPr>
          <m:num>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ε</m:t>
                </m:r>
              </m:e>
              <m:sub>
                <m:r>
                  <m:rPr>
                    <m:sty m:val="bi"/>
                  </m:rPr>
                  <w:rPr>
                    <w:rFonts w:ascii="Cambria Math" w:eastAsiaTheme="minorEastAsia" w:hAnsi="Cambria Math" w:cs="Times New Roman"/>
                    <w:sz w:val="24"/>
                    <w:szCs w:val="24"/>
                  </w:rPr>
                  <m:t>t</m:t>
                </m:r>
              </m:sub>
            </m:sSub>
          </m:num>
          <m:den>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t</m:t>
                </m:r>
              </m:sub>
            </m:sSub>
          </m:den>
        </m:f>
      </m:oMath>
      <w:r w:rsidRPr="00FF69EB">
        <w:rPr>
          <w:rFonts w:ascii="Times New Roman" w:eastAsiaTheme="minorEastAsia" w:hAnsi="Times New Roman" w:cs="Times New Roman"/>
          <w:b/>
          <w:bCs/>
          <w:sz w:val="24"/>
          <w:szCs w:val="24"/>
        </w:rPr>
        <w:t xml:space="preserve">    then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t</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Sub>
      </m:oMath>
      <w:r w:rsidRPr="00FF69EB">
        <w:rPr>
          <w:rFonts w:ascii="Times New Roman" w:eastAsiaTheme="minorEastAsia" w:hAnsi="Times New Roman" w:cs="Times New Roman"/>
          <w:b/>
          <w:bCs/>
          <w:sz w:val="24"/>
          <w:szCs w:val="24"/>
        </w:rPr>
        <w:t xml:space="preserve">  and  </w:t>
      </w:r>
      <m:oMath>
        <m:r>
          <m:rPr>
            <m:sty m:val="bi"/>
          </m:rPr>
          <w:rPr>
            <w:rFonts w:ascii="Cambria Math" w:eastAsiaTheme="minorEastAsia" w:hAnsi="Cambria Math" w:cs="Times New Roman"/>
            <w:sz w:val="24"/>
            <w:szCs w:val="24"/>
          </w:rPr>
          <m:t xml:space="preserve">σ= </m:t>
        </m:r>
        <m:rad>
          <m:radPr>
            <m:degHide m:val="1"/>
            <m:ctrlPr>
              <w:rPr>
                <w:rFonts w:ascii="Cambria Math" w:eastAsiaTheme="minorEastAsia" w:hAnsi="Cambria Math" w:cs="Times New Roman"/>
                <w:b/>
                <w:bCs/>
                <w:i/>
                <w:sz w:val="24"/>
                <w:szCs w:val="24"/>
              </w:rPr>
            </m:ctrlPr>
          </m:radPr>
          <m:deg/>
          <m:e>
            <m:f>
              <m:fPr>
                <m:ctrlPr>
                  <w:rPr>
                    <w:rFonts w:ascii="Cambria Math" w:eastAsiaTheme="minorEastAsia" w:hAnsi="Cambria Math" w:cs="Times New Roman"/>
                    <w:b/>
                    <w:bCs/>
                    <w:i/>
                    <w:sz w:val="24"/>
                    <w:szCs w:val="24"/>
                  </w:rPr>
                </m:ctrlPr>
              </m:fPr>
              <m:num>
                <m:sSup>
                  <m:sSupPr>
                    <m:ctrlPr>
                      <w:rPr>
                        <w:rFonts w:ascii="Cambria Math" w:eastAsiaTheme="minorEastAsia" w:hAnsi="Cambria Math" w:cs="Times New Roman"/>
                        <w:b/>
                        <w:bCs/>
                        <w:i/>
                        <w:sz w:val="24"/>
                        <w:szCs w:val="24"/>
                      </w:rPr>
                    </m:ctrlPr>
                  </m:sSupPr>
                  <m:e>
                    <m:d>
                      <m:dPr>
                        <m:ctrlPr>
                          <w:rPr>
                            <w:rFonts w:ascii="Cambria Math" w:eastAsiaTheme="minorEastAsia" w:hAnsi="Cambria Math" w:cs="Times New Roman"/>
                            <w:b/>
                            <w:bCs/>
                            <w:i/>
                            <w:sz w:val="24"/>
                            <w:szCs w:val="24"/>
                          </w:rPr>
                        </m:ctrlPr>
                      </m:dPr>
                      <m:e>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b/>
                                <w:bCs/>
                                <w:i/>
                                <w:sz w:val="24"/>
                                <w:szCs w:val="24"/>
                              </w:rPr>
                            </m:ctrlPr>
                          </m:accPr>
                          <m:e>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t</m:t>
                                </m:r>
                              </m:sub>
                            </m:sSub>
                          </m:e>
                        </m:acc>
                      </m:e>
                    </m:d>
                  </m:e>
                  <m:sup>
                    <m:r>
                      <m:rPr>
                        <m:sty m:val="bi"/>
                      </m:rPr>
                      <w:rPr>
                        <w:rFonts w:ascii="Cambria Math" w:eastAsiaTheme="minorEastAsia" w:hAnsi="Cambria Math" w:cs="Times New Roman"/>
                        <w:sz w:val="24"/>
                        <w:szCs w:val="24"/>
                      </w:rPr>
                      <m:t>2</m:t>
                    </m:r>
                  </m:sup>
                </m:sSup>
              </m:num>
              <m:den>
                <m:r>
                  <m:rPr>
                    <m:sty m:val="bi"/>
                  </m:rPr>
                  <w:rPr>
                    <w:rFonts w:ascii="Cambria Math" w:eastAsiaTheme="minorEastAsia" w:hAnsi="Cambria Math" w:cs="Times New Roman"/>
                    <w:sz w:val="24"/>
                    <w:szCs w:val="24"/>
                  </w:rPr>
                  <m:t>T-1</m:t>
                </m:r>
              </m:den>
            </m:f>
          </m:e>
        </m:rad>
      </m:oMath>
    </w:p>
    <w:p w14:paraId="055A24C8" w14:textId="77777777" w:rsidR="00FF69EB" w:rsidRDefault="00FF69EB" w:rsidP="007B399B">
      <w:pPr>
        <w:rPr>
          <w:rFonts w:ascii="Times New Roman" w:eastAsiaTheme="minorEastAsia" w:hAnsi="Times New Roman" w:cs="Times New Roman"/>
          <w:b/>
          <w:bCs/>
          <w:sz w:val="24"/>
          <w:szCs w:val="24"/>
        </w:rPr>
      </w:pPr>
    </w:p>
    <w:p w14:paraId="113B8507" w14:textId="619AA934" w:rsidR="007B399B" w:rsidRPr="00FF69EB" w:rsidRDefault="007B399B" w:rsidP="007B399B">
      <w:pPr>
        <w:rPr>
          <w:rFonts w:ascii="Times New Roman" w:eastAsiaTheme="minorEastAsia" w:hAnsi="Times New Roman" w:cs="Times New Roman"/>
          <w:b/>
          <w:bCs/>
          <w:sz w:val="24"/>
          <w:szCs w:val="24"/>
        </w:rPr>
      </w:pPr>
      <w:r w:rsidRPr="00FF69EB">
        <w:rPr>
          <w:rFonts w:ascii="Times New Roman" w:eastAsiaTheme="minorEastAsia" w:hAnsi="Times New Roman" w:cs="Times New Roman"/>
          <w:b/>
          <w:bCs/>
          <w:sz w:val="24"/>
          <w:szCs w:val="24"/>
        </w:rPr>
        <w:t>At t = 1</w:t>
      </w:r>
    </w:p>
    <w:p w14:paraId="2FD46355" w14:textId="108FD71B" w:rsidR="007B399B" w:rsidRPr="00FF69EB" w:rsidRDefault="002C15FD" w:rsidP="007B399B">
      <w:pPr>
        <w:rPr>
          <w:rFonts w:ascii="Times New Roman" w:eastAsiaTheme="minorEastAsia"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μ+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HIST</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t</m:t>
              </m:r>
            </m:sub>
          </m:sSub>
        </m:oMath>
      </m:oMathPara>
    </w:p>
    <w:p w14:paraId="01F377D8" w14:textId="77777777" w:rsidR="007B399B" w:rsidRPr="00FF69EB" w:rsidRDefault="007B399B" w:rsidP="007B399B">
      <w:pPr>
        <w:rPr>
          <w:rFonts w:ascii="Times New Roman" w:eastAsiaTheme="minorEastAsia" w:hAnsi="Times New Roman" w:cs="Times New Roman"/>
          <w:b/>
          <w:bCs/>
          <w:sz w:val="24"/>
          <w:szCs w:val="24"/>
        </w:rPr>
      </w:pPr>
      <w:r w:rsidRPr="00FF69EB">
        <w:rPr>
          <w:rFonts w:ascii="Times New Roman" w:eastAsiaTheme="minorEastAsia" w:hAnsi="Times New Roman" w:cs="Times New Roman"/>
          <w:b/>
          <w:bCs/>
          <w:sz w:val="24"/>
          <w:szCs w:val="24"/>
        </w:rPr>
        <w:t>At t =2</w:t>
      </w:r>
    </w:p>
    <w:p w14:paraId="39A6E246" w14:textId="3A24CB22" w:rsidR="007B399B" w:rsidRPr="00FF69EB" w:rsidRDefault="002C15FD" w:rsidP="007B399B">
      <w:pPr>
        <w:rPr>
          <w:rFonts w:ascii="Times New Roman" w:eastAsiaTheme="minorEastAsia"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σ</m:t>
              </m:r>
            </m:e>
            <m:sub>
              <m:r>
                <m:rPr>
                  <m:sty m:val="bi"/>
                </m:rPr>
                <w:rPr>
                  <w:rFonts w:ascii="Cambria Math" w:hAnsi="Cambria Math" w:cs="Times New Roman"/>
                  <w:sz w:val="24"/>
                  <w:szCs w:val="24"/>
                </w:rPr>
                <m:t>2</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r>
            <m:rPr>
              <m:sty m:val="b"/>
            </m:rPr>
            <w:rPr>
              <w:rFonts w:ascii="Cambria Math" w:hAnsi="Cambria Math" w:cs="Times New Roman"/>
              <w:sz w:val="24"/>
              <w:szCs w:val="24"/>
            </w:rPr>
            <m:t>ω+ α</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ε</m:t>
              </m:r>
            </m:e>
            <m:sub>
              <m:r>
                <m:rPr>
                  <m:sty m:val="b"/>
                </m:rPr>
                <w:rPr>
                  <w:rFonts w:ascii="Cambria Math" w:hAnsi="Cambria Math" w:cs="Times New Roman"/>
                  <w:sz w:val="24"/>
                  <w:szCs w:val="24"/>
                </w:rPr>
                <m: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 β</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σ</m:t>
              </m:r>
            </m:e>
            <m:sub>
              <m:r>
                <m:rPr>
                  <m:sty m:val="b"/>
                </m:rPr>
                <w:rPr>
                  <w:rFonts w:ascii="Cambria Math" w:hAnsi="Cambria Math" w:cs="Times New Roman"/>
                  <w:sz w:val="24"/>
                  <w:szCs w:val="24"/>
                </w:rPr>
                <m:t>1</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m:t>
          </m:r>
        </m:oMath>
      </m:oMathPara>
    </w:p>
    <w:p w14:paraId="52435BFD" w14:textId="068B4D98" w:rsidR="007B399B" w:rsidRPr="00FF69EB" w:rsidRDefault="002C15FD" w:rsidP="007B399B">
      <w:pPr>
        <w:rPr>
          <w:rFonts w:ascii="Times New Roman" w:eastAsiaTheme="minorEastAsia"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μ+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2</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2</m:t>
              </m:r>
            </m:sub>
          </m:sSub>
        </m:oMath>
      </m:oMathPara>
    </w:p>
    <w:p w14:paraId="3CC5F41A" w14:textId="77777777" w:rsidR="007B399B" w:rsidRPr="00FF69EB" w:rsidRDefault="007B399B" w:rsidP="007B399B">
      <w:pPr>
        <w:rPr>
          <w:rFonts w:ascii="Times New Roman" w:eastAsiaTheme="minorEastAsia" w:hAnsi="Times New Roman" w:cs="Times New Roman"/>
          <w:b/>
          <w:bCs/>
          <w:sz w:val="24"/>
          <w:szCs w:val="24"/>
        </w:rPr>
      </w:pPr>
      <w:r w:rsidRPr="00FF69EB">
        <w:rPr>
          <w:rFonts w:ascii="Times New Roman" w:eastAsiaTheme="minorEastAsia" w:hAnsi="Times New Roman" w:cs="Times New Roman"/>
          <w:b/>
          <w:bCs/>
          <w:sz w:val="24"/>
          <w:szCs w:val="24"/>
        </w:rPr>
        <w:t xml:space="preserve">At t =3 </w:t>
      </w:r>
    </w:p>
    <w:p w14:paraId="54AA7E1B" w14:textId="1894FDC8" w:rsidR="007B399B" w:rsidRPr="00FF69EB" w:rsidRDefault="002C15FD" w:rsidP="00BA27A7">
      <w:pPr>
        <w:jc w:val="center"/>
        <w:rPr>
          <w:rFonts w:ascii="Times New Roman" w:eastAsiaTheme="minorEastAsia"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σ</m:t>
              </m:r>
            </m:e>
            <m:sub>
              <m:r>
                <m:rPr>
                  <m:sty m:val="bi"/>
                </m:rPr>
                <w:rPr>
                  <w:rFonts w:ascii="Cambria Math" w:hAnsi="Cambria Math" w:cs="Times New Roman"/>
                  <w:sz w:val="24"/>
                  <w:szCs w:val="24"/>
                </w:rPr>
                <m:t>3</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r>
            <m:rPr>
              <m:sty m:val="b"/>
            </m:rPr>
            <w:rPr>
              <w:rFonts w:ascii="Cambria Math" w:hAnsi="Cambria Math" w:cs="Times New Roman"/>
              <w:sz w:val="24"/>
              <w:szCs w:val="24"/>
            </w:rPr>
            <m:t>ω+ α</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ε</m:t>
              </m:r>
            </m:e>
            <m:sub>
              <m:r>
                <m:rPr>
                  <m:sty m:val="b"/>
                </m:rPr>
                <w:rPr>
                  <w:rFonts w:ascii="Cambria Math" w:hAnsi="Cambria Math" w:cs="Times New Roman"/>
                  <w:sz w:val="24"/>
                  <w:szCs w:val="24"/>
                </w:rPr>
                <m:t>2</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 β</m:t>
          </m:r>
          <m:sSubSup>
            <m:sSubSupPr>
              <m:ctrlPr>
                <w:rPr>
                  <w:rFonts w:ascii="Cambria Math" w:hAnsi="Cambria Math" w:cs="Times New Roman"/>
                  <w:b/>
                  <w:bCs/>
                  <w:sz w:val="24"/>
                  <w:szCs w:val="24"/>
                </w:rPr>
              </m:ctrlPr>
            </m:sSubSupPr>
            <m:e>
              <m:r>
                <m:rPr>
                  <m:sty m:val="b"/>
                </m:rPr>
                <w:rPr>
                  <w:rFonts w:ascii="Cambria Math" w:hAnsi="Cambria Math" w:cs="Times New Roman"/>
                  <w:sz w:val="24"/>
                  <w:szCs w:val="24"/>
                </w:rPr>
                <m:t>σ</m:t>
              </m:r>
            </m:e>
            <m:sub>
              <m:r>
                <m:rPr>
                  <m:sty m:val="b"/>
                </m:rPr>
                <w:rPr>
                  <w:rFonts w:ascii="Cambria Math" w:hAnsi="Cambria Math" w:cs="Times New Roman"/>
                  <w:sz w:val="24"/>
                  <w:szCs w:val="24"/>
                </w:rPr>
                <m:t>2</m:t>
              </m:r>
            </m:sub>
            <m:sup>
              <m:r>
                <m:rPr>
                  <m:sty m:val="b"/>
                </m:rPr>
                <w:rPr>
                  <w:rFonts w:ascii="Cambria Math" w:hAnsi="Cambria Math" w:cs="Times New Roman"/>
                  <w:sz w:val="24"/>
                  <w:szCs w:val="24"/>
                </w:rPr>
                <m:t>2</m:t>
              </m:r>
            </m:sup>
          </m:sSubSup>
          <m:r>
            <m:rPr>
              <m:sty m:val="b"/>
            </m:rPr>
            <w:rPr>
              <w:rFonts w:ascii="Cambria Math" w:hAnsi="Cambria Math" w:cs="Times New Roman"/>
              <w:sz w:val="24"/>
              <w:szCs w:val="24"/>
            </w:rPr>
            <m:t>,</m:t>
          </m:r>
        </m:oMath>
      </m:oMathPara>
    </w:p>
    <w:p w14:paraId="2BB4AE59" w14:textId="4620C5F8" w:rsidR="007B399B" w:rsidRPr="00FF69EB" w:rsidRDefault="002C15FD" w:rsidP="007B399B">
      <w:pPr>
        <w:rPr>
          <w:rFonts w:ascii="Times New Roman" w:eastAsiaTheme="minorEastAsia"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 xml:space="preserve">= μ+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3</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3</m:t>
              </m:r>
            </m:sub>
          </m:sSub>
        </m:oMath>
      </m:oMathPara>
    </w:p>
    <w:p w14:paraId="5A29C446" w14:textId="2A5131D8" w:rsidR="007B399B" w:rsidRPr="00FF69EB" w:rsidRDefault="002C15FD" w:rsidP="007B399B">
      <w:pPr>
        <w:rPr>
          <w:rFonts w:ascii="Times New Roman" w:eastAsiaTheme="minorEastAsia" w:hAnsi="Times New Roman" w:cs="Times New Roman"/>
          <w:b/>
          <w:bCs/>
          <w:sz w:val="24"/>
          <w:szCs w:val="24"/>
        </w:rPr>
      </w:pPr>
      <m:oMathPara>
        <m:oMath>
          <m:acc>
            <m:accPr>
              <m:ctrlPr>
                <w:rPr>
                  <w:rFonts w:ascii="Cambria Math" w:eastAsiaTheme="minorEastAsia" w:hAnsi="Cambria Math" w:cs="Times New Roman"/>
                  <w:b/>
                  <w:bCs/>
                  <w:i/>
                  <w:sz w:val="24"/>
                  <w:szCs w:val="24"/>
                </w:rPr>
              </m:ctrlPr>
            </m:accPr>
            <m:e>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t</m:t>
                  </m:r>
                </m:sub>
              </m:sSub>
            </m:e>
          </m:acc>
          <m:r>
            <m:rPr>
              <m:sty m:val="bi"/>
            </m:rPr>
            <w:rPr>
              <w:rFonts w:ascii="Cambria Math" w:eastAsiaTheme="minorEastAsia" w:hAnsi="Cambria Math" w:cs="Times New Roman"/>
              <w:sz w:val="24"/>
              <w:szCs w:val="24"/>
            </w:rPr>
            <m:t xml:space="preserve"> =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t</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t</m:t>
              </m:r>
            </m:sub>
          </m:sSub>
        </m:oMath>
      </m:oMathPara>
    </w:p>
    <w:p w14:paraId="0F5B8D25" w14:textId="77777777" w:rsidR="007B399B" w:rsidRDefault="007B399B" w:rsidP="007B399B">
      <w:pPr>
        <w:tabs>
          <w:tab w:val="left" w:pos="1605"/>
        </w:tabs>
        <w:rPr>
          <w:rFonts w:ascii="Times New Roman" w:eastAsiaTheme="minorEastAsia" w:hAnsi="Times New Roman" w:cs="Times New Roman"/>
          <w:sz w:val="24"/>
          <w:szCs w:val="24"/>
        </w:rPr>
      </w:pPr>
    </w:p>
    <w:p w14:paraId="46428481" w14:textId="07F1F607" w:rsidR="007B399B" w:rsidRPr="00BA27A7" w:rsidRDefault="007B399B" w:rsidP="007B399B">
      <w:pPr>
        <w:tabs>
          <w:tab w:val="left" w:pos="1605"/>
        </w:tabs>
        <w:rPr>
          <w:rFonts w:ascii="Times New Roman" w:eastAsiaTheme="minorEastAsia" w:hAnsi="Times New Roman" w:cs="Times New Roman"/>
          <w:b/>
          <w:bCs/>
          <w:sz w:val="24"/>
          <w:szCs w:val="24"/>
        </w:rPr>
      </w:pPr>
      <w:r w:rsidRPr="00BA27A7">
        <w:rPr>
          <w:rFonts w:ascii="Times New Roman" w:eastAsiaTheme="minorEastAsia" w:hAnsi="Times New Roman" w:cs="Times New Roman"/>
          <w:b/>
          <w:bCs/>
          <w:sz w:val="24"/>
          <w:szCs w:val="24"/>
        </w:rPr>
        <w:lastRenderedPageBreak/>
        <w:t>For IFBM GARCH</w:t>
      </w:r>
    </w:p>
    <w:p w14:paraId="00E22E52" w14:textId="77777777" w:rsidR="007B399B" w:rsidRPr="006E5DCD" w:rsidRDefault="002C15FD" w:rsidP="007B399B">
      <w:pPr>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e>
          </m:acc>
          <m:r>
            <w:rPr>
              <w:rFonts w:ascii="Cambria Math" w:eastAsiaTheme="minorEastAsia"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-1</m:t>
              </m:r>
            </m:e>
          </m:d>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arctan</m:t>
              </m:r>
            </m:fName>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e>
          </m:func>
        </m:oMath>
      </m:oMathPara>
    </w:p>
    <w:p w14:paraId="27EECD42" w14:textId="77777777" w:rsidR="007B399B" w:rsidRPr="004232CC" w:rsidRDefault="007B399B" w:rsidP="007B399B">
      <w:pPr>
        <w:shd w:val="clear" w:color="auto" w:fill="FFFFFF"/>
        <w:rPr>
          <w:rFonts w:ascii="Times New Roman" w:eastAsia="Times New Roman" w:hAnsi="Times New Roman" w:cs="Times New Roman"/>
          <w:sz w:val="24"/>
          <w:szCs w:val="24"/>
        </w:rPr>
      </w:pPr>
      <w:r w:rsidRPr="004232CC">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oMath>
      <w:r w:rsidRPr="004232CC">
        <w:rPr>
          <w:rFonts w:ascii="Times New Roman" w:eastAsia="Times New Roman" w:hAnsi="Times New Roman" w:cs="Times New Roman"/>
          <w:sz w:val="24"/>
          <w:szCs w:val="24"/>
        </w:rPr>
        <w:t xml:space="preserve"> represents exogenous variables inserted into the model  </w:t>
      </w:r>
    </w:p>
    <w:p w14:paraId="6A849D29" w14:textId="77777777" w:rsidR="007B399B" w:rsidRPr="006E5DCD" w:rsidRDefault="007B399B" w:rsidP="007B399B">
      <w:pPr>
        <w:spacing w:line="480" w:lineRule="auto"/>
        <w:rPr>
          <w:rFonts w:ascii="Times New Roman" w:hAnsi="Times New Roman" w:cs="Times New Roman"/>
          <w:sz w:val="24"/>
          <w:szCs w:val="24"/>
        </w:rPr>
      </w:pPr>
      <w:r w:rsidRPr="006E5DCD">
        <w:rPr>
          <w:rFonts w:ascii="Times New Roman" w:hAnsi="Times New Roman" w:cs="Times New Roman"/>
          <w:sz w:val="24"/>
          <w:szCs w:val="24"/>
        </w:rPr>
        <w:t>Mean equation:</w:t>
      </w:r>
    </w:p>
    <w:p w14:paraId="7C8E2A4F" w14:textId="77777777" w:rsidR="007B399B" w:rsidRPr="006E5DCD" w:rsidRDefault="002C15FD" w:rsidP="007B399B">
      <w:pPr>
        <w:spacing w:line="480" w:lineRule="auto"/>
        <w:rPr>
          <w:rFonts w:ascii="Times New Roman" w:hAnsi="Times New Roman" w:cs="Times New Roman"/>
          <w:sz w:val="24"/>
          <w:szCs w:val="24"/>
        </w:rPr>
      </w:pPr>
      <m:oMathPara>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e>
          </m:acc>
          <m:r>
            <w:rPr>
              <w:rFonts w:ascii="Cambria Math" w:hAnsi="Cambria Math" w:cs="Times New Roman"/>
              <w:sz w:val="24"/>
              <w:szCs w:val="24"/>
            </w:rPr>
            <m:t>= μ</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t</m:t>
              </m:r>
            </m:sub>
          </m:sSub>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t</m:t>
                  </m:r>
                </m:sub>
              </m:sSub>
            </m:e>
          </m:rad>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-c</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2</m:t>
                      </m:r>
                    </m:den>
                  </m:f>
                </m:sup>
              </m:sSup>
              <m:r>
                <w:rPr>
                  <w:rFonts w:ascii="Cambria Math" w:hAnsi="Cambria Math" w:cs="Times New Roman"/>
                  <w:sz w:val="24"/>
                  <w:szCs w:val="24"/>
                </w:rPr>
                <m:t>-1</m:t>
              </m:r>
            </m:e>
          </m:d>
          <m:r>
            <w:rPr>
              <w:rFonts w:ascii="Cambria Math" w:hAnsi="Cambria Math" w:cs="Times New Roman"/>
              <w:sz w:val="24"/>
              <w:szCs w:val="24"/>
            </w:rPr>
            <m:t>arctan</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74FA1D52" w14:textId="77777777" w:rsidR="007B399B" w:rsidRDefault="007B399B" w:rsidP="007B399B">
      <w:pPr>
        <w:rPr>
          <w:rFonts w:ascii="Times New Roman" w:hAnsi="Times New Roman" w:cs="Times New Roman"/>
          <w:sz w:val="24"/>
          <w:szCs w:val="24"/>
        </w:rPr>
      </w:pPr>
      <w:r w:rsidRPr="006E5DCD">
        <w:rPr>
          <w:rFonts w:ascii="Times New Roman" w:hAnsi="Times New Roman" w:cs="Times New Roman"/>
          <w:sz w:val="24"/>
          <w:szCs w:val="24"/>
        </w:rPr>
        <w:t xml:space="preserve">With  </w:t>
      </w:r>
    </w:p>
    <w:p w14:paraId="3A43C01C" w14:textId="77777777" w:rsidR="007B399B" w:rsidRDefault="007B399B" w:rsidP="007B399B">
      <w:pPr>
        <w:rPr>
          <w:rFonts w:ascii="Times New Roman" w:hAnsi="Times New Roman" w:cs="Times New Roman"/>
          <w:sz w:val="24"/>
          <w:szCs w:val="24"/>
        </w:rPr>
      </w:pPr>
    </w:p>
    <w:p w14:paraId="542DCC9C" w14:textId="77777777" w:rsidR="007B399B" w:rsidRPr="006E5DCD" w:rsidRDefault="002C15FD" w:rsidP="007B399B">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t-1</m:t>
              </m:r>
            </m:sub>
            <m:sup>
              <m:r>
                <w:rPr>
                  <w:rFonts w:ascii="Cambria Math" w:hAnsi="Cambria Math" w:cs="Times New Roman"/>
                  <w:sz w:val="24"/>
                  <w:szCs w:val="24"/>
                </w:rPr>
                <m:t>2</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t-1</m:t>
              </m:r>
            </m:sub>
            <m:sup>
              <m:r>
                <w:rPr>
                  <w:rFonts w:ascii="Cambria Math" w:hAnsi="Cambria Math" w:cs="Times New Roman"/>
                  <w:sz w:val="24"/>
                  <w:szCs w:val="24"/>
                </w:rPr>
                <m:t>2</m:t>
              </m:r>
            </m:sup>
          </m:sSubSup>
        </m:oMath>
      </m:oMathPara>
    </w:p>
    <w:p w14:paraId="7C0F5FB9" w14:textId="77777777" w:rsidR="007B399B" w:rsidRDefault="007B399B" w:rsidP="007B399B">
      <w:pPr>
        <w:spacing w:line="360" w:lineRule="auto"/>
        <w:rPr>
          <w:rFonts w:ascii="Times New Roman" w:hAnsi="Times New Roman" w:cs="Times New Roman"/>
          <w:sz w:val="24"/>
          <w:szCs w:val="24"/>
        </w:rPr>
      </w:pPr>
    </w:p>
    <w:p w14:paraId="2750115C" w14:textId="77777777" w:rsidR="007B399B" w:rsidRPr="004232CC" w:rsidRDefault="007B399B" w:rsidP="007B399B">
      <w:pPr>
        <w:shd w:val="clear" w:color="auto" w:fill="FFFFFF"/>
        <w:rPr>
          <w:rFonts w:ascii="Times New Roman" w:eastAsia="Times New Roman" w:hAnsi="Times New Roman" w:cs="Times New Roman"/>
          <w:sz w:val="24"/>
          <w:szCs w:val="24"/>
        </w:rPr>
      </w:pPr>
      <w:r w:rsidRPr="004232CC">
        <w:rPr>
          <w:rFonts w:ascii="Times New Roman" w:eastAsia="Times New Roman" w:hAnsi="Times New Roman" w:cs="Times New Roman"/>
          <w:sz w:val="24"/>
          <w:szCs w:val="24"/>
        </w:rPr>
        <w:t>In order to select the most optimal GARCH model, the types of GARCH models will be presented as follows:</w:t>
      </w:r>
    </w:p>
    <w:p w14:paraId="0C1968CC" w14:textId="77777777" w:rsidR="007B399B" w:rsidRPr="006E5DCD" w:rsidRDefault="007B399B" w:rsidP="007B399B">
      <w:pPr>
        <w:pStyle w:val="Heading2"/>
      </w:pPr>
      <w:bookmarkStart w:id="193" w:name="_Toc11914278"/>
      <w:bookmarkStart w:id="194" w:name="_Toc90500007"/>
      <w:r>
        <w:t xml:space="preserve">3.3.4 </w:t>
      </w:r>
      <w:r w:rsidRPr="006E5DCD">
        <w:t>Exponential GARCH (EGARCH (p, q))</w:t>
      </w:r>
      <w:bookmarkEnd w:id="193"/>
      <w:bookmarkEnd w:id="194"/>
    </w:p>
    <w:p w14:paraId="45D61FDE" w14:textId="77777777" w:rsidR="007B399B"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Nelson (1991) developed the exponential GARCH model which transforms the conditional variance model in terms of logarithm of the variance instead of the variance itself. The rational for this is to make sure the variance remain positive without setting any bounds on the coefficients. The logarithm of a certain value can be negative, but the final value of variance will always be positive. EGARCH is an asymmetric GARCH which is better than symmetric GARCH for approximately any security data. The typical EGARCH (p, q) model for the conditional variance of error terms with extra leverage terms is represented by:</w:t>
      </w:r>
    </w:p>
    <w:p w14:paraId="5EF3E2F8" w14:textId="77777777" w:rsidR="007B399B" w:rsidRPr="006E5DCD" w:rsidRDefault="002C15FD" w:rsidP="007B399B">
      <w:pPr>
        <w:spacing w:line="360" w:lineRule="auto"/>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e>
        </m:func>
        <m:r>
          <w:rPr>
            <w:rFonts w:ascii="Cambria Math" w:hAnsi="Cambria Math" w:cs="Times New Roman"/>
            <w:sz w:val="24"/>
            <w:szCs w:val="24"/>
          </w:rPr>
          <m:t>=k+</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nary>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t-1</m:t>
                </m:r>
              </m:sub>
              <m:sup>
                <m:r>
                  <w:rPr>
                    <w:rFonts w:ascii="Cambria Math" w:hAnsi="Cambria Math" w:cs="Times New Roman"/>
                    <w:sz w:val="24"/>
                    <w:szCs w:val="24"/>
                  </w:rPr>
                  <m:t>2</m:t>
                </m:r>
              </m:sup>
            </m:sSubSup>
          </m:e>
        </m:func>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t-j</m:t>
                    </m:r>
                  </m:sub>
                </m:sSub>
              </m:den>
            </m:f>
            <m:r>
              <w:rPr>
                <w:rFonts w:ascii="Cambria Math" w:hAnsi="Cambria Math" w:cs="Times New Roman"/>
                <w:sz w:val="24"/>
                <w:szCs w:val="24"/>
              </w:rPr>
              <m:t>-E</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t-j</m:t>
                        </m:r>
                      </m:sub>
                    </m:sSub>
                  </m:den>
                </m:f>
              </m:e>
            </m:d>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e>
        </m:nary>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t-j</m:t>
                    </m:r>
                  </m:sub>
                </m:sSub>
              </m:den>
            </m:f>
          </m:e>
        </m:d>
        <m:r>
          <w:rPr>
            <w:rFonts w:ascii="Cambria Math" w:hAnsi="Cambria Math" w:cs="Times New Roman"/>
            <w:sz w:val="24"/>
            <w:szCs w:val="24"/>
          </w:rPr>
          <m:t xml:space="preserve">         </m:t>
        </m:r>
      </m:oMath>
      <w:r w:rsidR="007B399B" w:rsidRPr="006E5DCD">
        <w:rPr>
          <w:rFonts w:ascii="Times New Roman" w:hAnsi="Times New Roman" w:cs="Times New Roman"/>
          <w:sz w:val="24"/>
          <w:szCs w:val="24"/>
        </w:rPr>
        <w:t xml:space="preserve"> </w:t>
      </w:r>
    </w:p>
    <w:p w14:paraId="229A0632" w14:textId="77777777" w:rsidR="007B399B"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With degrees of freedom </w:t>
      </w:r>
      <w:r w:rsidRPr="006E5DCD">
        <w:rPr>
          <w:rFonts w:ascii="Times New Roman" w:hAnsi="Times New Roman" w:cs="Times New Roman"/>
          <w:i/>
          <w:sz w:val="24"/>
          <w:szCs w:val="24"/>
        </w:rPr>
        <w:t>v&gt;2</w:t>
      </w:r>
      <w:r w:rsidRPr="006E5DCD">
        <w:rPr>
          <w:rFonts w:ascii="Times New Roman" w:hAnsi="Times New Roman" w:cs="Times New Roman"/>
          <w:sz w:val="24"/>
          <w:szCs w:val="24"/>
        </w:rPr>
        <w:t>, where</w:t>
      </w:r>
    </w:p>
    <w:p w14:paraId="4F796195" w14:textId="77777777" w:rsidR="007B399B" w:rsidRPr="006E5DCD" w:rsidRDefault="007B399B" w:rsidP="007B399B">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E</m:t>
          </m:r>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t-j</m:t>
                      </m:r>
                    </m:sub>
                  </m:sSub>
                </m:e>
              </m:d>
            </m:e>
          </m:d>
          <m:r>
            <w:rPr>
              <w:rFonts w:ascii="Cambria Math" w:hAnsi="Cambria Math" w:cs="Times New Roman"/>
              <w:sz w:val="24"/>
              <w:szCs w:val="24"/>
            </w:rPr>
            <m:t>=E</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t-j</m:t>
                      </m:r>
                    </m:sub>
                  </m:sSub>
                </m:den>
              </m:f>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ν-2</m:t>
                  </m:r>
                </m:num>
                <m:den>
                  <m:r>
                    <w:rPr>
                      <w:rFonts w:ascii="Cambria Math" w:hAnsi="Cambria Math" w:cs="Times New Roman"/>
                      <w:sz w:val="24"/>
                      <w:szCs w:val="24"/>
                    </w:rPr>
                    <m:t>π</m:t>
                  </m:r>
                </m:den>
              </m:f>
            </m:e>
          </m:rad>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Γ</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ν-1</m:t>
                      </m:r>
                    </m:num>
                    <m:den>
                      <m:r>
                        <w:rPr>
                          <w:rFonts w:ascii="Cambria Math" w:hAnsi="Cambria Math" w:cs="Times New Roman"/>
                          <w:sz w:val="24"/>
                          <w:szCs w:val="24"/>
                        </w:rPr>
                        <m:t>2</m:t>
                      </m:r>
                    </m:den>
                  </m:f>
                  <m:r>
                    <w:rPr>
                      <w:rFonts w:ascii="Cambria Math" w:hAnsi="Cambria Math" w:cs="Times New Roman"/>
                      <w:sz w:val="24"/>
                      <w:szCs w:val="24"/>
                    </w:rPr>
                    <m:t>)</m:t>
                  </m:r>
                </m:num>
                <m:den>
                  <m:r>
                    <m:rPr>
                      <m:sty m:val="p"/>
                    </m:rPr>
                    <w:rPr>
                      <w:rFonts w:ascii="Cambria Math" w:hAnsi="Cambria Math" w:cs="Times New Roman"/>
                      <w:sz w:val="24"/>
                      <w:szCs w:val="24"/>
                    </w:rPr>
                    <m:t>Γ</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ν</m:t>
                          </m:r>
                        </m:num>
                        <m:den>
                          <m:r>
                            <w:rPr>
                              <w:rFonts w:ascii="Cambria Math" w:hAnsi="Cambria Math" w:cs="Times New Roman"/>
                              <w:sz w:val="24"/>
                              <w:szCs w:val="24"/>
                            </w:rPr>
                            <m:t>2</m:t>
                          </m:r>
                        </m:den>
                      </m:f>
                      <m:ctrlPr>
                        <w:rPr>
                          <w:rFonts w:ascii="Cambria Math" w:hAnsi="Cambria Math" w:cs="Times New Roman"/>
                          <w:i/>
                          <w:sz w:val="24"/>
                          <w:szCs w:val="24"/>
                        </w:rPr>
                      </m:ctrlPr>
                    </m:e>
                  </m:d>
                </m:den>
              </m:f>
            </m:e>
          </m:d>
        </m:oMath>
      </m:oMathPara>
    </w:p>
    <w:p w14:paraId="7EA165F2" w14:textId="77777777" w:rsidR="007B399B"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As EGARCH only considers logarithmic conversion so the conditional heteroskedasticity is always positive without any constraints set on the coefficients. Also, the conditional </w:t>
      </w:r>
      <w:r w:rsidRPr="006E5DCD">
        <w:rPr>
          <w:rFonts w:ascii="Times New Roman" w:hAnsi="Times New Roman" w:cs="Times New Roman"/>
          <w:sz w:val="24"/>
          <w:szCs w:val="24"/>
        </w:rPr>
        <w:lastRenderedPageBreak/>
        <w:t xml:space="preserve">heteroskedasticity is dependent entirely on the level of disturbances and presents the influence of shock direction. In the above model, L represents the leverage effect which is generally negative. If the estimate of L is non-zero, then there is evidence of irregularity; if estimate of L is less than zero then negative news (ε &lt; 0) will lead to increase in volatility than good news (ε &gt; 0). If the leverage effects are present in data, then the estimate of L would be negative and so a negative disturbance will cause a bigger influence on potential volatility as compared to a positive disturbance. A positive estimate of L implies that previous negative disturbances have a deeper influence on present conditional volatility than previous positive disturbances. On the other hand, it indicates that good news is causing more changes in volatility than bad news. Another difference of EGARCH with symmetric GARCH and GJR GARCH is that it treats </w:t>
      </w:r>
      <w:proofErr w:type="spellStart"/>
      <w:r w:rsidRPr="006E5DCD">
        <w:rPr>
          <w:rFonts w:ascii="Times New Roman" w:hAnsi="Times New Roman" w:cs="Times New Roman"/>
          <w:sz w:val="24"/>
          <w:szCs w:val="24"/>
        </w:rPr>
        <w:t>Z</w:t>
      </w:r>
      <w:r w:rsidRPr="006E5DCD">
        <w:rPr>
          <w:rFonts w:ascii="Times New Roman" w:hAnsi="Times New Roman" w:cs="Times New Roman"/>
          <w:sz w:val="24"/>
          <w:szCs w:val="24"/>
          <w:vertAlign w:val="subscript"/>
        </w:rPr>
        <w:t>t</w:t>
      </w:r>
      <w:proofErr w:type="spellEnd"/>
      <w:r w:rsidRPr="006E5DCD">
        <w:rPr>
          <w:rFonts w:ascii="Times New Roman" w:hAnsi="Times New Roman" w:cs="Times New Roman"/>
          <w:sz w:val="24"/>
          <w:szCs w:val="24"/>
        </w:rPr>
        <w:t xml:space="preserve"> as explanatory variable for disturbance and conditional variance. The symmetric GARCH and GJR GARCH models grant the volatility clustering through combination of weights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oMath>
      <w:r w:rsidRPr="006E5DCD">
        <w:rPr>
          <w:rFonts w:ascii="Times New Roman" w:hAnsi="Times New Roman" w:cs="Times New Roman"/>
          <w:sz w:val="24"/>
          <w:szCs w:val="24"/>
        </w:rPr>
        <w:t xml:space="preserve"> and</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oMath>
      <w:r w:rsidRPr="006E5DCD">
        <w:rPr>
          <w:rFonts w:ascii="Times New Roman" w:hAnsi="Times New Roman" w:cs="Times New Roman"/>
          <w:sz w:val="24"/>
          <w:szCs w:val="24"/>
        </w:rPr>
        <w:t xml:space="preserve">. Whereas, in EGARCH only the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oMath>
      <w:r w:rsidRPr="006E5DCD">
        <w:rPr>
          <w:rFonts w:ascii="Times New Roman" w:hAnsi="Times New Roman" w:cs="Times New Roman"/>
          <w:sz w:val="24"/>
          <w:szCs w:val="24"/>
        </w:rPr>
        <w:t xml:space="preserve"> term highlight volatility clustering.</w:t>
      </w:r>
    </w:p>
    <w:p w14:paraId="5857F4BA" w14:textId="77777777" w:rsidR="007B399B" w:rsidRPr="006E5DCD" w:rsidRDefault="007B399B" w:rsidP="007B399B">
      <w:pPr>
        <w:pStyle w:val="Heading2"/>
        <w:rPr>
          <w:rFonts w:eastAsiaTheme="minorEastAsia"/>
        </w:rPr>
      </w:pPr>
      <w:r w:rsidRPr="006E5DCD">
        <w:t xml:space="preserve"> </w:t>
      </w:r>
      <w:bookmarkStart w:id="195" w:name="_Toc11914279"/>
      <w:bookmarkStart w:id="196" w:name="_Toc90500008"/>
      <w:r>
        <w:t xml:space="preserve">3.3.5 </w:t>
      </w:r>
      <w:r w:rsidRPr="006E5DCD">
        <w:rPr>
          <w:rFonts w:eastAsiaTheme="minorEastAsia"/>
        </w:rPr>
        <w:t>Asymmetric GARCH model</w:t>
      </w:r>
      <w:r w:rsidRPr="006E5DCD">
        <w:t xml:space="preserve"> or </w:t>
      </w:r>
      <w:r w:rsidRPr="006E5DCD">
        <w:rPr>
          <w:rFonts w:eastAsiaTheme="minorEastAsia"/>
        </w:rPr>
        <w:t>A-GARCH</w:t>
      </w:r>
      <w:bookmarkEnd w:id="195"/>
      <w:bookmarkEnd w:id="196"/>
      <w:r w:rsidRPr="006E5DCD">
        <w:rPr>
          <w:rFonts w:eastAsiaTheme="minorEastAsia"/>
        </w:rPr>
        <w:t xml:space="preserve"> </w:t>
      </w:r>
    </w:p>
    <w:p w14:paraId="41547756" w14:textId="77777777" w:rsidR="007B399B" w:rsidRDefault="007B399B" w:rsidP="007B399B">
      <w:pPr>
        <w:spacing w:line="360" w:lineRule="auto"/>
        <w:jc w:val="both"/>
        <w:rPr>
          <w:rFonts w:ascii="Times New Roman" w:eastAsiaTheme="minorEastAsia" w:hAnsi="Times New Roman" w:cs="Times New Roman"/>
          <w:sz w:val="24"/>
          <w:szCs w:val="24"/>
        </w:rPr>
      </w:pPr>
    </w:p>
    <w:p w14:paraId="6072EA11" w14:textId="77777777" w:rsidR="007B399B"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The asymmetric GARCH or A-GARCH model is represented by adding an additional parameter to the symmetric GARCH model. The rational for an additional parameter is to detect the asymmetric volatility response. Engle (1990) presented AGARCH process initially and later on discussed by Engle and Ng (1993) improved it. Then the model can be written as</w:t>
      </w:r>
    </w:p>
    <w:p w14:paraId="338A877C"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 </w:t>
      </w:r>
    </w:p>
    <w:p w14:paraId="647C7CCE" w14:textId="77777777" w:rsidR="007B399B" w:rsidRPr="006E5DCD" w:rsidRDefault="002C15FD" w:rsidP="007B399B">
      <w:pPr>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hAnsi="Cambria Math" w:cs="Times New Roman"/>
              <w:sz w:val="24"/>
              <w:szCs w:val="24"/>
            </w:rPr>
            <m:t>ω+ α</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(ε</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λ)+ β</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t-1</m:t>
              </m:r>
            </m:sub>
            <m:sup>
              <m:r>
                <m:rPr>
                  <m:sty m:val="p"/>
                </m:rPr>
                <w:rPr>
                  <w:rFonts w:ascii="Cambria Math"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4DA3F8D7"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Where, λ represents the extra parameter to detect the leverage effect. </w:t>
      </w:r>
    </w:p>
    <w:p w14:paraId="268E2CF2" w14:textId="377B74C8"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The optimisation of the likelihood function is also valid for parameter estimation of the normal A-GARCH model. However, a point to be considered here is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oMath>
      <w:r w:rsidRPr="006E5DCD">
        <w:rPr>
          <w:rFonts w:ascii="Times New Roman" w:eastAsiaTheme="minorEastAsia" w:hAnsi="Times New Roman" w:cs="Times New Roman"/>
          <w:sz w:val="24"/>
          <w:szCs w:val="24"/>
        </w:rPr>
        <w:t xml:space="preserve"> now depends on the additional parameter λ. The limitations in A-GARCH model, lag, and disturbance parameter on the ARCH constant are the same as </w:t>
      </w:r>
      <m:oMath>
        <m:r>
          <w:rPr>
            <w:rFonts w:ascii="Cambria Math" w:hAnsi="Cambria Math" w:cs="Times New Roman"/>
            <w:sz w:val="24"/>
            <w:szCs w:val="24"/>
          </w:rPr>
          <m:t>ω&gt;0 ,   α,β≥0,    α+β&lt;1,</m:t>
        </m:r>
      </m:oMath>
      <w:r w:rsidRPr="006E5DCD">
        <w:rPr>
          <w:rFonts w:ascii="Times New Roman" w:eastAsiaTheme="minorEastAsia" w:hAnsi="Times New Roman" w:cs="Times New Roman"/>
          <w:sz w:val="24"/>
          <w:szCs w:val="24"/>
        </w:rPr>
        <w:t xml:space="preserve"> but, there is no limit on λ. If λ &gt; 0 then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oMath>
      <w:r w:rsidRPr="006E5DCD">
        <w:rPr>
          <w:rFonts w:ascii="Times New Roman" w:eastAsiaTheme="minorEastAsia" w:hAnsi="Times New Roman" w:cs="Times New Roman"/>
          <w:sz w:val="24"/>
          <w:szCs w:val="24"/>
        </w:rPr>
        <w:t xml:space="preserve"> will increase when the market shock is negative, then when market shock is positive. There will be vice versa situation if λ &lt; 0. Therefore, value of λ is non-negative when the above model is estimated for the asset returns. However, when the above model is estimated for commodity returns the output for value of λ is usually negative.  </w:t>
      </w:r>
    </w:p>
    <w:p w14:paraId="375EF56A" w14:textId="68C6BED7" w:rsidR="007B399B" w:rsidRPr="006E5DCD" w:rsidRDefault="007B399B" w:rsidP="007B399B">
      <w:pPr>
        <w:pStyle w:val="Heading2"/>
        <w:rPr>
          <w:rFonts w:eastAsiaTheme="minorEastAsia"/>
        </w:rPr>
      </w:pPr>
      <w:bookmarkStart w:id="197" w:name="_Toc11914280"/>
      <w:bookmarkStart w:id="198" w:name="_Toc90500009"/>
      <w:r>
        <w:rPr>
          <w:rFonts w:eastAsiaTheme="minorEastAsia"/>
        </w:rPr>
        <w:lastRenderedPageBreak/>
        <w:t xml:space="preserve">3.3.6 </w:t>
      </w:r>
      <w:r w:rsidRPr="006E5DCD">
        <w:rPr>
          <w:rFonts w:eastAsiaTheme="minorEastAsia"/>
        </w:rPr>
        <w:t>A-GARCH Volatility forecasts</w:t>
      </w:r>
      <w:bookmarkEnd w:id="197"/>
      <w:bookmarkEnd w:id="198"/>
    </w:p>
    <w:p w14:paraId="50F9B182" w14:textId="77777777" w:rsidR="007B399B" w:rsidRDefault="007B399B" w:rsidP="007B399B">
      <w:pPr>
        <w:spacing w:line="360" w:lineRule="auto"/>
        <w:jc w:val="both"/>
        <w:rPr>
          <w:rFonts w:ascii="Times New Roman" w:eastAsiaTheme="minorEastAsia" w:hAnsi="Times New Roman" w:cs="Times New Roman"/>
          <w:sz w:val="24"/>
          <w:szCs w:val="24"/>
        </w:rPr>
      </w:pPr>
    </w:p>
    <w:p w14:paraId="161BA571"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Above mentioned model can be helpful to determine the long-term variance by using the property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oMath>
      <w:r w:rsidRPr="006E5DCD">
        <w:rPr>
          <w:rFonts w:ascii="Times New Roman" w:eastAsiaTheme="minorEastAsia" w:hAnsi="Times New Roman" w:cs="Times New Roman"/>
          <w:sz w:val="24"/>
          <w:szCs w:val="24"/>
        </w:rPr>
        <w:t xml:space="preserve"> and so assume that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oMath>
      <w:r w:rsidRPr="006E5DCD">
        <w:rPr>
          <w:rFonts w:ascii="Times New Roman" w:eastAsiaTheme="minorEastAsia" w:hAnsi="Times New Roman" w:cs="Times New Roman"/>
          <w:sz w:val="24"/>
          <w:szCs w:val="24"/>
        </w:rPr>
        <w:t xml:space="preserve"> for all t. Adapting this approach, above model is also useful to determine the variance of the A-GARCH model:</w:t>
      </w:r>
    </w:p>
    <w:p w14:paraId="3DA69207" w14:textId="77777777" w:rsidR="007B399B" w:rsidRPr="006E5DCD" w:rsidRDefault="007B399B" w:rsidP="007B399B">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ω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α</m:t>
              </m:r>
            </m:num>
            <m:den>
              <m:r>
                <w:rPr>
                  <w:rFonts w:ascii="Cambria Math" w:eastAsiaTheme="minorEastAsia" w:hAnsi="Cambria Math" w:cs="Times New Roman"/>
                  <w:sz w:val="24"/>
                  <w:szCs w:val="24"/>
                </w:rPr>
                <m:t>1-( α+ β )</m:t>
              </m:r>
            </m:den>
          </m:f>
          <m:r>
            <w:rPr>
              <w:rFonts w:ascii="Cambria Math" w:eastAsiaTheme="minorEastAsia" w:hAnsi="Cambria Math" w:cs="Times New Roman"/>
              <w:sz w:val="24"/>
              <w:szCs w:val="24"/>
            </w:rPr>
            <m:t xml:space="preserve">.                                                 </m:t>
          </m:r>
        </m:oMath>
      </m:oMathPara>
    </w:p>
    <w:p w14:paraId="3A3CF64D" w14:textId="77777777" w:rsidR="007B399B" w:rsidRDefault="007B399B" w:rsidP="007B399B">
      <w:pPr>
        <w:jc w:val="both"/>
        <w:rPr>
          <w:rFonts w:ascii="Times New Roman" w:eastAsiaTheme="minorEastAsia" w:hAnsi="Times New Roman" w:cs="Times New Roman"/>
          <w:sz w:val="24"/>
          <w:szCs w:val="24"/>
        </w:rPr>
      </w:pPr>
    </w:p>
    <w:p w14:paraId="4FC1C70E" w14:textId="77777777" w:rsidR="007B399B" w:rsidRPr="006E5DCD" w:rsidRDefault="007B399B" w:rsidP="007B399B">
      <w:pPr>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After the parameter forecast, the one-step forward variance forecasts through the volatility forecasts are</w:t>
      </w:r>
      <w:r>
        <w:rPr>
          <w:rFonts w:ascii="Times New Roman" w:eastAsiaTheme="minorEastAsia" w:hAnsi="Times New Roman" w:cs="Times New Roman"/>
          <w:sz w:val="24"/>
          <w:szCs w:val="24"/>
        </w:rPr>
        <w:t>:</w:t>
      </w:r>
      <w:r w:rsidRPr="006E5DCD">
        <w:rPr>
          <w:rFonts w:ascii="Times New Roman" w:eastAsiaTheme="minorEastAsia" w:hAnsi="Times New Roman" w:cs="Times New Roman"/>
          <w:sz w:val="24"/>
          <w:szCs w:val="24"/>
        </w:rPr>
        <w:t xml:space="preserve"> </w:t>
      </w:r>
    </w:p>
    <w:p w14:paraId="57FE512E" w14:textId="77777777" w:rsidR="007B399B" w:rsidRPr="006E5DCD" w:rsidRDefault="007B399B" w:rsidP="007B399B">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t</m:t>
                      </m:r>
                    </m:sub>
                  </m:sSub>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λ</m:t>
                      </m:r>
                    </m:e>
                  </m:acc>
                  <m:r>
                    <w:rPr>
                      <w:rFonts w:ascii="Cambria Math" w:eastAsiaTheme="minorEastAsia" w:hAnsi="Cambria Math" w:cs="Times New Roman"/>
                      <w:sz w:val="24"/>
                      <w:szCs w:val="24"/>
                    </w:rPr>
                    <m:t xml:space="preserve"> </m:t>
                  </m:r>
                  <m:ctrlPr>
                    <w:rPr>
                      <w:rFonts w:ascii="Cambria Math" w:eastAsiaTheme="minorEastAsia" w:hAnsi="Cambria Math" w:cs="Times New Roman"/>
                      <w:i/>
                      <w:sz w:val="24"/>
                      <w:szCs w:val="24"/>
                    </w:rPr>
                  </m:ctrlP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527D3D88" w14:textId="77777777" w:rsidR="007B399B" w:rsidRDefault="007B399B" w:rsidP="007B399B">
      <w:pPr>
        <w:jc w:val="both"/>
        <w:rPr>
          <w:rFonts w:ascii="Times New Roman" w:eastAsiaTheme="minorEastAsia" w:hAnsi="Times New Roman" w:cs="Times New Roman"/>
          <w:sz w:val="24"/>
          <w:szCs w:val="24"/>
        </w:rPr>
      </w:pPr>
    </w:p>
    <w:p w14:paraId="29AE72DC" w14:textId="77777777" w:rsidR="007B399B" w:rsidRDefault="007B399B" w:rsidP="007B399B">
      <w:pPr>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Hence, the s-step in future prediction from when S &gt; 1, can be written as</w:t>
      </w:r>
    </w:p>
    <w:p w14:paraId="24791D58" w14:textId="77777777" w:rsidR="007B399B" w:rsidRPr="006E5DCD" w:rsidRDefault="007B399B" w:rsidP="007B399B">
      <w:pPr>
        <w:jc w:val="both"/>
        <w:rPr>
          <w:rFonts w:ascii="Times New Roman" w:eastAsiaTheme="minorEastAsia" w:hAnsi="Times New Roman" w:cs="Times New Roman"/>
          <w:sz w:val="24"/>
          <w:szCs w:val="24"/>
        </w:rPr>
      </w:pPr>
    </w:p>
    <w:p w14:paraId="55676E04" w14:textId="77777777" w:rsidR="007B399B" w:rsidRPr="004232CC" w:rsidRDefault="002C15FD" w:rsidP="007B399B">
      <w:pPr>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T+S+1</m:t>
              </m:r>
            </m:sub>
            <m:sup>
              <m:r>
                <w:rPr>
                  <w:rFonts w:ascii="Cambria Math" w:eastAsiaTheme="minorEastAsia" w:hAnsi="Cambria Math" w:cs="Times New Roman"/>
                  <w:sz w:val="24"/>
                  <w:szCs w:val="24"/>
                </w:rPr>
                <m:t>2</m:t>
              </m:r>
            </m:sup>
          </m:sSubSup>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ω</m:t>
              </m:r>
            </m:e>
          </m:acc>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λ</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α</m:t>
                  </m:r>
                </m:e>
              </m:acc>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r>
                <w:rPr>
                  <w:rFonts w:ascii="Cambria Math" w:eastAsiaTheme="minorEastAsia" w:hAnsi="Cambria Math" w:cs="Times New Roman"/>
                  <w:sz w:val="24"/>
                  <w:szCs w:val="24"/>
                </w:rPr>
                <m:t xml:space="preserve"> </m:t>
              </m:r>
            </m:e>
          </m:d>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T+S</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7BF4805E" w14:textId="77777777" w:rsidR="007B399B" w:rsidRPr="006E5DCD" w:rsidRDefault="007B399B" w:rsidP="007B399B">
      <w:pPr>
        <w:jc w:val="both"/>
        <w:rPr>
          <w:rFonts w:ascii="Times New Roman" w:eastAsiaTheme="minorEastAsia" w:hAnsi="Times New Roman" w:cs="Times New Roman"/>
          <w:sz w:val="24"/>
          <w:szCs w:val="24"/>
        </w:rPr>
      </w:pPr>
    </w:p>
    <w:p w14:paraId="6DED8C15"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Alternatively, the volatility estimates obtained by this model, can be interpreted as average variance for next periods which is in fact the average of s-step in future variance prediction, where S can assume values S= 1,2,3...h. and using the notion of 250 trading days per annum as a proxy of annualising factor, which can be modelled into the volatility. By doing so, the resultant volatility will become the long-term volatility, which will depend on long term variance estimators.</w:t>
      </w:r>
    </w:p>
    <w:p w14:paraId="4D23FE3C"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The future estimates of daily volatility can be applied to estimate future average volatilities in classical GARCH or any of its asymmetric extension. To represent A-GARCH model such that it can be applied to model long term volatility, the model can be described as:</w:t>
      </w:r>
    </w:p>
    <w:p w14:paraId="78DD2055" w14:textId="77777777" w:rsidR="007B399B" w:rsidRPr="006E5DCD" w:rsidRDefault="002C15FD" w:rsidP="007B399B">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θ</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θ</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φ</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ti-1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w:br/>
          </m:r>
        </m:oMath>
      </m:oMathPara>
      <w:r w:rsidR="007B399B" w:rsidRPr="006E5DCD">
        <w:rPr>
          <w:rFonts w:ascii="Times New Roman" w:eastAsiaTheme="minorEastAsia" w:hAnsi="Times New Roman" w:cs="Times New Roman"/>
          <w:sz w:val="24"/>
          <w:szCs w:val="24"/>
        </w:rPr>
        <w:t xml:space="preserve">Or    </w:t>
      </w:r>
    </w:p>
    <w:p w14:paraId="562E433B" w14:textId="77777777" w:rsidR="007B399B" w:rsidRPr="006E5DCD" w:rsidRDefault="007B399B" w:rsidP="007B399B">
      <w:pPr>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φ</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1-φ</m:t>
                </m:r>
              </m:e>
            </m:d>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θ </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oMath>
      <w:r w:rsidRPr="006E5DCD">
        <w:rPr>
          <w:rFonts w:ascii="Times New Roman" w:eastAsiaTheme="minorEastAsia" w:hAnsi="Times New Roman" w:cs="Times New Roman"/>
          <w:sz w:val="24"/>
          <w:szCs w:val="24"/>
        </w:rPr>
        <w:t xml:space="preserve"> </w:t>
      </w:r>
    </w:p>
    <w:p w14:paraId="47D60D11" w14:textId="77777777" w:rsidR="007B399B" w:rsidRPr="006E5DCD" w:rsidRDefault="007B399B" w:rsidP="007B399B">
      <w:pPr>
        <w:spacing w:line="360" w:lineRule="auto"/>
        <w:jc w:val="both"/>
        <w:rPr>
          <w:rFonts w:ascii="Times New Roman" w:eastAsiaTheme="minorEastAsia" w:hAnsi="Times New Roman" w:cs="Times New Roman"/>
          <w:sz w:val="24"/>
          <w:szCs w:val="24"/>
        </w:rPr>
      </w:pPr>
      <w:r w:rsidRPr="006E5DCD">
        <w:rPr>
          <w:rFonts w:ascii="Times New Roman" w:eastAsiaTheme="minorEastAsia" w:hAnsi="Times New Roman" w:cs="Times New Roman"/>
          <w:sz w:val="24"/>
          <w:szCs w:val="24"/>
        </w:rPr>
        <w:lastRenderedPageBreak/>
        <w:t>Another important characteristic of classical GARCH process, known as mean reverting process, is identical in A-GARCH. But the response to market anomalies is in asymmetric format. For equity indices, an optimistic shock is assumed to minimise the volatility provided the associated leverage effect is non-negative. However, for symmetric model, there is a completely different story. Similarly, a pessimistic shock maximises the volatility in asymmetric model as compared to symmetric model. Also, the volatility about reverting towards mean is a function of long-term average effect despite the fact what the magnitude of present volatility is in reinforced case.</w:t>
      </w:r>
    </w:p>
    <w:p w14:paraId="79C02ED2" w14:textId="77777777" w:rsidR="007B399B" w:rsidRPr="006E5DCD" w:rsidRDefault="007B399B" w:rsidP="007B399B">
      <w:pPr>
        <w:pStyle w:val="Heading2"/>
      </w:pPr>
      <w:bookmarkStart w:id="199" w:name="_Toc11914281"/>
      <w:bookmarkStart w:id="200" w:name="_Toc90500010"/>
      <w:r>
        <w:t xml:space="preserve">3.3.7 </w:t>
      </w:r>
      <w:r w:rsidRPr="006E5DCD">
        <w:t>GJR- GARCH:</w:t>
      </w:r>
      <w:bookmarkEnd w:id="199"/>
      <w:bookmarkEnd w:id="200"/>
    </w:p>
    <w:p w14:paraId="5CD132D6"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Another widely used asymmetric GARCH model is known as </w:t>
      </w:r>
      <w:proofErr w:type="spellStart"/>
      <w:r w:rsidRPr="006E5DCD">
        <w:rPr>
          <w:rFonts w:ascii="Times New Roman" w:hAnsi="Times New Roman" w:cs="Times New Roman"/>
          <w:sz w:val="24"/>
          <w:szCs w:val="24"/>
        </w:rPr>
        <w:t>Glosten</w:t>
      </w:r>
      <w:proofErr w:type="spellEnd"/>
      <w:r w:rsidRPr="006E5DCD">
        <w:rPr>
          <w:rFonts w:ascii="Times New Roman" w:hAnsi="Times New Roman" w:cs="Times New Roman"/>
          <w:sz w:val="24"/>
          <w:szCs w:val="24"/>
        </w:rPr>
        <w:t xml:space="preserve">-Jagannathan-Runkle GARCH (GJR-GARCH) model developed by </w:t>
      </w:r>
      <w:proofErr w:type="spellStart"/>
      <w:r w:rsidRPr="006E5DCD">
        <w:rPr>
          <w:rFonts w:ascii="Times New Roman" w:hAnsi="Times New Roman" w:cs="Times New Roman"/>
          <w:sz w:val="24"/>
          <w:szCs w:val="24"/>
        </w:rPr>
        <w:t>Glosten</w:t>
      </w:r>
      <w:proofErr w:type="spellEnd"/>
      <w:r w:rsidRPr="006E5DCD">
        <w:rPr>
          <w:rFonts w:ascii="Times New Roman" w:hAnsi="Times New Roman" w:cs="Times New Roman"/>
          <w:sz w:val="24"/>
          <w:szCs w:val="24"/>
        </w:rPr>
        <w:t xml:space="preserve"> </w:t>
      </w:r>
      <w:r w:rsidRPr="006E5DCD">
        <w:rPr>
          <w:rFonts w:ascii="Times New Roman" w:hAnsi="Times New Roman" w:cs="Times New Roman"/>
          <w:i/>
          <w:sz w:val="24"/>
          <w:szCs w:val="24"/>
        </w:rPr>
        <w:t>et al.</w:t>
      </w:r>
      <w:r w:rsidRPr="006E5DCD">
        <w:rPr>
          <w:rFonts w:ascii="Times New Roman" w:hAnsi="Times New Roman" w:cs="Times New Roman"/>
          <w:sz w:val="24"/>
          <w:szCs w:val="24"/>
        </w:rPr>
        <w:t xml:space="preserve"> (1993). One advantage of GJR-GARCH is that it acknowledges the conditional variance to behave differently to previous negative and positive disturbances by adopting a different approach to EGARCH process. Instead GJR-GARCH is closely linked with the Threshold GARCH (TGARCH) process developed by </w:t>
      </w:r>
      <w:proofErr w:type="spellStart"/>
      <w:r w:rsidRPr="006E5DCD">
        <w:rPr>
          <w:rFonts w:ascii="Times New Roman" w:hAnsi="Times New Roman" w:cs="Times New Roman"/>
          <w:sz w:val="24"/>
          <w:szCs w:val="24"/>
        </w:rPr>
        <w:t>Zakoian</w:t>
      </w:r>
      <w:proofErr w:type="spellEnd"/>
      <w:r w:rsidRPr="006E5DCD">
        <w:rPr>
          <w:rFonts w:ascii="Times New Roman" w:hAnsi="Times New Roman" w:cs="Times New Roman"/>
          <w:sz w:val="24"/>
          <w:szCs w:val="24"/>
        </w:rPr>
        <w:t xml:space="preserve"> (1994). The variation between these two models is that TGARCH uses the conditional standard deviation rather than conditional variance.</w:t>
      </w:r>
    </w:p>
    <w:p w14:paraId="60982205"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The general </w:t>
      </w:r>
      <w:r w:rsidRPr="006E5DCD">
        <w:rPr>
          <w:rFonts w:ascii="Times New Roman" w:hAnsi="Times New Roman" w:cs="Times New Roman"/>
          <w:i/>
          <w:sz w:val="24"/>
          <w:szCs w:val="24"/>
        </w:rPr>
        <w:t xml:space="preserve">GJR (p, q) </w:t>
      </w:r>
      <w:r w:rsidRPr="006E5DCD">
        <w:rPr>
          <w:rFonts w:ascii="Times New Roman" w:hAnsi="Times New Roman" w:cs="Times New Roman"/>
          <w:sz w:val="24"/>
          <w:szCs w:val="24"/>
        </w:rPr>
        <w:t xml:space="preserve">model for the conditional variance of innovations with leverage terms is </w:t>
      </w:r>
    </w:p>
    <w:p w14:paraId="475DF155" w14:textId="77777777" w:rsidR="007B399B" w:rsidRPr="006E5DCD" w:rsidRDefault="002C15FD" w:rsidP="007B399B">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=k+</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t-i</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t-j</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t-j</m:t>
                  </m:r>
                </m:sub>
              </m:sSub>
            </m:e>
          </m:nary>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t-j</m:t>
              </m:r>
            </m:sub>
            <m:sup>
              <m:r>
                <w:rPr>
                  <w:rFonts w:ascii="Cambria Math" w:hAnsi="Cambria Math" w:cs="Times New Roman"/>
                  <w:sz w:val="24"/>
                  <w:szCs w:val="24"/>
                </w:rPr>
                <m:t>2</m:t>
              </m:r>
            </m:sup>
          </m:sSubSup>
          <m:r>
            <w:rPr>
              <w:rFonts w:ascii="Cambria Math" w:hAnsi="Cambria Math" w:cs="Times New Roman"/>
              <w:sz w:val="24"/>
              <w:szCs w:val="24"/>
            </w:rPr>
            <m:t xml:space="preserve">               </m:t>
          </m:r>
        </m:oMath>
      </m:oMathPara>
    </w:p>
    <w:p w14:paraId="7A0029B5"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Where</w:t>
      </w:r>
      <m:oMath>
        <m:sSub>
          <m:sSubPr>
            <m:ctrlPr>
              <w:rPr>
                <w:rFonts w:ascii="Cambria Math" w:hAnsi="Cambria Math" w:cs="Times New Roman"/>
                <w:i/>
                <w:sz w:val="24"/>
                <w:szCs w:val="24"/>
              </w:rPr>
            </m:ctrlPr>
          </m:sSubPr>
          <m:e>
            <m:r>
              <w:rPr>
                <w:rFonts w:ascii="Cambria Math" w:hAnsi="Cambria Math" w:cs="Times New Roman"/>
                <w:sz w:val="24"/>
                <w:szCs w:val="24"/>
              </w:rPr>
              <m:t xml:space="preserve"> S</m:t>
            </m:r>
          </m:e>
          <m:sub>
            <m:r>
              <w:rPr>
                <w:rFonts w:ascii="Cambria Math" w:hAnsi="Cambria Math" w:cs="Times New Roman"/>
                <w:sz w:val="24"/>
                <w:szCs w:val="24"/>
              </w:rPr>
              <m:t>t-j</m:t>
            </m:r>
          </m:sub>
        </m:sSub>
        <m:r>
          <w:rPr>
            <w:rFonts w:ascii="Cambria Math" w:hAnsi="Cambria Math" w:cs="Times New Roman"/>
            <w:sz w:val="24"/>
            <w:szCs w:val="24"/>
          </w:rPr>
          <m:t>=1</m:t>
        </m:r>
      </m:oMath>
      <w:r w:rsidRPr="006E5DCD">
        <w:rPr>
          <w:rFonts w:ascii="Times New Roman" w:hAnsi="Times New Roman" w:cs="Times New Roman"/>
          <w:sz w:val="24"/>
          <w:szCs w:val="24"/>
        </w:rPr>
        <w:t xml:space="preserve"> , if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r>
          <w:rPr>
            <w:rFonts w:ascii="Cambria Math" w:hAnsi="Cambria Math" w:cs="Times New Roman"/>
            <w:sz w:val="24"/>
            <w:szCs w:val="24"/>
          </w:rPr>
          <m:t xml:space="preserve">&lt;0, </m:t>
        </m:r>
        <m:sSub>
          <m:sSubPr>
            <m:ctrlPr>
              <w:rPr>
                <w:rFonts w:ascii="Cambria Math" w:hAnsi="Cambria Math" w:cs="Times New Roman"/>
                <w:i/>
                <w:sz w:val="24"/>
                <w:szCs w:val="24"/>
              </w:rPr>
            </m:ctrlPr>
          </m:sSubPr>
          <m:e>
            <m:r>
              <w:rPr>
                <w:rFonts w:ascii="Cambria Math" w:hAnsi="Cambria Math" w:cs="Times New Roman"/>
                <w:sz w:val="24"/>
                <w:szCs w:val="24"/>
              </w:rPr>
              <m:t xml:space="preserve"> S</m:t>
            </m:r>
          </m:e>
          <m:sub>
            <m:r>
              <w:rPr>
                <w:rFonts w:ascii="Cambria Math" w:hAnsi="Cambria Math" w:cs="Times New Roman"/>
                <w:sz w:val="24"/>
                <w:szCs w:val="24"/>
              </w:rPr>
              <m:t>t-j</m:t>
            </m:r>
          </m:sub>
        </m:sSub>
        <m:r>
          <w:rPr>
            <w:rFonts w:ascii="Cambria Math" w:hAnsi="Cambria Math" w:cs="Times New Roman"/>
            <w:sz w:val="24"/>
            <w:szCs w:val="24"/>
          </w:rPr>
          <m:t>=0</m:t>
        </m:r>
      </m:oMath>
      <w:r w:rsidRPr="006E5DCD">
        <w:rPr>
          <w:rFonts w:ascii="Times New Roman" w:hAnsi="Times New Roman" w:cs="Times New Roman"/>
          <w:sz w:val="24"/>
          <w:szCs w:val="24"/>
        </w:rPr>
        <w:t>, k≥0</w:t>
      </w:r>
      <m:oMath>
        <m:r>
          <w:rPr>
            <w:rFonts w:ascii="Cambria Math" w:hAnsi="Cambria Math" w:cs="Times New Roman"/>
            <w:sz w:val="24"/>
            <w:szCs w:val="24"/>
          </w:rPr>
          <m:t>,</m:t>
        </m:r>
      </m:oMath>
      <w:r w:rsidRPr="006E5DC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≥0</m:t>
        </m:r>
      </m:oMath>
      <w:r w:rsidRPr="006E5DC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≥0</m:t>
        </m:r>
      </m:oMath>
      <w:r w:rsidRPr="006E5DC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r>
          <w:rPr>
            <w:rFonts w:ascii="Cambria Math" w:hAnsi="Cambria Math" w:cs="Times New Roman"/>
            <w:sz w:val="24"/>
            <w:szCs w:val="24"/>
          </w:rPr>
          <m:t>≥0</m:t>
        </m:r>
      </m:oMath>
      <w:r w:rsidRPr="006E5DCD">
        <w:rPr>
          <w:rFonts w:ascii="Times New Roman" w:hAnsi="Times New Roman" w:cs="Times New Roman"/>
          <w:sz w:val="24"/>
          <w:szCs w:val="24"/>
        </w:rPr>
        <w:t>, with constraints</w:t>
      </w:r>
    </w:p>
    <w:p w14:paraId="734D112B" w14:textId="77777777" w:rsidR="007B399B" w:rsidRPr="006E5DCD" w:rsidRDefault="002C15FD" w:rsidP="007B399B">
      <w:pPr>
        <w:spacing w:line="360" w:lineRule="auto"/>
        <w:jc w:val="both"/>
        <w:rPr>
          <w:rFonts w:ascii="Times New Roman" w:hAnsi="Times New Roman" w:cs="Times New Roman"/>
          <w:sz w:val="24"/>
          <w:szCs w:val="24"/>
        </w:rPr>
      </w:pPr>
      <m:oMathPara>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e>
          </m:nary>
          <m:r>
            <w:rPr>
              <w:rFonts w:ascii="Cambria Math" w:hAnsi="Cambria Math" w:cs="Times New Roman"/>
              <w:sz w:val="24"/>
              <w:szCs w:val="24"/>
            </w:rPr>
            <m:t xml:space="preserve">&lt;1   </m:t>
          </m:r>
        </m:oMath>
      </m:oMathPara>
    </w:p>
    <w:p w14:paraId="6E9887BE" w14:textId="77777777" w:rsidR="007B399B" w:rsidRPr="006E5DCD" w:rsidRDefault="007B399B" w:rsidP="007B399B">
      <w:pPr>
        <w:spacing w:line="360" w:lineRule="auto"/>
        <w:jc w:val="both"/>
        <w:rPr>
          <w:rFonts w:ascii="Times New Roman" w:hAnsi="Times New Roman" w:cs="Times New Roman"/>
          <w:sz w:val="24"/>
          <w:szCs w:val="24"/>
        </w:rPr>
      </w:pPr>
      <w:r w:rsidRPr="006E5DCD">
        <w:rPr>
          <w:rFonts w:ascii="Times New Roman" w:hAnsi="Times New Roman" w:cs="Times New Roman"/>
          <w:sz w:val="24"/>
          <w:szCs w:val="24"/>
        </w:rPr>
        <w:t xml:space="preserve">Note that there is only one excess ‘leverage’ variable, however the irregular behaviour is described to address the volatility response from negative shocks only. GJR-GARCH is just a substitute to asymmetric GARCH. Asymmetric GARCH which differentiates the impacts of negative shocks and positive shocks to volatility. The choice between GJR-GARCH and Asymmetric GARCH can be very tricky since outcomes from both models are very useful. However, it is not advisable to use both simultaneously. Most of the times Asymmetric </w:t>
      </w:r>
      <w:r w:rsidRPr="006E5DCD">
        <w:rPr>
          <w:rFonts w:ascii="Times New Roman" w:hAnsi="Times New Roman" w:cs="Times New Roman"/>
          <w:sz w:val="24"/>
          <w:szCs w:val="24"/>
        </w:rPr>
        <w:lastRenderedPageBreak/>
        <w:t>GARCH is the easiest to evaluate whereas it is a bit challenging to maximise GJR-GARCH process (Alexander, 2008).</w:t>
      </w:r>
    </w:p>
    <w:p w14:paraId="6C9C7E3B" w14:textId="77777777" w:rsidR="007B399B" w:rsidRPr="00446C40" w:rsidRDefault="007B399B" w:rsidP="007B399B">
      <w:pPr>
        <w:spacing w:line="360" w:lineRule="auto"/>
        <w:rPr>
          <w:rFonts w:ascii="Times New Roman" w:hAnsi="Times New Roman" w:cs="Times New Roman"/>
          <w:sz w:val="24"/>
          <w:szCs w:val="24"/>
        </w:rPr>
      </w:pPr>
    </w:p>
    <w:p w14:paraId="4AA3812A" w14:textId="77777777" w:rsidR="007B399B" w:rsidRPr="00446C40" w:rsidRDefault="007B399B" w:rsidP="007B399B">
      <w:pPr>
        <w:spacing w:line="360" w:lineRule="auto"/>
        <w:jc w:val="both"/>
        <w:rPr>
          <w:rFonts w:ascii="Times New Roman" w:hAnsi="Times New Roman" w:cs="Times New Roman"/>
          <w:sz w:val="24"/>
          <w:szCs w:val="24"/>
        </w:rPr>
      </w:pPr>
      <w:r w:rsidRPr="00446C40">
        <w:rPr>
          <w:rFonts w:ascii="Times New Roman" w:hAnsi="Times New Roman" w:cs="Times New Roman"/>
          <w:sz w:val="24"/>
          <w:szCs w:val="24"/>
        </w:rPr>
        <w:t xml:space="preserve">The histogram is the oldest and most popular tool for graphical display of a univariate data set. It is taught in virtually all elementary data analysis courses and is available in most statistical computing packages. An important parameter that needs to be specified when constructing a histogram is the bin width. This is simply the length of the subintervals of the real line, sometimes called "bins," on which the histogram is based. It is not very difficult to see that the choice of the bin width has an enormous effect on the appearance of the resulting histogram. The choice of a very small bin width results in a jagged histogram, with a separate block for each distinct observation. A very large bin width results in a histogram with a single block. Intermediate bin widths lead to a variety of histogram shapes between these two extremes. Ideally, the bin width should be chosen so that the histogram displays the essential structure of the data, without giving too much credence to the data set at hand. Scott (1992, p. 48) gave an interesting historical account of bin width selection. The earliest published rule for selecting the bin width appears to be that of Sturges (1926). As Scott points out, </w:t>
      </w:r>
      <w:proofErr w:type="spellStart"/>
      <w:r w:rsidRPr="00446C40">
        <w:rPr>
          <w:rFonts w:ascii="Times New Roman" w:hAnsi="Times New Roman" w:cs="Times New Roman"/>
          <w:sz w:val="24"/>
          <w:szCs w:val="24"/>
        </w:rPr>
        <w:t>Sturges's</w:t>
      </w:r>
      <w:proofErr w:type="spellEnd"/>
      <w:r w:rsidRPr="00446C40">
        <w:rPr>
          <w:rFonts w:ascii="Times New Roman" w:hAnsi="Times New Roman" w:cs="Times New Roman"/>
          <w:sz w:val="24"/>
          <w:szCs w:val="24"/>
        </w:rPr>
        <w:t xml:space="preserve"> proposal is more of a number of bins rule rather than a bin width rule itself, but essentially amounts to choosing the bin width.</w:t>
      </w:r>
    </w:p>
    <w:p w14:paraId="7D9EF91A" w14:textId="77777777" w:rsidR="007B399B" w:rsidRPr="006C3164" w:rsidRDefault="002C15FD" w:rsidP="007B399B">
      <w:pPr>
        <w:spacing w:line="360" w:lineRule="auto"/>
        <w:rPr>
          <w:rFonts w:ascii="Arial" w:hAnsi="Arial"/>
          <w:sz w:val="24"/>
          <w:szCs w:val="24"/>
        </w:rPr>
      </w:pPr>
      <m:oMathPara>
        <m:oMath>
          <m:acc>
            <m:accPr>
              <m:ctrlPr>
                <w:rPr>
                  <w:rFonts w:ascii="Cambria Math" w:hAnsi="Arial"/>
                  <w:i/>
                  <w:sz w:val="24"/>
                  <w:szCs w:val="24"/>
                </w:rPr>
              </m:ctrlPr>
            </m:accPr>
            <m:e>
              <m:r>
                <w:rPr>
                  <w:rFonts w:ascii="Cambria Math" w:hAnsi="Cambria Math"/>
                  <w:sz w:val="24"/>
                  <w:szCs w:val="24"/>
                </w:rPr>
                <m:t>h</m:t>
              </m:r>
            </m:e>
          </m:acc>
          <m:r>
            <w:rPr>
              <w:rFonts w:ascii="Cambria Math" w:hAnsi="Arial"/>
              <w:sz w:val="24"/>
              <w:szCs w:val="24"/>
            </w:rPr>
            <m:t>=</m:t>
          </m:r>
          <m:f>
            <m:fPr>
              <m:ctrlPr>
                <w:rPr>
                  <w:rFonts w:ascii="Cambria Math" w:hAnsi="Arial"/>
                  <w:i/>
                  <w:sz w:val="24"/>
                  <w:szCs w:val="24"/>
                </w:rPr>
              </m:ctrlPr>
            </m:fPr>
            <m:num>
              <m:r>
                <w:rPr>
                  <w:rFonts w:ascii="Cambria Math" w:hAnsi="Cambria Math"/>
                  <w:sz w:val="24"/>
                  <w:szCs w:val="24"/>
                </w:rPr>
                <m:t>Range</m:t>
              </m:r>
              <m:r>
                <w:rPr>
                  <w:rFonts w:ascii="Cambria Math" w:hAnsi="Arial"/>
                  <w:sz w:val="24"/>
                  <w:szCs w:val="24"/>
                </w:rPr>
                <m:t xml:space="preserve"> </m:t>
              </m:r>
              <m:r>
                <w:rPr>
                  <w:rFonts w:ascii="Cambria Math" w:hAnsi="Cambria Math"/>
                  <w:sz w:val="24"/>
                  <w:szCs w:val="24"/>
                </w:rPr>
                <m:t>of</m:t>
              </m:r>
              <m:r>
                <w:rPr>
                  <w:rFonts w:ascii="Cambria Math" w:hAnsi="Arial"/>
                  <w:sz w:val="24"/>
                  <w:szCs w:val="24"/>
                </w:rPr>
                <m:t xml:space="preserve"> </m:t>
              </m:r>
              <m:r>
                <w:rPr>
                  <w:rFonts w:ascii="Cambria Math" w:hAnsi="Cambria Math"/>
                  <w:sz w:val="24"/>
                  <w:szCs w:val="24"/>
                </w:rPr>
                <m:t>Data</m:t>
              </m:r>
            </m:num>
            <m:den>
              <m:r>
                <w:rPr>
                  <w:rFonts w:ascii="Cambria Math" w:hAnsi="Arial"/>
                  <w:sz w:val="24"/>
                  <w:szCs w:val="24"/>
                </w:rPr>
                <m:t>1+</m:t>
              </m:r>
              <m:func>
                <m:funcPr>
                  <m:ctrlPr>
                    <w:rPr>
                      <w:rFonts w:ascii="Cambria Math" w:hAnsi="Arial"/>
                      <w:i/>
                      <w:sz w:val="24"/>
                      <w:szCs w:val="24"/>
                    </w:rPr>
                  </m:ctrlPr>
                </m:funcPr>
                <m:fName>
                  <m:sSub>
                    <m:sSubPr>
                      <m:ctrlPr>
                        <w:rPr>
                          <w:rFonts w:ascii="Cambria Math" w:hAnsi="Arial"/>
                          <w:i/>
                          <w:sz w:val="24"/>
                          <w:szCs w:val="24"/>
                        </w:rPr>
                      </m:ctrlPr>
                    </m:sSubPr>
                    <m:e>
                      <m:r>
                        <m:rPr>
                          <m:sty m:val="p"/>
                        </m:rPr>
                        <w:rPr>
                          <w:rFonts w:ascii="Cambria Math" w:hAnsi="Arial"/>
                          <w:sz w:val="24"/>
                          <w:szCs w:val="24"/>
                        </w:rPr>
                        <m:t>log</m:t>
                      </m:r>
                    </m:e>
                    <m:sub>
                      <m:r>
                        <w:rPr>
                          <w:rFonts w:ascii="Cambria Math" w:hAnsi="Arial"/>
                          <w:sz w:val="24"/>
                          <w:szCs w:val="24"/>
                        </w:rPr>
                        <m:t>2</m:t>
                      </m:r>
                    </m:sub>
                  </m:sSub>
                </m:fName>
                <m:e>
                  <m:r>
                    <w:rPr>
                      <w:rFonts w:ascii="Cambria Math" w:hAnsi="Cambria Math"/>
                      <w:sz w:val="24"/>
                      <w:szCs w:val="24"/>
                    </w:rPr>
                    <m:t>n</m:t>
                  </m:r>
                </m:e>
              </m:func>
            </m:den>
          </m:f>
        </m:oMath>
      </m:oMathPara>
    </w:p>
    <w:p w14:paraId="56C75A46" w14:textId="77777777" w:rsidR="007B399B" w:rsidRDefault="007B399B" w:rsidP="007B399B">
      <w:pPr>
        <w:spacing w:line="360" w:lineRule="auto"/>
        <w:rPr>
          <w:rFonts w:ascii="Times New Roman" w:hAnsi="Times New Roman" w:cs="Times New Roman"/>
          <w:sz w:val="24"/>
          <w:szCs w:val="24"/>
        </w:rPr>
      </w:pPr>
      <w:r w:rsidRPr="00446C40">
        <w:rPr>
          <w:rFonts w:ascii="Times New Roman" w:hAnsi="Times New Roman" w:cs="Times New Roman"/>
          <w:sz w:val="24"/>
          <w:szCs w:val="24"/>
        </w:rPr>
        <w:t xml:space="preserve">where n is the sample size. Well-established theory (e.g., Scott 1992) shows that this bin width leads to an over smoothed histogram, especially for large samples. However, </w:t>
      </w:r>
      <w:proofErr w:type="spellStart"/>
      <w:r w:rsidRPr="00446C40">
        <w:rPr>
          <w:rFonts w:ascii="Times New Roman" w:hAnsi="Times New Roman" w:cs="Times New Roman"/>
          <w:sz w:val="24"/>
          <w:szCs w:val="24"/>
        </w:rPr>
        <w:t>Sturges's</w:t>
      </w:r>
      <w:proofErr w:type="spellEnd"/>
      <w:r w:rsidRPr="00446C40">
        <w:rPr>
          <w:rFonts w:ascii="Times New Roman" w:hAnsi="Times New Roman" w:cs="Times New Roman"/>
          <w:sz w:val="24"/>
          <w:szCs w:val="24"/>
        </w:rPr>
        <w:t xml:space="preserve"> rule, or variations of it such as that proposed by </w:t>
      </w:r>
      <w:proofErr w:type="spellStart"/>
      <w:r w:rsidRPr="00446C40">
        <w:rPr>
          <w:rFonts w:ascii="Times New Roman" w:hAnsi="Times New Roman" w:cs="Times New Roman"/>
          <w:sz w:val="24"/>
          <w:szCs w:val="24"/>
        </w:rPr>
        <w:t>Doane</w:t>
      </w:r>
      <w:proofErr w:type="spellEnd"/>
      <w:r w:rsidRPr="00446C40">
        <w:rPr>
          <w:rFonts w:ascii="Times New Roman" w:hAnsi="Times New Roman" w:cs="Times New Roman"/>
          <w:sz w:val="24"/>
          <w:szCs w:val="24"/>
        </w:rPr>
        <w:t xml:space="preserve"> (1976), is often used in statistical packages as a default. The default bin width used by the popular languages is a modification of </w:t>
      </w:r>
      <w:proofErr w:type="spellStart"/>
      <w:r w:rsidRPr="00446C40">
        <w:rPr>
          <w:rFonts w:ascii="Times New Roman" w:hAnsi="Times New Roman" w:cs="Times New Roman"/>
          <w:sz w:val="24"/>
          <w:szCs w:val="24"/>
        </w:rPr>
        <w:t>Sturges's</w:t>
      </w:r>
      <w:proofErr w:type="spellEnd"/>
      <w:r w:rsidRPr="00446C40">
        <w:rPr>
          <w:rFonts w:ascii="Times New Roman" w:hAnsi="Times New Roman" w:cs="Times New Roman"/>
          <w:sz w:val="24"/>
          <w:szCs w:val="24"/>
        </w:rPr>
        <w:t xml:space="preserve"> rule that ensures nice break points between the bins. It could be argued that this situation is somewhat unfortunate because inexperienced users might miss important features in their data sets. Acceptance of this viewpoint implies that default bin widths should be "more scientific," driven by some sort of optimal estimation theory. At the same time, one should not lose sight of the simplicity of the histogram, and the advantages of having the choice of the bin width kept really simple as well.</w:t>
      </w:r>
    </w:p>
    <w:p w14:paraId="51B2070E" w14:textId="420EBEB7" w:rsidR="00CD12E9" w:rsidRPr="00CD12E9" w:rsidRDefault="00CD12E9" w:rsidP="00CD12E9">
      <w:pPr>
        <w:pStyle w:val="Caption"/>
        <w:keepNext/>
        <w:rPr>
          <w:rFonts w:ascii="Times New Roman" w:hAnsi="Times New Roman" w:cs="Times New Roman"/>
          <w:color w:val="auto"/>
          <w:sz w:val="24"/>
          <w:szCs w:val="24"/>
        </w:rPr>
      </w:pPr>
      <w:r w:rsidRPr="00CD12E9">
        <w:rPr>
          <w:rFonts w:ascii="Times New Roman" w:hAnsi="Times New Roman" w:cs="Times New Roman"/>
          <w:color w:val="auto"/>
          <w:sz w:val="24"/>
          <w:szCs w:val="24"/>
        </w:rPr>
        <w:lastRenderedPageBreak/>
        <w:t>Table 3.3.1 optimal values of K and c</w:t>
      </w:r>
    </w:p>
    <w:tbl>
      <w:tblPr>
        <w:tblpPr w:leftFromText="180" w:rightFromText="180" w:vertAnchor="text" w:horzAnchor="margin" w:tblpY="137"/>
        <w:tblW w:w="8399" w:type="dxa"/>
        <w:tblLayout w:type="fixed"/>
        <w:tblLook w:val="04A0" w:firstRow="1" w:lastRow="0" w:firstColumn="1" w:lastColumn="0" w:noHBand="0" w:noVBand="1"/>
      </w:tblPr>
      <w:tblGrid>
        <w:gridCol w:w="1644"/>
        <w:gridCol w:w="565"/>
        <w:gridCol w:w="883"/>
        <w:gridCol w:w="986"/>
        <w:gridCol w:w="1617"/>
        <w:gridCol w:w="1394"/>
        <w:gridCol w:w="1310"/>
      </w:tblGrid>
      <w:tr w:rsidR="007B399B" w:rsidRPr="006C3164" w14:paraId="6FEBBF2E" w14:textId="77777777" w:rsidTr="006947F1">
        <w:trPr>
          <w:trHeight w:val="293"/>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F04C6" w14:textId="77777777" w:rsidR="007B399B" w:rsidRPr="006C3164" w:rsidRDefault="007B399B" w:rsidP="002E143B">
            <w:pPr>
              <w:spacing w:line="480" w:lineRule="auto"/>
              <w:jc w:val="center"/>
              <w:rPr>
                <w:rFonts w:ascii="Arial" w:eastAsia="Times New Roman" w:hAnsi="Arial"/>
                <w:b/>
                <w:bCs/>
                <w:color w:val="000000"/>
                <w:sz w:val="24"/>
                <w:szCs w:val="24"/>
              </w:rPr>
            </w:pP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14:paraId="5EC6F57F" w14:textId="77777777" w:rsidR="007B399B" w:rsidRPr="006C3164" w:rsidRDefault="007B399B" w:rsidP="002E143B">
            <w:pPr>
              <w:spacing w:line="480" w:lineRule="auto"/>
              <w:jc w:val="center"/>
              <w:rPr>
                <w:rFonts w:ascii="Arial" w:eastAsia="Times New Roman" w:hAnsi="Arial"/>
                <w:b/>
                <w:bCs/>
                <w:color w:val="000000"/>
                <w:sz w:val="24"/>
                <w:szCs w:val="24"/>
              </w:rPr>
            </w:pP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11C4F39D" w14:textId="77777777" w:rsidR="007B399B" w:rsidRPr="006C3164" w:rsidRDefault="007B399B" w:rsidP="002E143B">
            <w:pPr>
              <w:spacing w:line="480" w:lineRule="auto"/>
              <w:jc w:val="center"/>
              <w:rPr>
                <w:rFonts w:ascii="Arial" w:eastAsia="Times New Roman" w:hAnsi="Arial"/>
                <w:b/>
                <w:bCs/>
                <w:color w:val="000000"/>
                <w:sz w:val="24"/>
                <w:szCs w:val="24"/>
              </w:rPr>
            </w:pP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4BC285C8" w14:textId="77777777" w:rsidR="007B399B" w:rsidRPr="006C3164" w:rsidRDefault="007B399B" w:rsidP="002E143B">
            <w:pPr>
              <w:spacing w:line="480" w:lineRule="auto"/>
              <w:jc w:val="center"/>
              <w:rPr>
                <w:rFonts w:ascii="Arial" w:eastAsia="Times New Roman" w:hAnsi="Arial"/>
                <w:b/>
                <w:bCs/>
                <w:color w:val="000000"/>
                <w:sz w:val="24"/>
                <w:szCs w:val="24"/>
              </w:rPr>
            </w:pPr>
          </w:p>
        </w:tc>
        <w:tc>
          <w:tcPr>
            <w:tcW w:w="1617" w:type="dxa"/>
            <w:tcBorders>
              <w:top w:val="single" w:sz="4" w:space="0" w:color="auto"/>
              <w:left w:val="nil"/>
              <w:bottom w:val="single" w:sz="4" w:space="0" w:color="auto"/>
              <w:right w:val="nil"/>
            </w:tcBorders>
            <w:vAlign w:val="bottom"/>
          </w:tcPr>
          <w:p w14:paraId="009328E5" w14:textId="77777777" w:rsidR="007B399B" w:rsidRPr="006C3164" w:rsidRDefault="007B399B" w:rsidP="002E143B">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 xml:space="preserve">Historic </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8780" w14:textId="77777777" w:rsidR="007B399B" w:rsidRPr="006C3164" w:rsidRDefault="007B399B" w:rsidP="002E143B">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GBM</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651EF6B7" w14:textId="77777777" w:rsidR="007B399B" w:rsidRPr="006C3164" w:rsidRDefault="007B399B" w:rsidP="002E143B">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IFBM</w:t>
            </w:r>
          </w:p>
        </w:tc>
      </w:tr>
      <w:tr w:rsidR="007B399B" w:rsidRPr="006C3164" w14:paraId="6120A43C" w14:textId="77777777" w:rsidTr="006947F1">
        <w:trPr>
          <w:trHeight w:val="914"/>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4212310F"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Time Window</w:t>
            </w:r>
          </w:p>
        </w:tc>
        <w:tc>
          <w:tcPr>
            <w:tcW w:w="565" w:type="dxa"/>
            <w:tcBorders>
              <w:top w:val="nil"/>
              <w:left w:val="nil"/>
              <w:bottom w:val="single" w:sz="4" w:space="0" w:color="auto"/>
              <w:right w:val="single" w:sz="4" w:space="0" w:color="auto"/>
            </w:tcBorders>
            <w:shd w:val="clear" w:color="auto" w:fill="auto"/>
            <w:noWrap/>
            <w:vAlign w:val="bottom"/>
            <w:hideMark/>
          </w:tcPr>
          <w:p w14:paraId="4EF0F546"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C</w:t>
            </w:r>
          </w:p>
        </w:tc>
        <w:tc>
          <w:tcPr>
            <w:tcW w:w="883" w:type="dxa"/>
            <w:tcBorders>
              <w:top w:val="nil"/>
              <w:left w:val="nil"/>
              <w:bottom w:val="single" w:sz="4" w:space="0" w:color="auto"/>
              <w:right w:val="single" w:sz="4" w:space="0" w:color="auto"/>
            </w:tcBorders>
            <w:shd w:val="clear" w:color="auto" w:fill="auto"/>
            <w:noWrap/>
            <w:vAlign w:val="bottom"/>
            <w:hideMark/>
          </w:tcPr>
          <w:p w14:paraId="0CFE5CB1"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k</w:t>
            </w:r>
          </w:p>
        </w:tc>
        <w:tc>
          <w:tcPr>
            <w:tcW w:w="986" w:type="dxa"/>
            <w:tcBorders>
              <w:top w:val="nil"/>
              <w:left w:val="nil"/>
              <w:bottom w:val="single" w:sz="4" w:space="0" w:color="auto"/>
              <w:right w:val="single" w:sz="4" w:space="0" w:color="auto"/>
            </w:tcBorders>
            <w:shd w:val="clear" w:color="auto" w:fill="auto"/>
            <w:noWrap/>
            <w:vAlign w:val="bottom"/>
            <w:hideMark/>
          </w:tcPr>
          <w:p w14:paraId="1536B91C"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k/c</w:t>
            </w:r>
          </w:p>
        </w:tc>
        <w:tc>
          <w:tcPr>
            <w:tcW w:w="1617" w:type="dxa"/>
            <w:tcBorders>
              <w:top w:val="single" w:sz="4" w:space="0" w:color="auto"/>
              <w:left w:val="nil"/>
              <w:bottom w:val="single" w:sz="4" w:space="0" w:color="auto"/>
              <w:right w:val="nil"/>
            </w:tcBorders>
            <w:vAlign w:val="bottom"/>
          </w:tcPr>
          <w:p w14:paraId="6F683399"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Kurtosis</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B9058EA"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Kurtosis</w:t>
            </w:r>
          </w:p>
        </w:tc>
        <w:tc>
          <w:tcPr>
            <w:tcW w:w="1310" w:type="dxa"/>
            <w:tcBorders>
              <w:top w:val="nil"/>
              <w:left w:val="nil"/>
              <w:bottom w:val="single" w:sz="4" w:space="0" w:color="auto"/>
              <w:right w:val="single" w:sz="4" w:space="0" w:color="auto"/>
            </w:tcBorders>
            <w:shd w:val="clear" w:color="auto" w:fill="auto"/>
            <w:noWrap/>
            <w:vAlign w:val="bottom"/>
            <w:hideMark/>
          </w:tcPr>
          <w:p w14:paraId="3BAFC4E0" w14:textId="77777777" w:rsidR="007B399B" w:rsidRPr="007D6764" w:rsidRDefault="007B399B" w:rsidP="002E143B">
            <w:pPr>
              <w:spacing w:line="480" w:lineRule="auto"/>
              <w:jc w:val="center"/>
              <w:rPr>
                <w:rFonts w:ascii="Times New Roman" w:eastAsia="Times New Roman" w:hAnsi="Times New Roman" w:cs="Times New Roman"/>
                <w:b/>
                <w:bCs/>
                <w:color w:val="000000"/>
                <w:sz w:val="24"/>
                <w:szCs w:val="24"/>
              </w:rPr>
            </w:pPr>
            <w:r w:rsidRPr="007D6764">
              <w:rPr>
                <w:rFonts w:ascii="Times New Roman" w:eastAsia="Times New Roman" w:hAnsi="Times New Roman" w:cs="Times New Roman"/>
                <w:b/>
                <w:bCs/>
                <w:color w:val="000000"/>
                <w:sz w:val="24"/>
                <w:szCs w:val="24"/>
              </w:rPr>
              <w:t>Kurtosis</w:t>
            </w:r>
          </w:p>
        </w:tc>
      </w:tr>
      <w:tr w:rsidR="007B399B" w:rsidRPr="006C3164" w14:paraId="5B9ADC5C"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3C4969FD"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1990-1991</w:t>
            </w:r>
          </w:p>
        </w:tc>
        <w:tc>
          <w:tcPr>
            <w:tcW w:w="565" w:type="dxa"/>
            <w:tcBorders>
              <w:top w:val="nil"/>
              <w:left w:val="nil"/>
              <w:bottom w:val="single" w:sz="4" w:space="0" w:color="auto"/>
              <w:right w:val="single" w:sz="4" w:space="0" w:color="auto"/>
            </w:tcBorders>
            <w:shd w:val="clear" w:color="auto" w:fill="auto"/>
            <w:noWrap/>
            <w:vAlign w:val="bottom"/>
            <w:hideMark/>
          </w:tcPr>
          <w:p w14:paraId="6773E0BB"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0.3</w:t>
            </w:r>
          </w:p>
        </w:tc>
        <w:tc>
          <w:tcPr>
            <w:tcW w:w="883" w:type="dxa"/>
            <w:tcBorders>
              <w:top w:val="nil"/>
              <w:left w:val="nil"/>
              <w:bottom w:val="single" w:sz="4" w:space="0" w:color="auto"/>
              <w:right w:val="single" w:sz="4" w:space="0" w:color="auto"/>
            </w:tcBorders>
            <w:shd w:val="clear" w:color="auto" w:fill="auto"/>
            <w:noWrap/>
            <w:vAlign w:val="bottom"/>
            <w:hideMark/>
          </w:tcPr>
          <w:p w14:paraId="63814D42"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0.002</w:t>
            </w:r>
          </w:p>
        </w:tc>
        <w:tc>
          <w:tcPr>
            <w:tcW w:w="986" w:type="dxa"/>
            <w:tcBorders>
              <w:top w:val="nil"/>
              <w:left w:val="nil"/>
              <w:bottom w:val="single" w:sz="4" w:space="0" w:color="auto"/>
              <w:right w:val="single" w:sz="4" w:space="0" w:color="auto"/>
            </w:tcBorders>
            <w:shd w:val="clear" w:color="auto" w:fill="auto"/>
            <w:noWrap/>
            <w:vAlign w:val="bottom"/>
            <w:hideMark/>
          </w:tcPr>
          <w:p w14:paraId="727DC952"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0.0059</w:t>
            </w:r>
          </w:p>
        </w:tc>
        <w:tc>
          <w:tcPr>
            <w:tcW w:w="1617" w:type="dxa"/>
            <w:tcBorders>
              <w:top w:val="single" w:sz="4" w:space="0" w:color="auto"/>
              <w:left w:val="nil"/>
              <w:bottom w:val="single" w:sz="4" w:space="0" w:color="auto"/>
              <w:right w:val="nil"/>
            </w:tcBorders>
            <w:vAlign w:val="bottom"/>
          </w:tcPr>
          <w:p w14:paraId="5EA141A7"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3.235887</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6B608F0A"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2.91430</w:t>
            </w:r>
          </w:p>
        </w:tc>
        <w:tc>
          <w:tcPr>
            <w:tcW w:w="1310" w:type="dxa"/>
            <w:tcBorders>
              <w:top w:val="nil"/>
              <w:left w:val="nil"/>
              <w:bottom w:val="single" w:sz="4" w:space="0" w:color="auto"/>
              <w:right w:val="single" w:sz="4" w:space="0" w:color="auto"/>
            </w:tcBorders>
            <w:shd w:val="clear" w:color="auto" w:fill="auto"/>
            <w:noWrap/>
            <w:vAlign w:val="bottom"/>
            <w:hideMark/>
          </w:tcPr>
          <w:p w14:paraId="725C57A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3.30811</w:t>
            </w:r>
          </w:p>
        </w:tc>
      </w:tr>
      <w:tr w:rsidR="007B399B" w:rsidRPr="006C3164" w14:paraId="11883385"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5F048EA9"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1992-1993</w:t>
            </w:r>
          </w:p>
        </w:tc>
        <w:tc>
          <w:tcPr>
            <w:tcW w:w="565" w:type="dxa"/>
            <w:tcBorders>
              <w:top w:val="nil"/>
              <w:left w:val="nil"/>
              <w:bottom w:val="single" w:sz="4" w:space="0" w:color="auto"/>
              <w:right w:val="single" w:sz="4" w:space="0" w:color="auto"/>
            </w:tcBorders>
            <w:shd w:val="clear" w:color="auto" w:fill="auto"/>
            <w:noWrap/>
            <w:vAlign w:val="bottom"/>
            <w:hideMark/>
          </w:tcPr>
          <w:p w14:paraId="4CE1D00C"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0.7</w:t>
            </w:r>
          </w:p>
        </w:tc>
        <w:tc>
          <w:tcPr>
            <w:tcW w:w="883" w:type="dxa"/>
            <w:tcBorders>
              <w:top w:val="nil"/>
              <w:left w:val="nil"/>
              <w:bottom w:val="single" w:sz="4" w:space="0" w:color="auto"/>
              <w:right w:val="single" w:sz="4" w:space="0" w:color="auto"/>
            </w:tcBorders>
            <w:shd w:val="clear" w:color="auto" w:fill="auto"/>
            <w:noWrap/>
            <w:vAlign w:val="bottom"/>
            <w:hideMark/>
          </w:tcPr>
          <w:p w14:paraId="0DF7305B"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0.001</w:t>
            </w:r>
          </w:p>
        </w:tc>
        <w:tc>
          <w:tcPr>
            <w:tcW w:w="986" w:type="dxa"/>
            <w:tcBorders>
              <w:top w:val="nil"/>
              <w:left w:val="nil"/>
              <w:bottom w:val="single" w:sz="4" w:space="0" w:color="auto"/>
              <w:right w:val="single" w:sz="4" w:space="0" w:color="auto"/>
            </w:tcBorders>
            <w:shd w:val="clear" w:color="auto" w:fill="auto"/>
            <w:noWrap/>
            <w:vAlign w:val="bottom"/>
            <w:hideMark/>
          </w:tcPr>
          <w:p w14:paraId="5F06DE49"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0.0019</w:t>
            </w:r>
          </w:p>
        </w:tc>
        <w:tc>
          <w:tcPr>
            <w:tcW w:w="1617" w:type="dxa"/>
            <w:tcBorders>
              <w:top w:val="single" w:sz="4" w:space="0" w:color="auto"/>
              <w:left w:val="nil"/>
              <w:bottom w:val="single" w:sz="4" w:space="0" w:color="auto"/>
              <w:right w:val="nil"/>
            </w:tcBorders>
            <w:vAlign w:val="bottom"/>
          </w:tcPr>
          <w:p w14:paraId="258A7E7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3.343758</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4D21B2C8"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2.83918</w:t>
            </w:r>
          </w:p>
        </w:tc>
        <w:tc>
          <w:tcPr>
            <w:tcW w:w="1310" w:type="dxa"/>
            <w:tcBorders>
              <w:top w:val="nil"/>
              <w:left w:val="nil"/>
              <w:bottom w:val="single" w:sz="4" w:space="0" w:color="auto"/>
              <w:right w:val="single" w:sz="4" w:space="0" w:color="auto"/>
            </w:tcBorders>
            <w:shd w:val="clear" w:color="auto" w:fill="auto"/>
            <w:noWrap/>
            <w:vAlign w:val="bottom"/>
            <w:hideMark/>
          </w:tcPr>
          <w:p w14:paraId="20D4748E"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3.24248</w:t>
            </w:r>
          </w:p>
        </w:tc>
      </w:tr>
      <w:tr w:rsidR="007B399B" w:rsidRPr="006C3164" w14:paraId="06829C0A"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312D372E"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1994-1995</w:t>
            </w:r>
          </w:p>
        </w:tc>
        <w:tc>
          <w:tcPr>
            <w:tcW w:w="565" w:type="dxa"/>
            <w:tcBorders>
              <w:top w:val="nil"/>
              <w:left w:val="nil"/>
              <w:bottom w:val="single" w:sz="4" w:space="0" w:color="auto"/>
              <w:right w:val="single" w:sz="4" w:space="0" w:color="auto"/>
            </w:tcBorders>
            <w:shd w:val="clear" w:color="auto" w:fill="auto"/>
            <w:noWrap/>
            <w:vAlign w:val="bottom"/>
            <w:hideMark/>
          </w:tcPr>
          <w:p w14:paraId="2EAAAC97"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0.4</w:t>
            </w:r>
          </w:p>
        </w:tc>
        <w:tc>
          <w:tcPr>
            <w:tcW w:w="883" w:type="dxa"/>
            <w:tcBorders>
              <w:top w:val="nil"/>
              <w:left w:val="nil"/>
              <w:bottom w:val="single" w:sz="4" w:space="0" w:color="auto"/>
              <w:right w:val="single" w:sz="4" w:space="0" w:color="auto"/>
            </w:tcBorders>
            <w:shd w:val="clear" w:color="auto" w:fill="auto"/>
            <w:noWrap/>
            <w:vAlign w:val="bottom"/>
            <w:hideMark/>
          </w:tcPr>
          <w:p w14:paraId="64ABDE4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0.002</w:t>
            </w:r>
          </w:p>
        </w:tc>
        <w:tc>
          <w:tcPr>
            <w:tcW w:w="986" w:type="dxa"/>
            <w:tcBorders>
              <w:top w:val="nil"/>
              <w:left w:val="nil"/>
              <w:bottom w:val="single" w:sz="4" w:space="0" w:color="auto"/>
              <w:right w:val="single" w:sz="4" w:space="0" w:color="auto"/>
            </w:tcBorders>
            <w:shd w:val="clear" w:color="auto" w:fill="auto"/>
            <w:noWrap/>
            <w:vAlign w:val="bottom"/>
            <w:hideMark/>
          </w:tcPr>
          <w:p w14:paraId="307AC67F"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0.0042</w:t>
            </w:r>
          </w:p>
        </w:tc>
        <w:tc>
          <w:tcPr>
            <w:tcW w:w="1617" w:type="dxa"/>
            <w:tcBorders>
              <w:top w:val="single" w:sz="4" w:space="0" w:color="auto"/>
              <w:left w:val="nil"/>
              <w:bottom w:val="single" w:sz="4" w:space="0" w:color="auto"/>
              <w:right w:val="nil"/>
            </w:tcBorders>
            <w:vAlign w:val="bottom"/>
          </w:tcPr>
          <w:p w14:paraId="711DD046"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3.564686</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1FCBFAFA"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2.98539</w:t>
            </w:r>
          </w:p>
        </w:tc>
        <w:tc>
          <w:tcPr>
            <w:tcW w:w="1310" w:type="dxa"/>
            <w:tcBorders>
              <w:top w:val="nil"/>
              <w:left w:val="nil"/>
              <w:bottom w:val="single" w:sz="4" w:space="0" w:color="auto"/>
              <w:right w:val="single" w:sz="4" w:space="0" w:color="auto"/>
            </w:tcBorders>
            <w:shd w:val="clear" w:color="auto" w:fill="auto"/>
            <w:noWrap/>
            <w:vAlign w:val="bottom"/>
            <w:hideMark/>
          </w:tcPr>
          <w:p w14:paraId="6F6811DF"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3.62970</w:t>
            </w:r>
          </w:p>
        </w:tc>
      </w:tr>
      <w:tr w:rsidR="007B399B" w:rsidRPr="006C3164" w14:paraId="41FBDFEB"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5BA8E135"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1996-1997</w:t>
            </w:r>
          </w:p>
        </w:tc>
        <w:tc>
          <w:tcPr>
            <w:tcW w:w="565" w:type="dxa"/>
            <w:tcBorders>
              <w:top w:val="nil"/>
              <w:left w:val="nil"/>
              <w:bottom w:val="single" w:sz="4" w:space="0" w:color="auto"/>
              <w:right w:val="single" w:sz="4" w:space="0" w:color="auto"/>
            </w:tcBorders>
            <w:shd w:val="clear" w:color="auto" w:fill="auto"/>
            <w:noWrap/>
            <w:vAlign w:val="bottom"/>
            <w:hideMark/>
          </w:tcPr>
          <w:p w14:paraId="78D48338"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0.2</w:t>
            </w:r>
          </w:p>
        </w:tc>
        <w:tc>
          <w:tcPr>
            <w:tcW w:w="883" w:type="dxa"/>
            <w:tcBorders>
              <w:top w:val="nil"/>
              <w:left w:val="nil"/>
              <w:bottom w:val="single" w:sz="4" w:space="0" w:color="auto"/>
              <w:right w:val="single" w:sz="4" w:space="0" w:color="auto"/>
            </w:tcBorders>
            <w:shd w:val="clear" w:color="auto" w:fill="auto"/>
            <w:noWrap/>
            <w:vAlign w:val="bottom"/>
            <w:hideMark/>
          </w:tcPr>
          <w:p w14:paraId="0BBAFACD"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0.003</w:t>
            </w:r>
          </w:p>
        </w:tc>
        <w:tc>
          <w:tcPr>
            <w:tcW w:w="986" w:type="dxa"/>
            <w:tcBorders>
              <w:top w:val="nil"/>
              <w:left w:val="nil"/>
              <w:bottom w:val="single" w:sz="4" w:space="0" w:color="auto"/>
              <w:right w:val="single" w:sz="4" w:space="0" w:color="auto"/>
            </w:tcBorders>
            <w:shd w:val="clear" w:color="auto" w:fill="auto"/>
            <w:noWrap/>
            <w:vAlign w:val="bottom"/>
            <w:hideMark/>
          </w:tcPr>
          <w:p w14:paraId="1F343CE7"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0.0132</w:t>
            </w:r>
          </w:p>
        </w:tc>
        <w:tc>
          <w:tcPr>
            <w:tcW w:w="1617" w:type="dxa"/>
            <w:tcBorders>
              <w:top w:val="single" w:sz="4" w:space="0" w:color="auto"/>
              <w:left w:val="nil"/>
              <w:bottom w:val="single" w:sz="4" w:space="0" w:color="auto"/>
              <w:right w:val="nil"/>
            </w:tcBorders>
            <w:vAlign w:val="bottom"/>
          </w:tcPr>
          <w:p w14:paraId="321126C3"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3.570610</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5708CD3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2.96275</w:t>
            </w:r>
          </w:p>
        </w:tc>
        <w:tc>
          <w:tcPr>
            <w:tcW w:w="1310" w:type="dxa"/>
            <w:tcBorders>
              <w:top w:val="nil"/>
              <w:left w:val="nil"/>
              <w:bottom w:val="single" w:sz="4" w:space="0" w:color="auto"/>
              <w:right w:val="single" w:sz="4" w:space="0" w:color="auto"/>
            </w:tcBorders>
            <w:shd w:val="clear" w:color="auto" w:fill="auto"/>
            <w:noWrap/>
            <w:vAlign w:val="bottom"/>
            <w:hideMark/>
          </w:tcPr>
          <w:p w14:paraId="07B4E683"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3.60373</w:t>
            </w:r>
          </w:p>
        </w:tc>
      </w:tr>
      <w:tr w:rsidR="007B399B" w:rsidRPr="006C3164" w14:paraId="3E1C7984"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76CA1A47"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1998-1999</w:t>
            </w:r>
          </w:p>
        </w:tc>
        <w:tc>
          <w:tcPr>
            <w:tcW w:w="565" w:type="dxa"/>
            <w:tcBorders>
              <w:top w:val="nil"/>
              <w:left w:val="nil"/>
              <w:bottom w:val="single" w:sz="4" w:space="0" w:color="auto"/>
              <w:right w:val="single" w:sz="4" w:space="0" w:color="auto"/>
            </w:tcBorders>
            <w:shd w:val="clear" w:color="auto" w:fill="auto"/>
            <w:noWrap/>
            <w:vAlign w:val="bottom"/>
            <w:hideMark/>
          </w:tcPr>
          <w:p w14:paraId="425F02D0"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0.3</w:t>
            </w:r>
          </w:p>
        </w:tc>
        <w:tc>
          <w:tcPr>
            <w:tcW w:w="883" w:type="dxa"/>
            <w:tcBorders>
              <w:top w:val="nil"/>
              <w:left w:val="nil"/>
              <w:bottom w:val="single" w:sz="4" w:space="0" w:color="auto"/>
              <w:right w:val="single" w:sz="4" w:space="0" w:color="auto"/>
            </w:tcBorders>
            <w:shd w:val="clear" w:color="auto" w:fill="auto"/>
            <w:noWrap/>
            <w:vAlign w:val="bottom"/>
            <w:hideMark/>
          </w:tcPr>
          <w:p w14:paraId="51FBCA7D"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0.002</w:t>
            </w:r>
          </w:p>
        </w:tc>
        <w:tc>
          <w:tcPr>
            <w:tcW w:w="986" w:type="dxa"/>
            <w:tcBorders>
              <w:top w:val="nil"/>
              <w:left w:val="nil"/>
              <w:bottom w:val="single" w:sz="4" w:space="0" w:color="auto"/>
              <w:right w:val="single" w:sz="4" w:space="0" w:color="auto"/>
            </w:tcBorders>
            <w:shd w:val="clear" w:color="auto" w:fill="auto"/>
            <w:noWrap/>
            <w:vAlign w:val="bottom"/>
            <w:hideMark/>
          </w:tcPr>
          <w:p w14:paraId="439410F3"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0.0082</w:t>
            </w:r>
          </w:p>
        </w:tc>
        <w:tc>
          <w:tcPr>
            <w:tcW w:w="1617" w:type="dxa"/>
            <w:tcBorders>
              <w:top w:val="single" w:sz="4" w:space="0" w:color="auto"/>
              <w:left w:val="nil"/>
              <w:bottom w:val="single" w:sz="4" w:space="0" w:color="auto"/>
              <w:right w:val="nil"/>
            </w:tcBorders>
            <w:vAlign w:val="bottom"/>
          </w:tcPr>
          <w:p w14:paraId="225B1791"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3.480683</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1BA3CEA0"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3.01699</w:t>
            </w:r>
          </w:p>
        </w:tc>
        <w:tc>
          <w:tcPr>
            <w:tcW w:w="1310" w:type="dxa"/>
            <w:tcBorders>
              <w:top w:val="nil"/>
              <w:left w:val="nil"/>
              <w:bottom w:val="single" w:sz="4" w:space="0" w:color="auto"/>
              <w:right w:val="single" w:sz="4" w:space="0" w:color="auto"/>
            </w:tcBorders>
            <w:shd w:val="clear" w:color="auto" w:fill="auto"/>
            <w:noWrap/>
            <w:vAlign w:val="bottom"/>
            <w:hideMark/>
          </w:tcPr>
          <w:p w14:paraId="763A8565"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3.45123</w:t>
            </w:r>
          </w:p>
        </w:tc>
      </w:tr>
      <w:tr w:rsidR="007B399B" w:rsidRPr="006C3164" w14:paraId="3EB24BDE"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656E8050"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2000-2001</w:t>
            </w:r>
          </w:p>
        </w:tc>
        <w:tc>
          <w:tcPr>
            <w:tcW w:w="565" w:type="dxa"/>
            <w:tcBorders>
              <w:top w:val="nil"/>
              <w:left w:val="nil"/>
              <w:bottom w:val="single" w:sz="4" w:space="0" w:color="auto"/>
              <w:right w:val="single" w:sz="4" w:space="0" w:color="auto"/>
            </w:tcBorders>
            <w:shd w:val="clear" w:color="auto" w:fill="auto"/>
            <w:noWrap/>
            <w:vAlign w:val="bottom"/>
            <w:hideMark/>
          </w:tcPr>
          <w:p w14:paraId="5B3D6237"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0.2</w:t>
            </w:r>
          </w:p>
        </w:tc>
        <w:tc>
          <w:tcPr>
            <w:tcW w:w="883" w:type="dxa"/>
            <w:tcBorders>
              <w:top w:val="nil"/>
              <w:left w:val="nil"/>
              <w:bottom w:val="single" w:sz="4" w:space="0" w:color="auto"/>
              <w:right w:val="single" w:sz="4" w:space="0" w:color="auto"/>
            </w:tcBorders>
            <w:shd w:val="clear" w:color="auto" w:fill="auto"/>
            <w:noWrap/>
            <w:vAlign w:val="bottom"/>
            <w:hideMark/>
          </w:tcPr>
          <w:p w14:paraId="5CEDBA0F"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0.002</w:t>
            </w:r>
          </w:p>
        </w:tc>
        <w:tc>
          <w:tcPr>
            <w:tcW w:w="986" w:type="dxa"/>
            <w:tcBorders>
              <w:top w:val="nil"/>
              <w:left w:val="nil"/>
              <w:bottom w:val="single" w:sz="4" w:space="0" w:color="auto"/>
              <w:right w:val="single" w:sz="4" w:space="0" w:color="auto"/>
            </w:tcBorders>
            <w:shd w:val="clear" w:color="auto" w:fill="auto"/>
            <w:noWrap/>
            <w:vAlign w:val="bottom"/>
            <w:hideMark/>
          </w:tcPr>
          <w:p w14:paraId="2707C8BD"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0.0119</w:t>
            </w:r>
          </w:p>
        </w:tc>
        <w:tc>
          <w:tcPr>
            <w:tcW w:w="1617" w:type="dxa"/>
            <w:tcBorders>
              <w:top w:val="single" w:sz="4" w:space="0" w:color="auto"/>
              <w:left w:val="nil"/>
              <w:bottom w:val="single" w:sz="4" w:space="0" w:color="auto"/>
              <w:right w:val="nil"/>
            </w:tcBorders>
            <w:vAlign w:val="bottom"/>
          </w:tcPr>
          <w:p w14:paraId="70ACB4BA"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3.319048</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2C9E3B0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2.95830</w:t>
            </w:r>
          </w:p>
        </w:tc>
        <w:tc>
          <w:tcPr>
            <w:tcW w:w="1310" w:type="dxa"/>
            <w:tcBorders>
              <w:top w:val="nil"/>
              <w:left w:val="nil"/>
              <w:bottom w:val="single" w:sz="4" w:space="0" w:color="auto"/>
              <w:right w:val="single" w:sz="4" w:space="0" w:color="auto"/>
            </w:tcBorders>
            <w:shd w:val="clear" w:color="auto" w:fill="auto"/>
            <w:noWrap/>
            <w:vAlign w:val="bottom"/>
            <w:hideMark/>
          </w:tcPr>
          <w:p w14:paraId="4D4A83E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3.33218</w:t>
            </w:r>
          </w:p>
        </w:tc>
      </w:tr>
      <w:tr w:rsidR="007B399B" w:rsidRPr="006C3164" w14:paraId="76F85E2B"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59156A86" w14:textId="77777777" w:rsidR="007B399B" w:rsidRPr="007D6764" w:rsidRDefault="007B399B" w:rsidP="002E143B">
            <w:pPr>
              <w:spacing w:line="480" w:lineRule="auto"/>
              <w:rPr>
                <w:rFonts w:ascii="Times New Roman" w:eastAsia="Times New Roman" w:hAnsi="Times New Roman" w:cs="Times New Roman"/>
                <w:b/>
                <w:color w:val="000000"/>
                <w:sz w:val="24"/>
                <w:szCs w:val="24"/>
                <w:u w:val="single"/>
              </w:rPr>
            </w:pPr>
            <w:r w:rsidRPr="007D6764">
              <w:rPr>
                <w:rFonts w:ascii="Times New Roman" w:eastAsia="Times New Roman" w:hAnsi="Times New Roman" w:cs="Times New Roman"/>
                <w:color w:val="000000"/>
                <w:sz w:val="24"/>
                <w:szCs w:val="24"/>
              </w:rPr>
              <w:t>2002-2003</w:t>
            </w:r>
          </w:p>
        </w:tc>
        <w:tc>
          <w:tcPr>
            <w:tcW w:w="565" w:type="dxa"/>
            <w:tcBorders>
              <w:top w:val="nil"/>
              <w:left w:val="nil"/>
              <w:bottom w:val="single" w:sz="4" w:space="0" w:color="auto"/>
              <w:right w:val="single" w:sz="4" w:space="0" w:color="auto"/>
            </w:tcBorders>
            <w:shd w:val="clear" w:color="auto" w:fill="auto"/>
            <w:noWrap/>
            <w:vAlign w:val="bottom"/>
            <w:hideMark/>
          </w:tcPr>
          <w:p w14:paraId="25A47F95"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0.6</w:t>
            </w:r>
          </w:p>
        </w:tc>
        <w:tc>
          <w:tcPr>
            <w:tcW w:w="883" w:type="dxa"/>
            <w:tcBorders>
              <w:top w:val="nil"/>
              <w:left w:val="nil"/>
              <w:bottom w:val="single" w:sz="4" w:space="0" w:color="auto"/>
              <w:right w:val="single" w:sz="4" w:space="0" w:color="auto"/>
            </w:tcBorders>
            <w:shd w:val="clear" w:color="auto" w:fill="auto"/>
            <w:noWrap/>
            <w:vAlign w:val="bottom"/>
            <w:hideMark/>
          </w:tcPr>
          <w:p w14:paraId="32BF35FF"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0.003</w:t>
            </w:r>
          </w:p>
        </w:tc>
        <w:tc>
          <w:tcPr>
            <w:tcW w:w="986" w:type="dxa"/>
            <w:tcBorders>
              <w:top w:val="nil"/>
              <w:left w:val="nil"/>
              <w:bottom w:val="single" w:sz="4" w:space="0" w:color="auto"/>
              <w:right w:val="single" w:sz="4" w:space="0" w:color="auto"/>
            </w:tcBorders>
            <w:shd w:val="clear" w:color="auto" w:fill="auto"/>
            <w:noWrap/>
            <w:vAlign w:val="bottom"/>
            <w:hideMark/>
          </w:tcPr>
          <w:p w14:paraId="6C873A52" w14:textId="77777777" w:rsidR="007B399B" w:rsidRPr="007D6764" w:rsidRDefault="007B399B" w:rsidP="002E143B">
            <w:pPr>
              <w:spacing w:line="480" w:lineRule="auto"/>
              <w:jc w:val="right"/>
              <w:rPr>
                <w:rFonts w:ascii="Times New Roman" w:eastAsia="Times New Roman" w:hAnsi="Times New Roman" w:cs="Times New Roman"/>
                <w:b/>
                <w:color w:val="000000"/>
                <w:sz w:val="24"/>
                <w:szCs w:val="24"/>
                <w:u w:val="single"/>
              </w:rPr>
            </w:pPr>
            <w:r w:rsidRPr="007D6764">
              <w:rPr>
                <w:rFonts w:ascii="Times New Roman" w:eastAsia="Times New Roman" w:hAnsi="Times New Roman" w:cs="Times New Roman"/>
                <w:color w:val="000000"/>
                <w:sz w:val="24"/>
                <w:szCs w:val="24"/>
              </w:rPr>
              <w:t>0.0043</w:t>
            </w:r>
          </w:p>
        </w:tc>
        <w:tc>
          <w:tcPr>
            <w:tcW w:w="1617" w:type="dxa"/>
            <w:tcBorders>
              <w:top w:val="single" w:sz="4" w:space="0" w:color="auto"/>
              <w:left w:val="nil"/>
              <w:bottom w:val="single" w:sz="4" w:space="0" w:color="auto"/>
              <w:right w:val="nil"/>
            </w:tcBorders>
            <w:vAlign w:val="bottom"/>
          </w:tcPr>
          <w:p w14:paraId="1AD54EF5" w14:textId="77777777" w:rsidR="007B399B" w:rsidRPr="007D6764" w:rsidRDefault="007B399B" w:rsidP="002E143B">
            <w:pPr>
              <w:spacing w:line="480" w:lineRule="auto"/>
              <w:jc w:val="center"/>
              <w:rPr>
                <w:rFonts w:ascii="Times New Roman" w:eastAsia="Times New Roman" w:hAnsi="Times New Roman" w:cs="Times New Roman"/>
                <w:b/>
                <w:color w:val="000000"/>
                <w:sz w:val="24"/>
                <w:szCs w:val="24"/>
              </w:rPr>
            </w:pPr>
            <w:r w:rsidRPr="007D6764">
              <w:rPr>
                <w:rFonts w:ascii="Times New Roman" w:eastAsia="Times New Roman" w:hAnsi="Times New Roman" w:cs="Times New Roman"/>
                <w:color w:val="000000"/>
                <w:sz w:val="24"/>
                <w:szCs w:val="24"/>
              </w:rPr>
              <w:t>3.398068</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442C787"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2.90596</w:t>
            </w:r>
          </w:p>
        </w:tc>
        <w:tc>
          <w:tcPr>
            <w:tcW w:w="1310" w:type="dxa"/>
            <w:tcBorders>
              <w:top w:val="nil"/>
              <w:left w:val="nil"/>
              <w:bottom w:val="single" w:sz="4" w:space="0" w:color="auto"/>
              <w:right w:val="single" w:sz="4" w:space="0" w:color="auto"/>
            </w:tcBorders>
            <w:shd w:val="clear" w:color="auto" w:fill="auto"/>
            <w:noWrap/>
            <w:vAlign w:val="bottom"/>
            <w:hideMark/>
          </w:tcPr>
          <w:p w14:paraId="10ED3434" w14:textId="77777777" w:rsidR="007B399B" w:rsidRPr="007D6764" w:rsidRDefault="007B399B" w:rsidP="002E143B">
            <w:pPr>
              <w:spacing w:line="480" w:lineRule="auto"/>
              <w:jc w:val="center"/>
              <w:rPr>
                <w:rFonts w:ascii="Times New Roman" w:eastAsia="Times New Roman" w:hAnsi="Times New Roman" w:cs="Times New Roman"/>
                <w:b/>
                <w:color w:val="000000"/>
                <w:sz w:val="24"/>
                <w:szCs w:val="24"/>
              </w:rPr>
            </w:pPr>
            <w:r w:rsidRPr="007D6764">
              <w:rPr>
                <w:rFonts w:ascii="Times New Roman" w:eastAsia="Times New Roman" w:hAnsi="Times New Roman" w:cs="Times New Roman"/>
                <w:color w:val="000000"/>
                <w:sz w:val="24"/>
                <w:szCs w:val="24"/>
              </w:rPr>
              <w:t>3.24078</w:t>
            </w:r>
          </w:p>
        </w:tc>
      </w:tr>
      <w:tr w:rsidR="007B399B" w:rsidRPr="006C3164" w14:paraId="0D117D61"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31418910"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2004-2005</w:t>
            </w:r>
          </w:p>
        </w:tc>
        <w:tc>
          <w:tcPr>
            <w:tcW w:w="565" w:type="dxa"/>
            <w:tcBorders>
              <w:top w:val="nil"/>
              <w:left w:val="nil"/>
              <w:bottom w:val="single" w:sz="4" w:space="0" w:color="auto"/>
              <w:right w:val="single" w:sz="4" w:space="0" w:color="auto"/>
            </w:tcBorders>
            <w:shd w:val="clear" w:color="auto" w:fill="auto"/>
            <w:noWrap/>
            <w:vAlign w:val="bottom"/>
            <w:hideMark/>
          </w:tcPr>
          <w:p w14:paraId="3A3404F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1.1</w:t>
            </w:r>
          </w:p>
        </w:tc>
        <w:tc>
          <w:tcPr>
            <w:tcW w:w="883" w:type="dxa"/>
            <w:tcBorders>
              <w:top w:val="nil"/>
              <w:left w:val="nil"/>
              <w:bottom w:val="single" w:sz="4" w:space="0" w:color="auto"/>
              <w:right w:val="single" w:sz="4" w:space="0" w:color="auto"/>
            </w:tcBorders>
            <w:shd w:val="clear" w:color="auto" w:fill="auto"/>
            <w:noWrap/>
            <w:vAlign w:val="bottom"/>
            <w:hideMark/>
          </w:tcPr>
          <w:p w14:paraId="78AECBD2"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9E-04</w:t>
            </w:r>
          </w:p>
        </w:tc>
        <w:tc>
          <w:tcPr>
            <w:tcW w:w="986" w:type="dxa"/>
            <w:tcBorders>
              <w:top w:val="nil"/>
              <w:left w:val="nil"/>
              <w:bottom w:val="single" w:sz="4" w:space="0" w:color="auto"/>
              <w:right w:val="single" w:sz="4" w:space="0" w:color="auto"/>
            </w:tcBorders>
            <w:shd w:val="clear" w:color="auto" w:fill="auto"/>
            <w:noWrap/>
            <w:vAlign w:val="bottom"/>
            <w:hideMark/>
          </w:tcPr>
          <w:p w14:paraId="64CE268E"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0.0009</w:t>
            </w:r>
          </w:p>
        </w:tc>
        <w:tc>
          <w:tcPr>
            <w:tcW w:w="1617" w:type="dxa"/>
            <w:tcBorders>
              <w:top w:val="single" w:sz="4" w:space="0" w:color="auto"/>
              <w:left w:val="nil"/>
              <w:bottom w:val="single" w:sz="4" w:space="0" w:color="auto"/>
              <w:right w:val="nil"/>
            </w:tcBorders>
            <w:vAlign w:val="bottom"/>
          </w:tcPr>
          <w:p w14:paraId="53AA0BBF"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3.159916</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3D918963"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2.97078</w:t>
            </w:r>
          </w:p>
        </w:tc>
        <w:tc>
          <w:tcPr>
            <w:tcW w:w="1310" w:type="dxa"/>
            <w:tcBorders>
              <w:top w:val="nil"/>
              <w:left w:val="nil"/>
              <w:bottom w:val="single" w:sz="4" w:space="0" w:color="auto"/>
              <w:right w:val="single" w:sz="4" w:space="0" w:color="auto"/>
            </w:tcBorders>
            <w:shd w:val="clear" w:color="auto" w:fill="auto"/>
            <w:noWrap/>
            <w:vAlign w:val="bottom"/>
            <w:hideMark/>
          </w:tcPr>
          <w:p w14:paraId="13505D21"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3.16851</w:t>
            </w:r>
          </w:p>
        </w:tc>
      </w:tr>
      <w:tr w:rsidR="007B399B" w:rsidRPr="006C3164" w14:paraId="226C1E67"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7303A32A"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2006-2007</w:t>
            </w:r>
          </w:p>
        </w:tc>
        <w:tc>
          <w:tcPr>
            <w:tcW w:w="565" w:type="dxa"/>
            <w:tcBorders>
              <w:top w:val="nil"/>
              <w:left w:val="nil"/>
              <w:bottom w:val="single" w:sz="4" w:space="0" w:color="auto"/>
              <w:right w:val="single" w:sz="4" w:space="0" w:color="auto"/>
            </w:tcBorders>
            <w:shd w:val="clear" w:color="auto" w:fill="auto"/>
            <w:noWrap/>
            <w:vAlign w:val="bottom"/>
            <w:hideMark/>
          </w:tcPr>
          <w:p w14:paraId="6D97738C"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0.5</w:t>
            </w:r>
          </w:p>
        </w:tc>
        <w:tc>
          <w:tcPr>
            <w:tcW w:w="883" w:type="dxa"/>
            <w:tcBorders>
              <w:top w:val="nil"/>
              <w:left w:val="nil"/>
              <w:bottom w:val="single" w:sz="4" w:space="0" w:color="auto"/>
              <w:right w:val="single" w:sz="4" w:space="0" w:color="auto"/>
            </w:tcBorders>
            <w:shd w:val="clear" w:color="auto" w:fill="auto"/>
            <w:noWrap/>
            <w:vAlign w:val="bottom"/>
            <w:hideMark/>
          </w:tcPr>
          <w:p w14:paraId="6638B446"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0.003</w:t>
            </w:r>
          </w:p>
        </w:tc>
        <w:tc>
          <w:tcPr>
            <w:tcW w:w="986" w:type="dxa"/>
            <w:tcBorders>
              <w:top w:val="nil"/>
              <w:left w:val="nil"/>
              <w:bottom w:val="single" w:sz="4" w:space="0" w:color="auto"/>
              <w:right w:val="single" w:sz="4" w:space="0" w:color="auto"/>
            </w:tcBorders>
            <w:shd w:val="clear" w:color="auto" w:fill="auto"/>
            <w:noWrap/>
            <w:vAlign w:val="bottom"/>
            <w:hideMark/>
          </w:tcPr>
          <w:p w14:paraId="2868C95B"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0.0064</w:t>
            </w:r>
          </w:p>
        </w:tc>
        <w:tc>
          <w:tcPr>
            <w:tcW w:w="1617" w:type="dxa"/>
            <w:tcBorders>
              <w:top w:val="single" w:sz="4" w:space="0" w:color="auto"/>
              <w:left w:val="nil"/>
              <w:bottom w:val="single" w:sz="4" w:space="0" w:color="auto"/>
              <w:right w:val="nil"/>
            </w:tcBorders>
            <w:vAlign w:val="bottom"/>
          </w:tcPr>
          <w:p w14:paraId="57017F6D"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4.071763</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6F824A7E"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2.99778</w:t>
            </w:r>
          </w:p>
        </w:tc>
        <w:tc>
          <w:tcPr>
            <w:tcW w:w="1310" w:type="dxa"/>
            <w:tcBorders>
              <w:top w:val="nil"/>
              <w:left w:val="nil"/>
              <w:bottom w:val="single" w:sz="4" w:space="0" w:color="auto"/>
              <w:right w:val="single" w:sz="4" w:space="0" w:color="auto"/>
            </w:tcBorders>
            <w:shd w:val="clear" w:color="auto" w:fill="auto"/>
            <w:noWrap/>
            <w:vAlign w:val="bottom"/>
            <w:hideMark/>
          </w:tcPr>
          <w:p w14:paraId="7470B211"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3.80458</w:t>
            </w:r>
          </w:p>
        </w:tc>
      </w:tr>
      <w:tr w:rsidR="007B399B" w:rsidRPr="006C3164" w14:paraId="5FA43D1F"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28D7225F"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b/>
                <w:color w:val="000000"/>
                <w:sz w:val="24"/>
                <w:szCs w:val="24"/>
                <w:u w:val="single"/>
              </w:rPr>
              <w:t>2008-2009</w:t>
            </w:r>
          </w:p>
        </w:tc>
        <w:tc>
          <w:tcPr>
            <w:tcW w:w="565" w:type="dxa"/>
            <w:tcBorders>
              <w:top w:val="nil"/>
              <w:left w:val="nil"/>
              <w:bottom w:val="single" w:sz="4" w:space="0" w:color="auto"/>
              <w:right w:val="single" w:sz="4" w:space="0" w:color="auto"/>
            </w:tcBorders>
            <w:shd w:val="clear" w:color="auto" w:fill="auto"/>
            <w:noWrap/>
            <w:vAlign w:val="bottom"/>
            <w:hideMark/>
          </w:tcPr>
          <w:p w14:paraId="604E5EE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0.3</w:t>
            </w:r>
          </w:p>
        </w:tc>
        <w:tc>
          <w:tcPr>
            <w:tcW w:w="883" w:type="dxa"/>
            <w:tcBorders>
              <w:top w:val="nil"/>
              <w:left w:val="nil"/>
              <w:bottom w:val="single" w:sz="4" w:space="0" w:color="auto"/>
              <w:right w:val="single" w:sz="4" w:space="0" w:color="auto"/>
            </w:tcBorders>
            <w:shd w:val="clear" w:color="auto" w:fill="auto"/>
            <w:noWrap/>
            <w:vAlign w:val="bottom"/>
            <w:hideMark/>
          </w:tcPr>
          <w:p w14:paraId="399B3C80"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0.010</w:t>
            </w:r>
          </w:p>
        </w:tc>
        <w:tc>
          <w:tcPr>
            <w:tcW w:w="986" w:type="dxa"/>
            <w:tcBorders>
              <w:top w:val="nil"/>
              <w:left w:val="nil"/>
              <w:bottom w:val="single" w:sz="4" w:space="0" w:color="auto"/>
              <w:right w:val="single" w:sz="4" w:space="0" w:color="auto"/>
            </w:tcBorders>
            <w:shd w:val="clear" w:color="auto" w:fill="auto"/>
            <w:noWrap/>
            <w:vAlign w:val="bottom"/>
            <w:hideMark/>
          </w:tcPr>
          <w:p w14:paraId="136CD50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b/>
                <w:color w:val="000000"/>
                <w:sz w:val="24"/>
                <w:szCs w:val="24"/>
                <w:u w:val="single"/>
              </w:rPr>
              <w:t>0.0328</w:t>
            </w:r>
          </w:p>
        </w:tc>
        <w:tc>
          <w:tcPr>
            <w:tcW w:w="1617" w:type="dxa"/>
            <w:tcBorders>
              <w:top w:val="single" w:sz="4" w:space="0" w:color="auto"/>
              <w:left w:val="nil"/>
              <w:bottom w:val="single" w:sz="4" w:space="0" w:color="auto"/>
              <w:right w:val="nil"/>
            </w:tcBorders>
            <w:vAlign w:val="bottom"/>
          </w:tcPr>
          <w:p w14:paraId="5134BE1D"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b/>
                <w:color w:val="000000"/>
                <w:sz w:val="24"/>
                <w:szCs w:val="24"/>
              </w:rPr>
              <w:t>4.320958</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6F6E3932"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2.96258</w:t>
            </w:r>
          </w:p>
        </w:tc>
        <w:tc>
          <w:tcPr>
            <w:tcW w:w="1310" w:type="dxa"/>
            <w:tcBorders>
              <w:top w:val="nil"/>
              <w:left w:val="nil"/>
              <w:bottom w:val="single" w:sz="4" w:space="0" w:color="auto"/>
              <w:right w:val="single" w:sz="4" w:space="0" w:color="auto"/>
            </w:tcBorders>
            <w:shd w:val="clear" w:color="auto" w:fill="auto"/>
            <w:noWrap/>
            <w:vAlign w:val="bottom"/>
            <w:hideMark/>
          </w:tcPr>
          <w:p w14:paraId="72952B1F"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b/>
                <w:color w:val="000000"/>
                <w:sz w:val="24"/>
                <w:szCs w:val="24"/>
              </w:rPr>
              <w:t>4.11278</w:t>
            </w:r>
          </w:p>
        </w:tc>
      </w:tr>
      <w:tr w:rsidR="007B399B" w:rsidRPr="006C3164" w14:paraId="5BFCF000" w14:textId="77777777" w:rsidTr="006947F1">
        <w:trPr>
          <w:trHeight w:val="29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3AC9A7A7"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2010-2011</w:t>
            </w:r>
          </w:p>
        </w:tc>
        <w:tc>
          <w:tcPr>
            <w:tcW w:w="565" w:type="dxa"/>
            <w:tcBorders>
              <w:top w:val="nil"/>
              <w:left w:val="nil"/>
              <w:bottom w:val="single" w:sz="4" w:space="0" w:color="auto"/>
              <w:right w:val="single" w:sz="4" w:space="0" w:color="auto"/>
            </w:tcBorders>
            <w:shd w:val="clear" w:color="auto" w:fill="auto"/>
            <w:noWrap/>
            <w:vAlign w:val="bottom"/>
            <w:hideMark/>
          </w:tcPr>
          <w:p w14:paraId="65317FE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0.4</w:t>
            </w:r>
          </w:p>
        </w:tc>
        <w:tc>
          <w:tcPr>
            <w:tcW w:w="883" w:type="dxa"/>
            <w:tcBorders>
              <w:top w:val="nil"/>
              <w:left w:val="nil"/>
              <w:bottom w:val="single" w:sz="4" w:space="0" w:color="auto"/>
              <w:right w:val="single" w:sz="4" w:space="0" w:color="auto"/>
            </w:tcBorders>
            <w:shd w:val="clear" w:color="auto" w:fill="auto"/>
            <w:noWrap/>
            <w:vAlign w:val="bottom"/>
            <w:hideMark/>
          </w:tcPr>
          <w:p w14:paraId="37043FF2"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0.006</w:t>
            </w:r>
          </w:p>
        </w:tc>
        <w:tc>
          <w:tcPr>
            <w:tcW w:w="986" w:type="dxa"/>
            <w:tcBorders>
              <w:top w:val="nil"/>
              <w:left w:val="nil"/>
              <w:bottom w:val="single" w:sz="4" w:space="0" w:color="auto"/>
              <w:right w:val="single" w:sz="4" w:space="0" w:color="auto"/>
            </w:tcBorders>
            <w:shd w:val="clear" w:color="auto" w:fill="auto"/>
            <w:noWrap/>
            <w:vAlign w:val="bottom"/>
            <w:hideMark/>
          </w:tcPr>
          <w:p w14:paraId="3915F2E4"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0.0145</w:t>
            </w:r>
          </w:p>
        </w:tc>
        <w:tc>
          <w:tcPr>
            <w:tcW w:w="1617" w:type="dxa"/>
            <w:tcBorders>
              <w:top w:val="single" w:sz="4" w:space="0" w:color="auto"/>
              <w:left w:val="nil"/>
              <w:bottom w:val="single" w:sz="4" w:space="0" w:color="auto"/>
              <w:right w:val="nil"/>
            </w:tcBorders>
            <w:vAlign w:val="bottom"/>
          </w:tcPr>
          <w:p w14:paraId="1A13F5B7"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3.937480</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AC61BA4"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2.84927</w:t>
            </w:r>
          </w:p>
        </w:tc>
        <w:tc>
          <w:tcPr>
            <w:tcW w:w="1310" w:type="dxa"/>
            <w:tcBorders>
              <w:top w:val="nil"/>
              <w:left w:val="nil"/>
              <w:bottom w:val="single" w:sz="4" w:space="0" w:color="auto"/>
              <w:right w:val="single" w:sz="4" w:space="0" w:color="auto"/>
            </w:tcBorders>
            <w:shd w:val="clear" w:color="auto" w:fill="auto"/>
            <w:noWrap/>
            <w:vAlign w:val="bottom"/>
            <w:hideMark/>
          </w:tcPr>
          <w:p w14:paraId="6D1F11DB"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3.87489</w:t>
            </w:r>
          </w:p>
        </w:tc>
      </w:tr>
      <w:tr w:rsidR="007B399B" w:rsidRPr="006C3164" w14:paraId="32CF72A0" w14:textId="77777777" w:rsidTr="006947F1">
        <w:trPr>
          <w:trHeight w:val="423"/>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11900A24" w14:textId="77777777" w:rsidR="007B399B" w:rsidRPr="007D6764" w:rsidRDefault="007B399B" w:rsidP="002E143B">
            <w:pPr>
              <w:spacing w:line="480" w:lineRule="auto"/>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2012-2013</w:t>
            </w:r>
          </w:p>
        </w:tc>
        <w:tc>
          <w:tcPr>
            <w:tcW w:w="565" w:type="dxa"/>
            <w:tcBorders>
              <w:top w:val="nil"/>
              <w:left w:val="nil"/>
              <w:bottom w:val="single" w:sz="4" w:space="0" w:color="auto"/>
              <w:right w:val="single" w:sz="4" w:space="0" w:color="auto"/>
            </w:tcBorders>
            <w:shd w:val="clear" w:color="auto" w:fill="auto"/>
            <w:noWrap/>
            <w:vAlign w:val="bottom"/>
            <w:hideMark/>
          </w:tcPr>
          <w:p w14:paraId="5DE1CE42"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0.6</w:t>
            </w:r>
          </w:p>
        </w:tc>
        <w:tc>
          <w:tcPr>
            <w:tcW w:w="883" w:type="dxa"/>
            <w:tcBorders>
              <w:top w:val="nil"/>
              <w:left w:val="nil"/>
              <w:bottom w:val="single" w:sz="4" w:space="0" w:color="auto"/>
              <w:right w:val="single" w:sz="4" w:space="0" w:color="auto"/>
            </w:tcBorders>
            <w:shd w:val="clear" w:color="auto" w:fill="auto"/>
            <w:noWrap/>
            <w:vAlign w:val="bottom"/>
            <w:hideMark/>
          </w:tcPr>
          <w:p w14:paraId="3AB2A93F"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0.001</w:t>
            </w:r>
          </w:p>
        </w:tc>
        <w:tc>
          <w:tcPr>
            <w:tcW w:w="986" w:type="dxa"/>
            <w:tcBorders>
              <w:top w:val="nil"/>
              <w:left w:val="nil"/>
              <w:bottom w:val="single" w:sz="4" w:space="0" w:color="auto"/>
              <w:right w:val="single" w:sz="4" w:space="0" w:color="auto"/>
            </w:tcBorders>
            <w:shd w:val="clear" w:color="auto" w:fill="auto"/>
            <w:noWrap/>
            <w:vAlign w:val="bottom"/>
            <w:hideMark/>
          </w:tcPr>
          <w:p w14:paraId="7313A59C" w14:textId="77777777" w:rsidR="007B399B" w:rsidRPr="007D6764" w:rsidRDefault="007B399B" w:rsidP="002E143B">
            <w:pPr>
              <w:spacing w:line="480" w:lineRule="auto"/>
              <w:jc w:val="right"/>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0.0025</w:t>
            </w:r>
          </w:p>
        </w:tc>
        <w:tc>
          <w:tcPr>
            <w:tcW w:w="1617" w:type="dxa"/>
            <w:tcBorders>
              <w:top w:val="single" w:sz="4" w:space="0" w:color="auto"/>
              <w:left w:val="nil"/>
              <w:bottom w:val="single" w:sz="4" w:space="0" w:color="auto"/>
              <w:right w:val="nil"/>
            </w:tcBorders>
            <w:vAlign w:val="bottom"/>
          </w:tcPr>
          <w:p w14:paraId="53C535B3"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3.488274</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4FAA00BF"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2.86441</w:t>
            </w:r>
          </w:p>
        </w:tc>
        <w:tc>
          <w:tcPr>
            <w:tcW w:w="1310" w:type="dxa"/>
            <w:tcBorders>
              <w:top w:val="nil"/>
              <w:left w:val="nil"/>
              <w:bottom w:val="single" w:sz="4" w:space="0" w:color="auto"/>
              <w:right w:val="single" w:sz="4" w:space="0" w:color="auto"/>
            </w:tcBorders>
            <w:shd w:val="clear" w:color="auto" w:fill="auto"/>
            <w:noWrap/>
            <w:vAlign w:val="bottom"/>
            <w:hideMark/>
          </w:tcPr>
          <w:p w14:paraId="47EB8EBB" w14:textId="77777777" w:rsidR="007B399B" w:rsidRPr="007D6764" w:rsidRDefault="007B399B" w:rsidP="002E143B">
            <w:pPr>
              <w:spacing w:line="480" w:lineRule="auto"/>
              <w:jc w:val="center"/>
              <w:rPr>
                <w:rFonts w:ascii="Times New Roman" w:eastAsia="Times New Roman" w:hAnsi="Times New Roman" w:cs="Times New Roman"/>
                <w:color w:val="000000"/>
                <w:sz w:val="24"/>
                <w:szCs w:val="24"/>
              </w:rPr>
            </w:pPr>
            <w:r w:rsidRPr="007D6764">
              <w:rPr>
                <w:rFonts w:ascii="Times New Roman" w:eastAsia="Times New Roman" w:hAnsi="Times New Roman" w:cs="Times New Roman"/>
                <w:color w:val="000000"/>
                <w:sz w:val="24"/>
                <w:szCs w:val="24"/>
              </w:rPr>
              <w:t>3.25203</w:t>
            </w:r>
          </w:p>
        </w:tc>
      </w:tr>
    </w:tbl>
    <w:p w14:paraId="5B6D4408" w14:textId="77777777" w:rsidR="007B399B" w:rsidRDefault="007B399B" w:rsidP="007B399B">
      <w:pPr>
        <w:spacing w:line="360" w:lineRule="auto"/>
        <w:rPr>
          <w:rFonts w:ascii="Times New Roman" w:hAnsi="Times New Roman" w:cs="Times New Roman"/>
          <w:sz w:val="24"/>
          <w:szCs w:val="24"/>
        </w:rPr>
      </w:pPr>
    </w:p>
    <w:p w14:paraId="09D7D3EE" w14:textId="77777777" w:rsidR="007B399B" w:rsidRDefault="007B399B" w:rsidP="007B399B">
      <w:pPr>
        <w:spacing w:line="360" w:lineRule="auto"/>
        <w:rPr>
          <w:rFonts w:ascii="Times New Roman" w:hAnsi="Times New Roman" w:cs="Times New Roman"/>
          <w:sz w:val="24"/>
          <w:szCs w:val="24"/>
        </w:rPr>
      </w:pPr>
    </w:p>
    <w:p w14:paraId="37EA0FF4" w14:textId="77777777" w:rsidR="007B399B" w:rsidRDefault="007B399B" w:rsidP="007B399B">
      <w:pPr>
        <w:spacing w:line="360" w:lineRule="auto"/>
        <w:rPr>
          <w:rFonts w:ascii="Times New Roman" w:hAnsi="Times New Roman" w:cs="Times New Roman"/>
          <w:sz w:val="24"/>
          <w:szCs w:val="24"/>
        </w:rPr>
      </w:pPr>
    </w:p>
    <w:p w14:paraId="2972C9DA" w14:textId="77777777" w:rsidR="007B399B" w:rsidRDefault="007B399B" w:rsidP="007B399B">
      <w:pPr>
        <w:spacing w:line="360" w:lineRule="auto"/>
        <w:rPr>
          <w:rFonts w:ascii="Times New Roman" w:hAnsi="Times New Roman" w:cs="Times New Roman"/>
          <w:sz w:val="24"/>
          <w:szCs w:val="24"/>
        </w:rPr>
      </w:pPr>
    </w:p>
    <w:p w14:paraId="33B66B3D" w14:textId="77777777" w:rsidR="007B399B" w:rsidRDefault="007B399B" w:rsidP="007B399B">
      <w:pPr>
        <w:spacing w:line="360" w:lineRule="auto"/>
        <w:rPr>
          <w:rFonts w:ascii="Times New Roman" w:hAnsi="Times New Roman" w:cs="Times New Roman"/>
          <w:sz w:val="24"/>
          <w:szCs w:val="24"/>
        </w:rPr>
      </w:pPr>
    </w:p>
    <w:p w14:paraId="783CE217" w14:textId="77777777" w:rsidR="007B399B" w:rsidRDefault="007B399B" w:rsidP="007B399B">
      <w:pPr>
        <w:spacing w:line="360" w:lineRule="auto"/>
        <w:rPr>
          <w:rFonts w:ascii="Times New Roman" w:hAnsi="Times New Roman" w:cs="Times New Roman"/>
          <w:sz w:val="24"/>
          <w:szCs w:val="24"/>
        </w:rPr>
      </w:pPr>
    </w:p>
    <w:p w14:paraId="52BA91E0" w14:textId="77777777" w:rsidR="007B399B" w:rsidRDefault="007B399B" w:rsidP="007B399B">
      <w:pPr>
        <w:spacing w:line="360" w:lineRule="auto"/>
        <w:rPr>
          <w:rFonts w:ascii="Times New Roman" w:hAnsi="Times New Roman" w:cs="Times New Roman"/>
          <w:sz w:val="24"/>
          <w:szCs w:val="24"/>
        </w:rPr>
      </w:pPr>
    </w:p>
    <w:p w14:paraId="5A7B3296" w14:textId="77777777" w:rsidR="007B399B" w:rsidRDefault="007B399B" w:rsidP="007B399B">
      <w:pPr>
        <w:pStyle w:val="NoSpacing"/>
        <w:rPr>
          <w:rFonts w:cs="Arial"/>
          <w:sz w:val="20"/>
          <w:szCs w:val="20"/>
        </w:rPr>
      </w:pPr>
    </w:p>
    <w:p w14:paraId="43509A21" w14:textId="77777777" w:rsidR="007B399B" w:rsidRDefault="007B399B" w:rsidP="007B399B">
      <w:pPr>
        <w:pStyle w:val="NoSpacing"/>
        <w:rPr>
          <w:rFonts w:cs="Arial"/>
          <w:sz w:val="20"/>
          <w:szCs w:val="20"/>
        </w:rPr>
      </w:pPr>
    </w:p>
    <w:p w14:paraId="0635C493" w14:textId="77777777" w:rsidR="007B399B" w:rsidRDefault="007B399B" w:rsidP="007B399B">
      <w:pPr>
        <w:pStyle w:val="NoSpacing"/>
        <w:rPr>
          <w:rFonts w:cs="Arial"/>
          <w:sz w:val="20"/>
          <w:szCs w:val="20"/>
        </w:rPr>
      </w:pPr>
    </w:p>
    <w:p w14:paraId="57C2F40C" w14:textId="77777777" w:rsidR="007B399B" w:rsidRDefault="007B399B" w:rsidP="007B399B">
      <w:pPr>
        <w:pStyle w:val="NoSpacing"/>
        <w:rPr>
          <w:rFonts w:cs="Arial"/>
          <w:sz w:val="20"/>
          <w:szCs w:val="20"/>
        </w:rPr>
      </w:pPr>
    </w:p>
    <w:p w14:paraId="6D19567C" w14:textId="77777777" w:rsidR="007B399B" w:rsidRDefault="007B399B" w:rsidP="007B399B">
      <w:pPr>
        <w:pStyle w:val="NoSpacing"/>
        <w:rPr>
          <w:rFonts w:cs="Arial"/>
          <w:sz w:val="20"/>
          <w:szCs w:val="20"/>
        </w:rPr>
      </w:pPr>
    </w:p>
    <w:p w14:paraId="0017C2FE" w14:textId="77777777" w:rsidR="007B399B" w:rsidRDefault="007B399B" w:rsidP="007B399B">
      <w:pPr>
        <w:pStyle w:val="NoSpacing"/>
        <w:rPr>
          <w:rFonts w:cs="Arial"/>
          <w:sz w:val="20"/>
          <w:szCs w:val="20"/>
        </w:rPr>
      </w:pPr>
    </w:p>
    <w:p w14:paraId="2AA04C23" w14:textId="77777777" w:rsidR="007B399B" w:rsidRDefault="007B399B" w:rsidP="007B399B">
      <w:pPr>
        <w:pStyle w:val="NoSpacing"/>
        <w:rPr>
          <w:rFonts w:cs="Arial"/>
          <w:sz w:val="20"/>
          <w:szCs w:val="20"/>
        </w:rPr>
      </w:pPr>
    </w:p>
    <w:p w14:paraId="6295A797" w14:textId="6D85923A" w:rsidR="007B399B" w:rsidRPr="006947F1" w:rsidRDefault="007B399B" w:rsidP="007B399B">
      <w:pPr>
        <w:pStyle w:val="NoSpacing"/>
        <w:rPr>
          <w:rFonts w:ascii="Times New Roman" w:hAnsi="Times New Roman" w:cs="Times New Roman"/>
          <w:sz w:val="20"/>
          <w:szCs w:val="20"/>
        </w:rPr>
      </w:pPr>
      <w:r w:rsidRPr="006947F1">
        <w:rPr>
          <w:rFonts w:ascii="Times New Roman" w:hAnsi="Times New Roman" w:cs="Times New Roman"/>
          <w:sz w:val="20"/>
          <w:szCs w:val="20"/>
        </w:rPr>
        <w:t>Source: Dhesi et.al (201</w:t>
      </w:r>
      <w:r w:rsidR="00FF69EB">
        <w:rPr>
          <w:rFonts w:ascii="Times New Roman" w:hAnsi="Times New Roman" w:cs="Times New Roman"/>
          <w:sz w:val="20"/>
          <w:szCs w:val="20"/>
        </w:rPr>
        <w:t>9</w:t>
      </w:r>
      <w:r w:rsidRPr="006947F1">
        <w:rPr>
          <w:rFonts w:ascii="Times New Roman" w:hAnsi="Times New Roman" w:cs="Times New Roman"/>
          <w:sz w:val="20"/>
          <w:szCs w:val="20"/>
        </w:rPr>
        <w:t>) This data (50 bins in customised distribution) has chi-squared value of 614.26 (p-value=</w:t>
      </w:r>
      <w:r w:rsidRPr="006947F1">
        <w:rPr>
          <w:rFonts w:ascii="Times New Roman" w:eastAsia="Times New Roman" w:hAnsi="Times New Roman" w:cs="Times New Roman"/>
          <w:color w:val="000000"/>
          <w:sz w:val="20"/>
          <w:szCs w:val="20"/>
        </w:rPr>
        <w:t>7.6E-100</w:t>
      </w:r>
      <w:r w:rsidRPr="006947F1">
        <w:rPr>
          <w:rFonts w:ascii="Times New Roman" w:hAnsi="Times New Roman" w:cs="Times New Roman"/>
          <w:sz w:val="20"/>
          <w:szCs w:val="20"/>
        </w:rPr>
        <w:t>) for GBM and 88.4(p-value= 0.00012) for MBMM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optimal</m:t>
            </m:r>
          </m:sub>
        </m:sSub>
        <m:r>
          <w:rPr>
            <w:rFonts w:ascii="Cambria Math" w:hAnsi="Cambria Math" w:cs="Times New Roman"/>
            <w:sz w:val="20"/>
            <w:szCs w:val="20"/>
          </w:rPr>
          <m:t xml:space="preserve">=-30.8 &amp;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optimal</m:t>
            </m:r>
          </m:sub>
        </m:sSub>
        <m:r>
          <w:rPr>
            <w:rFonts w:ascii="Cambria Math" w:hAnsi="Cambria Math" w:cs="Times New Roman"/>
            <w:sz w:val="20"/>
            <w:szCs w:val="20"/>
          </w:rPr>
          <m:t>=0.2</m:t>
        </m:r>
      </m:oMath>
      <w:r w:rsidRPr="006947F1">
        <w:rPr>
          <w:rFonts w:ascii="Times New Roman" w:hAnsi="Times New Roman" w:cs="Times New Roman"/>
          <w:sz w:val="20"/>
          <w:szCs w:val="20"/>
        </w:rPr>
        <w:t>). Kurtosis for the customised historical data is 4.95 and the modelled Kurtosis from MBMM is 4.32.</w:t>
      </w:r>
    </w:p>
    <w:p w14:paraId="224B4145" w14:textId="77777777" w:rsidR="007B399B" w:rsidRDefault="007B399B" w:rsidP="007B399B">
      <w:pPr>
        <w:spacing w:line="360" w:lineRule="auto"/>
        <w:rPr>
          <w:rFonts w:ascii="Times New Roman" w:hAnsi="Times New Roman" w:cs="Times New Roman"/>
          <w:sz w:val="24"/>
          <w:szCs w:val="24"/>
        </w:rPr>
      </w:pPr>
    </w:p>
    <w:p w14:paraId="3C13BFBF" w14:textId="77777777" w:rsidR="007B399B" w:rsidRPr="00446C40" w:rsidRDefault="007B399B" w:rsidP="007B399B">
      <w:pPr>
        <w:spacing w:line="360" w:lineRule="auto"/>
        <w:jc w:val="both"/>
        <w:rPr>
          <w:rFonts w:ascii="Times New Roman" w:hAnsi="Times New Roman" w:cs="Times New Roman"/>
          <w:sz w:val="24"/>
          <w:szCs w:val="24"/>
        </w:rPr>
      </w:pPr>
      <w:r w:rsidRPr="00446C40">
        <w:rPr>
          <w:rFonts w:ascii="Times New Roman" w:hAnsi="Times New Roman" w:cs="Times New Roman"/>
          <w:sz w:val="24"/>
          <w:szCs w:val="24"/>
        </w:rPr>
        <w:t xml:space="preserve">According to Dhesi et. al (2016) the table above represent the MBMM was applied on big (i.e., fifty year) monthly data sets were tested, and it is observed that here again MBMM provides a </w:t>
      </w:r>
      <w:r w:rsidRPr="00446C40">
        <w:rPr>
          <w:rFonts w:ascii="Times New Roman" w:hAnsi="Times New Roman" w:cs="Times New Roman"/>
          <w:sz w:val="24"/>
          <w:szCs w:val="24"/>
        </w:rPr>
        <w:lastRenderedPageBreak/>
        <w:t>superior fit. to observe the output for optimal values of K and c. A significant reduction in chi-squared value shows huge improvement in p-value, indicates that MBMM provides a closer fit to historic data as compared to GBM. Further research is being carried out on how to model highly turbulent time series returns distributions.</w:t>
      </w:r>
    </w:p>
    <w:p w14:paraId="5CAFC765" w14:textId="77777777" w:rsidR="007B399B" w:rsidRPr="004D39F6" w:rsidRDefault="007B399B" w:rsidP="007B399B">
      <w:pPr>
        <w:spacing w:line="360" w:lineRule="auto"/>
        <w:rPr>
          <w:rFonts w:ascii="Times New Roman" w:hAnsi="Times New Roman" w:cs="Times New Roman"/>
          <w:sz w:val="24"/>
          <w:szCs w:val="24"/>
        </w:rPr>
      </w:pPr>
      <w:r w:rsidRPr="004D39F6">
        <w:rPr>
          <w:rFonts w:ascii="Times New Roman" w:hAnsi="Times New Roman" w:cs="Times New Roman"/>
          <w:sz w:val="24"/>
          <w:szCs w:val="24"/>
        </w:rPr>
        <w:t xml:space="preserve">Dhesi </w:t>
      </w:r>
      <w:r w:rsidRPr="004D39F6">
        <w:rPr>
          <w:rFonts w:ascii="Times New Roman" w:hAnsi="Times New Roman" w:cs="Times New Roman"/>
          <w:i/>
          <w:sz w:val="24"/>
          <w:szCs w:val="24"/>
        </w:rPr>
        <w:t>et al</w:t>
      </w:r>
      <w:r w:rsidRPr="004D39F6">
        <w:rPr>
          <w:rFonts w:ascii="Times New Roman" w:hAnsi="Times New Roman" w:cs="Times New Roman"/>
          <w:sz w:val="24"/>
          <w:szCs w:val="24"/>
        </w:rPr>
        <w:t>., (2018) provide a theoretical analysis of financial data to demonstrate the response function introduced in Irrational Fractional Brownian Motion model (IFBM) to render Geometric Brownian Motion model with more flexible is of validity and forecasting strength. This accurate for forecasting of fat tailed frequency distribution for returns.</w:t>
      </w:r>
    </w:p>
    <w:p w14:paraId="5E8152B1" w14:textId="77777777" w:rsidR="007B399B" w:rsidRPr="004D39F6" w:rsidRDefault="007B399B" w:rsidP="007B399B">
      <w:pPr>
        <w:spacing w:line="360" w:lineRule="auto"/>
        <w:rPr>
          <w:rFonts w:ascii="Times New Roman" w:hAnsi="Times New Roman" w:cs="Times New Roman"/>
          <w:sz w:val="24"/>
          <w:szCs w:val="24"/>
        </w:rPr>
      </w:pPr>
      <w:r w:rsidRPr="004D39F6">
        <w:rPr>
          <w:rFonts w:ascii="Times New Roman" w:hAnsi="Times New Roman" w:cs="Times New Roman"/>
          <w:sz w:val="24"/>
          <w:szCs w:val="24"/>
        </w:rPr>
        <w:t>Criteria for AR lag order selection</w:t>
      </w:r>
      <w:r>
        <w:rPr>
          <w:rFonts w:ascii="Times New Roman" w:hAnsi="Times New Roman" w:cs="Times New Roman"/>
          <w:sz w:val="24"/>
          <w:szCs w:val="24"/>
        </w:rPr>
        <w:t>.</w:t>
      </w:r>
      <w:r w:rsidRPr="004D39F6">
        <w:rPr>
          <w:rFonts w:ascii="Times New Roman" w:hAnsi="Times New Roman" w:cs="Times New Roman"/>
          <w:sz w:val="24"/>
          <w:szCs w:val="24"/>
        </w:rPr>
        <w:t xml:space="preserve"> </w:t>
      </w:r>
    </w:p>
    <w:p w14:paraId="224E4AD0" w14:textId="77777777" w:rsidR="007B399B" w:rsidRPr="004D39F6" w:rsidRDefault="007B399B" w:rsidP="007B399B">
      <w:pPr>
        <w:spacing w:line="360" w:lineRule="auto"/>
        <w:rPr>
          <w:rFonts w:ascii="Times New Roman" w:hAnsi="Times New Roman" w:cs="Times New Roman"/>
          <w:sz w:val="24"/>
          <w:szCs w:val="24"/>
        </w:rPr>
      </w:pPr>
    </w:p>
    <w:p w14:paraId="3098C05D" w14:textId="77777777" w:rsidR="007B399B" w:rsidRPr="004D39F6" w:rsidRDefault="007B399B" w:rsidP="007B399B">
      <w:pPr>
        <w:spacing w:line="360" w:lineRule="auto"/>
        <w:rPr>
          <w:rFonts w:ascii="Times New Roman" w:eastAsiaTheme="minorEastAsia" w:hAnsi="Times New Roman" w:cs="Times New Roman"/>
          <w:sz w:val="24"/>
          <w:szCs w:val="24"/>
        </w:rPr>
      </w:pPr>
      <w:r w:rsidRPr="004D39F6">
        <w:rPr>
          <w:rFonts w:ascii="Times New Roman" w:hAnsi="Times New Roman" w:cs="Times New Roman"/>
          <w:sz w:val="24"/>
          <w:szCs w:val="24"/>
        </w:rPr>
        <w:t xml:space="preserve">Assume that given set of data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eastAsiaTheme="minorEastAsia" w:hAnsi="Cambria Math" w:cs="Times New Roman"/>
            <w:sz w:val="24"/>
            <w:szCs w:val="24"/>
          </w:rPr>
          <m:t>)</m:t>
        </m:r>
      </m:oMath>
      <w:r w:rsidRPr="004D39F6">
        <w:rPr>
          <w:rFonts w:ascii="Times New Roman" w:eastAsiaTheme="minorEastAsia" w:hAnsi="Times New Roman" w:cs="Times New Roman"/>
          <w:sz w:val="24"/>
          <w:szCs w:val="24"/>
        </w:rPr>
        <w:t xml:space="preserve"> is generated by a stationary AR(p) process:</w:t>
      </w:r>
    </w:p>
    <w:p w14:paraId="6F188F77" w14:textId="77777777" w:rsidR="007B399B" w:rsidRPr="004D39F6" w:rsidRDefault="002C15FD" w:rsidP="007B399B">
      <w:pPr>
        <w:spacing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=c+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 xml:space="preserve"> </m:t>
          </m:r>
        </m:oMath>
      </m:oMathPara>
    </w:p>
    <w:p w14:paraId="1C44C6B6" w14:textId="77777777" w:rsidR="007B399B" w:rsidRPr="004D39F6" w:rsidRDefault="007B399B" w:rsidP="007B399B">
      <w:pPr>
        <w:spacing w:line="360" w:lineRule="auto"/>
        <w:rPr>
          <w:rFonts w:ascii="Times New Roman" w:eastAsiaTheme="minorEastAsia" w:hAnsi="Times New Roman" w:cs="Times New Roman"/>
          <w:sz w:val="24"/>
          <w:szCs w:val="24"/>
        </w:rPr>
      </w:pPr>
      <w:r w:rsidRPr="004D39F6">
        <w:rPr>
          <w:rFonts w:ascii="Times New Roman" w:eastAsiaTheme="minorEastAsia" w:hAnsi="Times New Roman" w:cs="Times New Roman"/>
          <w:sz w:val="24"/>
          <w:szCs w:val="24"/>
        </w:rPr>
        <w:t>Where c is defined by the following equation</w:t>
      </w:r>
    </w:p>
    <w:p w14:paraId="1587FEF9" w14:textId="77777777" w:rsidR="007B399B" w:rsidRPr="004D39F6" w:rsidRDefault="007B399B" w:rsidP="007B399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c=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e>
              </m:nary>
            </m:e>
          </m:d>
          <m:r>
            <w:rPr>
              <w:rFonts w:ascii="Cambria Math" w:eastAsiaTheme="minorEastAsia" w:hAnsi="Cambria Math" w:cs="Times New Roman"/>
              <w:sz w:val="24"/>
              <w:szCs w:val="24"/>
            </w:rPr>
            <m:t>μ</m:t>
          </m:r>
        </m:oMath>
      </m:oMathPara>
    </w:p>
    <w:p w14:paraId="1D4D5B8B" w14:textId="77777777" w:rsidR="007B399B" w:rsidRPr="004D39F6" w:rsidRDefault="007B399B" w:rsidP="007B399B">
      <w:pPr>
        <w:spacing w:line="360" w:lineRule="auto"/>
        <w:rPr>
          <w:rFonts w:ascii="Times New Roman" w:hAnsi="Times New Roman" w:cs="Times New Roman"/>
          <w:sz w:val="24"/>
          <w:szCs w:val="24"/>
        </w:rPr>
      </w:pPr>
      <w:r w:rsidRPr="004D39F6">
        <w:rPr>
          <w:rFonts w:ascii="Times New Roman" w:hAnsi="Times New Roman" w:cs="Times New Roman"/>
          <w:sz w:val="24"/>
          <w:szCs w:val="24"/>
        </w:rPr>
        <w:t xml:space="preserve">Where μ is the process mean,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r>
          <w:rPr>
            <w:rFonts w:ascii="Cambria Math" w:hAnsi="Cambria Math" w:cs="Times New Roman"/>
            <w:sz w:val="24"/>
            <w:szCs w:val="24"/>
          </w:rPr>
          <m:t xml:space="preserve"> i=1,……..p,</m:t>
        </m:r>
      </m:oMath>
      <w:r w:rsidRPr="004D39F6">
        <w:rPr>
          <w:rFonts w:ascii="Times New Roman" w:eastAsiaTheme="minorEastAsia" w:hAnsi="Times New Roman" w:cs="Times New Roman"/>
          <w:sz w:val="24"/>
          <w:szCs w:val="24"/>
        </w:rPr>
        <w:t xml:space="preserve"> are unknown parameters and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oMath>
      <w:r w:rsidRPr="004D39F6">
        <w:rPr>
          <w:rFonts w:ascii="Times New Roman" w:eastAsiaTheme="minorEastAsia" w:hAnsi="Times New Roman" w:cs="Times New Roman"/>
          <w:sz w:val="24"/>
          <w:szCs w:val="24"/>
        </w:rPr>
        <w:t xml:space="preserve"> is an error term. </w:t>
      </w:r>
      <w:r w:rsidRPr="004D39F6">
        <w:rPr>
          <w:rFonts w:ascii="Times New Roman" w:hAnsi="Times New Roman" w:cs="Times New Roman"/>
          <w:sz w:val="24"/>
          <w:szCs w:val="24"/>
        </w:rPr>
        <w:t xml:space="preserve">Here object is to find p, the true unknown lag order. It is assumed that there is a prior maximum order M, so that estimate for p can be any integer between 0,1, . . ., M. All prior studies of the issue, both theoretical and empirical, assume the errors to be normally distributed. </w:t>
      </w:r>
    </w:p>
    <w:p w14:paraId="0CA25682" w14:textId="192CD206" w:rsidR="0075381A" w:rsidRPr="004A2492" w:rsidRDefault="0075381A" w:rsidP="0075381A">
      <w:pPr>
        <w:pStyle w:val="Heading2"/>
      </w:pPr>
      <w:bookmarkStart w:id="201" w:name="_Toc90500011"/>
      <w:r w:rsidRPr="004A2492">
        <w:t>3.3.8 Model Selection</w:t>
      </w:r>
      <w:bookmarkEnd w:id="201"/>
      <w:r w:rsidRPr="004A2492">
        <w:t xml:space="preserve"> </w:t>
      </w:r>
    </w:p>
    <w:p w14:paraId="4ADD5E51" w14:textId="77777777" w:rsidR="0075381A" w:rsidRPr="00B06DC4" w:rsidRDefault="0075381A" w:rsidP="0075381A">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When comparing among different specification of ARMA-GARCH models, then we select an appropriate model based on Akaike Information Criteria (AIC).</w:t>
      </w:r>
    </w:p>
    <w:p w14:paraId="29781FE5" w14:textId="77777777" w:rsidR="0075381A" w:rsidRPr="00B06DC4" w:rsidRDefault="0075381A" w:rsidP="0075381A">
      <m:oMathPara>
        <m:oMathParaPr>
          <m:jc m:val="center"/>
        </m:oMathParaPr>
        <m:oMath>
          <m:r>
            <w:rPr>
              <w:rFonts w:ascii="Cambria Math" w:hAnsi="Cambria Math"/>
              <w:sz w:val="28"/>
              <w:szCs w:val="28"/>
            </w:rPr>
            <m:t xml:space="preserve">AIC = -2ln(L) + 2k          </m:t>
          </m:r>
        </m:oMath>
      </m:oMathPara>
    </w:p>
    <w:p w14:paraId="006C5F33" w14:textId="77777777" w:rsidR="0075381A" w:rsidRPr="00B06DC4" w:rsidRDefault="0075381A" w:rsidP="0075381A">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and can be computed with t</w:t>
      </w:r>
      <w:r w:rsidRPr="00B06DC4">
        <w:rPr>
          <w:rFonts w:ascii="Times New Roman" w:hAnsi="Times New Roman" w:cs="Times New Roman"/>
          <w:color w:val="202122"/>
          <w:sz w:val="24"/>
          <w:szCs w:val="24"/>
          <w:shd w:val="clear" w:color="auto" w:fill="FFFFFF"/>
        </w:rPr>
        <w:t>he Bayesian information criterion (BIC) or Schwarz information criterion (also SIC, SBC, SBIC) is a criterion for </w:t>
      </w:r>
      <w:r w:rsidRPr="00B06DC4">
        <w:rPr>
          <w:rFonts w:ascii="Times New Roman" w:hAnsi="Times New Roman" w:cs="Times New Roman"/>
          <w:sz w:val="24"/>
          <w:szCs w:val="24"/>
          <w:shd w:val="clear" w:color="auto" w:fill="FFFFFF"/>
        </w:rPr>
        <w:t>model selection</w:t>
      </w:r>
      <w:r w:rsidRPr="00B06DC4">
        <w:rPr>
          <w:rFonts w:ascii="Times New Roman" w:hAnsi="Times New Roman" w:cs="Times New Roman"/>
          <w:color w:val="202122"/>
          <w:sz w:val="24"/>
          <w:szCs w:val="24"/>
          <w:shd w:val="clear" w:color="auto" w:fill="FFFFFF"/>
        </w:rPr>
        <w:t xml:space="preserve"> among a finite set of models; </w:t>
      </w:r>
      <w:r w:rsidRPr="00B06DC4">
        <w:rPr>
          <w:rFonts w:ascii="Times New Roman" w:hAnsi="Times New Roman" w:cs="Times New Roman"/>
          <w:color w:val="202122"/>
          <w:sz w:val="24"/>
          <w:szCs w:val="24"/>
          <w:shd w:val="clear" w:color="auto" w:fill="FFFFFF"/>
        </w:rPr>
        <w:lastRenderedPageBreak/>
        <w:t>the model with the lowest BIC is preferred. It is based, in part, on the </w:t>
      </w:r>
      <w:r w:rsidRPr="00B06DC4">
        <w:rPr>
          <w:rFonts w:ascii="Times New Roman" w:hAnsi="Times New Roman" w:cs="Times New Roman"/>
          <w:sz w:val="24"/>
          <w:szCs w:val="24"/>
          <w:shd w:val="clear" w:color="auto" w:fill="FFFFFF"/>
        </w:rPr>
        <w:t>likelihood function</w:t>
      </w:r>
      <w:r w:rsidRPr="00B06DC4">
        <w:rPr>
          <w:rFonts w:ascii="Times New Roman" w:hAnsi="Times New Roman" w:cs="Times New Roman"/>
          <w:color w:val="202122"/>
          <w:sz w:val="24"/>
          <w:szCs w:val="24"/>
          <w:shd w:val="clear" w:color="auto" w:fill="FFFFFF"/>
        </w:rPr>
        <w:t> and it is closely related to the </w:t>
      </w:r>
      <w:r w:rsidRPr="00B06DC4">
        <w:rPr>
          <w:rFonts w:ascii="Times New Roman" w:hAnsi="Times New Roman" w:cs="Times New Roman"/>
          <w:sz w:val="24"/>
          <w:szCs w:val="24"/>
          <w:shd w:val="clear" w:color="auto" w:fill="FFFFFF"/>
        </w:rPr>
        <w:t>Akaike information criterion</w:t>
      </w:r>
      <w:r w:rsidRPr="00B06DC4">
        <w:rPr>
          <w:rFonts w:ascii="Times New Roman" w:hAnsi="Times New Roman" w:cs="Times New Roman"/>
          <w:color w:val="202122"/>
          <w:sz w:val="24"/>
          <w:szCs w:val="24"/>
          <w:shd w:val="clear" w:color="auto" w:fill="FFFFFF"/>
        </w:rPr>
        <w:t> (AIC).</w:t>
      </w:r>
      <w:r w:rsidRPr="00B06DC4">
        <w:rPr>
          <w:rFonts w:ascii="Times New Roman" w:hAnsi="Times New Roman" w:cs="Times New Roman"/>
          <w:sz w:val="24"/>
          <w:szCs w:val="24"/>
        </w:rPr>
        <w:t xml:space="preserve">   </w:t>
      </w:r>
    </w:p>
    <w:p w14:paraId="588CD42F" w14:textId="77777777" w:rsidR="0075381A" w:rsidRPr="00B06DC4" w:rsidRDefault="0075381A" w:rsidP="0075381A"/>
    <w:p w14:paraId="2DB4F2CE" w14:textId="77777777" w:rsidR="0075381A" w:rsidRPr="00B06DC4" w:rsidRDefault="0075381A" w:rsidP="0075381A">
      <w:pPr>
        <w:rPr>
          <w:sz w:val="28"/>
          <w:szCs w:val="28"/>
        </w:rPr>
      </w:pPr>
      <m:oMathPara>
        <m:oMath>
          <m:r>
            <w:rPr>
              <w:rFonts w:ascii="Cambria Math" w:hAnsi="Cambria Math"/>
              <w:sz w:val="28"/>
              <w:szCs w:val="28"/>
            </w:rPr>
            <m:t>BIC=  kln</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r>
            <m:rPr>
              <m:sty m:val="p"/>
            </m:rPr>
            <w:rPr>
              <w:rFonts w:ascii="Cambria Math" w:hAnsi="Cambria Math"/>
              <w:sz w:val="28"/>
              <w:szCs w:val="28"/>
            </w:rPr>
            <m:t>ln⁡</m:t>
          </m:r>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L</m:t>
              </m:r>
            </m:e>
          </m:acc>
          <m:r>
            <w:rPr>
              <w:rFonts w:ascii="Cambria Math" w:hAnsi="Cambria Math"/>
              <w:sz w:val="28"/>
              <w:szCs w:val="28"/>
            </w:rPr>
            <m:t>)</m:t>
          </m:r>
        </m:oMath>
      </m:oMathPara>
    </w:p>
    <w:p w14:paraId="11D3A513" w14:textId="77777777" w:rsidR="0075381A" w:rsidRPr="00B06DC4" w:rsidRDefault="0075381A" w:rsidP="0075381A">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Where L is the value of the likelihood function evaluated at the parameter estimates, N is the number of observations, and k is the number of estimated parameters. The minimum value of AIC, and BIC was selected as the better model when comparing among models, respectively. When comparing among ARMA-GARCH models, the smallest value of MSE, RMSE and MAPE are chosen as the best accurate forecast model.</w:t>
      </w:r>
    </w:p>
    <w:p w14:paraId="7F709461" w14:textId="77777777" w:rsidR="0075381A" w:rsidRPr="00B06DC4" w:rsidRDefault="0075381A" w:rsidP="0075381A">
      <w:pPr>
        <w:shd w:val="clear" w:color="auto" w:fill="FFFFFF"/>
        <w:spacing w:after="360" w:line="360" w:lineRule="auto"/>
        <w:jc w:val="both"/>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There are two main objectives in learning from data. One is for scientific discovery, understanding of the data-generation process, and interpretation of the nature of the data. A scientist, e.g., may use the data to support a physical model or identify genes that clearly promote early onset of a disease. Another objective of learning from data is for prediction, i.e., to quantitatively describe future observations. Here the data scientist does not necessarily care about obtaining an accurate probabilistic description of the data. Of course, one may also be interested in both directions.</w:t>
      </w:r>
    </w:p>
    <w:p w14:paraId="1CF93C36" w14:textId="77777777" w:rsidR="0075381A" w:rsidRPr="00B06DC4" w:rsidRDefault="0075381A" w:rsidP="0075381A">
      <w:pPr>
        <w:shd w:val="clear" w:color="auto" w:fill="FFFFFF"/>
        <w:spacing w:after="360" w:line="360" w:lineRule="auto"/>
        <w:jc w:val="both"/>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In tune with the two different objectives, model selection can also have two directions: model selection for inference and model selection for prediction. The first one is intended to identify the best model for the data, which hopefully provides a reliable characterization of the sources of uncertainty for scientific insight and interpretation and the second is to choose a model as a vehicle to arrive at a model or method that offers top performance. For the former goal, it is crucially important that the selected model is not too sensitive to the sample size. For the latter, however, the selected model may simply be the lucky winner among a few close competitors, yet the predictive performance can still be (nearly) the best possible. If so, the model selection is perfectly fine for the second goal (prediction), but the use of the selected model for insight and interpretation may be severely unreliable and misleading. Associated with the first goal of model selection for inference or identifying the best candidate is the following concept of selection consistency.</w:t>
      </w:r>
    </w:p>
    <w:p w14:paraId="2087978B" w14:textId="77777777" w:rsidR="0075381A" w:rsidRPr="00B06DC4" w:rsidRDefault="0075381A" w:rsidP="0075381A">
      <w:pPr>
        <w:pStyle w:val="NormalWeb"/>
        <w:shd w:val="clear" w:color="auto" w:fill="FFFFFF"/>
        <w:spacing w:before="0" w:beforeAutospacing="0" w:line="360" w:lineRule="auto"/>
        <w:jc w:val="both"/>
        <w:textAlignment w:val="baseline"/>
      </w:pPr>
      <w:r w:rsidRPr="00B06DC4">
        <w:t xml:space="preserve">Mainly, question implies that AIC or BIC which is one is the best. The AIC tries to select the model that most adequately describes an unknown, high dimensional reality. This means that </w:t>
      </w:r>
      <w:r w:rsidRPr="00B06DC4">
        <w:lastRenderedPageBreak/>
        <w:t>reality is never in the set of candidate models that are being considered. On the contrary, BIC tries to find the TRUE model among the set of candidates. I find it quite odd the assumption that reality is instantiated in one of the models that the researchers built along the way. This is a real issue for BIC.</w:t>
      </w:r>
    </w:p>
    <w:p w14:paraId="0CCD849E" w14:textId="77777777" w:rsidR="0075381A" w:rsidRPr="00B06DC4" w:rsidRDefault="0075381A" w:rsidP="0075381A">
      <w:pPr>
        <w:pStyle w:val="NormalWeb"/>
        <w:shd w:val="clear" w:color="auto" w:fill="FFFFFF"/>
        <w:spacing w:before="0" w:beforeAutospacing="0" w:line="360" w:lineRule="auto"/>
        <w:jc w:val="both"/>
        <w:textAlignment w:val="baseline"/>
      </w:pPr>
      <w:r w:rsidRPr="00B06DC4">
        <w:t>Nevertheless, there are a lot of researchers who say BIC is better than AIC, using model recovery simulations as an argument. These simulations consist of generating data from models A and B, and then fitting both datasets with the two models. Overfitting occurs when the wrong model fits the data better than the generating. The point of these simulations is to see how well AIC and BIC correct these overfits. Usually, the results point to the fact that AIC is too liberal and still frequently prefers a more complex, wrong model over a simpler, true model. At first glance these simulations seem to be really good arguments, but the problem with them is that they are meaningless for AIC. As I said before, AIC does not consider that any of the candidate models being tested is actually true. According to AIC, all models are approximations to reality, and reality should never have a low dimensionality. At least lower than some of the candidate models.</w:t>
      </w:r>
    </w:p>
    <w:p w14:paraId="43656210" w14:textId="77777777" w:rsidR="0075381A" w:rsidRPr="00B06DC4" w:rsidRDefault="0075381A" w:rsidP="0075381A">
      <w:pPr>
        <w:numPr>
          <w:ilvl w:val="0"/>
          <w:numId w:val="14"/>
        </w:numPr>
        <w:shd w:val="clear" w:color="auto" w:fill="FFFFFF"/>
        <w:spacing w:after="100" w:afterAutospacing="1" w:line="360" w:lineRule="auto"/>
        <w:ind w:left="450"/>
        <w:jc w:val="both"/>
        <w:textAlignment w:val="baseline"/>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AIC is best for prediction as it is asymptotically equivalent to cross-validation.</w:t>
      </w:r>
    </w:p>
    <w:p w14:paraId="236FD04A" w14:textId="77777777" w:rsidR="0075381A" w:rsidRPr="00B06DC4" w:rsidRDefault="0075381A" w:rsidP="0075381A">
      <w:pPr>
        <w:numPr>
          <w:ilvl w:val="0"/>
          <w:numId w:val="14"/>
        </w:numPr>
        <w:shd w:val="clear" w:color="auto" w:fill="FFFFFF"/>
        <w:spacing w:after="0" w:line="360" w:lineRule="auto"/>
        <w:ind w:left="450"/>
        <w:jc w:val="both"/>
        <w:textAlignment w:val="baseline"/>
        <w:rPr>
          <w:rFonts w:ascii="Times New Roman" w:eastAsia="Times New Roman" w:hAnsi="Times New Roman" w:cs="Times New Roman"/>
          <w:sz w:val="24"/>
          <w:szCs w:val="24"/>
          <w:lang w:eastAsia="en-GB"/>
        </w:rPr>
      </w:pPr>
      <w:r w:rsidRPr="00B06DC4">
        <w:rPr>
          <w:rFonts w:ascii="Times New Roman" w:eastAsia="Times New Roman" w:hAnsi="Times New Roman" w:cs="Times New Roman"/>
          <w:sz w:val="24"/>
          <w:szCs w:val="24"/>
          <w:lang w:eastAsia="en-GB"/>
        </w:rPr>
        <w:t>BIC is best for explanation as it allows consistent estimation of the underlying data generating process.</w:t>
      </w:r>
    </w:p>
    <w:p w14:paraId="13965D82" w14:textId="77777777" w:rsidR="0075381A" w:rsidRPr="00B06DC4" w:rsidRDefault="0075381A" w:rsidP="0075381A">
      <w:pPr>
        <w:pStyle w:val="NormalWeb"/>
        <w:shd w:val="clear" w:color="auto" w:fill="FFFFFF"/>
        <w:spacing w:before="0" w:beforeAutospacing="0" w:line="360" w:lineRule="auto"/>
        <w:jc w:val="both"/>
        <w:textAlignment w:val="baseline"/>
        <w:rPr>
          <w:shd w:val="clear" w:color="auto" w:fill="FFFFFF"/>
        </w:rPr>
      </w:pPr>
    </w:p>
    <w:p w14:paraId="0A8E07AA" w14:textId="77777777" w:rsidR="0075381A" w:rsidRPr="00B564F1" w:rsidRDefault="0075381A" w:rsidP="0075381A">
      <w:pPr>
        <w:pStyle w:val="NormalWeb"/>
        <w:shd w:val="clear" w:color="auto" w:fill="FFFFFF"/>
        <w:spacing w:before="0" w:beforeAutospacing="0" w:line="360" w:lineRule="auto"/>
        <w:jc w:val="both"/>
        <w:textAlignment w:val="baseline"/>
      </w:pPr>
      <w:r w:rsidRPr="00B06DC4">
        <w:rPr>
          <w:shd w:val="clear" w:color="auto" w:fill="FFFFFF"/>
        </w:rPr>
        <w:t>The AIC and BIC are both methods of assessing model fit penalized for the number of estimated parameters. As I understand it, BIC penalizes models more for free parameters than does AIC. Beyond a preference based on the stringency of the criteria.</w:t>
      </w:r>
    </w:p>
    <w:p w14:paraId="3BBDA91B" w14:textId="77777777" w:rsidR="007B399B" w:rsidRPr="006C3164" w:rsidRDefault="007B399B" w:rsidP="007B399B">
      <w:pPr>
        <w:spacing w:line="360" w:lineRule="auto"/>
        <w:jc w:val="both"/>
        <w:rPr>
          <w:rFonts w:ascii="Arial" w:hAnsi="Arial"/>
          <w:sz w:val="24"/>
          <w:szCs w:val="24"/>
        </w:rPr>
      </w:pPr>
    </w:p>
    <w:p w14:paraId="760D40D4" w14:textId="77777777" w:rsidR="007B399B" w:rsidRDefault="007B399B" w:rsidP="007B399B">
      <w:pPr>
        <w:spacing w:line="360" w:lineRule="auto"/>
        <w:rPr>
          <w:rFonts w:ascii="Times New Roman" w:hAnsi="Times New Roman" w:cs="Times New Roman"/>
          <w:sz w:val="24"/>
          <w:szCs w:val="24"/>
        </w:rPr>
      </w:pPr>
    </w:p>
    <w:p w14:paraId="757D04EA" w14:textId="77777777" w:rsidR="007B399B" w:rsidRDefault="007B399B" w:rsidP="007B399B">
      <w:pPr>
        <w:spacing w:line="360" w:lineRule="auto"/>
        <w:rPr>
          <w:rFonts w:ascii="Times New Roman" w:hAnsi="Times New Roman" w:cs="Times New Roman"/>
          <w:sz w:val="24"/>
          <w:szCs w:val="24"/>
        </w:rPr>
      </w:pPr>
    </w:p>
    <w:p w14:paraId="5832879B" w14:textId="77777777" w:rsidR="007B399B" w:rsidRDefault="007B399B" w:rsidP="007B399B">
      <w:pPr>
        <w:spacing w:line="360" w:lineRule="auto"/>
        <w:rPr>
          <w:rFonts w:ascii="Times New Roman" w:hAnsi="Times New Roman" w:cs="Times New Roman"/>
          <w:sz w:val="24"/>
          <w:szCs w:val="24"/>
        </w:rPr>
      </w:pPr>
    </w:p>
    <w:p w14:paraId="2589363A" w14:textId="77777777" w:rsidR="007B399B" w:rsidRDefault="007B399B" w:rsidP="007B399B">
      <w:pPr>
        <w:shd w:val="clear" w:color="auto" w:fill="FFFFFF"/>
        <w:rPr>
          <w:rFonts w:ascii="Arial" w:eastAsia="Times New Roman" w:hAnsi="Arial"/>
          <w:sz w:val="30"/>
          <w:szCs w:val="30"/>
        </w:rPr>
      </w:pPr>
    </w:p>
    <w:p w14:paraId="6B8E33DE" w14:textId="77777777" w:rsidR="007B399B" w:rsidRDefault="007B399B" w:rsidP="007B399B">
      <w:pPr>
        <w:pStyle w:val="Heading1"/>
        <w:rPr>
          <w:rFonts w:ascii="Arial" w:eastAsia="Times New Roman" w:hAnsi="Arial"/>
          <w:sz w:val="30"/>
          <w:szCs w:val="30"/>
        </w:rPr>
      </w:pPr>
      <w:bookmarkStart w:id="202" w:name="_Toc90500012"/>
      <w:r>
        <w:lastRenderedPageBreak/>
        <w:t>3.4 Data and Preliminary Analysis</w:t>
      </w:r>
      <w:bookmarkEnd w:id="202"/>
    </w:p>
    <w:p w14:paraId="4968BD3D" w14:textId="77777777" w:rsidR="007B399B" w:rsidRDefault="007B399B" w:rsidP="007B399B">
      <w:pPr>
        <w:pStyle w:val="Heading2"/>
      </w:pPr>
      <w:bookmarkStart w:id="203" w:name="_Toc90500013"/>
      <w:r>
        <w:t xml:space="preserve">3.4.1 </w:t>
      </w:r>
      <w:r w:rsidRPr="00B44D0D">
        <w:t xml:space="preserve">Data </w:t>
      </w:r>
      <w:r>
        <w:t>description</w:t>
      </w:r>
      <w:bookmarkEnd w:id="203"/>
      <w:r>
        <w:t xml:space="preserve"> </w:t>
      </w:r>
      <w:r w:rsidRPr="00B44D0D">
        <w:t xml:space="preserve"> </w:t>
      </w:r>
    </w:p>
    <w:p w14:paraId="5230B516" w14:textId="77777777" w:rsidR="007B399B" w:rsidRPr="00446C40" w:rsidRDefault="007B399B" w:rsidP="007B399B">
      <w:pPr>
        <w:spacing w:line="360" w:lineRule="auto"/>
        <w:jc w:val="both"/>
        <w:rPr>
          <w:rFonts w:ascii="Times New Roman" w:hAnsi="Times New Roman" w:cs="Times New Roman"/>
          <w:sz w:val="24"/>
          <w:szCs w:val="24"/>
        </w:rPr>
      </w:pPr>
      <w:r w:rsidRPr="00446C40">
        <w:rPr>
          <w:rFonts w:ascii="Times New Roman" w:hAnsi="Times New Roman" w:cs="Times New Roman"/>
          <w:sz w:val="24"/>
          <w:szCs w:val="24"/>
        </w:rPr>
        <w:t xml:space="preserve">The data collection for this study is ranged from January 1990 until December 2013, S&amp;P 500 daily data and distributed into two years window, it is collected from the Bloomberg, Thompson, Banker One and DataStream. The data sample includes the period of the crisis as well. This sample period of two years windows allows an evaluation of the dynamics of the market prior to the collapse of the financial system and the persistence of the liquidity shocks in the crisis period. </w:t>
      </w:r>
    </w:p>
    <w:p w14:paraId="319FE45C"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p>
    <w:p w14:paraId="5E086F51" w14:textId="14C82E9F"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 xml:space="preserve">In this section the results of the modified (IFBM) GARCH models are analyse and quantify the impact of macroeconomic factors from the aspect of investment activities on financial market (however, full details of GARCH (1,1) and simulated GARCH are presents in appendix </w:t>
      </w:r>
      <w:r w:rsidR="00EF0502">
        <w:rPr>
          <w:rFonts w:ascii="Times New Roman" w:eastAsia="Times New Roman" w:hAnsi="Times New Roman" w:cs="Times New Roman"/>
          <w:sz w:val="24"/>
          <w:szCs w:val="24"/>
        </w:rPr>
        <w:t>3</w:t>
      </w:r>
      <w:r w:rsidR="007F0C39">
        <w:rPr>
          <w:rFonts w:ascii="Times New Roman" w:eastAsia="Times New Roman" w:hAnsi="Times New Roman" w:cs="Times New Roman"/>
          <w:sz w:val="24"/>
          <w:szCs w:val="24"/>
        </w:rPr>
        <w:t>.1</w:t>
      </w:r>
      <w:r w:rsidRPr="00446C40">
        <w:rPr>
          <w:rFonts w:ascii="Times New Roman" w:eastAsia="Times New Roman" w:hAnsi="Times New Roman" w:cs="Times New Roman"/>
          <w:sz w:val="24"/>
          <w:szCs w:val="24"/>
        </w:rPr>
        <w:t>). For each observed window, the best modified (IFBM) GARCH model has been selected and results compared with historic and simulated returns for entire observation period. Afterwards, the residual motion is graphically presented.</w:t>
      </w:r>
    </w:p>
    <w:p w14:paraId="04A364B9" w14:textId="77777777" w:rsidR="007B399B" w:rsidRPr="00D30A65"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Furthermore, t</w:t>
      </w:r>
      <w:r w:rsidRPr="00D30A65">
        <w:rPr>
          <w:rFonts w:ascii="Times New Roman" w:eastAsia="Times New Roman" w:hAnsi="Times New Roman" w:cs="Times New Roman"/>
          <w:sz w:val="24"/>
          <w:szCs w:val="24"/>
        </w:rPr>
        <w:t>he research sample includes daily values</w:t>
      </w:r>
      <w:r w:rsidRPr="00446C40">
        <w:rPr>
          <w:rFonts w:ascii="Times New Roman" w:eastAsia="Times New Roman" w:hAnsi="Times New Roman" w:cs="Times New Roman"/>
          <w:sz w:val="24"/>
          <w:szCs w:val="24"/>
        </w:rPr>
        <w:t xml:space="preserve">, divided in two years window </w:t>
      </w:r>
      <w:r w:rsidRPr="00D30A65">
        <w:rPr>
          <w:rFonts w:ascii="Times New Roman" w:eastAsia="Times New Roman" w:hAnsi="Times New Roman" w:cs="Times New Roman"/>
          <w:sz w:val="24"/>
          <w:szCs w:val="24"/>
        </w:rPr>
        <w:t xml:space="preserve">and calculated return rates for the </w:t>
      </w:r>
      <w:r w:rsidRPr="00446C40">
        <w:rPr>
          <w:rFonts w:ascii="Times New Roman" w:eastAsia="Times New Roman" w:hAnsi="Times New Roman" w:cs="Times New Roman"/>
          <w:sz w:val="24"/>
          <w:szCs w:val="24"/>
        </w:rPr>
        <w:t xml:space="preserve">S&amp;P 500. </w:t>
      </w:r>
      <w:r w:rsidRPr="00D30A65">
        <w:rPr>
          <w:rFonts w:ascii="Times New Roman" w:eastAsia="Times New Roman" w:hAnsi="Times New Roman" w:cs="Times New Roman"/>
          <w:sz w:val="24"/>
          <w:szCs w:val="24"/>
        </w:rPr>
        <w:t xml:space="preserve">The research timeline covers the period from January 1, </w:t>
      </w:r>
      <w:r w:rsidRPr="00446C40">
        <w:rPr>
          <w:rFonts w:ascii="Times New Roman" w:eastAsia="Times New Roman" w:hAnsi="Times New Roman" w:cs="Times New Roman"/>
          <w:sz w:val="24"/>
          <w:szCs w:val="24"/>
        </w:rPr>
        <w:t>1990</w:t>
      </w:r>
      <w:r w:rsidRPr="00D30A65">
        <w:rPr>
          <w:rFonts w:ascii="Times New Roman" w:eastAsia="Times New Roman" w:hAnsi="Times New Roman" w:cs="Times New Roman"/>
          <w:sz w:val="24"/>
          <w:szCs w:val="24"/>
        </w:rPr>
        <w:t>, to December 31, 201</w:t>
      </w:r>
      <w:r w:rsidRPr="00446C40">
        <w:rPr>
          <w:rFonts w:ascii="Times New Roman" w:eastAsia="Times New Roman" w:hAnsi="Times New Roman" w:cs="Times New Roman"/>
          <w:sz w:val="24"/>
          <w:szCs w:val="24"/>
        </w:rPr>
        <w:t>3</w:t>
      </w:r>
      <w:r w:rsidRPr="00D30A65">
        <w:rPr>
          <w:rFonts w:ascii="Times New Roman" w:eastAsia="Times New Roman" w:hAnsi="Times New Roman" w:cs="Times New Roman"/>
          <w:sz w:val="24"/>
          <w:szCs w:val="24"/>
        </w:rPr>
        <w:t xml:space="preserve">. The width of the time horizon allows testing of the model effects in the period </w:t>
      </w:r>
      <w:r w:rsidRPr="00446C40">
        <w:rPr>
          <w:rFonts w:ascii="Times New Roman" w:eastAsia="Times New Roman" w:hAnsi="Times New Roman" w:cs="Times New Roman"/>
          <w:sz w:val="24"/>
          <w:szCs w:val="24"/>
        </w:rPr>
        <w:t xml:space="preserve">without effecting parameters, </w:t>
      </w:r>
      <w:r w:rsidRPr="00D30A65">
        <w:rPr>
          <w:rFonts w:ascii="Times New Roman" w:eastAsia="Times New Roman" w:hAnsi="Times New Roman" w:cs="Times New Roman"/>
          <w:sz w:val="24"/>
          <w:szCs w:val="24"/>
        </w:rPr>
        <w:t xml:space="preserve">the global economic and financial crisis. </w:t>
      </w:r>
    </w:p>
    <w:p w14:paraId="0B5BCF13" w14:textId="4F538CAB" w:rsidR="007B399B" w:rsidRPr="00446C40" w:rsidRDefault="007B399B" w:rsidP="007B399B">
      <w:pPr>
        <w:spacing w:line="360" w:lineRule="auto"/>
        <w:jc w:val="both"/>
        <w:rPr>
          <w:rFonts w:ascii="Times New Roman" w:hAnsi="Times New Roman" w:cs="Times New Roman"/>
          <w:sz w:val="24"/>
          <w:szCs w:val="24"/>
        </w:rPr>
      </w:pPr>
      <w:r w:rsidRPr="00446C40">
        <w:rPr>
          <w:rFonts w:ascii="Times New Roman" w:hAnsi="Times New Roman" w:cs="Times New Roman"/>
          <w:sz w:val="24"/>
          <w:szCs w:val="24"/>
        </w:rPr>
        <w:t xml:space="preserve">Sample results of data between 1990-1991 are stated below. However, detail of complete data set from January 1990 until December 2013, S&amp;P 500 daily data and distributed into two years window are presented in appendix </w:t>
      </w:r>
      <w:r w:rsidR="007F0C39">
        <w:rPr>
          <w:rFonts w:ascii="Times New Roman" w:hAnsi="Times New Roman" w:cs="Times New Roman"/>
          <w:sz w:val="24"/>
          <w:szCs w:val="24"/>
        </w:rPr>
        <w:t>3.</w:t>
      </w:r>
      <w:r w:rsidRPr="00446C40">
        <w:rPr>
          <w:rFonts w:ascii="Times New Roman" w:hAnsi="Times New Roman" w:cs="Times New Roman"/>
          <w:sz w:val="24"/>
          <w:szCs w:val="24"/>
        </w:rPr>
        <w:t xml:space="preserve">1. </w:t>
      </w:r>
    </w:p>
    <w:p w14:paraId="5C23B26A" w14:textId="77777777" w:rsidR="007B399B" w:rsidRDefault="007B399B" w:rsidP="007B399B">
      <w:pPr>
        <w:spacing w:line="360" w:lineRule="auto"/>
        <w:rPr>
          <w:rFonts w:ascii="Times New Roman" w:hAnsi="Times New Roman" w:cs="Times New Roman"/>
          <w:sz w:val="24"/>
          <w:szCs w:val="24"/>
        </w:rPr>
      </w:pPr>
    </w:p>
    <w:p w14:paraId="7A3DA19E" w14:textId="1C9D1CE0" w:rsidR="00EF0502" w:rsidRPr="00EF0502" w:rsidRDefault="00EF0502" w:rsidP="00EF0502">
      <w:pPr>
        <w:pStyle w:val="Caption"/>
        <w:keepNext/>
        <w:rPr>
          <w:rFonts w:ascii="Times New Roman" w:hAnsi="Times New Roman" w:cs="Times New Roman"/>
          <w:color w:val="auto"/>
          <w:sz w:val="24"/>
          <w:szCs w:val="24"/>
        </w:rPr>
      </w:pPr>
      <w:r w:rsidRPr="00EF0502">
        <w:rPr>
          <w:rFonts w:ascii="Times New Roman" w:hAnsi="Times New Roman" w:cs="Times New Roman"/>
          <w:color w:val="auto"/>
          <w:sz w:val="24"/>
          <w:szCs w:val="24"/>
        </w:rPr>
        <w:t>Table 3.4.1 Summary statistics</w:t>
      </w:r>
    </w:p>
    <w:p w14:paraId="3AF9DDF3" w14:textId="77777777" w:rsidR="007B399B" w:rsidRDefault="007B399B" w:rsidP="007B399B">
      <w:pPr>
        <w:shd w:val="clear" w:color="auto" w:fill="FFFFFF"/>
        <w:rPr>
          <w:rFonts w:ascii="Arial" w:eastAsia="Times New Roman" w:hAnsi="Arial"/>
          <w:sz w:val="30"/>
          <w:szCs w:val="30"/>
          <w:highlight w:val="yellow"/>
        </w:rPr>
      </w:pPr>
      <w:r w:rsidRPr="00131901">
        <w:rPr>
          <w:noProof/>
          <w:lang w:eastAsia="en-GB"/>
        </w:rPr>
        <w:drawing>
          <wp:inline distT="0" distB="0" distL="0" distR="0" wp14:anchorId="66986199" wp14:editId="7EE50EAF">
            <wp:extent cx="5731510" cy="8928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1">
                      <a:extLst>
                        <a:ext uri="{28A0092B-C50C-407E-A947-70E740481C1C}">
                          <a14:useLocalDpi xmlns:a14="http://schemas.microsoft.com/office/drawing/2010/main" val="0"/>
                        </a:ext>
                      </a:extLst>
                    </a:blip>
                    <a:srcRect t="-10094" r="41835" b="-1"/>
                    <a:stretch/>
                  </pic:blipFill>
                  <pic:spPr bwMode="auto">
                    <a:xfrm>
                      <a:off x="0" y="0"/>
                      <a:ext cx="5731510" cy="892810"/>
                    </a:xfrm>
                    <a:prstGeom prst="rect">
                      <a:avLst/>
                    </a:prstGeom>
                    <a:noFill/>
                    <a:ln>
                      <a:noFill/>
                    </a:ln>
                    <a:extLst>
                      <a:ext uri="{53640926-AAD7-44D8-BBD7-CCE9431645EC}">
                        <a14:shadowObscured xmlns:a14="http://schemas.microsoft.com/office/drawing/2010/main"/>
                      </a:ext>
                    </a:extLst>
                  </pic:spPr>
                </pic:pic>
              </a:graphicData>
            </a:graphic>
          </wp:inline>
        </w:drawing>
      </w:r>
    </w:p>
    <w:p w14:paraId="1EC48D6B" w14:textId="77777777" w:rsidR="007B399B" w:rsidRDefault="007B399B" w:rsidP="007B399B">
      <w:pPr>
        <w:shd w:val="clear" w:color="auto" w:fill="FFFFFF"/>
        <w:rPr>
          <w:rFonts w:ascii="Arial" w:eastAsia="Times New Roman" w:hAnsi="Arial"/>
          <w:sz w:val="30"/>
          <w:szCs w:val="30"/>
          <w:highlight w:val="yellow"/>
        </w:rPr>
      </w:pPr>
    </w:p>
    <w:p w14:paraId="7572090D" w14:textId="77777777" w:rsidR="007B399B" w:rsidRPr="00446C40" w:rsidRDefault="007B399B" w:rsidP="007B399B">
      <w:pPr>
        <w:spacing w:line="360" w:lineRule="auto"/>
        <w:jc w:val="both"/>
        <w:rPr>
          <w:rFonts w:ascii="Times New Roman" w:eastAsiaTheme="minorEastAsia" w:hAnsi="Times New Roman" w:cs="Times New Roman"/>
          <w:sz w:val="24"/>
          <w:szCs w:val="24"/>
        </w:rPr>
      </w:pPr>
      <w:r w:rsidRPr="00446C40">
        <w:rPr>
          <w:rFonts w:ascii="Times New Roman" w:eastAsiaTheme="minorEastAsia" w:hAnsi="Times New Roman" w:cs="Times New Roman"/>
          <w:sz w:val="24"/>
          <w:szCs w:val="24"/>
        </w:rPr>
        <w:lastRenderedPageBreak/>
        <w:t xml:space="preserve">Table </w:t>
      </w:r>
      <w:r>
        <w:rPr>
          <w:rFonts w:ascii="Times New Roman" w:eastAsiaTheme="minorEastAsia" w:hAnsi="Times New Roman" w:cs="Times New Roman"/>
          <w:sz w:val="24"/>
          <w:szCs w:val="24"/>
        </w:rPr>
        <w:t>3.</w:t>
      </w:r>
      <w:r w:rsidRPr="00446C40">
        <w:rPr>
          <w:rFonts w:ascii="Times New Roman" w:eastAsiaTheme="minorEastAsia" w:hAnsi="Times New Roman" w:cs="Times New Roman"/>
          <w:sz w:val="24"/>
          <w:szCs w:val="24"/>
        </w:rPr>
        <w:t xml:space="preserve">4.1 shows the descriptive analysis of historic, simulated and IFBM of S&amp;P 500 stock index in which daily mean return is positive and approximately equal to 0.03% and daily standard deviation is also very close to each other and is in range between 0.95% to 1.42% over the selected time period. The greatest positive and negative returns are 4.42% and -3.86%. The first half of the index exhibits upward trend and second almost downward that can be seen in figure </w:t>
      </w:r>
      <w:r>
        <w:rPr>
          <w:rFonts w:ascii="Times New Roman" w:eastAsiaTheme="minorEastAsia" w:hAnsi="Times New Roman" w:cs="Times New Roman"/>
          <w:sz w:val="24"/>
          <w:szCs w:val="24"/>
        </w:rPr>
        <w:t>3.2</w:t>
      </w:r>
      <w:r w:rsidRPr="00446C40">
        <w:rPr>
          <w:rFonts w:ascii="Times New Roman" w:eastAsiaTheme="minorEastAsia" w:hAnsi="Times New Roman" w:cs="Times New Roman"/>
          <w:sz w:val="24"/>
          <w:szCs w:val="24"/>
        </w:rPr>
        <w:t xml:space="preserve">. The returns series have positive skewness that represent that the distribution has long right tail. The </w:t>
      </w:r>
      <w:proofErr w:type="spellStart"/>
      <w:r w:rsidRPr="00446C40">
        <w:rPr>
          <w:rFonts w:ascii="Times New Roman" w:eastAsiaTheme="minorEastAsia" w:hAnsi="Times New Roman" w:cs="Times New Roman"/>
          <w:sz w:val="24"/>
          <w:szCs w:val="24"/>
        </w:rPr>
        <w:t>Jarque-Bera</w:t>
      </w:r>
      <w:proofErr w:type="spellEnd"/>
      <w:r w:rsidRPr="00446C40">
        <w:rPr>
          <w:rFonts w:ascii="Times New Roman" w:eastAsiaTheme="minorEastAsia" w:hAnsi="Times New Roman" w:cs="Times New Roman"/>
          <w:sz w:val="24"/>
          <w:szCs w:val="24"/>
        </w:rPr>
        <w:t xml:space="preserve"> rejects the normality at 5% level for all distribution.</w:t>
      </w:r>
    </w:p>
    <w:p w14:paraId="70D8D389" w14:textId="77777777" w:rsidR="007B399B" w:rsidRDefault="007B399B" w:rsidP="007B399B">
      <w:pPr>
        <w:spacing w:line="360" w:lineRule="auto"/>
        <w:rPr>
          <w:rFonts w:ascii="Times New Roman" w:hAnsi="Times New Roman" w:cs="Times New Roman"/>
          <w:sz w:val="24"/>
          <w:szCs w:val="24"/>
        </w:rPr>
      </w:pPr>
    </w:p>
    <w:p w14:paraId="03E3FD41" w14:textId="6CD7322F" w:rsidR="00EF0502" w:rsidRPr="00EF0502" w:rsidRDefault="00EF0502" w:rsidP="00EF0502">
      <w:pPr>
        <w:pStyle w:val="Caption"/>
        <w:keepNext/>
        <w:rPr>
          <w:rFonts w:ascii="Times New Roman" w:hAnsi="Times New Roman" w:cs="Times New Roman"/>
          <w:color w:val="auto"/>
          <w:sz w:val="24"/>
          <w:szCs w:val="24"/>
        </w:rPr>
      </w:pPr>
      <w:r w:rsidRPr="00EF0502">
        <w:rPr>
          <w:rFonts w:ascii="Times New Roman" w:hAnsi="Times New Roman" w:cs="Times New Roman"/>
          <w:color w:val="auto"/>
          <w:sz w:val="24"/>
          <w:szCs w:val="24"/>
        </w:rPr>
        <w:t>Table 3.4.2 Estimated parameters of the optimal modified (IFBM) GARCH models for the S&amp;P 500 stock index.</w:t>
      </w:r>
    </w:p>
    <w:p w14:paraId="4938174B" w14:textId="77777777" w:rsidR="007B399B" w:rsidRDefault="007B399B" w:rsidP="007B399B">
      <w:pPr>
        <w:spacing w:line="360" w:lineRule="auto"/>
        <w:rPr>
          <w:noProof/>
          <w:lang w:val="en-US"/>
        </w:rPr>
      </w:pPr>
      <w:r w:rsidRPr="00131901">
        <w:rPr>
          <w:noProof/>
          <w:lang w:eastAsia="en-GB"/>
        </w:rPr>
        <w:drawing>
          <wp:inline distT="0" distB="0" distL="0" distR="0" wp14:anchorId="34714331" wp14:editId="782B6CC3">
            <wp:extent cx="5647996" cy="49911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a:extLst>
                        <a:ext uri="{28A0092B-C50C-407E-A947-70E740481C1C}">
                          <a14:useLocalDpi xmlns:a14="http://schemas.microsoft.com/office/drawing/2010/main" val="0"/>
                        </a:ext>
                      </a:extLst>
                    </a:blip>
                    <a:srcRect r="46322"/>
                    <a:stretch/>
                  </pic:blipFill>
                  <pic:spPr bwMode="auto">
                    <a:xfrm>
                      <a:off x="0" y="0"/>
                      <a:ext cx="5656850" cy="4998925"/>
                    </a:xfrm>
                    <a:prstGeom prst="rect">
                      <a:avLst/>
                    </a:prstGeom>
                    <a:noFill/>
                    <a:ln>
                      <a:noFill/>
                    </a:ln>
                    <a:extLst>
                      <a:ext uri="{53640926-AAD7-44D8-BBD7-CCE9431645EC}">
                        <a14:shadowObscured xmlns:a14="http://schemas.microsoft.com/office/drawing/2010/main"/>
                      </a:ext>
                    </a:extLst>
                  </pic:spPr>
                </pic:pic>
              </a:graphicData>
            </a:graphic>
          </wp:inline>
        </w:drawing>
      </w:r>
    </w:p>
    <w:p w14:paraId="07E28113" w14:textId="77777777" w:rsidR="007B399B" w:rsidRDefault="007B399B" w:rsidP="007B399B">
      <w:pPr>
        <w:rPr>
          <w:rFonts w:ascii="Times New Roman" w:hAnsi="Times New Roman" w:cs="Times New Roman"/>
          <w:sz w:val="24"/>
          <w:szCs w:val="24"/>
        </w:rPr>
      </w:pPr>
    </w:p>
    <w:p w14:paraId="177E6DCD" w14:textId="77777777" w:rsidR="007B399B" w:rsidRDefault="007B399B" w:rsidP="007B399B">
      <w:pPr>
        <w:rPr>
          <w:rFonts w:ascii="Times New Roman" w:hAnsi="Times New Roman" w:cs="Times New Roman"/>
          <w:sz w:val="24"/>
          <w:szCs w:val="24"/>
        </w:rPr>
      </w:pPr>
    </w:p>
    <w:p w14:paraId="68471847" w14:textId="77777777" w:rsidR="007B399B" w:rsidRDefault="007B399B" w:rsidP="007B399B">
      <w:pPr>
        <w:rPr>
          <w:rFonts w:ascii="Times New Roman" w:hAnsi="Times New Roman" w:cs="Times New Roman"/>
          <w:sz w:val="24"/>
          <w:szCs w:val="24"/>
        </w:rPr>
      </w:pPr>
    </w:p>
    <w:p w14:paraId="0A7B4E96" w14:textId="77777777" w:rsidR="007B399B" w:rsidRPr="008128CD" w:rsidRDefault="007B399B" w:rsidP="00990265">
      <w:pPr>
        <w:pStyle w:val="ListParagraph"/>
        <w:numPr>
          <w:ilvl w:val="0"/>
          <w:numId w:val="9"/>
        </w:num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sidRPr="008128CD">
        <w:rPr>
          <w:rFonts w:ascii="Times New Roman" w:eastAsiaTheme="minorEastAsia" w:hAnsi="Times New Roman" w:cs="Times New Roman"/>
          <w:sz w:val="24"/>
          <w:szCs w:val="24"/>
        </w:rPr>
        <w:t xml:space="preserve"> is the GARCH error parameter and measure the reaction of the conditional volatility to market shocks.</w:t>
      </w:r>
    </w:p>
    <w:p w14:paraId="37828E75" w14:textId="77777777" w:rsidR="007B399B" w:rsidRPr="008128CD" w:rsidRDefault="007B399B" w:rsidP="00990265">
      <w:pPr>
        <w:pStyle w:val="ListParagraph"/>
        <w:numPr>
          <w:ilvl w:val="0"/>
          <w:numId w:val="9"/>
        </w:num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m:t>
        </m:r>
      </m:oMath>
      <w:r w:rsidRPr="008128CD">
        <w:rPr>
          <w:rFonts w:ascii="Times New Roman" w:eastAsiaTheme="minorEastAsia" w:hAnsi="Times New Roman" w:cs="Times New Roman"/>
          <w:sz w:val="24"/>
          <w:szCs w:val="24"/>
        </w:rPr>
        <w:t xml:space="preserve"> is the GARCH lag parameter and measure the persistence in conditional volatility and does not depend on anything happens in the market.</w:t>
      </w:r>
    </w:p>
    <w:p w14:paraId="26A000A9" w14:textId="77777777" w:rsidR="007B399B" w:rsidRPr="008128CD" w:rsidRDefault="007B399B" w:rsidP="00990265">
      <w:pPr>
        <w:pStyle w:val="ListParagraph"/>
        <w:numPr>
          <w:ilvl w:val="0"/>
          <w:numId w:val="9"/>
        </w:num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α+β</m:t>
        </m:r>
      </m:oMath>
      <w:r w:rsidRPr="008128CD">
        <w:rPr>
          <w:rFonts w:ascii="Times New Roman" w:eastAsiaTheme="minorEastAsia" w:hAnsi="Times New Roman" w:cs="Times New Roman"/>
          <w:sz w:val="24"/>
          <w:szCs w:val="24"/>
        </w:rPr>
        <w:t xml:space="preserve"> is the sum of above parameters and provides the rate of the convergence of the conditional volatility to the long-term average </w:t>
      </w:r>
      <w:proofErr w:type="gramStart"/>
      <w:r w:rsidRPr="008128CD">
        <w:rPr>
          <w:rFonts w:ascii="Times New Roman" w:eastAsiaTheme="minorEastAsia" w:hAnsi="Times New Roman" w:cs="Times New Roman"/>
          <w:sz w:val="24"/>
          <w:szCs w:val="24"/>
        </w:rPr>
        <w:t>level.</w:t>
      </w:r>
      <w:proofErr w:type="gramEnd"/>
    </w:p>
    <w:p w14:paraId="63462B49" w14:textId="77777777" w:rsidR="007B399B" w:rsidRPr="008128CD" w:rsidRDefault="007B399B" w:rsidP="00990265">
      <w:pPr>
        <w:pStyle w:val="ListParagraph"/>
        <w:numPr>
          <w:ilvl w:val="0"/>
          <w:numId w:val="9"/>
        </w:num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ω</m:t>
        </m:r>
      </m:oMath>
      <w:r w:rsidRPr="008128CD">
        <w:rPr>
          <w:rFonts w:ascii="Times New Roman" w:eastAsiaTheme="minorEastAsia" w:hAnsi="Times New Roman" w:cs="Times New Roman"/>
          <w:sz w:val="24"/>
          <w:szCs w:val="24"/>
        </w:rPr>
        <w:t xml:space="preserve"> is the constant of GARCH parameter and work together with the sum of </w:t>
      </w:r>
      <m:oMath>
        <m:r>
          <w:rPr>
            <w:rFonts w:ascii="Cambria Math" w:eastAsiaTheme="minorEastAsia" w:hAnsi="Cambria Math" w:cs="Times New Roman"/>
            <w:sz w:val="24"/>
            <w:szCs w:val="24"/>
          </w:rPr>
          <m:t>α+β</m:t>
        </m:r>
      </m:oMath>
      <w:r w:rsidRPr="008128CD">
        <w:rPr>
          <w:rFonts w:ascii="Times New Roman" w:eastAsiaTheme="minorEastAsia" w:hAnsi="Times New Roman" w:cs="Times New Roman"/>
          <w:sz w:val="24"/>
          <w:szCs w:val="24"/>
        </w:rPr>
        <w:t xml:space="preserve"> provides the long-term average </w:t>
      </w:r>
      <w:proofErr w:type="gramStart"/>
      <w:r w:rsidRPr="008128CD">
        <w:rPr>
          <w:rFonts w:ascii="Times New Roman" w:eastAsiaTheme="minorEastAsia" w:hAnsi="Times New Roman" w:cs="Times New Roman"/>
          <w:sz w:val="24"/>
          <w:szCs w:val="24"/>
        </w:rPr>
        <w:t>volatility.</w:t>
      </w:r>
      <w:proofErr w:type="gramEnd"/>
      <w:r w:rsidRPr="008128CD">
        <w:rPr>
          <w:rFonts w:ascii="Times New Roman" w:eastAsiaTheme="minorEastAsia" w:hAnsi="Times New Roman" w:cs="Times New Roman"/>
          <w:sz w:val="24"/>
          <w:szCs w:val="24"/>
        </w:rPr>
        <w:t xml:space="preserve"> </w:t>
      </w:r>
    </w:p>
    <w:p w14:paraId="15F76BD6" w14:textId="77777777" w:rsidR="007B399B" w:rsidRPr="008128CD" w:rsidRDefault="007B399B" w:rsidP="00990265">
      <w:pPr>
        <w:pStyle w:val="ListParagraph"/>
        <w:numPr>
          <w:ilvl w:val="0"/>
          <w:numId w:val="9"/>
        </w:num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λ</m:t>
        </m:r>
      </m:oMath>
      <w:r w:rsidRPr="008128CD">
        <w:rPr>
          <w:rFonts w:ascii="Times New Roman" w:eastAsiaTheme="minorEastAsia" w:hAnsi="Times New Roman" w:cs="Times New Roman"/>
          <w:sz w:val="24"/>
          <w:szCs w:val="24"/>
        </w:rPr>
        <w:t xml:space="preserve">  is l</w:t>
      </w:r>
      <w:proofErr w:type="spellStart"/>
      <w:r w:rsidRPr="008128CD">
        <w:rPr>
          <w:rFonts w:ascii="Times New Roman" w:eastAsiaTheme="minorEastAsia" w:hAnsi="Times New Roman" w:cs="Times New Roman"/>
          <w:sz w:val="24"/>
          <w:szCs w:val="24"/>
        </w:rPr>
        <w:t>everage</w:t>
      </w:r>
      <w:proofErr w:type="spellEnd"/>
      <w:r w:rsidRPr="008128CD">
        <w:rPr>
          <w:rFonts w:ascii="Times New Roman" w:eastAsiaTheme="minorEastAsia" w:hAnsi="Times New Roman" w:cs="Times New Roman"/>
          <w:sz w:val="24"/>
          <w:szCs w:val="24"/>
        </w:rPr>
        <w:t xml:space="preserve"> parameter, which restrict the asymmetric response of volatility response from the negative market shocks. </w:t>
      </w:r>
    </w:p>
    <w:p w14:paraId="4FF09BD3" w14:textId="77777777" w:rsidR="007B399B" w:rsidRPr="00403ECE" w:rsidRDefault="007B399B" w:rsidP="007B399B">
      <w:pPr>
        <w:rPr>
          <w:rFonts w:ascii="Times New Roman" w:hAnsi="Times New Roman" w:cs="Times New Roman"/>
          <w:sz w:val="24"/>
          <w:szCs w:val="24"/>
        </w:rPr>
      </w:pPr>
    </w:p>
    <w:p w14:paraId="21FC8117"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03ECE">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3.</w:t>
      </w:r>
      <w:r w:rsidRPr="00446C40">
        <w:rPr>
          <w:rFonts w:ascii="Times New Roman" w:eastAsia="Times New Roman" w:hAnsi="Times New Roman" w:cs="Times New Roman"/>
          <w:sz w:val="24"/>
          <w:szCs w:val="24"/>
        </w:rPr>
        <w:t>4.2</w:t>
      </w:r>
      <w:r w:rsidRPr="00403ECE">
        <w:rPr>
          <w:rFonts w:ascii="Times New Roman" w:eastAsia="Times New Roman" w:hAnsi="Times New Roman" w:cs="Times New Roman"/>
          <w:sz w:val="24"/>
          <w:szCs w:val="24"/>
        </w:rPr>
        <w:t xml:space="preserve"> shows the estimated parameters of </w:t>
      </w:r>
      <w:r w:rsidRPr="00446C40">
        <w:rPr>
          <w:rFonts w:ascii="Times New Roman" w:eastAsia="Times New Roman" w:hAnsi="Times New Roman" w:cs="Times New Roman"/>
          <w:sz w:val="24"/>
          <w:szCs w:val="24"/>
        </w:rPr>
        <w:t>the IFBM GARCH models for S&amp;P 500</w:t>
      </w:r>
      <w:r w:rsidRPr="008532A5">
        <w:rPr>
          <w:rFonts w:ascii="Times New Roman" w:eastAsia="Times New Roman" w:hAnsi="Times New Roman" w:cs="Times New Roman"/>
          <w:sz w:val="24"/>
          <w:szCs w:val="24"/>
        </w:rPr>
        <w:t xml:space="preserve"> stock inde</w:t>
      </w:r>
      <w:r w:rsidRPr="00446C40">
        <w:rPr>
          <w:rFonts w:ascii="Times New Roman" w:eastAsia="Times New Roman" w:hAnsi="Times New Roman" w:cs="Times New Roman"/>
          <w:sz w:val="24"/>
          <w:szCs w:val="24"/>
        </w:rPr>
        <w:t>x</w:t>
      </w:r>
      <w:r w:rsidRPr="008532A5">
        <w:rPr>
          <w:rFonts w:ascii="Times New Roman" w:eastAsia="Times New Roman" w:hAnsi="Times New Roman" w:cs="Times New Roman"/>
          <w:sz w:val="24"/>
          <w:szCs w:val="24"/>
        </w:rPr>
        <w:t xml:space="preserve"> in </w:t>
      </w:r>
      <w:r w:rsidRPr="00446C40">
        <w:rPr>
          <w:rFonts w:ascii="Times New Roman" w:eastAsia="Times New Roman" w:hAnsi="Times New Roman" w:cs="Times New Roman"/>
          <w:sz w:val="24"/>
          <w:szCs w:val="24"/>
        </w:rPr>
        <w:t>the</w:t>
      </w:r>
      <w:r w:rsidRPr="008532A5">
        <w:rPr>
          <w:rFonts w:ascii="Times New Roman" w:eastAsia="Times New Roman" w:hAnsi="Times New Roman" w:cs="Times New Roman"/>
          <w:sz w:val="24"/>
          <w:szCs w:val="24"/>
        </w:rPr>
        <w:t xml:space="preserve"> observed periods, there is no normal distribution. The average daily return is positive, </w:t>
      </w:r>
      <w:r w:rsidRPr="00446C40">
        <w:rPr>
          <w:rFonts w:ascii="Times New Roman" w:eastAsia="Times New Roman" w:hAnsi="Times New Roman" w:cs="Times New Roman"/>
          <w:sz w:val="24"/>
          <w:szCs w:val="24"/>
        </w:rPr>
        <w:t>which is a feature of the developed</w:t>
      </w:r>
      <w:r w:rsidRPr="008532A5">
        <w:rPr>
          <w:rFonts w:ascii="Times New Roman" w:eastAsia="Times New Roman" w:hAnsi="Times New Roman" w:cs="Times New Roman"/>
          <w:sz w:val="24"/>
          <w:szCs w:val="24"/>
        </w:rPr>
        <w:t xml:space="preserve"> financial markets.  Elongated distributions and negative asymmetry are characteristics of developed financial markets. As for other periods, the different normality distribution assessments of the</w:t>
      </w:r>
      <w:r w:rsidRPr="00446C40">
        <w:rPr>
          <w:rFonts w:ascii="Times New Roman" w:eastAsia="Times New Roman" w:hAnsi="Times New Roman" w:cs="Times New Roman"/>
          <w:sz w:val="24"/>
          <w:szCs w:val="24"/>
        </w:rPr>
        <w:t xml:space="preserve"> </w:t>
      </w:r>
      <w:r w:rsidRPr="008532A5">
        <w:rPr>
          <w:rFonts w:ascii="Times New Roman" w:eastAsia="Times New Roman" w:hAnsi="Times New Roman" w:cs="Times New Roman"/>
          <w:sz w:val="24"/>
          <w:szCs w:val="24"/>
        </w:rPr>
        <w:t xml:space="preserve">observed periods are noticeable, which indicates a small number of observations, as well as a stronger impact of macroeconomic factors on the daily rates of return of the </w:t>
      </w:r>
      <w:r w:rsidRPr="00446C40">
        <w:rPr>
          <w:rFonts w:ascii="Times New Roman" w:eastAsia="Times New Roman" w:hAnsi="Times New Roman" w:cs="Times New Roman"/>
          <w:sz w:val="24"/>
          <w:szCs w:val="24"/>
        </w:rPr>
        <w:t>S&amp;P 500</w:t>
      </w:r>
      <w:r w:rsidRPr="008532A5">
        <w:rPr>
          <w:rFonts w:ascii="Times New Roman" w:eastAsia="Times New Roman" w:hAnsi="Times New Roman" w:cs="Times New Roman"/>
          <w:sz w:val="24"/>
          <w:szCs w:val="24"/>
        </w:rPr>
        <w:t xml:space="preserve"> index. </w:t>
      </w:r>
    </w:p>
    <w:p w14:paraId="327EAF17" w14:textId="77777777" w:rsidR="007B399B" w:rsidRDefault="007B399B" w:rsidP="007B399B">
      <w:pPr>
        <w:spacing w:line="360" w:lineRule="auto"/>
        <w:jc w:val="both"/>
        <w:rPr>
          <w:rFonts w:ascii="Times New Roman" w:eastAsiaTheme="minorEastAsia" w:hAnsi="Times New Roman" w:cs="Times New Roman"/>
          <w:sz w:val="24"/>
          <w:szCs w:val="24"/>
        </w:rPr>
      </w:pPr>
      <w:r w:rsidRPr="00446C40">
        <w:rPr>
          <w:rFonts w:ascii="Times New Roman" w:eastAsiaTheme="minorEastAsia" w:hAnsi="Times New Roman" w:cs="Times New Roman"/>
          <w:sz w:val="24"/>
          <w:szCs w:val="24"/>
        </w:rPr>
        <w:t xml:space="preserve">The result generated for selected GARCH models can also be reflected in part wise from table </w:t>
      </w:r>
      <w:r>
        <w:rPr>
          <w:rFonts w:ascii="Times New Roman" w:eastAsiaTheme="minorEastAsia" w:hAnsi="Times New Roman" w:cs="Times New Roman"/>
          <w:sz w:val="24"/>
          <w:szCs w:val="24"/>
        </w:rPr>
        <w:t>3.</w:t>
      </w:r>
      <w:r w:rsidRPr="00446C40">
        <w:rPr>
          <w:rFonts w:ascii="Times New Roman" w:eastAsiaTheme="minorEastAsia" w:hAnsi="Times New Roman" w:cs="Times New Roman"/>
          <w:sz w:val="24"/>
          <w:szCs w:val="24"/>
        </w:rPr>
        <w:t>4.2 since the reaction parameter in GJR model hit the boundary condition. The log likelihood is much better than the normal GARCH model. The positive leverage effect is obtained in A-GARCH and EGARCH models for both indices which recommend that the volatility of selected subset become more reactive and less persistent, and leverage effect become more prominent. The maximum value of likelihood is obtained by normal IFBM GJR-GARCH, IFBM E-GARCH for selected data, and conclude that the IFBM GARCH (1,1) and IFBM-EGARCH is the best fit of GARCH models for most of the examined data.</w:t>
      </w:r>
    </w:p>
    <w:p w14:paraId="56C5B080" w14:textId="77777777" w:rsidR="007B399B" w:rsidRDefault="007B399B" w:rsidP="007B399B">
      <w:pPr>
        <w:spacing w:line="360" w:lineRule="auto"/>
        <w:jc w:val="both"/>
        <w:rPr>
          <w:rFonts w:ascii="Times New Roman" w:eastAsiaTheme="minorEastAsia" w:hAnsi="Times New Roman" w:cs="Times New Roman"/>
          <w:sz w:val="24"/>
          <w:szCs w:val="24"/>
        </w:rPr>
      </w:pPr>
      <w:r w:rsidRPr="00446C40">
        <w:rPr>
          <w:rFonts w:ascii="Times New Roman" w:eastAsiaTheme="minorEastAsia" w:hAnsi="Times New Roman" w:cs="Times New Roman"/>
          <w:sz w:val="24"/>
          <w:szCs w:val="24"/>
        </w:rPr>
        <w:t>The comparison of these GARCH models took place in this research for volatility performance having different assumption. The research found that IFBM-EGARCH model is the most capable for recognizing the dynamic behaviour of returns. Since it reflects their underlying process in terms of asymmetric volatility clustering and leptokurtosis innovation. The produced result emphasis that the IFBM-EGARCH model could be better than other three models in the perspective of risk management strategies for S&amp;P 500 index returns (in the light of selected data sample). As the volatility is the measured of the total financial risk. This research concludes that the increment in risk is not necessarily leads to the increment in returns.</w:t>
      </w:r>
    </w:p>
    <w:p w14:paraId="74396E46" w14:textId="77777777" w:rsidR="007B399B" w:rsidRPr="00403ECE" w:rsidRDefault="007B399B" w:rsidP="007B399B">
      <w:pPr>
        <w:rPr>
          <w:rFonts w:ascii="Times New Roman" w:hAnsi="Times New Roman" w:cs="Times New Roman"/>
          <w:sz w:val="24"/>
          <w:szCs w:val="24"/>
        </w:rPr>
      </w:pPr>
    </w:p>
    <w:p w14:paraId="56E007F8" w14:textId="6ABB9739" w:rsidR="00EF0502" w:rsidRPr="00EF0502" w:rsidRDefault="00EF0502" w:rsidP="00EF0502">
      <w:pPr>
        <w:pStyle w:val="Caption"/>
        <w:keepNext/>
        <w:jc w:val="both"/>
        <w:rPr>
          <w:rFonts w:ascii="Times New Roman" w:hAnsi="Times New Roman" w:cs="Times New Roman"/>
          <w:color w:val="auto"/>
          <w:sz w:val="24"/>
          <w:szCs w:val="24"/>
        </w:rPr>
      </w:pPr>
      <w:r w:rsidRPr="00EF0502">
        <w:rPr>
          <w:rFonts w:ascii="Times New Roman" w:hAnsi="Times New Roman" w:cs="Times New Roman"/>
          <w:color w:val="auto"/>
          <w:sz w:val="24"/>
          <w:szCs w:val="24"/>
        </w:rPr>
        <w:t xml:space="preserve">Table </w:t>
      </w:r>
      <w:r>
        <w:rPr>
          <w:rFonts w:ascii="Times New Roman" w:hAnsi="Times New Roman" w:cs="Times New Roman"/>
          <w:color w:val="auto"/>
          <w:sz w:val="24"/>
          <w:szCs w:val="24"/>
        </w:rPr>
        <w:t>3.4.3</w:t>
      </w:r>
      <w:r w:rsidRPr="00EF0502">
        <w:rPr>
          <w:rFonts w:ascii="Times New Roman" w:hAnsi="Times New Roman" w:cs="Times New Roman"/>
          <w:color w:val="auto"/>
          <w:sz w:val="24"/>
          <w:szCs w:val="24"/>
        </w:rPr>
        <w:t xml:space="preserve"> Representative AIC and BIC criteria for selecting the optimal modified (IFBM) GARCH model</w:t>
      </w:r>
    </w:p>
    <w:p w14:paraId="5A485A15" w14:textId="77777777" w:rsidR="007B399B" w:rsidRDefault="007B399B" w:rsidP="007B399B">
      <w:pPr>
        <w:jc w:val="both"/>
        <w:rPr>
          <w:rFonts w:eastAsiaTheme="minorEastAsia"/>
          <w:sz w:val="24"/>
          <w:szCs w:val="24"/>
        </w:rPr>
      </w:pPr>
      <w:r w:rsidRPr="00131901">
        <w:rPr>
          <w:noProof/>
          <w:lang w:eastAsia="en-GB"/>
        </w:rPr>
        <w:drawing>
          <wp:inline distT="0" distB="0" distL="0" distR="0" wp14:anchorId="34F87D5C" wp14:editId="3BEE0A77">
            <wp:extent cx="5637269" cy="1514475"/>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3">
                      <a:extLst>
                        <a:ext uri="{28A0092B-C50C-407E-A947-70E740481C1C}">
                          <a14:useLocalDpi xmlns:a14="http://schemas.microsoft.com/office/drawing/2010/main" val="0"/>
                        </a:ext>
                      </a:extLst>
                    </a:blip>
                    <a:srcRect r="38677"/>
                    <a:stretch/>
                  </pic:blipFill>
                  <pic:spPr bwMode="auto">
                    <a:xfrm>
                      <a:off x="0" y="0"/>
                      <a:ext cx="5642044" cy="1515758"/>
                    </a:xfrm>
                    <a:prstGeom prst="rect">
                      <a:avLst/>
                    </a:prstGeom>
                    <a:noFill/>
                    <a:ln>
                      <a:noFill/>
                    </a:ln>
                    <a:extLst>
                      <a:ext uri="{53640926-AAD7-44D8-BBD7-CCE9431645EC}">
                        <a14:shadowObscured xmlns:a14="http://schemas.microsoft.com/office/drawing/2010/main"/>
                      </a:ext>
                    </a:extLst>
                  </pic:spPr>
                </pic:pic>
              </a:graphicData>
            </a:graphic>
          </wp:inline>
        </w:drawing>
      </w:r>
    </w:p>
    <w:p w14:paraId="24B4ABC6" w14:textId="77777777" w:rsidR="007B399B" w:rsidRDefault="007B399B" w:rsidP="007B399B">
      <w:pPr>
        <w:jc w:val="both"/>
        <w:rPr>
          <w:rFonts w:eastAsiaTheme="minorEastAsia"/>
          <w:sz w:val="24"/>
          <w:szCs w:val="24"/>
        </w:rPr>
      </w:pPr>
    </w:p>
    <w:p w14:paraId="422EA418"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03ECE">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3.</w:t>
      </w:r>
      <w:r w:rsidRPr="00403ECE">
        <w:rPr>
          <w:rFonts w:ascii="Times New Roman" w:eastAsia="Times New Roman" w:hAnsi="Times New Roman" w:cs="Times New Roman"/>
          <w:sz w:val="24"/>
          <w:szCs w:val="24"/>
        </w:rPr>
        <w:t>4</w:t>
      </w:r>
      <w:r w:rsidRPr="00446C40">
        <w:rPr>
          <w:rFonts w:ascii="Times New Roman" w:eastAsia="Times New Roman" w:hAnsi="Times New Roman" w:cs="Times New Roman"/>
          <w:sz w:val="24"/>
          <w:szCs w:val="24"/>
        </w:rPr>
        <w:t xml:space="preserve">.3 </w:t>
      </w:r>
      <w:r w:rsidRPr="00403ECE">
        <w:rPr>
          <w:rFonts w:ascii="Times New Roman" w:eastAsia="Times New Roman" w:hAnsi="Times New Roman" w:cs="Times New Roman"/>
          <w:sz w:val="24"/>
          <w:szCs w:val="24"/>
        </w:rPr>
        <w:t xml:space="preserve">shows the representative AIC, </w:t>
      </w:r>
      <w:r w:rsidRPr="00446C40">
        <w:rPr>
          <w:rFonts w:ascii="Times New Roman" w:eastAsia="Times New Roman" w:hAnsi="Times New Roman" w:cs="Times New Roman"/>
          <w:sz w:val="24"/>
          <w:szCs w:val="24"/>
        </w:rPr>
        <w:t>and BIC</w:t>
      </w:r>
      <w:r w:rsidRPr="00403ECE">
        <w:rPr>
          <w:rFonts w:ascii="Times New Roman" w:eastAsia="Times New Roman" w:hAnsi="Times New Roman" w:cs="Times New Roman"/>
          <w:sz w:val="24"/>
          <w:szCs w:val="24"/>
        </w:rPr>
        <w:t xml:space="preserve"> criteria for selecting the optimal modified GARCH models in all observed </w:t>
      </w:r>
      <w:r w:rsidRPr="00446C40">
        <w:rPr>
          <w:rFonts w:ascii="Times New Roman" w:eastAsia="Times New Roman" w:hAnsi="Times New Roman" w:cs="Times New Roman"/>
          <w:sz w:val="24"/>
          <w:szCs w:val="24"/>
        </w:rPr>
        <w:t>of S&amp;P 500 daily returns</w:t>
      </w:r>
      <w:r w:rsidRPr="00403ECE">
        <w:rPr>
          <w:rFonts w:ascii="Times New Roman" w:eastAsia="Times New Roman" w:hAnsi="Times New Roman" w:cs="Times New Roman"/>
          <w:sz w:val="24"/>
          <w:szCs w:val="24"/>
        </w:rPr>
        <w:t xml:space="preserve">. </w:t>
      </w:r>
      <w:r w:rsidRPr="007C2E2E">
        <w:rPr>
          <w:rFonts w:ascii="Times New Roman" w:eastAsia="Times New Roman" w:hAnsi="Times New Roman" w:cs="Times New Roman"/>
          <w:sz w:val="24"/>
          <w:szCs w:val="24"/>
        </w:rPr>
        <w:t>Figure 3.4.2</w:t>
      </w:r>
      <w:r w:rsidRPr="00403ECE">
        <w:rPr>
          <w:rFonts w:ascii="Times New Roman" w:eastAsia="Times New Roman" w:hAnsi="Times New Roman" w:cs="Times New Roman"/>
          <w:sz w:val="24"/>
          <w:szCs w:val="24"/>
        </w:rPr>
        <w:t xml:space="preserve"> shows the movement of residual trends of the</w:t>
      </w:r>
      <w:r w:rsidRPr="00446C40">
        <w:rPr>
          <w:rFonts w:ascii="Times New Roman" w:eastAsia="Times New Roman" w:hAnsi="Times New Roman" w:cs="Times New Roman"/>
          <w:sz w:val="24"/>
          <w:szCs w:val="24"/>
        </w:rPr>
        <w:t xml:space="preserve"> historic returns, GARCH simulation and IFBM returns S&amp;P500</w:t>
      </w:r>
      <w:r w:rsidRPr="00403ECE">
        <w:rPr>
          <w:rFonts w:ascii="Times New Roman" w:eastAsia="Times New Roman" w:hAnsi="Times New Roman" w:cs="Times New Roman"/>
          <w:sz w:val="24"/>
          <w:szCs w:val="24"/>
        </w:rPr>
        <w:t xml:space="preserve"> index for the reference period </w:t>
      </w:r>
      <w:r w:rsidRPr="00446C40">
        <w:rPr>
          <w:rFonts w:ascii="Times New Roman" w:eastAsia="Times New Roman" w:hAnsi="Times New Roman" w:cs="Times New Roman"/>
          <w:sz w:val="24"/>
          <w:szCs w:val="24"/>
        </w:rPr>
        <w:t>1990</w:t>
      </w:r>
      <w:r w:rsidRPr="00403ECE">
        <w:rPr>
          <w:rFonts w:ascii="Times New Roman" w:eastAsia="Times New Roman" w:hAnsi="Times New Roman" w:cs="Times New Roman"/>
          <w:sz w:val="24"/>
          <w:szCs w:val="24"/>
        </w:rPr>
        <w:t>-</w:t>
      </w:r>
      <w:r w:rsidRPr="00446C40">
        <w:rPr>
          <w:rFonts w:ascii="Times New Roman" w:eastAsia="Times New Roman" w:hAnsi="Times New Roman" w:cs="Times New Roman"/>
          <w:sz w:val="24"/>
          <w:szCs w:val="24"/>
        </w:rPr>
        <w:t>1991</w:t>
      </w:r>
      <w:r w:rsidRPr="00403ECE">
        <w:rPr>
          <w:rFonts w:ascii="Times New Roman" w:eastAsia="Times New Roman" w:hAnsi="Times New Roman" w:cs="Times New Roman"/>
          <w:sz w:val="24"/>
          <w:szCs w:val="24"/>
        </w:rPr>
        <w:t>.</w:t>
      </w:r>
      <w:r w:rsidRPr="00446C40">
        <w:rPr>
          <w:rFonts w:ascii="Times New Roman" w:eastAsia="Times New Roman" w:hAnsi="Times New Roman" w:cs="Times New Roman"/>
          <w:sz w:val="24"/>
          <w:szCs w:val="24"/>
        </w:rPr>
        <w:t xml:space="preserve"> </w:t>
      </w:r>
    </w:p>
    <w:p w14:paraId="125A0C68" w14:textId="77777777" w:rsidR="007B399B" w:rsidRPr="00446C40" w:rsidRDefault="007B399B" w:rsidP="007B399B">
      <w:pPr>
        <w:jc w:val="both"/>
        <w:rPr>
          <w:rFonts w:ascii="Times New Roman" w:eastAsiaTheme="minorEastAsia" w:hAnsi="Times New Roman" w:cs="Times New Roman"/>
          <w:sz w:val="24"/>
          <w:szCs w:val="24"/>
        </w:rPr>
      </w:pPr>
    </w:p>
    <w:p w14:paraId="239AA389"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282968">
        <w:rPr>
          <w:rFonts w:ascii="Times New Roman" w:eastAsia="Times New Roman" w:hAnsi="Times New Roman" w:cs="Times New Roman"/>
          <w:sz w:val="24"/>
          <w:szCs w:val="24"/>
        </w:rPr>
        <w:t>The selection of the best model based on</w:t>
      </w:r>
      <w:r w:rsidRPr="00446C40">
        <w:rPr>
          <w:rFonts w:ascii="Times New Roman" w:eastAsia="Times New Roman" w:hAnsi="Times New Roman" w:cs="Times New Roman"/>
          <w:sz w:val="24"/>
          <w:szCs w:val="24"/>
        </w:rPr>
        <w:t xml:space="preserve"> </w:t>
      </w:r>
      <w:r w:rsidRPr="00282968">
        <w:rPr>
          <w:rFonts w:ascii="Times New Roman" w:eastAsia="Times New Roman" w:hAnsi="Times New Roman" w:cs="Times New Roman"/>
          <w:sz w:val="24"/>
          <w:szCs w:val="24"/>
        </w:rPr>
        <w:t xml:space="preserve">the given criteria is the evidence of the impact of macroeconomic factors on the daily </w:t>
      </w:r>
      <w:r w:rsidRPr="00446C40">
        <w:rPr>
          <w:rFonts w:ascii="Times New Roman" w:eastAsia="Times New Roman" w:hAnsi="Times New Roman" w:cs="Times New Roman"/>
          <w:sz w:val="24"/>
          <w:szCs w:val="24"/>
        </w:rPr>
        <w:t>return of</w:t>
      </w:r>
      <w:r w:rsidRPr="00282968">
        <w:rPr>
          <w:rFonts w:ascii="Times New Roman" w:eastAsia="Times New Roman" w:hAnsi="Times New Roman" w:cs="Times New Roman"/>
          <w:sz w:val="24"/>
          <w:szCs w:val="24"/>
        </w:rPr>
        <w:t xml:space="preserve"> the </w:t>
      </w:r>
      <w:r w:rsidRPr="00446C40">
        <w:rPr>
          <w:rFonts w:ascii="Times New Roman" w:eastAsia="Times New Roman" w:hAnsi="Times New Roman" w:cs="Times New Roman"/>
          <w:sz w:val="24"/>
          <w:szCs w:val="24"/>
        </w:rPr>
        <w:t>S&amp;P500</w:t>
      </w:r>
      <w:r w:rsidRPr="00282968">
        <w:rPr>
          <w:rFonts w:ascii="Times New Roman" w:eastAsia="Times New Roman" w:hAnsi="Times New Roman" w:cs="Times New Roman"/>
          <w:sz w:val="24"/>
          <w:szCs w:val="24"/>
        </w:rPr>
        <w:t xml:space="preserve"> index. In the period</w:t>
      </w:r>
      <w:r w:rsidRPr="00446C40">
        <w:rPr>
          <w:rFonts w:ascii="Times New Roman" w:eastAsia="Times New Roman" w:hAnsi="Times New Roman" w:cs="Times New Roman"/>
          <w:sz w:val="24"/>
          <w:szCs w:val="24"/>
        </w:rPr>
        <w:t xml:space="preserve"> of 1990-1991,</w:t>
      </w:r>
      <w:r w:rsidRPr="00282968">
        <w:rPr>
          <w:rFonts w:ascii="Times New Roman" w:eastAsia="Times New Roman" w:hAnsi="Times New Roman" w:cs="Times New Roman"/>
          <w:sz w:val="24"/>
          <w:szCs w:val="24"/>
        </w:rPr>
        <w:t xml:space="preserve"> the modified EGARCH model with the lowest </w:t>
      </w:r>
      <w:r w:rsidRPr="00446C40">
        <w:rPr>
          <w:rFonts w:ascii="Times New Roman" w:eastAsia="Times New Roman" w:hAnsi="Times New Roman" w:cs="Times New Roman"/>
          <w:sz w:val="24"/>
          <w:szCs w:val="24"/>
        </w:rPr>
        <w:t>A</w:t>
      </w:r>
      <w:r w:rsidRPr="00282968">
        <w:rPr>
          <w:rFonts w:ascii="Times New Roman" w:eastAsia="Times New Roman" w:hAnsi="Times New Roman" w:cs="Times New Roman"/>
          <w:sz w:val="24"/>
          <w:szCs w:val="24"/>
        </w:rPr>
        <w:t xml:space="preserve">IC </w:t>
      </w:r>
      <w:r w:rsidRPr="00446C40">
        <w:rPr>
          <w:rFonts w:ascii="Times New Roman" w:eastAsia="Times New Roman" w:hAnsi="Times New Roman" w:cs="Times New Roman"/>
          <w:sz w:val="24"/>
          <w:szCs w:val="24"/>
        </w:rPr>
        <w:t xml:space="preserve">and BIC </w:t>
      </w:r>
      <w:r w:rsidRPr="00282968">
        <w:rPr>
          <w:rFonts w:ascii="Times New Roman" w:eastAsia="Times New Roman" w:hAnsi="Times New Roman" w:cs="Times New Roman"/>
          <w:sz w:val="24"/>
          <w:szCs w:val="24"/>
        </w:rPr>
        <w:t>criterium is most favourable, while</w:t>
      </w:r>
      <w:r w:rsidRPr="00446C40">
        <w:rPr>
          <w:rFonts w:ascii="Times New Roman" w:eastAsia="Times New Roman" w:hAnsi="Times New Roman" w:cs="Times New Roman"/>
          <w:sz w:val="24"/>
          <w:szCs w:val="24"/>
        </w:rPr>
        <w:t xml:space="preserve"> </w:t>
      </w:r>
      <w:r w:rsidRPr="00282968">
        <w:rPr>
          <w:rFonts w:ascii="Times New Roman" w:eastAsia="Times New Roman" w:hAnsi="Times New Roman" w:cs="Times New Roman"/>
          <w:sz w:val="24"/>
          <w:szCs w:val="24"/>
        </w:rPr>
        <w:t xml:space="preserve">the modified GARCH </w:t>
      </w:r>
      <w:r w:rsidRPr="00446C40">
        <w:rPr>
          <w:rFonts w:ascii="Times New Roman" w:eastAsia="Times New Roman" w:hAnsi="Times New Roman" w:cs="Times New Roman"/>
          <w:sz w:val="24"/>
          <w:szCs w:val="24"/>
        </w:rPr>
        <w:t>(1,1)</w:t>
      </w:r>
      <w:r w:rsidRPr="00282968">
        <w:rPr>
          <w:rFonts w:ascii="Times New Roman" w:eastAsia="Times New Roman" w:hAnsi="Times New Roman" w:cs="Times New Roman"/>
          <w:sz w:val="24"/>
          <w:szCs w:val="24"/>
        </w:rPr>
        <w:t xml:space="preserve"> model is optimal. </w:t>
      </w:r>
      <w:r w:rsidRPr="007F4B31">
        <w:rPr>
          <w:rFonts w:ascii="Times New Roman" w:eastAsia="Times New Roman" w:hAnsi="Times New Roman" w:cs="Times New Roman"/>
          <w:sz w:val="24"/>
          <w:szCs w:val="24"/>
        </w:rPr>
        <w:t>In the observed periods various positive and negative impacts of macroeconomic factors on daily return rates of investment activities are recorded.</w:t>
      </w:r>
      <w:r w:rsidRPr="00446C40">
        <w:rPr>
          <w:rFonts w:ascii="Times New Roman" w:eastAsia="Times New Roman" w:hAnsi="Times New Roman" w:cs="Times New Roman"/>
          <w:sz w:val="24"/>
          <w:szCs w:val="24"/>
        </w:rPr>
        <w:t xml:space="preserve"> </w:t>
      </w:r>
      <w:r w:rsidRPr="007F4B31">
        <w:rPr>
          <w:rFonts w:ascii="Times New Roman" w:eastAsia="Times New Roman" w:hAnsi="Times New Roman" w:cs="Times New Roman"/>
          <w:sz w:val="24"/>
          <w:szCs w:val="24"/>
        </w:rPr>
        <w:t xml:space="preserve">In the entire observation period, the </w:t>
      </w:r>
      <w:r w:rsidRPr="00446C40">
        <w:rPr>
          <w:rFonts w:ascii="Times New Roman" w:eastAsia="Times New Roman" w:hAnsi="Times New Roman" w:cs="Times New Roman"/>
          <w:sz w:val="24"/>
          <w:szCs w:val="24"/>
        </w:rPr>
        <w:t xml:space="preserve">modified EGARCH model shows negative </w:t>
      </w:r>
      <w:r w:rsidRPr="007F4B31">
        <w:rPr>
          <w:rFonts w:ascii="Times New Roman" w:eastAsia="Times New Roman" w:hAnsi="Times New Roman" w:cs="Times New Roman"/>
          <w:sz w:val="24"/>
          <w:szCs w:val="24"/>
        </w:rPr>
        <w:t xml:space="preserve">impacts on the daily return of the observed index, while the obtained results of the modified GARCH </w:t>
      </w:r>
      <w:r w:rsidRPr="00446C40">
        <w:rPr>
          <w:rFonts w:ascii="Times New Roman" w:eastAsia="Times New Roman" w:hAnsi="Times New Roman" w:cs="Times New Roman"/>
          <w:sz w:val="24"/>
          <w:szCs w:val="24"/>
        </w:rPr>
        <w:t>(1,1)</w:t>
      </w:r>
      <w:r w:rsidRPr="007F4B31">
        <w:rPr>
          <w:rFonts w:ascii="Times New Roman" w:eastAsia="Times New Roman" w:hAnsi="Times New Roman" w:cs="Times New Roman"/>
          <w:sz w:val="24"/>
          <w:szCs w:val="24"/>
        </w:rPr>
        <w:t xml:space="preserve"> model show positive impacts</w:t>
      </w:r>
      <w:r w:rsidRPr="00446C40">
        <w:rPr>
          <w:rFonts w:ascii="Times New Roman" w:eastAsia="Times New Roman" w:hAnsi="Times New Roman" w:cs="Times New Roman"/>
          <w:sz w:val="24"/>
          <w:szCs w:val="24"/>
        </w:rPr>
        <w:t>.</w:t>
      </w:r>
    </w:p>
    <w:p w14:paraId="7E80899F" w14:textId="77777777" w:rsidR="007B399B" w:rsidRPr="00446C40" w:rsidRDefault="007B399B" w:rsidP="007B399B">
      <w:pPr>
        <w:spacing w:line="360" w:lineRule="auto"/>
        <w:ind w:right="403"/>
        <w:jc w:val="both"/>
        <w:rPr>
          <w:rFonts w:ascii="Times New Roman" w:hAnsi="Times New Roman" w:cs="Times New Roman"/>
          <w:sz w:val="24"/>
          <w:szCs w:val="24"/>
        </w:rPr>
      </w:pPr>
    </w:p>
    <w:p w14:paraId="242C8436" w14:textId="77777777" w:rsidR="007B399B" w:rsidRPr="00446C40" w:rsidRDefault="007B399B" w:rsidP="007B399B">
      <w:pPr>
        <w:spacing w:line="360" w:lineRule="auto"/>
        <w:ind w:right="403"/>
        <w:jc w:val="both"/>
        <w:rPr>
          <w:rFonts w:ascii="Times New Roman" w:hAnsi="Times New Roman" w:cs="Times New Roman"/>
          <w:sz w:val="24"/>
          <w:szCs w:val="24"/>
        </w:rPr>
      </w:pPr>
      <w:r w:rsidRPr="00446C40">
        <w:rPr>
          <w:rFonts w:ascii="Times New Roman" w:hAnsi="Times New Roman" w:cs="Times New Roman"/>
          <w:sz w:val="24"/>
          <w:szCs w:val="24"/>
        </w:rPr>
        <w:t xml:space="preserve">By applying methodologies discussed on S&amp;P 500 daily return, volatility and estimated daily volatility by using GARCH (1, 1), EGARCH and GJR GARCH model. The daily volatility is derived from an econometric model, which does not have any interdependence with other variables. Based on the results of maximum log likelihood values we determine that the daily volatility derived from GJR model was the optimal selection. The optimizations were conducted by using STATA14 version, the results are summarised below: </w:t>
      </w:r>
    </w:p>
    <w:p w14:paraId="375C03F4" w14:textId="73DB0F8E" w:rsidR="00EF0502" w:rsidRPr="00EF0502" w:rsidRDefault="00EF0502" w:rsidP="00EF0502">
      <w:pPr>
        <w:pStyle w:val="Caption"/>
        <w:keepNext/>
        <w:rPr>
          <w:rFonts w:ascii="Times New Roman" w:hAnsi="Times New Roman" w:cs="Times New Roman"/>
          <w:color w:val="auto"/>
          <w:sz w:val="24"/>
          <w:szCs w:val="24"/>
        </w:rPr>
      </w:pPr>
      <w:r w:rsidRPr="00EF0502">
        <w:rPr>
          <w:rFonts w:ascii="Times New Roman" w:hAnsi="Times New Roman" w:cs="Times New Roman"/>
          <w:color w:val="auto"/>
          <w:sz w:val="24"/>
          <w:szCs w:val="24"/>
        </w:rPr>
        <w:lastRenderedPageBreak/>
        <w:t>Table 3.4.4 Representative AIC and BIC criteria for selecting the optimal GARCH model</w:t>
      </w:r>
    </w:p>
    <w:tbl>
      <w:tblPr>
        <w:tblW w:w="7380" w:type="dxa"/>
        <w:tblLook w:val="04A0" w:firstRow="1" w:lastRow="0" w:firstColumn="1" w:lastColumn="0" w:noHBand="0" w:noVBand="1"/>
      </w:tblPr>
      <w:tblGrid>
        <w:gridCol w:w="2060"/>
        <w:gridCol w:w="3400"/>
        <w:gridCol w:w="960"/>
        <w:gridCol w:w="960"/>
      </w:tblGrid>
      <w:tr w:rsidR="007B399B" w:rsidRPr="003E2AF2" w14:paraId="5B3D2B5C" w14:textId="77777777" w:rsidTr="002E143B">
        <w:trPr>
          <w:trHeight w:val="315"/>
        </w:trPr>
        <w:tc>
          <w:tcPr>
            <w:tcW w:w="20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5D805747" w14:textId="77777777" w:rsidR="007B399B" w:rsidRPr="003E2AF2" w:rsidRDefault="007B399B" w:rsidP="002E143B">
            <w:pPr>
              <w:rPr>
                <w:rFonts w:eastAsia="Times New Roman" w:cs="Calibri"/>
                <w:color w:val="000000"/>
              </w:rPr>
            </w:pPr>
            <w:r w:rsidRPr="003E2AF2">
              <w:rPr>
                <w:rFonts w:eastAsia="Times New Roman" w:cs="Calibri"/>
                <w:color w:val="000000"/>
              </w:rPr>
              <w:t>Model</w:t>
            </w:r>
          </w:p>
        </w:tc>
        <w:tc>
          <w:tcPr>
            <w:tcW w:w="3400" w:type="dxa"/>
            <w:tcBorders>
              <w:top w:val="single" w:sz="8" w:space="0" w:color="auto"/>
              <w:left w:val="nil"/>
              <w:bottom w:val="single" w:sz="8" w:space="0" w:color="auto"/>
              <w:right w:val="single" w:sz="4" w:space="0" w:color="auto"/>
            </w:tcBorders>
            <w:shd w:val="clear" w:color="000000" w:fill="BFBFBF"/>
            <w:noWrap/>
            <w:vAlign w:val="bottom"/>
            <w:hideMark/>
          </w:tcPr>
          <w:p w14:paraId="1FA11F1E" w14:textId="77777777" w:rsidR="007B399B" w:rsidRPr="003E2AF2" w:rsidRDefault="007B399B" w:rsidP="002E143B">
            <w:pPr>
              <w:rPr>
                <w:rFonts w:eastAsia="Times New Roman" w:cs="Calibri"/>
                <w:color w:val="000000"/>
              </w:rPr>
            </w:pPr>
            <w:proofErr w:type="spellStart"/>
            <w:proofErr w:type="gramStart"/>
            <w:r w:rsidRPr="003E2AF2">
              <w:rPr>
                <w:rFonts w:eastAsia="Times New Roman" w:cs="Calibri"/>
                <w:color w:val="000000"/>
              </w:rPr>
              <w:t>Obs</w:t>
            </w:r>
            <w:proofErr w:type="spellEnd"/>
            <w:r w:rsidRPr="003E2AF2">
              <w:rPr>
                <w:rFonts w:eastAsia="Times New Roman" w:cs="Calibri"/>
                <w:color w:val="000000"/>
              </w:rPr>
              <w:t xml:space="preserve">  </w:t>
            </w:r>
            <w:proofErr w:type="spellStart"/>
            <w:r w:rsidRPr="003E2AF2">
              <w:rPr>
                <w:rFonts w:eastAsia="Times New Roman" w:cs="Calibri"/>
                <w:color w:val="000000"/>
              </w:rPr>
              <w:t>ll</w:t>
            </w:r>
            <w:proofErr w:type="spellEnd"/>
            <w:proofErr w:type="gramEnd"/>
            <w:r w:rsidRPr="003E2AF2">
              <w:rPr>
                <w:rFonts w:eastAsia="Times New Roman" w:cs="Calibri"/>
                <w:color w:val="000000"/>
              </w:rPr>
              <w:t xml:space="preserve">(null)  </w:t>
            </w:r>
            <w:proofErr w:type="spellStart"/>
            <w:r w:rsidRPr="003E2AF2">
              <w:rPr>
                <w:rFonts w:eastAsia="Times New Roman" w:cs="Calibri"/>
                <w:color w:val="000000"/>
              </w:rPr>
              <w:t>ll</w:t>
            </w:r>
            <w:proofErr w:type="spellEnd"/>
            <w:r w:rsidRPr="003E2AF2">
              <w:rPr>
                <w:rFonts w:eastAsia="Times New Roman" w:cs="Calibri"/>
                <w:color w:val="000000"/>
              </w:rPr>
              <w:t>(model)      df</w:t>
            </w:r>
          </w:p>
        </w:tc>
        <w:tc>
          <w:tcPr>
            <w:tcW w:w="960" w:type="dxa"/>
            <w:tcBorders>
              <w:top w:val="single" w:sz="8" w:space="0" w:color="auto"/>
              <w:left w:val="nil"/>
              <w:bottom w:val="single" w:sz="8" w:space="0" w:color="auto"/>
              <w:right w:val="single" w:sz="4" w:space="0" w:color="auto"/>
            </w:tcBorders>
            <w:shd w:val="clear" w:color="000000" w:fill="BFBFBF"/>
            <w:noWrap/>
            <w:vAlign w:val="bottom"/>
            <w:hideMark/>
          </w:tcPr>
          <w:p w14:paraId="0333754E" w14:textId="77777777" w:rsidR="007B399B" w:rsidRPr="003E2AF2" w:rsidRDefault="007B399B" w:rsidP="002E143B">
            <w:pPr>
              <w:rPr>
                <w:rFonts w:eastAsia="Times New Roman" w:cs="Calibri"/>
                <w:color w:val="000000"/>
              </w:rPr>
            </w:pPr>
            <w:r w:rsidRPr="003E2AF2">
              <w:rPr>
                <w:rFonts w:eastAsia="Times New Roman" w:cs="Calibri"/>
                <w:color w:val="000000"/>
              </w:rPr>
              <w:t>AIC</w:t>
            </w:r>
          </w:p>
        </w:tc>
        <w:tc>
          <w:tcPr>
            <w:tcW w:w="960" w:type="dxa"/>
            <w:tcBorders>
              <w:top w:val="single" w:sz="8" w:space="0" w:color="auto"/>
              <w:left w:val="nil"/>
              <w:bottom w:val="single" w:sz="8" w:space="0" w:color="auto"/>
              <w:right w:val="single" w:sz="8" w:space="0" w:color="auto"/>
            </w:tcBorders>
            <w:shd w:val="clear" w:color="000000" w:fill="BFBFBF"/>
            <w:noWrap/>
            <w:vAlign w:val="bottom"/>
            <w:hideMark/>
          </w:tcPr>
          <w:p w14:paraId="6827D5AD" w14:textId="77777777" w:rsidR="007B399B" w:rsidRPr="003E2AF2" w:rsidRDefault="007B399B" w:rsidP="002E143B">
            <w:pPr>
              <w:rPr>
                <w:rFonts w:eastAsia="Times New Roman" w:cs="Calibri"/>
                <w:color w:val="000000"/>
              </w:rPr>
            </w:pPr>
            <w:r w:rsidRPr="003E2AF2">
              <w:rPr>
                <w:rFonts w:eastAsia="Times New Roman" w:cs="Calibri"/>
                <w:color w:val="000000"/>
              </w:rPr>
              <w:t>BIC</w:t>
            </w:r>
          </w:p>
        </w:tc>
      </w:tr>
      <w:tr w:rsidR="007B399B" w:rsidRPr="003E2AF2" w14:paraId="363407A4" w14:textId="77777777" w:rsidTr="002E143B">
        <w:trPr>
          <w:trHeight w:val="300"/>
        </w:trPr>
        <w:tc>
          <w:tcPr>
            <w:tcW w:w="2060" w:type="dxa"/>
            <w:tcBorders>
              <w:top w:val="nil"/>
              <w:left w:val="single" w:sz="8" w:space="0" w:color="auto"/>
              <w:bottom w:val="single" w:sz="4" w:space="0" w:color="auto"/>
              <w:right w:val="single" w:sz="4" w:space="0" w:color="auto"/>
            </w:tcBorders>
            <w:shd w:val="clear" w:color="000000" w:fill="BFBFBF"/>
            <w:noWrap/>
            <w:vAlign w:val="bottom"/>
            <w:hideMark/>
          </w:tcPr>
          <w:p w14:paraId="54B54D46" w14:textId="77777777" w:rsidR="007B399B" w:rsidRPr="003E2AF2" w:rsidRDefault="007B399B" w:rsidP="002E143B">
            <w:pPr>
              <w:rPr>
                <w:rFonts w:eastAsia="Times New Roman" w:cs="Calibri"/>
                <w:color w:val="000000"/>
              </w:rPr>
            </w:pPr>
            <w:r w:rsidRPr="003E2AF2">
              <w:rPr>
                <w:rFonts w:eastAsia="Times New Roman" w:cs="Calibri"/>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14:paraId="4A626300" w14:textId="77777777" w:rsidR="007B399B" w:rsidRPr="003E2AF2" w:rsidRDefault="007B399B" w:rsidP="002E143B">
            <w:pPr>
              <w:rPr>
                <w:rFonts w:eastAsia="Times New Roman" w:cs="Calibri"/>
                <w:color w:val="000000"/>
              </w:rPr>
            </w:pPr>
            <w:r w:rsidRPr="003E2A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B7CD868" w14:textId="77777777" w:rsidR="007B399B" w:rsidRPr="003E2AF2" w:rsidRDefault="007B399B" w:rsidP="002E143B">
            <w:pPr>
              <w:rPr>
                <w:rFonts w:eastAsia="Times New Roman" w:cs="Calibri"/>
                <w:color w:val="000000"/>
              </w:rPr>
            </w:pPr>
            <w:r w:rsidRPr="003E2AF2">
              <w:rPr>
                <w:rFonts w:eastAsia="Times New Roman" w:cs="Calibri"/>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F86ECB7" w14:textId="77777777" w:rsidR="007B399B" w:rsidRPr="003E2AF2" w:rsidRDefault="007B399B" w:rsidP="002E143B">
            <w:pPr>
              <w:rPr>
                <w:rFonts w:eastAsia="Times New Roman" w:cs="Calibri"/>
                <w:color w:val="000000"/>
              </w:rPr>
            </w:pPr>
            <w:r w:rsidRPr="003E2AF2">
              <w:rPr>
                <w:rFonts w:eastAsia="Times New Roman" w:cs="Calibri"/>
                <w:color w:val="000000"/>
              </w:rPr>
              <w:t> </w:t>
            </w:r>
          </w:p>
        </w:tc>
      </w:tr>
      <w:tr w:rsidR="007B399B" w:rsidRPr="003E2AF2" w14:paraId="374EE147" w14:textId="77777777" w:rsidTr="002E143B">
        <w:trPr>
          <w:trHeight w:val="300"/>
        </w:trPr>
        <w:tc>
          <w:tcPr>
            <w:tcW w:w="2060" w:type="dxa"/>
            <w:tcBorders>
              <w:top w:val="nil"/>
              <w:left w:val="single" w:sz="8" w:space="0" w:color="auto"/>
              <w:bottom w:val="single" w:sz="4" w:space="0" w:color="auto"/>
              <w:right w:val="single" w:sz="4" w:space="0" w:color="auto"/>
            </w:tcBorders>
            <w:shd w:val="clear" w:color="000000" w:fill="BFBFBF"/>
            <w:noWrap/>
            <w:vAlign w:val="bottom"/>
            <w:hideMark/>
          </w:tcPr>
          <w:p w14:paraId="0515EC48" w14:textId="77777777" w:rsidR="007B399B" w:rsidRPr="003E2AF2" w:rsidRDefault="007B399B" w:rsidP="002E143B">
            <w:pPr>
              <w:rPr>
                <w:rFonts w:eastAsia="Times New Roman" w:cs="Calibri"/>
                <w:color w:val="000000"/>
              </w:rPr>
            </w:pPr>
            <w:r w:rsidRPr="003E2AF2">
              <w:rPr>
                <w:rFonts w:eastAsia="Times New Roman" w:cs="Calibri"/>
                <w:color w:val="000000"/>
              </w:rPr>
              <w:t>GARCH</w:t>
            </w:r>
          </w:p>
        </w:tc>
        <w:tc>
          <w:tcPr>
            <w:tcW w:w="3400" w:type="dxa"/>
            <w:tcBorders>
              <w:top w:val="nil"/>
              <w:left w:val="nil"/>
              <w:bottom w:val="single" w:sz="4" w:space="0" w:color="auto"/>
              <w:right w:val="single" w:sz="4" w:space="0" w:color="auto"/>
            </w:tcBorders>
            <w:shd w:val="clear" w:color="auto" w:fill="auto"/>
            <w:noWrap/>
            <w:vAlign w:val="bottom"/>
            <w:hideMark/>
          </w:tcPr>
          <w:p w14:paraId="3516477F" w14:textId="77777777" w:rsidR="007B399B" w:rsidRPr="003E2AF2" w:rsidRDefault="007B399B" w:rsidP="002E143B">
            <w:pPr>
              <w:rPr>
                <w:rFonts w:eastAsia="Times New Roman" w:cs="Calibri"/>
                <w:color w:val="000000"/>
              </w:rPr>
            </w:pPr>
            <w:r w:rsidRPr="003E2AF2">
              <w:rPr>
                <w:rFonts w:eastAsia="Times New Roman" w:cs="Calibri"/>
                <w:color w:val="000000"/>
              </w:rPr>
              <w:t xml:space="preserve">505       </w:t>
            </w:r>
            <w:proofErr w:type="gramStart"/>
            <w:r w:rsidRPr="003E2AF2">
              <w:rPr>
                <w:rFonts w:eastAsia="Times New Roman" w:cs="Calibri"/>
                <w:color w:val="000000"/>
              </w:rPr>
              <w:t xml:space="preserve">  .</w:t>
            </w:r>
            <w:proofErr w:type="gramEnd"/>
            <w:r w:rsidRPr="003E2AF2">
              <w:rPr>
                <w:rFonts w:eastAsia="Times New Roman" w:cs="Calibri"/>
                <w:color w:val="000000"/>
              </w:rPr>
              <w:t xml:space="preserve">   1640.912       4</w:t>
            </w:r>
          </w:p>
        </w:tc>
        <w:tc>
          <w:tcPr>
            <w:tcW w:w="960" w:type="dxa"/>
            <w:tcBorders>
              <w:top w:val="nil"/>
              <w:left w:val="nil"/>
              <w:bottom w:val="single" w:sz="4" w:space="0" w:color="auto"/>
              <w:right w:val="single" w:sz="4" w:space="0" w:color="auto"/>
            </w:tcBorders>
            <w:shd w:val="clear" w:color="auto" w:fill="auto"/>
            <w:noWrap/>
            <w:vAlign w:val="bottom"/>
            <w:hideMark/>
          </w:tcPr>
          <w:p w14:paraId="32C19599"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-3273.83</w:t>
            </w:r>
          </w:p>
        </w:tc>
        <w:tc>
          <w:tcPr>
            <w:tcW w:w="960" w:type="dxa"/>
            <w:tcBorders>
              <w:top w:val="nil"/>
              <w:left w:val="nil"/>
              <w:bottom w:val="single" w:sz="4" w:space="0" w:color="auto"/>
              <w:right w:val="single" w:sz="8" w:space="0" w:color="auto"/>
            </w:tcBorders>
            <w:shd w:val="clear" w:color="auto" w:fill="auto"/>
            <w:noWrap/>
            <w:vAlign w:val="bottom"/>
            <w:hideMark/>
          </w:tcPr>
          <w:p w14:paraId="4794ECD7"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-3256.93</w:t>
            </w:r>
          </w:p>
        </w:tc>
      </w:tr>
      <w:tr w:rsidR="007B399B" w:rsidRPr="003E2AF2" w14:paraId="541F83A5" w14:textId="77777777" w:rsidTr="002E143B">
        <w:trPr>
          <w:trHeight w:val="300"/>
        </w:trPr>
        <w:tc>
          <w:tcPr>
            <w:tcW w:w="2060" w:type="dxa"/>
            <w:tcBorders>
              <w:top w:val="nil"/>
              <w:left w:val="single" w:sz="8" w:space="0" w:color="auto"/>
              <w:bottom w:val="single" w:sz="4" w:space="0" w:color="auto"/>
              <w:right w:val="single" w:sz="4" w:space="0" w:color="auto"/>
            </w:tcBorders>
            <w:shd w:val="clear" w:color="000000" w:fill="BFBFBF"/>
            <w:noWrap/>
            <w:vAlign w:val="bottom"/>
            <w:hideMark/>
          </w:tcPr>
          <w:p w14:paraId="68252D38" w14:textId="77777777" w:rsidR="007B399B" w:rsidRPr="003E2AF2" w:rsidRDefault="007B399B" w:rsidP="002E143B">
            <w:pPr>
              <w:rPr>
                <w:rFonts w:eastAsia="Times New Roman" w:cs="Calibri"/>
                <w:color w:val="000000"/>
              </w:rPr>
            </w:pPr>
            <w:r w:rsidRPr="003E2AF2">
              <w:rPr>
                <w:rFonts w:eastAsia="Times New Roman" w:cs="Calibri"/>
                <w:color w:val="000000"/>
              </w:rPr>
              <w:t>GJRGARCH</w:t>
            </w:r>
          </w:p>
        </w:tc>
        <w:tc>
          <w:tcPr>
            <w:tcW w:w="3400" w:type="dxa"/>
            <w:tcBorders>
              <w:top w:val="nil"/>
              <w:left w:val="nil"/>
              <w:bottom w:val="single" w:sz="4" w:space="0" w:color="auto"/>
              <w:right w:val="single" w:sz="4" w:space="0" w:color="auto"/>
            </w:tcBorders>
            <w:shd w:val="clear" w:color="auto" w:fill="auto"/>
            <w:noWrap/>
            <w:vAlign w:val="bottom"/>
            <w:hideMark/>
          </w:tcPr>
          <w:p w14:paraId="7544A1AB" w14:textId="77777777" w:rsidR="007B399B" w:rsidRPr="003E2AF2" w:rsidRDefault="007B399B" w:rsidP="002E143B">
            <w:pPr>
              <w:rPr>
                <w:rFonts w:eastAsia="Times New Roman" w:cs="Calibri"/>
                <w:color w:val="000000"/>
              </w:rPr>
            </w:pPr>
            <w:r w:rsidRPr="003E2AF2">
              <w:rPr>
                <w:rFonts w:eastAsia="Times New Roman" w:cs="Calibri"/>
                <w:color w:val="000000"/>
              </w:rPr>
              <w:t xml:space="preserve">505       </w:t>
            </w:r>
            <w:proofErr w:type="gramStart"/>
            <w:r w:rsidRPr="003E2AF2">
              <w:rPr>
                <w:rFonts w:eastAsia="Times New Roman" w:cs="Calibri"/>
                <w:color w:val="000000"/>
              </w:rPr>
              <w:t xml:space="preserve">  .</w:t>
            </w:r>
            <w:proofErr w:type="gramEnd"/>
            <w:r w:rsidRPr="003E2AF2">
              <w:rPr>
                <w:rFonts w:eastAsia="Times New Roman" w:cs="Calibri"/>
                <w:color w:val="000000"/>
              </w:rPr>
              <w:t xml:space="preserve">    1644.93       5</w:t>
            </w:r>
          </w:p>
        </w:tc>
        <w:tc>
          <w:tcPr>
            <w:tcW w:w="960" w:type="dxa"/>
            <w:tcBorders>
              <w:top w:val="nil"/>
              <w:left w:val="nil"/>
              <w:bottom w:val="single" w:sz="4" w:space="0" w:color="auto"/>
              <w:right w:val="single" w:sz="4" w:space="0" w:color="auto"/>
            </w:tcBorders>
            <w:shd w:val="clear" w:color="auto" w:fill="auto"/>
            <w:noWrap/>
            <w:vAlign w:val="bottom"/>
            <w:hideMark/>
          </w:tcPr>
          <w:p w14:paraId="64FB25A3"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-3279.86</w:t>
            </w:r>
          </w:p>
        </w:tc>
        <w:tc>
          <w:tcPr>
            <w:tcW w:w="960" w:type="dxa"/>
            <w:tcBorders>
              <w:top w:val="nil"/>
              <w:left w:val="nil"/>
              <w:bottom w:val="single" w:sz="4" w:space="0" w:color="auto"/>
              <w:right w:val="single" w:sz="8" w:space="0" w:color="auto"/>
            </w:tcBorders>
            <w:shd w:val="clear" w:color="auto" w:fill="auto"/>
            <w:noWrap/>
            <w:vAlign w:val="bottom"/>
            <w:hideMark/>
          </w:tcPr>
          <w:p w14:paraId="11DFDC9F"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-3258.74</w:t>
            </w:r>
          </w:p>
        </w:tc>
      </w:tr>
      <w:tr w:rsidR="007B399B" w:rsidRPr="003E2AF2" w14:paraId="170BACFE" w14:textId="77777777" w:rsidTr="002E143B">
        <w:trPr>
          <w:trHeight w:val="300"/>
        </w:trPr>
        <w:tc>
          <w:tcPr>
            <w:tcW w:w="2060" w:type="dxa"/>
            <w:tcBorders>
              <w:top w:val="nil"/>
              <w:left w:val="single" w:sz="8" w:space="0" w:color="auto"/>
              <w:bottom w:val="single" w:sz="4" w:space="0" w:color="auto"/>
              <w:right w:val="single" w:sz="4" w:space="0" w:color="auto"/>
            </w:tcBorders>
            <w:shd w:val="clear" w:color="000000" w:fill="BFBFBF"/>
            <w:noWrap/>
            <w:vAlign w:val="bottom"/>
            <w:hideMark/>
          </w:tcPr>
          <w:p w14:paraId="580A4082" w14:textId="77777777" w:rsidR="007B399B" w:rsidRPr="003E2AF2" w:rsidRDefault="007B399B" w:rsidP="002E143B">
            <w:pPr>
              <w:rPr>
                <w:rFonts w:eastAsia="Times New Roman" w:cs="Calibri"/>
                <w:color w:val="000000"/>
              </w:rPr>
            </w:pPr>
            <w:r w:rsidRPr="003E2AF2">
              <w:rPr>
                <w:rFonts w:eastAsia="Times New Roman" w:cs="Calibri"/>
                <w:color w:val="000000"/>
              </w:rPr>
              <w:t>EGARCH</w:t>
            </w:r>
          </w:p>
        </w:tc>
        <w:tc>
          <w:tcPr>
            <w:tcW w:w="3400" w:type="dxa"/>
            <w:tcBorders>
              <w:top w:val="nil"/>
              <w:left w:val="nil"/>
              <w:bottom w:val="single" w:sz="4" w:space="0" w:color="auto"/>
              <w:right w:val="single" w:sz="4" w:space="0" w:color="auto"/>
            </w:tcBorders>
            <w:shd w:val="clear" w:color="auto" w:fill="auto"/>
            <w:noWrap/>
            <w:vAlign w:val="bottom"/>
            <w:hideMark/>
          </w:tcPr>
          <w:p w14:paraId="1C59A6D3" w14:textId="77777777" w:rsidR="007B399B" w:rsidRPr="003E2AF2" w:rsidRDefault="007B399B" w:rsidP="002E143B">
            <w:pPr>
              <w:rPr>
                <w:rFonts w:eastAsia="Times New Roman" w:cs="Calibri"/>
                <w:color w:val="000000"/>
              </w:rPr>
            </w:pPr>
            <w:r w:rsidRPr="003E2AF2">
              <w:rPr>
                <w:rFonts w:eastAsia="Times New Roman" w:cs="Calibri"/>
                <w:color w:val="000000"/>
              </w:rPr>
              <w:t xml:space="preserve">505       </w:t>
            </w:r>
            <w:proofErr w:type="gramStart"/>
            <w:r w:rsidRPr="003E2AF2">
              <w:rPr>
                <w:rFonts w:eastAsia="Times New Roman" w:cs="Calibri"/>
                <w:color w:val="000000"/>
              </w:rPr>
              <w:t xml:space="preserve">  .</w:t>
            </w:r>
            <w:proofErr w:type="gramEnd"/>
            <w:r w:rsidRPr="003E2AF2">
              <w:rPr>
                <w:rFonts w:eastAsia="Times New Roman" w:cs="Calibri"/>
                <w:color w:val="000000"/>
              </w:rPr>
              <w:t xml:space="preserve">   1635.082       5</w:t>
            </w:r>
          </w:p>
        </w:tc>
        <w:tc>
          <w:tcPr>
            <w:tcW w:w="960" w:type="dxa"/>
            <w:tcBorders>
              <w:top w:val="nil"/>
              <w:left w:val="nil"/>
              <w:bottom w:val="single" w:sz="4" w:space="0" w:color="auto"/>
              <w:right w:val="single" w:sz="4" w:space="0" w:color="auto"/>
            </w:tcBorders>
            <w:shd w:val="clear" w:color="auto" w:fill="auto"/>
            <w:noWrap/>
            <w:vAlign w:val="bottom"/>
            <w:hideMark/>
          </w:tcPr>
          <w:p w14:paraId="3661C033"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-3260.16</w:t>
            </w:r>
          </w:p>
        </w:tc>
        <w:tc>
          <w:tcPr>
            <w:tcW w:w="960" w:type="dxa"/>
            <w:tcBorders>
              <w:top w:val="nil"/>
              <w:left w:val="nil"/>
              <w:bottom w:val="single" w:sz="4" w:space="0" w:color="auto"/>
              <w:right w:val="single" w:sz="8" w:space="0" w:color="auto"/>
            </w:tcBorders>
            <w:shd w:val="clear" w:color="auto" w:fill="auto"/>
            <w:noWrap/>
            <w:vAlign w:val="bottom"/>
            <w:hideMark/>
          </w:tcPr>
          <w:p w14:paraId="5F172C4F"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-3239.04</w:t>
            </w:r>
          </w:p>
        </w:tc>
      </w:tr>
      <w:tr w:rsidR="007B399B" w:rsidRPr="003E2AF2" w14:paraId="48119A33" w14:textId="77777777" w:rsidTr="002E143B">
        <w:trPr>
          <w:trHeight w:val="315"/>
        </w:trPr>
        <w:tc>
          <w:tcPr>
            <w:tcW w:w="2060" w:type="dxa"/>
            <w:tcBorders>
              <w:top w:val="nil"/>
              <w:left w:val="single" w:sz="8" w:space="0" w:color="auto"/>
              <w:bottom w:val="single" w:sz="8" w:space="0" w:color="auto"/>
              <w:right w:val="single" w:sz="4" w:space="0" w:color="auto"/>
            </w:tcBorders>
            <w:shd w:val="clear" w:color="000000" w:fill="BFBFBF"/>
            <w:noWrap/>
            <w:vAlign w:val="bottom"/>
            <w:hideMark/>
          </w:tcPr>
          <w:p w14:paraId="35F83B08" w14:textId="77777777" w:rsidR="007B399B" w:rsidRPr="003E2AF2" w:rsidRDefault="007B399B" w:rsidP="002E143B">
            <w:pPr>
              <w:rPr>
                <w:rFonts w:eastAsia="Times New Roman" w:cs="Calibri"/>
                <w:color w:val="000000"/>
              </w:rPr>
            </w:pPr>
            <w:r w:rsidRPr="003E2AF2">
              <w:rPr>
                <w:rFonts w:eastAsia="Times New Roman" w:cs="Calibri"/>
                <w:color w:val="000000"/>
              </w:rPr>
              <w:t>AGARCH</w:t>
            </w:r>
          </w:p>
        </w:tc>
        <w:tc>
          <w:tcPr>
            <w:tcW w:w="3400" w:type="dxa"/>
            <w:tcBorders>
              <w:top w:val="nil"/>
              <w:left w:val="nil"/>
              <w:bottom w:val="single" w:sz="8" w:space="0" w:color="auto"/>
              <w:right w:val="single" w:sz="4" w:space="0" w:color="auto"/>
            </w:tcBorders>
            <w:shd w:val="clear" w:color="auto" w:fill="auto"/>
            <w:noWrap/>
            <w:vAlign w:val="bottom"/>
            <w:hideMark/>
          </w:tcPr>
          <w:p w14:paraId="0EFD6293" w14:textId="77777777" w:rsidR="007B399B" w:rsidRPr="003E2AF2" w:rsidRDefault="007B399B" w:rsidP="002E143B">
            <w:pPr>
              <w:rPr>
                <w:rFonts w:eastAsia="Times New Roman" w:cs="Calibri"/>
                <w:color w:val="000000"/>
              </w:rPr>
            </w:pPr>
            <w:r w:rsidRPr="003E2AF2">
              <w:rPr>
                <w:rFonts w:eastAsia="Times New Roman" w:cs="Calibri"/>
                <w:color w:val="000000"/>
              </w:rPr>
              <w:t xml:space="preserve">505       </w:t>
            </w:r>
            <w:proofErr w:type="gramStart"/>
            <w:r w:rsidRPr="003E2AF2">
              <w:rPr>
                <w:rFonts w:eastAsia="Times New Roman" w:cs="Calibri"/>
                <w:color w:val="000000"/>
              </w:rPr>
              <w:t xml:space="preserve">  .</w:t>
            </w:r>
            <w:proofErr w:type="gramEnd"/>
            <w:r w:rsidRPr="003E2AF2">
              <w:rPr>
                <w:rFonts w:eastAsia="Times New Roman" w:cs="Calibri"/>
                <w:color w:val="000000"/>
              </w:rPr>
              <w:t xml:space="preserve">   1644.568       5</w:t>
            </w:r>
          </w:p>
        </w:tc>
        <w:tc>
          <w:tcPr>
            <w:tcW w:w="960" w:type="dxa"/>
            <w:tcBorders>
              <w:top w:val="nil"/>
              <w:left w:val="nil"/>
              <w:bottom w:val="single" w:sz="8" w:space="0" w:color="auto"/>
              <w:right w:val="single" w:sz="4" w:space="0" w:color="auto"/>
            </w:tcBorders>
            <w:shd w:val="clear" w:color="auto" w:fill="auto"/>
            <w:noWrap/>
            <w:vAlign w:val="bottom"/>
            <w:hideMark/>
          </w:tcPr>
          <w:p w14:paraId="29BB4B84"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-3279.14</w:t>
            </w:r>
          </w:p>
        </w:tc>
        <w:tc>
          <w:tcPr>
            <w:tcW w:w="960" w:type="dxa"/>
            <w:tcBorders>
              <w:top w:val="nil"/>
              <w:left w:val="nil"/>
              <w:bottom w:val="single" w:sz="8" w:space="0" w:color="auto"/>
              <w:right w:val="single" w:sz="8" w:space="0" w:color="auto"/>
            </w:tcBorders>
            <w:shd w:val="clear" w:color="auto" w:fill="auto"/>
            <w:noWrap/>
            <w:vAlign w:val="bottom"/>
            <w:hideMark/>
          </w:tcPr>
          <w:p w14:paraId="114CBD94" w14:textId="77777777" w:rsidR="007B399B" w:rsidRPr="003E2AF2" w:rsidRDefault="007B399B" w:rsidP="002E143B">
            <w:pPr>
              <w:jc w:val="right"/>
              <w:rPr>
                <w:rFonts w:eastAsia="Times New Roman" w:cs="Calibri"/>
                <w:color w:val="000000"/>
              </w:rPr>
            </w:pPr>
            <w:r w:rsidRPr="003E2AF2">
              <w:rPr>
                <w:rFonts w:eastAsia="Times New Roman" w:cs="Calibri"/>
                <w:color w:val="000000"/>
              </w:rPr>
              <w:t>-3258.01</w:t>
            </w:r>
          </w:p>
        </w:tc>
      </w:tr>
    </w:tbl>
    <w:p w14:paraId="665582A6" w14:textId="77777777" w:rsidR="007B399B" w:rsidRPr="008532A5" w:rsidRDefault="007B399B" w:rsidP="007B399B">
      <w:pPr>
        <w:shd w:val="clear" w:color="auto" w:fill="FFFFFF"/>
        <w:spacing w:line="360" w:lineRule="auto"/>
        <w:jc w:val="both"/>
        <w:rPr>
          <w:rFonts w:ascii="Arial" w:eastAsia="Times New Roman" w:hAnsi="Arial"/>
          <w:sz w:val="24"/>
          <w:szCs w:val="24"/>
        </w:rPr>
      </w:pPr>
    </w:p>
    <w:p w14:paraId="7981F843" w14:textId="77777777" w:rsidR="007B399B" w:rsidRPr="00403ECE"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hAnsi="Times New Roman" w:cs="Times New Roman"/>
          <w:sz w:val="24"/>
          <w:szCs w:val="24"/>
        </w:rPr>
        <w:t>The GJR GARCH model returns the largest log likelihood in comparison to normal GARCH and EGARCH model, hence we use the daily volatility derived from the GJR model as our overall market volatility measurement. It is worth to note that, the normal GARCH (1, 1) model has the lowest Log likelihood value. That can be explained by the fact that as the market tends to response negative news more sensitively, the asymmetric GARCH model is able to capture the leverage and lag effects.</w:t>
      </w:r>
    </w:p>
    <w:p w14:paraId="3FD84EFD" w14:textId="1BDC9019" w:rsidR="007B399B" w:rsidRPr="00190B0A"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Appendix</w:t>
      </w:r>
      <w:r>
        <w:rPr>
          <w:rFonts w:ascii="Times New Roman" w:eastAsia="Times New Roman" w:hAnsi="Times New Roman" w:cs="Times New Roman"/>
          <w:sz w:val="24"/>
          <w:szCs w:val="24"/>
        </w:rPr>
        <w:t xml:space="preserve"> 3</w:t>
      </w:r>
      <w:r w:rsidR="007F0C39">
        <w:rPr>
          <w:rFonts w:ascii="Times New Roman" w:eastAsia="Times New Roman" w:hAnsi="Times New Roman" w:cs="Times New Roman"/>
          <w:sz w:val="24"/>
          <w:szCs w:val="24"/>
        </w:rPr>
        <w:t>.1</w:t>
      </w:r>
      <w:r w:rsidRPr="008532A5">
        <w:rPr>
          <w:rFonts w:ascii="Times New Roman" w:eastAsia="Times New Roman" w:hAnsi="Times New Roman" w:cs="Times New Roman"/>
          <w:sz w:val="24"/>
          <w:szCs w:val="24"/>
        </w:rPr>
        <w:t xml:space="preserve"> shows the comparative overview of the obtained research result. The </w:t>
      </w:r>
      <w:r w:rsidRPr="00446C40">
        <w:rPr>
          <w:rFonts w:ascii="Times New Roman" w:eastAsia="Times New Roman" w:hAnsi="Times New Roman" w:cs="Times New Roman"/>
          <w:sz w:val="24"/>
          <w:szCs w:val="24"/>
        </w:rPr>
        <w:t xml:space="preserve">above </w:t>
      </w:r>
      <w:r w:rsidRPr="008532A5">
        <w:rPr>
          <w:rFonts w:ascii="Times New Roman" w:eastAsia="Times New Roman" w:hAnsi="Times New Roman" w:cs="Times New Roman"/>
          <w:sz w:val="24"/>
          <w:szCs w:val="24"/>
        </w:rPr>
        <w:t>table shows the most optimal GARCH models</w:t>
      </w:r>
      <w:r w:rsidRPr="00446C40">
        <w:rPr>
          <w:rFonts w:ascii="Times New Roman" w:eastAsia="Times New Roman" w:hAnsi="Times New Roman" w:cs="Times New Roman"/>
          <w:sz w:val="24"/>
          <w:szCs w:val="24"/>
        </w:rPr>
        <w:t>-IFBM GARCH</w:t>
      </w:r>
      <w:r w:rsidRPr="008532A5">
        <w:rPr>
          <w:rFonts w:ascii="Times New Roman" w:eastAsia="Times New Roman" w:hAnsi="Times New Roman" w:cs="Times New Roman"/>
          <w:sz w:val="24"/>
          <w:szCs w:val="24"/>
        </w:rPr>
        <w:t xml:space="preserve"> (according to the lowest value of the </w:t>
      </w:r>
      <w:r w:rsidRPr="00446C40">
        <w:rPr>
          <w:rFonts w:ascii="Times New Roman" w:eastAsia="Times New Roman" w:hAnsi="Times New Roman" w:cs="Times New Roman"/>
          <w:sz w:val="24"/>
          <w:szCs w:val="24"/>
        </w:rPr>
        <w:t>A</w:t>
      </w:r>
      <w:r w:rsidRPr="008532A5">
        <w:rPr>
          <w:rFonts w:ascii="Times New Roman" w:eastAsia="Times New Roman" w:hAnsi="Times New Roman" w:cs="Times New Roman"/>
          <w:sz w:val="24"/>
          <w:szCs w:val="24"/>
        </w:rPr>
        <w:t xml:space="preserve">IC </w:t>
      </w:r>
      <w:r w:rsidRPr="00446C40">
        <w:rPr>
          <w:rFonts w:ascii="Times New Roman" w:eastAsia="Times New Roman" w:hAnsi="Times New Roman" w:cs="Times New Roman"/>
          <w:sz w:val="24"/>
          <w:szCs w:val="24"/>
        </w:rPr>
        <w:t>information criterion) for the observed</w:t>
      </w:r>
      <w:r w:rsidRPr="008532A5">
        <w:rPr>
          <w:rFonts w:ascii="Times New Roman" w:eastAsia="Times New Roman" w:hAnsi="Times New Roman" w:cs="Times New Roman"/>
          <w:sz w:val="24"/>
          <w:szCs w:val="24"/>
        </w:rPr>
        <w:t xml:space="preserve"> financial market in all observed periods</w:t>
      </w:r>
      <w:r w:rsidRPr="00446C40">
        <w:rPr>
          <w:rFonts w:ascii="Times New Roman" w:eastAsia="Times New Roman" w:hAnsi="Times New Roman" w:cs="Times New Roman"/>
          <w:sz w:val="24"/>
          <w:szCs w:val="24"/>
        </w:rPr>
        <w:t>.</w:t>
      </w:r>
      <w:r w:rsidRPr="008532A5">
        <w:rPr>
          <w:rFonts w:ascii="Times New Roman" w:eastAsia="Times New Roman" w:hAnsi="Times New Roman" w:cs="Times New Roman"/>
          <w:sz w:val="24"/>
          <w:szCs w:val="24"/>
        </w:rPr>
        <w:t xml:space="preserve"> </w:t>
      </w:r>
      <w:r w:rsidRPr="00190B0A">
        <w:rPr>
          <w:rFonts w:ascii="Times New Roman" w:eastAsia="Times New Roman" w:hAnsi="Times New Roman" w:cs="Times New Roman"/>
          <w:sz w:val="24"/>
          <w:szCs w:val="24"/>
        </w:rPr>
        <w:t xml:space="preserve">The selection of the best model based on the given criteria is the evidence of the impact of macroeconomic factors on the daily return rates of the </w:t>
      </w:r>
      <w:r w:rsidRPr="00446C40">
        <w:rPr>
          <w:rFonts w:ascii="Times New Roman" w:eastAsia="Times New Roman" w:hAnsi="Times New Roman" w:cs="Times New Roman"/>
          <w:sz w:val="24"/>
          <w:szCs w:val="24"/>
        </w:rPr>
        <w:t>S&amp;P 500</w:t>
      </w:r>
      <w:r w:rsidRPr="00190B0A">
        <w:rPr>
          <w:rFonts w:ascii="Times New Roman" w:eastAsia="Times New Roman" w:hAnsi="Times New Roman" w:cs="Times New Roman"/>
          <w:sz w:val="24"/>
          <w:szCs w:val="24"/>
        </w:rPr>
        <w:t xml:space="preserve"> stock index. In the entire period, the modified EGARCH model with the lowest </w:t>
      </w:r>
      <w:r w:rsidRPr="00446C40">
        <w:rPr>
          <w:rFonts w:ascii="Times New Roman" w:eastAsia="Times New Roman" w:hAnsi="Times New Roman" w:cs="Times New Roman"/>
          <w:sz w:val="24"/>
          <w:szCs w:val="24"/>
        </w:rPr>
        <w:t>A</w:t>
      </w:r>
      <w:r w:rsidRPr="00190B0A">
        <w:rPr>
          <w:rFonts w:ascii="Times New Roman" w:eastAsia="Times New Roman" w:hAnsi="Times New Roman" w:cs="Times New Roman"/>
          <w:sz w:val="24"/>
          <w:szCs w:val="24"/>
        </w:rPr>
        <w:t xml:space="preserve">IC criterium is most </w:t>
      </w:r>
      <w:r w:rsidRPr="00446C40">
        <w:rPr>
          <w:rFonts w:ascii="Times New Roman" w:eastAsia="Times New Roman" w:hAnsi="Times New Roman" w:cs="Times New Roman"/>
          <w:sz w:val="24"/>
          <w:szCs w:val="24"/>
        </w:rPr>
        <w:t>favourable</w:t>
      </w:r>
      <w:r w:rsidRPr="00190B0A">
        <w:rPr>
          <w:rFonts w:ascii="Times New Roman" w:eastAsia="Times New Roman" w:hAnsi="Times New Roman" w:cs="Times New Roman"/>
          <w:sz w:val="24"/>
          <w:szCs w:val="24"/>
        </w:rPr>
        <w:t xml:space="preserve">, the modified GARCH </w:t>
      </w:r>
      <w:r w:rsidRPr="00446C40">
        <w:rPr>
          <w:rFonts w:ascii="Times New Roman" w:eastAsia="Times New Roman" w:hAnsi="Times New Roman" w:cs="Times New Roman"/>
          <w:sz w:val="24"/>
          <w:szCs w:val="24"/>
        </w:rPr>
        <w:t>(1,1)</w:t>
      </w:r>
      <w:r w:rsidRPr="00190B0A">
        <w:rPr>
          <w:rFonts w:ascii="Times New Roman" w:eastAsia="Times New Roman" w:hAnsi="Times New Roman" w:cs="Times New Roman"/>
          <w:sz w:val="24"/>
          <w:szCs w:val="24"/>
        </w:rPr>
        <w:t xml:space="preserve"> model is optimal. In the observed periods,</w:t>
      </w:r>
      <w:r w:rsidRPr="00446C40">
        <w:rPr>
          <w:rFonts w:ascii="Times New Roman" w:eastAsia="Times New Roman" w:hAnsi="Times New Roman" w:cs="Times New Roman"/>
          <w:sz w:val="24"/>
          <w:szCs w:val="24"/>
        </w:rPr>
        <w:t xml:space="preserve"> various positive and negative</w:t>
      </w:r>
      <w:r w:rsidRPr="00190B0A">
        <w:rPr>
          <w:rFonts w:ascii="Times New Roman" w:eastAsia="Times New Roman" w:hAnsi="Times New Roman" w:cs="Times New Roman"/>
          <w:sz w:val="24"/>
          <w:szCs w:val="24"/>
        </w:rPr>
        <w:t xml:space="preserve"> impacts of macroeconomic factors on daily return rates of investment activities are recorded</w:t>
      </w:r>
      <w:r w:rsidRPr="00446C40">
        <w:rPr>
          <w:rFonts w:ascii="Times New Roman" w:eastAsia="Times New Roman" w:hAnsi="Times New Roman" w:cs="Times New Roman"/>
          <w:sz w:val="24"/>
          <w:szCs w:val="24"/>
        </w:rPr>
        <w:t>.</w:t>
      </w:r>
    </w:p>
    <w:p w14:paraId="685B0358" w14:textId="77777777" w:rsidR="007B399B" w:rsidRPr="00190B0A" w:rsidRDefault="007B399B" w:rsidP="007B399B">
      <w:pPr>
        <w:shd w:val="clear" w:color="auto" w:fill="FFFFFF"/>
        <w:spacing w:line="360" w:lineRule="auto"/>
        <w:contextualSpacing/>
        <w:jc w:val="both"/>
        <w:rPr>
          <w:rFonts w:ascii="Arial" w:eastAsia="Times New Roman" w:hAnsi="Arial"/>
          <w:sz w:val="30"/>
          <w:szCs w:val="30"/>
        </w:rPr>
      </w:pPr>
    </w:p>
    <w:p w14:paraId="069C3318" w14:textId="77777777" w:rsidR="007B399B" w:rsidRPr="007833BA" w:rsidRDefault="007B399B" w:rsidP="007B399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Furthermore, research</w:t>
      </w:r>
      <w:r w:rsidRPr="007833BA">
        <w:rPr>
          <w:rFonts w:ascii="Times New Roman" w:eastAsiaTheme="minorEastAsia" w:hAnsi="Times New Roman" w:cs="Times New Roman"/>
          <w:sz w:val="24"/>
          <w:szCs w:val="24"/>
        </w:rPr>
        <w:t xml:space="preserve"> conducted the estimation from different GARCH models, using daily log return</w:t>
      </w:r>
      <w:r>
        <w:rPr>
          <w:rFonts w:ascii="Times New Roman" w:eastAsiaTheme="minorEastAsia" w:hAnsi="Times New Roman" w:cs="Times New Roman"/>
          <w:sz w:val="24"/>
          <w:szCs w:val="24"/>
        </w:rPr>
        <w:t xml:space="preserve"> of S&amp;P 500</w:t>
      </w:r>
      <w:r w:rsidRPr="007833BA">
        <w:rPr>
          <w:rFonts w:ascii="Times New Roman" w:eastAsiaTheme="minorEastAsia" w:hAnsi="Times New Roman" w:cs="Times New Roman"/>
          <w:sz w:val="24"/>
          <w:szCs w:val="24"/>
        </w:rPr>
        <w:t xml:space="preserve"> covering the period </w:t>
      </w:r>
      <w:r>
        <w:rPr>
          <w:rFonts w:ascii="Times New Roman" w:eastAsiaTheme="minorEastAsia" w:hAnsi="Times New Roman" w:cs="Times New Roman"/>
          <w:sz w:val="24"/>
          <w:szCs w:val="24"/>
        </w:rPr>
        <w:t>1990 to 2013 with two years windows</w:t>
      </w:r>
      <w:r w:rsidRPr="007833BA">
        <w:rPr>
          <w:rFonts w:ascii="Times New Roman" w:eastAsiaTheme="minorEastAsia" w:hAnsi="Times New Roman" w:cs="Times New Roman"/>
          <w:sz w:val="24"/>
          <w:szCs w:val="24"/>
        </w:rPr>
        <w:t xml:space="preserve">, and the Table </w:t>
      </w:r>
      <w:r>
        <w:rPr>
          <w:rFonts w:ascii="Times New Roman" w:eastAsiaTheme="minorEastAsia" w:hAnsi="Times New Roman" w:cs="Times New Roman"/>
          <w:sz w:val="24"/>
          <w:szCs w:val="24"/>
        </w:rPr>
        <w:lastRenderedPageBreak/>
        <w:t>3.4.4</w:t>
      </w:r>
      <w:r w:rsidRPr="007833BA">
        <w:rPr>
          <w:rFonts w:ascii="Times New Roman" w:eastAsiaTheme="minorEastAsia" w:hAnsi="Times New Roman" w:cs="Times New Roman"/>
          <w:sz w:val="24"/>
          <w:szCs w:val="24"/>
        </w:rPr>
        <w:t xml:space="preserve"> shows the results of normal symmetric</w:t>
      </w:r>
      <w:r>
        <w:rPr>
          <w:rFonts w:ascii="Times New Roman" w:eastAsiaTheme="minorEastAsia" w:hAnsi="Times New Roman" w:cs="Times New Roman"/>
          <w:sz w:val="24"/>
          <w:szCs w:val="24"/>
        </w:rPr>
        <w:t xml:space="preserve"> and</w:t>
      </w:r>
      <w:r w:rsidRPr="007833BA">
        <w:rPr>
          <w:rFonts w:ascii="Times New Roman" w:eastAsiaTheme="minorEastAsia" w:hAnsi="Times New Roman" w:cs="Times New Roman"/>
          <w:sz w:val="24"/>
          <w:szCs w:val="24"/>
        </w:rPr>
        <w:t xml:space="preserve"> normal asymmetric GARCH models for </w:t>
      </w:r>
      <w:r>
        <w:rPr>
          <w:rFonts w:ascii="Times New Roman" w:eastAsiaTheme="minorEastAsia" w:hAnsi="Times New Roman" w:cs="Times New Roman"/>
          <w:sz w:val="24"/>
          <w:szCs w:val="24"/>
        </w:rPr>
        <w:t>first window</w:t>
      </w:r>
      <w:r w:rsidRPr="007833BA">
        <w:rPr>
          <w:rFonts w:ascii="Times New Roman" w:eastAsiaTheme="minorEastAsia" w:hAnsi="Times New Roman" w:cs="Times New Roman"/>
          <w:sz w:val="24"/>
          <w:szCs w:val="24"/>
        </w:rPr>
        <w:t>. The parameter estimated in GJR-GARCH model using STATA; it has hit the boundary condition for both Stock market ind</w:t>
      </w:r>
      <w:r>
        <w:rPr>
          <w:rFonts w:ascii="Times New Roman" w:eastAsiaTheme="minorEastAsia" w:hAnsi="Times New Roman" w:cs="Times New Roman"/>
          <w:sz w:val="24"/>
          <w:szCs w:val="24"/>
        </w:rPr>
        <w:t>ex</w:t>
      </w:r>
      <w:r w:rsidRPr="007833BA">
        <w:rPr>
          <w:rFonts w:ascii="Times New Roman" w:eastAsiaTheme="minorEastAsia" w:hAnsi="Times New Roman" w:cs="Times New Roman"/>
          <w:sz w:val="24"/>
          <w:szCs w:val="24"/>
        </w:rPr>
        <w:t xml:space="preserve"> over the selected period, and also the excel optimizer provided the best E-GARCH convergence solution for the solution of long-term volatility that is also the case for both of the stock market indices. The optimizer generated the highest value of likelihood function using E-GARCH model however the likelihood generated for S&amp;P 500 is significantly higher than another model. </w:t>
      </w:r>
    </w:p>
    <w:p w14:paraId="3160D751" w14:textId="77777777" w:rsidR="007B399B" w:rsidRDefault="007B399B" w:rsidP="007B399B">
      <w:pPr>
        <w:jc w:val="both"/>
        <w:rPr>
          <w:rFonts w:eastAsiaTheme="minorEastAsia"/>
          <w:sz w:val="24"/>
          <w:szCs w:val="24"/>
        </w:rPr>
      </w:pPr>
    </w:p>
    <w:p w14:paraId="6B310FB8" w14:textId="77777777" w:rsidR="007B399B" w:rsidRPr="005519A3" w:rsidRDefault="007B399B" w:rsidP="007B399B">
      <w:pPr>
        <w:spacing w:line="360" w:lineRule="auto"/>
        <w:jc w:val="both"/>
        <w:rPr>
          <w:rFonts w:ascii="Times New Roman" w:eastAsiaTheme="minorEastAsia" w:hAnsi="Times New Roman" w:cs="Times New Roman"/>
          <w:sz w:val="24"/>
          <w:szCs w:val="24"/>
        </w:rPr>
      </w:pPr>
      <w:r w:rsidRPr="005519A3">
        <w:rPr>
          <w:rFonts w:ascii="Times New Roman" w:eastAsiaTheme="minorEastAsia" w:hAnsi="Times New Roman" w:cs="Times New Roman"/>
          <w:sz w:val="24"/>
          <w:szCs w:val="24"/>
        </w:rPr>
        <w:t xml:space="preserve">It is recommended that the volatility estimated from GARCH models is superior to any other models, such as moving average models that normally have constant term structure and lead towards the inconsistency of volatility clustering as it is common in liquid market. The magnificence of GARCH models is that the maximum likelihood is used to estimate the GARCH parameters optimally; therefore, they provide the best fit of the data then the parameters of moving average models. The reason is the mechanism of the IFBM GARCH volatility models that are purposely designed to capture the volatility clustering. </w:t>
      </w:r>
    </w:p>
    <w:p w14:paraId="5435091E" w14:textId="77777777" w:rsidR="007B399B" w:rsidRPr="005519A3" w:rsidRDefault="007B399B" w:rsidP="007B399B">
      <w:pPr>
        <w:spacing w:line="360" w:lineRule="auto"/>
        <w:rPr>
          <w:rFonts w:ascii="Times New Roman" w:hAnsi="Times New Roman" w:cs="Times New Roman"/>
          <w:sz w:val="24"/>
          <w:szCs w:val="24"/>
        </w:rPr>
      </w:pPr>
      <w:r w:rsidRPr="005519A3">
        <w:rPr>
          <w:rFonts w:ascii="Times New Roman" w:hAnsi="Times New Roman" w:cs="Times New Roman"/>
          <w:sz w:val="24"/>
          <w:szCs w:val="24"/>
        </w:rPr>
        <w:br w:type="page"/>
      </w:r>
    </w:p>
    <w:p w14:paraId="4CF34AC5" w14:textId="77777777" w:rsidR="008128CD" w:rsidRDefault="007B399B" w:rsidP="008128CD">
      <w:pPr>
        <w:keepNext/>
        <w:spacing w:line="360" w:lineRule="auto"/>
      </w:pPr>
      <w:bookmarkStart w:id="204" w:name="_Hlk78491896"/>
      <w:r w:rsidRPr="007833BA">
        <w:rPr>
          <w:rFonts w:ascii="Times New Roman" w:hAnsi="Times New Roman" w:cs="Times New Roman"/>
          <w:b/>
          <w:bCs/>
          <w:sz w:val="24"/>
          <w:szCs w:val="24"/>
        </w:rPr>
        <w:lastRenderedPageBreak/>
        <w:t>Figure 3.4.1 t</w:t>
      </w:r>
      <w:r w:rsidRPr="007833BA">
        <w:rPr>
          <w:rFonts w:ascii="Times New Roman" w:hAnsi="Times New Roman" w:cs="Times New Roman"/>
          <w:b/>
          <w:bCs/>
          <w:color w:val="2E2E2E"/>
          <w:sz w:val="24"/>
          <w:szCs w:val="24"/>
        </w:rPr>
        <w:t>hree different examples of daily</w:t>
      </w:r>
      <w:r>
        <w:rPr>
          <w:rFonts w:ascii="Times New Roman" w:hAnsi="Times New Roman" w:cs="Times New Roman"/>
          <w:b/>
          <w:bCs/>
          <w:color w:val="2E2E2E"/>
          <w:sz w:val="24"/>
          <w:szCs w:val="24"/>
        </w:rPr>
        <w:t xml:space="preserve"> S&amp;P 500</w:t>
      </w:r>
      <w:r w:rsidRPr="007833BA">
        <w:rPr>
          <w:rFonts w:ascii="Times New Roman" w:hAnsi="Times New Roman" w:cs="Times New Roman"/>
          <w:b/>
          <w:bCs/>
          <w:color w:val="2E2E2E"/>
          <w:sz w:val="24"/>
          <w:szCs w:val="24"/>
        </w:rPr>
        <w:t xml:space="preserve"> return series</w:t>
      </w:r>
      <w:r>
        <w:rPr>
          <w:rFonts w:ascii="Times New Roman" w:hAnsi="Times New Roman" w:cs="Times New Roman"/>
          <w:b/>
          <w:bCs/>
          <w:color w:val="2E2E2E"/>
          <w:sz w:val="24"/>
          <w:szCs w:val="24"/>
        </w:rPr>
        <w:t xml:space="preserve"> </w:t>
      </w:r>
      <w:r w:rsidRPr="007833BA">
        <w:rPr>
          <w:rFonts w:ascii="Times New Roman" w:hAnsi="Times New Roman" w:cs="Times New Roman"/>
          <w:b/>
          <w:bCs/>
          <w:color w:val="2E2E2E"/>
          <w:sz w:val="24"/>
          <w:szCs w:val="24"/>
        </w:rPr>
        <w:t>(1990-2013)</w:t>
      </w:r>
      <w:bookmarkEnd w:id="204"/>
      <w:r w:rsidRPr="00D5119A">
        <w:rPr>
          <w:noProof/>
          <w:lang w:eastAsia="en-GB"/>
        </w:rPr>
        <w:drawing>
          <wp:inline distT="0" distB="0" distL="0" distR="0" wp14:anchorId="36143B1E" wp14:editId="753266F6">
            <wp:extent cx="8229446" cy="58667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5400000">
                      <a:off x="0" y="0"/>
                      <a:ext cx="8248603" cy="5880422"/>
                    </a:xfrm>
                    <a:prstGeom prst="rect">
                      <a:avLst/>
                    </a:prstGeom>
                    <a:noFill/>
                    <a:ln>
                      <a:noFill/>
                    </a:ln>
                  </pic:spPr>
                </pic:pic>
              </a:graphicData>
            </a:graphic>
          </wp:inline>
        </w:drawing>
      </w:r>
    </w:p>
    <w:p w14:paraId="052BF2E4" w14:textId="6A8BCBF0" w:rsidR="00AA6A82" w:rsidRPr="008128CD" w:rsidRDefault="008128CD" w:rsidP="008128CD">
      <w:pPr>
        <w:pStyle w:val="Caption"/>
        <w:rPr>
          <w:rFonts w:ascii="Times New Roman" w:hAnsi="Times New Roman" w:cs="Times New Roman"/>
          <w:color w:val="auto"/>
          <w:sz w:val="24"/>
          <w:szCs w:val="24"/>
        </w:rPr>
      </w:pPr>
      <w:bookmarkStart w:id="205" w:name="_Toc78498696"/>
      <w:r w:rsidRPr="008128CD">
        <w:rPr>
          <w:rFonts w:ascii="Times New Roman" w:hAnsi="Times New Roman" w:cs="Times New Roman"/>
          <w:color w:val="auto"/>
          <w:sz w:val="24"/>
          <w:szCs w:val="24"/>
        </w:rPr>
        <w:lastRenderedPageBreak/>
        <w:t xml:space="preserve">Figure </w:t>
      </w:r>
      <w:r w:rsidR="000D388A">
        <w:rPr>
          <w:rFonts w:ascii="Times New Roman" w:hAnsi="Times New Roman" w:cs="Times New Roman"/>
          <w:color w:val="auto"/>
          <w:sz w:val="24"/>
          <w:szCs w:val="24"/>
        </w:rPr>
        <w:t>3.4.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STYLEREF 1 \s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0</w:t>
      </w:r>
      <w:r w:rsidR="00AF7FD4">
        <w:rPr>
          <w:rFonts w:ascii="Times New Roman" w:hAnsi="Times New Roman" w:cs="Times New Roman"/>
          <w:color w:val="auto"/>
          <w:sz w:val="24"/>
          <w:szCs w:val="24"/>
        </w:rPr>
        <w:fldChar w:fldCharType="end"/>
      </w:r>
      <w:r w:rsidR="00AF7FD4">
        <w:rPr>
          <w:rFonts w:ascii="Times New Roman" w:hAnsi="Times New Roman" w:cs="Times New Roman"/>
          <w:color w:val="auto"/>
          <w:sz w:val="24"/>
          <w:szCs w:val="24"/>
        </w:rPr>
        <w:noBreakHyphen/>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1</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three different examples of daily S&amp;P 500 return series (1990-2013)</w:t>
      </w:r>
      <w:bookmarkEnd w:id="205"/>
    </w:p>
    <w:p w14:paraId="7B0C9225" w14:textId="77777777" w:rsidR="007B399B" w:rsidRDefault="007B399B" w:rsidP="00B70363">
      <w:r w:rsidRPr="00E96D3A">
        <w:rPr>
          <w:noProof/>
          <w:lang w:eastAsia="en-GB"/>
        </w:rPr>
        <w:drawing>
          <wp:inline distT="0" distB="0" distL="0" distR="0" wp14:anchorId="6B794C0A" wp14:editId="3A5CD7E6">
            <wp:extent cx="8074289" cy="58312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5400000">
                      <a:off x="0" y="0"/>
                      <a:ext cx="8090410" cy="5842847"/>
                    </a:xfrm>
                    <a:prstGeom prst="rect">
                      <a:avLst/>
                    </a:prstGeom>
                    <a:noFill/>
                    <a:ln>
                      <a:noFill/>
                    </a:ln>
                  </pic:spPr>
                </pic:pic>
              </a:graphicData>
            </a:graphic>
          </wp:inline>
        </w:drawing>
      </w:r>
    </w:p>
    <w:p w14:paraId="2C4F90A0" w14:textId="77777777" w:rsidR="007B399B" w:rsidRPr="00B70363" w:rsidRDefault="007B399B" w:rsidP="00B70363">
      <w:pPr>
        <w:spacing w:line="360" w:lineRule="auto"/>
        <w:jc w:val="both"/>
        <w:rPr>
          <w:rFonts w:ascii="Times New Roman" w:hAnsi="Times New Roman" w:cs="Times New Roman"/>
          <w:b/>
          <w:bCs/>
          <w:sz w:val="24"/>
          <w:szCs w:val="24"/>
        </w:rPr>
      </w:pPr>
      <w:r w:rsidRPr="00B70363">
        <w:rPr>
          <w:rFonts w:ascii="Times New Roman" w:hAnsi="Times New Roman" w:cs="Times New Roman"/>
          <w:sz w:val="24"/>
          <w:szCs w:val="24"/>
        </w:rPr>
        <w:lastRenderedPageBreak/>
        <w:t xml:space="preserve">Figure </w:t>
      </w:r>
      <w:r w:rsidRPr="00B70363">
        <w:rPr>
          <w:rFonts w:ascii="Times New Roman" w:hAnsi="Times New Roman" w:cs="Times New Roman"/>
          <w:b/>
          <w:bCs/>
          <w:sz w:val="24"/>
          <w:szCs w:val="24"/>
        </w:rPr>
        <w:t>3.</w:t>
      </w:r>
      <w:r w:rsidRPr="00B70363">
        <w:rPr>
          <w:rFonts w:ascii="Times New Roman" w:hAnsi="Times New Roman" w:cs="Times New Roman"/>
          <w:sz w:val="24"/>
          <w:szCs w:val="24"/>
        </w:rPr>
        <w:t xml:space="preserve">4.1 represents three different examples of return series corresponding to daily financial data of S&amp;P 500 stock index: (a) The historic Standard and Poor 500 Index (S&amp;P 500) from January 1, 1990, to December 31, 2013; (b) The Simulated GARCH return from January 1, 1990, to December 31, 2013; (c) Irrational Fractional Brownian Motion return from January 1, 1990, to December 31, 2013. In Fig </w:t>
      </w:r>
      <w:r w:rsidRPr="00B70363">
        <w:rPr>
          <w:rFonts w:ascii="Times New Roman" w:hAnsi="Times New Roman" w:cs="Times New Roman"/>
          <w:b/>
          <w:bCs/>
          <w:sz w:val="24"/>
          <w:szCs w:val="24"/>
        </w:rPr>
        <w:t>3.</w:t>
      </w:r>
      <w:r w:rsidRPr="00B70363">
        <w:rPr>
          <w:rFonts w:ascii="Times New Roman" w:hAnsi="Times New Roman" w:cs="Times New Roman"/>
          <w:sz w:val="24"/>
          <w:szCs w:val="24"/>
        </w:rPr>
        <w:t>4.1 plot represents the daily returns of these three series. This plot suggests that the series contain several outliers that correspond to unusually large movements in the returns.</w:t>
      </w:r>
    </w:p>
    <w:p w14:paraId="036C20D2" w14:textId="77777777" w:rsidR="007B399B" w:rsidRPr="00B70363" w:rsidRDefault="007B399B" w:rsidP="00B70363">
      <w:pPr>
        <w:spacing w:line="360" w:lineRule="auto"/>
        <w:jc w:val="both"/>
        <w:rPr>
          <w:rFonts w:ascii="Times New Roman" w:hAnsi="Times New Roman" w:cs="Times New Roman"/>
          <w:sz w:val="24"/>
          <w:szCs w:val="24"/>
        </w:rPr>
      </w:pPr>
    </w:p>
    <w:p w14:paraId="6633D1D5" w14:textId="0A227B7E" w:rsidR="007B399B" w:rsidRPr="00B70363" w:rsidRDefault="007B399B" w:rsidP="00B70363">
      <w:pPr>
        <w:spacing w:line="360" w:lineRule="auto"/>
        <w:jc w:val="both"/>
        <w:rPr>
          <w:rFonts w:ascii="Times New Roman" w:hAnsi="Times New Roman" w:cs="Times New Roman"/>
          <w:b/>
          <w:bCs/>
          <w:sz w:val="24"/>
          <w:szCs w:val="24"/>
        </w:rPr>
      </w:pPr>
      <w:r w:rsidRPr="00B70363">
        <w:rPr>
          <w:rFonts w:ascii="Times New Roman" w:hAnsi="Times New Roman" w:cs="Times New Roman"/>
          <w:sz w:val="24"/>
          <w:szCs w:val="24"/>
        </w:rPr>
        <w:t>Also,</w:t>
      </w:r>
      <w:bookmarkStart w:id="206" w:name="bf0005"/>
      <w:r w:rsidRPr="00B70363">
        <w:rPr>
          <w:rFonts w:ascii="Times New Roman" w:hAnsi="Times New Roman" w:cs="Times New Roman"/>
          <w:sz w:val="24"/>
          <w:szCs w:val="24"/>
        </w:rPr>
        <w:t xml:space="preserve"> figure </w:t>
      </w:r>
      <w:r w:rsidRPr="00B70363">
        <w:rPr>
          <w:rFonts w:ascii="Times New Roman" w:hAnsi="Times New Roman" w:cs="Times New Roman"/>
          <w:b/>
          <w:bCs/>
          <w:sz w:val="24"/>
          <w:szCs w:val="24"/>
        </w:rPr>
        <w:t>3.</w:t>
      </w:r>
      <w:r w:rsidRPr="00B70363">
        <w:rPr>
          <w:rFonts w:ascii="Times New Roman" w:hAnsi="Times New Roman" w:cs="Times New Roman"/>
          <w:sz w:val="24"/>
          <w:szCs w:val="24"/>
        </w:rPr>
        <w:t xml:space="preserve">4.1 is drawn to further illustrate the variation features of stocks returns using different models over time. </w:t>
      </w:r>
      <w:bookmarkEnd w:id="206"/>
      <w:r w:rsidRPr="00B70363">
        <w:rPr>
          <w:rFonts w:ascii="Times New Roman" w:hAnsi="Times New Roman" w:cs="Times New Roman"/>
          <w:sz w:val="24"/>
          <w:szCs w:val="24"/>
        </w:rPr>
        <w:t xml:space="preserve">The mean values and standard deviations of these series are relatively close to each other, respectively (please see appendix </w:t>
      </w:r>
      <w:r w:rsidRPr="00B70363">
        <w:rPr>
          <w:rFonts w:ascii="Times New Roman" w:hAnsi="Times New Roman" w:cs="Times New Roman"/>
          <w:b/>
          <w:bCs/>
          <w:sz w:val="24"/>
          <w:szCs w:val="24"/>
        </w:rPr>
        <w:t>3</w:t>
      </w:r>
      <w:r w:rsidR="007F0C39">
        <w:rPr>
          <w:rFonts w:ascii="Times New Roman" w:hAnsi="Times New Roman" w:cs="Times New Roman"/>
          <w:b/>
          <w:bCs/>
          <w:sz w:val="24"/>
          <w:szCs w:val="24"/>
        </w:rPr>
        <w:t>.1</w:t>
      </w:r>
      <w:r w:rsidRPr="00B70363">
        <w:rPr>
          <w:rFonts w:ascii="Times New Roman" w:hAnsi="Times New Roman" w:cs="Times New Roman"/>
          <w:sz w:val="24"/>
          <w:szCs w:val="24"/>
        </w:rPr>
        <w:t>). It is also observed that all the series are negatively skewed and leptokurtic. In addition, the figures show that S&amp;P 500 stock return series exhibit high volatility over time.</w:t>
      </w:r>
    </w:p>
    <w:p w14:paraId="6D05C566" w14:textId="77777777" w:rsidR="007B399B" w:rsidRDefault="007B399B" w:rsidP="007B399B"/>
    <w:p w14:paraId="1172BEE9" w14:textId="77777777" w:rsidR="007B399B" w:rsidRDefault="007B399B" w:rsidP="007B399B"/>
    <w:p w14:paraId="7A12B700" w14:textId="77777777" w:rsidR="007B399B" w:rsidRDefault="007B399B" w:rsidP="007B399B"/>
    <w:p w14:paraId="3B036A58" w14:textId="77777777" w:rsidR="007B399B" w:rsidRDefault="007B399B" w:rsidP="007B399B"/>
    <w:p w14:paraId="0D1388D0" w14:textId="77777777" w:rsidR="007B399B" w:rsidRDefault="007B399B" w:rsidP="007B399B"/>
    <w:p w14:paraId="41745B0B" w14:textId="77777777" w:rsidR="007B399B" w:rsidRDefault="007B399B" w:rsidP="007B399B"/>
    <w:p w14:paraId="27D599C7" w14:textId="77777777" w:rsidR="007B399B" w:rsidRDefault="007B399B" w:rsidP="007B399B"/>
    <w:p w14:paraId="48792688" w14:textId="77777777" w:rsidR="007B399B" w:rsidRDefault="007B399B" w:rsidP="007B399B"/>
    <w:p w14:paraId="6AC814EF" w14:textId="77777777" w:rsidR="007B399B" w:rsidRDefault="007B399B" w:rsidP="007B399B"/>
    <w:p w14:paraId="18D7F363" w14:textId="77777777" w:rsidR="007B399B" w:rsidRDefault="007B399B" w:rsidP="007B399B"/>
    <w:p w14:paraId="2FA0D96F" w14:textId="77777777" w:rsidR="007B399B" w:rsidRDefault="007B399B" w:rsidP="007B399B"/>
    <w:p w14:paraId="48C24134" w14:textId="77777777" w:rsidR="007B399B" w:rsidRDefault="007B399B" w:rsidP="007B399B"/>
    <w:p w14:paraId="5F4C4579" w14:textId="77777777" w:rsidR="007B399B" w:rsidRDefault="007B399B" w:rsidP="007B399B"/>
    <w:p w14:paraId="0C122E25" w14:textId="77777777" w:rsidR="007B399B" w:rsidRDefault="007B399B" w:rsidP="007B399B"/>
    <w:p w14:paraId="3080E63C" w14:textId="77777777" w:rsidR="007B399B" w:rsidRDefault="007B399B" w:rsidP="007B399B"/>
    <w:p w14:paraId="5C0D4664" w14:textId="77777777" w:rsidR="007B399B" w:rsidRDefault="007B399B" w:rsidP="007B399B"/>
    <w:p w14:paraId="37071FC0" w14:textId="6041CE9D" w:rsidR="007B399B" w:rsidRDefault="007B399B" w:rsidP="007B399B">
      <w:pPr>
        <w:rPr>
          <w:b/>
          <w:bCs/>
          <w:sz w:val="24"/>
          <w:szCs w:val="24"/>
        </w:rPr>
      </w:pPr>
      <w:r w:rsidRPr="007833BA">
        <w:rPr>
          <w:rFonts w:ascii="Times New Roman" w:hAnsi="Times New Roman" w:cs="Times New Roman"/>
          <w:b/>
          <w:bCs/>
          <w:sz w:val="24"/>
          <w:szCs w:val="24"/>
        </w:rPr>
        <w:lastRenderedPageBreak/>
        <w:t>Figure 3.4.2 three different examples of daily S&amp;P 500 residuals (1990-2013)</w:t>
      </w:r>
    </w:p>
    <w:p w14:paraId="2332137C" w14:textId="77777777" w:rsidR="008128CD" w:rsidRDefault="007B399B" w:rsidP="008128CD">
      <w:pPr>
        <w:keepNext/>
      </w:pPr>
      <w:r w:rsidRPr="00E96D3A">
        <w:rPr>
          <w:noProof/>
          <w:szCs w:val="24"/>
          <w:lang w:eastAsia="en-GB"/>
        </w:rPr>
        <w:drawing>
          <wp:inline distT="0" distB="0" distL="0" distR="0" wp14:anchorId="38B23D5A" wp14:editId="44091D68">
            <wp:extent cx="8154748" cy="575167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5400000">
                      <a:off x="0" y="0"/>
                      <a:ext cx="8169870" cy="5762345"/>
                    </a:xfrm>
                    <a:prstGeom prst="rect">
                      <a:avLst/>
                    </a:prstGeom>
                    <a:noFill/>
                    <a:ln>
                      <a:noFill/>
                    </a:ln>
                  </pic:spPr>
                </pic:pic>
              </a:graphicData>
            </a:graphic>
          </wp:inline>
        </w:drawing>
      </w:r>
    </w:p>
    <w:p w14:paraId="693E5818" w14:textId="0CC6A3AC" w:rsidR="00AA6A82" w:rsidRPr="008128CD" w:rsidRDefault="008128CD" w:rsidP="008128CD">
      <w:pPr>
        <w:pStyle w:val="Caption"/>
        <w:rPr>
          <w:rFonts w:ascii="Times New Roman" w:hAnsi="Times New Roman" w:cs="Times New Roman"/>
          <w:color w:val="auto"/>
          <w:sz w:val="24"/>
          <w:szCs w:val="24"/>
        </w:rPr>
      </w:pPr>
      <w:bookmarkStart w:id="207" w:name="_Toc78498697"/>
      <w:r w:rsidRPr="008128CD">
        <w:rPr>
          <w:rFonts w:ascii="Times New Roman" w:hAnsi="Times New Roman" w:cs="Times New Roman"/>
          <w:color w:val="auto"/>
          <w:sz w:val="24"/>
          <w:szCs w:val="24"/>
        </w:rPr>
        <w:t xml:space="preserve">Figure </w:t>
      </w:r>
      <w:r w:rsidR="000D388A">
        <w:rPr>
          <w:rFonts w:ascii="Times New Roman" w:hAnsi="Times New Roman" w:cs="Times New Roman"/>
          <w:color w:val="auto"/>
          <w:sz w:val="24"/>
          <w:szCs w:val="24"/>
        </w:rPr>
        <w:t>3.4.</w:t>
      </w:r>
      <w:r w:rsidR="00AF7FD4">
        <w:rPr>
          <w:rFonts w:ascii="Times New Roman" w:hAnsi="Times New Roman" w:cs="Times New Roman"/>
          <w:color w:val="auto"/>
          <w:sz w:val="24"/>
          <w:szCs w:val="24"/>
        </w:rPr>
        <w:fldChar w:fldCharType="begin"/>
      </w:r>
      <w:r w:rsidR="00AF7FD4">
        <w:rPr>
          <w:rFonts w:ascii="Times New Roman" w:hAnsi="Times New Roman" w:cs="Times New Roman"/>
          <w:color w:val="auto"/>
          <w:sz w:val="24"/>
          <w:szCs w:val="24"/>
        </w:rPr>
        <w:instrText xml:space="preserve"> SEQ Figure \* ARABIC \s 1 </w:instrText>
      </w:r>
      <w:r w:rsidR="00AF7FD4">
        <w:rPr>
          <w:rFonts w:ascii="Times New Roman" w:hAnsi="Times New Roman" w:cs="Times New Roman"/>
          <w:color w:val="auto"/>
          <w:sz w:val="24"/>
          <w:szCs w:val="24"/>
        </w:rPr>
        <w:fldChar w:fldCharType="separate"/>
      </w:r>
      <w:r w:rsidR="00AF7FD4">
        <w:rPr>
          <w:rFonts w:ascii="Times New Roman" w:hAnsi="Times New Roman" w:cs="Times New Roman"/>
          <w:noProof/>
          <w:color w:val="auto"/>
          <w:sz w:val="24"/>
          <w:szCs w:val="24"/>
        </w:rPr>
        <w:t>2</w:t>
      </w:r>
      <w:r w:rsidR="00AF7FD4">
        <w:rPr>
          <w:rFonts w:ascii="Times New Roman" w:hAnsi="Times New Roman" w:cs="Times New Roman"/>
          <w:color w:val="auto"/>
          <w:sz w:val="24"/>
          <w:szCs w:val="24"/>
        </w:rPr>
        <w:fldChar w:fldCharType="end"/>
      </w:r>
      <w:r w:rsidRPr="008128CD">
        <w:rPr>
          <w:rFonts w:ascii="Times New Roman" w:hAnsi="Times New Roman" w:cs="Times New Roman"/>
          <w:color w:val="auto"/>
          <w:sz w:val="24"/>
          <w:szCs w:val="24"/>
        </w:rPr>
        <w:t xml:space="preserve"> three different examples of daily S&amp;P 500 residuals (1990-2013)</w:t>
      </w:r>
      <w:bookmarkEnd w:id="207"/>
    </w:p>
    <w:p w14:paraId="695A7E76" w14:textId="2CB9E5BD" w:rsidR="00AA6A82" w:rsidRPr="00A27ECC" w:rsidRDefault="00AA6A82" w:rsidP="00AA6A82">
      <w:pPr>
        <w:rPr>
          <w:rFonts w:ascii="Times New Roman" w:hAnsi="Times New Roman" w:cs="Times New Roman"/>
          <w:b/>
          <w:bCs/>
          <w:color w:val="000000" w:themeColor="text1"/>
          <w:sz w:val="24"/>
          <w:szCs w:val="24"/>
        </w:rPr>
      </w:pPr>
      <w:r w:rsidRPr="00A27ECC">
        <w:rPr>
          <w:rFonts w:ascii="Times New Roman" w:hAnsi="Times New Roman" w:cs="Times New Roman"/>
          <w:b/>
          <w:bCs/>
          <w:color w:val="000000" w:themeColor="text1"/>
          <w:sz w:val="24"/>
          <w:szCs w:val="24"/>
        </w:rPr>
        <w:lastRenderedPageBreak/>
        <w:t>Figure 3.4.2 three different examples of daily S&amp;P 500 residuals (1990-2013)</w:t>
      </w:r>
    </w:p>
    <w:p w14:paraId="3FE61A8D" w14:textId="77777777" w:rsidR="007B399B" w:rsidRPr="00282968" w:rsidRDefault="007B399B" w:rsidP="00B70363">
      <w:pPr>
        <w:rPr>
          <w:lang w:val="en-US"/>
        </w:rPr>
      </w:pPr>
      <w:r w:rsidRPr="00E96D3A">
        <w:rPr>
          <w:noProof/>
          <w:lang w:eastAsia="en-GB"/>
        </w:rPr>
        <w:drawing>
          <wp:inline distT="0" distB="0" distL="0" distR="0" wp14:anchorId="7B8E0FA3" wp14:editId="348CD1CD">
            <wp:extent cx="8401160" cy="578104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rot="5400000">
                      <a:off x="0" y="0"/>
                      <a:ext cx="8408959" cy="5786407"/>
                    </a:xfrm>
                    <a:prstGeom prst="rect">
                      <a:avLst/>
                    </a:prstGeom>
                    <a:noFill/>
                    <a:ln>
                      <a:noFill/>
                    </a:ln>
                  </pic:spPr>
                </pic:pic>
              </a:graphicData>
            </a:graphic>
          </wp:inline>
        </w:drawing>
      </w:r>
    </w:p>
    <w:p w14:paraId="79956F3B" w14:textId="54559F82" w:rsidR="007B399B" w:rsidRDefault="007B399B" w:rsidP="007B399B">
      <w:pPr>
        <w:spacing w:line="360" w:lineRule="auto"/>
        <w:jc w:val="both"/>
        <w:rPr>
          <w:rFonts w:ascii="Times New Roman" w:eastAsiaTheme="minorEastAsia" w:hAnsi="Times New Roman" w:cs="Times New Roman"/>
          <w:sz w:val="24"/>
          <w:szCs w:val="24"/>
        </w:rPr>
      </w:pPr>
      <w:r w:rsidRPr="00446C40">
        <w:rPr>
          <w:rFonts w:ascii="Times New Roman" w:eastAsiaTheme="minorEastAsia" w:hAnsi="Times New Roman" w:cs="Times New Roman"/>
          <w:sz w:val="24"/>
          <w:szCs w:val="24"/>
        </w:rPr>
        <w:lastRenderedPageBreak/>
        <w:t xml:space="preserve">Figure </w:t>
      </w:r>
      <w:r>
        <w:rPr>
          <w:rFonts w:ascii="Times New Roman" w:eastAsiaTheme="minorEastAsia" w:hAnsi="Times New Roman" w:cs="Times New Roman"/>
          <w:sz w:val="24"/>
          <w:szCs w:val="24"/>
        </w:rPr>
        <w:t>3.</w:t>
      </w:r>
      <w:r w:rsidRPr="00446C40">
        <w:rPr>
          <w:rFonts w:ascii="Times New Roman" w:eastAsiaTheme="minorEastAsia" w:hAnsi="Times New Roman" w:cs="Times New Roman"/>
          <w:sz w:val="24"/>
          <w:szCs w:val="24"/>
        </w:rPr>
        <w:t xml:space="preserve">4.2 shows the comparison of Historic returns, Simulated GARCH and Modified IFBM GARCH (for S&amp;P 500 1990-2013) again the parameter is already estimated using Symmetric and asymmetric GARCH models for historic, simulated and IFBM returns for entire selected data and present in appendix </w:t>
      </w:r>
      <w:r>
        <w:rPr>
          <w:rFonts w:ascii="Times New Roman" w:eastAsiaTheme="minorEastAsia" w:hAnsi="Times New Roman" w:cs="Times New Roman"/>
          <w:sz w:val="24"/>
          <w:szCs w:val="24"/>
        </w:rPr>
        <w:t>3</w:t>
      </w:r>
      <w:r w:rsidR="007F0C39">
        <w:rPr>
          <w:rFonts w:ascii="Times New Roman" w:eastAsiaTheme="minorEastAsia" w:hAnsi="Times New Roman" w:cs="Times New Roman"/>
          <w:sz w:val="24"/>
          <w:szCs w:val="24"/>
        </w:rPr>
        <w:t>.1</w:t>
      </w:r>
      <w:r w:rsidRPr="00446C40">
        <w:rPr>
          <w:rFonts w:ascii="Times New Roman" w:eastAsiaTheme="minorEastAsia" w:hAnsi="Times New Roman" w:cs="Times New Roman"/>
          <w:sz w:val="24"/>
          <w:szCs w:val="24"/>
        </w:rPr>
        <w:t xml:space="preserve">. In figure </w:t>
      </w:r>
      <w:r>
        <w:rPr>
          <w:rFonts w:ascii="Times New Roman" w:eastAsiaTheme="minorEastAsia" w:hAnsi="Times New Roman" w:cs="Times New Roman"/>
          <w:sz w:val="24"/>
          <w:szCs w:val="24"/>
        </w:rPr>
        <w:t>3.</w:t>
      </w:r>
      <w:r w:rsidRPr="00446C40">
        <w:rPr>
          <w:rFonts w:ascii="Times New Roman" w:eastAsiaTheme="minorEastAsia" w:hAnsi="Times New Roman" w:cs="Times New Roman"/>
          <w:sz w:val="24"/>
          <w:szCs w:val="24"/>
        </w:rPr>
        <w:t>4.2 also each time series of a standard uniform distribution apart from those two market shocks are inserted, positive, and negative respectively to observe the volatility response. From the above figure it is also noticed that the Modified IFBM GARCH process has additional intense reaction to the negative market shocks and the asymmetric volatility response is pronounced. The volatility increments much more following the negative shock as compared to follow the positive shock as it has positive λ in A-GARCH.</w:t>
      </w:r>
    </w:p>
    <w:p w14:paraId="74D92CBB" w14:textId="77777777" w:rsidR="007B399B" w:rsidRDefault="007B399B" w:rsidP="007B399B">
      <w:pPr>
        <w:spacing w:line="360" w:lineRule="auto"/>
        <w:jc w:val="both"/>
        <w:rPr>
          <w:rFonts w:ascii="Times New Roman" w:eastAsiaTheme="minorEastAsia" w:hAnsi="Times New Roman" w:cs="Times New Roman"/>
          <w:sz w:val="24"/>
          <w:szCs w:val="24"/>
        </w:rPr>
      </w:pPr>
      <w:r w:rsidRPr="0092488B">
        <w:rPr>
          <w:rFonts w:ascii="Times New Roman" w:eastAsiaTheme="minorEastAsia" w:hAnsi="Times New Roman" w:cs="Times New Roman"/>
          <w:sz w:val="24"/>
          <w:szCs w:val="24"/>
        </w:rPr>
        <w:t xml:space="preserve">It is noticed that the unconditional volatility estimated under </w:t>
      </w:r>
      <w:r>
        <w:rPr>
          <w:rFonts w:ascii="Times New Roman" w:eastAsiaTheme="minorEastAsia" w:hAnsi="Times New Roman" w:cs="Times New Roman"/>
          <w:sz w:val="24"/>
          <w:szCs w:val="24"/>
        </w:rPr>
        <w:t>the</w:t>
      </w:r>
      <w:r w:rsidRPr="0092488B">
        <w:rPr>
          <w:rFonts w:ascii="Times New Roman" w:eastAsiaTheme="minorEastAsia" w:hAnsi="Times New Roman" w:cs="Times New Roman"/>
          <w:sz w:val="24"/>
          <w:szCs w:val="24"/>
        </w:rPr>
        <w:t xml:space="preserve"> assumption </w:t>
      </w:r>
      <w:r>
        <w:rPr>
          <w:rFonts w:ascii="Times New Roman" w:eastAsiaTheme="minorEastAsia" w:hAnsi="Times New Roman" w:cs="Times New Roman"/>
          <w:sz w:val="24"/>
          <w:szCs w:val="24"/>
        </w:rPr>
        <w:t xml:space="preserve">of IFBM GARCH </w:t>
      </w:r>
      <w:r w:rsidRPr="0092488B">
        <w:rPr>
          <w:rFonts w:ascii="Times New Roman" w:eastAsiaTheme="minorEastAsia" w:hAnsi="Times New Roman" w:cs="Times New Roman"/>
          <w:sz w:val="24"/>
          <w:szCs w:val="24"/>
        </w:rPr>
        <w:t xml:space="preserve">did match with the long-term volatility obtained from different GARCH models in </w:t>
      </w:r>
      <w:r>
        <w:rPr>
          <w:rFonts w:ascii="Times New Roman" w:eastAsiaTheme="minorEastAsia" w:hAnsi="Times New Roman" w:cs="Times New Roman"/>
          <w:sz w:val="24"/>
          <w:szCs w:val="24"/>
        </w:rPr>
        <w:t>most</w:t>
      </w:r>
      <w:r w:rsidRPr="0092488B">
        <w:rPr>
          <w:rFonts w:ascii="Times New Roman" w:eastAsiaTheme="minorEastAsia" w:hAnsi="Times New Roman" w:cs="Times New Roman"/>
          <w:sz w:val="24"/>
          <w:szCs w:val="24"/>
        </w:rPr>
        <w:t xml:space="preserve"> of the selected </w:t>
      </w:r>
      <w:r>
        <w:rPr>
          <w:rFonts w:ascii="Times New Roman" w:eastAsiaTheme="minorEastAsia" w:hAnsi="Times New Roman" w:cs="Times New Roman"/>
          <w:sz w:val="24"/>
          <w:szCs w:val="24"/>
        </w:rPr>
        <w:t>period</w:t>
      </w:r>
      <w:r w:rsidRPr="0092488B">
        <w:rPr>
          <w:rFonts w:ascii="Times New Roman" w:eastAsiaTheme="minorEastAsia" w:hAnsi="Times New Roman" w:cs="Times New Roman"/>
          <w:sz w:val="24"/>
          <w:szCs w:val="24"/>
        </w:rPr>
        <w:t xml:space="preserve"> that is strongly recommended that the unconditional volatility depend on the model as the volatility is a parameter of probability distribution and it can only be determined with the condition of models. </w:t>
      </w:r>
    </w:p>
    <w:p w14:paraId="7724D2BC" w14:textId="77777777" w:rsidR="007B399B" w:rsidRPr="00612F0D" w:rsidRDefault="007B399B" w:rsidP="007B399B">
      <w:pPr>
        <w:spacing w:line="360" w:lineRule="auto"/>
        <w:jc w:val="both"/>
        <w:rPr>
          <w:rFonts w:ascii="Times New Roman" w:hAnsi="Times New Roman" w:cs="Times New Roman"/>
          <w:sz w:val="24"/>
          <w:szCs w:val="24"/>
        </w:rPr>
      </w:pPr>
      <w:r w:rsidRPr="00612F0D">
        <w:rPr>
          <w:rFonts w:ascii="Times New Roman" w:hAnsi="Times New Roman" w:cs="Times New Roman"/>
          <w:sz w:val="24"/>
          <w:szCs w:val="24"/>
        </w:rPr>
        <w:t>The GARCH model is modified to capture the effect of consecutive run-ups and declines on volatilities. Spells of positive or negative shocks are expected to have positive effect on volatilities. The new model nomenclature IFBM GARCH is applied to the S&amp;P 500 index. Similarly, the EGARCH model is extended to the IFBM GARCH model along the same line and is applied to the same sets of data. The IFBM GARCH model describes the dynamic behaviour of conditional volatility better than the GARCH model in analysing the selected index series might have been influenced by spells of positive or negative shocks. Conditional volatilities but not the mean returns might have increased as investors face consecutive positive or negative shocks. Theoretical justification is needed to explain this phenomenon. The IFBM GARCH model is simple and can be extended into other directions. It is also of interest to apply this model to other series, particularly, to market indices of newly established stock exchanges in the world.</w:t>
      </w:r>
    </w:p>
    <w:p w14:paraId="5AB57839" w14:textId="77777777" w:rsidR="007B399B" w:rsidRDefault="007B399B" w:rsidP="007B399B"/>
    <w:p w14:paraId="7ED1FB58" w14:textId="77777777" w:rsidR="007B399B" w:rsidRDefault="007B399B" w:rsidP="007B399B"/>
    <w:p w14:paraId="58A45A99" w14:textId="77777777" w:rsidR="007B399B" w:rsidRDefault="007B399B" w:rsidP="007B399B"/>
    <w:p w14:paraId="0E37DC05" w14:textId="77777777" w:rsidR="007B399B" w:rsidRDefault="007B399B" w:rsidP="007B399B">
      <w:pPr>
        <w:pStyle w:val="Heading1"/>
        <w:rPr>
          <w:rFonts w:eastAsia="Times New Roman"/>
        </w:rPr>
      </w:pPr>
      <w:bookmarkStart w:id="208" w:name="_Toc90500014"/>
      <w:r>
        <w:rPr>
          <w:rFonts w:eastAsia="Times New Roman"/>
        </w:rPr>
        <w:lastRenderedPageBreak/>
        <w:t>3.5 Conclusion</w:t>
      </w:r>
      <w:bookmarkEnd w:id="208"/>
    </w:p>
    <w:p w14:paraId="7820FFC1"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The research</w:t>
      </w:r>
      <w:r w:rsidRPr="004014AC">
        <w:rPr>
          <w:rFonts w:ascii="Times New Roman" w:eastAsia="Times New Roman" w:hAnsi="Times New Roman" w:cs="Times New Roman"/>
          <w:sz w:val="24"/>
          <w:szCs w:val="24"/>
        </w:rPr>
        <w:t xml:space="preserve"> results indicate the</w:t>
      </w:r>
      <w:r w:rsidRPr="00446C40">
        <w:rPr>
          <w:rFonts w:ascii="Times New Roman" w:eastAsia="Times New Roman" w:hAnsi="Times New Roman" w:cs="Times New Roman"/>
          <w:sz w:val="24"/>
          <w:szCs w:val="24"/>
        </w:rPr>
        <w:t xml:space="preserve"> </w:t>
      </w:r>
      <w:r w:rsidRPr="004014AC">
        <w:rPr>
          <w:rFonts w:ascii="Times New Roman" w:eastAsia="Times New Roman" w:hAnsi="Times New Roman" w:cs="Times New Roman"/>
          <w:sz w:val="24"/>
          <w:szCs w:val="24"/>
        </w:rPr>
        <w:t xml:space="preserve">importance of the </w:t>
      </w:r>
      <w:r w:rsidRPr="00446C40">
        <w:rPr>
          <w:rFonts w:ascii="Times New Roman" w:eastAsia="Times New Roman" w:hAnsi="Times New Roman" w:cs="Times New Roman"/>
          <w:sz w:val="24"/>
          <w:szCs w:val="24"/>
        </w:rPr>
        <w:t>modified (IFBM) GARCH</w:t>
      </w:r>
      <w:r w:rsidRPr="004014AC">
        <w:rPr>
          <w:rFonts w:ascii="Times New Roman" w:eastAsia="Times New Roman" w:hAnsi="Times New Roman" w:cs="Times New Roman"/>
          <w:sz w:val="24"/>
          <w:szCs w:val="24"/>
        </w:rPr>
        <w:t xml:space="preserve"> methodology for</w:t>
      </w:r>
      <w:r w:rsidRPr="00446C40">
        <w:rPr>
          <w:rFonts w:ascii="Times New Roman" w:eastAsia="Times New Roman" w:hAnsi="Times New Roman" w:cs="Times New Roman"/>
          <w:sz w:val="24"/>
          <w:szCs w:val="24"/>
        </w:rPr>
        <w:t xml:space="preserve"> </w:t>
      </w:r>
      <w:r w:rsidRPr="004014AC">
        <w:rPr>
          <w:rFonts w:ascii="Times New Roman" w:eastAsia="Times New Roman" w:hAnsi="Times New Roman" w:cs="Times New Roman"/>
          <w:sz w:val="24"/>
          <w:szCs w:val="24"/>
        </w:rPr>
        <w:t>quantification and</w:t>
      </w:r>
      <w:r w:rsidRPr="00446C40">
        <w:rPr>
          <w:rFonts w:ascii="Times New Roman" w:eastAsia="Times New Roman" w:hAnsi="Times New Roman" w:cs="Times New Roman"/>
          <w:sz w:val="24"/>
          <w:szCs w:val="24"/>
        </w:rPr>
        <w:t xml:space="preserve"> </w:t>
      </w:r>
      <w:r w:rsidRPr="004014AC">
        <w:rPr>
          <w:rFonts w:ascii="Times New Roman" w:eastAsia="Times New Roman" w:hAnsi="Times New Roman" w:cs="Times New Roman"/>
          <w:sz w:val="24"/>
          <w:szCs w:val="24"/>
        </w:rPr>
        <w:t>optimi</w:t>
      </w:r>
      <w:r w:rsidRPr="00446C40">
        <w:rPr>
          <w:rFonts w:ascii="Times New Roman" w:eastAsia="Times New Roman" w:hAnsi="Times New Roman" w:cs="Times New Roman"/>
          <w:sz w:val="24"/>
          <w:szCs w:val="24"/>
        </w:rPr>
        <w:t>s</w:t>
      </w:r>
      <w:r w:rsidRPr="004014AC">
        <w:rPr>
          <w:rFonts w:ascii="Times New Roman" w:eastAsia="Times New Roman" w:hAnsi="Times New Roman" w:cs="Times New Roman"/>
          <w:sz w:val="24"/>
          <w:szCs w:val="24"/>
        </w:rPr>
        <w:t>ation of</w:t>
      </w:r>
      <w:r w:rsidRPr="00446C40">
        <w:rPr>
          <w:rFonts w:ascii="Times New Roman" w:eastAsia="Times New Roman" w:hAnsi="Times New Roman" w:cs="Times New Roman"/>
          <w:sz w:val="24"/>
          <w:szCs w:val="24"/>
        </w:rPr>
        <w:t xml:space="preserve"> many</w:t>
      </w:r>
      <w:r w:rsidRPr="004014AC">
        <w:rPr>
          <w:rFonts w:ascii="Times New Roman" w:eastAsia="Times New Roman" w:hAnsi="Times New Roman" w:cs="Times New Roman"/>
          <w:sz w:val="24"/>
          <w:szCs w:val="24"/>
        </w:rPr>
        <w:t xml:space="preserve"> macroeconomic factors in investment activities in modern business conditions. In practice, the research tests the role and significance of a modified GARCH methodology for estimating daily return</w:t>
      </w:r>
      <w:r w:rsidRPr="00446C40">
        <w:rPr>
          <w:rFonts w:ascii="Times New Roman" w:eastAsia="Times New Roman" w:hAnsi="Times New Roman" w:cs="Times New Roman"/>
          <w:sz w:val="24"/>
          <w:szCs w:val="24"/>
        </w:rPr>
        <w:t>. This research emphasised the</w:t>
      </w:r>
      <w:r w:rsidRPr="004014AC">
        <w:rPr>
          <w:rFonts w:ascii="Times New Roman" w:eastAsia="Times New Roman" w:hAnsi="Times New Roman" w:cs="Times New Roman"/>
          <w:sz w:val="24"/>
          <w:szCs w:val="24"/>
        </w:rPr>
        <w:t xml:space="preserve"> importance of the application analysis and optimisation of the modified</w:t>
      </w:r>
      <w:r w:rsidRPr="00446C40">
        <w:rPr>
          <w:rFonts w:ascii="Times New Roman" w:eastAsia="Times New Roman" w:hAnsi="Times New Roman" w:cs="Times New Roman"/>
          <w:sz w:val="24"/>
          <w:szCs w:val="24"/>
        </w:rPr>
        <w:t xml:space="preserve"> GARCH methodology for investment activities in developed and emerging financial</w:t>
      </w:r>
      <w:r w:rsidRPr="004014AC">
        <w:rPr>
          <w:rFonts w:ascii="Times New Roman" w:eastAsia="Times New Roman" w:hAnsi="Times New Roman" w:cs="Times New Roman"/>
          <w:sz w:val="24"/>
          <w:szCs w:val="24"/>
        </w:rPr>
        <w:t xml:space="preserve"> markets.</w:t>
      </w:r>
    </w:p>
    <w:p w14:paraId="1E8D2A85" w14:textId="77777777" w:rsidR="007B399B" w:rsidRPr="00190B0A" w:rsidRDefault="007B399B" w:rsidP="007B399B">
      <w:pPr>
        <w:shd w:val="clear" w:color="auto" w:fill="FFFFFF"/>
        <w:spacing w:line="360" w:lineRule="auto"/>
        <w:jc w:val="both"/>
        <w:rPr>
          <w:rFonts w:ascii="Times New Roman" w:eastAsia="Times New Roman" w:hAnsi="Times New Roman" w:cs="Times New Roman"/>
          <w:sz w:val="24"/>
          <w:szCs w:val="24"/>
        </w:rPr>
      </w:pPr>
      <w:r w:rsidRPr="00190B0A">
        <w:rPr>
          <w:rFonts w:ascii="Times New Roman" w:eastAsia="Times New Roman" w:hAnsi="Times New Roman" w:cs="Times New Roman"/>
          <w:sz w:val="24"/>
          <w:szCs w:val="24"/>
        </w:rPr>
        <w:t xml:space="preserve">The scientific contribution of the research is reflected in the quality and significance of research results and the possibilities of </w:t>
      </w:r>
      <w:r w:rsidRPr="00446C40">
        <w:rPr>
          <w:rFonts w:ascii="Times New Roman" w:eastAsia="Times New Roman" w:hAnsi="Times New Roman" w:cs="Times New Roman"/>
          <w:sz w:val="24"/>
          <w:szCs w:val="24"/>
        </w:rPr>
        <w:t>efficient application of the modified</w:t>
      </w:r>
      <w:r w:rsidRPr="00190B0A">
        <w:rPr>
          <w:rFonts w:ascii="Times New Roman" w:eastAsia="Times New Roman" w:hAnsi="Times New Roman" w:cs="Times New Roman"/>
          <w:sz w:val="24"/>
          <w:szCs w:val="24"/>
        </w:rPr>
        <w:t xml:space="preserve"> </w:t>
      </w:r>
      <w:r w:rsidRPr="00446C40">
        <w:rPr>
          <w:rFonts w:ascii="Times New Roman" w:eastAsia="Times New Roman" w:hAnsi="Times New Roman" w:cs="Times New Roman"/>
          <w:sz w:val="24"/>
          <w:szCs w:val="24"/>
        </w:rPr>
        <w:t>(IFBM) GARCH tailored methodology</w:t>
      </w:r>
      <w:r w:rsidRPr="00190B0A">
        <w:rPr>
          <w:rFonts w:ascii="Times New Roman" w:eastAsia="Times New Roman" w:hAnsi="Times New Roman" w:cs="Times New Roman"/>
          <w:sz w:val="24"/>
          <w:szCs w:val="24"/>
        </w:rPr>
        <w:t xml:space="preserve">.  </w:t>
      </w:r>
      <w:r w:rsidRPr="00446C40">
        <w:rPr>
          <w:rFonts w:ascii="Times New Roman" w:eastAsia="Times New Roman" w:hAnsi="Times New Roman" w:cs="Times New Roman"/>
          <w:sz w:val="24"/>
          <w:szCs w:val="24"/>
        </w:rPr>
        <w:t xml:space="preserve">The modified </w:t>
      </w:r>
      <w:r w:rsidRPr="00190B0A">
        <w:rPr>
          <w:rFonts w:ascii="Times New Roman" w:eastAsia="Times New Roman" w:hAnsi="Times New Roman" w:cs="Times New Roman"/>
          <w:sz w:val="24"/>
          <w:szCs w:val="24"/>
        </w:rPr>
        <w:t xml:space="preserve">GARCH methodology quantified the impact of macroeconomic factors, such as inflation rate, interest rates on government bonds, reference interest rates and exchange rates, </w:t>
      </w:r>
      <w:r w:rsidRPr="00446C40">
        <w:rPr>
          <w:rFonts w:ascii="Times New Roman" w:eastAsia="Times New Roman" w:hAnsi="Times New Roman" w:cs="Times New Roman"/>
          <w:sz w:val="24"/>
          <w:szCs w:val="24"/>
        </w:rPr>
        <w:t>on daily return rates from investment</w:t>
      </w:r>
      <w:r w:rsidRPr="00190B0A">
        <w:rPr>
          <w:rFonts w:ascii="Times New Roman" w:eastAsia="Times New Roman" w:hAnsi="Times New Roman" w:cs="Times New Roman"/>
          <w:sz w:val="24"/>
          <w:szCs w:val="24"/>
        </w:rPr>
        <w:t xml:space="preserve"> activities for the </w:t>
      </w:r>
      <w:r w:rsidRPr="00446C40">
        <w:rPr>
          <w:rFonts w:ascii="Times New Roman" w:eastAsia="Times New Roman" w:hAnsi="Times New Roman" w:cs="Times New Roman"/>
          <w:sz w:val="24"/>
          <w:szCs w:val="24"/>
        </w:rPr>
        <w:t>developed and</w:t>
      </w:r>
      <w:r w:rsidRPr="00190B0A">
        <w:rPr>
          <w:rFonts w:ascii="Times New Roman" w:eastAsia="Times New Roman" w:hAnsi="Times New Roman" w:cs="Times New Roman"/>
          <w:sz w:val="24"/>
          <w:szCs w:val="24"/>
        </w:rPr>
        <w:t xml:space="preserve"> emerging financial markets. The application </w:t>
      </w:r>
      <w:r w:rsidRPr="00446C40">
        <w:rPr>
          <w:rFonts w:ascii="Times New Roman" w:eastAsia="Times New Roman" w:hAnsi="Times New Roman" w:cs="Times New Roman"/>
          <w:sz w:val="24"/>
          <w:szCs w:val="24"/>
        </w:rPr>
        <w:t>of the modified GARCH methodology</w:t>
      </w:r>
      <w:r w:rsidRPr="00190B0A">
        <w:rPr>
          <w:rFonts w:ascii="Times New Roman" w:eastAsia="Times New Roman" w:hAnsi="Times New Roman" w:cs="Times New Roman"/>
          <w:sz w:val="24"/>
          <w:szCs w:val="24"/>
        </w:rPr>
        <w:t xml:space="preserve"> serves to manage the investment risk, which significantly extends the field of the research area. The practical contribution of the </w:t>
      </w:r>
      <w:r w:rsidRPr="00446C40">
        <w:rPr>
          <w:rFonts w:ascii="Times New Roman" w:eastAsia="Times New Roman" w:hAnsi="Times New Roman" w:cs="Times New Roman"/>
          <w:sz w:val="24"/>
          <w:szCs w:val="24"/>
        </w:rPr>
        <w:t>research is</w:t>
      </w:r>
      <w:r w:rsidRPr="00190B0A">
        <w:rPr>
          <w:rFonts w:ascii="Times New Roman" w:eastAsia="Times New Roman" w:hAnsi="Times New Roman" w:cs="Times New Roman"/>
          <w:sz w:val="24"/>
          <w:szCs w:val="24"/>
        </w:rPr>
        <w:t xml:space="preserve"> reflected in the expanded possibilities of efficient application of the modified GARCH methodology to the daily return rates in everyday investment decision making.</w:t>
      </w:r>
    </w:p>
    <w:p w14:paraId="5D781E3B" w14:textId="1A6226C7" w:rsidR="007B399B" w:rsidRPr="00F36E3E" w:rsidRDefault="007B399B" w:rsidP="007B399B">
      <w:pPr>
        <w:shd w:val="clear" w:color="auto" w:fill="FFFFFF"/>
        <w:spacing w:line="360" w:lineRule="auto"/>
        <w:jc w:val="both"/>
        <w:rPr>
          <w:rFonts w:ascii="Times New Roman" w:eastAsia="Times New Roman" w:hAnsi="Times New Roman" w:cs="Times New Roman"/>
          <w:sz w:val="24"/>
          <w:szCs w:val="24"/>
        </w:rPr>
      </w:pPr>
      <w:r w:rsidRPr="004014AC">
        <w:rPr>
          <w:rFonts w:ascii="Times New Roman" w:eastAsia="Times New Roman" w:hAnsi="Times New Roman" w:cs="Times New Roman"/>
          <w:sz w:val="24"/>
          <w:szCs w:val="24"/>
        </w:rPr>
        <w:t xml:space="preserve">Assuming that the application of the </w:t>
      </w:r>
      <w:r w:rsidRPr="00446C40">
        <w:rPr>
          <w:rFonts w:ascii="Times New Roman" w:eastAsia="Times New Roman" w:hAnsi="Times New Roman" w:cs="Times New Roman"/>
          <w:sz w:val="24"/>
          <w:szCs w:val="24"/>
        </w:rPr>
        <w:t>modified (IFBM) GARCH</w:t>
      </w:r>
      <w:r w:rsidRPr="004014AC">
        <w:rPr>
          <w:rFonts w:ascii="Times New Roman" w:eastAsia="Times New Roman" w:hAnsi="Times New Roman" w:cs="Times New Roman"/>
          <w:sz w:val="24"/>
          <w:szCs w:val="24"/>
        </w:rPr>
        <w:t xml:space="preserve"> methodology for</w:t>
      </w:r>
      <w:r w:rsidRPr="00446C40">
        <w:rPr>
          <w:rFonts w:ascii="Times New Roman" w:eastAsia="Times New Roman" w:hAnsi="Times New Roman" w:cs="Times New Roman"/>
          <w:sz w:val="24"/>
          <w:szCs w:val="24"/>
        </w:rPr>
        <w:t xml:space="preserve"> </w:t>
      </w:r>
      <w:r w:rsidRPr="004014AC">
        <w:rPr>
          <w:rFonts w:ascii="Times New Roman" w:eastAsia="Times New Roman" w:hAnsi="Times New Roman" w:cs="Times New Roman"/>
          <w:sz w:val="24"/>
          <w:szCs w:val="24"/>
        </w:rPr>
        <w:t xml:space="preserve">quantifying the impact of the inflation rate, the interest rates on government bonds, the reference interest rates and the exchange rate </w:t>
      </w:r>
      <w:r w:rsidRPr="00446C40">
        <w:rPr>
          <w:rFonts w:ascii="Times New Roman" w:eastAsia="Times New Roman" w:hAnsi="Times New Roman" w:cs="Times New Roman"/>
          <w:sz w:val="24"/>
          <w:szCs w:val="24"/>
        </w:rPr>
        <w:t>on the</w:t>
      </w:r>
      <w:r w:rsidRPr="004014AC">
        <w:rPr>
          <w:rFonts w:ascii="Times New Roman" w:eastAsia="Times New Roman" w:hAnsi="Times New Roman" w:cs="Times New Roman"/>
          <w:sz w:val="24"/>
          <w:szCs w:val="24"/>
        </w:rPr>
        <w:t xml:space="preserve"> daily return rates significantly contributes to investment risk reduction, the main H0 hypothesis has been confirmed. In the developed financial markets, as well as in the financial markets in the developing countries, the correlation between the daily return rates of stock exchange indices and macroeconomic factors (inflation rate, reference interest rate, interest rate on government bonds and exchange rate) for all observed periods </w:t>
      </w:r>
      <w:r w:rsidRPr="00446C40">
        <w:rPr>
          <w:rFonts w:ascii="Times New Roman" w:eastAsia="Times New Roman" w:hAnsi="Times New Roman" w:cs="Times New Roman"/>
          <w:sz w:val="24"/>
          <w:szCs w:val="24"/>
        </w:rPr>
        <w:t>will be</w:t>
      </w:r>
      <w:r w:rsidRPr="004014AC">
        <w:rPr>
          <w:rFonts w:ascii="Times New Roman" w:eastAsia="Times New Roman" w:hAnsi="Times New Roman" w:cs="Times New Roman"/>
          <w:sz w:val="24"/>
          <w:szCs w:val="24"/>
        </w:rPr>
        <w:t xml:space="preserve"> confirmed. By introducing macroeconomic </w:t>
      </w:r>
      <w:r w:rsidRPr="00F36E3E">
        <w:rPr>
          <w:rFonts w:ascii="Times New Roman" w:eastAsia="Times New Roman" w:hAnsi="Times New Roman" w:cs="Times New Roman"/>
          <w:sz w:val="24"/>
          <w:szCs w:val="24"/>
        </w:rPr>
        <w:t>factors in GARCH models, the basic models are expanded and certainly made optimal. The obtained research results are more favourable and contribute to the optimi</w:t>
      </w:r>
      <w:r w:rsidRPr="00446C40">
        <w:rPr>
          <w:rFonts w:ascii="Times New Roman" w:eastAsia="Times New Roman" w:hAnsi="Times New Roman" w:cs="Times New Roman"/>
          <w:sz w:val="24"/>
          <w:szCs w:val="24"/>
        </w:rPr>
        <w:t>s</w:t>
      </w:r>
      <w:r w:rsidRPr="00F36E3E">
        <w:rPr>
          <w:rFonts w:ascii="Times New Roman" w:eastAsia="Times New Roman" w:hAnsi="Times New Roman" w:cs="Times New Roman"/>
          <w:sz w:val="24"/>
          <w:szCs w:val="24"/>
        </w:rPr>
        <w:t xml:space="preserve">ation of the investment strategy. </w:t>
      </w:r>
      <w:r w:rsidRPr="00446C40">
        <w:rPr>
          <w:rFonts w:ascii="Times New Roman" w:eastAsia="Times New Roman" w:hAnsi="Times New Roman" w:cs="Times New Roman"/>
          <w:sz w:val="24"/>
          <w:szCs w:val="24"/>
        </w:rPr>
        <w:t>A</w:t>
      </w:r>
      <w:r w:rsidRPr="00F36E3E">
        <w:rPr>
          <w:rFonts w:ascii="Times New Roman" w:eastAsia="Times New Roman" w:hAnsi="Times New Roman" w:cs="Times New Roman"/>
          <w:sz w:val="24"/>
          <w:szCs w:val="24"/>
        </w:rPr>
        <w:t xml:space="preserve">IC </w:t>
      </w:r>
      <w:r w:rsidRPr="00446C40">
        <w:rPr>
          <w:rFonts w:ascii="Times New Roman" w:eastAsia="Times New Roman" w:hAnsi="Times New Roman" w:cs="Times New Roman"/>
          <w:sz w:val="24"/>
          <w:szCs w:val="24"/>
        </w:rPr>
        <w:t xml:space="preserve">and BIC </w:t>
      </w:r>
      <w:r w:rsidRPr="00F36E3E">
        <w:rPr>
          <w:rFonts w:ascii="Times New Roman" w:eastAsia="Times New Roman" w:hAnsi="Times New Roman" w:cs="Times New Roman"/>
          <w:sz w:val="24"/>
          <w:szCs w:val="24"/>
        </w:rPr>
        <w:t xml:space="preserve">information criteria were used to select the optimal </w:t>
      </w:r>
      <w:r w:rsidRPr="00446C40">
        <w:rPr>
          <w:rFonts w:ascii="Times New Roman" w:eastAsia="Times New Roman" w:hAnsi="Times New Roman" w:cs="Times New Roman"/>
          <w:sz w:val="24"/>
          <w:szCs w:val="24"/>
        </w:rPr>
        <w:t xml:space="preserve">IFBM </w:t>
      </w:r>
      <w:r w:rsidRPr="00F36E3E">
        <w:rPr>
          <w:rFonts w:ascii="Times New Roman" w:eastAsia="Times New Roman" w:hAnsi="Times New Roman" w:cs="Times New Roman"/>
          <w:sz w:val="24"/>
          <w:szCs w:val="24"/>
        </w:rPr>
        <w:t xml:space="preserve">GARCH model among all extensions of GARCH </w:t>
      </w:r>
      <w:r w:rsidRPr="00446C40">
        <w:rPr>
          <w:rFonts w:ascii="Times New Roman" w:eastAsia="Times New Roman" w:hAnsi="Times New Roman" w:cs="Times New Roman"/>
          <w:sz w:val="24"/>
          <w:szCs w:val="24"/>
        </w:rPr>
        <w:t>(1,1)</w:t>
      </w:r>
      <w:r w:rsidRPr="00F36E3E">
        <w:rPr>
          <w:rFonts w:ascii="Times New Roman" w:eastAsia="Times New Roman" w:hAnsi="Times New Roman" w:cs="Times New Roman"/>
          <w:sz w:val="24"/>
          <w:szCs w:val="24"/>
        </w:rPr>
        <w:t xml:space="preserve">, </w:t>
      </w:r>
      <w:r w:rsidRPr="00446C40">
        <w:rPr>
          <w:rFonts w:ascii="Times New Roman" w:eastAsia="Times New Roman" w:hAnsi="Times New Roman" w:cs="Times New Roman"/>
          <w:sz w:val="24"/>
          <w:szCs w:val="24"/>
        </w:rPr>
        <w:t>GJRG</w:t>
      </w:r>
      <w:r w:rsidRPr="00F36E3E">
        <w:rPr>
          <w:rFonts w:ascii="Times New Roman" w:eastAsia="Times New Roman" w:hAnsi="Times New Roman" w:cs="Times New Roman"/>
          <w:sz w:val="24"/>
          <w:szCs w:val="24"/>
        </w:rPr>
        <w:t xml:space="preserve">ARCH and EGARCH in all </w:t>
      </w:r>
      <w:r w:rsidRPr="00446C40">
        <w:rPr>
          <w:rFonts w:ascii="Times New Roman" w:eastAsia="Times New Roman" w:hAnsi="Times New Roman" w:cs="Times New Roman"/>
          <w:sz w:val="24"/>
          <w:szCs w:val="24"/>
        </w:rPr>
        <w:t>all-observed</w:t>
      </w:r>
      <w:r w:rsidRPr="00F36E3E">
        <w:rPr>
          <w:rFonts w:ascii="Times New Roman" w:eastAsia="Times New Roman" w:hAnsi="Times New Roman" w:cs="Times New Roman"/>
          <w:sz w:val="24"/>
          <w:szCs w:val="24"/>
        </w:rPr>
        <w:t xml:space="preserve"> periods. It can be concluded that the same GARCH model cannot be used in </w:t>
      </w:r>
      <w:r w:rsidRPr="00446C40">
        <w:rPr>
          <w:rFonts w:ascii="Times New Roman" w:eastAsia="Times New Roman" w:hAnsi="Times New Roman" w:cs="Times New Roman"/>
          <w:sz w:val="24"/>
          <w:szCs w:val="24"/>
        </w:rPr>
        <w:t>every</w:t>
      </w:r>
      <w:r w:rsidRPr="00F36E3E">
        <w:rPr>
          <w:rFonts w:ascii="Times New Roman" w:eastAsia="Times New Roman" w:hAnsi="Times New Roman" w:cs="Times New Roman"/>
          <w:sz w:val="24"/>
          <w:szCs w:val="24"/>
        </w:rPr>
        <w:t xml:space="preserve"> financial market to quantify the impact of macroeconomic factors that will have the optimal estimated model parameters. In addition, it can be concluded that the </w:t>
      </w:r>
      <w:r w:rsidRPr="00446C40">
        <w:rPr>
          <w:rFonts w:ascii="Times New Roman" w:eastAsia="Times New Roman" w:hAnsi="Times New Roman" w:cs="Times New Roman"/>
          <w:sz w:val="24"/>
          <w:szCs w:val="24"/>
        </w:rPr>
        <w:t>application of the</w:t>
      </w:r>
      <w:r w:rsidRPr="00F36E3E">
        <w:rPr>
          <w:rFonts w:ascii="Times New Roman" w:eastAsia="Times New Roman" w:hAnsi="Times New Roman" w:cs="Times New Roman"/>
          <w:sz w:val="24"/>
          <w:szCs w:val="24"/>
        </w:rPr>
        <w:t xml:space="preserve"> modified GARCH</w:t>
      </w:r>
      <w:r w:rsidRPr="00446C40">
        <w:rPr>
          <w:rFonts w:ascii="Times New Roman" w:eastAsia="Times New Roman" w:hAnsi="Times New Roman" w:cs="Times New Roman"/>
          <w:sz w:val="24"/>
          <w:szCs w:val="24"/>
        </w:rPr>
        <w:t xml:space="preserve"> </w:t>
      </w:r>
      <w:r w:rsidRPr="00F36E3E">
        <w:rPr>
          <w:rFonts w:ascii="Times New Roman" w:eastAsia="Times New Roman" w:hAnsi="Times New Roman" w:cs="Times New Roman"/>
          <w:sz w:val="24"/>
          <w:szCs w:val="24"/>
        </w:rPr>
        <w:t xml:space="preserve">methodology in both the developed and emerging markets </w:t>
      </w:r>
      <w:r w:rsidRPr="00446C40">
        <w:rPr>
          <w:rFonts w:ascii="Times New Roman" w:eastAsia="Times New Roman" w:hAnsi="Times New Roman" w:cs="Times New Roman"/>
          <w:sz w:val="24"/>
          <w:szCs w:val="24"/>
        </w:rPr>
        <w:t>can be</w:t>
      </w:r>
      <w:r w:rsidRPr="00F36E3E">
        <w:rPr>
          <w:rFonts w:ascii="Times New Roman" w:eastAsia="Times New Roman" w:hAnsi="Times New Roman" w:cs="Times New Roman"/>
          <w:sz w:val="24"/>
          <w:szCs w:val="24"/>
        </w:rPr>
        <w:t xml:space="preserve"> tested the impact of </w:t>
      </w:r>
      <w:r w:rsidRPr="00446C40">
        <w:rPr>
          <w:rFonts w:ascii="Times New Roman" w:eastAsia="Times New Roman" w:hAnsi="Times New Roman" w:cs="Times New Roman"/>
          <w:sz w:val="24"/>
          <w:szCs w:val="24"/>
        </w:rPr>
        <w:t>macroeconomic factors</w:t>
      </w:r>
      <w:r w:rsidRPr="00F36E3E">
        <w:rPr>
          <w:rFonts w:ascii="Times New Roman" w:eastAsia="Times New Roman" w:hAnsi="Times New Roman" w:cs="Times New Roman"/>
          <w:sz w:val="24"/>
          <w:szCs w:val="24"/>
        </w:rPr>
        <w:t xml:space="preserve"> and </w:t>
      </w:r>
      <w:r w:rsidRPr="00F36E3E">
        <w:rPr>
          <w:rFonts w:ascii="Times New Roman" w:eastAsia="Times New Roman" w:hAnsi="Times New Roman" w:cs="Times New Roman"/>
          <w:sz w:val="24"/>
          <w:szCs w:val="24"/>
        </w:rPr>
        <w:lastRenderedPageBreak/>
        <w:t>contributed to the optimi</w:t>
      </w:r>
      <w:r w:rsidRPr="00446C40">
        <w:rPr>
          <w:rFonts w:ascii="Times New Roman" w:eastAsia="Times New Roman" w:hAnsi="Times New Roman" w:cs="Times New Roman"/>
          <w:sz w:val="24"/>
          <w:szCs w:val="24"/>
        </w:rPr>
        <w:t>s</w:t>
      </w:r>
      <w:r w:rsidRPr="00F36E3E">
        <w:rPr>
          <w:rFonts w:ascii="Times New Roman" w:eastAsia="Times New Roman" w:hAnsi="Times New Roman" w:cs="Times New Roman"/>
          <w:sz w:val="24"/>
          <w:szCs w:val="24"/>
        </w:rPr>
        <w:t xml:space="preserve">ation of the investment strategy with well-defined results </w:t>
      </w:r>
      <w:r w:rsidR="00990265" w:rsidRPr="00F36E3E">
        <w:rPr>
          <w:rFonts w:ascii="Times New Roman" w:eastAsia="Times New Roman" w:hAnsi="Times New Roman" w:cs="Times New Roman"/>
          <w:sz w:val="24"/>
          <w:szCs w:val="24"/>
        </w:rPr>
        <w:t>of positive and negative</w:t>
      </w:r>
      <w:r w:rsidRPr="00F36E3E">
        <w:rPr>
          <w:rFonts w:ascii="Times New Roman" w:eastAsia="Times New Roman" w:hAnsi="Times New Roman" w:cs="Times New Roman"/>
          <w:sz w:val="24"/>
          <w:szCs w:val="24"/>
        </w:rPr>
        <w:t xml:space="preserve"> impacts of macroeconomic factors on the daily return rates of stock exchange indices. The modified</w:t>
      </w:r>
      <w:r w:rsidRPr="00446C40">
        <w:rPr>
          <w:rFonts w:ascii="Times New Roman" w:eastAsia="Times New Roman" w:hAnsi="Times New Roman" w:cs="Times New Roman"/>
          <w:sz w:val="24"/>
          <w:szCs w:val="24"/>
        </w:rPr>
        <w:t xml:space="preserve"> </w:t>
      </w:r>
      <w:r w:rsidRPr="00F36E3E">
        <w:rPr>
          <w:rFonts w:ascii="Times New Roman" w:eastAsia="Times New Roman" w:hAnsi="Times New Roman" w:cs="Times New Roman"/>
          <w:sz w:val="24"/>
          <w:szCs w:val="24"/>
        </w:rPr>
        <w:t>GARCH methodology significantly contributes to investment risk reduction in the observed financial markets.</w:t>
      </w:r>
    </w:p>
    <w:p w14:paraId="642C9672"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Claiming that the application</w:t>
      </w:r>
      <w:r w:rsidRPr="00023AAB">
        <w:rPr>
          <w:rFonts w:ascii="Times New Roman" w:eastAsia="Times New Roman" w:hAnsi="Times New Roman" w:cs="Times New Roman"/>
          <w:sz w:val="24"/>
          <w:szCs w:val="24"/>
        </w:rPr>
        <w:t xml:space="preserve"> of a modified </w:t>
      </w:r>
      <w:r w:rsidRPr="00446C40">
        <w:rPr>
          <w:rFonts w:ascii="Times New Roman" w:eastAsia="Times New Roman" w:hAnsi="Times New Roman" w:cs="Times New Roman"/>
          <w:sz w:val="24"/>
          <w:szCs w:val="24"/>
        </w:rPr>
        <w:t xml:space="preserve">(IFBM) </w:t>
      </w:r>
      <w:r w:rsidRPr="00023AAB">
        <w:rPr>
          <w:rFonts w:ascii="Times New Roman" w:eastAsia="Times New Roman" w:hAnsi="Times New Roman" w:cs="Times New Roman"/>
          <w:sz w:val="24"/>
          <w:szCs w:val="24"/>
        </w:rPr>
        <w:t xml:space="preserve">GARCH </w:t>
      </w:r>
      <w:r w:rsidRPr="00446C40">
        <w:rPr>
          <w:rFonts w:ascii="Times New Roman" w:eastAsia="Times New Roman" w:hAnsi="Times New Roman" w:cs="Times New Roman"/>
          <w:sz w:val="24"/>
          <w:szCs w:val="24"/>
        </w:rPr>
        <w:t>(1,1)</w:t>
      </w:r>
      <w:r w:rsidRPr="00023AAB">
        <w:rPr>
          <w:rFonts w:ascii="Times New Roman" w:eastAsia="Times New Roman" w:hAnsi="Times New Roman" w:cs="Times New Roman"/>
          <w:sz w:val="24"/>
          <w:szCs w:val="24"/>
        </w:rPr>
        <w:t xml:space="preserve"> model can be equally successfully applicable</w:t>
      </w:r>
      <w:r w:rsidRPr="00446C40">
        <w:rPr>
          <w:rFonts w:ascii="Times New Roman" w:eastAsia="Times New Roman" w:hAnsi="Times New Roman" w:cs="Times New Roman"/>
          <w:sz w:val="24"/>
          <w:szCs w:val="24"/>
        </w:rPr>
        <w:t xml:space="preserve"> in selected</w:t>
      </w:r>
      <w:r w:rsidRPr="00023AAB">
        <w:rPr>
          <w:rFonts w:ascii="Times New Roman" w:eastAsia="Times New Roman" w:hAnsi="Times New Roman" w:cs="Times New Roman"/>
          <w:sz w:val="24"/>
          <w:szCs w:val="24"/>
        </w:rPr>
        <w:t xml:space="preserve"> financial markets, the H1 hypothesis has also been confirmed. It means that the research results show that the custom GARCH </w:t>
      </w:r>
      <w:r w:rsidRPr="00446C40">
        <w:rPr>
          <w:rFonts w:ascii="Times New Roman" w:eastAsia="Times New Roman" w:hAnsi="Times New Roman" w:cs="Times New Roman"/>
          <w:sz w:val="24"/>
          <w:szCs w:val="24"/>
        </w:rPr>
        <w:t>(IFBM)</w:t>
      </w:r>
      <w:r w:rsidRPr="00023AAB">
        <w:rPr>
          <w:rFonts w:ascii="Times New Roman" w:eastAsia="Times New Roman" w:hAnsi="Times New Roman" w:cs="Times New Roman"/>
          <w:sz w:val="24"/>
          <w:szCs w:val="24"/>
        </w:rPr>
        <w:t xml:space="preserve"> model </w:t>
      </w:r>
      <w:r w:rsidRPr="00446C40">
        <w:rPr>
          <w:rFonts w:ascii="Times New Roman" w:eastAsia="Times New Roman" w:hAnsi="Times New Roman" w:cs="Times New Roman"/>
          <w:sz w:val="24"/>
          <w:szCs w:val="24"/>
        </w:rPr>
        <w:t xml:space="preserve">and the application of the modified GARCH (1,1) model can be equally successful in real financial markets. </w:t>
      </w:r>
      <w:r w:rsidRPr="00023AAB">
        <w:rPr>
          <w:rFonts w:ascii="Times New Roman" w:eastAsia="Times New Roman" w:hAnsi="Times New Roman" w:cs="Times New Roman"/>
          <w:sz w:val="24"/>
          <w:szCs w:val="24"/>
        </w:rPr>
        <w:t xml:space="preserve">Using the </w:t>
      </w:r>
      <w:r w:rsidRPr="00446C40">
        <w:rPr>
          <w:rFonts w:ascii="Times New Roman" w:eastAsia="Times New Roman" w:hAnsi="Times New Roman" w:cs="Times New Roman"/>
          <w:sz w:val="24"/>
          <w:szCs w:val="24"/>
        </w:rPr>
        <w:t>AIC and BIC</w:t>
      </w:r>
      <w:r w:rsidRPr="00023AAB">
        <w:rPr>
          <w:rFonts w:ascii="Times New Roman" w:eastAsia="Times New Roman" w:hAnsi="Times New Roman" w:cs="Times New Roman"/>
          <w:sz w:val="24"/>
          <w:szCs w:val="24"/>
        </w:rPr>
        <w:t xml:space="preserve"> information criteria, the comparative overview shows that the custom GARCH </w:t>
      </w:r>
      <w:r w:rsidRPr="00446C40">
        <w:rPr>
          <w:rFonts w:ascii="Times New Roman" w:eastAsia="Times New Roman" w:hAnsi="Times New Roman" w:cs="Times New Roman"/>
          <w:sz w:val="24"/>
          <w:szCs w:val="24"/>
        </w:rPr>
        <w:t>(1,1)</w:t>
      </w:r>
      <w:r w:rsidRPr="00023AAB">
        <w:rPr>
          <w:rFonts w:ascii="Times New Roman" w:eastAsia="Times New Roman" w:hAnsi="Times New Roman" w:cs="Times New Roman"/>
          <w:sz w:val="24"/>
          <w:szCs w:val="24"/>
        </w:rPr>
        <w:t xml:space="preserve"> model prevails in the </w:t>
      </w:r>
      <w:r w:rsidRPr="00446C40">
        <w:rPr>
          <w:rFonts w:ascii="Times New Roman" w:eastAsia="Times New Roman" w:hAnsi="Times New Roman" w:cs="Times New Roman"/>
          <w:sz w:val="24"/>
          <w:szCs w:val="24"/>
        </w:rPr>
        <w:t>selected</w:t>
      </w:r>
      <w:r w:rsidRPr="00023AAB">
        <w:rPr>
          <w:rFonts w:ascii="Times New Roman" w:eastAsia="Times New Roman" w:hAnsi="Times New Roman" w:cs="Times New Roman"/>
          <w:sz w:val="24"/>
          <w:szCs w:val="24"/>
        </w:rPr>
        <w:t xml:space="preserve"> </w:t>
      </w:r>
      <w:r w:rsidRPr="00446C40">
        <w:rPr>
          <w:rFonts w:ascii="Times New Roman" w:eastAsia="Times New Roman" w:hAnsi="Times New Roman" w:cs="Times New Roman"/>
          <w:sz w:val="24"/>
          <w:szCs w:val="24"/>
        </w:rPr>
        <w:t>financial market.</w:t>
      </w:r>
      <w:r w:rsidRPr="00023AAB">
        <w:rPr>
          <w:rFonts w:ascii="Times New Roman" w:eastAsia="Times New Roman" w:hAnsi="Times New Roman" w:cs="Times New Roman"/>
          <w:sz w:val="24"/>
          <w:szCs w:val="24"/>
        </w:rPr>
        <w:t xml:space="preserve">  The modified GARCH </w:t>
      </w:r>
      <w:r w:rsidRPr="00446C40">
        <w:rPr>
          <w:rFonts w:ascii="Times New Roman" w:eastAsia="Times New Roman" w:hAnsi="Times New Roman" w:cs="Times New Roman"/>
          <w:sz w:val="24"/>
          <w:szCs w:val="24"/>
        </w:rPr>
        <w:t>(1,1)</w:t>
      </w:r>
      <w:r w:rsidRPr="00023AAB">
        <w:rPr>
          <w:rFonts w:ascii="Times New Roman" w:eastAsia="Times New Roman" w:hAnsi="Times New Roman" w:cs="Times New Roman"/>
          <w:sz w:val="24"/>
          <w:szCs w:val="24"/>
        </w:rPr>
        <w:t xml:space="preserve"> proves </w:t>
      </w:r>
      <w:r w:rsidRPr="0057026C">
        <w:rPr>
          <w:rFonts w:ascii="Times New Roman" w:eastAsia="Times New Roman" w:hAnsi="Times New Roman" w:cs="Times New Roman"/>
          <w:sz w:val="24"/>
          <w:szCs w:val="24"/>
        </w:rPr>
        <w:t xml:space="preserve">itself as optimal for </w:t>
      </w:r>
      <w:r w:rsidRPr="00446C40">
        <w:rPr>
          <w:rFonts w:ascii="Times New Roman" w:eastAsia="Times New Roman" w:hAnsi="Times New Roman" w:cs="Times New Roman"/>
          <w:sz w:val="24"/>
          <w:szCs w:val="24"/>
        </w:rPr>
        <w:t>S&amp;P 500 stock index</w:t>
      </w:r>
      <w:r w:rsidRPr="0057026C">
        <w:rPr>
          <w:rFonts w:ascii="Times New Roman" w:eastAsia="Times New Roman" w:hAnsi="Times New Roman" w:cs="Times New Roman"/>
          <w:sz w:val="24"/>
          <w:szCs w:val="24"/>
        </w:rPr>
        <w:t xml:space="preserve">. In </w:t>
      </w:r>
      <w:r w:rsidRPr="00446C40">
        <w:rPr>
          <w:rFonts w:ascii="Times New Roman" w:eastAsia="Times New Roman" w:hAnsi="Times New Roman" w:cs="Times New Roman"/>
          <w:sz w:val="24"/>
          <w:szCs w:val="24"/>
        </w:rPr>
        <w:t>9</w:t>
      </w:r>
      <w:r w:rsidRPr="0057026C">
        <w:rPr>
          <w:rFonts w:ascii="Times New Roman" w:eastAsia="Times New Roman" w:hAnsi="Times New Roman" w:cs="Times New Roman"/>
          <w:sz w:val="24"/>
          <w:szCs w:val="24"/>
        </w:rPr>
        <w:t xml:space="preserve"> out of 12 cases, it verified as optimal in the observed periods</w:t>
      </w:r>
      <w:r w:rsidRPr="00446C40">
        <w:rPr>
          <w:rFonts w:ascii="Times New Roman" w:eastAsia="Times New Roman" w:hAnsi="Times New Roman" w:cs="Times New Roman"/>
          <w:sz w:val="24"/>
          <w:szCs w:val="24"/>
        </w:rPr>
        <w:t>.</w:t>
      </w:r>
      <w:r w:rsidRPr="0057026C">
        <w:rPr>
          <w:rFonts w:ascii="Times New Roman" w:eastAsia="Times New Roman" w:hAnsi="Times New Roman" w:cs="Times New Roman"/>
          <w:sz w:val="24"/>
          <w:szCs w:val="24"/>
        </w:rPr>
        <w:t xml:space="preserve"> </w:t>
      </w:r>
    </w:p>
    <w:p w14:paraId="66B97409" w14:textId="77777777" w:rsidR="007B399B" w:rsidRPr="00446C40"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The aforementioned</w:t>
      </w:r>
      <w:r w:rsidRPr="0057026C">
        <w:rPr>
          <w:rFonts w:ascii="Times New Roman" w:eastAsia="Times New Roman" w:hAnsi="Times New Roman" w:cs="Times New Roman"/>
          <w:sz w:val="24"/>
          <w:szCs w:val="24"/>
        </w:rPr>
        <w:t xml:space="preserve"> facts show the importance of a modified </w:t>
      </w:r>
      <w:r w:rsidRPr="00446C40">
        <w:rPr>
          <w:rFonts w:ascii="Times New Roman" w:eastAsia="Times New Roman" w:hAnsi="Times New Roman" w:cs="Times New Roman"/>
          <w:sz w:val="24"/>
          <w:szCs w:val="24"/>
        </w:rPr>
        <w:t>(IFBM)</w:t>
      </w:r>
      <w:r w:rsidRPr="0057026C">
        <w:rPr>
          <w:rFonts w:ascii="Times New Roman" w:eastAsia="Times New Roman" w:hAnsi="Times New Roman" w:cs="Times New Roman"/>
          <w:sz w:val="24"/>
          <w:szCs w:val="24"/>
        </w:rPr>
        <w:t xml:space="preserve"> GARCH methodology to test the difference between the impact of macroeconomic factors on the return daily rates on the developed financial markets</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and contribute to investment risk reduction. The special quality of the research results stems from the fact that it is focused on the</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use of a new approach to the modified</w:t>
      </w:r>
      <w:r w:rsidRPr="00446C40">
        <w:rPr>
          <w:rFonts w:ascii="Times New Roman" w:eastAsia="Times New Roman" w:hAnsi="Times New Roman" w:cs="Times New Roman"/>
          <w:sz w:val="24"/>
          <w:szCs w:val="24"/>
        </w:rPr>
        <w:t xml:space="preserve"> (IFBM)</w:t>
      </w:r>
      <w:r w:rsidRPr="0057026C">
        <w:rPr>
          <w:rFonts w:ascii="Times New Roman" w:eastAsia="Times New Roman" w:hAnsi="Times New Roman" w:cs="Times New Roman"/>
          <w:sz w:val="24"/>
          <w:szCs w:val="24"/>
        </w:rPr>
        <w:t xml:space="preserve"> GARCH methodology in the developed, whilst the analysis of comparative literature in this research field shows a relatively small number of studies with this topic.</w:t>
      </w:r>
    </w:p>
    <w:p w14:paraId="73A56DBC" w14:textId="77777777" w:rsidR="007B399B" w:rsidRPr="0057026C" w:rsidRDefault="007B399B" w:rsidP="007B399B">
      <w:pPr>
        <w:shd w:val="clear" w:color="auto" w:fill="FFFFFF"/>
        <w:spacing w:line="360" w:lineRule="auto"/>
        <w:jc w:val="both"/>
        <w:rPr>
          <w:rFonts w:ascii="Times New Roman" w:eastAsia="Times New Roman" w:hAnsi="Times New Roman" w:cs="Times New Roman"/>
          <w:sz w:val="24"/>
          <w:szCs w:val="24"/>
        </w:rPr>
      </w:pPr>
      <w:r w:rsidRPr="0057026C">
        <w:rPr>
          <w:rFonts w:ascii="Times New Roman" w:eastAsia="Times New Roman" w:hAnsi="Times New Roman" w:cs="Times New Roman"/>
          <w:sz w:val="24"/>
          <w:szCs w:val="24"/>
        </w:rPr>
        <w:t>Both the basic and the specific goals are fully met by the research, with the modified</w:t>
      </w:r>
      <w:r w:rsidRPr="00446C40">
        <w:rPr>
          <w:rFonts w:ascii="Times New Roman" w:eastAsia="Times New Roman" w:hAnsi="Times New Roman" w:cs="Times New Roman"/>
          <w:sz w:val="24"/>
          <w:szCs w:val="24"/>
        </w:rPr>
        <w:t xml:space="preserve"> (IFBM)</w:t>
      </w:r>
      <w:r w:rsidRPr="0057026C">
        <w:rPr>
          <w:rFonts w:ascii="Times New Roman" w:eastAsia="Times New Roman" w:hAnsi="Times New Roman" w:cs="Times New Roman"/>
          <w:sz w:val="24"/>
          <w:szCs w:val="24"/>
        </w:rPr>
        <w:t xml:space="preserve"> GARCH methodology application tested in</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 xml:space="preserve">practice in the developed financial markets. The research has a wide period of time, </w:t>
      </w:r>
      <w:r w:rsidRPr="00446C40">
        <w:rPr>
          <w:rFonts w:ascii="Times New Roman" w:eastAsia="Times New Roman" w:hAnsi="Times New Roman" w:cs="Times New Roman"/>
          <w:sz w:val="24"/>
          <w:szCs w:val="24"/>
        </w:rPr>
        <w:t>i.e.,</w:t>
      </w:r>
      <w:r w:rsidRPr="0057026C">
        <w:rPr>
          <w:rFonts w:ascii="Times New Roman" w:eastAsia="Times New Roman" w:hAnsi="Times New Roman" w:cs="Times New Roman"/>
          <w:sz w:val="24"/>
          <w:szCs w:val="24"/>
        </w:rPr>
        <w:t xml:space="preserve"> it is focused on the</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 xml:space="preserve">periods of the global economic and financial crisis, which ensures the complete representativity of the obtained research results. </w:t>
      </w:r>
    </w:p>
    <w:p w14:paraId="54EA88D6" w14:textId="77777777" w:rsidR="007B399B" w:rsidRPr="0057026C" w:rsidRDefault="007B399B" w:rsidP="007B399B">
      <w:pPr>
        <w:shd w:val="clear" w:color="auto" w:fill="FFFFFF"/>
        <w:spacing w:line="360" w:lineRule="auto"/>
        <w:jc w:val="both"/>
        <w:rPr>
          <w:rFonts w:ascii="Times New Roman" w:eastAsia="Times New Roman" w:hAnsi="Times New Roman" w:cs="Times New Roman"/>
          <w:sz w:val="24"/>
          <w:szCs w:val="24"/>
        </w:rPr>
      </w:pPr>
      <w:r w:rsidRPr="00446C40">
        <w:rPr>
          <w:rFonts w:ascii="Times New Roman" w:eastAsia="Times New Roman" w:hAnsi="Times New Roman" w:cs="Times New Roman"/>
          <w:sz w:val="24"/>
          <w:szCs w:val="24"/>
        </w:rPr>
        <w:t>The testing of</w:t>
      </w:r>
      <w:r w:rsidRPr="0057026C">
        <w:rPr>
          <w:rFonts w:ascii="Times New Roman" w:eastAsia="Times New Roman" w:hAnsi="Times New Roman" w:cs="Times New Roman"/>
          <w:sz w:val="24"/>
          <w:szCs w:val="24"/>
        </w:rPr>
        <w:t xml:space="preserve"> the impact of macroeconomic factors using the modified</w:t>
      </w:r>
      <w:r w:rsidRPr="00446C40">
        <w:rPr>
          <w:rFonts w:ascii="Times New Roman" w:eastAsia="Times New Roman" w:hAnsi="Times New Roman" w:cs="Times New Roman"/>
          <w:sz w:val="24"/>
          <w:szCs w:val="24"/>
        </w:rPr>
        <w:t xml:space="preserve"> (IFBM)</w:t>
      </w:r>
      <w:r w:rsidRPr="0057026C">
        <w:rPr>
          <w:rFonts w:ascii="Times New Roman" w:eastAsia="Times New Roman" w:hAnsi="Times New Roman" w:cs="Times New Roman"/>
          <w:sz w:val="24"/>
          <w:szCs w:val="24"/>
        </w:rPr>
        <w:t xml:space="preserve"> GARCH methodology has a fully scientific, </w:t>
      </w:r>
      <w:r w:rsidRPr="00446C40">
        <w:rPr>
          <w:rFonts w:ascii="Times New Roman" w:eastAsia="Times New Roman" w:hAnsi="Times New Roman" w:cs="Times New Roman"/>
          <w:sz w:val="24"/>
          <w:szCs w:val="24"/>
        </w:rPr>
        <w:t>i.e.,</w:t>
      </w:r>
      <w:r w:rsidRPr="0057026C">
        <w:rPr>
          <w:rFonts w:ascii="Times New Roman" w:eastAsia="Times New Roman" w:hAnsi="Times New Roman" w:cs="Times New Roman"/>
          <w:sz w:val="24"/>
          <w:szCs w:val="24"/>
        </w:rPr>
        <w:t xml:space="preserve"> academic contribution, which opens up opportunities for further research on the topic. The research results have multiple </w:t>
      </w:r>
      <w:r w:rsidRPr="00446C40">
        <w:rPr>
          <w:rFonts w:ascii="Times New Roman" w:eastAsia="Times New Roman" w:hAnsi="Times New Roman" w:cs="Times New Roman"/>
          <w:sz w:val="24"/>
          <w:szCs w:val="24"/>
        </w:rPr>
        <w:t>relevance, especially for domestic</w:t>
      </w:r>
      <w:r w:rsidRPr="0057026C">
        <w:rPr>
          <w:rFonts w:ascii="Times New Roman" w:eastAsia="Times New Roman" w:hAnsi="Times New Roman" w:cs="Times New Roman"/>
          <w:sz w:val="24"/>
          <w:szCs w:val="24"/>
        </w:rPr>
        <w:t xml:space="preserve"> and</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international investors</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(institutional</w:t>
      </w:r>
      <w:r w:rsidRPr="00446C40">
        <w:rPr>
          <w:rFonts w:ascii="Times New Roman" w:eastAsia="Times New Roman" w:hAnsi="Times New Roman" w:cs="Times New Roman"/>
          <w:sz w:val="24"/>
          <w:szCs w:val="24"/>
        </w:rPr>
        <w:t xml:space="preserve"> investors, investment funds, portfolio</w:t>
      </w:r>
      <w:r w:rsidRPr="0057026C">
        <w:rPr>
          <w:rFonts w:ascii="Times New Roman" w:eastAsia="Times New Roman" w:hAnsi="Times New Roman" w:cs="Times New Roman"/>
          <w:sz w:val="24"/>
          <w:szCs w:val="24"/>
        </w:rPr>
        <w:t xml:space="preserve"> managers, market analysts and others), thus confirming the practical contribution of the research. The obtained results help domestic and international investors in the process of defining an optimal investment strategy, as well as making investment decisions in both developed and emerging financial markets. The research results indicate a practical </w:t>
      </w:r>
      <w:r w:rsidRPr="00446C40">
        <w:rPr>
          <w:rFonts w:ascii="Times New Roman" w:eastAsia="Times New Roman" w:hAnsi="Times New Roman" w:cs="Times New Roman"/>
          <w:sz w:val="24"/>
          <w:szCs w:val="24"/>
        </w:rPr>
        <w:t>contribution in terms of whether the</w:t>
      </w:r>
      <w:r w:rsidRPr="0057026C">
        <w:rPr>
          <w:rFonts w:ascii="Times New Roman" w:eastAsia="Times New Roman" w:hAnsi="Times New Roman" w:cs="Times New Roman"/>
          <w:sz w:val="24"/>
          <w:szCs w:val="24"/>
        </w:rPr>
        <w:t xml:space="preserve"> appropriate investment strategy should be applied and in </w:t>
      </w:r>
      <w:r w:rsidRPr="0057026C">
        <w:rPr>
          <w:rFonts w:ascii="Times New Roman" w:eastAsia="Times New Roman" w:hAnsi="Times New Roman" w:cs="Times New Roman"/>
          <w:sz w:val="24"/>
          <w:szCs w:val="24"/>
        </w:rPr>
        <w:lastRenderedPageBreak/>
        <w:t>which markets, depending on the economic conditions in order to protect and</w:t>
      </w:r>
      <w:r w:rsidRPr="00446C40">
        <w:rPr>
          <w:rFonts w:ascii="Times New Roman" w:eastAsia="Times New Roman" w:hAnsi="Times New Roman" w:cs="Times New Roman"/>
          <w:sz w:val="24"/>
          <w:szCs w:val="24"/>
        </w:rPr>
        <w:t xml:space="preserve"> </w:t>
      </w:r>
      <w:r w:rsidRPr="0057026C">
        <w:rPr>
          <w:rFonts w:ascii="Times New Roman" w:eastAsia="Times New Roman" w:hAnsi="Times New Roman" w:cs="Times New Roman"/>
          <w:sz w:val="24"/>
          <w:szCs w:val="24"/>
        </w:rPr>
        <w:t>reduce the risk of investment activities.</w:t>
      </w:r>
    </w:p>
    <w:p w14:paraId="739AC1FE" w14:textId="77777777" w:rsidR="007B399B" w:rsidRPr="00CD5CC1" w:rsidRDefault="007B399B" w:rsidP="007B399B">
      <w:pPr>
        <w:shd w:val="clear" w:color="auto" w:fill="FFFFFF"/>
        <w:spacing w:line="360" w:lineRule="auto"/>
        <w:jc w:val="both"/>
        <w:rPr>
          <w:rFonts w:ascii="Times New Roman" w:eastAsia="Times New Roman" w:hAnsi="Times New Roman" w:cs="Times New Roman"/>
          <w:sz w:val="24"/>
          <w:szCs w:val="24"/>
        </w:rPr>
      </w:pPr>
      <w:r w:rsidRPr="00CD5CC1">
        <w:rPr>
          <w:rFonts w:ascii="Times New Roman" w:eastAsia="Times New Roman" w:hAnsi="Times New Roman" w:cs="Times New Roman"/>
          <w:sz w:val="24"/>
          <w:szCs w:val="24"/>
        </w:rPr>
        <w:t>On the one hand, the research presents the problems and challenges arising from the specific characteristics of the financial markets and the need to adapt the tested modified</w:t>
      </w:r>
      <w:r w:rsidRPr="00446C40">
        <w:rPr>
          <w:rFonts w:ascii="Times New Roman" w:eastAsia="Times New Roman" w:hAnsi="Times New Roman" w:cs="Times New Roman"/>
          <w:sz w:val="24"/>
          <w:szCs w:val="24"/>
        </w:rPr>
        <w:t xml:space="preserve"> (IFBM)</w:t>
      </w:r>
      <w:r w:rsidRPr="00CD5CC1">
        <w:rPr>
          <w:rFonts w:ascii="Times New Roman" w:eastAsia="Times New Roman" w:hAnsi="Times New Roman" w:cs="Times New Roman"/>
          <w:sz w:val="24"/>
          <w:szCs w:val="24"/>
        </w:rPr>
        <w:t xml:space="preserve"> GARCH models to the specificities of </w:t>
      </w:r>
      <w:r w:rsidRPr="00446C40">
        <w:rPr>
          <w:rFonts w:ascii="Times New Roman" w:eastAsia="Times New Roman" w:hAnsi="Times New Roman" w:cs="Times New Roman"/>
          <w:sz w:val="24"/>
          <w:szCs w:val="24"/>
        </w:rPr>
        <w:t>different</w:t>
      </w:r>
      <w:r w:rsidRPr="00CD5CC1">
        <w:rPr>
          <w:rFonts w:ascii="Times New Roman" w:eastAsia="Times New Roman" w:hAnsi="Times New Roman" w:cs="Times New Roman"/>
          <w:sz w:val="24"/>
          <w:szCs w:val="24"/>
        </w:rPr>
        <w:t xml:space="preserve"> markets. The greatest challenge for this research was to implement and modify existing GARCH econometric models and </w:t>
      </w:r>
      <w:r w:rsidRPr="00446C40">
        <w:rPr>
          <w:rFonts w:ascii="Times New Roman" w:eastAsia="Times New Roman" w:hAnsi="Times New Roman" w:cs="Times New Roman"/>
          <w:sz w:val="24"/>
          <w:szCs w:val="24"/>
        </w:rPr>
        <w:t>quantify the impact of macroeconomic</w:t>
      </w:r>
      <w:r w:rsidRPr="00CD5CC1">
        <w:rPr>
          <w:rFonts w:ascii="Times New Roman" w:eastAsia="Times New Roman" w:hAnsi="Times New Roman" w:cs="Times New Roman"/>
          <w:sz w:val="24"/>
          <w:szCs w:val="24"/>
        </w:rPr>
        <w:t xml:space="preserve"> factors </w:t>
      </w:r>
      <w:r w:rsidRPr="00446C40">
        <w:rPr>
          <w:rFonts w:ascii="Times New Roman" w:eastAsia="Times New Roman" w:hAnsi="Times New Roman" w:cs="Times New Roman"/>
          <w:sz w:val="24"/>
          <w:szCs w:val="24"/>
        </w:rPr>
        <w:t>thus applying them</w:t>
      </w:r>
      <w:r w:rsidRPr="00CD5CC1">
        <w:rPr>
          <w:rFonts w:ascii="Times New Roman" w:eastAsia="Times New Roman" w:hAnsi="Times New Roman" w:cs="Times New Roman"/>
          <w:sz w:val="24"/>
          <w:szCs w:val="24"/>
        </w:rPr>
        <w:t xml:space="preserve"> successfully and obtaining results that are based on science and practice. </w:t>
      </w:r>
    </w:p>
    <w:p w14:paraId="131117AD" w14:textId="558F9517" w:rsidR="007B399B" w:rsidRDefault="002C6D5C" w:rsidP="002C6D5C">
      <w:pPr>
        <w:pStyle w:val="Heading2"/>
        <w:rPr>
          <w:rFonts w:eastAsia="Times New Roman"/>
        </w:rPr>
      </w:pPr>
      <w:bookmarkStart w:id="209" w:name="_Toc90500015"/>
      <w:r>
        <w:rPr>
          <w:rFonts w:eastAsia="Times New Roman"/>
        </w:rPr>
        <w:t>3.6 Contribution to knowledge</w:t>
      </w:r>
      <w:bookmarkEnd w:id="209"/>
      <w:r>
        <w:rPr>
          <w:rFonts w:eastAsia="Times New Roman"/>
        </w:rPr>
        <w:t xml:space="preserve"> </w:t>
      </w:r>
    </w:p>
    <w:p w14:paraId="7B7C1FDF" w14:textId="77777777" w:rsidR="00487F5B" w:rsidRPr="00B06DC4" w:rsidRDefault="00487F5B" w:rsidP="00487F5B">
      <w:pPr>
        <w:shd w:val="clear" w:color="auto" w:fill="FFFFFF"/>
        <w:spacing w:line="360" w:lineRule="auto"/>
        <w:jc w:val="both"/>
        <w:rPr>
          <w:rFonts w:ascii="Times New Roman" w:eastAsia="Times New Roman" w:hAnsi="Times New Roman" w:cs="Times New Roman"/>
          <w:sz w:val="24"/>
          <w:szCs w:val="24"/>
        </w:rPr>
      </w:pPr>
      <w:r w:rsidRPr="00B06DC4">
        <w:rPr>
          <w:rFonts w:ascii="Times New Roman" w:eastAsia="Times New Roman" w:hAnsi="Times New Roman" w:cs="Times New Roman"/>
          <w:sz w:val="24"/>
          <w:szCs w:val="24"/>
        </w:rPr>
        <w:t xml:space="preserve">Current circumstances in the financial markets, globalization trends, the financial crisis and significant volatility of the market are some of the key conditions that have influenced the change in the logic of financial thinking. The forecasting methods and techniques of the expected corresponding investment effects have been inevitably changed and adapted to contemporary market conditions and opportunities. Investing in financial markets today must be considered differently and analysed in relation to the period before the outbreak of the financial crisis. Therefore, it must be seen in the context of modern market conditions, with a resulting change of the investment strategy in order to optimise the effects.  As the functionality and symmetry of the daily return rates on financial markets have a different "form" after the financial crisis, researchers must use custom models to analyse and quantify the risks of investment activities.  </w:t>
      </w:r>
    </w:p>
    <w:p w14:paraId="1553DAF1" w14:textId="1CA09E6E" w:rsidR="00487F5B" w:rsidRPr="00B06DC4" w:rsidRDefault="00487F5B" w:rsidP="00487F5B">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Empirical findings also suggest the presence of volatility clusters in the distributions of financial asset returns. This can be accounted for by GARCH models (</w:t>
      </w:r>
      <w:proofErr w:type="spellStart"/>
      <w:r w:rsidRPr="00B06DC4">
        <w:rPr>
          <w:rFonts w:ascii="Times New Roman" w:hAnsi="Times New Roman" w:cs="Times New Roman"/>
          <w:sz w:val="24"/>
          <w:szCs w:val="24"/>
        </w:rPr>
        <w:t>Bollerslev</w:t>
      </w:r>
      <w:proofErr w:type="spellEnd"/>
      <w:r w:rsidRPr="00B06DC4">
        <w:rPr>
          <w:rFonts w:ascii="Times New Roman" w:hAnsi="Times New Roman" w:cs="Times New Roman"/>
          <w:sz w:val="24"/>
          <w:szCs w:val="24"/>
        </w:rPr>
        <w:t xml:space="preserve">, 1986; Engle, 1982), that assume innovations with serially correlated conditional variance. This approach, which admits temporal dependencies in the shocks of the stochastic process being modelled, often assumes that the conditional distribution of the innovations is Gaussian. Many financial time series, however, show levels of empirical kurtosis and/or skewness that cannot be adequately explained this way. </w:t>
      </w:r>
    </w:p>
    <w:p w14:paraId="065EA351" w14:textId="77777777" w:rsidR="00487F5B" w:rsidRPr="00A63E9B" w:rsidRDefault="00487F5B" w:rsidP="00487F5B">
      <w:pPr>
        <w:spacing w:line="360" w:lineRule="auto"/>
        <w:jc w:val="both"/>
        <w:rPr>
          <w:rFonts w:ascii="Times New Roman" w:hAnsi="Times New Roman" w:cs="Times New Roman"/>
          <w:sz w:val="24"/>
          <w:szCs w:val="24"/>
          <w:lang w:val="en-US"/>
        </w:rPr>
      </w:pPr>
      <w:r w:rsidRPr="00B06DC4">
        <w:rPr>
          <w:rFonts w:ascii="Times New Roman" w:hAnsi="Times New Roman" w:cs="Times New Roman"/>
          <w:sz w:val="24"/>
          <w:szCs w:val="24"/>
        </w:rPr>
        <w:t xml:space="preserve">Following a Geometrical Brownian Motion extension into an Irrational fractional Brownian motion model, this chapter re-examine irrational agent behaviour reacting to time dependent news on the log-returns for modifying a financial market evolution. We specifically discuss the role of financial news or economic information positive or negative feedback of such irrational (or contrarian) agents upon the price evolution. We observe a kink-like effect reminiscent of </w:t>
      </w:r>
      <w:r w:rsidRPr="00A63E9B">
        <w:rPr>
          <w:rFonts w:ascii="Times New Roman" w:hAnsi="Times New Roman" w:cs="Times New Roman"/>
          <w:sz w:val="24"/>
          <w:szCs w:val="24"/>
        </w:rPr>
        <w:lastRenderedPageBreak/>
        <w:t xml:space="preserve">soliton behaviour, suggesting how </w:t>
      </w:r>
      <w:r w:rsidRPr="00A63E9B">
        <w:rPr>
          <w:rFonts w:ascii="Times New Roman" w:hAnsi="Times New Roman" w:cs="Times New Roman"/>
          <w:sz w:val="24"/>
          <w:szCs w:val="24"/>
          <w:lang w:val="en-US"/>
        </w:rPr>
        <w:t>analysts' forecasts errors induce stock prices to adjust accordingly, thereby proposing a measure of the irrational force in a market.</w:t>
      </w:r>
    </w:p>
    <w:p w14:paraId="1CE09CA3" w14:textId="77777777" w:rsidR="00487F5B" w:rsidRPr="00A63E9B" w:rsidRDefault="00487F5B" w:rsidP="00487F5B">
      <w:pPr>
        <w:shd w:val="clear" w:color="auto" w:fill="FFFFFF"/>
        <w:spacing w:line="360" w:lineRule="auto"/>
        <w:jc w:val="both"/>
        <w:rPr>
          <w:rFonts w:ascii="Times New Roman" w:eastAsia="Calibri" w:hAnsi="Times New Roman" w:cs="Times New Roman"/>
          <w:sz w:val="24"/>
          <w:szCs w:val="24"/>
        </w:rPr>
      </w:pPr>
      <w:r w:rsidRPr="00A63E9B">
        <w:rPr>
          <w:rFonts w:ascii="Times New Roman" w:hAnsi="Times New Roman" w:cs="Times New Roman"/>
          <w:sz w:val="24"/>
          <w:szCs w:val="24"/>
        </w:rPr>
        <w:t>Irrational fractional Brownian motion (IFBM) can be used to modify the moments of the distribution of a random variable. In this chapter, existing GARCH adjusted distributions are employed to model the skewness and </w:t>
      </w:r>
      <w:hyperlink r:id="rId148" w:tooltip="Learn more about kurtosis from ScienceDirect's AI-generated Topic Pages" w:history="1">
        <w:r w:rsidRPr="00A63E9B">
          <w:rPr>
            <w:rStyle w:val="Hyperlink"/>
            <w:rFonts w:ascii="Times New Roman" w:hAnsi="Times New Roman" w:cs="Times New Roman"/>
            <w:color w:val="auto"/>
            <w:sz w:val="24"/>
            <w:szCs w:val="24"/>
          </w:rPr>
          <w:t>kurtosis</w:t>
        </w:r>
      </w:hyperlink>
      <w:r w:rsidRPr="00A63E9B">
        <w:rPr>
          <w:rFonts w:ascii="Times New Roman" w:hAnsi="Times New Roman" w:cs="Times New Roman"/>
          <w:sz w:val="24"/>
          <w:szCs w:val="24"/>
        </w:rPr>
        <w:t> of the conditional distributions of GARCH models. To flexibly capture the skewness and kurtosis of data, the distributions of the innovations reshaped include, besides the Gaussian, also leptokurtic laws such as the logistic and the hyperbolic secant. Modelling GARCH innovations can effectively improve the precision of the forecasts. This strategy is analysed in GARCH models with different specifications for the conditional variance, such as the APARCH, the EGARCH, the Realized GARCH, and APARCH with time-varying skewness and kurtosis. An empirical application on different types of </w:t>
      </w:r>
      <w:hyperlink r:id="rId149" w:tooltip="Learn more about asset returns from ScienceDirect's AI-generated Topic Pages" w:history="1">
        <w:r w:rsidRPr="00A63E9B">
          <w:rPr>
            <w:rStyle w:val="Hyperlink"/>
            <w:rFonts w:ascii="Times New Roman" w:hAnsi="Times New Roman" w:cs="Times New Roman"/>
            <w:color w:val="auto"/>
            <w:sz w:val="24"/>
            <w:szCs w:val="24"/>
            <w:u w:val="none"/>
          </w:rPr>
          <w:t>asset returns</w:t>
        </w:r>
      </w:hyperlink>
      <w:r w:rsidRPr="00A63E9B">
        <w:rPr>
          <w:rFonts w:ascii="Times New Roman" w:hAnsi="Times New Roman" w:cs="Times New Roman"/>
          <w:sz w:val="24"/>
          <w:szCs w:val="24"/>
        </w:rPr>
        <w:t xml:space="preserve"> shows the good performance of these models in providing accurate forecasts according to several criteria based on density forecasting, downside risk, and volatility prediction. </w:t>
      </w:r>
      <w:r w:rsidRPr="00A63E9B">
        <w:rPr>
          <w:rFonts w:ascii="Times New Roman" w:eastAsia="Times New Roman" w:hAnsi="Times New Roman" w:cs="Times New Roman"/>
          <w:sz w:val="24"/>
          <w:szCs w:val="24"/>
        </w:rPr>
        <w:t>Compared with developed financial markets, emerging markets are rather volatile, underdeveloped and "shallow," characterised by the lack of continuous trading, low liquidity, low capitalization, lack of high turnover, and low efficiency. However, the benefits of the financial markets of developing countries are reflected in the fact that they bear a higher risk, as well. as higher returns on investment activities.</w:t>
      </w:r>
    </w:p>
    <w:p w14:paraId="6199498D" w14:textId="77777777" w:rsidR="00487F5B" w:rsidRPr="00B06DC4" w:rsidRDefault="00487F5B" w:rsidP="00487F5B">
      <w:pPr>
        <w:shd w:val="clear" w:color="auto" w:fill="FFFFFF"/>
        <w:spacing w:line="360" w:lineRule="auto"/>
        <w:jc w:val="both"/>
        <w:rPr>
          <w:rFonts w:ascii="Times New Roman" w:eastAsia="Times New Roman" w:hAnsi="Times New Roman" w:cs="Times New Roman"/>
          <w:sz w:val="24"/>
          <w:szCs w:val="24"/>
        </w:rPr>
      </w:pPr>
      <w:r w:rsidRPr="00B06DC4">
        <w:rPr>
          <w:rFonts w:ascii="Times New Roman" w:eastAsia="Times New Roman" w:hAnsi="Times New Roman" w:cs="Times New Roman"/>
          <w:sz w:val="24"/>
          <w:szCs w:val="24"/>
        </w:rPr>
        <w:t xml:space="preserve">Practical testing of econometric models provides information on their quality and efficiency in order to define and measure investment return volatility. In addition, the basic and modified econometric models should be continually tested, emphasising investment risk minimisation, especially given their specificities. As a quantified measure of market risk, volatility estimation is of great importance for investment decisions, where return volatility estimation represents the most important input for determining the optimal investment strategy. </w:t>
      </w:r>
      <w:r w:rsidRPr="00B06DC4">
        <w:rPr>
          <w:rFonts w:ascii="Times New Roman" w:hAnsi="Times New Roman" w:cs="Times New Roman"/>
          <w:sz w:val="24"/>
          <w:szCs w:val="24"/>
        </w:rPr>
        <w:t xml:space="preserve">This study presents a brief description of GARCH processes and how it can lead to potential variation of GARCH based on irrational fractional Brownian motion (IFBM) model. The GARCH process was developed by </w:t>
      </w:r>
      <w:proofErr w:type="spellStart"/>
      <w:r w:rsidRPr="00B06DC4">
        <w:rPr>
          <w:rFonts w:ascii="Times New Roman" w:hAnsi="Times New Roman" w:cs="Times New Roman"/>
          <w:sz w:val="24"/>
          <w:szCs w:val="24"/>
        </w:rPr>
        <w:t>Bollerslev</w:t>
      </w:r>
      <w:proofErr w:type="spellEnd"/>
      <w:r w:rsidRPr="00B06DC4">
        <w:rPr>
          <w:rFonts w:ascii="Times New Roman" w:hAnsi="Times New Roman" w:cs="Times New Roman"/>
          <w:sz w:val="24"/>
          <w:szCs w:val="24"/>
        </w:rPr>
        <w:t xml:space="preserve"> (1986) and Taylor (1986) which is identical to an ARMA model in terms of efficiency. Due to its characteristics, the GARCH process is most commonly used to analyse economic and financial time series data.</w:t>
      </w:r>
    </w:p>
    <w:p w14:paraId="01D32EE2" w14:textId="50A79D22" w:rsidR="00B64433" w:rsidRPr="00B06DC4" w:rsidRDefault="00B64433" w:rsidP="002C6D5C"/>
    <w:p w14:paraId="4944054E" w14:textId="518C6703" w:rsidR="00487F5B" w:rsidRPr="00B06DC4" w:rsidRDefault="00487F5B" w:rsidP="002C6D5C"/>
    <w:p w14:paraId="1258CA97" w14:textId="7360B6EE" w:rsidR="00487F5B" w:rsidRPr="00B06DC4" w:rsidRDefault="00487F5B" w:rsidP="002C6D5C"/>
    <w:p w14:paraId="11C5F8A1" w14:textId="77777777" w:rsidR="007B399B" w:rsidRPr="00B06DC4" w:rsidRDefault="007B399B" w:rsidP="007B399B">
      <w:pPr>
        <w:pStyle w:val="Heading2"/>
      </w:pPr>
      <w:bookmarkStart w:id="210" w:name="_Toc90500016"/>
      <w:r w:rsidRPr="00B06DC4">
        <w:lastRenderedPageBreak/>
        <w:t>Future Research</w:t>
      </w:r>
      <w:bookmarkEnd w:id="210"/>
      <w:r w:rsidRPr="00B06DC4">
        <w:t xml:space="preserve"> </w:t>
      </w:r>
    </w:p>
    <w:p w14:paraId="6DFC2EAC" w14:textId="77777777" w:rsidR="00C34D01" w:rsidRPr="00B06DC4" w:rsidRDefault="00C34D01" w:rsidP="00C34D01">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Although most previous studies provide substantial empirical evidence of the impact of volatility on international trade (</w:t>
      </w:r>
      <w:proofErr w:type="spellStart"/>
      <w:r w:rsidRPr="00B06DC4">
        <w:rPr>
          <w:rFonts w:ascii="Times New Roman" w:hAnsi="Times New Roman" w:cs="Times New Roman"/>
          <w:sz w:val="24"/>
          <w:szCs w:val="24"/>
        </w:rPr>
        <w:t>Arize</w:t>
      </w:r>
      <w:proofErr w:type="spellEnd"/>
      <w:r w:rsidRPr="00B06DC4">
        <w:rPr>
          <w:rFonts w:ascii="Times New Roman" w:hAnsi="Times New Roman" w:cs="Times New Roman"/>
          <w:sz w:val="24"/>
          <w:szCs w:val="24"/>
        </w:rPr>
        <w:t xml:space="preserve"> and </w:t>
      </w:r>
      <w:proofErr w:type="spellStart"/>
      <w:r w:rsidRPr="00B06DC4">
        <w:rPr>
          <w:rFonts w:ascii="Times New Roman" w:hAnsi="Times New Roman" w:cs="Times New Roman"/>
          <w:sz w:val="24"/>
          <w:szCs w:val="24"/>
        </w:rPr>
        <w:t>Shwiff</w:t>
      </w:r>
      <w:proofErr w:type="spellEnd"/>
      <w:r w:rsidRPr="00B06DC4">
        <w:rPr>
          <w:rFonts w:ascii="Times New Roman" w:hAnsi="Times New Roman" w:cs="Times New Roman"/>
          <w:sz w:val="24"/>
          <w:szCs w:val="24"/>
        </w:rPr>
        <w:t xml:space="preserve">, 1998; </w:t>
      </w:r>
      <w:proofErr w:type="spellStart"/>
      <w:r w:rsidRPr="00B06DC4">
        <w:rPr>
          <w:rFonts w:ascii="Times New Roman" w:hAnsi="Times New Roman" w:cs="Times New Roman"/>
          <w:sz w:val="24"/>
          <w:szCs w:val="24"/>
        </w:rPr>
        <w:t>Dogˇanlar</w:t>
      </w:r>
      <w:proofErr w:type="spellEnd"/>
      <w:r w:rsidRPr="00B06DC4">
        <w:rPr>
          <w:rFonts w:ascii="Times New Roman" w:hAnsi="Times New Roman" w:cs="Times New Roman"/>
          <w:sz w:val="24"/>
          <w:szCs w:val="24"/>
        </w:rPr>
        <w:t>, 2002; Kanas, 2002), few empirical studies investigate the impact of uncertainty (</w:t>
      </w:r>
      <w:proofErr w:type="spellStart"/>
      <w:r w:rsidRPr="00B06DC4">
        <w:rPr>
          <w:rFonts w:ascii="Times New Roman" w:hAnsi="Times New Roman" w:cs="Times New Roman"/>
          <w:sz w:val="24"/>
          <w:szCs w:val="24"/>
        </w:rPr>
        <w:t>Belke</w:t>
      </w:r>
      <w:proofErr w:type="spellEnd"/>
      <w:r w:rsidRPr="00B06DC4">
        <w:rPr>
          <w:rFonts w:ascii="Times New Roman" w:hAnsi="Times New Roman" w:cs="Times New Roman"/>
          <w:sz w:val="24"/>
          <w:szCs w:val="24"/>
        </w:rPr>
        <w:t xml:space="preserve"> and Gros, 2002; </w:t>
      </w:r>
      <w:proofErr w:type="spellStart"/>
      <w:r w:rsidRPr="00B06DC4">
        <w:rPr>
          <w:rFonts w:ascii="Times New Roman" w:hAnsi="Times New Roman" w:cs="Times New Roman"/>
          <w:sz w:val="24"/>
          <w:szCs w:val="24"/>
        </w:rPr>
        <w:t>Belke</w:t>
      </w:r>
      <w:proofErr w:type="spellEnd"/>
      <w:r w:rsidRPr="00B06DC4">
        <w:rPr>
          <w:rFonts w:ascii="Times New Roman" w:hAnsi="Times New Roman" w:cs="Times New Roman"/>
          <w:sz w:val="24"/>
          <w:szCs w:val="24"/>
        </w:rPr>
        <w:t xml:space="preserve"> and Setzer, 2003, 2004). Previous studies rely on conventional Ordinary Least Squares (OLS) procedure with restrictive lag structures to estimate the parameters. Such a procedure has not only a potentially spurious regressive problem if the data tend to be nonstationary but also the disadvantage of losing valuable information because all variables require prior de-trending. In addition, previous studies did not check the residual diagnostic on the residual of their empirical models.</w:t>
      </w:r>
    </w:p>
    <w:p w14:paraId="10D16924" w14:textId="77777777" w:rsidR="00C34D01" w:rsidRPr="00B06DC4" w:rsidRDefault="00C34D01" w:rsidP="00C34D01">
      <w:pPr>
        <w:shd w:val="clear" w:color="auto" w:fill="FFFFFF"/>
        <w:spacing w:line="360" w:lineRule="auto"/>
        <w:jc w:val="both"/>
        <w:rPr>
          <w:rFonts w:ascii="Times New Roman" w:eastAsia="Times New Roman" w:hAnsi="Times New Roman" w:cs="Times New Roman"/>
          <w:sz w:val="24"/>
          <w:szCs w:val="24"/>
        </w:rPr>
      </w:pPr>
      <w:r w:rsidRPr="00B06DC4">
        <w:rPr>
          <w:rFonts w:ascii="Times New Roman" w:eastAsia="Times New Roman" w:hAnsi="Times New Roman" w:cs="Times New Roman"/>
          <w:sz w:val="24"/>
          <w:szCs w:val="24"/>
        </w:rPr>
        <w:t xml:space="preserve">Future research in this area should focus on extending the research to other financial markets of developing countries and comparing them with developed financial markets, thereby increasing the flexibility of the tested modified (IFBM) GARCH methodology in order to maximise the effects and reduce the risk of investment activity. In this regard, the focus of future research will be extended to the development of a methodology with a higher level of flexibility and adaptability, </w:t>
      </w:r>
      <w:proofErr w:type="gramStart"/>
      <w:r w:rsidRPr="00B06DC4">
        <w:rPr>
          <w:rFonts w:ascii="Times New Roman" w:eastAsia="Times New Roman" w:hAnsi="Times New Roman" w:cs="Times New Roman"/>
          <w:sz w:val="24"/>
          <w:szCs w:val="24"/>
        </w:rPr>
        <w:t>taking into account</w:t>
      </w:r>
      <w:proofErr w:type="gramEnd"/>
      <w:r w:rsidRPr="00B06DC4">
        <w:rPr>
          <w:rFonts w:ascii="Times New Roman" w:eastAsia="Times New Roman" w:hAnsi="Times New Roman" w:cs="Times New Roman"/>
          <w:sz w:val="24"/>
          <w:szCs w:val="24"/>
        </w:rPr>
        <w:t xml:space="preserve"> the dynamics of changes in financial markets caused by global trends. </w:t>
      </w:r>
    </w:p>
    <w:p w14:paraId="47BC30AB" w14:textId="0FAC8EDB" w:rsidR="00C34D01" w:rsidRPr="000604FB" w:rsidRDefault="00C34D01" w:rsidP="00C34D01">
      <w:pPr>
        <w:spacing w:line="360" w:lineRule="auto"/>
        <w:jc w:val="both"/>
        <w:rPr>
          <w:rFonts w:ascii="Times New Roman" w:hAnsi="Times New Roman" w:cs="Times New Roman"/>
          <w:sz w:val="24"/>
          <w:szCs w:val="24"/>
        </w:rPr>
      </w:pPr>
      <w:r w:rsidRPr="00B06DC4">
        <w:rPr>
          <w:rFonts w:ascii="Times New Roman" w:hAnsi="Times New Roman" w:cs="Times New Roman"/>
          <w:sz w:val="24"/>
          <w:szCs w:val="24"/>
        </w:rPr>
        <w:t>This research will help to re-</w:t>
      </w:r>
      <w:proofErr w:type="spellStart"/>
      <w:r w:rsidRPr="00B06DC4">
        <w:rPr>
          <w:rFonts w:ascii="Times New Roman" w:hAnsi="Times New Roman" w:cs="Times New Roman"/>
          <w:sz w:val="24"/>
          <w:szCs w:val="24"/>
        </w:rPr>
        <w:t>examin</w:t>
      </w:r>
      <w:proofErr w:type="spellEnd"/>
      <w:r w:rsidRPr="00B06DC4">
        <w:rPr>
          <w:rFonts w:ascii="Times New Roman" w:hAnsi="Times New Roman" w:cs="Times New Roman"/>
          <w:sz w:val="24"/>
          <w:szCs w:val="24"/>
        </w:rPr>
        <w:t xml:space="preserve"> empirically the investment-uncertainty link, using a large macroeconomic data set for developing countries. Rather than focusing on the sample variability of any one arbitrarily-chosen variable (e.g., inflation or the real exchange rate), the study constructs alternative measures of uncertainty based on the dispersion of the innovations to five key macroeconomic variables: three related to the macroeconomic environment and the aggregate profitability of capital—growth, inflation and the relative price of investment goods— and another two more closely related to the relative profitability of different economic sectors— the terms of trade and the real exchange rate.</w:t>
      </w:r>
    </w:p>
    <w:p w14:paraId="78DA6907" w14:textId="77777777" w:rsidR="00C34D01" w:rsidRPr="001F76C4" w:rsidRDefault="00C34D01" w:rsidP="007B399B">
      <w:pPr>
        <w:shd w:val="clear" w:color="auto" w:fill="FFFFFF"/>
        <w:spacing w:line="360" w:lineRule="auto"/>
        <w:jc w:val="both"/>
        <w:rPr>
          <w:rFonts w:ascii="Times New Roman" w:eastAsia="Times New Roman" w:hAnsi="Times New Roman" w:cs="Times New Roman"/>
          <w:sz w:val="24"/>
          <w:szCs w:val="24"/>
        </w:rPr>
      </w:pPr>
    </w:p>
    <w:p w14:paraId="3859790C" w14:textId="77777777" w:rsidR="007B399B" w:rsidRDefault="007B399B" w:rsidP="007B399B">
      <w:pPr>
        <w:pStyle w:val="Heading2"/>
        <w:rPr>
          <w:color w:val="auto"/>
          <w:szCs w:val="24"/>
        </w:rPr>
      </w:pPr>
    </w:p>
    <w:p w14:paraId="5B85961A" w14:textId="77777777" w:rsidR="007B399B" w:rsidRDefault="007B399B" w:rsidP="007B399B">
      <w:pPr>
        <w:pStyle w:val="Heading2"/>
        <w:rPr>
          <w:color w:val="auto"/>
          <w:szCs w:val="24"/>
        </w:rPr>
      </w:pPr>
    </w:p>
    <w:p w14:paraId="2EDC4DFF" w14:textId="693013AA" w:rsidR="007B399B" w:rsidRDefault="007B399B" w:rsidP="007B399B">
      <w:pPr>
        <w:pStyle w:val="Heading2"/>
        <w:rPr>
          <w:color w:val="auto"/>
          <w:szCs w:val="24"/>
        </w:rPr>
      </w:pPr>
    </w:p>
    <w:p w14:paraId="746F46E2" w14:textId="6BFF3C0B" w:rsidR="00156BCD" w:rsidRDefault="00156BCD" w:rsidP="00156BCD"/>
    <w:p w14:paraId="39AF5A39" w14:textId="172509A9" w:rsidR="00156BCD" w:rsidRDefault="00156BCD" w:rsidP="00156BCD"/>
    <w:p w14:paraId="1F30EB9F" w14:textId="77777777" w:rsidR="007B399B" w:rsidRPr="005519A3" w:rsidRDefault="007B399B" w:rsidP="007B399B">
      <w:pPr>
        <w:pStyle w:val="Heading1"/>
      </w:pPr>
      <w:bookmarkStart w:id="211" w:name="_Toc90500017"/>
      <w:r>
        <w:lastRenderedPageBreak/>
        <w:t>References</w:t>
      </w:r>
      <w:bookmarkEnd w:id="211"/>
      <w:r>
        <w:t xml:space="preserve"> </w:t>
      </w:r>
    </w:p>
    <w:p w14:paraId="7EA6BD9B" w14:textId="77777777" w:rsidR="00D67E1E" w:rsidRPr="00D67E1E" w:rsidRDefault="00D67E1E" w:rsidP="009057D9">
      <w:pPr>
        <w:pStyle w:val="ListParagraph"/>
        <w:spacing w:line="40" w:lineRule="atLeast"/>
        <w:rPr>
          <w:rFonts w:ascii="Arial" w:eastAsia="Times New Roman" w:hAnsi="Arial"/>
          <w:sz w:val="24"/>
          <w:szCs w:val="24"/>
        </w:rPr>
      </w:pPr>
    </w:p>
    <w:p w14:paraId="62070F76"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Abounoori</w:t>
      </w:r>
      <w:proofErr w:type="spellEnd"/>
      <w:r w:rsidRPr="003720DE">
        <w:rPr>
          <w:rFonts w:ascii="Times New Roman" w:hAnsi="Times New Roman" w:cs="Times New Roman"/>
          <w:sz w:val="24"/>
          <w:szCs w:val="24"/>
        </w:rPr>
        <w:t xml:space="preserve">, A.A., </w:t>
      </w:r>
      <w:proofErr w:type="spellStart"/>
      <w:r w:rsidRPr="003720DE">
        <w:rPr>
          <w:rFonts w:ascii="Times New Roman" w:hAnsi="Times New Roman" w:cs="Times New Roman"/>
          <w:sz w:val="24"/>
          <w:szCs w:val="24"/>
        </w:rPr>
        <w:t>Naderi</w:t>
      </w:r>
      <w:proofErr w:type="spellEnd"/>
      <w:r w:rsidRPr="003720DE">
        <w:rPr>
          <w:rFonts w:ascii="Times New Roman" w:hAnsi="Times New Roman" w:cs="Times New Roman"/>
          <w:sz w:val="24"/>
          <w:szCs w:val="24"/>
        </w:rPr>
        <w:t xml:space="preserve">, E., </w:t>
      </w:r>
      <w:proofErr w:type="spellStart"/>
      <w:r w:rsidRPr="003720DE">
        <w:rPr>
          <w:rFonts w:ascii="Times New Roman" w:hAnsi="Times New Roman" w:cs="Times New Roman"/>
          <w:sz w:val="24"/>
          <w:szCs w:val="24"/>
        </w:rPr>
        <w:t>Alikhani</w:t>
      </w:r>
      <w:proofErr w:type="spellEnd"/>
      <w:r w:rsidRPr="003720DE">
        <w:rPr>
          <w:rFonts w:ascii="Times New Roman" w:hAnsi="Times New Roman" w:cs="Times New Roman"/>
          <w:sz w:val="24"/>
          <w:szCs w:val="24"/>
        </w:rPr>
        <w:t xml:space="preserve">, N.G., Amiri, A. (2013), Financial Time Series Forecasting by Developing a Hybrid Intelligent System, MPRA Paper 45615. Germany: University Library of Munich. </w:t>
      </w:r>
    </w:p>
    <w:p w14:paraId="43E9120A"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Adrian, T. and Rosenberg, J., 2008. Stock returns and volatility: Pricing the short‐run and long‐run components of market risk. The journal of Finance, 63(6), pp.2997-3030.</w:t>
      </w:r>
    </w:p>
    <w:p w14:paraId="5F65D0E3" w14:textId="2D95EC2B"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Ahmed, A.E.M., Suliman, S.Z. (2011), </w:t>
      </w:r>
      <w:proofErr w:type="spellStart"/>
      <w:r w:rsidRPr="003720DE">
        <w:rPr>
          <w:rFonts w:ascii="Times New Roman" w:hAnsi="Times New Roman" w:cs="Times New Roman"/>
          <w:sz w:val="24"/>
          <w:szCs w:val="24"/>
        </w:rPr>
        <w:t>Modeling</w:t>
      </w:r>
      <w:proofErr w:type="spellEnd"/>
      <w:r w:rsidRPr="003720DE">
        <w:rPr>
          <w:rFonts w:ascii="Times New Roman" w:hAnsi="Times New Roman" w:cs="Times New Roman"/>
          <w:sz w:val="24"/>
          <w:szCs w:val="24"/>
        </w:rPr>
        <w:t xml:space="preserve"> stock market volatility using GARCH </w:t>
      </w:r>
      <w:r w:rsidR="00BA4513" w:rsidRPr="003720DE">
        <w:rPr>
          <w:rFonts w:ascii="Times New Roman" w:hAnsi="Times New Roman" w:cs="Times New Roman"/>
          <w:sz w:val="24"/>
          <w:szCs w:val="24"/>
        </w:rPr>
        <w:t>models’</w:t>
      </w:r>
      <w:r w:rsidRPr="003720DE">
        <w:rPr>
          <w:rFonts w:ascii="Times New Roman" w:hAnsi="Times New Roman" w:cs="Times New Roman"/>
          <w:sz w:val="24"/>
          <w:szCs w:val="24"/>
        </w:rPr>
        <w:t xml:space="preserve"> evidence from Sudan. International Journal of Business and Social Science, 2(23), 114. </w:t>
      </w:r>
    </w:p>
    <w:p w14:paraId="600B8AB3"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Andersen, T. G. and </w:t>
      </w:r>
      <w:proofErr w:type="spellStart"/>
      <w:r w:rsidRPr="00B85D78">
        <w:rPr>
          <w:rFonts w:ascii="Times New Roman" w:hAnsi="Times New Roman" w:cs="Times New Roman"/>
          <w:sz w:val="24"/>
          <w:szCs w:val="24"/>
        </w:rPr>
        <w:t>Bollerslev</w:t>
      </w:r>
      <w:proofErr w:type="spellEnd"/>
      <w:r w:rsidRPr="00B85D78">
        <w:rPr>
          <w:rFonts w:ascii="Times New Roman" w:hAnsi="Times New Roman" w:cs="Times New Roman"/>
          <w:sz w:val="24"/>
          <w:szCs w:val="24"/>
        </w:rPr>
        <w:t>, T., (1997a). Intraday periodicity and volatility persistence in financial markets, Journal of Empirical Finance 4, 115 - 158.</w:t>
      </w:r>
    </w:p>
    <w:p w14:paraId="35D4E6FF"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Andersen, T. G. and </w:t>
      </w:r>
      <w:proofErr w:type="spellStart"/>
      <w:r w:rsidRPr="00B85D78">
        <w:rPr>
          <w:rFonts w:ascii="Times New Roman" w:hAnsi="Times New Roman" w:cs="Times New Roman"/>
          <w:sz w:val="24"/>
          <w:szCs w:val="24"/>
        </w:rPr>
        <w:t>Bollerslev</w:t>
      </w:r>
      <w:proofErr w:type="spellEnd"/>
      <w:r w:rsidRPr="00B85D78">
        <w:rPr>
          <w:rFonts w:ascii="Times New Roman" w:hAnsi="Times New Roman" w:cs="Times New Roman"/>
          <w:sz w:val="24"/>
          <w:szCs w:val="24"/>
        </w:rPr>
        <w:t>, T., (1997b). Heterogeneous information arrivals and return volatility dynamics: uncovering the long-run in high frequency returns, Journal of Finance 52, 975 - 1005.</w:t>
      </w:r>
    </w:p>
    <w:p w14:paraId="43AE82AD"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Arteche</w:t>
      </w:r>
      <w:proofErr w:type="spellEnd"/>
      <w:r w:rsidRPr="00D67E1E">
        <w:rPr>
          <w:rFonts w:ascii="Times New Roman" w:hAnsi="Times New Roman" w:cs="Times New Roman"/>
          <w:sz w:val="24"/>
          <w:szCs w:val="24"/>
        </w:rPr>
        <w:t xml:space="preserve">, J., 2006. Semiparametric estimation in perturbed long memory series. </w:t>
      </w:r>
      <w:proofErr w:type="spellStart"/>
      <w:r w:rsidRPr="00D67E1E">
        <w:rPr>
          <w:rFonts w:ascii="Times New Roman" w:hAnsi="Times New Roman" w:cs="Times New Roman"/>
          <w:sz w:val="24"/>
          <w:szCs w:val="24"/>
        </w:rPr>
        <w:t>Comput</w:t>
      </w:r>
      <w:proofErr w:type="spellEnd"/>
      <w:r w:rsidRPr="00D67E1E">
        <w:rPr>
          <w:rFonts w:ascii="Times New Roman" w:hAnsi="Times New Roman" w:cs="Times New Roman"/>
          <w:sz w:val="24"/>
          <w:szCs w:val="24"/>
        </w:rPr>
        <w:t xml:space="preserve">. </w:t>
      </w:r>
      <w:r w:rsidRPr="00D67E1E">
        <w:rPr>
          <w:rFonts w:ascii="Times New Roman" w:hAnsi="Times New Roman" w:cs="Times New Roman"/>
          <w:i/>
          <w:iCs/>
          <w:sz w:val="24"/>
          <w:szCs w:val="24"/>
        </w:rPr>
        <w:t>Statist. Data Anal</w:t>
      </w:r>
      <w:r w:rsidRPr="00D67E1E">
        <w:rPr>
          <w:rFonts w:ascii="Times New Roman" w:hAnsi="Times New Roman" w:cs="Times New Roman"/>
          <w:sz w:val="24"/>
          <w:szCs w:val="24"/>
        </w:rPr>
        <w:t xml:space="preserve">. 51, 2118–2141. </w:t>
      </w:r>
    </w:p>
    <w:p w14:paraId="18D80FFA" w14:textId="77777777" w:rsidR="003720DE" w:rsidRPr="00D67E1E" w:rsidRDefault="003720DE" w:rsidP="00D67E1E">
      <w:pPr>
        <w:pStyle w:val="NoSpacing"/>
        <w:numPr>
          <w:ilvl w:val="0"/>
          <w:numId w:val="11"/>
        </w:numPr>
        <w:rPr>
          <w:rFonts w:ascii="Times New Roman" w:hAnsi="Times New Roman" w:cs="Times New Roman"/>
          <w:sz w:val="24"/>
          <w:szCs w:val="24"/>
          <w:lang w:val="en-US"/>
        </w:rPr>
      </w:pPr>
      <w:proofErr w:type="spellStart"/>
      <w:r w:rsidRPr="00D67E1E">
        <w:rPr>
          <w:rFonts w:ascii="Times New Roman" w:hAnsi="Times New Roman" w:cs="Times New Roman"/>
          <w:sz w:val="24"/>
          <w:szCs w:val="24"/>
        </w:rPr>
        <w:t>Ausloos</w:t>
      </w:r>
      <w:proofErr w:type="spellEnd"/>
      <w:r w:rsidRPr="00D67E1E">
        <w:rPr>
          <w:rFonts w:ascii="Times New Roman" w:hAnsi="Times New Roman" w:cs="Times New Roman"/>
          <w:sz w:val="24"/>
          <w:szCs w:val="24"/>
        </w:rPr>
        <w:t xml:space="preserve"> M and Ivanova, K. (2003). “</w:t>
      </w:r>
      <w:r w:rsidRPr="00D67E1E">
        <w:rPr>
          <w:rFonts w:ascii="Times New Roman" w:hAnsi="Times New Roman" w:cs="Times New Roman"/>
          <w:sz w:val="24"/>
          <w:szCs w:val="24"/>
          <w:lang w:val="en-US"/>
        </w:rPr>
        <w:t xml:space="preserve">Dynamical model and </w:t>
      </w:r>
      <w:proofErr w:type="spellStart"/>
      <w:r w:rsidRPr="00D67E1E">
        <w:rPr>
          <w:rFonts w:ascii="Times New Roman" w:hAnsi="Times New Roman" w:cs="Times New Roman"/>
          <w:sz w:val="24"/>
          <w:szCs w:val="24"/>
          <w:lang w:val="en-US"/>
        </w:rPr>
        <w:t>nonextensive</w:t>
      </w:r>
      <w:proofErr w:type="spellEnd"/>
      <w:r w:rsidRPr="00D67E1E">
        <w:rPr>
          <w:rFonts w:ascii="Times New Roman" w:hAnsi="Times New Roman" w:cs="Times New Roman"/>
          <w:sz w:val="24"/>
          <w:szCs w:val="24"/>
        </w:rPr>
        <w:t xml:space="preserve"> </w:t>
      </w:r>
      <w:r w:rsidRPr="00D67E1E">
        <w:rPr>
          <w:rFonts w:ascii="Times New Roman" w:hAnsi="Times New Roman" w:cs="Times New Roman"/>
          <w:sz w:val="24"/>
          <w:szCs w:val="24"/>
          <w:lang w:val="en-US"/>
        </w:rPr>
        <w:t>statistical mechanics of a market index on large time windows”, Physical Review E, 68, 046122.</w:t>
      </w:r>
    </w:p>
    <w:p w14:paraId="33E9973A"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Ausloos</w:t>
      </w:r>
      <w:proofErr w:type="spellEnd"/>
      <w:r w:rsidRPr="00D67E1E">
        <w:rPr>
          <w:rFonts w:ascii="Times New Roman" w:hAnsi="Times New Roman" w:cs="Times New Roman"/>
          <w:sz w:val="24"/>
          <w:szCs w:val="24"/>
        </w:rPr>
        <w:t xml:space="preserve"> M, </w:t>
      </w:r>
      <w:proofErr w:type="spellStart"/>
      <w:r w:rsidRPr="00D67E1E">
        <w:rPr>
          <w:rFonts w:ascii="Times New Roman" w:hAnsi="Times New Roman" w:cs="Times New Roman"/>
          <w:sz w:val="24"/>
          <w:szCs w:val="24"/>
        </w:rPr>
        <w:t>Bronlet</w:t>
      </w:r>
      <w:proofErr w:type="spellEnd"/>
      <w:r w:rsidRPr="00D67E1E">
        <w:rPr>
          <w:rFonts w:ascii="Times New Roman" w:hAnsi="Times New Roman" w:cs="Times New Roman"/>
          <w:sz w:val="24"/>
          <w:szCs w:val="24"/>
        </w:rPr>
        <w:t xml:space="preserve"> Ph. (2003). “Strategy for Investments from </w:t>
      </w:r>
      <w:proofErr w:type="spellStart"/>
      <w:r w:rsidRPr="00D67E1E">
        <w:rPr>
          <w:rFonts w:ascii="Times New Roman" w:hAnsi="Times New Roman" w:cs="Times New Roman"/>
          <w:sz w:val="24"/>
          <w:szCs w:val="24"/>
        </w:rPr>
        <w:t>Zipf</w:t>
      </w:r>
      <w:proofErr w:type="spellEnd"/>
      <w:r w:rsidRPr="00D67E1E">
        <w:rPr>
          <w:rFonts w:ascii="Times New Roman" w:hAnsi="Times New Roman" w:cs="Times New Roman"/>
          <w:sz w:val="24"/>
          <w:szCs w:val="24"/>
        </w:rPr>
        <w:t xml:space="preserve"> Law(s)”. </w:t>
      </w:r>
      <w:proofErr w:type="spellStart"/>
      <w:r w:rsidRPr="00D67E1E">
        <w:rPr>
          <w:rFonts w:ascii="Times New Roman" w:hAnsi="Times New Roman" w:cs="Times New Roman"/>
          <w:sz w:val="24"/>
          <w:szCs w:val="24"/>
        </w:rPr>
        <w:t>Physica</w:t>
      </w:r>
      <w:proofErr w:type="spellEnd"/>
      <w:r w:rsidRPr="00D67E1E">
        <w:rPr>
          <w:rFonts w:ascii="Times New Roman" w:hAnsi="Times New Roman" w:cs="Times New Roman"/>
          <w:sz w:val="24"/>
          <w:szCs w:val="24"/>
        </w:rPr>
        <w:t xml:space="preserve"> A 2003; 324:30-37.</w:t>
      </w:r>
    </w:p>
    <w:p w14:paraId="235B68C2"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Ausloos</w:t>
      </w:r>
      <w:proofErr w:type="spellEnd"/>
      <w:r w:rsidRPr="00D67E1E">
        <w:rPr>
          <w:rFonts w:ascii="Times New Roman" w:hAnsi="Times New Roman" w:cs="Times New Roman"/>
          <w:sz w:val="24"/>
          <w:szCs w:val="24"/>
        </w:rPr>
        <w:t xml:space="preserve"> M, </w:t>
      </w:r>
      <w:proofErr w:type="spellStart"/>
      <w:r w:rsidRPr="00D67E1E">
        <w:rPr>
          <w:rFonts w:ascii="Times New Roman" w:hAnsi="Times New Roman" w:cs="Times New Roman"/>
          <w:sz w:val="24"/>
          <w:szCs w:val="24"/>
        </w:rPr>
        <w:t>Bronlet</w:t>
      </w:r>
      <w:proofErr w:type="spellEnd"/>
      <w:r w:rsidRPr="00D67E1E">
        <w:rPr>
          <w:rFonts w:ascii="Times New Roman" w:hAnsi="Times New Roman" w:cs="Times New Roman"/>
          <w:sz w:val="24"/>
          <w:szCs w:val="24"/>
        </w:rPr>
        <w:t xml:space="preserve"> Ph. (2006). “Risk portfolio management under </w:t>
      </w:r>
      <w:proofErr w:type="spellStart"/>
      <w:r w:rsidRPr="00D67E1E">
        <w:rPr>
          <w:rFonts w:ascii="Times New Roman" w:hAnsi="Times New Roman" w:cs="Times New Roman"/>
          <w:sz w:val="24"/>
          <w:szCs w:val="24"/>
        </w:rPr>
        <w:t>Zipf</w:t>
      </w:r>
      <w:proofErr w:type="spellEnd"/>
      <w:r w:rsidRPr="00D67E1E">
        <w:rPr>
          <w:rFonts w:ascii="Times New Roman" w:hAnsi="Times New Roman" w:cs="Times New Roman"/>
          <w:sz w:val="24"/>
          <w:szCs w:val="24"/>
        </w:rPr>
        <w:t xml:space="preserve"> analysis-based strategies, in "Practical Fruits of </w:t>
      </w:r>
      <w:proofErr w:type="spellStart"/>
      <w:r w:rsidRPr="00D67E1E">
        <w:rPr>
          <w:rFonts w:ascii="Times New Roman" w:hAnsi="Times New Roman" w:cs="Times New Roman"/>
          <w:sz w:val="24"/>
          <w:szCs w:val="24"/>
        </w:rPr>
        <w:t>Econophysics</w:t>
      </w:r>
      <w:proofErr w:type="spellEnd"/>
      <w:r w:rsidRPr="00D67E1E">
        <w:rPr>
          <w:rFonts w:ascii="Times New Roman" w:hAnsi="Times New Roman" w:cs="Times New Roman"/>
          <w:sz w:val="24"/>
          <w:szCs w:val="24"/>
        </w:rPr>
        <w:t>"”, H. Takayasu, Ed.  (Springer, Tokyo, 2006) pp.  257-261</w:t>
      </w:r>
    </w:p>
    <w:p w14:paraId="04CEA868" w14:textId="77777777" w:rsidR="003720DE" w:rsidRPr="00D67E1E" w:rsidRDefault="003720DE" w:rsidP="00D67E1E">
      <w:pPr>
        <w:pStyle w:val="NoSpacing"/>
        <w:numPr>
          <w:ilvl w:val="0"/>
          <w:numId w:val="11"/>
        </w:numPr>
        <w:rPr>
          <w:rFonts w:ascii="Times New Roman" w:hAnsi="Times New Roman" w:cs="Times New Roman"/>
          <w:color w:val="000000" w:themeColor="text1"/>
          <w:sz w:val="24"/>
          <w:szCs w:val="24"/>
        </w:rPr>
      </w:pPr>
      <w:proofErr w:type="spellStart"/>
      <w:r w:rsidRPr="00D67E1E">
        <w:rPr>
          <w:rFonts w:ascii="Times New Roman" w:hAnsi="Times New Roman" w:cs="Times New Roman"/>
          <w:sz w:val="24"/>
          <w:szCs w:val="24"/>
        </w:rPr>
        <w:t>Ausloos</w:t>
      </w:r>
      <w:proofErr w:type="spellEnd"/>
      <w:r w:rsidRPr="00D67E1E">
        <w:rPr>
          <w:rFonts w:ascii="Times New Roman" w:hAnsi="Times New Roman" w:cs="Times New Roman"/>
          <w:sz w:val="24"/>
          <w:szCs w:val="24"/>
        </w:rPr>
        <w:t xml:space="preserve"> M, </w:t>
      </w:r>
      <w:proofErr w:type="spellStart"/>
      <w:r w:rsidRPr="00D67E1E">
        <w:rPr>
          <w:rFonts w:ascii="Times New Roman" w:hAnsi="Times New Roman" w:cs="Times New Roman"/>
          <w:sz w:val="24"/>
          <w:szCs w:val="24"/>
        </w:rPr>
        <w:t>Petroni</w:t>
      </w:r>
      <w:proofErr w:type="spellEnd"/>
      <w:r w:rsidRPr="00D67E1E">
        <w:rPr>
          <w:rFonts w:ascii="Times New Roman" w:hAnsi="Times New Roman" w:cs="Times New Roman"/>
          <w:sz w:val="24"/>
          <w:szCs w:val="24"/>
        </w:rPr>
        <w:t xml:space="preserve"> F. (2013), Threshold Model for Triggered Avalanches on Networks, in   "Stock Markets", F. </w:t>
      </w:r>
      <w:proofErr w:type="spellStart"/>
      <w:r w:rsidRPr="00D67E1E">
        <w:rPr>
          <w:rFonts w:ascii="Times New Roman" w:hAnsi="Times New Roman" w:cs="Times New Roman"/>
          <w:sz w:val="24"/>
          <w:szCs w:val="24"/>
        </w:rPr>
        <w:t>Petroni</w:t>
      </w:r>
      <w:proofErr w:type="spellEnd"/>
      <w:r w:rsidRPr="00D67E1E">
        <w:rPr>
          <w:rFonts w:ascii="Times New Roman" w:hAnsi="Times New Roman" w:cs="Times New Roman"/>
          <w:sz w:val="24"/>
          <w:szCs w:val="24"/>
        </w:rPr>
        <w:t xml:space="preserve">, F. </w:t>
      </w:r>
      <w:proofErr w:type="spellStart"/>
      <w:r w:rsidRPr="00D67E1E">
        <w:rPr>
          <w:rFonts w:ascii="Times New Roman" w:hAnsi="Times New Roman" w:cs="Times New Roman"/>
          <w:sz w:val="24"/>
          <w:szCs w:val="24"/>
        </w:rPr>
        <w:t>Prattico</w:t>
      </w:r>
      <w:proofErr w:type="spellEnd"/>
      <w:r w:rsidRPr="00D67E1E">
        <w:rPr>
          <w:rFonts w:ascii="Times New Roman" w:hAnsi="Times New Roman" w:cs="Times New Roman"/>
          <w:sz w:val="24"/>
          <w:szCs w:val="24"/>
        </w:rPr>
        <w:t xml:space="preserve"> and G. D'Amico, Eds. (Nova Sc., New York, 2013) pp.  </w:t>
      </w:r>
      <w:r w:rsidRPr="00D67E1E">
        <w:rPr>
          <w:rFonts w:ascii="Times New Roman" w:hAnsi="Times New Roman" w:cs="Times New Roman"/>
          <w:color w:val="000000" w:themeColor="text1"/>
          <w:sz w:val="24"/>
          <w:szCs w:val="24"/>
        </w:rPr>
        <w:t>83-101</w:t>
      </w:r>
    </w:p>
    <w:p w14:paraId="071F4DAA"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Awartani</w:t>
      </w:r>
      <w:proofErr w:type="spellEnd"/>
      <w:r w:rsidRPr="003720DE">
        <w:rPr>
          <w:rFonts w:ascii="Times New Roman" w:hAnsi="Times New Roman" w:cs="Times New Roman"/>
          <w:sz w:val="24"/>
          <w:szCs w:val="24"/>
        </w:rPr>
        <w:t xml:space="preserve">, B.M., </w:t>
      </w:r>
      <w:proofErr w:type="spellStart"/>
      <w:r w:rsidRPr="003720DE">
        <w:rPr>
          <w:rFonts w:ascii="Times New Roman" w:hAnsi="Times New Roman" w:cs="Times New Roman"/>
          <w:sz w:val="24"/>
          <w:szCs w:val="24"/>
        </w:rPr>
        <w:t>Corradi</w:t>
      </w:r>
      <w:proofErr w:type="spellEnd"/>
      <w:r w:rsidRPr="003720DE">
        <w:rPr>
          <w:rFonts w:ascii="Times New Roman" w:hAnsi="Times New Roman" w:cs="Times New Roman"/>
          <w:sz w:val="24"/>
          <w:szCs w:val="24"/>
        </w:rPr>
        <w:t xml:space="preserve">, V. (2005), Predicting the volatility of the S&amp;P500 stock index via GARCH models: The role of asymmetries. International Journal of Forecasting, 21(1), 167-183. </w:t>
      </w:r>
    </w:p>
    <w:p w14:paraId="56F328DB"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Azzalini</w:t>
      </w:r>
      <w:proofErr w:type="spellEnd"/>
      <w:r w:rsidRPr="00D67E1E">
        <w:rPr>
          <w:rFonts w:ascii="Times New Roman" w:hAnsi="Times New Roman" w:cs="Times New Roman"/>
          <w:sz w:val="24"/>
          <w:szCs w:val="24"/>
        </w:rPr>
        <w:t xml:space="preserve">, A. (1985). “A class of distributions which includes the normal ones”, Scandinavian Journal of Statistics, 12, 171–178. </w:t>
      </w:r>
    </w:p>
    <w:p w14:paraId="497338F1"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Azzalini</w:t>
      </w:r>
      <w:proofErr w:type="spellEnd"/>
      <w:r w:rsidRPr="00D67E1E">
        <w:rPr>
          <w:rFonts w:ascii="Times New Roman" w:hAnsi="Times New Roman" w:cs="Times New Roman"/>
          <w:sz w:val="24"/>
          <w:szCs w:val="24"/>
        </w:rPr>
        <w:t xml:space="preserve">, A. (1986), “Further results on a class of distributions which includes the normal ones”. </w:t>
      </w:r>
      <w:proofErr w:type="spellStart"/>
      <w:r w:rsidRPr="00D67E1E">
        <w:rPr>
          <w:rFonts w:ascii="Times New Roman" w:hAnsi="Times New Roman" w:cs="Times New Roman"/>
          <w:sz w:val="24"/>
          <w:szCs w:val="24"/>
        </w:rPr>
        <w:t>Statistica</w:t>
      </w:r>
      <w:proofErr w:type="spellEnd"/>
      <w:r w:rsidRPr="00D67E1E">
        <w:rPr>
          <w:rFonts w:ascii="Times New Roman" w:hAnsi="Times New Roman" w:cs="Times New Roman"/>
          <w:sz w:val="24"/>
          <w:szCs w:val="24"/>
        </w:rPr>
        <w:t xml:space="preserve">, 46, 199–208. </w:t>
      </w:r>
    </w:p>
    <w:p w14:paraId="645C5828"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Azzalini</w:t>
      </w:r>
      <w:proofErr w:type="spellEnd"/>
      <w:r w:rsidRPr="00D67E1E">
        <w:rPr>
          <w:rFonts w:ascii="Times New Roman" w:hAnsi="Times New Roman" w:cs="Times New Roman"/>
          <w:sz w:val="24"/>
          <w:szCs w:val="24"/>
        </w:rPr>
        <w:t xml:space="preserve">, A. and </w:t>
      </w:r>
      <w:proofErr w:type="spellStart"/>
      <w:r w:rsidRPr="00D67E1E">
        <w:rPr>
          <w:rFonts w:ascii="Times New Roman" w:hAnsi="Times New Roman" w:cs="Times New Roman"/>
          <w:sz w:val="24"/>
          <w:szCs w:val="24"/>
        </w:rPr>
        <w:t>Capitanio</w:t>
      </w:r>
      <w:proofErr w:type="spellEnd"/>
      <w:r w:rsidRPr="00D67E1E">
        <w:rPr>
          <w:rFonts w:ascii="Times New Roman" w:hAnsi="Times New Roman" w:cs="Times New Roman"/>
          <w:sz w:val="24"/>
          <w:szCs w:val="24"/>
        </w:rPr>
        <w:t>, A. (2003). “Distributions generated by perturbation of symmetry with emphasis on a multivariate skew-t distribution”. Journal of the Royal Statistical Society B, 65, 367–389.</w:t>
      </w:r>
    </w:p>
    <w:p w14:paraId="45AED1DE"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Baillie, R. T., </w:t>
      </w: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and Mikkelsen, H. O. (1996) Fractionally integrated autoregressive conditional heteroskedasticity, </w:t>
      </w:r>
      <w:r w:rsidRPr="00D67E1E">
        <w:rPr>
          <w:rFonts w:ascii="Times New Roman" w:hAnsi="Times New Roman" w:cs="Times New Roman"/>
          <w:i/>
          <w:iCs/>
          <w:sz w:val="24"/>
          <w:szCs w:val="24"/>
        </w:rPr>
        <w:t>Journal of Econometrics</w:t>
      </w:r>
      <w:r w:rsidRPr="00D67E1E">
        <w:rPr>
          <w:rFonts w:ascii="Times New Roman" w:hAnsi="Times New Roman" w:cs="Times New Roman"/>
          <w:sz w:val="24"/>
          <w:szCs w:val="24"/>
        </w:rPr>
        <w:t xml:space="preserve">. 74 3–30. </w:t>
      </w:r>
    </w:p>
    <w:p w14:paraId="5EB61B98"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Baillie, R., </w:t>
      </w:r>
      <w:proofErr w:type="spellStart"/>
      <w:r w:rsidRPr="00B85D78">
        <w:rPr>
          <w:rFonts w:ascii="Times New Roman" w:hAnsi="Times New Roman" w:cs="Times New Roman"/>
          <w:sz w:val="24"/>
          <w:szCs w:val="24"/>
        </w:rPr>
        <w:t>Bollerslev</w:t>
      </w:r>
      <w:proofErr w:type="spellEnd"/>
      <w:r w:rsidRPr="00B85D78">
        <w:rPr>
          <w:rFonts w:ascii="Times New Roman" w:hAnsi="Times New Roman" w:cs="Times New Roman"/>
          <w:sz w:val="24"/>
          <w:szCs w:val="24"/>
        </w:rPr>
        <w:t>, T., Mikkelsen, H., (1996). Fractionally integrated generalized autoregressive conditional heteroskedasticity. Journal of Econometrics 74, 3-30.</w:t>
      </w:r>
    </w:p>
    <w:p w14:paraId="0B4D9048"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Baillie, R.T., </w:t>
      </w: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Mikkelsen, H.O., 1996. Fractionally integrated generalized autoregressive conditional heteroskedasticity. </w:t>
      </w:r>
      <w:r w:rsidRPr="00D67E1E">
        <w:rPr>
          <w:rFonts w:ascii="Times New Roman" w:hAnsi="Times New Roman" w:cs="Times New Roman"/>
          <w:i/>
          <w:iCs/>
          <w:sz w:val="24"/>
          <w:szCs w:val="24"/>
        </w:rPr>
        <w:t>J. Econometrics</w:t>
      </w:r>
      <w:r w:rsidRPr="00D67E1E">
        <w:rPr>
          <w:rFonts w:ascii="Times New Roman" w:hAnsi="Times New Roman" w:cs="Times New Roman"/>
          <w:sz w:val="24"/>
          <w:szCs w:val="24"/>
        </w:rPr>
        <w:t xml:space="preserve"> 74, 3–30. </w:t>
      </w:r>
    </w:p>
    <w:p w14:paraId="39A4C983"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Barndorff</w:t>
      </w:r>
      <w:proofErr w:type="spellEnd"/>
      <w:r w:rsidRPr="00D67E1E">
        <w:rPr>
          <w:rFonts w:ascii="Times New Roman" w:hAnsi="Times New Roman" w:cs="Times New Roman"/>
          <w:sz w:val="24"/>
          <w:szCs w:val="24"/>
        </w:rPr>
        <w:t xml:space="preserve">-Nielsen, O. E. (1997). Normal inverse Gaussian distributions and stochastic volatility modelling. </w:t>
      </w:r>
      <w:r w:rsidRPr="00D67E1E">
        <w:rPr>
          <w:rFonts w:ascii="Times New Roman" w:hAnsi="Times New Roman" w:cs="Times New Roman"/>
          <w:i/>
          <w:iCs/>
          <w:sz w:val="24"/>
          <w:szCs w:val="24"/>
        </w:rPr>
        <w:t>Scandinavian Journal of Statistics 24</w:t>
      </w:r>
      <w:r w:rsidRPr="00D67E1E">
        <w:rPr>
          <w:rFonts w:ascii="Times New Roman" w:hAnsi="Times New Roman" w:cs="Times New Roman"/>
          <w:sz w:val="24"/>
          <w:szCs w:val="24"/>
        </w:rPr>
        <w:t>, 1-13</w:t>
      </w:r>
    </w:p>
    <w:p w14:paraId="01D378A4"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lastRenderedPageBreak/>
        <w:t>Barndorff</w:t>
      </w:r>
      <w:proofErr w:type="spellEnd"/>
      <w:r w:rsidRPr="00D67E1E">
        <w:rPr>
          <w:rFonts w:ascii="Times New Roman" w:hAnsi="Times New Roman" w:cs="Times New Roman"/>
          <w:sz w:val="24"/>
          <w:szCs w:val="24"/>
        </w:rPr>
        <w:t xml:space="preserve">-Nielsen, O. E. (1998a). Probability and statistics: self-decomposability, finance and turbulence. In L. </w:t>
      </w:r>
      <w:proofErr w:type="spellStart"/>
      <w:r w:rsidRPr="00D67E1E">
        <w:rPr>
          <w:rFonts w:ascii="Times New Roman" w:hAnsi="Times New Roman" w:cs="Times New Roman"/>
          <w:sz w:val="24"/>
          <w:szCs w:val="24"/>
        </w:rPr>
        <w:t>Acccardi</w:t>
      </w:r>
      <w:proofErr w:type="spellEnd"/>
      <w:r w:rsidRPr="00D67E1E">
        <w:rPr>
          <w:rFonts w:ascii="Times New Roman" w:hAnsi="Times New Roman" w:cs="Times New Roman"/>
          <w:sz w:val="24"/>
          <w:szCs w:val="24"/>
        </w:rPr>
        <w:t xml:space="preserve"> and C. C. </w:t>
      </w:r>
      <w:proofErr w:type="spellStart"/>
      <w:proofErr w:type="gramStart"/>
      <w:r w:rsidRPr="00D67E1E">
        <w:rPr>
          <w:rFonts w:ascii="Times New Roman" w:hAnsi="Times New Roman" w:cs="Times New Roman"/>
          <w:sz w:val="24"/>
          <w:szCs w:val="24"/>
        </w:rPr>
        <w:t>Heyde</w:t>
      </w:r>
      <w:proofErr w:type="spellEnd"/>
      <w:r w:rsidRPr="00D67E1E">
        <w:rPr>
          <w:rFonts w:ascii="Times New Roman" w:hAnsi="Times New Roman" w:cs="Times New Roman"/>
          <w:sz w:val="24"/>
          <w:szCs w:val="24"/>
        </w:rPr>
        <w:t xml:space="preserve">  (</w:t>
      </w:r>
      <w:proofErr w:type="gramEnd"/>
      <w:r w:rsidRPr="00D67E1E">
        <w:rPr>
          <w:rFonts w:ascii="Times New Roman" w:hAnsi="Times New Roman" w:cs="Times New Roman"/>
          <w:sz w:val="24"/>
          <w:szCs w:val="24"/>
        </w:rPr>
        <w:t xml:space="preserve">Eds.), </w:t>
      </w:r>
      <w:r w:rsidRPr="00D67E1E">
        <w:rPr>
          <w:rFonts w:ascii="Times New Roman" w:hAnsi="Times New Roman" w:cs="Times New Roman"/>
          <w:i/>
          <w:iCs/>
          <w:sz w:val="24"/>
          <w:szCs w:val="24"/>
        </w:rPr>
        <w:t>Probability Towards 2000</w:t>
      </w:r>
      <w:r w:rsidRPr="00D67E1E">
        <w:rPr>
          <w:rFonts w:ascii="Times New Roman" w:hAnsi="Times New Roman" w:cs="Times New Roman"/>
          <w:sz w:val="24"/>
          <w:szCs w:val="24"/>
        </w:rPr>
        <w:t>,New York. Springer. Proceedings of a Symposium held 2-5 October 1995 at Columbia University.</w:t>
      </w:r>
    </w:p>
    <w:p w14:paraId="28C7DB16"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Barndorff</w:t>
      </w:r>
      <w:proofErr w:type="spellEnd"/>
      <w:r w:rsidRPr="00D67E1E">
        <w:rPr>
          <w:rFonts w:ascii="Times New Roman" w:hAnsi="Times New Roman" w:cs="Times New Roman"/>
          <w:sz w:val="24"/>
          <w:szCs w:val="24"/>
        </w:rPr>
        <w:t xml:space="preserve">-Nielsen, O. E. (1998b). Processes of normal inverse Gaussian type. </w:t>
      </w:r>
      <w:r w:rsidRPr="00D67E1E">
        <w:rPr>
          <w:rFonts w:ascii="Times New Roman" w:hAnsi="Times New Roman" w:cs="Times New Roman"/>
          <w:i/>
          <w:iCs/>
          <w:sz w:val="24"/>
          <w:szCs w:val="24"/>
        </w:rPr>
        <w:t>Finance &amp; Stochastics 2</w:t>
      </w:r>
      <w:r w:rsidRPr="00D67E1E">
        <w:rPr>
          <w:rFonts w:ascii="Times New Roman" w:hAnsi="Times New Roman" w:cs="Times New Roman"/>
          <w:sz w:val="24"/>
          <w:szCs w:val="24"/>
        </w:rPr>
        <w:t>, 41-68.</w:t>
      </w:r>
    </w:p>
    <w:p w14:paraId="162C949E"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Barone‐</w:t>
      </w:r>
      <w:proofErr w:type="spellStart"/>
      <w:r w:rsidRPr="00D67E1E">
        <w:rPr>
          <w:rFonts w:ascii="Times New Roman" w:hAnsi="Times New Roman" w:cs="Times New Roman"/>
          <w:sz w:val="24"/>
          <w:szCs w:val="24"/>
        </w:rPr>
        <w:t>Adesi</w:t>
      </w:r>
      <w:proofErr w:type="spellEnd"/>
      <w:r w:rsidRPr="00D67E1E">
        <w:rPr>
          <w:rFonts w:ascii="Times New Roman" w:hAnsi="Times New Roman" w:cs="Times New Roman"/>
          <w:sz w:val="24"/>
          <w:szCs w:val="24"/>
        </w:rPr>
        <w:t xml:space="preserve">, G., Giannopoulos, K. and Vosper, L., 2002. </w:t>
      </w:r>
      <w:proofErr w:type="spellStart"/>
      <w:r w:rsidRPr="00D67E1E">
        <w:rPr>
          <w:rFonts w:ascii="Times New Roman" w:hAnsi="Times New Roman" w:cs="Times New Roman"/>
          <w:sz w:val="24"/>
          <w:szCs w:val="24"/>
        </w:rPr>
        <w:t>Backtesting</w:t>
      </w:r>
      <w:proofErr w:type="spellEnd"/>
      <w:r w:rsidRPr="00D67E1E">
        <w:rPr>
          <w:rFonts w:ascii="Times New Roman" w:hAnsi="Times New Roman" w:cs="Times New Roman"/>
          <w:sz w:val="24"/>
          <w:szCs w:val="24"/>
        </w:rPr>
        <w:t xml:space="preserve"> derivative portfolios with filtered historical simulation (FHS). European Financial Management, 8(1), pp.31-58.</w:t>
      </w:r>
    </w:p>
    <w:p w14:paraId="474E2FAA"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Bauwens, L., and </w:t>
      </w:r>
      <w:proofErr w:type="spellStart"/>
      <w:r w:rsidRPr="00B85D78">
        <w:rPr>
          <w:rFonts w:ascii="Times New Roman" w:hAnsi="Times New Roman" w:cs="Times New Roman"/>
          <w:sz w:val="24"/>
          <w:szCs w:val="24"/>
        </w:rPr>
        <w:t>Storti</w:t>
      </w:r>
      <w:proofErr w:type="spellEnd"/>
      <w:r w:rsidRPr="00B85D78">
        <w:rPr>
          <w:rFonts w:ascii="Times New Roman" w:hAnsi="Times New Roman" w:cs="Times New Roman"/>
          <w:sz w:val="24"/>
          <w:szCs w:val="24"/>
        </w:rPr>
        <w:t>, G., (2009). A component GARCH model with time varying weights, Studies in Nonlinear Dynamics &amp; Econometrics 13, Article 1.</w:t>
      </w:r>
    </w:p>
    <w:p w14:paraId="1D87646D"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Becker, G. (1962), “Irrational Behaviour and Economic Theory”. Journal of Political Economy 1962; 70:1-13.</w:t>
      </w:r>
    </w:p>
    <w:p w14:paraId="6E247100"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Beirne</w:t>
      </w:r>
      <w:proofErr w:type="spellEnd"/>
      <w:r w:rsidRPr="003720DE">
        <w:rPr>
          <w:rFonts w:ascii="Times New Roman" w:hAnsi="Times New Roman" w:cs="Times New Roman"/>
          <w:sz w:val="24"/>
          <w:szCs w:val="24"/>
        </w:rPr>
        <w:t xml:space="preserve">, J., G. M. </w:t>
      </w:r>
      <w:proofErr w:type="spellStart"/>
      <w:r w:rsidRPr="003720DE">
        <w:rPr>
          <w:rFonts w:ascii="Times New Roman" w:hAnsi="Times New Roman" w:cs="Times New Roman"/>
          <w:sz w:val="24"/>
          <w:szCs w:val="24"/>
        </w:rPr>
        <w:t>Caporale</w:t>
      </w:r>
      <w:proofErr w:type="spellEnd"/>
      <w:r w:rsidRPr="003720DE">
        <w:rPr>
          <w:rFonts w:ascii="Times New Roman" w:hAnsi="Times New Roman" w:cs="Times New Roman"/>
          <w:sz w:val="24"/>
          <w:szCs w:val="24"/>
        </w:rPr>
        <w:t xml:space="preserve">, M. Schulze-Ghattas, and N. </w:t>
      </w:r>
      <w:proofErr w:type="spellStart"/>
      <w:r w:rsidRPr="003720DE">
        <w:rPr>
          <w:rFonts w:ascii="Times New Roman" w:hAnsi="Times New Roman" w:cs="Times New Roman"/>
          <w:sz w:val="24"/>
          <w:szCs w:val="24"/>
        </w:rPr>
        <w:t>Spagnolo</w:t>
      </w:r>
      <w:proofErr w:type="spellEnd"/>
      <w:r w:rsidRPr="003720DE">
        <w:rPr>
          <w:rFonts w:ascii="Times New Roman" w:hAnsi="Times New Roman" w:cs="Times New Roman"/>
          <w:sz w:val="24"/>
          <w:szCs w:val="24"/>
        </w:rPr>
        <w:t xml:space="preserve">, 2008, “Volatility </w:t>
      </w:r>
      <w:proofErr w:type="spellStart"/>
      <w:r w:rsidRPr="003720DE">
        <w:rPr>
          <w:rFonts w:ascii="Times New Roman" w:hAnsi="Times New Roman" w:cs="Times New Roman"/>
          <w:sz w:val="24"/>
          <w:szCs w:val="24"/>
        </w:rPr>
        <w:t>Spillovers</w:t>
      </w:r>
      <w:proofErr w:type="spellEnd"/>
      <w:r w:rsidRPr="003720DE">
        <w:rPr>
          <w:rFonts w:ascii="Times New Roman" w:hAnsi="Times New Roman" w:cs="Times New Roman"/>
          <w:sz w:val="24"/>
          <w:szCs w:val="24"/>
        </w:rPr>
        <w:t xml:space="preserve"> and Contagion from Mature to Emerging Stock Markets,” IMF Working Paper 08/286 (Washington: International Monetary Fund). </w:t>
      </w:r>
    </w:p>
    <w:p w14:paraId="0710112D"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Bekaert, G, C.R. Harvey, and A. Ng, 2005, “Market Integration and Contagion,” Journal of Business, Vol. 78, No. 1, pp. 39–9. </w:t>
      </w:r>
    </w:p>
    <w:p w14:paraId="0E6FAEB6"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Bhattacharya, S., Ahmed, A. (2018), Forecasting crude oil price volatility in India using a hybrid ANN-GARCH model. International Journal of Business Forecasting and Marketing Intelligence, 4(4), 446-457. </w:t>
      </w:r>
    </w:p>
    <w:p w14:paraId="6D8E3AE8"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Bildirici</w:t>
      </w:r>
      <w:proofErr w:type="spellEnd"/>
      <w:r w:rsidRPr="003720DE">
        <w:rPr>
          <w:rFonts w:ascii="Times New Roman" w:hAnsi="Times New Roman" w:cs="Times New Roman"/>
          <w:sz w:val="24"/>
          <w:szCs w:val="24"/>
        </w:rPr>
        <w:t xml:space="preserve">, M., </w:t>
      </w:r>
      <w:proofErr w:type="spellStart"/>
      <w:r w:rsidRPr="003720DE">
        <w:rPr>
          <w:rFonts w:ascii="Times New Roman" w:hAnsi="Times New Roman" w:cs="Times New Roman"/>
          <w:sz w:val="24"/>
          <w:szCs w:val="24"/>
        </w:rPr>
        <w:t>Ersin</w:t>
      </w:r>
      <w:proofErr w:type="spellEnd"/>
      <w:r w:rsidRPr="003720DE">
        <w:rPr>
          <w:rFonts w:ascii="Times New Roman" w:hAnsi="Times New Roman" w:cs="Times New Roman"/>
          <w:sz w:val="24"/>
          <w:szCs w:val="24"/>
        </w:rPr>
        <w:t>, Ö.Ö. (2009), Improving forecasts of GARCH family models with the artificial neural networks: An application to the daily returns in Istanbul stock exchange. Expert Systems with Applications, 36(4), 7355-7362</w:t>
      </w:r>
    </w:p>
    <w:p w14:paraId="0476B85E"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Birge</w:t>
      </w:r>
      <w:proofErr w:type="spellEnd"/>
      <w:r w:rsidRPr="00D67E1E">
        <w:rPr>
          <w:rFonts w:ascii="Times New Roman" w:hAnsi="Times New Roman" w:cs="Times New Roman"/>
          <w:sz w:val="24"/>
          <w:szCs w:val="24"/>
        </w:rPr>
        <w:t xml:space="preserve">, J. R. and </w:t>
      </w:r>
      <w:proofErr w:type="spellStart"/>
      <w:r w:rsidRPr="00D67E1E">
        <w:rPr>
          <w:rFonts w:ascii="Times New Roman" w:hAnsi="Times New Roman" w:cs="Times New Roman"/>
          <w:sz w:val="24"/>
          <w:szCs w:val="24"/>
        </w:rPr>
        <w:t>Linetsky</w:t>
      </w:r>
      <w:proofErr w:type="spellEnd"/>
      <w:r w:rsidRPr="00D67E1E">
        <w:rPr>
          <w:rFonts w:ascii="Times New Roman" w:hAnsi="Times New Roman" w:cs="Times New Roman"/>
          <w:sz w:val="24"/>
          <w:szCs w:val="24"/>
        </w:rPr>
        <w:t xml:space="preserve"> V., (2007) Eds. Financial Engineering (Elsevier, 2007). pp. 1-1014.</w:t>
      </w:r>
    </w:p>
    <w:p w14:paraId="598B98C8"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Black, F., 1976. Studies of stock price volatility changes. In: Proceedings of the 1976 Meetings of the Business and Economic Statistics. </w:t>
      </w:r>
      <w:r w:rsidRPr="00D67E1E">
        <w:rPr>
          <w:rFonts w:ascii="Times New Roman" w:hAnsi="Times New Roman" w:cs="Times New Roman"/>
          <w:i/>
          <w:iCs/>
          <w:sz w:val="24"/>
          <w:szCs w:val="24"/>
        </w:rPr>
        <w:t>American Statistical Society</w:t>
      </w:r>
      <w:r w:rsidRPr="00D67E1E">
        <w:rPr>
          <w:rFonts w:ascii="Times New Roman" w:hAnsi="Times New Roman" w:cs="Times New Roman"/>
          <w:sz w:val="24"/>
          <w:szCs w:val="24"/>
        </w:rPr>
        <w:t xml:space="preserve">, pp. 177–181. </w:t>
      </w:r>
    </w:p>
    <w:p w14:paraId="5B71180E" w14:textId="77777777" w:rsidR="003720DE" w:rsidRPr="00D67E1E" w:rsidRDefault="003720DE" w:rsidP="00D67E1E">
      <w:pPr>
        <w:pStyle w:val="NoSpacing"/>
        <w:numPr>
          <w:ilvl w:val="0"/>
          <w:numId w:val="11"/>
        </w:numPr>
        <w:rPr>
          <w:rFonts w:ascii="Times New Roman" w:eastAsia="Times New Roman" w:hAnsi="Times New Roman" w:cs="Times New Roman"/>
          <w:sz w:val="24"/>
          <w:szCs w:val="24"/>
        </w:rPr>
      </w:pPr>
      <w:r w:rsidRPr="00D67E1E">
        <w:rPr>
          <w:rFonts w:ascii="Times New Roman" w:eastAsia="Times New Roman" w:hAnsi="Times New Roman" w:cs="Times New Roman"/>
          <w:sz w:val="24"/>
          <w:szCs w:val="24"/>
        </w:rPr>
        <w:t xml:space="preserve">Blanchard, O. J., 1989. Speculative Bubbles, Crashes, and Rational Expectations, </w:t>
      </w:r>
      <w:r w:rsidRPr="00D67E1E">
        <w:rPr>
          <w:rFonts w:ascii="Times New Roman" w:eastAsia="Times New Roman" w:hAnsi="Times New Roman" w:cs="Times New Roman"/>
          <w:i/>
          <w:iCs/>
          <w:sz w:val="24"/>
          <w:szCs w:val="24"/>
        </w:rPr>
        <w:t>Economics Letters</w:t>
      </w:r>
      <w:r w:rsidRPr="00D67E1E">
        <w:rPr>
          <w:rFonts w:ascii="Times New Roman" w:eastAsia="Times New Roman" w:hAnsi="Times New Roman" w:cs="Times New Roman"/>
          <w:sz w:val="24"/>
          <w:szCs w:val="24"/>
        </w:rPr>
        <w:t>, 3, 387–389.</w:t>
      </w:r>
    </w:p>
    <w:p w14:paraId="1CB4C467"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(1986) Generalized autoregressive conditional heteroskedasticity, </w:t>
      </w:r>
      <w:r w:rsidRPr="00D67E1E">
        <w:rPr>
          <w:rFonts w:ascii="Times New Roman" w:hAnsi="Times New Roman" w:cs="Times New Roman"/>
          <w:i/>
          <w:iCs/>
          <w:sz w:val="24"/>
          <w:szCs w:val="24"/>
        </w:rPr>
        <w:t>Journal of Econometrics</w:t>
      </w:r>
      <w:r w:rsidRPr="00D67E1E">
        <w:rPr>
          <w:rFonts w:ascii="Times New Roman" w:hAnsi="Times New Roman" w:cs="Times New Roman"/>
          <w:sz w:val="24"/>
          <w:szCs w:val="24"/>
        </w:rPr>
        <w:t xml:space="preserve">. 31, 307–327. </w:t>
      </w:r>
    </w:p>
    <w:p w14:paraId="5DDF6BCC"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(1990) Modelling the coherence in short-run nominal exchange rates: A multivariate generalized ARCH approach, </w:t>
      </w:r>
      <w:r w:rsidRPr="00D67E1E">
        <w:rPr>
          <w:rFonts w:ascii="Times New Roman" w:hAnsi="Times New Roman" w:cs="Times New Roman"/>
          <w:i/>
          <w:iCs/>
          <w:sz w:val="24"/>
          <w:szCs w:val="24"/>
        </w:rPr>
        <w:t>Review of Economics and Statistics</w:t>
      </w:r>
      <w:r w:rsidRPr="00D67E1E">
        <w:rPr>
          <w:rFonts w:ascii="Times New Roman" w:hAnsi="Times New Roman" w:cs="Times New Roman"/>
          <w:sz w:val="24"/>
          <w:szCs w:val="24"/>
        </w:rPr>
        <w:t xml:space="preserve">. 72, 498–505. </w:t>
      </w:r>
    </w:p>
    <w:p w14:paraId="5F375CC8"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T. and Mikkelsen, H. O. (1996) Modelling and pricing long memory in stock market volatility</w:t>
      </w:r>
      <w:r w:rsidRPr="00D67E1E">
        <w:rPr>
          <w:rFonts w:ascii="Times New Roman" w:hAnsi="Times New Roman" w:cs="Times New Roman"/>
          <w:i/>
          <w:iCs/>
          <w:sz w:val="24"/>
          <w:szCs w:val="24"/>
        </w:rPr>
        <w:t>, Journal of Econometrics.</w:t>
      </w:r>
      <w:r w:rsidRPr="00D67E1E">
        <w:rPr>
          <w:rFonts w:ascii="Times New Roman" w:hAnsi="Times New Roman" w:cs="Times New Roman"/>
          <w:sz w:val="24"/>
          <w:szCs w:val="24"/>
        </w:rPr>
        <w:t xml:space="preserve"> 73, 151–184. </w:t>
      </w:r>
    </w:p>
    <w:p w14:paraId="69EF3F2B"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and Mikkelsen, H.O., 1996. </w:t>
      </w:r>
      <w:proofErr w:type="spellStart"/>
      <w:r w:rsidRPr="00D67E1E">
        <w:rPr>
          <w:rFonts w:ascii="Times New Roman" w:hAnsi="Times New Roman" w:cs="Times New Roman"/>
          <w:sz w:val="24"/>
          <w:szCs w:val="24"/>
        </w:rPr>
        <w:t>Modeling</w:t>
      </w:r>
      <w:proofErr w:type="spellEnd"/>
      <w:r w:rsidRPr="00D67E1E">
        <w:rPr>
          <w:rFonts w:ascii="Times New Roman" w:hAnsi="Times New Roman" w:cs="Times New Roman"/>
          <w:sz w:val="24"/>
          <w:szCs w:val="24"/>
        </w:rPr>
        <w:t xml:space="preserve"> and pricing long memory in stock market volatility. Journal of econometrics, 73(1), pp.151-184.</w:t>
      </w:r>
    </w:p>
    <w:p w14:paraId="1A573EA6"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B85D78">
        <w:rPr>
          <w:rFonts w:ascii="Times New Roman" w:hAnsi="Times New Roman" w:cs="Times New Roman"/>
          <w:sz w:val="24"/>
          <w:szCs w:val="24"/>
        </w:rPr>
        <w:t>Bollerslev</w:t>
      </w:r>
      <w:proofErr w:type="spellEnd"/>
      <w:r w:rsidRPr="00B85D78">
        <w:rPr>
          <w:rFonts w:ascii="Times New Roman" w:hAnsi="Times New Roman" w:cs="Times New Roman"/>
          <w:sz w:val="24"/>
          <w:szCs w:val="24"/>
        </w:rPr>
        <w:t xml:space="preserve">, T., Mikkelsen, H., (1996). </w:t>
      </w:r>
      <w:proofErr w:type="spellStart"/>
      <w:r w:rsidRPr="00B85D78">
        <w:rPr>
          <w:rFonts w:ascii="Times New Roman" w:hAnsi="Times New Roman" w:cs="Times New Roman"/>
          <w:sz w:val="24"/>
          <w:szCs w:val="24"/>
        </w:rPr>
        <w:t>Modeling</w:t>
      </w:r>
      <w:proofErr w:type="spellEnd"/>
      <w:r w:rsidRPr="00B85D78">
        <w:rPr>
          <w:rFonts w:ascii="Times New Roman" w:hAnsi="Times New Roman" w:cs="Times New Roman"/>
          <w:sz w:val="24"/>
          <w:szCs w:val="24"/>
        </w:rPr>
        <w:t xml:space="preserve"> and pricing long memory in stock market volatility. Journal of Econometrics 73, 151-184.</w:t>
      </w:r>
    </w:p>
    <w:p w14:paraId="200B1A9B" w14:textId="77777777" w:rsidR="003720DE" w:rsidRPr="00B85D78" w:rsidRDefault="003720DE" w:rsidP="003720DE">
      <w:pPr>
        <w:pStyle w:val="NormalWeb"/>
        <w:numPr>
          <w:ilvl w:val="0"/>
          <w:numId w:val="11"/>
        </w:numPr>
        <w:shd w:val="clear" w:color="auto" w:fill="FFFFFF"/>
        <w:spacing w:before="0" w:beforeAutospacing="0" w:after="255" w:afterAutospacing="0"/>
      </w:pPr>
      <w:proofErr w:type="spellStart"/>
      <w:r w:rsidRPr="00B85D78">
        <w:t>Bollerslev</w:t>
      </w:r>
      <w:proofErr w:type="spellEnd"/>
      <w:r w:rsidRPr="00B85D78">
        <w:t>, T., Mikkelsen, H., (1996). Modelling and pricing long memory in stock market volatility. Journal of Econometrics 73, 151-184.</w:t>
      </w:r>
    </w:p>
    <w:p w14:paraId="65087DE7"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Bollerslev</w:t>
      </w:r>
      <w:proofErr w:type="spellEnd"/>
      <w:r w:rsidRPr="00D67E1E">
        <w:rPr>
          <w:rFonts w:ascii="Times New Roman" w:hAnsi="Times New Roman" w:cs="Times New Roman"/>
          <w:sz w:val="24"/>
          <w:szCs w:val="24"/>
        </w:rPr>
        <w:t xml:space="preserve">, T., Mikkelsen, H., 1996. Modelling and pricing long memory in stock market volatility. </w:t>
      </w:r>
      <w:r w:rsidRPr="00D67E1E">
        <w:rPr>
          <w:rFonts w:ascii="Times New Roman" w:hAnsi="Times New Roman" w:cs="Times New Roman"/>
          <w:i/>
          <w:iCs/>
          <w:sz w:val="24"/>
          <w:szCs w:val="24"/>
        </w:rPr>
        <w:t>J. Econometrics</w:t>
      </w:r>
      <w:r w:rsidRPr="00D67E1E">
        <w:rPr>
          <w:rFonts w:ascii="Times New Roman" w:hAnsi="Times New Roman" w:cs="Times New Roman"/>
          <w:sz w:val="24"/>
          <w:szCs w:val="24"/>
        </w:rPr>
        <w:t xml:space="preserve"> 73 (1), 151–184. </w:t>
      </w:r>
    </w:p>
    <w:p w14:paraId="11D2FFB5"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lastRenderedPageBreak/>
        <w:t>Bollerslev</w:t>
      </w:r>
      <w:proofErr w:type="spellEnd"/>
      <w:r w:rsidRPr="00D67E1E">
        <w:rPr>
          <w:rFonts w:ascii="Times New Roman" w:hAnsi="Times New Roman" w:cs="Times New Roman"/>
          <w:sz w:val="24"/>
          <w:szCs w:val="24"/>
        </w:rPr>
        <w:t>, T., Mikkelsen, H., 1999. Long-term equity anticipation securities and stock market volatility dynamics</w:t>
      </w:r>
      <w:r w:rsidRPr="00D67E1E">
        <w:rPr>
          <w:rFonts w:ascii="Times New Roman" w:hAnsi="Times New Roman" w:cs="Times New Roman"/>
          <w:i/>
          <w:iCs/>
          <w:sz w:val="24"/>
          <w:szCs w:val="24"/>
        </w:rPr>
        <w:t xml:space="preserve"> J. Econometrics</w:t>
      </w:r>
      <w:r w:rsidRPr="00D67E1E">
        <w:rPr>
          <w:rFonts w:ascii="Times New Roman" w:hAnsi="Times New Roman" w:cs="Times New Roman"/>
          <w:sz w:val="24"/>
          <w:szCs w:val="24"/>
        </w:rPr>
        <w:t xml:space="preserve"> 92, 75–99. </w:t>
      </w:r>
    </w:p>
    <w:p w14:paraId="66A86EBC"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Borges, M.R. (2010) “Efficient market hypothesis in European stock markets”, European Journal of Finance, 16, 711-726.</w:t>
      </w:r>
    </w:p>
    <w:p w14:paraId="66AD1409"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Breen W, </w:t>
      </w:r>
      <w:proofErr w:type="spellStart"/>
      <w:r w:rsidRPr="00D67E1E">
        <w:rPr>
          <w:rFonts w:ascii="Times New Roman" w:hAnsi="Times New Roman" w:cs="Times New Roman"/>
          <w:sz w:val="24"/>
          <w:szCs w:val="24"/>
        </w:rPr>
        <w:t>Glosten</w:t>
      </w:r>
      <w:proofErr w:type="spellEnd"/>
      <w:r w:rsidRPr="00D67E1E">
        <w:rPr>
          <w:rFonts w:ascii="Times New Roman" w:hAnsi="Times New Roman" w:cs="Times New Roman"/>
          <w:sz w:val="24"/>
          <w:szCs w:val="24"/>
        </w:rPr>
        <w:t xml:space="preserve"> LR, Jagannathan R. (1989). “Economic significance of predictable variations in stock index returns”. Journal of Finance 1989; 44:1177—1189.  </w:t>
      </w:r>
    </w:p>
    <w:p w14:paraId="18E69322"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lang w:val="es-AR"/>
        </w:rPr>
        <w:t>Breidt</w:t>
      </w:r>
      <w:proofErr w:type="spellEnd"/>
      <w:r w:rsidRPr="00D67E1E">
        <w:rPr>
          <w:rFonts w:ascii="Times New Roman" w:hAnsi="Times New Roman" w:cs="Times New Roman"/>
          <w:sz w:val="24"/>
          <w:szCs w:val="24"/>
          <w:lang w:val="es-AR"/>
        </w:rPr>
        <w:t xml:space="preserve">, F.J., </w:t>
      </w:r>
      <w:proofErr w:type="spellStart"/>
      <w:r w:rsidRPr="00D67E1E">
        <w:rPr>
          <w:rFonts w:ascii="Times New Roman" w:hAnsi="Times New Roman" w:cs="Times New Roman"/>
          <w:sz w:val="24"/>
          <w:szCs w:val="24"/>
          <w:lang w:val="es-AR"/>
        </w:rPr>
        <w:t>Crato</w:t>
      </w:r>
      <w:proofErr w:type="spellEnd"/>
      <w:r w:rsidRPr="00D67E1E">
        <w:rPr>
          <w:rFonts w:ascii="Times New Roman" w:hAnsi="Times New Roman" w:cs="Times New Roman"/>
          <w:sz w:val="24"/>
          <w:szCs w:val="24"/>
          <w:lang w:val="es-AR"/>
        </w:rPr>
        <w:t xml:space="preserve">, N., de Lima, P., 1998. </w:t>
      </w:r>
      <w:r w:rsidRPr="00D67E1E">
        <w:rPr>
          <w:rFonts w:ascii="Times New Roman" w:hAnsi="Times New Roman" w:cs="Times New Roman"/>
          <w:sz w:val="24"/>
          <w:szCs w:val="24"/>
        </w:rPr>
        <w:t xml:space="preserve">The detection and estimation of long memory in stochastic volatility. </w:t>
      </w:r>
      <w:r w:rsidRPr="00D67E1E">
        <w:rPr>
          <w:rFonts w:ascii="Times New Roman" w:hAnsi="Times New Roman" w:cs="Times New Roman"/>
          <w:i/>
          <w:iCs/>
          <w:sz w:val="24"/>
          <w:szCs w:val="24"/>
        </w:rPr>
        <w:t>J. Econometrics</w:t>
      </w:r>
      <w:r w:rsidRPr="00D67E1E">
        <w:rPr>
          <w:rFonts w:ascii="Times New Roman" w:hAnsi="Times New Roman" w:cs="Times New Roman"/>
          <w:sz w:val="24"/>
          <w:szCs w:val="24"/>
        </w:rPr>
        <w:t xml:space="preserve"> 83, 325–348. </w:t>
      </w:r>
    </w:p>
    <w:p w14:paraId="60A74E79"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shd w:val="clear" w:color="auto" w:fill="FFFFFF"/>
        </w:rPr>
      </w:pPr>
      <w:r w:rsidRPr="003720DE">
        <w:rPr>
          <w:rFonts w:ascii="Times New Roman" w:hAnsi="Times New Roman" w:cs="Times New Roman"/>
          <w:sz w:val="24"/>
          <w:szCs w:val="24"/>
          <w:shd w:val="clear" w:color="auto" w:fill="FFFFFF"/>
        </w:rPr>
        <w:t>Brockwell, P. J., &amp; Davis, R. A. (2016). </w:t>
      </w:r>
      <w:r w:rsidRPr="003720DE">
        <w:rPr>
          <w:rStyle w:val="italica"/>
          <w:rFonts w:ascii="Times New Roman" w:hAnsi="Times New Roman" w:cs="Times New Roman"/>
          <w:i/>
          <w:iCs/>
          <w:sz w:val="24"/>
          <w:szCs w:val="24"/>
          <w:shd w:val="clear" w:color="auto" w:fill="FFFFFF"/>
        </w:rPr>
        <w:t>Introduction to time series and forecasting</w:t>
      </w:r>
      <w:r w:rsidRPr="003720DE">
        <w:rPr>
          <w:rFonts w:ascii="Times New Roman" w:hAnsi="Times New Roman" w:cs="Times New Roman"/>
          <w:sz w:val="24"/>
          <w:szCs w:val="24"/>
          <w:shd w:val="clear" w:color="auto" w:fill="FFFFFF"/>
        </w:rPr>
        <w:t>. New York, NY: Springer International Publishing</w:t>
      </w:r>
    </w:p>
    <w:p w14:paraId="0D7A70F8"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Brown, R. L., Durbin, J., and Evans, J. M., (1975). Techniques for testing the constancy of regression relationships over time, Journal of the Royal Statistical Society, Series B 37, 149 - 192.</w:t>
      </w:r>
    </w:p>
    <w:p w14:paraId="2D4C9AFC"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Capiello</w:t>
      </w:r>
      <w:proofErr w:type="spellEnd"/>
      <w:r w:rsidRPr="003720DE">
        <w:rPr>
          <w:rFonts w:ascii="Times New Roman" w:hAnsi="Times New Roman" w:cs="Times New Roman"/>
          <w:sz w:val="24"/>
          <w:szCs w:val="24"/>
        </w:rPr>
        <w:t>, L., R. F. Engle, and K. Sheppard, 2006, “Asymmetric Dynamics in the Correlations of Global Equity and Bond Returns,” Journal of Financial Econometrics, Vol. 4, No. 4, pp. 537–72.</w:t>
      </w:r>
    </w:p>
    <w:p w14:paraId="6EE2748F"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Caporale</w:t>
      </w:r>
      <w:proofErr w:type="spellEnd"/>
      <w:r w:rsidRPr="003720DE">
        <w:rPr>
          <w:rFonts w:ascii="Times New Roman" w:hAnsi="Times New Roman" w:cs="Times New Roman"/>
          <w:sz w:val="24"/>
          <w:szCs w:val="24"/>
        </w:rPr>
        <w:t xml:space="preserve">, G.M., N. </w:t>
      </w:r>
      <w:proofErr w:type="spellStart"/>
      <w:r w:rsidRPr="003720DE">
        <w:rPr>
          <w:rFonts w:ascii="Times New Roman" w:hAnsi="Times New Roman" w:cs="Times New Roman"/>
          <w:sz w:val="24"/>
          <w:szCs w:val="24"/>
        </w:rPr>
        <w:t>Pittis</w:t>
      </w:r>
      <w:proofErr w:type="spellEnd"/>
      <w:r w:rsidRPr="003720DE">
        <w:rPr>
          <w:rFonts w:ascii="Times New Roman" w:hAnsi="Times New Roman" w:cs="Times New Roman"/>
          <w:sz w:val="24"/>
          <w:szCs w:val="24"/>
        </w:rPr>
        <w:t xml:space="preserve">, and N. </w:t>
      </w:r>
      <w:proofErr w:type="spellStart"/>
      <w:r w:rsidRPr="003720DE">
        <w:rPr>
          <w:rFonts w:ascii="Times New Roman" w:hAnsi="Times New Roman" w:cs="Times New Roman"/>
          <w:sz w:val="24"/>
          <w:szCs w:val="24"/>
        </w:rPr>
        <w:t>Spagnolo</w:t>
      </w:r>
      <w:proofErr w:type="spellEnd"/>
      <w:r w:rsidRPr="003720DE">
        <w:rPr>
          <w:rFonts w:ascii="Times New Roman" w:hAnsi="Times New Roman" w:cs="Times New Roman"/>
          <w:sz w:val="24"/>
          <w:szCs w:val="24"/>
        </w:rPr>
        <w:t>, 2006, “Volatility Transmission and Financial Crises,” Journal of Economics and Finance, Vol. 30, No.3, pp.376–90.</w:t>
      </w:r>
    </w:p>
    <w:p w14:paraId="009E88F1" w14:textId="77777777" w:rsidR="003720DE" w:rsidRPr="00D67E1E" w:rsidRDefault="003720DE" w:rsidP="00D67E1E">
      <w:pPr>
        <w:pStyle w:val="NoSpacing"/>
        <w:numPr>
          <w:ilvl w:val="0"/>
          <w:numId w:val="11"/>
        </w:numPr>
        <w:rPr>
          <w:rFonts w:ascii="Times New Roman" w:hAnsi="Times New Roman" w:cs="Times New Roman"/>
          <w:sz w:val="24"/>
          <w:szCs w:val="24"/>
          <w:lang w:val="es-AR"/>
        </w:rPr>
      </w:pPr>
      <w:r w:rsidRPr="00D67E1E">
        <w:rPr>
          <w:rFonts w:ascii="Times New Roman" w:hAnsi="Times New Roman" w:cs="Times New Roman"/>
          <w:sz w:val="24"/>
          <w:szCs w:val="24"/>
          <w:lang w:val="es-AR"/>
        </w:rPr>
        <w:t xml:space="preserve">Carnero, M.A., Peña, D., Ruiz, E., 2004. </w:t>
      </w:r>
      <w:r w:rsidRPr="00D67E1E">
        <w:rPr>
          <w:rFonts w:ascii="Times New Roman" w:hAnsi="Times New Roman" w:cs="Times New Roman"/>
          <w:sz w:val="24"/>
          <w:szCs w:val="24"/>
        </w:rPr>
        <w:t xml:space="preserve">Persistence and kurtosis in GARCH and stochastic volatility models. </w:t>
      </w:r>
      <w:r w:rsidRPr="00D67E1E">
        <w:rPr>
          <w:rFonts w:ascii="Times New Roman" w:hAnsi="Times New Roman" w:cs="Times New Roman"/>
          <w:i/>
          <w:iCs/>
          <w:sz w:val="24"/>
          <w:szCs w:val="24"/>
          <w:lang w:val="es-AR"/>
        </w:rPr>
        <w:t xml:space="preserve">J. </w:t>
      </w:r>
      <w:proofErr w:type="spellStart"/>
      <w:r w:rsidRPr="00D67E1E">
        <w:rPr>
          <w:rFonts w:ascii="Times New Roman" w:hAnsi="Times New Roman" w:cs="Times New Roman"/>
          <w:i/>
          <w:iCs/>
          <w:sz w:val="24"/>
          <w:szCs w:val="24"/>
          <w:lang w:val="es-AR"/>
        </w:rPr>
        <w:t>Financial</w:t>
      </w:r>
      <w:proofErr w:type="spellEnd"/>
      <w:r w:rsidRPr="00D67E1E">
        <w:rPr>
          <w:rFonts w:ascii="Times New Roman" w:hAnsi="Times New Roman" w:cs="Times New Roman"/>
          <w:i/>
          <w:iCs/>
          <w:sz w:val="24"/>
          <w:szCs w:val="24"/>
          <w:lang w:val="es-AR"/>
        </w:rPr>
        <w:t xml:space="preserve"> </w:t>
      </w:r>
      <w:proofErr w:type="spellStart"/>
      <w:r w:rsidRPr="00D67E1E">
        <w:rPr>
          <w:rFonts w:ascii="Times New Roman" w:hAnsi="Times New Roman" w:cs="Times New Roman"/>
          <w:i/>
          <w:iCs/>
          <w:sz w:val="24"/>
          <w:szCs w:val="24"/>
          <w:lang w:val="es-AR"/>
        </w:rPr>
        <w:t>Econometrics</w:t>
      </w:r>
      <w:proofErr w:type="spellEnd"/>
      <w:r w:rsidRPr="00D67E1E">
        <w:rPr>
          <w:rFonts w:ascii="Times New Roman" w:hAnsi="Times New Roman" w:cs="Times New Roman"/>
          <w:sz w:val="24"/>
          <w:szCs w:val="24"/>
          <w:lang w:val="es-AR"/>
        </w:rPr>
        <w:t xml:space="preserve"> 2, 319–342. </w:t>
      </w:r>
    </w:p>
    <w:p w14:paraId="5CF823BF"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lang w:val="es-AR"/>
        </w:rPr>
        <w:t xml:space="preserve">Carnero, M.A., Peña, D., Ruiz, E., 2007. </w:t>
      </w:r>
      <w:r w:rsidRPr="00D67E1E">
        <w:rPr>
          <w:rFonts w:ascii="Times New Roman" w:hAnsi="Times New Roman" w:cs="Times New Roman"/>
          <w:sz w:val="24"/>
          <w:szCs w:val="24"/>
        </w:rPr>
        <w:t xml:space="preserve">Effects of outliers on the identification and estimation of GARCH models. </w:t>
      </w:r>
      <w:r w:rsidRPr="00D67E1E">
        <w:rPr>
          <w:rFonts w:ascii="Times New Roman" w:hAnsi="Times New Roman" w:cs="Times New Roman"/>
          <w:i/>
          <w:iCs/>
          <w:sz w:val="24"/>
          <w:szCs w:val="24"/>
        </w:rPr>
        <w:t>J. Time Ser. Anal</w:t>
      </w:r>
      <w:r w:rsidRPr="00D67E1E">
        <w:rPr>
          <w:rFonts w:ascii="Times New Roman" w:hAnsi="Times New Roman" w:cs="Times New Roman"/>
          <w:sz w:val="24"/>
          <w:szCs w:val="24"/>
        </w:rPr>
        <w:t xml:space="preserve">. 28 (4), 471–497. </w:t>
      </w:r>
    </w:p>
    <w:p w14:paraId="368037F2" w14:textId="77777777" w:rsidR="003720DE" w:rsidRPr="00D67E1E" w:rsidRDefault="003720DE" w:rsidP="00D67E1E">
      <w:pPr>
        <w:pStyle w:val="NoSpacing"/>
        <w:numPr>
          <w:ilvl w:val="0"/>
          <w:numId w:val="11"/>
        </w:numPr>
        <w:rPr>
          <w:rFonts w:ascii="Times New Roman" w:eastAsia="SimSun" w:hAnsi="Times New Roman" w:cs="Times New Roman"/>
          <w:sz w:val="24"/>
          <w:szCs w:val="24"/>
          <w:lang w:val="en-US"/>
        </w:rPr>
      </w:pPr>
      <w:r w:rsidRPr="00D67E1E">
        <w:rPr>
          <w:rFonts w:ascii="Times New Roman" w:eastAsia="SimSun" w:hAnsi="Times New Roman" w:cs="Times New Roman"/>
          <w:sz w:val="24"/>
          <w:szCs w:val="24"/>
          <w:lang w:val="en-US" w:eastAsia="zh-CN"/>
        </w:rPr>
        <w:t xml:space="preserve">Chang, T., </w:t>
      </w:r>
      <w:proofErr w:type="spellStart"/>
      <w:r w:rsidRPr="00D67E1E">
        <w:rPr>
          <w:rFonts w:ascii="Times New Roman" w:eastAsia="SimSun" w:hAnsi="Times New Roman" w:cs="Times New Roman"/>
          <w:sz w:val="24"/>
          <w:szCs w:val="24"/>
          <w:lang w:val="en-US" w:eastAsia="zh-CN"/>
        </w:rPr>
        <w:t>McLeavey</w:t>
      </w:r>
      <w:proofErr w:type="spellEnd"/>
      <w:r w:rsidRPr="00D67E1E">
        <w:rPr>
          <w:rFonts w:ascii="Times New Roman" w:eastAsia="SimSun" w:hAnsi="Times New Roman" w:cs="Times New Roman"/>
          <w:sz w:val="24"/>
          <w:szCs w:val="24"/>
          <w:lang w:val="en-US" w:eastAsia="zh-CN"/>
        </w:rPr>
        <w:t xml:space="preserve">, D., and Rhee, S., 1995. Short-term abnormal returns of the contrarian strategy in the Japanese stock market. </w:t>
      </w:r>
      <w:r w:rsidRPr="00D67E1E">
        <w:rPr>
          <w:rFonts w:ascii="Times New Roman" w:eastAsia="SimSun" w:hAnsi="Times New Roman" w:cs="Times New Roman"/>
          <w:i/>
          <w:sz w:val="24"/>
          <w:szCs w:val="24"/>
          <w:lang w:val="en-US" w:eastAsia="zh-CN"/>
        </w:rPr>
        <w:t>Journal of Business Finance and Accounting</w:t>
      </w:r>
      <w:r w:rsidRPr="00D67E1E">
        <w:rPr>
          <w:rFonts w:ascii="Times New Roman" w:eastAsia="SimSun" w:hAnsi="Times New Roman" w:cs="Times New Roman"/>
          <w:sz w:val="24"/>
          <w:szCs w:val="24"/>
          <w:lang w:val="en-US" w:eastAsia="zh-CN"/>
        </w:rPr>
        <w:t xml:space="preserve"> 22, pp. 1035-1048.</w:t>
      </w:r>
    </w:p>
    <w:p w14:paraId="6FEF10E2"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Chen, C-H. and Shih, H-T. (2002) The evolution of the stock market in China’s transitional economy advances in Chinese economic studies, </w:t>
      </w:r>
      <w:r w:rsidRPr="00D67E1E">
        <w:rPr>
          <w:rFonts w:ascii="Times New Roman" w:hAnsi="Times New Roman" w:cs="Times New Roman"/>
          <w:i/>
          <w:iCs/>
          <w:sz w:val="24"/>
          <w:szCs w:val="24"/>
        </w:rPr>
        <w:t>Edward Elgar Publishing Limited</w:t>
      </w:r>
      <w:r w:rsidRPr="00D67E1E">
        <w:rPr>
          <w:rFonts w:ascii="Times New Roman" w:hAnsi="Times New Roman" w:cs="Times New Roman"/>
          <w:sz w:val="24"/>
          <w:szCs w:val="24"/>
        </w:rPr>
        <w:t xml:space="preserve">, 37–54. </w:t>
      </w:r>
    </w:p>
    <w:p w14:paraId="4167A35D"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B85D78">
        <w:rPr>
          <w:rFonts w:ascii="Times New Roman" w:hAnsi="Times New Roman" w:cs="Times New Roman"/>
          <w:sz w:val="24"/>
          <w:szCs w:val="24"/>
        </w:rPr>
        <w:t>Christoffersen</w:t>
      </w:r>
      <w:proofErr w:type="spellEnd"/>
      <w:r w:rsidRPr="00B85D78">
        <w:rPr>
          <w:rFonts w:ascii="Times New Roman" w:hAnsi="Times New Roman" w:cs="Times New Roman"/>
          <w:sz w:val="24"/>
          <w:szCs w:val="24"/>
        </w:rPr>
        <w:t xml:space="preserve">, P, Jacobs, K., and Wang, Y., (2006). Option valuation with long-run and short-run volatility components, Unpublished manuscript, </w:t>
      </w:r>
      <w:proofErr w:type="spellStart"/>
      <w:r w:rsidRPr="00B85D78">
        <w:rPr>
          <w:rFonts w:ascii="Times New Roman" w:hAnsi="Times New Roman" w:cs="Times New Roman"/>
          <w:sz w:val="24"/>
          <w:szCs w:val="24"/>
        </w:rPr>
        <w:t>McGiIl</w:t>
      </w:r>
      <w:proofErr w:type="spellEnd"/>
      <w:r w:rsidRPr="00B85D78">
        <w:rPr>
          <w:rFonts w:ascii="Times New Roman" w:hAnsi="Times New Roman" w:cs="Times New Roman"/>
          <w:sz w:val="24"/>
          <w:szCs w:val="24"/>
        </w:rPr>
        <w:t xml:space="preserve"> University.</w:t>
      </w:r>
    </w:p>
    <w:p w14:paraId="3FF30AF7"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shd w:val="clear" w:color="auto" w:fill="FFFFFF"/>
        </w:rPr>
      </w:pPr>
      <w:proofErr w:type="spellStart"/>
      <w:r w:rsidRPr="003720DE">
        <w:rPr>
          <w:rFonts w:ascii="Times New Roman" w:hAnsi="Times New Roman" w:cs="Times New Roman"/>
          <w:sz w:val="24"/>
          <w:szCs w:val="24"/>
          <w:shd w:val="clear" w:color="auto" w:fill="FFFFFF"/>
        </w:rPr>
        <w:t>Cont</w:t>
      </w:r>
      <w:proofErr w:type="spellEnd"/>
      <w:r w:rsidRPr="003720DE">
        <w:rPr>
          <w:rFonts w:ascii="Times New Roman" w:hAnsi="Times New Roman" w:cs="Times New Roman"/>
          <w:sz w:val="24"/>
          <w:szCs w:val="24"/>
          <w:shd w:val="clear" w:color="auto" w:fill="FFFFFF"/>
        </w:rPr>
        <w:t>, R. (2001). Empirical properties of asset returns: Stylized facts and statistical issues. </w:t>
      </w:r>
      <w:r w:rsidRPr="003720DE">
        <w:rPr>
          <w:rStyle w:val="italica"/>
          <w:rFonts w:ascii="Times New Roman" w:hAnsi="Times New Roman" w:cs="Times New Roman"/>
          <w:i/>
          <w:iCs/>
          <w:sz w:val="24"/>
          <w:szCs w:val="24"/>
          <w:shd w:val="clear" w:color="auto" w:fill="FFFFFF"/>
        </w:rPr>
        <w:t>Quantitative Finance</w:t>
      </w:r>
      <w:r w:rsidRPr="003720DE">
        <w:rPr>
          <w:rFonts w:ascii="Times New Roman" w:hAnsi="Times New Roman" w:cs="Times New Roman"/>
          <w:sz w:val="24"/>
          <w:szCs w:val="24"/>
          <w:shd w:val="clear" w:color="auto" w:fill="FFFFFF"/>
        </w:rPr>
        <w:t>, 1(2), 223-236.</w:t>
      </w:r>
    </w:p>
    <w:p w14:paraId="69F879F3"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Corcuera</w:t>
      </w:r>
      <w:proofErr w:type="spellEnd"/>
      <w:r w:rsidRPr="00D67E1E">
        <w:rPr>
          <w:rFonts w:ascii="Times New Roman" w:hAnsi="Times New Roman" w:cs="Times New Roman"/>
          <w:sz w:val="24"/>
          <w:szCs w:val="24"/>
        </w:rPr>
        <w:t xml:space="preserve"> J M, </w:t>
      </w:r>
      <w:proofErr w:type="spellStart"/>
      <w:r w:rsidRPr="00D67E1E">
        <w:rPr>
          <w:rFonts w:ascii="Times New Roman" w:hAnsi="Times New Roman" w:cs="Times New Roman"/>
          <w:sz w:val="24"/>
          <w:szCs w:val="24"/>
        </w:rPr>
        <w:t>Nualert</w:t>
      </w:r>
      <w:proofErr w:type="spellEnd"/>
      <w:r w:rsidRPr="00D67E1E">
        <w:rPr>
          <w:rFonts w:ascii="Times New Roman" w:hAnsi="Times New Roman" w:cs="Times New Roman"/>
          <w:sz w:val="24"/>
          <w:szCs w:val="24"/>
        </w:rPr>
        <w:t xml:space="preserve"> D, </w:t>
      </w:r>
      <w:proofErr w:type="spellStart"/>
      <w:r w:rsidRPr="00D67E1E">
        <w:rPr>
          <w:rFonts w:ascii="Times New Roman" w:hAnsi="Times New Roman" w:cs="Times New Roman"/>
          <w:sz w:val="24"/>
          <w:szCs w:val="24"/>
        </w:rPr>
        <w:t>Schoutens</w:t>
      </w:r>
      <w:proofErr w:type="spellEnd"/>
      <w:r w:rsidRPr="00D67E1E">
        <w:rPr>
          <w:rFonts w:ascii="Times New Roman" w:hAnsi="Times New Roman" w:cs="Times New Roman"/>
          <w:sz w:val="24"/>
          <w:szCs w:val="24"/>
        </w:rPr>
        <w:t xml:space="preserve"> W (2005) Completion of a Levy Market by Power-Jump Assets. Finance and Stochastics 9, (1), 109–127.</w:t>
      </w:r>
    </w:p>
    <w:p w14:paraId="7C6B3F68" w14:textId="77777777" w:rsidR="003720DE" w:rsidRPr="00D67E1E" w:rsidRDefault="003720DE" w:rsidP="00D67E1E">
      <w:pPr>
        <w:pStyle w:val="NoSpacing"/>
        <w:numPr>
          <w:ilvl w:val="0"/>
          <w:numId w:val="11"/>
        </w:numPr>
        <w:rPr>
          <w:rFonts w:ascii="Times New Roman" w:hAnsi="Times New Roman" w:cs="Times New Roman"/>
          <w:sz w:val="24"/>
          <w:szCs w:val="24"/>
        </w:rPr>
      </w:pPr>
      <w:r w:rsidRPr="007540FD">
        <w:rPr>
          <w:rFonts w:ascii="Times New Roman" w:hAnsi="Times New Roman" w:cs="Times New Roman"/>
          <w:sz w:val="24"/>
          <w:szCs w:val="24"/>
          <w:lang w:val="es-AR"/>
        </w:rPr>
        <w:t xml:space="preserve">Corrado, C. and Su, T. (1996). </w:t>
      </w:r>
      <w:r w:rsidRPr="00D67E1E">
        <w:rPr>
          <w:rFonts w:ascii="Times New Roman" w:hAnsi="Times New Roman" w:cs="Times New Roman"/>
          <w:sz w:val="24"/>
          <w:szCs w:val="24"/>
        </w:rPr>
        <w:t xml:space="preserve">“Skewness and Kurtosis in S&amp;P 500 index returns implied by option prices”, Journal of Financial Research, 19, 175-192. </w:t>
      </w:r>
    </w:p>
    <w:p w14:paraId="396C7AB5"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Coudert</w:t>
      </w:r>
      <w:proofErr w:type="spellEnd"/>
      <w:r w:rsidRPr="003720DE">
        <w:rPr>
          <w:rFonts w:ascii="Times New Roman" w:hAnsi="Times New Roman" w:cs="Times New Roman"/>
          <w:sz w:val="24"/>
          <w:szCs w:val="24"/>
        </w:rPr>
        <w:t xml:space="preserve">, V., and M. </w:t>
      </w:r>
      <w:proofErr w:type="spellStart"/>
      <w:r w:rsidRPr="003720DE">
        <w:rPr>
          <w:rFonts w:ascii="Times New Roman" w:hAnsi="Times New Roman" w:cs="Times New Roman"/>
          <w:sz w:val="24"/>
          <w:szCs w:val="24"/>
        </w:rPr>
        <w:t>Gex</w:t>
      </w:r>
      <w:proofErr w:type="spellEnd"/>
      <w:r w:rsidRPr="003720DE">
        <w:rPr>
          <w:rFonts w:ascii="Times New Roman" w:hAnsi="Times New Roman" w:cs="Times New Roman"/>
          <w:sz w:val="24"/>
          <w:szCs w:val="24"/>
        </w:rPr>
        <w:t xml:space="preserve">, 2007, “Does Risk Aversion Drive Financial Crises? Testing the Predictive Power of Empirical Indicators,” Centre </w:t>
      </w:r>
      <w:proofErr w:type="spellStart"/>
      <w:r w:rsidRPr="003720DE">
        <w:rPr>
          <w:rFonts w:ascii="Times New Roman" w:hAnsi="Times New Roman" w:cs="Times New Roman"/>
          <w:sz w:val="24"/>
          <w:szCs w:val="24"/>
        </w:rPr>
        <w:t>d’Etudes</w:t>
      </w:r>
      <w:proofErr w:type="spellEnd"/>
      <w:r w:rsidRPr="003720DE">
        <w:rPr>
          <w:rFonts w:ascii="Times New Roman" w:hAnsi="Times New Roman" w:cs="Times New Roman"/>
          <w:sz w:val="24"/>
          <w:szCs w:val="24"/>
        </w:rPr>
        <w:t xml:space="preserve"> </w:t>
      </w:r>
      <w:proofErr w:type="spellStart"/>
      <w:r w:rsidRPr="003720DE">
        <w:rPr>
          <w:rFonts w:ascii="Times New Roman" w:hAnsi="Times New Roman" w:cs="Times New Roman"/>
          <w:sz w:val="24"/>
          <w:szCs w:val="24"/>
        </w:rPr>
        <w:t>Prospectives</w:t>
      </w:r>
      <w:proofErr w:type="spellEnd"/>
      <w:r w:rsidRPr="003720DE">
        <w:rPr>
          <w:rFonts w:ascii="Times New Roman" w:hAnsi="Times New Roman" w:cs="Times New Roman"/>
          <w:sz w:val="24"/>
          <w:szCs w:val="24"/>
        </w:rPr>
        <w:t xml:space="preserve"> et </w:t>
      </w:r>
      <w:proofErr w:type="spellStart"/>
      <w:r w:rsidRPr="003720DE">
        <w:rPr>
          <w:rFonts w:ascii="Times New Roman" w:hAnsi="Times New Roman" w:cs="Times New Roman"/>
          <w:sz w:val="24"/>
          <w:szCs w:val="24"/>
        </w:rPr>
        <w:t>d’Informations</w:t>
      </w:r>
      <w:proofErr w:type="spellEnd"/>
      <w:r w:rsidRPr="003720DE">
        <w:rPr>
          <w:rFonts w:ascii="Times New Roman" w:hAnsi="Times New Roman" w:cs="Times New Roman"/>
          <w:sz w:val="24"/>
          <w:szCs w:val="24"/>
        </w:rPr>
        <w:t xml:space="preserve"> </w:t>
      </w:r>
      <w:proofErr w:type="spellStart"/>
      <w:r w:rsidRPr="003720DE">
        <w:rPr>
          <w:rFonts w:ascii="Times New Roman" w:hAnsi="Times New Roman" w:cs="Times New Roman"/>
          <w:sz w:val="24"/>
          <w:szCs w:val="24"/>
        </w:rPr>
        <w:t>Internationales</w:t>
      </w:r>
      <w:proofErr w:type="spellEnd"/>
      <w:r w:rsidRPr="003720DE">
        <w:rPr>
          <w:rFonts w:ascii="Times New Roman" w:hAnsi="Times New Roman" w:cs="Times New Roman"/>
          <w:sz w:val="24"/>
          <w:szCs w:val="24"/>
        </w:rPr>
        <w:t xml:space="preserve">, Working Paper No. 2007–02. </w:t>
      </w:r>
    </w:p>
    <w:p w14:paraId="11AC4A66"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eastAsia="Times New Roman" w:hAnsi="Times New Roman" w:cs="Times New Roman"/>
          <w:sz w:val="24"/>
          <w:szCs w:val="24"/>
        </w:rPr>
        <w:t>Cox JC, Ingersoll JE and Ross SA (1985). "A Theory of the Term Structure of Interest       Rates</w:t>
      </w:r>
      <w:proofErr w:type="gramStart"/>
      <w:r w:rsidRPr="00D67E1E">
        <w:rPr>
          <w:rFonts w:ascii="Times New Roman" w:eastAsia="Times New Roman" w:hAnsi="Times New Roman" w:cs="Times New Roman"/>
          <w:sz w:val="24"/>
          <w:szCs w:val="24"/>
        </w:rPr>
        <w:t>” .</w:t>
      </w:r>
      <w:proofErr w:type="gramEnd"/>
      <w:r w:rsidRPr="00D67E1E">
        <w:rPr>
          <w:rFonts w:ascii="Times New Roman" w:eastAsia="Times New Roman" w:hAnsi="Times New Roman" w:cs="Times New Roman"/>
          <w:sz w:val="24"/>
          <w:szCs w:val="24"/>
        </w:rPr>
        <w:t xml:space="preserve"> </w:t>
      </w:r>
      <w:hyperlink r:id="rId150" w:tooltip="Econometrica" w:history="1">
        <w:r w:rsidRPr="00D67E1E">
          <w:rPr>
            <w:rFonts w:ascii="Times New Roman" w:eastAsia="Times New Roman" w:hAnsi="Times New Roman" w:cs="Times New Roman"/>
            <w:i/>
            <w:iCs/>
            <w:color w:val="0000FF"/>
            <w:sz w:val="24"/>
            <w:szCs w:val="24"/>
            <w:u w:val="single"/>
          </w:rPr>
          <w:t>Econometrica</w:t>
        </w:r>
      </w:hyperlink>
      <w:r w:rsidRPr="00D67E1E">
        <w:rPr>
          <w:rFonts w:ascii="Times New Roman" w:eastAsia="Times New Roman" w:hAnsi="Times New Roman" w:cs="Times New Roman"/>
          <w:b/>
          <w:bCs/>
          <w:sz w:val="24"/>
          <w:szCs w:val="24"/>
        </w:rPr>
        <w:t>53</w:t>
      </w:r>
      <w:r w:rsidRPr="00D67E1E">
        <w:rPr>
          <w:rFonts w:ascii="Times New Roman" w:eastAsia="Times New Roman" w:hAnsi="Times New Roman" w:cs="Times New Roman"/>
          <w:sz w:val="24"/>
          <w:szCs w:val="24"/>
        </w:rPr>
        <w:t>: 385–407.</w:t>
      </w:r>
    </w:p>
    <w:p w14:paraId="19AED9F6"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Davidson, J., 2004. Moment and memory properties of linear conditional heteroscedasticity models, and a new model</w:t>
      </w:r>
      <w:r w:rsidRPr="00D67E1E">
        <w:rPr>
          <w:rFonts w:ascii="Times New Roman" w:hAnsi="Times New Roman" w:cs="Times New Roman"/>
          <w:i/>
          <w:iCs/>
          <w:sz w:val="24"/>
          <w:szCs w:val="24"/>
        </w:rPr>
        <w:t>. J. Business Econometrics. Statist</w:t>
      </w:r>
      <w:r w:rsidRPr="00D67E1E">
        <w:rPr>
          <w:rFonts w:ascii="Times New Roman" w:hAnsi="Times New Roman" w:cs="Times New Roman"/>
          <w:sz w:val="24"/>
          <w:szCs w:val="24"/>
        </w:rPr>
        <w:t xml:space="preserve">. 22, 16–19. </w:t>
      </w:r>
    </w:p>
    <w:p w14:paraId="63EC80F7"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3720DE">
        <w:rPr>
          <w:rFonts w:ascii="Times New Roman" w:hAnsi="Times New Roman" w:cs="Times New Roman"/>
          <w:sz w:val="24"/>
          <w:szCs w:val="24"/>
        </w:rPr>
        <w:t>Dell’Ariccia</w:t>
      </w:r>
      <w:proofErr w:type="spellEnd"/>
      <w:r w:rsidRPr="003720DE">
        <w:rPr>
          <w:rFonts w:ascii="Times New Roman" w:hAnsi="Times New Roman" w:cs="Times New Roman"/>
          <w:sz w:val="24"/>
          <w:szCs w:val="24"/>
        </w:rPr>
        <w:t xml:space="preserve">, G., D. </w:t>
      </w:r>
      <w:proofErr w:type="spellStart"/>
      <w:r w:rsidRPr="003720DE">
        <w:rPr>
          <w:rFonts w:ascii="Times New Roman" w:hAnsi="Times New Roman" w:cs="Times New Roman"/>
          <w:sz w:val="24"/>
          <w:szCs w:val="24"/>
        </w:rPr>
        <w:t>Igan</w:t>
      </w:r>
      <w:proofErr w:type="spellEnd"/>
      <w:r w:rsidRPr="003720DE">
        <w:rPr>
          <w:rFonts w:ascii="Times New Roman" w:hAnsi="Times New Roman" w:cs="Times New Roman"/>
          <w:sz w:val="24"/>
          <w:szCs w:val="24"/>
        </w:rPr>
        <w:t xml:space="preserve">, and L. </w:t>
      </w:r>
      <w:proofErr w:type="spellStart"/>
      <w:r w:rsidRPr="003720DE">
        <w:rPr>
          <w:rFonts w:ascii="Times New Roman" w:hAnsi="Times New Roman" w:cs="Times New Roman"/>
          <w:sz w:val="24"/>
          <w:szCs w:val="24"/>
        </w:rPr>
        <w:t>Laeven</w:t>
      </w:r>
      <w:proofErr w:type="spellEnd"/>
      <w:r w:rsidRPr="003720DE">
        <w:rPr>
          <w:rFonts w:ascii="Times New Roman" w:hAnsi="Times New Roman" w:cs="Times New Roman"/>
          <w:sz w:val="24"/>
          <w:szCs w:val="24"/>
        </w:rPr>
        <w:t xml:space="preserve">, 2008, “Credit Booms and Lending Standards: Evidence from the Subprime Mortgage Market, (unpublished; Washington: International Monetary Fund) </w:t>
      </w:r>
    </w:p>
    <w:p w14:paraId="031C7254"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bCs/>
          <w:sz w:val="24"/>
          <w:szCs w:val="24"/>
        </w:rPr>
        <w:lastRenderedPageBreak/>
        <w:t xml:space="preserve">Dhesi G, Emambocus MAW, Shakeel MB. (2011). “Semi-Closed Simulated Stock Market: An Investigation of its Components”, </w:t>
      </w:r>
      <w:r w:rsidRPr="00D67E1E">
        <w:rPr>
          <w:rFonts w:ascii="Times New Roman" w:hAnsi="Times New Roman" w:cs="Times New Roman"/>
          <w:bCs/>
          <w:i/>
          <w:sz w:val="24"/>
          <w:szCs w:val="24"/>
        </w:rPr>
        <w:t xml:space="preserve">International Finance and Banking Society </w:t>
      </w:r>
      <w:r w:rsidRPr="00D67E1E">
        <w:rPr>
          <w:rFonts w:ascii="Times New Roman" w:hAnsi="Times New Roman" w:cs="Times New Roman"/>
          <w:bCs/>
          <w:sz w:val="24"/>
          <w:szCs w:val="24"/>
        </w:rPr>
        <w:t>(2011).</w:t>
      </w:r>
    </w:p>
    <w:p w14:paraId="755AB7E2" w14:textId="77777777" w:rsidR="003720DE" w:rsidRPr="005342F6" w:rsidRDefault="003720DE" w:rsidP="002C6D5C">
      <w:pPr>
        <w:pStyle w:val="NoSpacing"/>
        <w:numPr>
          <w:ilvl w:val="0"/>
          <w:numId w:val="11"/>
        </w:numPr>
        <w:rPr>
          <w:rFonts w:ascii="Times New Roman" w:hAnsi="Times New Roman" w:cs="Times New Roman"/>
          <w:bCs/>
          <w:sz w:val="24"/>
          <w:szCs w:val="24"/>
        </w:rPr>
      </w:pPr>
      <w:r w:rsidRPr="00D67E1E">
        <w:rPr>
          <w:rFonts w:ascii="Times New Roman" w:hAnsi="Times New Roman" w:cs="Times New Roman"/>
          <w:sz w:val="24"/>
          <w:szCs w:val="24"/>
        </w:rPr>
        <w:t>Dhesi G, Shakeel M, Xiao L. Modified Brownian Motion Approach to Modelling Returns Distribution</w:t>
      </w:r>
      <w:r w:rsidRPr="00D67E1E">
        <w:rPr>
          <w:rFonts w:ascii="Times New Roman" w:hAnsi="Times New Roman" w:cs="Times New Roman"/>
          <w:b/>
          <w:bCs/>
          <w:sz w:val="24"/>
          <w:szCs w:val="24"/>
        </w:rPr>
        <w:t xml:space="preserve">, </w:t>
      </w:r>
      <w:r w:rsidRPr="00D67E1E">
        <w:rPr>
          <w:rFonts w:ascii="Times New Roman" w:hAnsi="Times New Roman" w:cs="Times New Roman"/>
          <w:i/>
          <w:iCs/>
          <w:sz w:val="24"/>
          <w:szCs w:val="24"/>
        </w:rPr>
        <w:t>Wilmott Magazine</w:t>
      </w:r>
      <w:r w:rsidRPr="00D67E1E">
        <w:rPr>
          <w:rFonts w:ascii="Times New Roman" w:hAnsi="Times New Roman" w:cs="Times New Roman"/>
          <w:sz w:val="24"/>
          <w:szCs w:val="24"/>
        </w:rPr>
        <w:t xml:space="preserve"> (March,2016) (can also be found on </w:t>
      </w:r>
      <w:proofErr w:type="spellStart"/>
      <w:r w:rsidRPr="00D67E1E">
        <w:rPr>
          <w:rFonts w:ascii="Times New Roman" w:hAnsi="Times New Roman" w:cs="Times New Roman"/>
          <w:sz w:val="24"/>
          <w:szCs w:val="24"/>
        </w:rPr>
        <w:t>arxiv</w:t>
      </w:r>
      <w:proofErr w:type="spellEnd"/>
      <w:r w:rsidRPr="00D67E1E">
        <w:rPr>
          <w:rFonts w:ascii="Times New Roman" w:hAnsi="Times New Roman" w:cs="Times New Roman"/>
          <w:sz w:val="24"/>
          <w:szCs w:val="24"/>
        </w:rPr>
        <w:t xml:space="preserve"> 1507.02203.</w:t>
      </w:r>
    </w:p>
    <w:p w14:paraId="344D6239" w14:textId="77777777" w:rsidR="003720DE" w:rsidRPr="005342F6" w:rsidRDefault="003720DE" w:rsidP="005342F6">
      <w:pPr>
        <w:pStyle w:val="NoSpacing"/>
        <w:numPr>
          <w:ilvl w:val="0"/>
          <w:numId w:val="11"/>
        </w:numPr>
        <w:rPr>
          <w:rFonts w:ascii="Times New Roman" w:hAnsi="Times New Roman" w:cs="Times New Roman"/>
          <w:bCs/>
          <w:sz w:val="24"/>
          <w:szCs w:val="24"/>
        </w:rPr>
      </w:pPr>
      <w:r w:rsidRPr="005342F6">
        <w:rPr>
          <w:rFonts w:ascii="Times New Roman" w:hAnsi="Times New Roman" w:cs="Times New Roman"/>
          <w:color w:val="000000"/>
          <w:sz w:val="24"/>
          <w:szCs w:val="24"/>
          <w:shd w:val="clear" w:color="auto" w:fill="FFFFFF"/>
        </w:rPr>
        <w:t xml:space="preserve">Dhesi, G., Shakeel, B. and </w:t>
      </w:r>
      <w:proofErr w:type="spellStart"/>
      <w:r w:rsidRPr="005342F6">
        <w:rPr>
          <w:rFonts w:ascii="Times New Roman" w:hAnsi="Times New Roman" w:cs="Times New Roman"/>
          <w:color w:val="000000"/>
          <w:sz w:val="24"/>
          <w:szCs w:val="24"/>
          <w:shd w:val="clear" w:color="auto" w:fill="FFFFFF"/>
        </w:rPr>
        <w:t>Ausloos</w:t>
      </w:r>
      <w:proofErr w:type="spellEnd"/>
      <w:r w:rsidRPr="005342F6">
        <w:rPr>
          <w:rFonts w:ascii="Times New Roman" w:hAnsi="Times New Roman" w:cs="Times New Roman"/>
          <w:color w:val="000000"/>
          <w:sz w:val="24"/>
          <w:szCs w:val="24"/>
          <w:shd w:val="clear" w:color="auto" w:fill="FFFFFF"/>
        </w:rPr>
        <w:t>, M., 2019. Modelling and forecasting the kurtosis and returns distributions of financial markets: irrational fractional Brownian motion model approach. </w:t>
      </w:r>
      <w:r w:rsidRPr="005342F6">
        <w:rPr>
          <w:rFonts w:ascii="Times New Roman" w:hAnsi="Times New Roman" w:cs="Times New Roman"/>
          <w:i/>
          <w:iCs/>
          <w:color w:val="000000"/>
          <w:sz w:val="24"/>
          <w:szCs w:val="24"/>
          <w:shd w:val="clear" w:color="auto" w:fill="FFFFFF"/>
        </w:rPr>
        <w:t>Annals of Operations Research</w:t>
      </w:r>
      <w:r w:rsidRPr="005342F6">
        <w:rPr>
          <w:rFonts w:ascii="Times New Roman" w:hAnsi="Times New Roman" w:cs="Times New Roman"/>
          <w:color w:val="000000"/>
          <w:sz w:val="24"/>
          <w:szCs w:val="24"/>
          <w:shd w:val="clear" w:color="auto" w:fill="FFFFFF"/>
        </w:rPr>
        <w:t>, 299(1-2), pp.1397-1410.</w:t>
      </w:r>
    </w:p>
    <w:p w14:paraId="17BDFEB3"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Ding, Z. and Granger, C.W., 1996. Modelling volatility persistence of speculative returns: a new approach. Journal of econometrics, 73(1), pp.185-215.</w:t>
      </w:r>
    </w:p>
    <w:p w14:paraId="6EE0D245"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Ding, Z., Granger, C, Engle, R., (1993). A long memory property of stock market returns and a new model. Journal of Empirical Finance 1, 83-106.</w:t>
      </w:r>
    </w:p>
    <w:p w14:paraId="41EF9894"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Ding, Z., Granger, C. W. J., (1996). </w:t>
      </w:r>
      <w:proofErr w:type="spellStart"/>
      <w:r w:rsidRPr="00B85D78">
        <w:rPr>
          <w:rFonts w:ascii="Times New Roman" w:hAnsi="Times New Roman" w:cs="Times New Roman"/>
          <w:sz w:val="24"/>
          <w:szCs w:val="24"/>
        </w:rPr>
        <w:t>Modeling</w:t>
      </w:r>
      <w:proofErr w:type="spellEnd"/>
      <w:r w:rsidRPr="00B85D78">
        <w:rPr>
          <w:rFonts w:ascii="Times New Roman" w:hAnsi="Times New Roman" w:cs="Times New Roman"/>
          <w:sz w:val="24"/>
          <w:szCs w:val="24"/>
        </w:rPr>
        <w:t xml:space="preserve"> volatility persistence of speculative returns: a new approach, Journal of Econometrics, 73, 185-215.</w:t>
      </w:r>
    </w:p>
    <w:p w14:paraId="1FBD34D1"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Ding, Z., Granger, C. W. J., (1996). Modelling volatility persistence of speculative returns: a new approach, Journal of Econometrics, 73, 185-215.</w:t>
      </w:r>
    </w:p>
    <w:p w14:paraId="38A0019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Ding, Z., Granger, C.W.J., Engle, R.F., 1993. A long memory property of stock market returns and a new model</w:t>
      </w:r>
      <w:r w:rsidRPr="00D67E1E">
        <w:rPr>
          <w:rFonts w:ascii="Times New Roman" w:hAnsi="Times New Roman" w:cs="Times New Roman"/>
          <w:i/>
          <w:iCs/>
          <w:sz w:val="24"/>
          <w:szCs w:val="24"/>
        </w:rPr>
        <w:t>. J. Empirical Finance</w:t>
      </w:r>
      <w:r w:rsidRPr="00D67E1E">
        <w:rPr>
          <w:rFonts w:ascii="Times New Roman" w:hAnsi="Times New Roman" w:cs="Times New Roman"/>
          <w:sz w:val="24"/>
          <w:szCs w:val="24"/>
        </w:rPr>
        <w:t xml:space="preserve"> 1, 83–106. </w:t>
      </w:r>
    </w:p>
    <w:p w14:paraId="6D6A5C51"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Dornbusch, R., Y.C. Park, and S. </w:t>
      </w:r>
      <w:proofErr w:type="spellStart"/>
      <w:r w:rsidRPr="003720DE">
        <w:rPr>
          <w:rFonts w:ascii="Times New Roman" w:hAnsi="Times New Roman" w:cs="Times New Roman"/>
          <w:sz w:val="24"/>
          <w:szCs w:val="24"/>
        </w:rPr>
        <w:t>Claessens</w:t>
      </w:r>
      <w:proofErr w:type="spellEnd"/>
      <w:r w:rsidRPr="003720DE">
        <w:rPr>
          <w:rFonts w:ascii="Times New Roman" w:hAnsi="Times New Roman" w:cs="Times New Roman"/>
          <w:sz w:val="24"/>
          <w:szCs w:val="24"/>
        </w:rPr>
        <w:t xml:space="preserve">, 2000, “Contagion: How it Spreads and How it can be Stopped,” World Bank Research Observer, 15, pp. 177–97. </w:t>
      </w:r>
    </w:p>
    <w:p w14:paraId="2464746E"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Dungey, M., R. Fry, B. González-Hermosillo, and V. Martin, 2005, “Empirical </w:t>
      </w:r>
      <w:proofErr w:type="spellStart"/>
      <w:r w:rsidRPr="003720DE">
        <w:rPr>
          <w:rFonts w:ascii="Times New Roman" w:hAnsi="Times New Roman" w:cs="Times New Roman"/>
          <w:sz w:val="24"/>
          <w:szCs w:val="24"/>
        </w:rPr>
        <w:t>Modeling</w:t>
      </w:r>
      <w:proofErr w:type="spellEnd"/>
      <w:r w:rsidRPr="003720DE">
        <w:rPr>
          <w:rFonts w:ascii="Times New Roman" w:hAnsi="Times New Roman" w:cs="Times New Roman"/>
          <w:sz w:val="24"/>
          <w:szCs w:val="24"/>
        </w:rPr>
        <w:t xml:space="preserve"> of Contagion: A Review of Methodologies,” Quantitative Finance, Vol. 5, pp. 9–24.</w:t>
      </w:r>
    </w:p>
    <w:p w14:paraId="3CD3741B"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Dungey, M., R. Fry, B. González-Hermosillo, and V. Martin, 2006, “Contagion in International Bond Markets during the Russian and LTCM Crises,” Journal of Financial Stability, Vol. 2, pp. 1–27. </w:t>
      </w:r>
    </w:p>
    <w:p w14:paraId="171A08FA" w14:textId="77777777" w:rsidR="003720DE" w:rsidRPr="00D67E1E" w:rsidRDefault="003720DE" w:rsidP="002C6D5C">
      <w:pPr>
        <w:pStyle w:val="NoSpacing"/>
        <w:numPr>
          <w:ilvl w:val="0"/>
          <w:numId w:val="11"/>
        </w:numPr>
        <w:rPr>
          <w:rFonts w:ascii="Times New Roman" w:hAnsi="Times New Roman" w:cs="Times New Roman"/>
          <w:color w:val="000000" w:themeColor="text1"/>
          <w:sz w:val="24"/>
          <w:szCs w:val="24"/>
        </w:rPr>
      </w:pPr>
      <w:r w:rsidRPr="00D67E1E">
        <w:rPr>
          <w:rFonts w:ascii="Times New Roman" w:hAnsi="Times New Roman" w:cs="Times New Roman"/>
          <w:sz w:val="24"/>
          <w:szCs w:val="24"/>
        </w:rPr>
        <w:t>Emambocus MAW, Dhesi G. (2010). “Bubble and Burst: A Psychoanalytic Perspective on Financial Instability”. Global Economy and Finance Journal 2010; 3.</w:t>
      </w:r>
    </w:p>
    <w:p w14:paraId="5CD71824"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Engel, R. F. and Ng, V. K. (1993) Measuring and testing the impact of news on volatility, </w:t>
      </w:r>
      <w:r w:rsidRPr="00D67E1E">
        <w:rPr>
          <w:rFonts w:ascii="Times New Roman" w:hAnsi="Times New Roman" w:cs="Times New Roman"/>
          <w:i/>
          <w:iCs/>
          <w:sz w:val="24"/>
          <w:szCs w:val="24"/>
        </w:rPr>
        <w:t>The Journal of Finance</w:t>
      </w:r>
      <w:r w:rsidRPr="00D67E1E">
        <w:rPr>
          <w:rFonts w:ascii="Times New Roman" w:hAnsi="Times New Roman" w:cs="Times New Roman"/>
          <w:sz w:val="24"/>
          <w:szCs w:val="24"/>
        </w:rPr>
        <w:t xml:space="preserve">. 48, 1749–1778. </w:t>
      </w:r>
    </w:p>
    <w:p w14:paraId="42C5F532"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Engel, R. F., Ng, V. K. and Rothschild, M. (1990) Asset pricing with a factor ARCH covariance structure: Empirical estimates for treasury bills, </w:t>
      </w:r>
      <w:r w:rsidRPr="00D67E1E">
        <w:rPr>
          <w:rFonts w:ascii="Times New Roman" w:hAnsi="Times New Roman" w:cs="Times New Roman"/>
          <w:i/>
          <w:iCs/>
          <w:sz w:val="24"/>
          <w:szCs w:val="24"/>
        </w:rPr>
        <w:t xml:space="preserve">Journal of Econometrics. </w:t>
      </w:r>
      <w:r w:rsidRPr="00D67E1E">
        <w:rPr>
          <w:rFonts w:ascii="Times New Roman" w:hAnsi="Times New Roman" w:cs="Times New Roman"/>
          <w:sz w:val="24"/>
          <w:szCs w:val="24"/>
        </w:rPr>
        <w:t xml:space="preserve">45, 213–238. </w:t>
      </w:r>
    </w:p>
    <w:p w14:paraId="3F5C4A05"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color w:val="000000" w:themeColor="text1"/>
          <w:sz w:val="24"/>
          <w:szCs w:val="24"/>
        </w:rPr>
        <w:t>Engle RF. (1982). “</w:t>
      </w:r>
      <w:r w:rsidRPr="00D67E1E">
        <w:rPr>
          <w:rFonts w:ascii="Times New Roman" w:hAnsi="Times New Roman" w:cs="Times New Roman"/>
          <w:sz w:val="24"/>
          <w:szCs w:val="24"/>
        </w:rPr>
        <w:t xml:space="preserve">Autoregressive conditional heteroscedasticity with estimates of the variance of United Kingdom inflation”.  </w:t>
      </w:r>
      <w:proofErr w:type="spellStart"/>
      <w:r w:rsidRPr="00D67E1E">
        <w:rPr>
          <w:rFonts w:ascii="Times New Roman" w:hAnsi="Times New Roman" w:cs="Times New Roman"/>
          <w:sz w:val="24"/>
          <w:szCs w:val="24"/>
        </w:rPr>
        <w:t>Econometrica</w:t>
      </w:r>
      <w:proofErr w:type="spellEnd"/>
      <w:r w:rsidRPr="00D67E1E">
        <w:rPr>
          <w:rFonts w:ascii="Times New Roman" w:hAnsi="Times New Roman" w:cs="Times New Roman"/>
          <w:sz w:val="24"/>
          <w:szCs w:val="24"/>
        </w:rPr>
        <w:t xml:space="preserve"> 1982; 50:987—1007.</w:t>
      </w:r>
    </w:p>
    <w:p w14:paraId="529066E6"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Engle, R. 2002, “Dynamic Conditional Correlation: A Simple Class of Multivariate Generalized Autoregressive Conditional Heteroskedasticity Models,” Journal of Business &amp; Economic Statistics, Vol. 20, pp. 339–50. </w:t>
      </w:r>
    </w:p>
    <w:p w14:paraId="08C87188"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Engle, R. and Rangel, J., (2008). The Spline-GARCH model for low-frequency volatility and its global macroeconomic causes, Review of Financial Studies 21, 1187-1222.</w:t>
      </w:r>
    </w:p>
    <w:p w14:paraId="0CB81812"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Engle, R. and Rangel, J., (2008). The Spline-GARCH model for low-frequency volatility and its global macroeconomic causes, Review of Financial Studies 21, 1187-1222.</w:t>
      </w:r>
    </w:p>
    <w:p w14:paraId="0D801DB8"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lastRenderedPageBreak/>
        <w:t xml:space="preserve">Engle, R. F. (1982) Autoregressive conditional heteroscedasticity with estimates of the variance of United Kingdom inflation, </w:t>
      </w:r>
      <w:proofErr w:type="spellStart"/>
      <w:r w:rsidRPr="00D67E1E">
        <w:rPr>
          <w:rFonts w:ascii="Times New Roman" w:hAnsi="Times New Roman" w:cs="Times New Roman"/>
          <w:i/>
          <w:iCs/>
          <w:sz w:val="24"/>
          <w:szCs w:val="24"/>
        </w:rPr>
        <w:t>Econometrica</w:t>
      </w:r>
      <w:proofErr w:type="spellEnd"/>
      <w:r w:rsidRPr="00D67E1E">
        <w:rPr>
          <w:rFonts w:ascii="Times New Roman" w:hAnsi="Times New Roman" w:cs="Times New Roman"/>
          <w:sz w:val="24"/>
          <w:szCs w:val="24"/>
        </w:rPr>
        <w:t xml:space="preserve">. 50, 987–1008. </w:t>
      </w:r>
    </w:p>
    <w:p w14:paraId="0700D1A5"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Engle, R. F. and Kroner, K. F. (1995) Multivariate simultaneous generalized ARCH, </w:t>
      </w:r>
      <w:r w:rsidRPr="00D67E1E">
        <w:rPr>
          <w:rFonts w:ascii="Times New Roman" w:hAnsi="Times New Roman" w:cs="Times New Roman"/>
          <w:i/>
          <w:iCs/>
          <w:sz w:val="24"/>
          <w:szCs w:val="24"/>
        </w:rPr>
        <w:t>Econometric Theory</w:t>
      </w:r>
      <w:r w:rsidRPr="00D67E1E">
        <w:rPr>
          <w:rFonts w:ascii="Times New Roman" w:hAnsi="Times New Roman" w:cs="Times New Roman"/>
          <w:sz w:val="24"/>
          <w:szCs w:val="24"/>
        </w:rPr>
        <w:t xml:space="preserve">. 11, 122–150. </w:t>
      </w:r>
    </w:p>
    <w:p w14:paraId="45776A74"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 xml:space="preserve">Engle, R., and Lee, G., (1999). A permanent and transitory component model of stock return volatility, in Robert F. Engle and Halbert L. White, ed.: Cointegration, Causality, and Forecasting: A Festschrift in </w:t>
      </w:r>
      <w:proofErr w:type="spellStart"/>
      <w:r w:rsidRPr="00B85D78">
        <w:t>Honor</w:t>
      </w:r>
      <w:proofErr w:type="spellEnd"/>
      <w:r w:rsidRPr="00B85D78">
        <w:t xml:space="preserve"> of Clive W J. Granger, New York: Oxford University Press.</w:t>
      </w:r>
    </w:p>
    <w:p w14:paraId="113BB0DF"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Engle, R., and Lee, G., (1999). A permanent and transitory component model of stock return volatility, in Robert F. Engle and Halbert L. White, ed.: Cointegration, Causality, and Forecasting: A Festschrift in </w:t>
      </w:r>
      <w:proofErr w:type="spellStart"/>
      <w:r w:rsidRPr="00B85D78">
        <w:rPr>
          <w:rFonts w:ascii="Times New Roman" w:hAnsi="Times New Roman" w:cs="Times New Roman"/>
          <w:sz w:val="24"/>
          <w:szCs w:val="24"/>
        </w:rPr>
        <w:t>Honor</w:t>
      </w:r>
      <w:proofErr w:type="spellEnd"/>
      <w:r w:rsidRPr="00B85D78">
        <w:rPr>
          <w:rFonts w:ascii="Times New Roman" w:hAnsi="Times New Roman" w:cs="Times New Roman"/>
          <w:sz w:val="24"/>
          <w:szCs w:val="24"/>
        </w:rPr>
        <w:t xml:space="preserve"> of Clive W J. Granger, New York: Oxford University Press.</w:t>
      </w:r>
    </w:p>
    <w:p w14:paraId="39FD0E7D"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 xml:space="preserve">Engle, R., E., </w:t>
      </w:r>
      <w:proofErr w:type="spellStart"/>
      <w:r w:rsidRPr="00B85D78">
        <w:t>Sokalska</w:t>
      </w:r>
      <w:proofErr w:type="spellEnd"/>
      <w:r w:rsidRPr="00B85D78">
        <w:t>, M. E., and Chanda, (2006). Forecasting intraday volatility in the US equity market - Multiplicative Component GARCH, Unpublished manuscript, USCD.</w:t>
      </w:r>
    </w:p>
    <w:p w14:paraId="3C21A315" w14:textId="2C3A3563"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Engle, R., E., </w:t>
      </w:r>
      <w:proofErr w:type="spellStart"/>
      <w:r w:rsidRPr="00B85D78">
        <w:rPr>
          <w:rFonts w:ascii="Times New Roman" w:hAnsi="Times New Roman" w:cs="Times New Roman"/>
          <w:sz w:val="24"/>
          <w:szCs w:val="24"/>
        </w:rPr>
        <w:t>Sokalska</w:t>
      </w:r>
      <w:proofErr w:type="spellEnd"/>
      <w:r w:rsidRPr="00B85D78">
        <w:rPr>
          <w:rFonts w:ascii="Times New Roman" w:hAnsi="Times New Roman" w:cs="Times New Roman"/>
          <w:sz w:val="24"/>
          <w:szCs w:val="24"/>
        </w:rPr>
        <w:t>, M. E., and Chanda., (2006). Forecasting intraday volatility in the US equity market - Multiplicative Component GARCH, Unpublished manuscript, USCD.</w:t>
      </w:r>
    </w:p>
    <w:p w14:paraId="717A3604"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Engle, R.F. and Lee, G., 1999. A long-run and short-run component model of stock return volatility. Cointegration, Causality, and Forecasting: A Festschrift in Honour of Clive WJ Granger, pp.475-497.</w:t>
      </w:r>
    </w:p>
    <w:p w14:paraId="78772C0A"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Engle, R.F. and Ng, V.K., 1993. Measuring and testing the impact of news on volatility. The journal of finance, 48(5), pp.1749-1778.</w:t>
      </w:r>
    </w:p>
    <w:p w14:paraId="0EE16DC0"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Engle, R.F., </w:t>
      </w:r>
      <w:proofErr w:type="spellStart"/>
      <w:r w:rsidRPr="00D67E1E">
        <w:rPr>
          <w:rFonts w:ascii="Times New Roman" w:hAnsi="Times New Roman" w:cs="Times New Roman"/>
          <w:sz w:val="24"/>
          <w:szCs w:val="24"/>
        </w:rPr>
        <w:t>Lilien</w:t>
      </w:r>
      <w:proofErr w:type="spellEnd"/>
      <w:r w:rsidRPr="00D67E1E">
        <w:rPr>
          <w:rFonts w:ascii="Times New Roman" w:hAnsi="Times New Roman" w:cs="Times New Roman"/>
          <w:sz w:val="24"/>
          <w:szCs w:val="24"/>
        </w:rPr>
        <w:t>, D.M. and Robins, R.P., 1987. Estimating time varying risk premia in the term structure: The ARCH-M model. </w:t>
      </w:r>
      <w:proofErr w:type="spellStart"/>
      <w:r w:rsidRPr="00D67E1E">
        <w:rPr>
          <w:rFonts w:ascii="Times New Roman" w:hAnsi="Times New Roman" w:cs="Times New Roman"/>
          <w:sz w:val="24"/>
          <w:szCs w:val="24"/>
        </w:rPr>
        <w:t>Econometrica</w:t>
      </w:r>
      <w:proofErr w:type="spellEnd"/>
      <w:r w:rsidRPr="00D67E1E">
        <w:rPr>
          <w:rFonts w:ascii="Times New Roman" w:hAnsi="Times New Roman" w:cs="Times New Roman"/>
          <w:sz w:val="24"/>
          <w:szCs w:val="24"/>
        </w:rPr>
        <w:t>: journal of the Econometric Society, pp.391-407.</w:t>
      </w:r>
    </w:p>
    <w:p w14:paraId="793C2ACD"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Federal Reserve Bank of Dallas, 2008, Economic Letter, “Fed Intervention: Managing</w:t>
      </w:r>
    </w:p>
    <w:p w14:paraId="1442E254"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lang w:val="en-US"/>
        </w:rPr>
        <w:t>Fernandez, C.  and   Steel, M. F. (1988).  “On Bayesian modeling of fat tails and skewness”. Journal of the American Statistical Association, 93(441), 359-371</w:t>
      </w:r>
      <w:r w:rsidRPr="00D67E1E">
        <w:rPr>
          <w:rFonts w:ascii="Times New Roman" w:hAnsi="Times New Roman" w:cs="Times New Roman"/>
          <w:sz w:val="24"/>
          <w:szCs w:val="24"/>
        </w:rPr>
        <w:t>.</w:t>
      </w:r>
    </w:p>
    <w:p w14:paraId="64F15AB3" w14:textId="77777777" w:rsidR="003720DE" w:rsidRPr="00D67E1E" w:rsidRDefault="003720DE" w:rsidP="002C6D5C">
      <w:pPr>
        <w:pStyle w:val="NoSpacing"/>
        <w:numPr>
          <w:ilvl w:val="0"/>
          <w:numId w:val="11"/>
        </w:numPr>
        <w:rPr>
          <w:rFonts w:ascii="Times New Roman" w:hAnsi="Times New Roman" w:cs="Times New Roman"/>
          <w:sz w:val="24"/>
          <w:szCs w:val="24"/>
          <w:lang w:val="en-US"/>
        </w:rPr>
      </w:pPr>
      <w:r w:rsidRPr="00D67E1E">
        <w:rPr>
          <w:rFonts w:ascii="Times New Roman" w:hAnsi="Times New Roman" w:cs="Times New Roman"/>
          <w:sz w:val="24"/>
          <w:szCs w:val="24"/>
        </w:rPr>
        <w:t xml:space="preserve">Fernandez, C., </w:t>
      </w:r>
      <w:proofErr w:type="spellStart"/>
      <w:r w:rsidRPr="00D67E1E">
        <w:rPr>
          <w:rFonts w:ascii="Times New Roman" w:hAnsi="Times New Roman" w:cs="Times New Roman"/>
          <w:sz w:val="24"/>
          <w:szCs w:val="24"/>
        </w:rPr>
        <w:t>Osiewalski</w:t>
      </w:r>
      <w:proofErr w:type="spellEnd"/>
      <w:r w:rsidRPr="00D67E1E">
        <w:rPr>
          <w:rFonts w:ascii="Times New Roman" w:hAnsi="Times New Roman" w:cs="Times New Roman"/>
          <w:sz w:val="24"/>
          <w:szCs w:val="24"/>
        </w:rPr>
        <w:t>, J, and Steel, M. F. J. (1995). “</w:t>
      </w:r>
      <w:proofErr w:type="spellStart"/>
      <w:r w:rsidRPr="00D67E1E">
        <w:rPr>
          <w:rFonts w:ascii="Times New Roman" w:hAnsi="Times New Roman" w:cs="Times New Roman"/>
          <w:sz w:val="24"/>
          <w:szCs w:val="24"/>
        </w:rPr>
        <w:t>Modeling</w:t>
      </w:r>
      <w:proofErr w:type="spellEnd"/>
      <w:r w:rsidRPr="00D67E1E">
        <w:rPr>
          <w:rFonts w:ascii="Times New Roman" w:hAnsi="Times New Roman" w:cs="Times New Roman"/>
          <w:sz w:val="24"/>
          <w:szCs w:val="24"/>
        </w:rPr>
        <w:t xml:space="preserve"> and inference with v-spherical distributions”. Journal of the American Statistical Association, 90, 1331-1340. </w:t>
      </w:r>
    </w:p>
    <w:p w14:paraId="1A3168FC"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Ferreira, J. T. A. S. and Steel, M. F. J. (2006). “A constructive representation of univariate skewed distributions”. Journal of the American Statistical Association, 101, 823–829. </w:t>
      </w:r>
    </w:p>
    <w:p w14:paraId="74954ADC"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rPr>
      </w:pPr>
      <w:r w:rsidRPr="003720DE">
        <w:rPr>
          <w:rFonts w:ascii="Times New Roman" w:hAnsi="Times New Roman" w:cs="Times New Roman"/>
          <w:sz w:val="24"/>
          <w:szCs w:val="24"/>
        </w:rPr>
        <w:t xml:space="preserve">Forbes, K., and R. </w:t>
      </w:r>
      <w:proofErr w:type="spellStart"/>
      <w:r w:rsidRPr="003720DE">
        <w:rPr>
          <w:rFonts w:ascii="Times New Roman" w:hAnsi="Times New Roman" w:cs="Times New Roman"/>
          <w:sz w:val="24"/>
          <w:szCs w:val="24"/>
        </w:rPr>
        <w:t>Rigobon</w:t>
      </w:r>
      <w:proofErr w:type="spellEnd"/>
      <w:r w:rsidRPr="003720DE">
        <w:rPr>
          <w:rFonts w:ascii="Times New Roman" w:hAnsi="Times New Roman" w:cs="Times New Roman"/>
          <w:sz w:val="24"/>
          <w:szCs w:val="24"/>
        </w:rPr>
        <w:t xml:space="preserve">, 2002, “No Contagion, Only Interdependence: Measuring Stock Market Co-movements,” Journal of Finance, Vol. 57, No. 5, pp. 2223–61. </w:t>
      </w:r>
    </w:p>
    <w:p w14:paraId="1E65C66C"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Fornari</w:t>
      </w:r>
      <w:proofErr w:type="spellEnd"/>
      <w:r w:rsidRPr="00D67E1E">
        <w:rPr>
          <w:rFonts w:ascii="Times New Roman" w:hAnsi="Times New Roman" w:cs="Times New Roman"/>
          <w:sz w:val="24"/>
          <w:szCs w:val="24"/>
        </w:rPr>
        <w:t xml:space="preserve">, F. and Mele, A. (1996) Modelling the changing asymmetry of conditional variances, </w:t>
      </w:r>
      <w:r w:rsidRPr="00D67E1E">
        <w:rPr>
          <w:rFonts w:ascii="Times New Roman" w:hAnsi="Times New Roman" w:cs="Times New Roman"/>
          <w:i/>
          <w:iCs/>
          <w:sz w:val="24"/>
          <w:szCs w:val="24"/>
        </w:rPr>
        <w:t>Economics Letters</w:t>
      </w:r>
      <w:r w:rsidRPr="00D67E1E">
        <w:rPr>
          <w:rFonts w:ascii="Times New Roman" w:hAnsi="Times New Roman" w:cs="Times New Roman"/>
          <w:sz w:val="24"/>
          <w:szCs w:val="24"/>
        </w:rPr>
        <w:t>. 50, 197–203.</w:t>
      </w:r>
    </w:p>
    <w:p w14:paraId="4179D14F"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Fornari</w:t>
      </w:r>
      <w:proofErr w:type="spellEnd"/>
      <w:r w:rsidRPr="00D67E1E">
        <w:rPr>
          <w:rFonts w:ascii="Times New Roman" w:hAnsi="Times New Roman" w:cs="Times New Roman"/>
          <w:sz w:val="24"/>
          <w:szCs w:val="24"/>
        </w:rPr>
        <w:t xml:space="preserve">, F. and Mele, A. (1997) Sign- and volatility-switching ARCH model: Theory and applications to international stock markets, </w:t>
      </w:r>
      <w:r w:rsidRPr="00D67E1E">
        <w:rPr>
          <w:rFonts w:ascii="Times New Roman" w:hAnsi="Times New Roman" w:cs="Times New Roman"/>
          <w:i/>
          <w:iCs/>
          <w:sz w:val="24"/>
          <w:szCs w:val="24"/>
        </w:rPr>
        <w:t>Journal of Applied Econometrics</w:t>
      </w:r>
      <w:r w:rsidRPr="00D67E1E">
        <w:rPr>
          <w:rFonts w:ascii="Times New Roman" w:hAnsi="Times New Roman" w:cs="Times New Roman"/>
          <w:sz w:val="24"/>
          <w:szCs w:val="24"/>
        </w:rPr>
        <w:t xml:space="preserve">. 12, 49–65. </w:t>
      </w:r>
    </w:p>
    <w:p w14:paraId="795FA6C0" w14:textId="77777777" w:rsidR="003720DE" w:rsidRPr="003720DE" w:rsidRDefault="003720DE" w:rsidP="003720DE">
      <w:pPr>
        <w:pStyle w:val="ListParagraph"/>
        <w:numPr>
          <w:ilvl w:val="0"/>
          <w:numId w:val="11"/>
        </w:numPr>
        <w:spacing w:line="240" w:lineRule="auto"/>
        <w:rPr>
          <w:rFonts w:ascii="Times New Roman" w:hAnsi="Times New Roman" w:cs="Times New Roman"/>
          <w:sz w:val="24"/>
          <w:szCs w:val="24"/>
          <w:shd w:val="clear" w:color="auto" w:fill="FFFFFF"/>
        </w:rPr>
      </w:pPr>
      <w:proofErr w:type="spellStart"/>
      <w:r w:rsidRPr="003720DE">
        <w:rPr>
          <w:rFonts w:ascii="Times New Roman" w:hAnsi="Times New Roman" w:cs="Times New Roman"/>
          <w:sz w:val="24"/>
          <w:szCs w:val="24"/>
          <w:shd w:val="clear" w:color="auto" w:fill="FFFFFF"/>
        </w:rPr>
        <w:t>Francq</w:t>
      </w:r>
      <w:proofErr w:type="spellEnd"/>
      <w:r w:rsidRPr="003720DE">
        <w:rPr>
          <w:rFonts w:ascii="Times New Roman" w:hAnsi="Times New Roman" w:cs="Times New Roman"/>
          <w:sz w:val="24"/>
          <w:szCs w:val="24"/>
          <w:shd w:val="clear" w:color="auto" w:fill="FFFFFF"/>
        </w:rPr>
        <w:t xml:space="preserve">, C., &amp; </w:t>
      </w:r>
      <w:proofErr w:type="spellStart"/>
      <w:r w:rsidRPr="003720DE">
        <w:rPr>
          <w:rFonts w:ascii="Times New Roman" w:hAnsi="Times New Roman" w:cs="Times New Roman"/>
          <w:sz w:val="24"/>
          <w:szCs w:val="24"/>
          <w:shd w:val="clear" w:color="auto" w:fill="FFFFFF"/>
        </w:rPr>
        <w:t>Zakoian</w:t>
      </w:r>
      <w:proofErr w:type="spellEnd"/>
      <w:r w:rsidRPr="003720DE">
        <w:rPr>
          <w:rFonts w:ascii="Times New Roman" w:hAnsi="Times New Roman" w:cs="Times New Roman"/>
          <w:sz w:val="24"/>
          <w:szCs w:val="24"/>
          <w:shd w:val="clear" w:color="auto" w:fill="FFFFFF"/>
        </w:rPr>
        <w:t>, J. M. (2019). </w:t>
      </w:r>
      <w:r w:rsidRPr="003720DE">
        <w:rPr>
          <w:rStyle w:val="italica"/>
          <w:rFonts w:ascii="Times New Roman" w:hAnsi="Times New Roman" w:cs="Times New Roman"/>
          <w:i/>
          <w:iCs/>
          <w:sz w:val="24"/>
          <w:szCs w:val="24"/>
          <w:shd w:val="clear" w:color="auto" w:fill="FFFFFF"/>
        </w:rPr>
        <w:t>GARCH models: Structure, statistical inference and financial applications</w:t>
      </w:r>
      <w:r w:rsidRPr="003720DE">
        <w:rPr>
          <w:rFonts w:ascii="Times New Roman" w:hAnsi="Times New Roman" w:cs="Times New Roman"/>
          <w:sz w:val="24"/>
          <w:szCs w:val="24"/>
          <w:shd w:val="clear" w:color="auto" w:fill="FFFFFF"/>
        </w:rPr>
        <w:t>. Hoboken, NJ: John Wiley &amp; Sons.</w:t>
      </w:r>
    </w:p>
    <w:p w14:paraId="658D18E5"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lastRenderedPageBreak/>
        <w:t>Fuller, W. A., (1995). Introduction to Statistical Time Series, 2nd Ed, New York: Wiley</w:t>
      </w:r>
    </w:p>
    <w:p w14:paraId="710100D9"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Fuller, W. A., (1995). Introduction to Statistical Time Series, 2nd Ed, New York: Wiley.</w:t>
      </w:r>
    </w:p>
    <w:p w14:paraId="4E8A881B" w14:textId="77777777" w:rsidR="003720DE" w:rsidRPr="00D67E1E" w:rsidRDefault="003720DE" w:rsidP="00D67E1E">
      <w:pPr>
        <w:pStyle w:val="NoSpacing"/>
        <w:numPr>
          <w:ilvl w:val="0"/>
          <w:numId w:val="11"/>
        </w:numPr>
        <w:rPr>
          <w:rFonts w:ascii="Times New Roman" w:hAnsi="Times New Roman" w:cs="Times New Roman"/>
          <w:i/>
          <w:sz w:val="24"/>
          <w:szCs w:val="24"/>
        </w:rPr>
      </w:pPr>
      <w:proofErr w:type="spellStart"/>
      <w:proofErr w:type="gramStart"/>
      <w:r w:rsidRPr="00D67E1E">
        <w:rPr>
          <w:rFonts w:ascii="Times New Roman" w:hAnsi="Times New Roman" w:cs="Times New Roman"/>
          <w:sz w:val="24"/>
          <w:szCs w:val="24"/>
        </w:rPr>
        <w:t>Gajda,J</w:t>
      </w:r>
      <w:proofErr w:type="spellEnd"/>
      <w:r w:rsidRPr="00D67E1E">
        <w:rPr>
          <w:rFonts w:ascii="Times New Roman" w:hAnsi="Times New Roman" w:cs="Times New Roman"/>
          <w:sz w:val="24"/>
          <w:szCs w:val="24"/>
        </w:rPr>
        <w:t>.</w:t>
      </w:r>
      <w:proofErr w:type="gramEnd"/>
      <w:r w:rsidRPr="00D67E1E">
        <w:rPr>
          <w:rFonts w:ascii="Times New Roman" w:hAnsi="Times New Roman" w:cs="Times New Roman"/>
          <w:sz w:val="24"/>
          <w:szCs w:val="24"/>
        </w:rPr>
        <w:t xml:space="preserve"> </w:t>
      </w:r>
      <w:proofErr w:type="spellStart"/>
      <w:r w:rsidRPr="00D67E1E">
        <w:rPr>
          <w:rFonts w:ascii="Times New Roman" w:hAnsi="Times New Roman" w:cs="Times New Roman"/>
          <w:sz w:val="24"/>
          <w:szCs w:val="24"/>
        </w:rPr>
        <w:t>Wylomanska,A</w:t>
      </w:r>
      <w:proofErr w:type="spellEnd"/>
      <w:r w:rsidRPr="00D67E1E">
        <w:rPr>
          <w:rFonts w:ascii="Times New Roman" w:hAnsi="Times New Roman" w:cs="Times New Roman"/>
          <w:sz w:val="24"/>
          <w:szCs w:val="24"/>
        </w:rPr>
        <w:t xml:space="preserve">. (2012),” </w:t>
      </w:r>
      <w:r w:rsidRPr="00D67E1E">
        <w:rPr>
          <w:rFonts w:ascii="Times New Roman" w:hAnsi="Times New Roman" w:cs="Times New Roman"/>
          <w:i/>
          <w:sz w:val="24"/>
          <w:szCs w:val="24"/>
        </w:rPr>
        <w:t xml:space="preserve">Geometric Brownian Motion with Tempered Stable   </w:t>
      </w:r>
    </w:p>
    <w:p w14:paraId="339456A4"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Gallant, A.R., Hsieh, D., </w:t>
      </w:r>
      <w:proofErr w:type="spellStart"/>
      <w:r w:rsidRPr="00D67E1E">
        <w:rPr>
          <w:rFonts w:ascii="Times New Roman" w:hAnsi="Times New Roman" w:cs="Times New Roman"/>
          <w:sz w:val="24"/>
          <w:szCs w:val="24"/>
        </w:rPr>
        <w:t>Tauchen</w:t>
      </w:r>
      <w:proofErr w:type="spellEnd"/>
      <w:r w:rsidRPr="00D67E1E">
        <w:rPr>
          <w:rFonts w:ascii="Times New Roman" w:hAnsi="Times New Roman" w:cs="Times New Roman"/>
          <w:sz w:val="24"/>
          <w:szCs w:val="24"/>
        </w:rPr>
        <w:t>, G., 1997. Estimation of stochastic volatility models with diagnostics</w:t>
      </w:r>
      <w:r w:rsidRPr="00D67E1E">
        <w:rPr>
          <w:rFonts w:ascii="Times New Roman" w:hAnsi="Times New Roman" w:cs="Times New Roman"/>
          <w:i/>
          <w:iCs/>
          <w:sz w:val="24"/>
          <w:szCs w:val="24"/>
        </w:rPr>
        <w:t>. J. Econometrics</w:t>
      </w:r>
      <w:r w:rsidRPr="00D67E1E">
        <w:rPr>
          <w:rFonts w:ascii="Times New Roman" w:hAnsi="Times New Roman" w:cs="Times New Roman"/>
          <w:sz w:val="24"/>
          <w:szCs w:val="24"/>
        </w:rPr>
        <w:t xml:space="preserve"> 81, 159–192. </w:t>
      </w:r>
    </w:p>
    <w:p w14:paraId="5CCC9B75"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Gardiner, C., 1985. Stochastic methods. Springer Series in </w:t>
      </w:r>
      <w:proofErr w:type="spellStart"/>
      <w:r w:rsidRPr="00D67E1E">
        <w:rPr>
          <w:rFonts w:ascii="Times New Roman" w:hAnsi="Times New Roman" w:cs="Times New Roman"/>
          <w:sz w:val="24"/>
          <w:szCs w:val="24"/>
        </w:rPr>
        <w:t>Synergetics</w:t>
      </w:r>
      <w:proofErr w:type="spellEnd"/>
      <w:r w:rsidRPr="00D67E1E">
        <w:rPr>
          <w:rFonts w:ascii="Times New Roman" w:hAnsi="Times New Roman" w:cs="Times New Roman"/>
          <w:sz w:val="24"/>
          <w:szCs w:val="24"/>
        </w:rPr>
        <w:t xml:space="preserve"> (Springer-Verlag, Berlin, 2009). </w:t>
      </w:r>
    </w:p>
    <w:p w14:paraId="3074B517"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Ghysels, E., Harvey, A.C., Renault, E., 1996. Stochastic volatility. In: Rao, C.R., </w:t>
      </w:r>
      <w:proofErr w:type="spellStart"/>
      <w:r w:rsidRPr="00D67E1E">
        <w:rPr>
          <w:rFonts w:ascii="Times New Roman" w:hAnsi="Times New Roman" w:cs="Times New Roman"/>
          <w:sz w:val="24"/>
          <w:szCs w:val="24"/>
        </w:rPr>
        <w:t>Maddala</w:t>
      </w:r>
      <w:proofErr w:type="spellEnd"/>
      <w:r w:rsidRPr="00D67E1E">
        <w:rPr>
          <w:rFonts w:ascii="Times New Roman" w:hAnsi="Times New Roman" w:cs="Times New Roman"/>
          <w:sz w:val="24"/>
          <w:szCs w:val="24"/>
        </w:rPr>
        <w:t xml:space="preserve">, G.S. (Eds.), Statistical Methods in Finance. </w:t>
      </w:r>
      <w:r w:rsidRPr="00D67E1E">
        <w:rPr>
          <w:rFonts w:ascii="Times New Roman" w:hAnsi="Times New Roman" w:cs="Times New Roman"/>
          <w:i/>
          <w:iCs/>
          <w:sz w:val="24"/>
          <w:szCs w:val="24"/>
        </w:rPr>
        <w:t>North-Holland</w:t>
      </w:r>
      <w:r w:rsidRPr="00D67E1E">
        <w:rPr>
          <w:rFonts w:ascii="Times New Roman" w:hAnsi="Times New Roman" w:cs="Times New Roman"/>
          <w:sz w:val="24"/>
          <w:szCs w:val="24"/>
        </w:rPr>
        <w:t xml:space="preserve">, Amsterdam, pp. 119–191. </w:t>
      </w:r>
    </w:p>
    <w:p w14:paraId="0854082E"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Glosten</w:t>
      </w:r>
      <w:proofErr w:type="spellEnd"/>
      <w:r w:rsidRPr="00D67E1E">
        <w:rPr>
          <w:rFonts w:ascii="Times New Roman" w:hAnsi="Times New Roman" w:cs="Times New Roman"/>
          <w:sz w:val="24"/>
          <w:szCs w:val="24"/>
        </w:rPr>
        <w:t xml:space="preserve">, L. R., Jagannathan, R. and Runkle, D. E. (1993) On the relation between the expected value and volatility of nominal excess return on stocks, </w:t>
      </w:r>
      <w:r w:rsidRPr="00D67E1E">
        <w:rPr>
          <w:rFonts w:ascii="Times New Roman" w:hAnsi="Times New Roman" w:cs="Times New Roman"/>
          <w:i/>
          <w:iCs/>
          <w:sz w:val="24"/>
          <w:szCs w:val="24"/>
        </w:rPr>
        <w:t xml:space="preserve">Journal of Finance. </w:t>
      </w:r>
      <w:r w:rsidRPr="00D67E1E">
        <w:rPr>
          <w:rFonts w:ascii="Times New Roman" w:hAnsi="Times New Roman" w:cs="Times New Roman"/>
          <w:sz w:val="24"/>
          <w:szCs w:val="24"/>
        </w:rPr>
        <w:t xml:space="preserve">48, 1779–1801. </w:t>
      </w:r>
    </w:p>
    <w:p w14:paraId="1ACA7181" w14:textId="77777777" w:rsidR="003720DE" w:rsidRPr="00D67E1E" w:rsidRDefault="003720DE" w:rsidP="002C6D5C">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Glosten</w:t>
      </w:r>
      <w:proofErr w:type="spellEnd"/>
      <w:r w:rsidRPr="00D67E1E">
        <w:rPr>
          <w:rFonts w:ascii="Times New Roman" w:hAnsi="Times New Roman" w:cs="Times New Roman"/>
          <w:sz w:val="24"/>
          <w:szCs w:val="24"/>
        </w:rPr>
        <w:t>, L.R., Jagannathan, R. and Runkle, D.E., 1993. On the relation between the expected value and the volatility of the nominal excess return on stocks. The journal of finance, 48(5), pp.1779-1801.</w:t>
      </w:r>
    </w:p>
    <w:p w14:paraId="63711C75"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González-Rivera, G., 1998. Smooth-transition GARCH models. Studies in Nonlinear Dynamics &amp; Econometrics, 3(2).</w:t>
      </w:r>
    </w:p>
    <w:p w14:paraId="055D8FFF"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Granger, C.W.J., Hyung, N., 2004. Occasional structural breaks and long memory with an application to the SP500 absolute stock returns. </w:t>
      </w:r>
      <w:r w:rsidRPr="00D67E1E">
        <w:rPr>
          <w:rFonts w:ascii="Times New Roman" w:hAnsi="Times New Roman" w:cs="Times New Roman"/>
          <w:i/>
          <w:iCs/>
          <w:sz w:val="24"/>
          <w:szCs w:val="24"/>
        </w:rPr>
        <w:t>J. Empirical Finance</w:t>
      </w:r>
      <w:r w:rsidRPr="00D67E1E">
        <w:rPr>
          <w:rFonts w:ascii="Times New Roman" w:hAnsi="Times New Roman" w:cs="Times New Roman"/>
          <w:sz w:val="24"/>
          <w:szCs w:val="24"/>
        </w:rPr>
        <w:t xml:space="preserve"> 11, 399–421. </w:t>
      </w:r>
    </w:p>
    <w:p w14:paraId="7169D4CB" w14:textId="77777777" w:rsidR="003720DE" w:rsidRPr="00D67E1E" w:rsidRDefault="003720DE" w:rsidP="002C6D5C">
      <w:pPr>
        <w:pStyle w:val="NoSpacing"/>
        <w:numPr>
          <w:ilvl w:val="0"/>
          <w:numId w:val="11"/>
        </w:numPr>
        <w:rPr>
          <w:rFonts w:ascii="Times New Roman" w:hAnsi="Times New Roman" w:cs="Times New Roman"/>
          <w:sz w:val="24"/>
          <w:szCs w:val="24"/>
        </w:rPr>
      </w:pPr>
      <w:proofErr w:type="spellStart"/>
      <w:proofErr w:type="gramStart"/>
      <w:r w:rsidRPr="00D67E1E">
        <w:rPr>
          <w:rFonts w:ascii="Times New Roman" w:hAnsi="Times New Roman" w:cs="Times New Roman"/>
          <w:sz w:val="24"/>
          <w:szCs w:val="24"/>
        </w:rPr>
        <w:t>Grima,R</w:t>
      </w:r>
      <w:proofErr w:type="spellEnd"/>
      <w:r w:rsidRPr="00D67E1E">
        <w:rPr>
          <w:rFonts w:ascii="Times New Roman" w:hAnsi="Times New Roman" w:cs="Times New Roman"/>
          <w:sz w:val="24"/>
          <w:szCs w:val="24"/>
        </w:rPr>
        <w:t>.</w:t>
      </w:r>
      <w:proofErr w:type="gramEnd"/>
      <w:r w:rsidRPr="00D67E1E">
        <w:rPr>
          <w:rFonts w:ascii="Times New Roman" w:hAnsi="Times New Roman" w:cs="Times New Roman"/>
          <w:sz w:val="24"/>
          <w:szCs w:val="24"/>
        </w:rPr>
        <w:t xml:space="preserve"> </w:t>
      </w:r>
      <w:proofErr w:type="spellStart"/>
      <w:r w:rsidRPr="00D67E1E">
        <w:rPr>
          <w:rFonts w:ascii="Times New Roman" w:hAnsi="Times New Roman" w:cs="Times New Roman"/>
          <w:sz w:val="24"/>
          <w:szCs w:val="24"/>
        </w:rPr>
        <w:t>Yaliraki,S.N</w:t>
      </w:r>
      <w:proofErr w:type="spellEnd"/>
      <w:r w:rsidRPr="00D67E1E">
        <w:rPr>
          <w:rFonts w:ascii="Times New Roman" w:hAnsi="Times New Roman" w:cs="Times New Roman"/>
          <w:sz w:val="24"/>
          <w:szCs w:val="24"/>
        </w:rPr>
        <w:t>. (2007), “</w:t>
      </w:r>
      <w:r w:rsidRPr="00D67E1E">
        <w:rPr>
          <w:rFonts w:ascii="Times New Roman" w:hAnsi="Times New Roman" w:cs="Times New Roman"/>
          <w:i/>
          <w:sz w:val="24"/>
          <w:szCs w:val="24"/>
        </w:rPr>
        <w:t>Brownian motion of an asymmetrical particle in a potential field</w:t>
      </w:r>
      <w:r w:rsidRPr="00D67E1E">
        <w:rPr>
          <w:rFonts w:ascii="Times New Roman" w:hAnsi="Times New Roman" w:cs="Times New Roman"/>
          <w:sz w:val="24"/>
          <w:szCs w:val="24"/>
        </w:rPr>
        <w:t>”. Journal of Chemical Physics 127,084511 (2007).</w:t>
      </w:r>
    </w:p>
    <w:p w14:paraId="04156191"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Hansen, B.E., 1994. Autoregressive conditional density estimation. International Economic Review, pp.705-730.</w:t>
      </w:r>
    </w:p>
    <w:p w14:paraId="434CA7D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Harvey, A.C., 1998. Long-memory in stochastic volatility. In: Knight, J., Satchell, S.E. (Eds.), Forecasting Volatility in Financial Markets. </w:t>
      </w:r>
      <w:r w:rsidRPr="00D67E1E">
        <w:rPr>
          <w:rFonts w:ascii="Times New Roman" w:hAnsi="Times New Roman" w:cs="Times New Roman"/>
          <w:i/>
          <w:iCs/>
          <w:sz w:val="24"/>
          <w:szCs w:val="24"/>
        </w:rPr>
        <w:t>Butterworth-Heinemann</w:t>
      </w:r>
      <w:r w:rsidRPr="00D67E1E">
        <w:rPr>
          <w:rFonts w:ascii="Times New Roman" w:hAnsi="Times New Roman" w:cs="Times New Roman"/>
          <w:sz w:val="24"/>
          <w:szCs w:val="24"/>
        </w:rPr>
        <w:t xml:space="preserve">, London. </w:t>
      </w:r>
    </w:p>
    <w:p w14:paraId="6ED04E87"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Harvey, A.C., Shephard, N.G., 1996. Estimation of an asymmetric stochastic volatility model for asset returns. </w:t>
      </w:r>
      <w:r w:rsidRPr="00D67E1E">
        <w:rPr>
          <w:rFonts w:ascii="Times New Roman" w:hAnsi="Times New Roman" w:cs="Times New Roman"/>
          <w:i/>
          <w:iCs/>
          <w:sz w:val="24"/>
          <w:szCs w:val="24"/>
        </w:rPr>
        <w:t xml:space="preserve">J. Business </w:t>
      </w:r>
      <w:proofErr w:type="spellStart"/>
      <w:r w:rsidRPr="00D67E1E">
        <w:rPr>
          <w:rFonts w:ascii="Times New Roman" w:hAnsi="Times New Roman" w:cs="Times New Roman"/>
          <w:i/>
          <w:iCs/>
          <w:sz w:val="24"/>
          <w:szCs w:val="24"/>
        </w:rPr>
        <w:t>Econom</w:t>
      </w:r>
      <w:proofErr w:type="spellEnd"/>
      <w:r w:rsidRPr="00D67E1E">
        <w:rPr>
          <w:rFonts w:ascii="Times New Roman" w:hAnsi="Times New Roman" w:cs="Times New Roman"/>
          <w:i/>
          <w:iCs/>
          <w:sz w:val="24"/>
          <w:szCs w:val="24"/>
        </w:rPr>
        <w:t>. Statist</w:t>
      </w:r>
      <w:r w:rsidRPr="00D67E1E">
        <w:rPr>
          <w:rFonts w:ascii="Times New Roman" w:hAnsi="Times New Roman" w:cs="Times New Roman"/>
          <w:sz w:val="24"/>
          <w:szCs w:val="24"/>
        </w:rPr>
        <w:t xml:space="preserve">. 14, 429–434. </w:t>
      </w:r>
    </w:p>
    <w:p w14:paraId="4861864E"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He, C., </w:t>
      </w:r>
      <w:proofErr w:type="spellStart"/>
      <w:r w:rsidRPr="00D67E1E">
        <w:rPr>
          <w:rFonts w:ascii="Times New Roman" w:hAnsi="Times New Roman" w:cs="Times New Roman"/>
          <w:sz w:val="24"/>
          <w:szCs w:val="24"/>
        </w:rPr>
        <w:t>Teräsvirta</w:t>
      </w:r>
      <w:proofErr w:type="spellEnd"/>
      <w:r w:rsidRPr="00D67E1E">
        <w:rPr>
          <w:rFonts w:ascii="Times New Roman" w:hAnsi="Times New Roman" w:cs="Times New Roman"/>
          <w:sz w:val="24"/>
          <w:szCs w:val="24"/>
        </w:rPr>
        <w:t xml:space="preserve">, T., </w:t>
      </w:r>
      <w:proofErr w:type="spellStart"/>
      <w:r w:rsidRPr="00D67E1E">
        <w:rPr>
          <w:rFonts w:ascii="Times New Roman" w:hAnsi="Times New Roman" w:cs="Times New Roman"/>
          <w:sz w:val="24"/>
          <w:szCs w:val="24"/>
        </w:rPr>
        <w:t>Malmsten</w:t>
      </w:r>
      <w:proofErr w:type="spellEnd"/>
      <w:r w:rsidRPr="00D67E1E">
        <w:rPr>
          <w:rFonts w:ascii="Times New Roman" w:hAnsi="Times New Roman" w:cs="Times New Roman"/>
          <w:sz w:val="24"/>
          <w:szCs w:val="24"/>
        </w:rPr>
        <w:t xml:space="preserve">, H., 2002. Moment structure of a family of first-order exponential GARCH models. </w:t>
      </w:r>
      <w:r w:rsidRPr="00D67E1E">
        <w:rPr>
          <w:rFonts w:ascii="Times New Roman" w:hAnsi="Times New Roman" w:cs="Times New Roman"/>
          <w:i/>
          <w:iCs/>
          <w:sz w:val="24"/>
          <w:szCs w:val="24"/>
        </w:rPr>
        <w:t>Econometric Theory</w:t>
      </w:r>
      <w:r w:rsidRPr="00D67E1E">
        <w:rPr>
          <w:rFonts w:ascii="Times New Roman" w:hAnsi="Times New Roman" w:cs="Times New Roman"/>
          <w:sz w:val="24"/>
          <w:szCs w:val="24"/>
        </w:rPr>
        <w:t xml:space="preserve"> 18, 868–885. </w:t>
      </w:r>
    </w:p>
    <w:p w14:paraId="606A4283"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Hosking, J.R.M., 1981. Fractional differencing</w:t>
      </w:r>
      <w:r w:rsidRPr="00D67E1E">
        <w:rPr>
          <w:rFonts w:ascii="Times New Roman" w:hAnsi="Times New Roman" w:cs="Times New Roman"/>
          <w:i/>
          <w:iCs/>
          <w:sz w:val="24"/>
          <w:szCs w:val="24"/>
        </w:rPr>
        <w:t xml:space="preserve">. </w:t>
      </w:r>
      <w:proofErr w:type="spellStart"/>
      <w:r w:rsidRPr="00D67E1E">
        <w:rPr>
          <w:rFonts w:ascii="Times New Roman" w:hAnsi="Times New Roman" w:cs="Times New Roman"/>
          <w:i/>
          <w:iCs/>
          <w:sz w:val="24"/>
          <w:szCs w:val="24"/>
        </w:rPr>
        <w:t>Biometrika</w:t>
      </w:r>
      <w:proofErr w:type="spellEnd"/>
      <w:r w:rsidRPr="00D67E1E">
        <w:rPr>
          <w:rFonts w:ascii="Times New Roman" w:hAnsi="Times New Roman" w:cs="Times New Roman"/>
          <w:sz w:val="24"/>
          <w:szCs w:val="24"/>
        </w:rPr>
        <w:t xml:space="preserve"> 68, 165–176. </w:t>
      </w:r>
    </w:p>
    <w:p w14:paraId="6786962C"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Hughes, M. P., Smith, S. D., and Winters, D. B., (2008). The effect of auctions on daily treasury-bill volatility, Quarterly Review of Economics and Finance 48, 48 - 60.</w:t>
      </w:r>
    </w:p>
    <w:p w14:paraId="313BF61E"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Hull, J. and White, A., 1990. Pricing interest-rate-derivative securities. The Review of Financial Studies, 3(4), pp.573-592.</w:t>
      </w:r>
    </w:p>
    <w:p w14:paraId="645DB875"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Hwang, S. and Satchell, S. E. (1999). “Modelling emerging market risk premia using higher moments”. International Journal of Finance and Economics, 4, 271-296.</w:t>
      </w:r>
    </w:p>
    <w:p w14:paraId="7A7A5F5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Hwang, Y., 2001. Asymmetric long memory GARCH in exchange returns. </w:t>
      </w:r>
      <w:proofErr w:type="spellStart"/>
      <w:r w:rsidRPr="00D67E1E">
        <w:rPr>
          <w:rFonts w:ascii="Times New Roman" w:hAnsi="Times New Roman" w:cs="Times New Roman"/>
          <w:i/>
          <w:iCs/>
          <w:sz w:val="24"/>
          <w:szCs w:val="24"/>
        </w:rPr>
        <w:t>Econom</w:t>
      </w:r>
      <w:proofErr w:type="spellEnd"/>
      <w:r w:rsidRPr="00D67E1E">
        <w:rPr>
          <w:rFonts w:ascii="Times New Roman" w:hAnsi="Times New Roman" w:cs="Times New Roman"/>
          <w:i/>
          <w:iCs/>
          <w:sz w:val="24"/>
          <w:szCs w:val="24"/>
        </w:rPr>
        <w:t>. Lett</w:t>
      </w:r>
      <w:r w:rsidRPr="00D67E1E">
        <w:rPr>
          <w:rFonts w:ascii="Times New Roman" w:hAnsi="Times New Roman" w:cs="Times New Roman"/>
          <w:sz w:val="24"/>
          <w:szCs w:val="24"/>
        </w:rPr>
        <w:t xml:space="preserve">. 71, 1–5. </w:t>
      </w:r>
    </w:p>
    <w:p w14:paraId="43A913C1"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Jacquier</w:t>
      </w:r>
      <w:proofErr w:type="spellEnd"/>
      <w:r w:rsidRPr="00D67E1E">
        <w:rPr>
          <w:rFonts w:ascii="Times New Roman" w:hAnsi="Times New Roman" w:cs="Times New Roman"/>
          <w:sz w:val="24"/>
          <w:szCs w:val="24"/>
        </w:rPr>
        <w:t xml:space="preserve">, E., Polson, N.G., Rossi, P.E., 2004. Bayesian analysis of stochastic volatility models with fat-tails and correlated errors. </w:t>
      </w:r>
      <w:r w:rsidRPr="00D67E1E">
        <w:rPr>
          <w:rFonts w:ascii="Times New Roman" w:hAnsi="Times New Roman" w:cs="Times New Roman"/>
          <w:i/>
          <w:iCs/>
          <w:sz w:val="24"/>
          <w:szCs w:val="24"/>
        </w:rPr>
        <w:t>J. Econometrics</w:t>
      </w:r>
      <w:r w:rsidRPr="00D67E1E">
        <w:rPr>
          <w:rFonts w:ascii="Times New Roman" w:hAnsi="Times New Roman" w:cs="Times New Roman"/>
          <w:sz w:val="24"/>
          <w:szCs w:val="24"/>
        </w:rPr>
        <w:t xml:space="preserve"> 122, 185–212. </w:t>
      </w:r>
    </w:p>
    <w:p w14:paraId="4867A9F4" w14:textId="77777777" w:rsidR="003720DE" w:rsidRPr="00D67E1E" w:rsidRDefault="003720DE" w:rsidP="002C6D5C">
      <w:pPr>
        <w:pStyle w:val="NoSpacing"/>
        <w:numPr>
          <w:ilvl w:val="0"/>
          <w:numId w:val="11"/>
        </w:numPr>
        <w:rPr>
          <w:rFonts w:ascii="Times New Roman" w:hAnsi="Times New Roman" w:cs="Times New Roman"/>
          <w:color w:val="000000"/>
          <w:sz w:val="24"/>
          <w:szCs w:val="24"/>
        </w:rPr>
      </w:pPr>
      <w:r w:rsidRPr="00D67E1E">
        <w:rPr>
          <w:rFonts w:ascii="Times New Roman" w:hAnsi="Times New Roman" w:cs="Times New Roman"/>
          <w:sz w:val="24"/>
          <w:szCs w:val="24"/>
        </w:rPr>
        <w:lastRenderedPageBreak/>
        <w:t>Jones, M. C. and Faddy, M. J. (2003). “A skew extension of the t-distribution, with applications”. Journal of Royal Statistical Society, Series B, 65, 159–174.</w:t>
      </w:r>
    </w:p>
    <w:p w14:paraId="4BEFE37C"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Kang, J., Liu, M. H. and Ni, S. X. (2002) Contrarian and momentum strategies in the China stock market: 1993–2000, </w:t>
      </w:r>
      <w:r w:rsidRPr="00D67E1E">
        <w:rPr>
          <w:rFonts w:ascii="Times New Roman" w:hAnsi="Times New Roman" w:cs="Times New Roman"/>
          <w:i/>
          <w:iCs/>
          <w:sz w:val="24"/>
          <w:szCs w:val="24"/>
        </w:rPr>
        <w:t>Pacific-Basin Finance Journal</w:t>
      </w:r>
      <w:r w:rsidRPr="00D67E1E">
        <w:rPr>
          <w:rFonts w:ascii="Times New Roman" w:hAnsi="Times New Roman" w:cs="Times New Roman"/>
          <w:sz w:val="24"/>
          <w:szCs w:val="24"/>
        </w:rPr>
        <w:t xml:space="preserve">. 10, 243–265. </w:t>
      </w:r>
    </w:p>
    <w:p w14:paraId="4CF6F0D3"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Kim, C.-J. (1993) Unobserved-components time series models with Markov-switching heteroskedasticity: Changes in regime and the link between inflation rates and inflation uncertainty, </w:t>
      </w:r>
      <w:r w:rsidRPr="00D67E1E">
        <w:rPr>
          <w:rFonts w:ascii="Times New Roman" w:hAnsi="Times New Roman" w:cs="Times New Roman"/>
          <w:i/>
          <w:iCs/>
          <w:sz w:val="24"/>
          <w:szCs w:val="24"/>
        </w:rPr>
        <w:t>Journal of Business &amp; Economic Statistics</w:t>
      </w:r>
      <w:r w:rsidRPr="00D67E1E">
        <w:rPr>
          <w:rFonts w:ascii="Times New Roman" w:hAnsi="Times New Roman" w:cs="Times New Roman"/>
          <w:sz w:val="24"/>
          <w:szCs w:val="24"/>
        </w:rPr>
        <w:t xml:space="preserve">. 11, 341–349. </w:t>
      </w:r>
    </w:p>
    <w:p w14:paraId="3881B442"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Kim, S. and Tsurumi, H. (2000) Korean currency crisis and regime change: A multivariate GARCH model with Bayesian approach</w:t>
      </w:r>
      <w:r w:rsidRPr="00D67E1E">
        <w:rPr>
          <w:rFonts w:ascii="Times New Roman" w:hAnsi="Times New Roman" w:cs="Times New Roman"/>
          <w:i/>
          <w:iCs/>
          <w:sz w:val="24"/>
          <w:szCs w:val="24"/>
        </w:rPr>
        <w:t>, Asia Pacific Financial Markets</w:t>
      </w:r>
      <w:r w:rsidRPr="00D67E1E">
        <w:rPr>
          <w:rFonts w:ascii="Times New Roman" w:hAnsi="Times New Roman" w:cs="Times New Roman"/>
          <w:sz w:val="24"/>
          <w:szCs w:val="24"/>
        </w:rPr>
        <w:t xml:space="preserve">, 7, 31–44. </w:t>
      </w:r>
    </w:p>
    <w:p w14:paraId="62ED0724" w14:textId="77777777" w:rsidR="003720DE" w:rsidRPr="00D67E1E" w:rsidRDefault="003720DE" w:rsidP="002C6D5C">
      <w:pPr>
        <w:pStyle w:val="NoSpacing"/>
        <w:numPr>
          <w:ilvl w:val="0"/>
          <w:numId w:val="11"/>
        </w:numPr>
        <w:rPr>
          <w:rFonts w:ascii="Times New Roman" w:hAnsi="Times New Roman" w:cs="Times New Roman"/>
          <w:sz w:val="24"/>
          <w:szCs w:val="24"/>
        </w:rPr>
      </w:pPr>
      <w:proofErr w:type="spellStart"/>
      <w:proofErr w:type="gramStart"/>
      <w:r w:rsidRPr="00D67E1E">
        <w:rPr>
          <w:rFonts w:ascii="Times New Roman" w:hAnsi="Times New Roman" w:cs="Times New Roman"/>
          <w:sz w:val="24"/>
          <w:szCs w:val="24"/>
        </w:rPr>
        <w:t>Kozdron,M.J</w:t>
      </w:r>
      <w:proofErr w:type="spellEnd"/>
      <w:r w:rsidRPr="00D67E1E">
        <w:rPr>
          <w:rFonts w:ascii="Times New Roman" w:hAnsi="Times New Roman" w:cs="Times New Roman"/>
          <w:sz w:val="24"/>
          <w:szCs w:val="24"/>
        </w:rPr>
        <w:t>.</w:t>
      </w:r>
      <w:proofErr w:type="gramEnd"/>
      <w:r w:rsidRPr="00D67E1E">
        <w:rPr>
          <w:rFonts w:ascii="Times New Roman" w:hAnsi="Times New Roman" w:cs="Times New Roman"/>
          <w:sz w:val="24"/>
          <w:szCs w:val="24"/>
        </w:rPr>
        <w:t>(2008),”</w:t>
      </w:r>
      <w:r w:rsidRPr="00D67E1E">
        <w:rPr>
          <w:rFonts w:ascii="Times New Roman" w:hAnsi="Times New Roman" w:cs="Times New Roman"/>
          <w:i/>
          <w:sz w:val="24"/>
          <w:szCs w:val="24"/>
        </w:rPr>
        <w:t>Brownian motion and The Heat Equation”,</w:t>
      </w:r>
      <w:r w:rsidRPr="00D67E1E">
        <w:rPr>
          <w:rFonts w:ascii="Times New Roman" w:hAnsi="Times New Roman" w:cs="Times New Roman"/>
          <w:sz w:val="24"/>
          <w:szCs w:val="24"/>
        </w:rPr>
        <w:t xml:space="preserve">[Online]. Available from; </w:t>
      </w:r>
      <w:hyperlink r:id="rId151" w:history="1">
        <w:r w:rsidRPr="00D67E1E">
          <w:rPr>
            <w:rStyle w:val="Hyperlink"/>
            <w:rFonts w:ascii="Times New Roman" w:hAnsi="Times New Roman" w:cs="Times New Roman"/>
            <w:sz w:val="24"/>
            <w:szCs w:val="24"/>
          </w:rPr>
          <w:t>http://stat.math.uregina.ca/~kozdron/Research/UgradTalks/BM_and_Heat/heat_and_BM.pdf</w:t>
        </w:r>
      </w:hyperlink>
      <w:proofErr w:type="gramStart"/>
      <w:r w:rsidRPr="00D67E1E">
        <w:rPr>
          <w:rFonts w:ascii="Times New Roman" w:hAnsi="Times New Roman" w:cs="Times New Roman"/>
          <w:sz w:val="24"/>
          <w:szCs w:val="24"/>
        </w:rPr>
        <w:t xml:space="preserve">   [</w:t>
      </w:r>
      <w:proofErr w:type="gramEnd"/>
      <w:r w:rsidRPr="00D67E1E">
        <w:rPr>
          <w:rFonts w:ascii="Times New Roman" w:hAnsi="Times New Roman" w:cs="Times New Roman"/>
          <w:sz w:val="24"/>
          <w:szCs w:val="24"/>
        </w:rPr>
        <w:t>Accessed 03 December 2018]</w:t>
      </w:r>
    </w:p>
    <w:p w14:paraId="3A37CEA3"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Laurent, S., Peters, J.P., 2005. GARCH 4.0, Estimating and Forecasting ARCH models. </w:t>
      </w:r>
      <w:r w:rsidRPr="00D67E1E">
        <w:rPr>
          <w:rFonts w:ascii="Times New Roman" w:hAnsi="Times New Roman" w:cs="Times New Roman"/>
          <w:i/>
          <w:iCs/>
          <w:sz w:val="24"/>
          <w:szCs w:val="24"/>
        </w:rPr>
        <w:t>Timberlake Consultants</w:t>
      </w:r>
      <w:r w:rsidRPr="00D67E1E">
        <w:rPr>
          <w:rFonts w:ascii="Times New Roman" w:hAnsi="Times New Roman" w:cs="Times New Roman"/>
          <w:sz w:val="24"/>
          <w:szCs w:val="24"/>
        </w:rPr>
        <w:t xml:space="preserve">. </w:t>
      </w:r>
    </w:p>
    <w:p w14:paraId="09FF25E6"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Leon, A., Rubio, G. and   Serna, G. (2004). “Autoregressive Conditional Volatility, Skewness and Kurtosis”, WP-AD 2004-13, Instituto Valenciano de </w:t>
      </w:r>
      <w:proofErr w:type="spellStart"/>
      <w:r w:rsidRPr="00D67E1E">
        <w:rPr>
          <w:rFonts w:ascii="Times New Roman" w:hAnsi="Times New Roman" w:cs="Times New Roman"/>
          <w:sz w:val="24"/>
          <w:szCs w:val="24"/>
        </w:rPr>
        <w:t>Investigaciones</w:t>
      </w:r>
      <w:proofErr w:type="spellEnd"/>
      <w:r w:rsidRPr="00D67E1E">
        <w:rPr>
          <w:rFonts w:ascii="Times New Roman" w:hAnsi="Times New Roman" w:cs="Times New Roman"/>
          <w:sz w:val="24"/>
          <w:szCs w:val="24"/>
        </w:rPr>
        <w:t xml:space="preserve"> </w:t>
      </w:r>
      <w:proofErr w:type="spellStart"/>
      <w:r w:rsidRPr="00D67E1E">
        <w:rPr>
          <w:rFonts w:ascii="Times New Roman" w:hAnsi="Times New Roman" w:cs="Times New Roman"/>
          <w:sz w:val="24"/>
          <w:szCs w:val="24"/>
        </w:rPr>
        <w:t>Economicas</w:t>
      </w:r>
      <w:proofErr w:type="spellEnd"/>
      <w:r w:rsidRPr="00D67E1E">
        <w:rPr>
          <w:rFonts w:ascii="Times New Roman" w:hAnsi="Times New Roman" w:cs="Times New Roman"/>
          <w:sz w:val="24"/>
          <w:szCs w:val="24"/>
        </w:rPr>
        <w:t>.</w:t>
      </w:r>
    </w:p>
    <w:p w14:paraId="1C5DA480"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Lobato, I., </w:t>
      </w:r>
      <w:proofErr w:type="spellStart"/>
      <w:r w:rsidRPr="00D67E1E">
        <w:rPr>
          <w:rFonts w:ascii="Times New Roman" w:hAnsi="Times New Roman" w:cs="Times New Roman"/>
          <w:sz w:val="24"/>
          <w:szCs w:val="24"/>
        </w:rPr>
        <w:t>Savin</w:t>
      </w:r>
      <w:proofErr w:type="spellEnd"/>
      <w:r w:rsidRPr="00D67E1E">
        <w:rPr>
          <w:rFonts w:ascii="Times New Roman" w:hAnsi="Times New Roman" w:cs="Times New Roman"/>
          <w:sz w:val="24"/>
          <w:szCs w:val="24"/>
        </w:rPr>
        <w:t xml:space="preserve">, N.E., 1998. Long memory in stock-market trading volume. </w:t>
      </w:r>
      <w:r w:rsidRPr="00D67E1E">
        <w:rPr>
          <w:rFonts w:ascii="Times New Roman" w:hAnsi="Times New Roman" w:cs="Times New Roman"/>
          <w:i/>
          <w:iCs/>
          <w:sz w:val="24"/>
          <w:szCs w:val="24"/>
        </w:rPr>
        <w:t xml:space="preserve">J. Business </w:t>
      </w:r>
      <w:proofErr w:type="spellStart"/>
      <w:r w:rsidRPr="00D67E1E">
        <w:rPr>
          <w:rFonts w:ascii="Times New Roman" w:hAnsi="Times New Roman" w:cs="Times New Roman"/>
          <w:i/>
          <w:iCs/>
          <w:sz w:val="24"/>
          <w:szCs w:val="24"/>
        </w:rPr>
        <w:t>Econom</w:t>
      </w:r>
      <w:proofErr w:type="spellEnd"/>
      <w:r w:rsidRPr="00D67E1E">
        <w:rPr>
          <w:rFonts w:ascii="Times New Roman" w:hAnsi="Times New Roman" w:cs="Times New Roman"/>
          <w:sz w:val="24"/>
          <w:szCs w:val="24"/>
        </w:rPr>
        <w:t xml:space="preserve">. Statist. 18, 410–427. </w:t>
      </w:r>
    </w:p>
    <w:p w14:paraId="4F7C81F7"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proofErr w:type="spellStart"/>
      <w:r w:rsidRPr="00B85D78">
        <w:rPr>
          <w:rFonts w:ascii="Times New Roman" w:hAnsi="Times New Roman" w:cs="Times New Roman"/>
          <w:sz w:val="24"/>
          <w:szCs w:val="24"/>
        </w:rPr>
        <w:t>Maheu</w:t>
      </w:r>
      <w:proofErr w:type="spellEnd"/>
      <w:r w:rsidRPr="00B85D78">
        <w:rPr>
          <w:rFonts w:ascii="Times New Roman" w:hAnsi="Times New Roman" w:cs="Times New Roman"/>
          <w:sz w:val="24"/>
          <w:szCs w:val="24"/>
        </w:rPr>
        <w:t xml:space="preserve">, J., (2005). Can GARCH models capture long range </w:t>
      </w:r>
      <w:proofErr w:type="gramStart"/>
      <w:r w:rsidRPr="00B85D78">
        <w:rPr>
          <w:rFonts w:ascii="Times New Roman" w:hAnsi="Times New Roman" w:cs="Times New Roman"/>
          <w:sz w:val="24"/>
          <w:szCs w:val="24"/>
        </w:rPr>
        <w:t>dependence?,</w:t>
      </w:r>
      <w:proofErr w:type="gramEnd"/>
      <w:r w:rsidRPr="00B85D78">
        <w:rPr>
          <w:rFonts w:ascii="Times New Roman" w:hAnsi="Times New Roman" w:cs="Times New Roman"/>
          <w:sz w:val="24"/>
          <w:szCs w:val="24"/>
        </w:rPr>
        <w:t xml:space="preserve"> Studies in Nonlinear Dynamics &amp; Econometrics 9, Article 1.</w:t>
      </w:r>
    </w:p>
    <w:p w14:paraId="7692B4CC"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Mandelbrot B </w:t>
      </w:r>
      <w:proofErr w:type="spellStart"/>
      <w:r w:rsidRPr="00D67E1E">
        <w:rPr>
          <w:rFonts w:ascii="Times New Roman" w:hAnsi="Times New Roman" w:cs="Times New Roman"/>
          <w:sz w:val="24"/>
          <w:szCs w:val="24"/>
        </w:rPr>
        <w:t>B</w:t>
      </w:r>
      <w:proofErr w:type="spellEnd"/>
      <w:r w:rsidRPr="00D67E1E">
        <w:rPr>
          <w:rFonts w:ascii="Times New Roman" w:hAnsi="Times New Roman" w:cs="Times New Roman"/>
          <w:sz w:val="24"/>
          <w:szCs w:val="24"/>
        </w:rPr>
        <w:t xml:space="preserve"> (1963a) </w:t>
      </w:r>
      <w:r w:rsidRPr="00D67E1E">
        <w:rPr>
          <w:rFonts w:ascii="Times New Roman" w:hAnsi="Times New Roman" w:cs="Times New Roman"/>
          <w:i/>
          <w:sz w:val="24"/>
          <w:szCs w:val="24"/>
        </w:rPr>
        <w:t xml:space="preserve">New Methods in Statistical Economics </w:t>
      </w:r>
      <w:r w:rsidRPr="00D67E1E">
        <w:rPr>
          <w:rFonts w:ascii="Times New Roman" w:hAnsi="Times New Roman" w:cs="Times New Roman"/>
          <w:sz w:val="24"/>
          <w:szCs w:val="24"/>
        </w:rPr>
        <w:t>Journal of Political Economy, 71, 421–40.</w:t>
      </w:r>
    </w:p>
    <w:p w14:paraId="752EEEAB" w14:textId="77777777" w:rsidR="003720DE" w:rsidRPr="00D67E1E" w:rsidRDefault="003720DE" w:rsidP="00D67E1E">
      <w:pPr>
        <w:pStyle w:val="NoSpacing"/>
        <w:numPr>
          <w:ilvl w:val="0"/>
          <w:numId w:val="11"/>
        </w:numPr>
        <w:rPr>
          <w:rFonts w:ascii="Times New Roman" w:hAnsi="Times New Roman" w:cs="Times New Roman"/>
          <w:sz w:val="24"/>
          <w:szCs w:val="24"/>
          <w:lang w:val="es-AR"/>
        </w:rPr>
      </w:pPr>
      <w:r w:rsidRPr="00D67E1E">
        <w:rPr>
          <w:rFonts w:ascii="Times New Roman" w:hAnsi="Times New Roman" w:cs="Times New Roman"/>
          <w:sz w:val="24"/>
          <w:szCs w:val="24"/>
          <w:lang w:val="es-AR"/>
        </w:rPr>
        <w:t xml:space="preserve">Mora-Galán, A., Pérez, A., Ruiz, E., 2004. </w:t>
      </w:r>
      <w:r w:rsidRPr="00D67E1E">
        <w:rPr>
          <w:rFonts w:ascii="Times New Roman" w:hAnsi="Times New Roman" w:cs="Times New Roman"/>
          <w:sz w:val="24"/>
          <w:szCs w:val="24"/>
        </w:rPr>
        <w:t xml:space="preserve">Stochastic Volatility and the Taylor Effect. </w:t>
      </w:r>
      <w:r w:rsidRPr="00D67E1E">
        <w:rPr>
          <w:rFonts w:ascii="Times New Roman" w:hAnsi="Times New Roman" w:cs="Times New Roman"/>
          <w:sz w:val="24"/>
          <w:szCs w:val="24"/>
          <w:lang w:val="es-AR"/>
        </w:rPr>
        <w:t xml:space="preserve">WP04-63, </w:t>
      </w:r>
      <w:proofErr w:type="spellStart"/>
      <w:r w:rsidRPr="00D67E1E">
        <w:rPr>
          <w:rFonts w:ascii="Times New Roman" w:hAnsi="Times New Roman" w:cs="Times New Roman"/>
          <w:sz w:val="24"/>
          <w:szCs w:val="24"/>
          <w:lang w:val="es-AR"/>
        </w:rPr>
        <w:t>Statistics</w:t>
      </w:r>
      <w:proofErr w:type="spellEnd"/>
      <w:r w:rsidRPr="00D67E1E">
        <w:rPr>
          <w:rFonts w:ascii="Times New Roman" w:hAnsi="Times New Roman" w:cs="Times New Roman"/>
          <w:sz w:val="24"/>
          <w:szCs w:val="24"/>
          <w:lang w:val="es-AR"/>
        </w:rPr>
        <w:t xml:space="preserve"> and </w:t>
      </w:r>
      <w:proofErr w:type="spellStart"/>
      <w:r w:rsidRPr="00D67E1E">
        <w:rPr>
          <w:rFonts w:ascii="Times New Roman" w:hAnsi="Times New Roman" w:cs="Times New Roman"/>
          <w:sz w:val="24"/>
          <w:szCs w:val="24"/>
          <w:lang w:val="es-AR"/>
        </w:rPr>
        <w:t>Econometrics</w:t>
      </w:r>
      <w:proofErr w:type="spellEnd"/>
      <w:r w:rsidRPr="00D67E1E">
        <w:rPr>
          <w:rFonts w:ascii="Times New Roman" w:hAnsi="Times New Roman" w:cs="Times New Roman"/>
          <w:sz w:val="24"/>
          <w:szCs w:val="24"/>
          <w:lang w:val="es-AR"/>
        </w:rPr>
        <w:t xml:space="preserve"> Series. </w:t>
      </w:r>
      <w:r w:rsidRPr="00D67E1E">
        <w:rPr>
          <w:rFonts w:ascii="Times New Roman" w:hAnsi="Times New Roman" w:cs="Times New Roman"/>
          <w:i/>
          <w:iCs/>
          <w:sz w:val="24"/>
          <w:szCs w:val="24"/>
          <w:lang w:val="es-AR"/>
        </w:rPr>
        <w:t>Universidad Carlos III de Madrid</w:t>
      </w:r>
      <w:r w:rsidRPr="00D67E1E">
        <w:rPr>
          <w:rFonts w:ascii="Times New Roman" w:hAnsi="Times New Roman" w:cs="Times New Roman"/>
          <w:sz w:val="24"/>
          <w:szCs w:val="24"/>
          <w:lang w:val="es-AR"/>
        </w:rPr>
        <w:t xml:space="preserve">, </w:t>
      </w:r>
    </w:p>
    <w:p w14:paraId="2486FA01" w14:textId="77777777" w:rsidR="003720DE" w:rsidRPr="00B85D78" w:rsidRDefault="003720DE" w:rsidP="003720DE">
      <w:pPr>
        <w:pStyle w:val="NormalWeb"/>
        <w:numPr>
          <w:ilvl w:val="0"/>
          <w:numId w:val="11"/>
        </w:numPr>
        <w:shd w:val="clear" w:color="auto" w:fill="FFFFFF"/>
        <w:spacing w:before="0" w:beforeAutospacing="0" w:after="255" w:afterAutospacing="0"/>
      </w:pPr>
      <w:r w:rsidRPr="00B85D78">
        <w:t xml:space="preserve">Müller, U, </w:t>
      </w:r>
      <w:proofErr w:type="spellStart"/>
      <w:r w:rsidRPr="00B85D78">
        <w:t>Dacorogna</w:t>
      </w:r>
      <w:proofErr w:type="spellEnd"/>
      <w:r w:rsidRPr="00B85D78">
        <w:t xml:space="preserve">, M. M., Dave, R. D., Olsen, R. B., </w:t>
      </w:r>
      <w:proofErr w:type="spellStart"/>
      <w:r w:rsidRPr="00B85D78">
        <w:t>Pictet</w:t>
      </w:r>
      <w:proofErr w:type="spellEnd"/>
      <w:r w:rsidRPr="00B85D78">
        <w:t xml:space="preserve">, O. V. and von </w:t>
      </w:r>
      <w:proofErr w:type="spellStart"/>
      <w:r w:rsidRPr="00B85D78">
        <w:t>Weizsäcker</w:t>
      </w:r>
      <w:proofErr w:type="spellEnd"/>
      <w:r w:rsidRPr="00B85D78">
        <w:t xml:space="preserve">, J. E., (1997). Volatilities of different time resolutions - </w:t>
      </w:r>
      <w:proofErr w:type="spellStart"/>
      <w:r w:rsidRPr="00B85D78">
        <w:t>Analyzing</w:t>
      </w:r>
      <w:proofErr w:type="spellEnd"/>
      <w:r w:rsidRPr="00B85D78">
        <w:t xml:space="preserve"> the dynamics of market components, Journal of Empirical Finance 4, 213 - 239.</w:t>
      </w:r>
    </w:p>
    <w:p w14:paraId="6931B0C8"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 xml:space="preserve">Müller, U., </w:t>
      </w:r>
      <w:proofErr w:type="spellStart"/>
      <w:r w:rsidRPr="00B85D78">
        <w:rPr>
          <w:rFonts w:ascii="Times New Roman" w:hAnsi="Times New Roman" w:cs="Times New Roman"/>
          <w:sz w:val="24"/>
          <w:szCs w:val="24"/>
        </w:rPr>
        <w:t>Dacorogna</w:t>
      </w:r>
      <w:proofErr w:type="spellEnd"/>
      <w:r w:rsidRPr="00B85D78">
        <w:rPr>
          <w:rFonts w:ascii="Times New Roman" w:hAnsi="Times New Roman" w:cs="Times New Roman"/>
          <w:sz w:val="24"/>
          <w:szCs w:val="24"/>
        </w:rPr>
        <w:t xml:space="preserve">, M. M., Dave, R. D., Olsen, R. B., </w:t>
      </w:r>
      <w:proofErr w:type="spellStart"/>
      <w:r w:rsidRPr="00B85D78">
        <w:rPr>
          <w:rFonts w:ascii="Times New Roman" w:hAnsi="Times New Roman" w:cs="Times New Roman"/>
          <w:sz w:val="24"/>
          <w:szCs w:val="24"/>
        </w:rPr>
        <w:t>Pictet</w:t>
      </w:r>
      <w:proofErr w:type="spellEnd"/>
      <w:r w:rsidRPr="00B85D78">
        <w:rPr>
          <w:rFonts w:ascii="Times New Roman" w:hAnsi="Times New Roman" w:cs="Times New Roman"/>
          <w:sz w:val="24"/>
          <w:szCs w:val="24"/>
        </w:rPr>
        <w:t xml:space="preserve">, O. V. and von </w:t>
      </w:r>
      <w:proofErr w:type="spellStart"/>
      <w:r w:rsidRPr="00B85D78">
        <w:rPr>
          <w:rFonts w:ascii="Times New Roman" w:hAnsi="Times New Roman" w:cs="Times New Roman"/>
          <w:sz w:val="24"/>
          <w:szCs w:val="24"/>
        </w:rPr>
        <w:t>Weizsäcker</w:t>
      </w:r>
      <w:proofErr w:type="spellEnd"/>
      <w:r w:rsidRPr="00B85D78">
        <w:rPr>
          <w:rFonts w:ascii="Times New Roman" w:hAnsi="Times New Roman" w:cs="Times New Roman"/>
          <w:sz w:val="24"/>
          <w:szCs w:val="24"/>
        </w:rPr>
        <w:t xml:space="preserve">, J. E., (1997). Volatilities of different time resolutions - </w:t>
      </w:r>
      <w:proofErr w:type="spellStart"/>
      <w:r w:rsidRPr="00B85D78">
        <w:rPr>
          <w:rFonts w:ascii="Times New Roman" w:hAnsi="Times New Roman" w:cs="Times New Roman"/>
          <w:sz w:val="24"/>
          <w:szCs w:val="24"/>
        </w:rPr>
        <w:t>Analyzing</w:t>
      </w:r>
      <w:proofErr w:type="spellEnd"/>
      <w:r w:rsidRPr="00B85D78">
        <w:rPr>
          <w:rFonts w:ascii="Times New Roman" w:hAnsi="Times New Roman" w:cs="Times New Roman"/>
          <w:sz w:val="24"/>
          <w:szCs w:val="24"/>
        </w:rPr>
        <w:t xml:space="preserve"> the dynamics of market components, Journal of Empirical Finance 4, 213 - 239.</w:t>
      </w:r>
    </w:p>
    <w:p w14:paraId="3257E03E"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Nelson, D. B. (1991) Conditional heteroskedasticity in asset return: A new approach, </w:t>
      </w:r>
      <w:proofErr w:type="spellStart"/>
      <w:r w:rsidRPr="00D67E1E">
        <w:rPr>
          <w:rFonts w:ascii="Times New Roman" w:hAnsi="Times New Roman" w:cs="Times New Roman"/>
          <w:sz w:val="24"/>
          <w:szCs w:val="24"/>
        </w:rPr>
        <w:t>Econometrica</w:t>
      </w:r>
      <w:proofErr w:type="spellEnd"/>
      <w:r w:rsidRPr="00D67E1E">
        <w:rPr>
          <w:rFonts w:ascii="Times New Roman" w:hAnsi="Times New Roman" w:cs="Times New Roman"/>
          <w:sz w:val="24"/>
          <w:szCs w:val="24"/>
        </w:rPr>
        <w:t xml:space="preserve">, 59 347–370 </w:t>
      </w:r>
    </w:p>
    <w:p w14:paraId="70428077"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Nelson, D.B., 1991. Conditional heteroskedasticity in asset returns: A new approach. </w:t>
      </w:r>
      <w:proofErr w:type="spellStart"/>
      <w:r w:rsidRPr="00D67E1E">
        <w:rPr>
          <w:rFonts w:ascii="Times New Roman" w:hAnsi="Times New Roman" w:cs="Times New Roman"/>
          <w:sz w:val="24"/>
          <w:szCs w:val="24"/>
        </w:rPr>
        <w:t>Econometrica</w:t>
      </w:r>
      <w:proofErr w:type="spellEnd"/>
      <w:r w:rsidRPr="00D67E1E">
        <w:rPr>
          <w:rFonts w:ascii="Times New Roman" w:hAnsi="Times New Roman" w:cs="Times New Roman"/>
          <w:sz w:val="24"/>
          <w:szCs w:val="24"/>
        </w:rPr>
        <w:t>: Journal of the Econometric Society, pp.347-370.</w:t>
      </w:r>
    </w:p>
    <w:p w14:paraId="42473C2F" w14:textId="77777777" w:rsidR="003720DE" w:rsidRPr="00D67E1E" w:rsidRDefault="003720DE" w:rsidP="002C6D5C">
      <w:pPr>
        <w:pStyle w:val="NoSpacing"/>
        <w:numPr>
          <w:ilvl w:val="0"/>
          <w:numId w:val="11"/>
        </w:numPr>
        <w:rPr>
          <w:rFonts w:ascii="Times New Roman" w:eastAsia="Times New Roman" w:hAnsi="Times New Roman" w:cs="Times New Roman"/>
          <w:sz w:val="24"/>
          <w:szCs w:val="24"/>
        </w:rPr>
      </w:pPr>
      <w:r w:rsidRPr="00D67E1E">
        <w:rPr>
          <w:rFonts w:ascii="Times New Roman" w:hAnsi="Times New Roman" w:cs="Times New Roman"/>
          <w:sz w:val="24"/>
          <w:szCs w:val="24"/>
        </w:rPr>
        <w:t xml:space="preserve">Nelson, E (2001) </w:t>
      </w:r>
      <w:r w:rsidRPr="00D67E1E">
        <w:rPr>
          <w:rFonts w:ascii="Times New Roman" w:hAnsi="Times New Roman" w:cs="Times New Roman"/>
          <w:i/>
          <w:sz w:val="24"/>
          <w:szCs w:val="24"/>
        </w:rPr>
        <w:t xml:space="preserve">Dynamical Theories of Brownian Motion, </w:t>
      </w:r>
      <w:r w:rsidRPr="00D67E1E">
        <w:rPr>
          <w:rFonts w:ascii="Times New Roman" w:hAnsi="Times New Roman" w:cs="Times New Roman"/>
          <w:sz w:val="24"/>
          <w:szCs w:val="24"/>
        </w:rPr>
        <w:t xml:space="preserve">[Online]. Available    from: </w:t>
      </w:r>
      <w:hyperlink r:id="rId152" w:history="1">
        <w:r w:rsidRPr="00D67E1E">
          <w:rPr>
            <w:rStyle w:val="Hyperlink"/>
            <w:rFonts w:ascii="Times New Roman" w:hAnsi="Times New Roman" w:cs="Times New Roman"/>
            <w:sz w:val="24"/>
            <w:szCs w:val="24"/>
          </w:rPr>
          <w:t>http://www.math.princeton.edu/_nelson/books.html</w:t>
        </w:r>
      </w:hyperlink>
      <w:r w:rsidRPr="00D67E1E">
        <w:rPr>
          <w:rFonts w:ascii="Times New Roman" w:hAnsi="Times New Roman" w:cs="Times New Roman"/>
          <w:sz w:val="24"/>
          <w:szCs w:val="24"/>
        </w:rPr>
        <w:t xml:space="preserve">  Accessed [08 December 2009].</w:t>
      </w:r>
    </w:p>
    <w:p w14:paraId="41DCA0B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NJ. Yu, J., 2004. On leverage in a stochastic volatility model. </w:t>
      </w:r>
      <w:r w:rsidRPr="00D67E1E">
        <w:rPr>
          <w:rFonts w:ascii="Times New Roman" w:hAnsi="Times New Roman" w:cs="Times New Roman"/>
          <w:i/>
          <w:iCs/>
          <w:sz w:val="24"/>
          <w:szCs w:val="24"/>
        </w:rPr>
        <w:t>J. Econometrics</w:t>
      </w:r>
      <w:r w:rsidRPr="00D67E1E">
        <w:rPr>
          <w:rFonts w:ascii="Times New Roman" w:hAnsi="Times New Roman" w:cs="Times New Roman"/>
          <w:sz w:val="24"/>
          <w:szCs w:val="24"/>
        </w:rPr>
        <w:t xml:space="preserve"> 127, 165–178. </w:t>
      </w:r>
    </w:p>
    <w:p w14:paraId="480EEE9D"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Omori, Y., Watanabe, T., 2007. Block sampler and posterior mode estimation for asymmetric stochastic volatility models. </w:t>
      </w:r>
      <w:r w:rsidRPr="00D67E1E">
        <w:rPr>
          <w:rFonts w:ascii="Times New Roman" w:hAnsi="Times New Roman" w:cs="Times New Roman"/>
          <w:i/>
          <w:iCs/>
          <w:sz w:val="24"/>
          <w:szCs w:val="24"/>
        </w:rPr>
        <w:t>Computing. Statist. Data Anal.</w:t>
      </w:r>
      <w:r w:rsidRPr="00D67E1E">
        <w:rPr>
          <w:rFonts w:ascii="Times New Roman" w:hAnsi="Times New Roman" w:cs="Times New Roman"/>
          <w:sz w:val="24"/>
          <w:szCs w:val="24"/>
        </w:rPr>
        <w:t xml:space="preserve"> 10.1016/j.csda.2007.09.001. </w:t>
      </w:r>
    </w:p>
    <w:p w14:paraId="7FE4DE37"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Pérez, A., Ruiz, E., 2001. Finite sample properties of a QML estimator of stochastic volatility models with long memory</w:t>
      </w:r>
      <w:r w:rsidRPr="00D67E1E">
        <w:rPr>
          <w:rFonts w:ascii="Times New Roman" w:hAnsi="Times New Roman" w:cs="Times New Roman"/>
          <w:i/>
          <w:iCs/>
          <w:sz w:val="24"/>
          <w:szCs w:val="24"/>
        </w:rPr>
        <w:t xml:space="preserve">. </w:t>
      </w:r>
      <w:proofErr w:type="spellStart"/>
      <w:r w:rsidRPr="00D67E1E">
        <w:rPr>
          <w:rFonts w:ascii="Times New Roman" w:hAnsi="Times New Roman" w:cs="Times New Roman"/>
          <w:i/>
          <w:iCs/>
          <w:sz w:val="24"/>
          <w:szCs w:val="24"/>
        </w:rPr>
        <w:t>Econom</w:t>
      </w:r>
      <w:proofErr w:type="spellEnd"/>
      <w:r w:rsidRPr="00D67E1E">
        <w:rPr>
          <w:rFonts w:ascii="Times New Roman" w:hAnsi="Times New Roman" w:cs="Times New Roman"/>
          <w:i/>
          <w:iCs/>
          <w:sz w:val="24"/>
          <w:szCs w:val="24"/>
        </w:rPr>
        <w:t>. Lett</w:t>
      </w:r>
      <w:r w:rsidRPr="00D67E1E">
        <w:rPr>
          <w:rFonts w:ascii="Times New Roman" w:hAnsi="Times New Roman" w:cs="Times New Roman"/>
          <w:sz w:val="24"/>
          <w:szCs w:val="24"/>
        </w:rPr>
        <w:t xml:space="preserve">. 70, 157–164. </w:t>
      </w:r>
    </w:p>
    <w:p w14:paraId="0A2DD460" w14:textId="77777777" w:rsidR="003720DE" w:rsidRPr="00D67E1E" w:rsidRDefault="003720DE" w:rsidP="002C6D5C">
      <w:pPr>
        <w:pStyle w:val="NoSpacing"/>
        <w:numPr>
          <w:ilvl w:val="0"/>
          <w:numId w:val="11"/>
        </w:numPr>
        <w:rPr>
          <w:rFonts w:ascii="Times New Roman" w:eastAsia="OneGulliverA" w:hAnsi="Times New Roman" w:cs="Times New Roman"/>
          <w:sz w:val="24"/>
          <w:szCs w:val="24"/>
        </w:rPr>
      </w:pPr>
      <w:r w:rsidRPr="00D67E1E">
        <w:rPr>
          <w:rFonts w:ascii="Times New Roman" w:hAnsi="Times New Roman" w:cs="Times New Roman"/>
          <w:sz w:val="24"/>
          <w:szCs w:val="24"/>
        </w:rPr>
        <w:lastRenderedPageBreak/>
        <w:t>Post, T., van Vliet, P. and Levy, H., 2008. Risk aversion and skewness preference. Journal of Banking &amp; Finance, 32(7), pp.1178-1187.</w:t>
      </w:r>
    </w:p>
    <w:p w14:paraId="1B392C09" w14:textId="501EF1B4" w:rsidR="003720DE" w:rsidRPr="00D67E1E" w:rsidRDefault="003720DE" w:rsidP="002C6D5C">
      <w:pPr>
        <w:pStyle w:val="NoSpacing"/>
        <w:numPr>
          <w:ilvl w:val="0"/>
          <w:numId w:val="11"/>
        </w:numPr>
        <w:rPr>
          <w:rFonts w:ascii="Times New Roman" w:hAnsi="Times New Roman" w:cs="Times New Roman"/>
          <w:sz w:val="24"/>
          <w:szCs w:val="24"/>
        </w:rPr>
      </w:pPr>
      <w:proofErr w:type="spellStart"/>
      <w:r w:rsidRPr="00D67E1E">
        <w:rPr>
          <w:rFonts w:ascii="Times New Roman" w:eastAsia="OneGulliverA" w:hAnsi="Times New Roman" w:cs="Times New Roman"/>
          <w:sz w:val="24"/>
          <w:szCs w:val="24"/>
        </w:rPr>
        <w:t>Postali</w:t>
      </w:r>
      <w:proofErr w:type="spellEnd"/>
      <w:r w:rsidRPr="00D67E1E">
        <w:rPr>
          <w:rFonts w:ascii="Times New Roman" w:eastAsia="OneGulliverA" w:hAnsi="Times New Roman" w:cs="Times New Roman"/>
          <w:sz w:val="24"/>
          <w:szCs w:val="24"/>
        </w:rPr>
        <w:t xml:space="preserve">, F., &amp; </w:t>
      </w:r>
      <w:proofErr w:type="spellStart"/>
      <w:r w:rsidRPr="00D67E1E">
        <w:rPr>
          <w:rFonts w:ascii="Times New Roman" w:eastAsia="OneGulliverA" w:hAnsi="Times New Roman" w:cs="Times New Roman"/>
          <w:sz w:val="24"/>
          <w:szCs w:val="24"/>
        </w:rPr>
        <w:t>Pichetti</w:t>
      </w:r>
      <w:proofErr w:type="spellEnd"/>
      <w:r w:rsidRPr="00D67E1E">
        <w:rPr>
          <w:rFonts w:ascii="Times New Roman" w:eastAsia="OneGulliverA" w:hAnsi="Times New Roman" w:cs="Times New Roman"/>
          <w:sz w:val="24"/>
          <w:szCs w:val="24"/>
        </w:rPr>
        <w:t xml:space="preserve">, P. (2006).” </w:t>
      </w:r>
      <w:r w:rsidRPr="00D67E1E">
        <w:rPr>
          <w:rFonts w:ascii="Times New Roman" w:eastAsia="OneGulliverA" w:hAnsi="Times New Roman" w:cs="Times New Roman"/>
          <w:i/>
          <w:sz w:val="24"/>
          <w:szCs w:val="24"/>
        </w:rPr>
        <w:t>Geometric Brownian Motion and structural breaks in oil Prices: A quantitative analysis</w:t>
      </w:r>
      <w:r w:rsidRPr="00D67E1E">
        <w:rPr>
          <w:rFonts w:ascii="Times New Roman" w:eastAsia="OneGulliverA" w:hAnsi="Times New Roman" w:cs="Times New Roman"/>
          <w:sz w:val="24"/>
          <w:szCs w:val="24"/>
        </w:rPr>
        <w:t xml:space="preserve">”. </w:t>
      </w:r>
      <w:r w:rsidRPr="00D67E1E">
        <w:rPr>
          <w:rFonts w:ascii="Times New Roman" w:eastAsia="OneGulliverA" w:hAnsi="Times New Roman" w:cs="Times New Roman"/>
          <w:iCs/>
          <w:sz w:val="24"/>
          <w:szCs w:val="24"/>
        </w:rPr>
        <w:t>Energy Economics</w:t>
      </w:r>
      <w:r w:rsidRPr="00D67E1E">
        <w:rPr>
          <w:rFonts w:ascii="Times New Roman" w:eastAsia="OneGulliverA" w:hAnsi="Times New Roman" w:cs="Times New Roman"/>
          <w:sz w:val="24"/>
          <w:szCs w:val="24"/>
        </w:rPr>
        <w:t xml:space="preserve">, </w:t>
      </w:r>
      <w:r w:rsidRPr="00D67E1E">
        <w:rPr>
          <w:rFonts w:ascii="Times New Roman" w:eastAsia="OneGulliverA" w:hAnsi="Times New Roman" w:cs="Times New Roman"/>
          <w:iCs/>
          <w:sz w:val="24"/>
          <w:szCs w:val="24"/>
        </w:rPr>
        <w:t>28</w:t>
      </w:r>
      <w:r w:rsidRPr="00D67E1E">
        <w:rPr>
          <w:rFonts w:ascii="Times New Roman" w:eastAsia="OneGulliverA" w:hAnsi="Times New Roman" w:cs="Times New Roman"/>
          <w:sz w:val="24"/>
          <w:szCs w:val="24"/>
        </w:rPr>
        <w:t>, 506–522.</w:t>
      </w:r>
    </w:p>
    <w:p w14:paraId="7B5B21D8" w14:textId="77777777" w:rsidR="003720DE" w:rsidRPr="00D67E1E" w:rsidRDefault="003720DE" w:rsidP="002C6D5C">
      <w:pPr>
        <w:pStyle w:val="NoSpacing"/>
        <w:numPr>
          <w:ilvl w:val="0"/>
          <w:numId w:val="11"/>
        </w:numPr>
        <w:rPr>
          <w:rFonts w:ascii="Times New Roman" w:eastAsia="OneGulliverA" w:hAnsi="Times New Roman" w:cs="Times New Roman"/>
          <w:sz w:val="24"/>
          <w:szCs w:val="24"/>
        </w:rPr>
      </w:pPr>
      <w:r w:rsidRPr="00D67E1E">
        <w:rPr>
          <w:rFonts w:ascii="Times New Roman" w:hAnsi="Times New Roman" w:cs="Times New Roman"/>
          <w:sz w:val="24"/>
          <w:szCs w:val="24"/>
        </w:rPr>
        <w:t>Rogers, L.C.G (1997),’Arbitrage with Fractional Brownian Motion’, math. Finance 7(1),95-105.</w:t>
      </w:r>
    </w:p>
    <w:p w14:paraId="722E4DB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Ruiz, E., Pérez, A., 2003. Asymmetric long memory GARCH: a reply to Hwang’s model. </w:t>
      </w:r>
      <w:proofErr w:type="spellStart"/>
      <w:r w:rsidRPr="00D67E1E">
        <w:rPr>
          <w:rFonts w:ascii="Times New Roman" w:hAnsi="Times New Roman" w:cs="Times New Roman"/>
          <w:i/>
          <w:iCs/>
          <w:sz w:val="24"/>
          <w:szCs w:val="24"/>
        </w:rPr>
        <w:t>Econom</w:t>
      </w:r>
      <w:proofErr w:type="spellEnd"/>
      <w:r w:rsidRPr="00D67E1E">
        <w:rPr>
          <w:rFonts w:ascii="Times New Roman" w:hAnsi="Times New Roman" w:cs="Times New Roman"/>
          <w:i/>
          <w:iCs/>
          <w:sz w:val="24"/>
          <w:szCs w:val="24"/>
        </w:rPr>
        <w:t>. Lett</w:t>
      </w:r>
      <w:r w:rsidRPr="00D67E1E">
        <w:rPr>
          <w:rFonts w:ascii="Times New Roman" w:hAnsi="Times New Roman" w:cs="Times New Roman"/>
          <w:sz w:val="24"/>
          <w:szCs w:val="24"/>
        </w:rPr>
        <w:t xml:space="preserve">. 78, 415–422. </w:t>
      </w:r>
    </w:p>
    <w:p w14:paraId="7568FF48"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So, M.K.P., Li, W.K., Lam, K., 2002. A threshold stochastic volatility model. </w:t>
      </w:r>
      <w:r w:rsidRPr="00D67E1E">
        <w:rPr>
          <w:rFonts w:ascii="Times New Roman" w:hAnsi="Times New Roman" w:cs="Times New Roman"/>
          <w:i/>
          <w:iCs/>
          <w:sz w:val="24"/>
          <w:szCs w:val="24"/>
        </w:rPr>
        <w:t>J. Forecasting</w:t>
      </w:r>
      <w:r w:rsidRPr="00D67E1E">
        <w:rPr>
          <w:rFonts w:ascii="Times New Roman" w:hAnsi="Times New Roman" w:cs="Times New Roman"/>
          <w:sz w:val="24"/>
          <w:szCs w:val="24"/>
        </w:rPr>
        <w:t xml:space="preserve"> 21, 473–500. </w:t>
      </w:r>
    </w:p>
    <w:p w14:paraId="58167334"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Speight, A. E. H, McMillan, D. G., and ap Gwilym, O., (2000). Intraday volatility components in FTSE100 stock index futures, 2000, Journal of Futures Markets 20, 425 - 444.</w:t>
      </w:r>
    </w:p>
    <w:p w14:paraId="704E6A14"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Stout, W. F. (1974) Almost sure convergence, Academic Press. Weiss, A. A. (1986) Asymptotic theory for ARCH models: Estimation and testing, </w:t>
      </w:r>
      <w:r w:rsidRPr="00D67E1E">
        <w:rPr>
          <w:rFonts w:ascii="Times New Roman" w:hAnsi="Times New Roman" w:cs="Times New Roman"/>
          <w:i/>
          <w:iCs/>
          <w:sz w:val="24"/>
          <w:szCs w:val="24"/>
        </w:rPr>
        <w:t>Econometric Theory</w:t>
      </w:r>
      <w:r w:rsidRPr="00D67E1E">
        <w:rPr>
          <w:rFonts w:ascii="Times New Roman" w:hAnsi="Times New Roman" w:cs="Times New Roman"/>
          <w:sz w:val="24"/>
          <w:szCs w:val="24"/>
        </w:rPr>
        <w:t xml:space="preserve">. 2 107–131 </w:t>
      </w:r>
    </w:p>
    <w:p w14:paraId="0B487974"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Taylor, S.J., 1982. Financial returns modelled by the product of two stochastic processes—a study of daily sugar prices 1961–1978. In: Anderson, O.D. (Ed.), Time Series Analysis, vol. 1</w:t>
      </w:r>
      <w:r w:rsidRPr="00D67E1E">
        <w:rPr>
          <w:rFonts w:ascii="Times New Roman" w:hAnsi="Times New Roman" w:cs="Times New Roman"/>
          <w:i/>
          <w:iCs/>
          <w:sz w:val="24"/>
          <w:szCs w:val="24"/>
        </w:rPr>
        <w:t>. North-Holland, Amsterdam</w:t>
      </w:r>
      <w:r w:rsidRPr="00D67E1E">
        <w:rPr>
          <w:rFonts w:ascii="Times New Roman" w:hAnsi="Times New Roman" w:cs="Times New Roman"/>
          <w:sz w:val="24"/>
          <w:szCs w:val="24"/>
        </w:rPr>
        <w:t xml:space="preserve">, pp. 203–226. </w:t>
      </w:r>
    </w:p>
    <w:p w14:paraId="7668181A"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Taylor, S.J., 1994. Modelling stochastic volatility: a review and comparative study. Math. </w:t>
      </w:r>
      <w:r w:rsidRPr="00D67E1E">
        <w:rPr>
          <w:rFonts w:ascii="Times New Roman" w:hAnsi="Times New Roman" w:cs="Times New Roman"/>
          <w:i/>
          <w:iCs/>
          <w:sz w:val="24"/>
          <w:szCs w:val="24"/>
        </w:rPr>
        <w:t>Finance</w:t>
      </w:r>
      <w:r w:rsidRPr="00D67E1E">
        <w:rPr>
          <w:rFonts w:ascii="Times New Roman" w:hAnsi="Times New Roman" w:cs="Times New Roman"/>
          <w:sz w:val="24"/>
          <w:szCs w:val="24"/>
        </w:rPr>
        <w:t xml:space="preserve"> 4, 183–204. </w:t>
      </w:r>
    </w:p>
    <w:p w14:paraId="127189CB"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Taylor, S.J., 2005. Asset Price Dynamics, Volatility and Prediction. Princeton </w:t>
      </w:r>
      <w:r w:rsidRPr="00D67E1E">
        <w:rPr>
          <w:rFonts w:ascii="Times New Roman" w:hAnsi="Times New Roman" w:cs="Times New Roman"/>
          <w:i/>
          <w:iCs/>
          <w:sz w:val="24"/>
          <w:szCs w:val="24"/>
        </w:rPr>
        <w:t>University Press, Princeton</w:t>
      </w:r>
      <w:r w:rsidRPr="00D67E1E">
        <w:rPr>
          <w:rFonts w:ascii="Times New Roman" w:hAnsi="Times New Roman" w:cs="Times New Roman"/>
          <w:sz w:val="24"/>
          <w:szCs w:val="24"/>
        </w:rPr>
        <w:t xml:space="preserve">, </w:t>
      </w:r>
    </w:p>
    <w:p w14:paraId="28BFFD66"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hAnsi="Times New Roman" w:cs="Times New Roman"/>
          <w:i/>
          <w:sz w:val="24"/>
          <w:szCs w:val="24"/>
        </w:rPr>
        <w:t>Waiting Times</w:t>
      </w:r>
      <w:r w:rsidRPr="00D67E1E">
        <w:rPr>
          <w:rFonts w:ascii="Times New Roman" w:hAnsi="Times New Roman" w:cs="Times New Roman"/>
          <w:sz w:val="24"/>
          <w:szCs w:val="24"/>
        </w:rPr>
        <w:t>”, Journal of Statistical Physics (2012) 148:296-305.</w:t>
      </w:r>
    </w:p>
    <w:p w14:paraId="686904EC" w14:textId="77777777" w:rsidR="003720DE" w:rsidRPr="00B85D78" w:rsidRDefault="003720DE" w:rsidP="003720DE">
      <w:pPr>
        <w:pStyle w:val="ListParagraph"/>
        <w:numPr>
          <w:ilvl w:val="0"/>
          <w:numId w:val="11"/>
        </w:numPr>
        <w:spacing w:line="240" w:lineRule="auto"/>
        <w:rPr>
          <w:rFonts w:ascii="Times New Roman" w:hAnsi="Times New Roman" w:cs="Times New Roman"/>
          <w:sz w:val="24"/>
          <w:szCs w:val="24"/>
        </w:rPr>
      </w:pPr>
      <w:r w:rsidRPr="00B85D78">
        <w:rPr>
          <w:rFonts w:ascii="Times New Roman" w:hAnsi="Times New Roman" w:cs="Times New Roman"/>
          <w:sz w:val="24"/>
          <w:szCs w:val="24"/>
        </w:rPr>
        <w:t>Xu, X., and Stephen, T., (1994). The term structure of volatility implied by foreign exchange options, Journal of Financial and Quantitative Analysis 29, 57-74.</w:t>
      </w:r>
    </w:p>
    <w:p w14:paraId="1FEECDE5" w14:textId="77777777" w:rsidR="003720DE" w:rsidRPr="00D67E1E" w:rsidRDefault="003720DE" w:rsidP="002C6D5C">
      <w:pPr>
        <w:pStyle w:val="NoSpacing"/>
        <w:numPr>
          <w:ilvl w:val="0"/>
          <w:numId w:val="11"/>
        </w:numPr>
        <w:rPr>
          <w:rFonts w:ascii="Times New Roman" w:hAnsi="Times New Roman" w:cs="Times New Roman"/>
          <w:sz w:val="24"/>
          <w:szCs w:val="24"/>
        </w:rPr>
      </w:pPr>
      <w:r w:rsidRPr="00D67E1E">
        <w:rPr>
          <w:rFonts w:ascii="Times New Roman" w:eastAsia="OneGulliverA" w:hAnsi="Times New Roman" w:cs="Times New Roman"/>
          <w:sz w:val="24"/>
          <w:szCs w:val="24"/>
        </w:rPr>
        <w:t>Yu, J. (2007). “</w:t>
      </w:r>
      <w:r w:rsidRPr="00D67E1E">
        <w:rPr>
          <w:rFonts w:ascii="Times New Roman" w:eastAsia="OneGulliverA" w:hAnsi="Times New Roman" w:cs="Times New Roman"/>
          <w:i/>
          <w:sz w:val="24"/>
          <w:szCs w:val="24"/>
        </w:rPr>
        <w:t>Closed-form likelihood estimation of jump-diffusions with an application to the realignment risk of the Chinese Yuan</w:t>
      </w:r>
      <w:r w:rsidRPr="00D67E1E">
        <w:rPr>
          <w:rFonts w:ascii="Times New Roman" w:eastAsia="OneGulliverA" w:hAnsi="Times New Roman" w:cs="Times New Roman"/>
          <w:sz w:val="24"/>
          <w:szCs w:val="24"/>
        </w:rPr>
        <w:t xml:space="preserve">”. </w:t>
      </w:r>
      <w:r w:rsidRPr="00D67E1E">
        <w:rPr>
          <w:rFonts w:ascii="Times New Roman" w:eastAsia="OneGulliverA" w:hAnsi="Times New Roman" w:cs="Times New Roman"/>
          <w:iCs/>
          <w:sz w:val="24"/>
          <w:szCs w:val="24"/>
        </w:rPr>
        <w:t>Journal of Econometrics</w:t>
      </w:r>
      <w:r w:rsidRPr="00D67E1E">
        <w:rPr>
          <w:rFonts w:ascii="Times New Roman" w:eastAsia="OneGulliverA" w:hAnsi="Times New Roman" w:cs="Times New Roman"/>
          <w:sz w:val="24"/>
          <w:szCs w:val="24"/>
        </w:rPr>
        <w:t xml:space="preserve">, </w:t>
      </w:r>
      <w:r w:rsidRPr="00D67E1E">
        <w:rPr>
          <w:rFonts w:ascii="Times New Roman" w:eastAsia="OneGulliverA" w:hAnsi="Times New Roman" w:cs="Times New Roman"/>
          <w:iCs/>
          <w:sz w:val="24"/>
          <w:szCs w:val="24"/>
        </w:rPr>
        <w:t>141</w:t>
      </w:r>
      <w:r w:rsidRPr="00D67E1E">
        <w:rPr>
          <w:rFonts w:ascii="Times New Roman" w:eastAsia="OneGulliverA" w:hAnsi="Times New Roman" w:cs="Times New Roman"/>
          <w:sz w:val="24"/>
          <w:szCs w:val="24"/>
        </w:rPr>
        <w:t>, 1245–1280.</w:t>
      </w:r>
    </w:p>
    <w:p w14:paraId="275D7CD8" w14:textId="77777777" w:rsidR="003720DE" w:rsidRPr="00D67E1E" w:rsidRDefault="003720DE" w:rsidP="00D67E1E">
      <w:pPr>
        <w:pStyle w:val="NoSpacing"/>
        <w:numPr>
          <w:ilvl w:val="0"/>
          <w:numId w:val="11"/>
        </w:numPr>
        <w:rPr>
          <w:rFonts w:ascii="Times New Roman" w:hAnsi="Times New Roman" w:cs="Times New Roman"/>
          <w:sz w:val="24"/>
          <w:szCs w:val="24"/>
        </w:rPr>
      </w:pPr>
      <w:r w:rsidRPr="00D67E1E">
        <w:rPr>
          <w:rFonts w:ascii="Times New Roman" w:hAnsi="Times New Roman" w:cs="Times New Roman"/>
          <w:sz w:val="24"/>
          <w:szCs w:val="24"/>
        </w:rPr>
        <w:t xml:space="preserve">Yu, J., Yang, Z., Zhang, X., 2006. A class of nonlinear stochastic volatility models and its implications for pricing currency options. </w:t>
      </w:r>
      <w:r w:rsidRPr="00D67E1E">
        <w:rPr>
          <w:rFonts w:ascii="Times New Roman" w:hAnsi="Times New Roman" w:cs="Times New Roman"/>
          <w:i/>
          <w:iCs/>
          <w:sz w:val="24"/>
          <w:szCs w:val="24"/>
        </w:rPr>
        <w:t>Computing. Statist. Data Anal</w:t>
      </w:r>
      <w:r w:rsidRPr="00D67E1E">
        <w:rPr>
          <w:rFonts w:ascii="Times New Roman" w:hAnsi="Times New Roman" w:cs="Times New Roman"/>
          <w:sz w:val="24"/>
          <w:szCs w:val="24"/>
        </w:rPr>
        <w:t xml:space="preserve">. 51, 2218–2231. </w:t>
      </w:r>
    </w:p>
    <w:p w14:paraId="488B3C37"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Zaffaroni</w:t>
      </w:r>
      <w:proofErr w:type="spellEnd"/>
      <w:r w:rsidRPr="00D67E1E">
        <w:rPr>
          <w:rFonts w:ascii="Times New Roman" w:hAnsi="Times New Roman" w:cs="Times New Roman"/>
          <w:sz w:val="24"/>
          <w:szCs w:val="24"/>
        </w:rPr>
        <w:t xml:space="preserve">, P., 2004. Stationarity and memory of ARCH (∞) models. </w:t>
      </w:r>
      <w:r w:rsidRPr="00D67E1E">
        <w:rPr>
          <w:rFonts w:ascii="Times New Roman" w:hAnsi="Times New Roman" w:cs="Times New Roman"/>
          <w:i/>
          <w:iCs/>
          <w:sz w:val="24"/>
          <w:szCs w:val="24"/>
        </w:rPr>
        <w:t>Econometric Theory</w:t>
      </w:r>
      <w:r w:rsidRPr="00D67E1E">
        <w:rPr>
          <w:rFonts w:ascii="Times New Roman" w:hAnsi="Times New Roman" w:cs="Times New Roman"/>
          <w:sz w:val="24"/>
          <w:szCs w:val="24"/>
        </w:rPr>
        <w:t xml:space="preserve"> 20, 147–160. </w:t>
      </w:r>
    </w:p>
    <w:p w14:paraId="2091EA57"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Zaffaroni</w:t>
      </w:r>
      <w:proofErr w:type="spellEnd"/>
      <w:r w:rsidRPr="00D67E1E">
        <w:rPr>
          <w:rFonts w:ascii="Times New Roman" w:hAnsi="Times New Roman" w:cs="Times New Roman"/>
          <w:sz w:val="24"/>
          <w:szCs w:val="24"/>
        </w:rPr>
        <w:t>, P., 2005. Whittle estimation of exponential volatility models. Manuscript.</w:t>
      </w:r>
    </w:p>
    <w:p w14:paraId="18D7D5B6" w14:textId="77777777" w:rsidR="003720DE" w:rsidRPr="00D67E1E" w:rsidRDefault="003720DE" w:rsidP="00D67E1E">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Zakoian</w:t>
      </w:r>
      <w:proofErr w:type="spellEnd"/>
      <w:r w:rsidRPr="00D67E1E">
        <w:rPr>
          <w:rFonts w:ascii="Times New Roman" w:hAnsi="Times New Roman" w:cs="Times New Roman"/>
          <w:sz w:val="24"/>
          <w:szCs w:val="24"/>
        </w:rPr>
        <w:t xml:space="preserve">, J. M. (1994) Threshold heteroskedastic models, </w:t>
      </w:r>
      <w:r w:rsidRPr="00D67E1E">
        <w:rPr>
          <w:rFonts w:ascii="Times New Roman" w:hAnsi="Times New Roman" w:cs="Times New Roman"/>
          <w:i/>
          <w:iCs/>
          <w:sz w:val="24"/>
          <w:szCs w:val="24"/>
        </w:rPr>
        <w:t>Journal of Economic Dynamics and Control</w:t>
      </w:r>
      <w:r w:rsidRPr="00D67E1E">
        <w:rPr>
          <w:rFonts w:ascii="Times New Roman" w:hAnsi="Times New Roman" w:cs="Times New Roman"/>
          <w:sz w:val="24"/>
          <w:szCs w:val="24"/>
        </w:rPr>
        <w:t>. 18, 931–955.</w:t>
      </w:r>
    </w:p>
    <w:p w14:paraId="2B2E733F" w14:textId="77777777" w:rsidR="003720DE" w:rsidRDefault="003720DE" w:rsidP="002C6D5C">
      <w:pPr>
        <w:pStyle w:val="NoSpacing"/>
        <w:numPr>
          <w:ilvl w:val="0"/>
          <w:numId w:val="11"/>
        </w:numPr>
        <w:rPr>
          <w:rFonts w:ascii="Times New Roman" w:hAnsi="Times New Roman" w:cs="Times New Roman"/>
          <w:sz w:val="24"/>
          <w:szCs w:val="24"/>
        </w:rPr>
      </w:pPr>
      <w:proofErr w:type="spellStart"/>
      <w:r w:rsidRPr="00D67E1E">
        <w:rPr>
          <w:rFonts w:ascii="Times New Roman" w:hAnsi="Times New Roman" w:cs="Times New Roman"/>
          <w:sz w:val="24"/>
          <w:szCs w:val="24"/>
        </w:rPr>
        <w:t>Zakoian</w:t>
      </w:r>
      <w:proofErr w:type="spellEnd"/>
      <w:r w:rsidRPr="00D67E1E">
        <w:rPr>
          <w:rFonts w:ascii="Times New Roman" w:hAnsi="Times New Roman" w:cs="Times New Roman"/>
          <w:sz w:val="24"/>
          <w:szCs w:val="24"/>
        </w:rPr>
        <w:t>, J.M., 1994. Threshold heteroskedastic models. Journal of Economic Dynamics and control, 18(5), pp.931-955.</w:t>
      </w:r>
    </w:p>
    <w:p w14:paraId="6E7E4BA9" w14:textId="4E2B5EF5" w:rsidR="00990265" w:rsidRDefault="00990265" w:rsidP="00D67E1E">
      <w:pPr>
        <w:pStyle w:val="NoSpacing"/>
        <w:rPr>
          <w:rFonts w:ascii="Times New Roman" w:hAnsi="Times New Roman" w:cs="Times New Roman"/>
          <w:sz w:val="24"/>
          <w:szCs w:val="24"/>
        </w:rPr>
      </w:pPr>
    </w:p>
    <w:p w14:paraId="70E6AB4D" w14:textId="5C46A20E" w:rsidR="003720DE" w:rsidRDefault="003720DE" w:rsidP="00D67E1E">
      <w:pPr>
        <w:pStyle w:val="NoSpacing"/>
        <w:rPr>
          <w:rFonts w:ascii="Times New Roman" w:hAnsi="Times New Roman" w:cs="Times New Roman"/>
          <w:sz w:val="24"/>
          <w:szCs w:val="24"/>
        </w:rPr>
      </w:pPr>
    </w:p>
    <w:p w14:paraId="1CC3E14F" w14:textId="62859B61" w:rsidR="003720DE" w:rsidRDefault="003720DE" w:rsidP="00D67E1E">
      <w:pPr>
        <w:pStyle w:val="NoSpacing"/>
        <w:rPr>
          <w:rFonts w:ascii="Times New Roman" w:hAnsi="Times New Roman" w:cs="Times New Roman"/>
          <w:sz w:val="24"/>
          <w:szCs w:val="24"/>
        </w:rPr>
      </w:pPr>
    </w:p>
    <w:p w14:paraId="3AA6CB8E" w14:textId="4E64DAEE" w:rsidR="003720DE" w:rsidRDefault="003720DE" w:rsidP="00D67E1E">
      <w:pPr>
        <w:pStyle w:val="NoSpacing"/>
        <w:rPr>
          <w:rFonts w:ascii="Times New Roman" w:hAnsi="Times New Roman" w:cs="Times New Roman"/>
          <w:sz w:val="24"/>
          <w:szCs w:val="24"/>
        </w:rPr>
      </w:pPr>
    </w:p>
    <w:p w14:paraId="0E2FC67D" w14:textId="09629EE8" w:rsidR="003720DE" w:rsidRDefault="003720DE" w:rsidP="00D67E1E">
      <w:pPr>
        <w:pStyle w:val="NoSpacing"/>
        <w:rPr>
          <w:rFonts w:ascii="Times New Roman" w:hAnsi="Times New Roman" w:cs="Times New Roman"/>
          <w:sz w:val="24"/>
          <w:szCs w:val="24"/>
        </w:rPr>
      </w:pPr>
    </w:p>
    <w:p w14:paraId="2776D644" w14:textId="77777777" w:rsidR="003720DE" w:rsidRPr="00D67E1E" w:rsidRDefault="003720DE" w:rsidP="00D67E1E">
      <w:pPr>
        <w:pStyle w:val="NoSpacing"/>
        <w:rPr>
          <w:rFonts w:ascii="Times New Roman" w:hAnsi="Times New Roman" w:cs="Times New Roman"/>
          <w:sz w:val="24"/>
          <w:szCs w:val="24"/>
        </w:rPr>
      </w:pPr>
    </w:p>
    <w:p w14:paraId="6119AA27" w14:textId="15AF249C" w:rsidR="00CD195D" w:rsidRDefault="00CD195D" w:rsidP="00C83870">
      <w:pPr>
        <w:pStyle w:val="Heading1"/>
        <w:rPr>
          <w:w w:val="105"/>
        </w:rPr>
      </w:pPr>
      <w:bookmarkStart w:id="212" w:name="_Toc90500018"/>
      <w:r>
        <w:rPr>
          <w:w w:val="105"/>
        </w:rPr>
        <w:lastRenderedPageBreak/>
        <w:t>References (Part 1,2 and 3</w:t>
      </w:r>
      <w:r w:rsidR="009C5EB6">
        <w:rPr>
          <w:w w:val="105"/>
        </w:rPr>
        <w:t xml:space="preserve"> together</w:t>
      </w:r>
      <w:r>
        <w:rPr>
          <w:w w:val="105"/>
        </w:rPr>
        <w:t>)</w:t>
      </w:r>
      <w:bookmarkEnd w:id="212"/>
    </w:p>
    <w:p w14:paraId="7B1C3FD2" w14:textId="77777777" w:rsidR="00F57796" w:rsidRPr="00F57796" w:rsidRDefault="00F57796" w:rsidP="00F57796"/>
    <w:p w14:paraId="70EF99B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Abounoori</w:t>
      </w:r>
      <w:proofErr w:type="spellEnd"/>
      <w:r w:rsidRPr="00BA4513">
        <w:rPr>
          <w:rFonts w:ascii="Times New Roman" w:hAnsi="Times New Roman" w:cs="Times New Roman"/>
          <w:sz w:val="24"/>
          <w:szCs w:val="24"/>
        </w:rPr>
        <w:t xml:space="preserve">, A.A., </w:t>
      </w:r>
      <w:proofErr w:type="spellStart"/>
      <w:r w:rsidRPr="00BA4513">
        <w:rPr>
          <w:rFonts w:ascii="Times New Roman" w:hAnsi="Times New Roman" w:cs="Times New Roman"/>
          <w:sz w:val="24"/>
          <w:szCs w:val="24"/>
        </w:rPr>
        <w:t>Naderi</w:t>
      </w:r>
      <w:proofErr w:type="spellEnd"/>
      <w:r w:rsidRPr="00BA4513">
        <w:rPr>
          <w:rFonts w:ascii="Times New Roman" w:hAnsi="Times New Roman" w:cs="Times New Roman"/>
          <w:sz w:val="24"/>
          <w:szCs w:val="24"/>
        </w:rPr>
        <w:t xml:space="preserve">, E., </w:t>
      </w:r>
      <w:proofErr w:type="spellStart"/>
      <w:r w:rsidRPr="00BA4513">
        <w:rPr>
          <w:rFonts w:ascii="Times New Roman" w:hAnsi="Times New Roman" w:cs="Times New Roman"/>
          <w:sz w:val="24"/>
          <w:szCs w:val="24"/>
        </w:rPr>
        <w:t>Alikhani</w:t>
      </w:r>
      <w:proofErr w:type="spellEnd"/>
      <w:r w:rsidRPr="00BA4513">
        <w:rPr>
          <w:rFonts w:ascii="Times New Roman" w:hAnsi="Times New Roman" w:cs="Times New Roman"/>
          <w:sz w:val="24"/>
          <w:szCs w:val="24"/>
        </w:rPr>
        <w:t xml:space="preserve">, N.G., Amiri, A. (2013), Financial Time Series Forecasting by Developing a Hybrid Intelligent System, </w:t>
      </w:r>
      <w:r w:rsidRPr="00BA4513">
        <w:rPr>
          <w:rFonts w:ascii="Times New Roman" w:hAnsi="Times New Roman" w:cs="Times New Roman"/>
          <w:i/>
          <w:sz w:val="24"/>
          <w:szCs w:val="24"/>
        </w:rPr>
        <w:t>MPRA Paper</w:t>
      </w:r>
      <w:r w:rsidRPr="00BA4513">
        <w:rPr>
          <w:rFonts w:ascii="Times New Roman" w:hAnsi="Times New Roman" w:cs="Times New Roman"/>
          <w:sz w:val="24"/>
          <w:szCs w:val="24"/>
        </w:rPr>
        <w:t xml:space="preserve"> 45615. Germany: University Library of Munich. </w:t>
      </w:r>
    </w:p>
    <w:p w14:paraId="32E8EF2D"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Abounoori</w:t>
      </w:r>
      <w:proofErr w:type="spellEnd"/>
      <w:r w:rsidRPr="00BA4513">
        <w:rPr>
          <w:rFonts w:ascii="Times New Roman" w:hAnsi="Times New Roman" w:cs="Times New Roman"/>
          <w:sz w:val="24"/>
          <w:szCs w:val="24"/>
        </w:rPr>
        <w:t xml:space="preserve">, A.A., </w:t>
      </w:r>
      <w:proofErr w:type="spellStart"/>
      <w:r w:rsidRPr="00BA4513">
        <w:rPr>
          <w:rFonts w:ascii="Times New Roman" w:hAnsi="Times New Roman" w:cs="Times New Roman"/>
          <w:sz w:val="24"/>
          <w:szCs w:val="24"/>
        </w:rPr>
        <w:t>Naderi</w:t>
      </w:r>
      <w:proofErr w:type="spellEnd"/>
      <w:r w:rsidRPr="00BA4513">
        <w:rPr>
          <w:rFonts w:ascii="Times New Roman" w:hAnsi="Times New Roman" w:cs="Times New Roman"/>
          <w:sz w:val="24"/>
          <w:szCs w:val="24"/>
        </w:rPr>
        <w:t xml:space="preserve">, E., </w:t>
      </w:r>
      <w:proofErr w:type="spellStart"/>
      <w:r w:rsidRPr="00BA4513">
        <w:rPr>
          <w:rFonts w:ascii="Times New Roman" w:hAnsi="Times New Roman" w:cs="Times New Roman"/>
          <w:sz w:val="24"/>
          <w:szCs w:val="24"/>
        </w:rPr>
        <w:t>Alikhani</w:t>
      </w:r>
      <w:proofErr w:type="spellEnd"/>
      <w:r w:rsidRPr="00BA4513">
        <w:rPr>
          <w:rFonts w:ascii="Times New Roman" w:hAnsi="Times New Roman" w:cs="Times New Roman"/>
          <w:sz w:val="24"/>
          <w:szCs w:val="24"/>
        </w:rPr>
        <w:t xml:space="preserve">, N.G., Amiri, A. (2013), Financial Time Series Forecasting by Developing a Hybrid Intelligent System, MPRA Paper 45615. Germany: University Library of Munich. </w:t>
      </w:r>
    </w:p>
    <w:p w14:paraId="2D2C6831"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Acharya,</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V.,</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Johnson,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Insider</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trading</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derivatives.</w:t>
      </w:r>
      <w:r w:rsidRPr="00BA4513">
        <w:rPr>
          <w:rFonts w:ascii="Times New Roman" w:hAnsi="Times New Roman" w:cs="Times New Roman"/>
          <w:spacing w:val="-7"/>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84,</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110–141.</w:t>
      </w:r>
    </w:p>
    <w:p w14:paraId="1BA5E749"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Acharya,</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V.,</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Pedersen,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L.H.,</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pricing</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with</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4"/>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5"/>
          <w:sz w:val="24"/>
          <w:szCs w:val="24"/>
        </w:rPr>
        <w:t xml:space="preserve"> </w:t>
      </w:r>
      <w:r w:rsidRPr="00BA4513">
        <w:rPr>
          <w:rFonts w:ascii="Times New Roman" w:hAnsi="Times New Roman" w:cs="Times New Roman"/>
          <w:i/>
          <w:iCs/>
          <w:sz w:val="24"/>
          <w:szCs w:val="24"/>
        </w:rPr>
        <w:t>Financial Economics</w:t>
      </w:r>
      <w:r w:rsidRPr="00BA4513">
        <w:rPr>
          <w:rFonts w:ascii="Times New Roman" w:hAnsi="Times New Roman" w:cs="Times New Roman"/>
          <w:sz w:val="24"/>
          <w:szCs w:val="24"/>
        </w:rPr>
        <w: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77,</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375–410.</w:t>
      </w:r>
    </w:p>
    <w:p w14:paraId="46A699EF"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w w:val="105"/>
          <w:sz w:val="24"/>
          <w:szCs w:val="24"/>
        </w:rPr>
        <w:t>Acharya,</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V.,</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Schaefer,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Liquidity</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Correlation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Implications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w w:val="109"/>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Management.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Paper.</w:t>
      </w:r>
    </w:p>
    <w:p w14:paraId="006C4B6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Adrian, T. and Rosenberg, J., 2008. Stock returns and volatility: Pricing the short‐run and long‐run components of market risk. The journal of Finance, 63(6), pp.2997-3030.</w:t>
      </w:r>
    </w:p>
    <w:p w14:paraId="55967A2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Adrian,</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T.,</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Shin</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2008.</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Intermediaries,</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w w:val="107"/>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Paper</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presented</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at</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i/>
          <w:iCs/>
          <w:w w:val="105"/>
          <w:sz w:val="24"/>
          <w:szCs w:val="24"/>
        </w:rPr>
        <w:t>Federal</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Reserve</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Bank</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Kansas</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City</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 xml:space="preserve">Symposium. </w:t>
      </w:r>
      <w:r w:rsidRPr="00BA4513">
        <w:rPr>
          <w:rFonts w:ascii="Times New Roman" w:hAnsi="Times New Roman" w:cs="Times New Roman"/>
          <w:w w:val="105"/>
          <w:sz w:val="24"/>
          <w:szCs w:val="24"/>
        </w:rPr>
        <w:t>at</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Jackson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Hole,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Wyoming,</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August</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21–23.</w:t>
      </w:r>
    </w:p>
    <w:p w14:paraId="08D7FC3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Adrian,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Shin,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2008a.</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Liquidity</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cycles.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Papers</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25,</w:t>
      </w:r>
    </w:p>
    <w:p w14:paraId="60F28538"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Adrian,</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T.,</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Shin,</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H.,</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2010.</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intermediaries</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economics.</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Friedman,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Woodford,</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(Eds.),</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Handbook</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Monetary</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Elsevier,</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York,</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pp.</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601–650.</w:t>
      </w:r>
    </w:p>
    <w:p w14:paraId="52ED8FA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Ahmed, A.E.M., Suliman, S.Z. (2011),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stock market volatility using GARCH models’ evidence from Sudan. </w:t>
      </w:r>
      <w:r w:rsidRPr="00BA4513">
        <w:rPr>
          <w:rFonts w:ascii="Times New Roman" w:hAnsi="Times New Roman" w:cs="Times New Roman"/>
          <w:i/>
          <w:sz w:val="24"/>
          <w:szCs w:val="24"/>
        </w:rPr>
        <w:t xml:space="preserve">International Journal of Business and Social Science, </w:t>
      </w:r>
      <w:r w:rsidRPr="00BA4513">
        <w:rPr>
          <w:rFonts w:ascii="Times New Roman" w:hAnsi="Times New Roman" w:cs="Times New Roman"/>
          <w:sz w:val="24"/>
          <w:szCs w:val="24"/>
        </w:rPr>
        <w:t xml:space="preserve">2(23), 114. </w:t>
      </w:r>
    </w:p>
    <w:p w14:paraId="7EAC0EF7" w14:textId="2EA27429"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Ahmed, A.E.M., Suliman, S.Z. (2011),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stock market volatility using GARCH </w:t>
      </w:r>
      <w:r w:rsidR="00F57796" w:rsidRPr="00BA4513">
        <w:rPr>
          <w:rFonts w:ascii="Times New Roman" w:hAnsi="Times New Roman" w:cs="Times New Roman"/>
          <w:sz w:val="24"/>
          <w:szCs w:val="24"/>
        </w:rPr>
        <w:t>models’</w:t>
      </w:r>
      <w:r w:rsidRPr="00BA4513">
        <w:rPr>
          <w:rFonts w:ascii="Times New Roman" w:hAnsi="Times New Roman" w:cs="Times New Roman"/>
          <w:sz w:val="24"/>
          <w:szCs w:val="24"/>
        </w:rPr>
        <w:t xml:space="preserve"> evidence from Sudan. International Journal of Business and Social Science, 2(23), 114. </w:t>
      </w:r>
    </w:p>
    <w:p w14:paraId="29C7271F"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lang w:val="es-AR"/>
        </w:rPr>
      </w:pPr>
      <w:r w:rsidRPr="00BA4513">
        <w:rPr>
          <w:rFonts w:ascii="Times New Roman" w:hAnsi="Times New Roman" w:cs="Times New Roman"/>
          <w:w w:val="105"/>
          <w:sz w:val="24"/>
          <w:szCs w:val="24"/>
        </w:rPr>
        <w:t>Altman,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E.,</w:t>
      </w:r>
      <w:r w:rsidRPr="00BA4513">
        <w:rPr>
          <w:rFonts w:ascii="Times New Roman" w:hAnsi="Times New Roman" w:cs="Times New Roman"/>
          <w:spacing w:val="-18"/>
          <w:w w:val="105"/>
          <w:sz w:val="24"/>
          <w:szCs w:val="24"/>
        </w:rPr>
        <w:t xml:space="preserve"> </w:t>
      </w:r>
      <w:proofErr w:type="spellStart"/>
      <w:r w:rsidRPr="00BA4513">
        <w:rPr>
          <w:rFonts w:ascii="Times New Roman" w:hAnsi="Times New Roman" w:cs="Times New Roman"/>
          <w:w w:val="105"/>
          <w:sz w:val="24"/>
          <w:szCs w:val="24"/>
        </w:rPr>
        <w:t>Rijken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How</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rating</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agencies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achieve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rating</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28,</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2679–2714.</w:t>
      </w:r>
    </w:p>
    <w:p w14:paraId="5834A0CF"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w w:val="105"/>
          <w:sz w:val="24"/>
          <w:szCs w:val="24"/>
        </w:rPr>
        <w:t>Altman,</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E.,</w:t>
      </w:r>
      <w:r w:rsidRPr="00BA4513">
        <w:rPr>
          <w:rFonts w:ascii="Times New Roman" w:hAnsi="Times New Roman" w:cs="Times New Roman"/>
          <w:spacing w:val="20"/>
          <w:w w:val="105"/>
          <w:sz w:val="24"/>
          <w:szCs w:val="24"/>
        </w:rPr>
        <w:t xml:space="preserve"> </w:t>
      </w:r>
      <w:proofErr w:type="spellStart"/>
      <w:r w:rsidRPr="00BA4513">
        <w:rPr>
          <w:rFonts w:ascii="Times New Roman" w:hAnsi="Times New Roman" w:cs="Times New Roman"/>
          <w:w w:val="105"/>
          <w:sz w:val="24"/>
          <w:szCs w:val="24"/>
        </w:rPr>
        <w:t>Rijken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2005.</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impact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rating</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agencies’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through-the-cycle</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methodology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rating</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dynamics.</w:t>
      </w:r>
      <w:r w:rsidRPr="00BA4513">
        <w:rPr>
          <w:rFonts w:ascii="Times New Roman" w:hAnsi="Times New Roman" w:cs="Times New Roman"/>
          <w:spacing w:val="-2"/>
          <w:w w:val="105"/>
          <w:sz w:val="24"/>
          <w:szCs w:val="24"/>
        </w:rPr>
        <w:t xml:space="preserve"> </w:t>
      </w:r>
      <w:proofErr w:type="spellStart"/>
      <w:r w:rsidRPr="00BA4513">
        <w:rPr>
          <w:rFonts w:ascii="Times New Roman" w:hAnsi="Times New Roman" w:cs="Times New Roman"/>
          <w:i/>
          <w:iCs/>
          <w:w w:val="105"/>
          <w:sz w:val="24"/>
          <w:szCs w:val="24"/>
          <w:lang w:val="es-AR"/>
        </w:rPr>
        <w:t>Economic</w:t>
      </w:r>
      <w:proofErr w:type="spellEnd"/>
      <w:r w:rsidRPr="00BA4513">
        <w:rPr>
          <w:rFonts w:ascii="Times New Roman" w:hAnsi="Times New Roman" w:cs="Times New Roman"/>
          <w:i/>
          <w:iCs/>
          <w:spacing w:val="-3"/>
          <w:w w:val="105"/>
          <w:sz w:val="24"/>
          <w:szCs w:val="24"/>
          <w:lang w:val="es-AR"/>
        </w:rPr>
        <w:t xml:space="preserve"> </w:t>
      </w:r>
      <w:r w:rsidRPr="00BA4513">
        <w:rPr>
          <w:rFonts w:ascii="Times New Roman" w:hAnsi="Times New Roman" w:cs="Times New Roman"/>
          <w:i/>
          <w:iCs/>
          <w:w w:val="105"/>
          <w:sz w:val="24"/>
          <w:szCs w:val="24"/>
          <w:lang w:val="es-AR"/>
        </w:rPr>
        <w:t>Notes</w:t>
      </w:r>
      <w:r w:rsidRPr="00BA4513">
        <w:rPr>
          <w:rFonts w:ascii="Times New Roman" w:hAnsi="Times New Roman" w:cs="Times New Roman"/>
          <w:i/>
          <w:iCs/>
          <w:spacing w:val="-3"/>
          <w:w w:val="105"/>
          <w:sz w:val="24"/>
          <w:szCs w:val="24"/>
          <w:lang w:val="es-AR"/>
        </w:rPr>
        <w:t xml:space="preserve"> </w:t>
      </w:r>
      <w:proofErr w:type="spellStart"/>
      <w:r w:rsidRPr="00BA4513">
        <w:rPr>
          <w:rFonts w:ascii="Times New Roman" w:hAnsi="Times New Roman" w:cs="Times New Roman"/>
          <w:i/>
          <w:iCs/>
          <w:w w:val="105"/>
          <w:sz w:val="24"/>
          <w:szCs w:val="24"/>
          <w:lang w:val="es-AR"/>
        </w:rPr>
        <w:t>by</w:t>
      </w:r>
      <w:proofErr w:type="spellEnd"/>
      <w:r w:rsidRPr="00BA4513">
        <w:rPr>
          <w:rFonts w:ascii="Times New Roman" w:hAnsi="Times New Roman" w:cs="Times New Roman"/>
          <w:i/>
          <w:iCs/>
          <w:spacing w:val="-3"/>
          <w:w w:val="105"/>
          <w:sz w:val="24"/>
          <w:szCs w:val="24"/>
          <w:lang w:val="es-AR"/>
        </w:rPr>
        <w:t xml:space="preserve"> </w:t>
      </w:r>
      <w:r w:rsidRPr="00BA4513">
        <w:rPr>
          <w:rFonts w:ascii="Times New Roman" w:hAnsi="Times New Roman" w:cs="Times New Roman"/>
          <w:i/>
          <w:iCs/>
          <w:w w:val="105"/>
          <w:sz w:val="24"/>
          <w:szCs w:val="24"/>
          <w:lang w:val="es-AR"/>
        </w:rPr>
        <w:t>Banca</w:t>
      </w:r>
      <w:r w:rsidRPr="00BA4513">
        <w:rPr>
          <w:rFonts w:ascii="Times New Roman" w:hAnsi="Times New Roman" w:cs="Times New Roman"/>
          <w:i/>
          <w:iCs/>
          <w:spacing w:val="-2"/>
          <w:w w:val="105"/>
          <w:sz w:val="24"/>
          <w:szCs w:val="24"/>
          <w:lang w:val="es-AR"/>
        </w:rPr>
        <w:t xml:space="preserve"> </w:t>
      </w:r>
      <w:r w:rsidRPr="00BA4513">
        <w:rPr>
          <w:rFonts w:ascii="Times New Roman" w:hAnsi="Times New Roman" w:cs="Times New Roman"/>
          <w:i/>
          <w:iCs/>
          <w:w w:val="105"/>
          <w:sz w:val="24"/>
          <w:szCs w:val="24"/>
          <w:lang w:val="es-AR"/>
        </w:rPr>
        <w:t>Monte</w:t>
      </w:r>
      <w:r w:rsidRPr="00BA4513">
        <w:rPr>
          <w:rFonts w:ascii="Times New Roman" w:hAnsi="Times New Roman" w:cs="Times New Roman"/>
          <w:i/>
          <w:iCs/>
          <w:spacing w:val="-3"/>
          <w:w w:val="105"/>
          <w:sz w:val="24"/>
          <w:szCs w:val="24"/>
          <w:lang w:val="es-AR"/>
        </w:rPr>
        <w:t xml:space="preserve"> </w:t>
      </w:r>
      <w:proofErr w:type="spellStart"/>
      <w:r w:rsidRPr="00BA4513">
        <w:rPr>
          <w:rFonts w:ascii="Times New Roman" w:hAnsi="Times New Roman" w:cs="Times New Roman"/>
          <w:i/>
          <w:iCs/>
          <w:w w:val="105"/>
          <w:sz w:val="24"/>
          <w:szCs w:val="24"/>
          <w:lang w:val="es-AR"/>
        </w:rPr>
        <w:t>dei</w:t>
      </w:r>
      <w:proofErr w:type="spellEnd"/>
      <w:r w:rsidRPr="00BA4513">
        <w:rPr>
          <w:rFonts w:ascii="Times New Roman" w:hAnsi="Times New Roman" w:cs="Times New Roman"/>
          <w:i/>
          <w:iCs/>
          <w:spacing w:val="-3"/>
          <w:w w:val="105"/>
          <w:sz w:val="24"/>
          <w:szCs w:val="24"/>
          <w:lang w:val="es-AR"/>
        </w:rPr>
        <w:t xml:space="preserve"> </w:t>
      </w:r>
      <w:proofErr w:type="spellStart"/>
      <w:r w:rsidRPr="00BA4513">
        <w:rPr>
          <w:rFonts w:ascii="Times New Roman" w:hAnsi="Times New Roman" w:cs="Times New Roman"/>
          <w:i/>
          <w:iCs/>
          <w:w w:val="105"/>
          <w:sz w:val="24"/>
          <w:szCs w:val="24"/>
          <w:lang w:val="es-AR"/>
        </w:rPr>
        <w:t>Paschi</w:t>
      </w:r>
      <w:proofErr w:type="spellEnd"/>
      <w:r w:rsidRPr="00BA4513">
        <w:rPr>
          <w:rFonts w:ascii="Times New Roman" w:hAnsi="Times New Roman" w:cs="Times New Roman"/>
          <w:i/>
          <w:iCs/>
          <w:sz w:val="24"/>
          <w:szCs w:val="24"/>
          <w:lang w:val="es-AR"/>
        </w:rPr>
        <w:t xml:space="preserve"> </w:t>
      </w:r>
      <w:r w:rsidRPr="00BA4513">
        <w:rPr>
          <w:rFonts w:ascii="Times New Roman" w:hAnsi="Times New Roman" w:cs="Times New Roman"/>
          <w:i/>
          <w:iCs/>
          <w:w w:val="105"/>
          <w:sz w:val="24"/>
          <w:szCs w:val="24"/>
          <w:lang w:val="es-AR"/>
        </w:rPr>
        <w:t>di</w:t>
      </w:r>
      <w:r w:rsidRPr="00BA4513">
        <w:rPr>
          <w:rFonts w:ascii="Times New Roman" w:hAnsi="Times New Roman" w:cs="Times New Roman"/>
          <w:i/>
          <w:iCs/>
          <w:spacing w:val="-20"/>
          <w:w w:val="105"/>
          <w:sz w:val="24"/>
          <w:szCs w:val="24"/>
          <w:lang w:val="es-AR"/>
        </w:rPr>
        <w:t xml:space="preserve"> </w:t>
      </w:r>
      <w:r w:rsidRPr="00BA4513">
        <w:rPr>
          <w:rFonts w:ascii="Times New Roman" w:hAnsi="Times New Roman" w:cs="Times New Roman"/>
          <w:i/>
          <w:iCs/>
          <w:w w:val="105"/>
          <w:sz w:val="24"/>
          <w:szCs w:val="24"/>
          <w:lang w:val="es-AR"/>
        </w:rPr>
        <w:t>Siena</w:t>
      </w:r>
      <w:r w:rsidRPr="00BA4513">
        <w:rPr>
          <w:rFonts w:ascii="Times New Roman" w:hAnsi="Times New Roman" w:cs="Times New Roman"/>
          <w:i/>
          <w:iCs/>
          <w:spacing w:val="-19"/>
          <w:w w:val="105"/>
          <w:sz w:val="24"/>
          <w:szCs w:val="24"/>
          <w:lang w:val="es-AR"/>
        </w:rPr>
        <w:t xml:space="preserve"> </w:t>
      </w:r>
      <w:proofErr w:type="spellStart"/>
      <w:r w:rsidRPr="00BA4513">
        <w:rPr>
          <w:rFonts w:ascii="Times New Roman" w:hAnsi="Times New Roman" w:cs="Times New Roman"/>
          <w:i/>
          <w:iCs/>
          <w:w w:val="105"/>
          <w:sz w:val="24"/>
          <w:szCs w:val="24"/>
          <w:lang w:val="es-AR"/>
        </w:rPr>
        <w:t>SpA</w:t>
      </w:r>
      <w:proofErr w:type="spellEnd"/>
      <w:r w:rsidRPr="00BA4513">
        <w:rPr>
          <w:rFonts w:ascii="Times New Roman" w:hAnsi="Times New Roman" w:cs="Times New Roman"/>
          <w:spacing w:val="-19"/>
          <w:w w:val="105"/>
          <w:sz w:val="24"/>
          <w:szCs w:val="24"/>
          <w:lang w:val="es-AR"/>
        </w:rPr>
        <w:t xml:space="preserve"> </w:t>
      </w:r>
      <w:r w:rsidRPr="00BA4513">
        <w:rPr>
          <w:rFonts w:ascii="Times New Roman" w:hAnsi="Times New Roman" w:cs="Times New Roman"/>
          <w:w w:val="105"/>
          <w:sz w:val="24"/>
          <w:szCs w:val="24"/>
          <w:lang w:val="es-AR"/>
        </w:rPr>
        <w:t>34,</w:t>
      </w:r>
      <w:r w:rsidRPr="00BA4513">
        <w:rPr>
          <w:rFonts w:ascii="Times New Roman" w:hAnsi="Times New Roman" w:cs="Times New Roman"/>
          <w:spacing w:val="-19"/>
          <w:w w:val="105"/>
          <w:sz w:val="24"/>
          <w:szCs w:val="24"/>
          <w:lang w:val="es-AR"/>
        </w:rPr>
        <w:t xml:space="preserve"> </w:t>
      </w:r>
      <w:r w:rsidRPr="00BA4513">
        <w:rPr>
          <w:rFonts w:ascii="Times New Roman" w:hAnsi="Times New Roman" w:cs="Times New Roman"/>
          <w:w w:val="105"/>
          <w:sz w:val="24"/>
          <w:szCs w:val="24"/>
          <w:lang w:val="es-AR"/>
        </w:rPr>
        <w:t>127–154.</w:t>
      </w:r>
    </w:p>
    <w:p w14:paraId="760A0927"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Altunbas</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lang w:val="es-AR"/>
        </w:rPr>
        <w:t>Y.,</w:t>
      </w:r>
      <w:r w:rsidRPr="00BA4513">
        <w:rPr>
          <w:rFonts w:ascii="Times New Roman" w:hAnsi="Times New Roman" w:cs="Times New Roman"/>
          <w:spacing w:val="6"/>
          <w:sz w:val="24"/>
          <w:szCs w:val="24"/>
          <w:lang w:val="es-AR"/>
        </w:rPr>
        <w:t xml:space="preserve"> </w:t>
      </w:r>
      <w:proofErr w:type="spellStart"/>
      <w:r w:rsidRPr="00BA4513">
        <w:rPr>
          <w:rFonts w:ascii="Times New Roman" w:hAnsi="Times New Roman" w:cs="Times New Roman"/>
          <w:sz w:val="24"/>
          <w:szCs w:val="24"/>
          <w:lang w:val="es-AR"/>
        </w:rPr>
        <w:t>Gambacorta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6"/>
          <w:sz w:val="24"/>
          <w:szCs w:val="24"/>
          <w:lang w:val="es-AR"/>
        </w:rPr>
        <w:t xml:space="preserve"> </w:t>
      </w:r>
      <w:r w:rsidRPr="00BA4513">
        <w:rPr>
          <w:rFonts w:ascii="Times New Roman" w:hAnsi="Times New Roman" w:cs="Times New Roman"/>
          <w:sz w:val="24"/>
          <w:szCs w:val="24"/>
          <w:lang w:val="es-AR"/>
        </w:rPr>
        <w:t>L.,</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lang w:val="es-AR"/>
        </w:rPr>
        <w:t>Marques,</w:t>
      </w:r>
      <w:r w:rsidRPr="00BA4513">
        <w:rPr>
          <w:rFonts w:ascii="Times New Roman" w:hAnsi="Times New Roman" w:cs="Times New Roman"/>
          <w:spacing w:val="6"/>
          <w:sz w:val="24"/>
          <w:szCs w:val="24"/>
          <w:lang w:val="es-AR"/>
        </w:rPr>
        <w:t xml:space="preserve"> </w:t>
      </w:r>
      <w:r w:rsidRPr="00BA4513">
        <w:rPr>
          <w:rFonts w:ascii="Times New Roman" w:hAnsi="Times New Roman" w:cs="Times New Roman"/>
          <w:sz w:val="24"/>
          <w:szCs w:val="24"/>
          <w:lang w:val="es-AR"/>
        </w:rPr>
        <w:t>D.,</w:t>
      </w:r>
      <w:r w:rsidRPr="00BA4513">
        <w:rPr>
          <w:rFonts w:ascii="Times New Roman" w:hAnsi="Times New Roman" w:cs="Times New Roman"/>
          <w:spacing w:val="6"/>
          <w:sz w:val="24"/>
          <w:szCs w:val="24"/>
          <w:lang w:val="es-AR"/>
        </w:rPr>
        <w:t xml:space="preserve"> </w:t>
      </w:r>
      <w:r w:rsidRPr="00BA4513">
        <w:rPr>
          <w:rFonts w:ascii="Times New Roman" w:hAnsi="Times New Roman" w:cs="Times New Roman"/>
          <w:sz w:val="24"/>
          <w:szCs w:val="24"/>
          <w:lang w:val="es-AR"/>
        </w:rPr>
        <w:t>2010.</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rPr>
        <w:t>Does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Affect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w w:val="97"/>
          <w:sz w:val="24"/>
          <w:szCs w:val="24"/>
        </w:rPr>
        <w:t xml:space="preserve"> </w:t>
      </w:r>
      <w:r w:rsidRPr="00BA4513">
        <w:rPr>
          <w:rFonts w:ascii="Times New Roman" w:hAnsi="Times New Roman" w:cs="Times New Roman"/>
          <w:sz w:val="24"/>
          <w:szCs w:val="24"/>
        </w:rPr>
        <w:t>Risk-Taking?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ECB</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1166.</w:t>
      </w:r>
    </w:p>
    <w:p w14:paraId="7A0E02D8" w14:textId="77777777" w:rsidR="00BA4513" w:rsidRPr="00BA4513" w:rsidRDefault="00BA4513" w:rsidP="005A4160">
      <w:pPr>
        <w:pStyle w:val="ListParagraph"/>
        <w:numPr>
          <w:ilvl w:val="0"/>
          <w:numId w:val="13"/>
        </w:numPr>
        <w:spacing w:after="160"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Alvarez</w:t>
      </w:r>
      <w:proofErr w:type="spellEnd"/>
      <w:r w:rsidRPr="00BA4513">
        <w:rPr>
          <w:rFonts w:ascii="Times New Roman" w:hAnsi="Times New Roman" w:cs="Times New Roman"/>
          <w:sz w:val="24"/>
          <w:szCs w:val="24"/>
          <w:lang w:val="es-AR"/>
        </w:rPr>
        <w:t xml:space="preserve">, F.E., Argente, D., </w:t>
      </w:r>
      <w:proofErr w:type="spellStart"/>
      <w:r w:rsidRPr="00BA4513">
        <w:rPr>
          <w:rFonts w:ascii="Times New Roman" w:hAnsi="Times New Roman" w:cs="Times New Roman"/>
          <w:sz w:val="24"/>
          <w:szCs w:val="24"/>
          <w:lang w:val="es-AR"/>
        </w:rPr>
        <w:t>Lippi</w:t>
      </w:r>
      <w:proofErr w:type="spellEnd"/>
      <w:r w:rsidRPr="00BA4513">
        <w:rPr>
          <w:rFonts w:ascii="Times New Roman" w:hAnsi="Times New Roman" w:cs="Times New Roman"/>
          <w:sz w:val="24"/>
          <w:szCs w:val="24"/>
          <w:lang w:val="es-AR"/>
        </w:rPr>
        <w:t xml:space="preserve">, F., 2020. </w:t>
      </w:r>
      <w:r w:rsidRPr="00BA4513">
        <w:rPr>
          <w:rFonts w:ascii="Times New Roman" w:hAnsi="Times New Roman" w:cs="Times New Roman"/>
          <w:sz w:val="24"/>
          <w:szCs w:val="24"/>
        </w:rPr>
        <w:t xml:space="preserve">A Simple Planning Problem for COVID19 Lockdown. Working Paper Series 26981, </w:t>
      </w:r>
      <w:r w:rsidRPr="00BA4513">
        <w:rPr>
          <w:rFonts w:ascii="Times New Roman" w:hAnsi="Times New Roman" w:cs="Times New Roman"/>
          <w:i/>
          <w:iCs/>
          <w:sz w:val="24"/>
          <w:szCs w:val="24"/>
        </w:rPr>
        <w:t>National Bureau of Economic Research</w:t>
      </w:r>
      <w:r w:rsidRPr="00BA4513">
        <w:rPr>
          <w:rFonts w:ascii="Times New Roman" w:hAnsi="Times New Roman" w:cs="Times New Roman"/>
          <w:sz w:val="24"/>
          <w:szCs w:val="24"/>
        </w:rPr>
        <w:t xml:space="preserve">. </w:t>
      </w:r>
    </w:p>
    <w:p w14:paraId="0690050B"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Amato,</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aversion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premia</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CDS</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15"/>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15"/>
          <w:sz w:val="24"/>
          <w:szCs w:val="24"/>
        </w:rPr>
        <w:t xml:space="preserve"> </w:t>
      </w:r>
      <w:r w:rsidRPr="00BA4513">
        <w:rPr>
          <w:rFonts w:ascii="Times New Roman" w:hAnsi="Times New Roman" w:cs="Times New Roman"/>
          <w:i/>
          <w:iCs/>
          <w:sz w:val="24"/>
          <w:szCs w:val="24"/>
        </w:rPr>
        <w:t>Quarterly</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34"/>
          <w:sz w:val="24"/>
          <w:szCs w:val="24"/>
        </w:rPr>
        <w:t xml:space="preserve"> </w:t>
      </w:r>
      <w:r w:rsidRPr="00BA4513">
        <w:rPr>
          <w:rFonts w:ascii="Times New Roman" w:hAnsi="Times New Roman" w:cs="Times New Roman"/>
          <w:sz w:val="24"/>
          <w:szCs w:val="24"/>
        </w:rPr>
        <w:t>December,</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55–68.</w:t>
      </w:r>
    </w:p>
    <w:p w14:paraId="5E1E321D"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Amato,</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8"/>
          <w:sz w:val="24"/>
          <w:szCs w:val="24"/>
        </w:rPr>
        <w:t xml:space="preserve"> </w:t>
      </w:r>
      <w:proofErr w:type="spellStart"/>
      <w:r w:rsidRPr="00BA4513">
        <w:rPr>
          <w:rFonts w:ascii="Times New Roman" w:hAnsi="Times New Roman" w:cs="Times New Roman"/>
          <w:sz w:val="24"/>
          <w:szCs w:val="24"/>
        </w:rPr>
        <w:t>Furfine</w:t>
      </w:r>
      <w:proofErr w:type="spellEnd"/>
      <w:r w:rsidRPr="00BA4513">
        <w:rPr>
          <w:rFonts w:ascii="Times New Roman" w:hAnsi="Times New Roman" w:cs="Times New Roman"/>
          <w:sz w:val="24"/>
          <w:szCs w:val="24"/>
        </w:rPr>
        <w: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8"/>
          <w:sz w:val="24"/>
          <w:szCs w:val="24"/>
        </w:rPr>
        <w:t xml:space="preserve"> </w:t>
      </w:r>
      <w:proofErr w:type="gramStart"/>
      <w:r w:rsidRPr="00BA4513">
        <w:rPr>
          <w:rFonts w:ascii="Times New Roman" w:hAnsi="Times New Roman" w:cs="Times New Roman"/>
          <w:sz w:val="24"/>
          <w:szCs w:val="24"/>
        </w:rPr>
        <w:t>Are</w:t>
      </w:r>
      <w:proofErr w:type="gramEnd"/>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ratings</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procyclical?</w:t>
      </w:r>
      <w:r w:rsidRPr="00BA4513">
        <w:rPr>
          <w:rFonts w:ascii="Times New Roman" w:hAnsi="Times New Roman" w:cs="Times New Roman"/>
          <w:spacing w:val="7"/>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w w:val="102"/>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z w:val="24"/>
          <w:szCs w:val="24"/>
        </w:rPr>
        <w:t>, 28,</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2641–2677.</w:t>
      </w:r>
    </w:p>
    <w:p w14:paraId="47756870"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Amato, J.,</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Luisi,</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Macro</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factors in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term</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structure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spreads. BIS</w:t>
      </w:r>
      <w:r w:rsidRPr="00BA4513">
        <w:rPr>
          <w:rFonts w:ascii="Times New Roman" w:hAnsi="Times New Roman" w:cs="Times New Roman"/>
          <w:w w:val="9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Papers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3.</w:t>
      </w:r>
    </w:p>
    <w:p w14:paraId="7E346BB9"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Andersen, T. G. and </w:t>
      </w: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T., (1997a). Intraday periodicity and volatility persistence in financial markets, Journal of Empirical Finance 4, 115 - 158.</w:t>
      </w:r>
    </w:p>
    <w:p w14:paraId="3C158CA5"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Andersen, T. G. and </w:t>
      </w: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T., (1997b). Heterogeneous information arrivals and return volatility dynamics: uncovering the long-run in high frequency returns, Journal of Finance 52, 975 - 1005.</w:t>
      </w:r>
    </w:p>
    <w:p w14:paraId="21C17A46"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lastRenderedPageBreak/>
        <w:t>Ang,</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Joe,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2002.</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Asymmetric</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correlations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equity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portfolios.</w:t>
      </w:r>
      <w:r w:rsidRPr="00BA4513">
        <w:rPr>
          <w:rFonts w:ascii="Times New Roman" w:hAnsi="Times New Roman" w:cs="Times New Roman"/>
          <w:spacing w:val="-3"/>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63,</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443–494.</w:t>
      </w:r>
    </w:p>
    <w:p w14:paraId="167C8B3A"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Angeloni</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I.,</w:t>
      </w:r>
      <w:r w:rsidRPr="00BA4513">
        <w:rPr>
          <w:rFonts w:ascii="Times New Roman" w:hAnsi="Times New Roman" w:cs="Times New Roman"/>
          <w:spacing w:val="4"/>
          <w:sz w:val="24"/>
          <w:szCs w:val="24"/>
        </w:rPr>
        <w:t xml:space="preserve"> </w:t>
      </w:r>
      <w:proofErr w:type="spellStart"/>
      <w:r w:rsidRPr="00BA4513">
        <w:rPr>
          <w:rFonts w:ascii="Times New Roman" w:hAnsi="Times New Roman" w:cs="Times New Roman"/>
          <w:sz w:val="24"/>
          <w:szCs w:val="24"/>
        </w:rPr>
        <w:t>Faia</w:t>
      </w:r>
      <w:proofErr w:type="spellEnd"/>
      <w:r w:rsidRPr="00BA4513">
        <w:rPr>
          <w:rFonts w:ascii="Times New Roman" w:hAnsi="Times New Roman" w:cs="Times New Roman"/>
          <w:sz w:val="24"/>
          <w:szCs w:val="24"/>
        </w:rPr>
        <w: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Tale</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Two</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Policies: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Prudential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with</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Fragile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9"/>
          <w:sz w:val="24"/>
          <w:szCs w:val="24"/>
        </w:rPr>
        <w:t xml:space="preserve"> </w:t>
      </w:r>
      <w:r w:rsidRPr="00BA4513">
        <w:rPr>
          <w:rFonts w:ascii="Times New Roman" w:hAnsi="Times New Roman" w:cs="Times New Roman"/>
          <w:i/>
          <w:iCs/>
          <w:sz w:val="24"/>
          <w:szCs w:val="24"/>
        </w:rPr>
        <w:t>Kiel</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1569.</w:t>
      </w:r>
    </w:p>
    <w:p w14:paraId="42F5E199"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Angeloni</w:t>
      </w:r>
      <w:proofErr w:type="spellEnd"/>
      <w:r w:rsidRPr="00BA4513">
        <w:rPr>
          <w:rFonts w:ascii="Times New Roman" w:hAnsi="Times New Roman" w:cs="Times New Roman"/>
          <w:sz w:val="24"/>
          <w:szCs w:val="24"/>
        </w:rPr>
        <w: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I.,</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Kashyap,</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
          <w:sz w:val="24"/>
          <w:szCs w:val="24"/>
        </w:rPr>
        <w:t xml:space="preserve"> </w:t>
      </w:r>
      <w:proofErr w:type="spellStart"/>
      <w:r w:rsidRPr="00BA4513">
        <w:rPr>
          <w:rFonts w:ascii="Times New Roman" w:hAnsi="Times New Roman" w:cs="Times New Roman"/>
          <w:sz w:val="24"/>
          <w:szCs w:val="24"/>
        </w:rPr>
        <w:t>Mojon</w:t>
      </w:r>
      <w:proofErr w:type="spellEnd"/>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2003.</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Euro</w:t>
      </w:r>
      <w:r w:rsidRPr="00BA4513">
        <w:rPr>
          <w:rFonts w:ascii="Times New Roman" w:hAnsi="Times New Roman" w:cs="Times New Roman"/>
          <w:w w:val="98"/>
          <w:sz w:val="24"/>
          <w:szCs w:val="24"/>
        </w:rPr>
        <w:t xml:space="preserve"> </w:t>
      </w:r>
      <w:r w:rsidRPr="00BA4513">
        <w:rPr>
          <w:rFonts w:ascii="Times New Roman" w:hAnsi="Times New Roman" w:cs="Times New Roman"/>
          <w:sz w:val="24"/>
          <w:szCs w:val="24"/>
        </w:rPr>
        <w:t>Area.</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Cambridge</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University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Press.</w:t>
      </w:r>
    </w:p>
    <w:p w14:paraId="6DDC86E4"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Arteche</w:t>
      </w:r>
      <w:proofErr w:type="spellEnd"/>
      <w:r w:rsidRPr="00BA4513">
        <w:rPr>
          <w:rFonts w:ascii="Times New Roman" w:hAnsi="Times New Roman" w:cs="Times New Roman"/>
          <w:sz w:val="24"/>
          <w:szCs w:val="24"/>
        </w:rPr>
        <w:t xml:space="preserve">, J., 2006. Semiparametric estimation in perturbed long memory series. </w:t>
      </w:r>
      <w:proofErr w:type="spellStart"/>
      <w:r w:rsidRPr="00BA4513">
        <w:rPr>
          <w:rFonts w:ascii="Times New Roman" w:hAnsi="Times New Roman" w:cs="Times New Roman"/>
          <w:sz w:val="24"/>
          <w:szCs w:val="24"/>
        </w:rPr>
        <w:t>Comput</w:t>
      </w:r>
      <w:proofErr w:type="spellEnd"/>
      <w:r w:rsidRPr="00BA4513">
        <w:rPr>
          <w:rFonts w:ascii="Times New Roman" w:hAnsi="Times New Roman" w:cs="Times New Roman"/>
          <w:sz w:val="24"/>
          <w:szCs w:val="24"/>
        </w:rPr>
        <w:t xml:space="preserve">. </w:t>
      </w:r>
      <w:r w:rsidRPr="00BA4513">
        <w:rPr>
          <w:rFonts w:ascii="Times New Roman" w:hAnsi="Times New Roman" w:cs="Times New Roman"/>
          <w:i/>
          <w:iCs/>
          <w:sz w:val="24"/>
          <w:szCs w:val="24"/>
        </w:rPr>
        <w:t>Statist. Data Anal</w:t>
      </w:r>
      <w:r w:rsidRPr="00BA4513">
        <w:rPr>
          <w:rFonts w:ascii="Times New Roman" w:hAnsi="Times New Roman" w:cs="Times New Roman"/>
          <w:sz w:val="24"/>
          <w:szCs w:val="24"/>
        </w:rPr>
        <w:t xml:space="preserve">. 51, 2118–2141. </w:t>
      </w:r>
    </w:p>
    <w:p w14:paraId="402FD0A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Ashcraft,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Santos,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Has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default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swap</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lowered</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cost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corporate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debt?</w:t>
      </w:r>
      <w:r w:rsidRPr="00BA4513">
        <w:rPr>
          <w:rFonts w:ascii="Times New Roman" w:hAnsi="Times New Roman" w:cs="Times New Roman"/>
          <w:spacing w:val="11"/>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Monetary</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56,</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514–523.</w:t>
      </w:r>
    </w:p>
    <w:p w14:paraId="0563E824"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Atkeson</w:t>
      </w:r>
      <w:proofErr w:type="spellEnd"/>
      <w:r w:rsidRPr="00BA4513">
        <w:rPr>
          <w:rFonts w:ascii="Times New Roman" w:hAnsi="Times New Roman" w:cs="Times New Roman"/>
          <w:sz w:val="24"/>
          <w:szCs w:val="24"/>
        </w:rPr>
        <w:t xml:space="preserve">, A., 2020. What Will Be the Economic Impact of COVID-19 in the US? Rough Estimates of Disease Scenarios. Working Paper Series 26867, </w:t>
      </w:r>
      <w:r w:rsidRPr="00BA4513">
        <w:rPr>
          <w:rFonts w:ascii="Times New Roman" w:hAnsi="Times New Roman" w:cs="Times New Roman"/>
          <w:i/>
          <w:iCs/>
          <w:sz w:val="24"/>
          <w:szCs w:val="24"/>
        </w:rPr>
        <w:t>National Bureau of Economic Research</w:t>
      </w:r>
      <w:r w:rsidRPr="00BA4513">
        <w:rPr>
          <w:rFonts w:ascii="Times New Roman" w:hAnsi="Times New Roman" w:cs="Times New Roman"/>
          <w:sz w:val="24"/>
          <w:szCs w:val="24"/>
        </w:rPr>
        <w:t xml:space="preserve">. </w:t>
      </w:r>
    </w:p>
    <w:p w14:paraId="64CD684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Auerbach,</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Taxation</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corporate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Auerbach,</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Feld-</w:t>
      </w:r>
      <w:r w:rsidRPr="00BA4513">
        <w:rPr>
          <w:rFonts w:ascii="Times New Roman" w:hAnsi="Times New Roman" w:cs="Times New Roman"/>
          <w:w w:val="104"/>
          <w:sz w:val="24"/>
          <w:szCs w:val="24"/>
        </w:rPr>
        <w:t xml:space="preserve"> </w:t>
      </w:r>
      <w:r w:rsidRPr="00BA4513">
        <w:rPr>
          <w:rFonts w:ascii="Times New Roman" w:hAnsi="Times New Roman" w:cs="Times New Roman"/>
          <w:w w:val="105"/>
          <w:sz w:val="24"/>
          <w:szCs w:val="24"/>
        </w:rPr>
        <w:t>stein,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i/>
          <w:iCs/>
          <w:w w:val="105"/>
          <w:sz w:val="24"/>
          <w:szCs w:val="24"/>
        </w:rPr>
        <w:t>Handbook</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Public</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w w:val="105"/>
          <w:sz w:val="24"/>
          <w:szCs w:val="24"/>
        </w:rPr>
        <w: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vol.</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3.</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Elsevier</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North-Holland, Amsterdam,</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pp.</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1251–1292.</w:t>
      </w:r>
    </w:p>
    <w:p w14:paraId="37260BF0" w14:textId="77777777" w:rsidR="00BA4513" w:rsidRPr="00BA4513" w:rsidRDefault="00BA4513" w:rsidP="005A4160">
      <w:pPr>
        <w:pStyle w:val="NoSpacing"/>
        <w:numPr>
          <w:ilvl w:val="0"/>
          <w:numId w:val="13"/>
        </w:numPr>
        <w:jc w:val="both"/>
        <w:rPr>
          <w:rFonts w:ascii="Times New Roman" w:hAnsi="Times New Roman" w:cs="Times New Roman"/>
          <w:sz w:val="24"/>
          <w:szCs w:val="24"/>
          <w:lang w:val="en-US"/>
        </w:rPr>
      </w:pP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M and Ivanova, K. (2003). “</w:t>
      </w:r>
      <w:r w:rsidRPr="00BA4513">
        <w:rPr>
          <w:rFonts w:ascii="Times New Roman" w:hAnsi="Times New Roman" w:cs="Times New Roman"/>
          <w:sz w:val="24"/>
          <w:szCs w:val="24"/>
          <w:lang w:val="en-US"/>
        </w:rPr>
        <w:t xml:space="preserve">Dynamical model and </w:t>
      </w:r>
      <w:proofErr w:type="spellStart"/>
      <w:r w:rsidRPr="00BA4513">
        <w:rPr>
          <w:rFonts w:ascii="Times New Roman" w:hAnsi="Times New Roman" w:cs="Times New Roman"/>
          <w:sz w:val="24"/>
          <w:szCs w:val="24"/>
          <w:lang w:val="en-US"/>
        </w:rPr>
        <w:t>nonextensive</w:t>
      </w:r>
      <w:proofErr w:type="spellEnd"/>
      <w:r w:rsidRPr="00BA4513">
        <w:rPr>
          <w:rFonts w:ascii="Times New Roman" w:hAnsi="Times New Roman" w:cs="Times New Roman"/>
          <w:sz w:val="24"/>
          <w:szCs w:val="24"/>
        </w:rPr>
        <w:t xml:space="preserve"> </w:t>
      </w:r>
      <w:r w:rsidRPr="00BA4513">
        <w:rPr>
          <w:rFonts w:ascii="Times New Roman" w:hAnsi="Times New Roman" w:cs="Times New Roman"/>
          <w:sz w:val="24"/>
          <w:szCs w:val="24"/>
          <w:lang w:val="en-US"/>
        </w:rPr>
        <w:t>statistical mechanics of a market index on large time windows”, Physical Review E, 68, 046122.</w:t>
      </w:r>
    </w:p>
    <w:p w14:paraId="49A4CD1B" w14:textId="77777777" w:rsidR="00BA4513" w:rsidRPr="00BA4513" w:rsidRDefault="00BA4513" w:rsidP="005A4160">
      <w:pPr>
        <w:pStyle w:val="NoSpacing"/>
        <w:numPr>
          <w:ilvl w:val="0"/>
          <w:numId w:val="13"/>
        </w:numPr>
        <w:jc w:val="both"/>
        <w:rPr>
          <w:rFonts w:ascii="Times New Roman" w:hAnsi="Times New Roman" w:cs="Times New Roman"/>
          <w:sz w:val="24"/>
          <w:szCs w:val="24"/>
        </w:rPr>
      </w:pP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M, </w:t>
      </w:r>
      <w:proofErr w:type="spellStart"/>
      <w:r w:rsidRPr="00BA4513">
        <w:rPr>
          <w:rFonts w:ascii="Times New Roman" w:hAnsi="Times New Roman" w:cs="Times New Roman"/>
          <w:sz w:val="24"/>
          <w:szCs w:val="24"/>
        </w:rPr>
        <w:t>Bronlet</w:t>
      </w:r>
      <w:proofErr w:type="spellEnd"/>
      <w:r w:rsidRPr="00BA4513">
        <w:rPr>
          <w:rFonts w:ascii="Times New Roman" w:hAnsi="Times New Roman" w:cs="Times New Roman"/>
          <w:sz w:val="24"/>
          <w:szCs w:val="24"/>
        </w:rPr>
        <w:t xml:space="preserve"> Ph. (2003). “Strategy for Investments from </w:t>
      </w:r>
      <w:proofErr w:type="spellStart"/>
      <w:r w:rsidRPr="00BA4513">
        <w:rPr>
          <w:rFonts w:ascii="Times New Roman" w:hAnsi="Times New Roman" w:cs="Times New Roman"/>
          <w:sz w:val="24"/>
          <w:szCs w:val="24"/>
        </w:rPr>
        <w:t>Zipf</w:t>
      </w:r>
      <w:proofErr w:type="spellEnd"/>
      <w:r w:rsidRPr="00BA4513">
        <w:rPr>
          <w:rFonts w:ascii="Times New Roman" w:hAnsi="Times New Roman" w:cs="Times New Roman"/>
          <w:sz w:val="24"/>
          <w:szCs w:val="24"/>
        </w:rPr>
        <w:t xml:space="preserve"> Law(s)”. </w:t>
      </w:r>
      <w:proofErr w:type="spellStart"/>
      <w:r w:rsidRPr="00BA4513">
        <w:rPr>
          <w:rFonts w:ascii="Times New Roman" w:hAnsi="Times New Roman" w:cs="Times New Roman"/>
          <w:sz w:val="24"/>
          <w:szCs w:val="24"/>
        </w:rPr>
        <w:t>Physica</w:t>
      </w:r>
      <w:proofErr w:type="spellEnd"/>
      <w:r w:rsidRPr="00BA4513">
        <w:rPr>
          <w:rFonts w:ascii="Times New Roman" w:hAnsi="Times New Roman" w:cs="Times New Roman"/>
          <w:sz w:val="24"/>
          <w:szCs w:val="24"/>
        </w:rPr>
        <w:t xml:space="preserve"> A 2003; 324:30-37.</w:t>
      </w:r>
    </w:p>
    <w:p w14:paraId="525D5342" w14:textId="77777777" w:rsidR="00BA4513" w:rsidRPr="00BA4513" w:rsidRDefault="00BA4513" w:rsidP="005A4160">
      <w:pPr>
        <w:pStyle w:val="NoSpacing"/>
        <w:numPr>
          <w:ilvl w:val="0"/>
          <w:numId w:val="13"/>
        </w:numPr>
        <w:jc w:val="both"/>
        <w:rPr>
          <w:rFonts w:ascii="Times New Roman" w:hAnsi="Times New Roman" w:cs="Times New Roman"/>
          <w:sz w:val="24"/>
          <w:szCs w:val="24"/>
        </w:rPr>
      </w:pP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M, </w:t>
      </w:r>
      <w:proofErr w:type="spellStart"/>
      <w:r w:rsidRPr="00BA4513">
        <w:rPr>
          <w:rFonts w:ascii="Times New Roman" w:hAnsi="Times New Roman" w:cs="Times New Roman"/>
          <w:sz w:val="24"/>
          <w:szCs w:val="24"/>
        </w:rPr>
        <w:t>Bronlet</w:t>
      </w:r>
      <w:proofErr w:type="spellEnd"/>
      <w:r w:rsidRPr="00BA4513">
        <w:rPr>
          <w:rFonts w:ascii="Times New Roman" w:hAnsi="Times New Roman" w:cs="Times New Roman"/>
          <w:sz w:val="24"/>
          <w:szCs w:val="24"/>
        </w:rPr>
        <w:t xml:space="preserve"> Ph. (2006). “Risk portfolio management under </w:t>
      </w:r>
      <w:proofErr w:type="spellStart"/>
      <w:r w:rsidRPr="00BA4513">
        <w:rPr>
          <w:rFonts w:ascii="Times New Roman" w:hAnsi="Times New Roman" w:cs="Times New Roman"/>
          <w:sz w:val="24"/>
          <w:szCs w:val="24"/>
        </w:rPr>
        <w:t>Zipf</w:t>
      </w:r>
      <w:proofErr w:type="spellEnd"/>
      <w:r w:rsidRPr="00BA4513">
        <w:rPr>
          <w:rFonts w:ascii="Times New Roman" w:hAnsi="Times New Roman" w:cs="Times New Roman"/>
          <w:sz w:val="24"/>
          <w:szCs w:val="24"/>
        </w:rPr>
        <w:t xml:space="preserve"> analysis-based strategies, in "Practical Fruits of </w:t>
      </w:r>
      <w:proofErr w:type="spellStart"/>
      <w:r w:rsidRPr="00BA4513">
        <w:rPr>
          <w:rFonts w:ascii="Times New Roman" w:hAnsi="Times New Roman" w:cs="Times New Roman"/>
          <w:sz w:val="24"/>
          <w:szCs w:val="24"/>
        </w:rPr>
        <w:t>Econophysics</w:t>
      </w:r>
      <w:proofErr w:type="spellEnd"/>
      <w:r w:rsidRPr="00BA4513">
        <w:rPr>
          <w:rFonts w:ascii="Times New Roman" w:hAnsi="Times New Roman" w:cs="Times New Roman"/>
          <w:sz w:val="24"/>
          <w:szCs w:val="24"/>
        </w:rPr>
        <w:t>"”, H. Takayasu, Ed.  (Springer, Tokyo, 2006) pp.  257-261</w:t>
      </w:r>
    </w:p>
    <w:p w14:paraId="614FEBA2" w14:textId="77777777" w:rsidR="00BA4513" w:rsidRPr="00BA4513" w:rsidRDefault="00BA4513" w:rsidP="005A4160">
      <w:pPr>
        <w:pStyle w:val="NoSpacing"/>
        <w:numPr>
          <w:ilvl w:val="0"/>
          <w:numId w:val="13"/>
        </w:numPr>
        <w:jc w:val="both"/>
        <w:rPr>
          <w:rFonts w:ascii="Times New Roman" w:hAnsi="Times New Roman" w:cs="Times New Roman"/>
          <w:color w:val="000000" w:themeColor="text1"/>
          <w:sz w:val="24"/>
          <w:szCs w:val="24"/>
        </w:rPr>
      </w:pP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M, </w:t>
      </w:r>
      <w:proofErr w:type="spellStart"/>
      <w:r w:rsidRPr="00BA4513">
        <w:rPr>
          <w:rFonts w:ascii="Times New Roman" w:hAnsi="Times New Roman" w:cs="Times New Roman"/>
          <w:sz w:val="24"/>
          <w:szCs w:val="24"/>
        </w:rPr>
        <w:t>Petroni</w:t>
      </w:r>
      <w:proofErr w:type="spellEnd"/>
      <w:r w:rsidRPr="00BA4513">
        <w:rPr>
          <w:rFonts w:ascii="Times New Roman" w:hAnsi="Times New Roman" w:cs="Times New Roman"/>
          <w:sz w:val="24"/>
          <w:szCs w:val="24"/>
        </w:rPr>
        <w:t xml:space="preserve"> F. (2013), Threshold Model for Triggered Avalanches on Networks, in   "Stock Markets", F. </w:t>
      </w:r>
      <w:proofErr w:type="spellStart"/>
      <w:r w:rsidRPr="00BA4513">
        <w:rPr>
          <w:rFonts w:ascii="Times New Roman" w:hAnsi="Times New Roman" w:cs="Times New Roman"/>
          <w:sz w:val="24"/>
          <w:szCs w:val="24"/>
        </w:rPr>
        <w:t>Petroni</w:t>
      </w:r>
      <w:proofErr w:type="spellEnd"/>
      <w:r w:rsidRPr="00BA4513">
        <w:rPr>
          <w:rFonts w:ascii="Times New Roman" w:hAnsi="Times New Roman" w:cs="Times New Roman"/>
          <w:sz w:val="24"/>
          <w:szCs w:val="24"/>
        </w:rPr>
        <w:t xml:space="preserve">, F. </w:t>
      </w:r>
      <w:proofErr w:type="spellStart"/>
      <w:r w:rsidRPr="00BA4513">
        <w:rPr>
          <w:rFonts w:ascii="Times New Roman" w:hAnsi="Times New Roman" w:cs="Times New Roman"/>
          <w:sz w:val="24"/>
          <w:szCs w:val="24"/>
        </w:rPr>
        <w:t>Prattico</w:t>
      </w:r>
      <w:proofErr w:type="spellEnd"/>
      <w:r w:rsidRPr="00BA4513">
        <w:rPr>
          <w:rFonts w:ascii="Times New Roman" w:hAnsi="Times New Roman" w:cs="Times New Roman"/>
          <w:sz w:val="24"/>
          <w:szCs w:val="24"/>
        </w:rPr>
        <w:t xml:space="preserve"> and G. D'Amico, Eds. (Nova Sc., New York, 2013) pp.  </w:t>
      </w:r>
      <w:r w:rsidRPr="00BA4513">
        <w:rPr>
          <w:rFonts w:ascii="Times New Roman" w:hAnsi="Times New Roman" w:cs="Times New Roman"/>
          <w:color w:val="000000" w:themeColor="text1"/>
          <w:sz w:val="24"/>
          <w:szCs w:val="24"/>
        </w:rPr>
        <w:t>83-101</w:t>
      </w:r>
    </w:p>
    <w:p w14:paraId="520F8BD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Awartani</w:t>
      </w:r>
      <w:proofErr w:type="spellEnd"/>
      <w:r w:rsidRPr="00BA4513">
        <w:rPr>
          <w:rFonts w:ascii="Times New Roman" w:hAnsi="Times New Roman" w:cs="Times New Roman"/>
          <w:sz w:val="24"/>
          <w:szCs w:val="24"/>
        </w:rPr>
        <w:t xml:space="preserve">, B.M., </w:t>
      </w:r>
      <w:proofErr w:type="spellStart"/>
      <w:r w:rsidRPr="00BA4513">
        <w:rPr>
          <w:rFonts w:ascii="Times New Roman" w:hAnsi="Times New Roman" w:cs="Times New Roman"/>
          <w:sz w:val="24"/>
          <w:szCs w:val="24"/>
        </w:rPr>
        <w:t>Corradi</w:t>
      </w:r>
      <w:proofErr w:type="spellEnd"/>
      <w:r w:rsidRPr="00BA4513">
        <w:rPr>
          <w:rFonts w:ascii="Times New Roman" w:hAnsi="Times New Roman" w:cs="Times New Roman"/>
          <w:sz w:val="24"/>
          <w:szCs w:val="24"/>
        </w:rPr>
        <w:t xml:space="preserve">, V. (2005), Predicting the volatility of the S&amp;P500 stock index via GARCH models: The role of asymmetries. </w:t>
      </w:r>
      <w:r w:rsidRPr="00BA4513">
        <w:rPr>
          <w:rFonts w:ascii="Times New Roman" w:hAnsi="Times New Roman" w:cs="Times New Roman"/>
          <w:i/>
          <w:sz w:val="24"/>
          <w:szCs w:val="24"/>
        </w:rPr>
        <w:t>International Journal of Forecasting</w:t>
      </w:r>
      <w:r w:rsidRPr="00BA4513">
        <w:rPr>
          <w:rFonts w:ascii="Times New Roman" w:hAnsi="Times New Roman" w:cs="Times New Roman"/>
          <w:sz w:val="24"/>
          <w:szCs w:val="24"/>
        </w:rPr>
        <w:t>, 21(1), 167-183.</w:t>
      </w:r>
    </w:p>
    <w:p w14:paraId="39742606"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Awartani</w:t>
      </w:r>
      <w:proofErr w:type="spellEnd"/>
      <w:r w:rsidRPr="00BA4513">
        <w:rPr>
          <w:rFonts w:ascii="Times New Roman" w:hAnsi="Times New Roman" w:cs="Times New Roman"/>
          <w:sz w:val="24"/>
          <w:szCs w:val="24"/>
        </w:rPr>
        <w:t xml:space="preserve">, B.M., </w:t>
      </w:r>
      <w:proofErr w:type="spellStart"/>
      <w:r w:rsidRPr="00BA4513">
        <w:rPr>
          <w:rFonts w:ascii="Times New Roman" w:hAnsi="Times New Roman" w:cs="Times New Roman"/>
          <w:sz w:val="24"/>
          <w:szCs w:val="24"/>
        </w:rPr>
        <w:t>Corradi</w:t>
      </w:r>
      <w:proofErr w:type="spellEnd"/>
      <w:r w:rsidRPr="00BA4513">
        <w:rPr>
          <w:rFonts w:ascii="Times New Roman" w:hAnsi="Times New Roman" w:cs="Times New Roman"/>
          <w:sz w:val="24"/>
          <w:szCs w:val="24"/>
        </w:rPr>
        <w:t xml:space="preserve">, V. (2005), Predicting the volatility of the S&amp;P500 stock index via GARCH models: The role of asymmetries. International Journal of Forecasting, 21(1), 167-183. </w:t>
      </w:r>
    </w:p>
    <w:p w14:paraId="37E37E22" w14:textId="77777777" w:rsidR="00BA4513" w:rsidRPr="00BA4513" w:rsidRDefault="00BA4513" w:rsidP="005A4160">
      <w:pPr>
        <w:pStyle w:val="ListParagraph"/>
        <w:numPr>
          <w:ilvl w:val="0"/>
          <w:numId w:val="13"/>
        </w:numPr>
        <w:spacing w:after="160"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Aybars</w:t>
      </w:r>
      <w:proofErr w:type="spellEnd"/>
      <w:r w:rsidRPr="00BA4513">
        <w:rPr>
          <w:rFonts w:ascii="Times New Roman" w:hAnsi="Times New Roman" w:cs="Times New Roman"/>
          <w:sz w:val="24"/>
          <w:szCs w:val="24"/>
        </w:rPr>
        <w:t xml:space="preserve">. A. and </w:t>
      </w:r>
      <w:proofErr w:type="spellStart"/>
      <w:r w:rsidRPr="00BA4513">
        <w:rPr>
          <w:rFonts w:ascii="Times New Roman" w:hAnsi="Times New Roman" w:cs="Times New Roman"/>
          <w:sz w:val="24"/>
          <w:szCs w:val="24"/>
        </w:rPr>
        <w:t>Ataunal</w:t>
      </w:r>
      <w:proofErr w:type="spellEnd"/>
      <w:r w:rsidRPr="00BA4513">
        <w:rPr>
          <w:rFonts w:ascii="Times New Roman" w:hAnsi="Times New Roman" w:cs="Times New Roman"/>
          <w:sz w:val="24"/>
          <w:szCs w:val="24"/>
        </w:rPr>
        <w:t xml:space="preserve">. L., 2016. “An Application of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to Fundamental Accounting Figures Reported by </w:t>
      </w:r>
      <w:proofErr w:type="spellStart"/>
      <w:r w:rsidRPr="00BA4513">
        <w:rPr>
          <w:rFonts w:ascii="Times New Roman" w:hAnsi="Times New Roman" w:cs="Times New Roman"/>
          <w:sz w:val="24"/>
          <w:szCs w:val="24"/>
        </w:rPr>
        <w:t>Borsa</w:t>
      </w:r>
      <w:proofErr w:type="spellEnd"/>
      <w:r w:rsidRPr="00BA4513">
        <w:rPr>
          <w:rFonts w:ascii="Times New Roman" w:hAnsi="Times New Roman" w:cs="Times New Roman"/>
          <w:sz w:val="24"/>
          <w:szCs w:val="24"/>
        </w:rPr>
        <w:t xml:space="preserve"> Istanbul (BIST) Companies.,” </w:t>
      </w:r>
      <w:r w:rsidRPr="00BA4513">
        <w:rPr>
          <w:rFonts w:ascii="Times New Roman" w:hAnsi="Times New Roman" w:cs="Times New Roman"/>
          <w:i/>
          <w:iCs/>
          <w:sz w:val="24"/>
          <w:szCs w:val="24"/>
        </w:rPr>
        <w:t>Journal of Economics Finance and Accounting</w:t>
      </w:r>
      <w:r w:rsidRPr="00BA4513">
        <w:rPr>
          <w:rFonts w:ascii="Times New Roman" w:hAnsi="Times New Roman" w:cs="Times New Roman"/>
          <w:sz w:val="24"/>
          <w:szCs w:val="24"/>
        </w:rPr>
        <w:t>, vol. 3, no. 3, pp. 234-243.</w:t>
      </w:r>
    </w:p>
    <w:p w14:paraId="2D6AC2E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Ayuso,</w:t>
      </w:r>
      <w:r w:rsidRPr="00BA4513">
        <w:rPr>
          <w:rFonts w:ascii="Times New Roman" w:hAnsi="Times New Roman" w:cs="Times New Roman"/>
          <w:spacing w:val="-6"/>
          <w:sz w:val="24"/>
          <w:szCs w:val="24"/>
          <w:lang w:val="es-AR"/>
        </w:rPr>
        <w:t xml:space="preserve"> </w:t>
      </w:r>
      <w:r w:rsidRPr="00BA4513">
        <w:rPr>
          <w:rFonts w:ascii="Times New Roman" w:hAnsi="Times New Roman" w:cs="Times New Roman"/>
          <w:sz w:val="24"/>
          <w:szCs w:val="24"/>
          <w:lang w:val="es-AR"/>
        </w:rPr>
        <w:t>J.,</w:t>
      </w:r>
      <w:r w:rsidRPr="00BA4513">
        <w:rPr>
          <w:rFonts w:ascii="Times New Roman" w:hAnsi="Times New Roman" w:cs="Times New Roman"/>
          <w:spacing w:val="-6"/>
          <w:sz w:val="24"/>
          <w:szCs w:val="24"/>
          <w:lang w:val="es-AR"/>
        </w:rPr>
        <w:t xml:space="preserve"> </w:t>
      </w:r>
      <w:proofErr w:type="spellStart"/>
      <w:r w:rsidRPr="00BA4513">
        <w:rPr>
          <w:rFonts w:ascii="Times New Roman" w:hAnsi="Times New Roman" w:cs="Times New Roman"/>
          <w:sz w:val="24"/>
          <w:szCs w:val="24"/>
          <w:lang w:val="es-AR"/>
        </w:rPr>
        <w:t>Perez</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lang w:val="es-AR"/>
        </w:rPr>
        <w:t>D.,</w:t>
      </w:r>
      <w:r w:rsidRPr="00BA4513">
        <w:rPr>
          <w:rFonts w:ascii="Times New Roman" w:hAnsi="Times New Roman" w:cs="Times New Roman"/>
          <w:spacing w:val="-6"/>
          <w:sz w:val="24"/>
          <w:szCs w:val="24"/>
          <w:lang w:val="es-AR"/>
        </w:rPr>
        <w:t xml:space="preserve"> </w:t>
      </w:r>
      <w:proofErr w:type="spellStart"/>
      <w:r w:rsidRPr="00BA4513">
        <w:rPr>
          <w:rFonts w:ascii="Times New Roman" w:hAnsi="Times New Roman" w:cs="Times New Roman"/>
          <w:sz w:val="24"/>
          <w:szCs w:val="24"/>
          <w:lang w:val="es-AR"/>
        </w:rPr>
        <w:t>Saurina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lang w:val="es-AR"/>
        </w:rPr>
        <w:t>J.,</w:t>
      </w:r>
      <w:r w:rsidRPr="00BA4513">
        <w:rPr>
          <w:rFonts w:ascii="Times New Roman" w:hAnsi="Times New Roman" w:cs="Times New Roman"/>
          <w:spacing w:val="-6"/>
          <w:sz w:val="24"/>
          <w:szCs w:val="24"/>
          <w:lang w:val="es-AR"/>
        </w:rPr>
        <w:t xml:space="preserve"> (</w:t>
      </w:r>
      <w:r w:rsidRPr="00BA4513">
        <w:rPr>
          <w:rFonts w:ascii="Times New Roman" w:hAnsi="Times New Roman" w:cs="Times New Roman"/>
          <w:sz w:val="24"/>
          <w:szCs w:val="24"/>
          <w:lang w:val="es-AR"/>
        </w:rPr>
        <w:t>2004).</w:t>
      </w:r>
      <w:r w:rsidRPr="00BA4513">
        <w:rPr>
          <w:rFonts w:ascii="Times New Roman" w:hAnsi="Times New Roman" w:cs="Times New Roman"/>
          <w:spacing w:val="-5"/>
          <w:sz w:val="24"/>
          <w:szCs w:val="24"/>
          <w:lang w:val="es-AR"/>
        </w:rPr>
        <w:t xml:space="preserve"> </w:t>
      </w:r>
      <w:r w:rsidRPr="00BA4513">
        <w:rPr>
          <w:rFonts w:ascii="Times New Roman" w:hAnsi="Times New Roman" w:cs="Times New Roman"/>
          <w:sz w:val="24"/>
          <w:szCs w:val="24"/>
        </w:rPr>
        <w:t>Are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buffers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pro-cyclical? Evidence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from</w:t>
      </w:r>
      <w:r w:rsidRPr="00BA4513">
        <w:rPr>
          <w:rFonts w:ascii="Times New Roman" w:hAnsi="Times New Roman" w:cs="Times New Roman"/>
          <w:w w:val="109"/>
          <w:sz w:val="24"/>
          <w:szCs w:val="24"/>
        </w:rPr>
        <w:t xml:space="preserve"> </w:t>
      </w:r>
      <w:r w:rsidRPr="00BA4513">
        <w:rPr>
          <w:rFonts w:ascii="Times New Roman" w:hAnsi="Times New Roman" w:cs="Times New Roman"/>
          <w:sz w:val="24"/>
          <w:szCs w:val="24"/>
        </w:rPr>
        <w:t>Spanish</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panel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data.</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Intermediation,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13,</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249–264.</w:t>
      </w:r>
    </w:p>
    <w:p w14:paraId="73C40EF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Azzalini</w:t>
      </w:r>
      <w:proofErr w:type="spellEnd"/>
      <w:r w:rsidRPr="00BA4513">
        <w:rPr>
          <w:rFonts w:ascii="Times New Roman" w:hAnsi="Times New Roman" w:cs="Times New Roman"/>
          <w:sz w:val="24"/>
          <w:szCs w:val="24"/>
        </w:rPr>
        <w:t xml:space="preserve">, A. (1985). “A class of distributions which includes the normal ones”, Scandinavian Journal of Statistics, 12, 171–178. </w:t>
      </w:r>
    </w:p>
    <w:p w14:paraId="437F7EB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Azzalini</w:t>
      </w:r>
      <w:proofErr w:type="spellEnd"/>
      <w:r w:rsidRPr="00BA4513">
        <w:rPr>
          <w:rFonts w:ascii="Times New Roman" w:hAnsi="Times New Roman" w:cs="Times New Roman"/>
          <w:sz w:val="24"/>
          <w:szCs w:val="24"/>
        </w:rPr>
        <w:t xml:space="preserve">, A. (1986), “Further results on a class of distributions which includes the normal ones”. </w:t>
      </w:r>
      <w:proofErr w:type="spellStart"/>
      <w:r w:rsidRPr="00BA4513">
        <w:rPr>
          <w:rFonts w:ascii="Times New Roman" w:hAnsi="Times New Roman" w:cs="Times New Roman"/>
          <w:sz w:val="24"/>
          <w:szCs w:val="24"/>
        </w:rPr>
        <w:t>Statistica</w:t>
      </w:r>
      <w:proofErr w:type="spellEnd"/>
      <w:r w:rsidRPr="00BA4513">
        <w:rPr>
          <w:rFonts w:ascii="Times New Roman" w:hAnsi="Times New Roman" w:cs="Times New Roman"/>
          <w:sz w:val="24"/>
          <w:szCs w:val="24"/>
        </w:rPr>
        <w:t xml:space="preserve">, 46, 199–208. </w:t>
      </w:r>
    </w:p>
    <w:p w14:paraId="0D2CE98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Azzalini</w:t>
      </w:r>
      <w:proofErr w:type="spellEnd"/>
      <w:r w:rsidRPr="00BA4513">
        <w:rPr>
          <w:rFonts w:ascii="Times New Roman" w:hAnsi="Times New Roman" w:cs="Times New Roman"/>
          <w:sz w:val="24"/>
          <w:szCs w:val="24"/>
        </w:rPr>
        <w:t xml:space="preserve">, A. and </w:t>
      </w:r>
      <w:proofErr w:type="spellStart"/>
      <w:r w:rsidRPr="00BA4513">
        <w:rPr>
          <w:rFonts w:ascii="Times New Roman" w:hAnsi="Times New Roman" w:cs="Times New Roman"/>
          <w:sz w:val="24"/>
          <w:szCs w:val="24"/>
        </w:rPr>
        <w:t>Capitanio</w:t>
      </w:r>
      <w:proofErr w:type="spellEnd"/>
      <w:r w:rsidRPr="00BA4513">
        <w:rPr>
          <w:rFonts w:ascii="Times New Roman" w:hAnsi="Times New Roman" w:cs="Times New Roman"/>
          <w:sz w:val="24"/>
          <w:szCs w:val="24"/>
        </w:rPr>
        <w:t>, A. (2003). “Distributions generated by perturbation of symmetry with emphasis on a multivariate skew-t distribution”. Journal of the Royal Statistical Society B, 65, 367–389.</w:t>
      </w:r>
    </w:p>
    <w:p w14:paraId="0F08B379"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 xml:space="preserve">Baillie, R. T., </w:t>
      </w: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xml:space="preserve">, T. and Mikkelsen, H. O. (1996) Fractionally integrated autoregressive conditional heteroskedasticity, </w:t>
      </w:r>
      <w:r w:rsidRPr="00BA4513">
        <w:rPr>
          <w:rFonts w:ascii="Times New Roman" w:hAnsi="Times New Roman" w:cs="Times New Roman"/>
          <w:i/>
          <w:iCs/>
          <w:sz w:val="24"/>
          <w:szCs w:val="24"/>
        </w:rPr>
        <w:t>Journal of Econometrics</w:t>
      </w:r>
      <w:r w:rsidRPr="00BA4513">
        <w:rPr>
          <w:rFonts w:ascii="Times New Roman" w:hAnsi="Times New Roman" w:cs="Times New Roman"/>
          <w:sz w:val="24"/>
          <w:szCs w:val="24"/>
        </w:rPr>
        <w:t xml:space="preserve">. 74 3–30. </w:t>
      </w:r>
    </w:p>
    <w:p w14:paraId="5BD9D5FD"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Baillie, R., </w:t>
      </w: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T., Mikkelsen, H., (1996). Fractionally integrated generalized autoregressive conditional heteroskedasticity. Journal of Econometrics 74, 3-30.</w:t>
      </w:r>
    </w:p>
    <w:p w14:paraId="4EF32B1E"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Baillie, R.T., </w:t>
      </w: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xml:space="preserve">, T., Mikkelsen, H.O., 1996. Fractionally integrated generalized autoregressive conditional heteroskedasticity. </w:t>
      </w:r>
      <w:r w:rsidRPr="00BA4513">
        <w:rPr>
          <w:rFonts w:ascii="Times New Roman" w:hAnsi="Times New Roman" w:cs="Times New Roman"/>
          <w:i/>
          <w:iCs/>
          <w:sz w:val="24"/>
          <w:szCs w:val="24"/>
        </w:rPr>
        <w:t>J. Econometrics</w:t>
      </w:r>
      <w:r w:rsidRPr="00BA4513">
        <w:rPr>
          <w:rFonts w:ascii="Times New Roman" w:hAnsi="Times New Roman" w:cs="Times New Roman"/>
          <w:sz w:val="24"/>
          <w:szCs w:val="24"/>
        </w:rPr>
        <w:t xml:space="preserve"> 74, 3–30. </w:t>
      </w:r>
    </w:p>
    <w:p w14:paraId="61CA006D"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Bank</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International</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Settlements,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1995.</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65th</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Annual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Report,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June,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w w:val="97"/>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for</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International</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Settlements</w:t>
      </w:r>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74th</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Annual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Report,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June,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w w:val="97"/>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for</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International</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Settlements</w:t>
      </w:r>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77th</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Annual</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Report,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June,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Basel.</w:t>
      </w:r>
    </w:p>
    <w:p w14:paraId="1D7F5055"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w w:val="105"/>
          <w:sz w:val="24"/>
          <w:szCs w:val="24"/>
        </w:rPr>
        <w:t>Banking</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Supervision</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Committee,</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2000.</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EU</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Banks’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Margins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 xml:space="preserve">Standards. </w:t>
      </w:r>
      <w:r w:rsidRPr="00BA4513">
        <w:rPr>
          <w:rFonts w:ascii="Times New Roman" w:hAnsi="Times New Roman" w:cs="Times New Roman"/>
          <w:i/>
          <w:iCs/>
          <w:sz w:val="24"/>
          <w:szCs w:val="24"/>
        </w:rPr>
        <w:t>European</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Central</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Frankfurt</w:t>
      </w:r>
      <w:r w:rsidRPr="00BA4513">
        <w:rPr>
          <w:rFonts w:ascii="Times New Roman" w:hAnsi="Times New Roman" w:cs="Times New Roman"/>
          <w:sz w:val="24"/>
          <w:szCs w:val="24"/>
        </w:rPr>
        <w: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December.</w:t>
      </w:r>
    </w:p>
    <w:p w14:paraId="38399496"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Barndorff</w:t>
      </w:r>
      <w:proofErr w:type="spellEnd"/>
      <w:r w:rsidRPr="00BA4513">
        <w:rPr>
          <w:rFonts w:ascii="Times New Roman" w:hAnsi="Times New Roman" w:cs="Times New Roman"/>
          <w:sz w:val="24"/>
          <w:szCs w:val="24"/>
        </w:rPr>
        <w:t xml:space="preserve">-Nielsen, O. E. (1997). Normal inverse Gaussian distributions and stochastic volatility modelling. </w:t>
      </w:r>
      <w:r w:rsidRPr="00BA4513">
        <w:rPr>
          <w:rFonts w:ascii="Times New Roman" w:hAnsi="Times New Roman" w:cs="Times New Roman"/>
          <w:i/>
          <w:iCs/>
          <w:sz w:val="24"/>
          <w:szCs w:val="24"/>
        </w:rPr>
        <w:t>Scandinavian Journal of Statistics 24</w:t>
      </w:r>
      <w:r w:rsidRPr="00BA4513">
        <w:rPr>
          <w:rFonts w:ascii="Times New Roman" w:hAnsi="Times New Roman" w:cs="Times New Roman"/>
          <w:sz w:val="24"/>
          <w:szCs w:val="24"/>
        </w:rPr>
        <w:t>, 1-13.</w:t>
      </w:r>
    </w:p>
    <w:p w14:paraId="140611D1" w14:textId="294F0C1B"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Barndorff</w:t>
      </w:r>
      <w:proofErr w:type="spellEnd"/>
      <w:r w:rsidRPr="00BA4513">
        <w:rPr>
          <w:rFonts w:ascii="Times New Roman" w:hAnsi="Times New Roman" w:cs="Times New Roman"/>
          <w:sz w:val="24"/>
          <w:szCs w:val="24"/>
        </w:rPr>
        <w:t xml:space="preserve">-Nielsen, O. E. (1998a). Probability and statistics: self-decomposability, finance and turbulence. In L. </w:t>
      </w:r>
      <w:proofErr w:type="spellStart"/>
      <w:r w:rsidRPr="00BA4513">
        <w:rPr>
          <w:rFonts w:ascii="Times New Roman" w:hAnsi="Times New Roman" w:cs="Times New Roman"/>
          <w:sz w:val="24"/>
          <w:szCs w:val="24"/>
        </w:rPr>
        <w:t>Acccardi</w:t>
      </w:r>
      <w:proofErr w:type="spellEnd"/>
      <w:r w:rsidRPr="00BA4513">
        <w:rPr>
          <w:rFonts w:ascii="Times New Roman" w:hAnsi="Times New Roman" w:cs="Times New Roman"/>
          <w:sz w:val="24"/>
          <w:szCs w:val="24"/>
        </w:rPr>
        <w:t xml:space="preserve"> and C. C. </w:t>
      </w:r>
      <w:proofErr w:type="spellStart"/>
      <w:r w:rsidRPr="00BA4513">
        <w:rPr>
          <w:rFonts w:ascii="Times New Roman" w:hAnsi="Times New Roman" w:cs="Times New Roman"/>
          <w:sz w:val="24"/>
          <w:szCs w:val="24"/>
        </w:rPr>
        <w:t>Heyde</w:t>
      </w:r>
      <w:proofErr w:type="spellEnd"/>
      <w:r w:rsidRPr="00BA4513">
        <w:rPr>
          <w:rFonts w:ascii="Times New Roman" w:hAnsi="Times New Roman" w:cs="Times New Roman"/>
          <w:sz w:val="24"/>
          <w:szCs w:val="24"/>
        </w:rPr>
        <w:t xml:space="preserve"> (Eds.), </w:t>
      </w:r>
      <w:r w:rsidRPr="00BA4513">
        <w:rPr>
          <w:rFonts w:ascii="Times New Roman" w:hAnsi="Times New Roman" w:cs="Times New Roman"/>
          <w:i/>
          <w:iCs/>
          <w:sz w:val="24"/>
          <w:szCs w:val="24"/>
        </w:rPr>
        <w:t>Probability Towards 2000</w:t>
      </w:r>
      <w:r w:rsidRPr="00BA4513">
        <w:rPr>
          <w:rFonts w:ascii="Times New Roman" w:hAnsi="Times New Roman" w:cs="Times New Roman"/>
          <w:sz w:val="24"/>
          <w:szCs w:val="24"/>
        </w:rPr>
        <w:t>,</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New York. Springer. Proceedings of a Symposium held 2-5 October 1995 at Columbia University.</w:t>
      </w:r>
    </w:p>
    <w:p w14:paraId="47E631CD"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proofErr w:type="spellStart"/>
      <w:r w:rsidRPr="00BA4513">
        <w:rPr>
          <w:rFonts w:ascii="Times New Roman" w:hAnsi="Times New Roman" w:cs="Times New Roman"/>
          <w:sz w:val="24"/>
          <w:szCs w:val="24"/>
        </w:rPr>
        <w:t>Barndorff</w:t>
      </w:r>
      <w:proofErr w:type="spellEnd"/>
      <w:r w:rsidRPr="00BA4513">
        <w:rPr>
          <w:rFonts w:ascii="Times New Roman" w:hAnsi="Times New Roman" w:cs="Times New Roman"/>
          <w:sz w:val="24"/>
          <w:szCs w:val="24"/>
        </w:rPr>
        <w:t xml:space="preserve">-Nielsen, O. E. (1998b). Processes of normal inverse Gaussian type. </w:t>
      </w:r>
      <w:r w:rsidRPr="00BA4513">
        <w:rPr>
          <w:rFonts w:ascii="Times New Roman" w:hAnsi="Times New Roman" w:cs="Times New Roman"/>
          <w:i/>
          <w:iCs/>
          <w:sz w:val="24"/>
          <w:szCs w:val="24"/>
        </w:rPr>
        <w:t>Finance &amp; Stochastics 2</w:t>
      </w:r>
      <w:r w:rsidRPr="00BA4513">
        <w:rPr>
          <w:rFonts w:ascii="Times New Roman" w:hAnsi="Times New Roman" w:cs="Times New Roman"/>
          <w:sz w:val="24"/>
          <w:szCs w:val="24"/>
        </w:rPr>
        <w:t>, 41-68.</w:t>
      </w:r>
    </w:p>
    <w:p w14:paraId="65116C1F"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Barone‐</w:t>
      </w:r>
      <w:proofErr w:type="spellStart"/>
      <w:r w:rsidRPr="00BA4513">
        <w:rPr>
          <w:rFonts w:ascii="Times New Roman" w:hAnsi="Times New Roman" w:cs="Times New Roman"/>
          <w:sz w:val="24"/>
          <w:szCs w:val="24"/>
        </w:rPr>
        <w:t>Adesi</w:t>
      </w:r>
      <w:proofErr w:type="spellEnd"/>
      <w:r w:rsidRPr="00BA4513">
        <w:rPr>
          <w:rFonts w:ascii="Times New Roman" w:hAnsi="Times New Roman" w:cs="Times New Roman"/>
          <w:sz w:val="24"/>
          <w:szCs w:val="24"/>
        </w:rPr>
        <w:t xml:space="preserve">, G., Giannopoulos, K. and Vosper, L., 2002. </w:t>
      </w:r>
      <w:proofErr w:type="spellStart"/>
      <w:r w:rsidRPr="00BA4513">
        <w:rPr>
          <w:rFonts w:ascii="Times New Roman" w:hAnsi="Times New Roman" w:cs="Times New Roman"/>
          <w:sz w:val="24"/>
          <w:szCs w:val="24"/>
        </w:rPr>
        <w:t>Backtesting</w:t>
      </w:r>
      <w:proofErr w:type="spellEnd"/>
      <w:r w:rsidRPr="00BA4513">
        <w:rPr>
          <w:rFonts w:ascii="Times New Roman" w:hAnsi="Times New Roman" w:cs="Times New Roman"/>
          <w:sz w:val="24"/>
          <w:szCs w:val="24"/>
        </w:rPr>
        <w:t xml:space="preserve"> derivative portfolios with filtered historical simulation (FHS). European Financial Management, 8(1), pp.31-58.</w:t>
      </w:r>
    </w:p>
    <w:p w14:paraId="686DDB9E"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Barth, J.,</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Caprio,</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Levine,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supervision: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what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works</w:t>
      </w:r>
      <w:r w:rsidRPr="00BA4513">
        <w:rPr>
          <w:rFonts w:ascii="Times New Roman" w:hAnsi="Times New Roman" w:cs="Times New Roman"/>
          <w:w w:val="107"/>
          <w:sz w:val="24"/>
          <w:szCs w:val="24"/>
        </w:rPr>
        <w:t xml:space="preserve"> </w:t>
      </w:r>
      <w:r w:rsidRPr="00BA4513">
        <w:rPr>
          <w:rFonts w:ascii="Times New Roman" w:hAnsi="Times New Roman" w:cs="Times New Roman"/>
          <w:sz w:val="24"/>
          <w:szCs w:val="24"/>
        </w:rPr>
        <w:t>best?</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Intermediation,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13,</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205–248.</w:t>
      </w:r>
    </w:p>
    <w:p w14:paraId="598F2DFD" w14:textId="77777777" w:rsidR="00BA4513" w:rsidRPr="00BA4513" w:rsidRDefault="00BA4513" w:rsidP="005A4160">
      <w:pPr>
        <w:pStyle w:val="ListParagraph"/>
        <w:numPr>
          <w:ilvl w:val="0"/>
          <w:numId w:val="13"/>
        </w:numPr>
        <w:spacing w:line="240" w:lineRule="auto"/>
        <w:ind w:left="714" w:hanging="357"/>
        <w:jc w:val="both"/>
        <w:rPr>
          <w:rFonts w:ascii="Times New Roman" w:hAnsi="Times New Roman" w:cs="Times New Roman"/>
          <w:sz w:val="24"/>
          <w:szCs w:val="24"/>
        </w:rPr>
      </w:pPr>
      <w:r w:rsidRPr="00BA4513">
        <w:rPr>
          <w:rFonts w:ascii="Times New Roman" w:hAnsi="Times New Roman" w:cs="Times New Roman"/>
          <w:w w:val="105"/>
          <w:sz w:val="24"/>
          <w:szCs w:val="24"/>
        </w:rPr>
        <w:t>Basel</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Committee</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Supervision,</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Basel</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II:</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International</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Con-</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vergence</w:t>
      </w:r>
      <w:r w:rsidRPr="00BA4513">
        <w:rPr>
          <w:rFonts w:ascii="Times New Roman" w:hAnsi="Times New Roman" w:cs="Times New Roman"/>
          <w:spacing w:val="35"/>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36"/>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35"/>
          <w:w w:val="105"/>
          <w:sz w:val="24"/>
          <w:szCs w:val="24"/>
        </w:rPr>
        <w:t xml:space="preserve"> </w:t>
      </w:r>
      <w:r w:rsidRPr="00BA4513">
        <w:rPr>
          <w:rFonts w:ascii="Times New Roman" w:hAnsi="Times New Roman" w:cs="Times New Roman"/>
          <w:w w:val="105"/>
          <w:sz w:val="24"/>
          <w:szCs w:val="24"/>
        </w:rPr>
        <w:t>Measurement</w:t>
      </w:r>
      <w:r w:rsidRPr="00BA4513">
        <w:rPr>
          <w:rFonts w:ascii="Times New Roman" w:hAnsi="Times New Roman" w:cs="Times New Roman"/>
          <w:spacing w:val="36"/>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35"/>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36"/>
          <w:w w:val="105"/>
          <w:sz w:val="24"/>
          <w:szCs w:val="24"/>
        </w:rPr>
        <w:t xml:space="preserve"> </w:t>
      </w:r>
      <w:r w:rsidRPr="00BA4513">
        <w:rPr>
          <w:rFonts w:ascii="Times New Roman" w:hAnsi="Times New Roman" w:cs="Times New Roman"/>
          <w:w w:val="105"/>
          <w:sz w:val="24"/>
          <w:szCs w:val="24"/>
        </w:rPr>
        <w:t>Standards:</w:t>
      </w:r>
      <w:r w:rsidRPr="00BA4513">
        <w:rPr>
          <w:rFonts w:ascii="Times New Roman" w:hAnsi="Times New Roman" w:cs="Times New Roman"/>
          <w:spacing w:val="35"/>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36"/>
          <w:w w:val="105"/>
          <w:sz w:val="24"/>
          <w:szCs w:val="24"/>
        </w:rPr>
        <w:t xml:space="preserve"> </w:t>
      </w:r>
      <w:r w:rsidRPr="00BA4513">
        <w:rPr>
          <w:rFonts w:ascii="Times New Roman" w:hAnsi="Times New Roman" w:cs="Times New Roman"/>
          <w:w w:val="105"/>
          <w:sz w:val="24"/>
          <w:szCs w:val="24"/>
        </w:rPr>
        <w:t xml:space="preserve">Revised </w:t>
      </w:r>
      <w:r w:rsidRPr="00BA4513">
        <w:rPr>
          <w:rFonts w:ascii="Times New Roman" w:hAnsi="Times New Roman" w:cs="Times New Roman"/>
          <w:sz w:val="24"/>
          <w:szCs w:val="24"/>
        </w:rPr>
        <w:t>Framework—Comprehensive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 xml:space="preserve">Version. </w:t>
      </w:r>
      <w:r w:rsidRPr="00BA4513">
        <w:rPr>
          <w:rFonts w:ascii="Times New Roman" w:hAnsi="Times New Roman" w:cs="Times New Roman"/>
          <w:i/>
          <w:iCs/>
          <w:sz w:val="24"/>
          <w:szCs w:val="24"/>
        </w:rPr>
        <w:t>BCBS Report</w:t>
      </w:r>
      <w:r w:rsidRPr="00BA4513">
        <w:rPr>
          <w:rFonts w:ascii="Times New Roman" w:hAnsi="Times New Roman" w:cs="Times New Roman"/>
          <w:sz w:val="24"/>
          <w:szCs w:val="24"/>
        </w:rPr>
        <w:t>, June.</w:t>
      </w:r>
    </w:p>
    <w:p w14:paraId="64E42AD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Basel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Committee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on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Banking</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Supervision,</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2008.</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Principles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Sound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w w:val="98"/>
          <w:sz w:val="24"/>
          <w:szCs w:val="24"/>
        </w:rPr>
        <w:t xml:space="preserve"> </w:t>
      </w:r>
      <w:r w:rsidRPr="00BA4513">
        <w:rPr>
          <w:rFonts w:ascii="Times New Roman" w:hAnsi="Times New Roman" w:cs="Times New Roman"/>
          <w:sz w:val="24"/>
          <w:szCs w:val="24"/>
        </w:rPr>
        <w:t>Management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Supervision.</w:t>
      </w:r>
      <w:r w:rsidRPr="00BA4513">
        <w:rPr>
          <w:rFonts w:ascii="Times New Roman" w:hAnsi="Times New Roman" w:cs="Times New Roman"/>
          <w:spacing w:val="7"/>
          <w:sz w:val="24"/>
          <w:szCs w:val="24"/>
        </w:rPr>
        <w:t xml:space="preserve"> </w:t>
      </w:r>
      <w:r w:rsidRPr="00BA4513">
        <w:rPr>
          <w:rFonts w:ascii="Times New Roman" w:hAnsi="Times New Roman" w:cs="Times New Roman"/>
          <w:i/>
          <w:iCs/>
          <w:sz w:val="24"/>
          <w:szCs w:val="24"/>
        </w:rPr>
        <w:t>BCBS</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Report</w:t>
      </w:r>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September.</w:t>
      </w:r>
    </w:p>
    <w:p w14:paraId="204C2B1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Basel</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Committee</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Supervision,</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2010.</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Guidance</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National</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Authorities Operating</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Countercyclical</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Buffer.</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i/>
          <w:iCs/>
          <w:w w:val="105"/>
          <w:sz w:val="24"/>
          <w:szCs w:val="24"/>
        </w:rPr>
        <w:t>BCBS</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Report</w:t>
      </w:r>
      <w:r w:rsidRPr="00BA4513">
        <w:rPr>
          <w:rFonts w:ascii="Times New Roman" w:hAnsi="Times New Roman" w:cs="Times New Roman"/>
          <w:w w:val="105"/>
          <w:sz w:val="24"/>
          <w:szCs w:val="24"/>
        </w:rPr>
        <w:t>,</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December.</w:t>
      </w:r>
    </w:p>
    <w:p w14:paraId="251EA31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Basel</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Committee</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Banking</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Supervision,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2011.</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III:</w:t>
      </w:r>
      <w:r w:rsidRPr="00BA4513">
        <w:rPr>
          <w:rFonts w:ascii="Times New Roman" w:hAnsi="Times New Roman" w:cs="Times New Roman"/>
          <w:spacing w:val="-8"/>
          <w:sz w:val="24"/>
          <w:szCs w:val="24"/>
        </w:rPr>
        <w:t xml:space="preserve"> </w:t>
      </w:r>
      <w:r w:rsidRPr="00BA4513">
        <w:rPr>
          <w:rFonts w:ascii="Times New Roman" w:hAnsi="Times New Roman" w:cs="Times New Roman"/>
          <w:i/>
          <w:iCs/>
          <w:sz w:val="24"/>
          <w:szCs w:val="24"/>
        </w:rPr>
        <w:t>A</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Global</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Regulatory</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Frame-</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sz w:val="24"/>
          <w:szCs w:val="24"/>
        </w:rPr>
        <w:t>work</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for</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More</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Resilient</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Banks</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Systems—Revised</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Version</w:t>
      </w:r>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June.</w:t>
      </w:r>
    </w:p>
    <w:p w14:paraId="2362B179"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Bauwens, L., and </w:t>
      </w:r>
      <w:proofErr w:type="spellStart"/>
      <w:r w:rsidRPr="00BA4513">
        <w:rPr>
          <w:rFonts w:ascii="Times New Roman" w:hAnsi="Times New Roman" w:cs="Times New Roman"/>
          <w:sz w:val="24"/>
          <w:szCs w:val="24"/>
        </w:rPr>
        <w:t>Storti</w:t>
      </w:r>
      <w:proofErr w:type="spellEnd"/>
      <w:r w:rsidRPr="00BA4513">
        <w:rPr>
          <w:rFonts w:ascii="Times New Roman" w:hAnsi="Times New Roman" w:cs="Times New Roman"/>
          <w:sz w:val="24"/>
          <w:szCs w:val="24"/>
        </w:rPr>
        <w:t>, G., (2009). A component GARCH model with time varying weights, Studies in Nonlinear Dynamics &amp; Econometrics 13, Article 1.</w:t>
      </w:r>
    </w:p>
    <w:p w14:paraId="1C3F30D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Beaver,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1997.</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Reporting:</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i/>
          <w:iCs/>
          <w:w w:val="105"/>
          <w:sz w:val="24"/>
          <w:szCs w:val="24"/>
        </w:rPr>
        <w:t>An</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Accounting</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Revolution</w:t>
      </w:r>
      <w:r w:rsidRPr="00BA4513">
        <w:rPr>
          <w:rFonts w:ascii="Times New Roman" w:hAnsi="Times New Roman" w:cs="Times New Roman"/>
          <w:w w:val="105"/>
          <w:sz w:val="24"/>
          <w:szCs w:val="24"/>
        </w:rPr>
        <w:t>,</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3rd</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edition. Prentice-Hall.</w:t>
      </w:r>
    </w:p>
    <w:p w14:paraId="3F40B52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Becker, G. (1962), “Irrational Behaviour and Economic Theory”. Journal of Political Economy 1962; 70:1-13.</w:t>
      </w:r>
    </w:p>
    <w:p w14:paraId="3072F409"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Beirne</w:t>
      </w:r>
      <w:proofErr w:type="spellEnd"/>
      <w:r w:rsidRPr="00BA4513">
        <w:rPr>
          <w:rFonts w:ascii="Times New Roman" w:hAnsi="Times New Roman" w:cs="Times New Roman"/>
          <w:sz w:val="24"/>
          <w:szCs w:val="24"/>
        </w:rPr>
        <w:t xml:space="preserve">, J., G. M. </w:t>
      </w:r>
      <w:proofErr w:type="spellStart"/>
      <w:r w:rsidRPr="00BA4513">
        <w:rPr>
          <w:rFonts w:ascii="Times New Roman" w:hAnsi="Times New Roman" w:cs="Times New Roman"/>
          <w:sz w:val="24"/>
          <w:szCs w:val="24"/>
        </w:rPr>
        <w:t>Caporale</w:t>
      </w:r>
      <w:proofErr w:type="spellEnd"/>
      <w:r w:rsidRPr="00BA4513">
        <w:rPr>
          <w:rFonts w:ascii="Times New Roman" w:hAnsi="Times New Roman" w:cs="Times New Roman"/>
          <w:sz w:val="24"/>
          <w:szCs w:val="24"/>
        </w:rPr>
        <w:t xml:space="preserve">, M. Schulze-Ghattas, and N. </w:t>
      </w:r>
      <w:proofErr w:type="spellStart"/>
      <w:r w:rsidRPr="00BA4513">
        <w:rPr>
          <w:rFonts w:ascii="Times New Roman" w:hAnsi="Times New Roman" w:cs="Times New Roman"/>
          <w:sz w:val="24"/>
          <w:szCs w:val="24"/>
        </w:rPr>
        <w:t>Spagnolo</w:t>
      </w:r>
      <w:proofErr w:type="spellEnd"/>
      <w:r w:rsidRPr="00BA4513">
        <w:rPr>
          <w:rFonts w:ascii="Times New Roman" w:hAnsi="Times New Roman" w:cs="Times New Roman"/>
          <w:sz w:val="24"/>
          <w:szCs w:val="24"/>
        </w:rPr>
        <w:t xml:space="preserve">, 2008, “Volatility </w:t>
      </w:r>
      <w:proofErr w:type="spellStart"/>
      <w:r w:rsidRPr="00BA4513">
        <w:rPr>
          <w:rFonts w:ascii="Times New Roman" w:hAnsi="Times New Roman" w:cs="Times New Roman"/>
          <w:sz w:val="24"/>
          <w:szCs w:val="24"/>
        </w:rPr>
        <w:t>Spillovers</w:t>
      </w:r>
      <w:proofErr w:type="spellEnd"/>
      <w:r w:rsidRPr="00BA4513">
        <w:rPr>
          <w:rFonts w:ascii="Times New Roman" w:hAnsi="Times New Roman" w:cs="Times New Roman"/>
          <w:sz w:val="24"/>
          <w:szCs w:val="24"/>
        </w:rPr>
        <w:t xml:space="preserve"> and Contagion from Mature to Emerging Stock Markets,” IMF Working Paper 08/286 (Washington: International Monetary Fund). </w:t>
      </w:r>
    </w:p>
    <w:p w14:paraId="4508C6B3"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Bekaert, G, C.R. Harvey, and A. Ng, 2005, “Market Integration and Contagion,” Journal of Business, Vol. 78, No. 1, pp. 39–9. </w:t>
      </w:r>
    </w:p>
    <w:p w14:paraId="7CBB9B2A"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Benford</w:t>
      </w:r>
      <w:proofErr w:type="spellEnd"/>
      <w:r w:rsidRPr="00BA4513">
        <w:rPr>
          <w:rFonts w:ascii="Times New Roman" w:hAnsi="Times New Roman" w:cs="Times New Roman"/>
          <w:sz w:val="24"/>
          <w:szCs w:val="24"/>
        </w:rPr>
        <w:t>, F., (1938). The law of anomalous numbers. Proceedings of the American Philosophical Society78, 551–572.</w:t>
      </w:r>
    </w:p>
    <w:p w14:paraId="443C87CE"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Benford</w:t>
      </w:r>
      <w:proofErr w:type="spellEnd"/>
      <w:r w:rsidRPr="00BA4513">
        <w:rPr>
          <w:rFonts w:ascii="Times New Roman" w:hAnsi="Times New Roman" w:cs="Times New Roman"/>
          <w:sz w:val="24"/>
          <w:szCs w:val="24"/>
        </w:rPr>
        <w:t xml:space="preserve">, F., 1938. The law of anomalous numbers. Proc. </w:t>
      </w:r>
      <w:r w:rsidRPr="00BA4513">
        <w:rPr>
          <w:rFonts w:ascii="Times New Roman" w:hAnsi="Times New Roman" w:cs="Times New Roman"/>
          <w:i/>
          <w:iCs/>
          <w:sz w:val="24"/>
          <w:szCs w:val="24"/>
        </w:rPr>
        <w:t>Am. Phil. Soc</w:t>
      </w:r>
      <w:r w:rsidRPr="00BA4513">
        <w:rPr>
          <w:rFonts w:ascii="Times New Roman" w:hAnsi="Times New Roman" w:cs="Times New Roman"/>
          <w:sz w:val="24"/>
          <w:szCs w:val="24"/>
        </w:rPr>
        <w:t xml:space="preserve">. 78 (4), 551–572. </w:t>
      </w:r>
    </w:p>
    <w:p w14:paraId="6132B2E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Berger,</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0"/>
          <w:sz w:val="24"/>
          <w:szCs w:val="24"/>
        </w:rPr>
        <w:t xml:space="preserve"> </w:t>
      </w:r>
      <w:proofErr w:type="spellStart"/>
      <w:r w:rsidRPr="00BA4513">
        <w:rPr>
          <w:rFonts w:ascii="Times New Roman" w:hAnsi="Times New Roman" w:cs="Times New Roman"/>
          <w:sz w:val="24"/>
          <w:szCs w:val="24"/>
        </w:rPr>
        <w:t>Udell</w:t>
      </w:r>
      <w:proofErr w:type="spellEnd"/>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1994.</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Did</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risk-based</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allocate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cause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w w:val="98"/>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crunch’</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United</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States.</w:t>
      </w:r>
      <w:r w:rsidRPr="00BA4513">
        <w:rPr>
          <w:rFonts w:ascii="Times New Roman" w:hAnsi="Times New Roman" w:cs="Times New Roman"/>
          <w:spacing w:val="1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Money,</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Credit</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26,</w:t>
      </w:r>
      <w:r w:rsidRPr="00BA4513">
        <w:rPr>
          <w:rFonts w:ascii="Times New Roman" w:hAnsi="Times New Roman" w:cs="Times New Roman"/>
          <w:w w:val="98"/>
          <w:sz w:val="24"/>
          <w:szCs w:val="24"/>
        </w:rPr>
        <w:t xml:space="preserve"> </w:t>
      </w:r>
      <w:r w:rsidRPr="00BA4513">
        <w:rPr>
          <w:rFonts w:ascii="Times New Roman" w:hAnsi="Times New Roman" w:cs="Times New Roman"/>
          <w:sz w:val="24"/>
          <w:szCs w:val="24"/>
        </w:rPr>
        <w:t>585–628.</w:t>
      </w:r>
    </w:p>
    <w:p w14:paraId="7105B27C" w14:textId="77777777" w:rsidR="00BA4513" w:rsidRPr="00BA4513" w:rsidRDefault="00BA4513" w:rsidP="005A4160">
      <w:pPr>
        <w:pStyle w:val="ListParagraph"/>
        <w:numPr>
          <w:ilvl w:val="0"/>
          <w:numId w:val="13"/>
        </w:numPr>
        <w:spacing w:after="160"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 xml:space="preserve">Berger. A and. Hill. T. P, 2015. An introduction to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w:t>
      </w:r>
      <w:r w:rsidRPr="00BA4513">
        <w:rPr>
          <w:rFonts w:ascii="Times New Roman" w:hAnsi="Times New Roman" w:cs="Times New Roman"/>
          <w:i/>
          <w:iCs/>
          <w:sz w:val="24"/>
          <w:szCs w:val="24"/>
        </w:rPr>
        <w:t>Princeton University Press</w:t>
      </w:r>
      <w:r w:rsidRPr="00BA4513">
        <w:rPr>
          <w:rFonts w:ascii="Times New Roman" w:hAnsi="Times New Roman" w:cs="Times New Roman"/>
          <w:sz w:val="24"/>
          <w:szCs w:val="24"/>
        </w:rPr>
        <w:t xml:space="preserve">, </w:t>
      </w:r>
    </w:p>
    <w:p w14:paraId="029D4134" w14:textId="77777777" w:rsidR="00BA4513" w:rsidRPr="00BA4513" w:rsidRDefault="00BA4513" w:rsidP="005A4160">
      <w:pPr>
        <w:pStyle w:val="ListParagraph"/>
        <w:numPr>
          <w:ilvl w:val="0"/>
          <w:numId w:val="13"/>
        </w:numPr>
        <w:spacing w:after="160"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Berger. A and. Hill. T. P, 2020. “The mathematics of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a primer,” </w:t>
      </w:r>
      <w:r w:rsidRPr="00BA4513">
        <w:rPr>
          <w:rFonts w:ascii="Times New Roman" w:hAnsi="Times New Roman" w:cs="Times New Roman"/>
          <w:i/>
          <w:iCs/>
          <w:sz w:val="24"/>
          <w:szCs w:val="24"/>
        </w:rPr>
        <w:t>Statistical Methods &amp; Applications</w:t>
      </w:r>
      <w:r w:rsidRPr="00BA4513">
        <w:rPr>
          <w:rFonts w:ascii="Times New Roman" w:hAnsi="Times New Roman" w:cs="Times New Roman"/>
          <w:sz w:val="24"/>
          <w:szCs w:val="24"/>
        </w:rPr>
        <w:t>, vol. 1, pp. 1-17.</w:t>
      </w:r>
    </w:p>
    <w:p w14:paraId="65DB08A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Bernanke, B., 2002.</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 xml:space="preserve">Asset Price ‘Bubbles and Monetary Policy. </w:t>
      </w:r>
      <w:r w:rsidRPr="00BA4513">
        <w:rPr>
          <w:rFonts w:ascii="Times New Roman" w:hAnsi="Times New Roman" w:cs="Times New Roman"/>
          <w:i/>
          <w:iCs/>
          <w:w w:val="105"/>
          <w:sz w:val="24"/>
          <w:szCs w:val="24"/>
        </w:rPr>
        <w:t>Speech before the</w:t>
      </w:r>
      <w:r w:rsidRPr="00BA4513">
        <w:rPr>
          <w:rFonts w:ascii="Times New Roman" w:hAnsi="Times New Roman" w:cs="Times New Roman"/>
          <w:i/>
          <w:iCs/>
          <w:w w:val="106"/>
          <w:sz w:val="24"/>
          <w:szCs w:val="24"/>
        </w:rPr>
        <w:t xml:space="preserve"> </w:t>
      </w:r>
      <w:r w:rsidRPr="00BA4513">
        <w:rPr>
          <w:rFonts w:ascii="Times New Roman" w:hAnsi="Times New Roman" w:cs="Times New Roman"/>
          <w:i/>
          <w:iCs/>
          <w:w w:val="105"/>
          <w:sz w:val="24"/>
          <w:szCs w:val="24"/>
        </w:rPr>
        <w:t>New</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York</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Chapter</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National</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Association</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for</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Business</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w w:val="105"/>
          <w:sz w:val="24"/>
          <w:szCs w:val="24"/>
        </w:rPr>
        <w: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New</w:t>
      </w:r>
      <w:r w:rsidRPr="00BA4513">
        <w:rPr>
          <w:rFonts w:ascii="Times New Roman" w:hAnsi="Times New Roman" w:cs="Times New Roman"/>
          <w:w w:val="114"/>
          <w:sz w:val="24"/>
          <w:szCs w:val="24"/>
        </w:rPr>
        <w:t xml:space="preserve"> </w:t>
      </w:r>
      <w:r w:rsidRPr="00BA4513">
        <w:rPr>
          <w:rFonts w:ascii="Times New Roman" w:hAnsi="Times New Roman" w:cs="Times New Roman"/>
          <w:w w:val="105"/>
          <w:sz w:val="24"/>
          <w:szCs w:val="24"/>
        </w:rPr>
        <w:t>York,</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October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15.</w:t>
      </w:r>
    </w:p>
    <w:p w14:paraId="1EE7172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Bernanke,</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Blinder,</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1988.</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money,</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aggregate</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demand.</w:t>
      </w:r>
      <w:r w:rsidRPr="00BA4513">
        <w:rPr>
          <w:rFonts w:ascii="Times New Roman" w:hAnsi="Times New Roman" w:cs="Times New Roman"/>
          <w:spacing w:val="24"/>
          <w:sz w:val="24"/>
          <w:szCs w:val="24"/>
        </w:rPr>
        <w:t xml:space="preserve"> </w:t>
      </w:r>
      <w:r w:rsidRPr="00BA4513">
        <w:rPr>
          <w:rFonts w:ascii="Times New Roman" w:hAnsi="Times New Roman" w:cs="Times New Roman"/>
          <w:i/>
          <w:iCs/>
          <w:sz w:val="24"/>
          <w:szCs w:val="24"/>
        </w:rPr>
        <w:t>American</w:t>
      </w:r>
      <w:r w:rsidRPr="00BA4513">
        <w:rPr>
          <w:rFonts w:ascii="Times New Roman" w:hAnsi="Times New Roman" w:cs="Times New Roman"/>
          <w:i/>
          <w:iCs/>
          <w:w w:val="105"/>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9"/>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78,</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435–439.</w:t>
      </w:r>
    </w:p>
    <w:p w14:paraId="22701E0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Bernanke,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 Gertler, M., 1995.</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Inside the black box:</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the credit channel of monetary</w:t>
      </w:r>
      <w:r w:rsidRPr="00BA4513">
        <w:rPr>
          <w:rFonts w:ascii="Times New Roman" w:hAnsi="Times New Roman" w:cs="Times New Roman"/>
          <w:w w:val="107"/>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4"/>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Perspectives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9,</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27–48.</w:t>
      </w:r>
    </w:p>
    <w:p w14:paraId="423C5A0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Bernanke,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 Gertler,</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M., Gilchrist, 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1999. The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financial accelerator in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 quantitative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cycle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framework.</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Taylor,</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Woodford,</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(Eds.),</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Handbook</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Macroeconomics</w:t>
      </w:r>
      <w:r w:rsidRPr="00BA4513">
        <w:rPr>
          <w:rFonts w:ascii="Times New Roman" w:hAnsi="Times New Roman" w:cs="Times New Roman"/>
          <w:sz w:val="24"/>
          <w:szCs w:val="24"/>
        </w:rPr>
        <w:t>,</w:t>
      </w:r>
      <w:r w:rsidRPr="00BA4513">
        <w:rPr>
          <w:rFonts w:ascii="Times New Roman" w:hAnsi="Times New Roman" w:cs="Times New Roman"/>
          <w:spacing w:val="30"/>
          <w:sz w:val="24"/>
          <w:szCs w:val="24"/>
        </w:rPr>
        <w:t xml:space="preserve"> </w:t>
      </w:r>
      <w:r w:rsidRPr="00BA4513">
        <w:rPr>
          <w:rFonts w:ascii="Times New Roman" w:hAnsi="Times New Roman" w:cs="Times New Roman"/>
          <w:sz w:val="24"/>
          <w:szCs w:val="24"/>
        </w:rPr>
        <w:t>Amsterdam,</w:t>
      </w:r>
      <w:r w:rsidRPr="00BA4513">
        <w:rPr>
          <w:rFonts w:ascii="Times New Roman" w:hAnsi="Times New Roman" w:cs="Times New Roman"/>
          <w:spacing w:val="30"/>
          <w:sz w:val="24"/>
          <w:szCs w:val="24"/>
        </w:rPr>
        <w:t xml:space="preserve"> </w:t>
      </w:r>
      <w:r w:rsidRPr="00BA4513">
        <w:rPr>
          <w:rFonts w:ascii="Times New Roman" w:hAnsi="Times New Roman" w:cs="Times New Roman"/>
          <w:sz w:val="24"/>
          <w:szCs w:val="24"/>
        </w:rPr>
        <w:t>pp.</w:t>
      </w:r>
      <w:r w:rsidRPr="00BA4513">
        <w:rPr>
          <w:rFonts w:ascii="Times New Roman" w:hAnsi="Times New Roman" w:cs="Times New Roman"/>
          <w:spacing w:val="30"/>
          <w:sz w:val="24"/>
          <w:szCs w:val="24"/>
        </w:rPr>
        <w:t xml:space="preserve"> </w:t>
      </w:r>
      <w:r w:rsidRPr="00BA4513">
        <w:rPr>
          <w:rFonts w:ascii="Times New Roman" w:hAnsi="Times New Roman" w:cs="Times New Roman"/>
          <w:sz w:val="24"/>
          <w:szCs w:val="24"/>
        </w:rPr>
        <w:t>1341–1393.</w:t>
      </w:r>
    </w:p>
    <w:p w14:paraId="205722A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Bernanke,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B.,</w:t>
      </w:r>
      <w:r w:rsidRPr="00BA4513">
        <w:rPr>
          <w:rFonts w:ascii="Times New Roman" w:hAnsi="Times New Roman" w:cs="Times New Roman"/>
          <w:spacing w:val="-22"/>
          <w:w w:val="105"/>
          <w:sz w:val="24"/>
          <w:szCs w:val="24"/>
        </w:rPr>
        <w:t xml:space="preserve"> </w:t>
      </w:r>
      <w:proofErr w:type="spellStart"/>
      <w:r w:rsidRPr="00BA4513">
        <w:rPr>
          <w:rFonts w:ascii="Times New Roman" w:hAnsi="Times New Roman" w:cs="Times New Roman"/>
          <w:w w:val="105"/>
          <w:sz w:val="24"/>
          <w:szCs w:val="24"/>
        </w:rPr>
        <w:t>Kuttner</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K.,</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2005.</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What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explains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stock</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market’s</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reaction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to</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federal</w:t>
      </w:r>
      <w:r w:rsidRPr="00BA4513">
        <w:rPr>
          <w:rFonts w:ascii="Times New Roman" w:hAnsi="Times New Roman" w:cs="Times New Roman"/>
          <w:w w:val="107"/>
          <w:sz w:val="24"/>
          <w:szCs w:val="24"/>
        </w:rPr>
        <w:t xml:space="preserve"> </w:t>
      </w:r>
      <w:r w:rsidRPr="00BA4513">
        <w:rPr>
          <w:rFonts w:ascii="Times New Roman" w:hAnsi="Times New Roman" w:cs="Times New Roman"/>
          <w:w w:val="105"/>
          <w:sz w:val="24"/>
          <w:szCs w:val="24"/>
        </w:rPr>
        <w:t>reserve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60,</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1221–1257.</w:t>
      </w:r>
    </w:p>
    <w:p w14:paraId="49D82AA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Bernanke,</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21"/>
          <w:sz w:val="24"/>
          <w:szCs w:val="24"/>
        </w:rPr>
        <w:t xml:space="preserve"> </w:t>
      </w:r>
      <w:proofErr w:type="spellStart"/>
      <w:r w:rsidRPr="00BA4513">
        <w:rPr>
          <w:rFonts w:ascii="Times New Roman" w:hAnsi="Times New Roman" w:cs="Times New Roman"/>
          <w:sz w:val="24"/>
          <w:szCs w:val="24"/>
        </w:rPr>
        <w:t>Lown</w:t>
      </w:r>
      <w:proofErr w:type="spellEnd"/>
      <w:r w:rsidRPr="00BA4513">
        <w:rPr>
          <w:rFonts w:ascii="Times New Roman" w:hAnsi="Times New Roman" w:cs="Times New Roman"/>
          <w:sz w:val="24"/>
          <w:szCs w:val="24"/>
        </w:rPr>
        <w:t>,</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1991.</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crunches.</w:t>
      </w:r>
      <w:r w:rsidRPr="00BA4513">
        <w:rPr>
          <w:rFonts w:ascii="Times New Roman" w:hAnsi="Times New Roman" w:cs="Times New Roman"/>
          <w:spacing w:val="21"/>
          <w:sz w:val="24"/>
          <w:szCs w:val="24"/>
        </w:rPr>
        <w:t xml:space="preserve"> </w:t>
      </w:r>
      <w:r w:rsidRPr="00BA4513">
        <w:rPr>
          <w:rFonts w:ascii="Times New Roman" w:hAnsi="Times New Roman" w:cs="Times New Roman"/>
          <w:i/>
          <w:iCs/>
          <w:sz w:val="24"/>
          <w:szCs w:val="24"/>
        </w:rPr>
        <w:t>Brookings</w:t>
      </w:r>
      <w:r w:rsidRPr="00BA4513">
        <w:rPr>
          <w:rFonts w:ascii="Times New Roman" w:hAnsi="Times New Roman" w:cs="Times New Roman"/>
          <w:i/>
          <w:iCs/>
          <w:spacing w:val="21"/>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i/>
          <w:iCs/>
          <w:spacing w:val="20"/>
          <w:sz w:val="24"/>
          <w:szCs w:val="24"/>
        </w:rPr>
        <w:t xml:space="preserve"> </w:t>
      </w:r>
      <w:r w:rsidRPr="00BA4513">
        <w:rPr>
          <w:rFonts w:ascii="Times New Roman" w:hAnsi="Times New Roman" w:cs="Times New Roman"/>
          <w:i/>
          <w:iCs/>
          <w:sz w:val="24"/>
          <w:szCs w:val="24"/>
        </w:rPr>
        <w:t>on</w:t>
      </w:r>
      <w:r w:rsidRPr="00BA4513">
        <w:rPr>
          <w:rFonts w:ascii="Times New Roman" w:hAnsi="Times New Roman" w:cs="Times New Roman"/>
          <w:i/>
          <w:iCs/>
          <w:spacing w:val="21"/>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sz w:val="24"/>
          <w:szCs w:val="24"/>
        </w:rPr>
        <w:t>Activity</w:t>
      </w:r>
      <w:r w:rsidRPr="00BA4513">
        <w:rPr>
          <w:rFonts w:ascii="Times New Roman" w:hAnsi="Times New Roman" w:cs="Times New Roman"/>
          <w:i/>
          <w:iCs/>
          <w:spacing w:val="21"/>
          <w:sz w:val="24"/>
          <w:szCs w:val="24"/>
        </w:rPr>
        <w:t xml:space="preserve"> </w:t>
      </w:r>
      <w:r w:rsidRPr="00BA4513">
        <w:rPr>
          <w:rFonts w:ascii="Times New Roman" w:hAnsi="Times New Roman" w:cs="Times New Roman"/>
          <w:sz w:val="24"/>
          <w:szCs w:val="24"/>
        </w:rPr>
        <w:t>2,</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205–248.</w:t>
      </w:r>
    </w:p>
    <w:p w14:paraId="04E9B419"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Bhattacharya, S., Ahmed, A. (2018), Forecasting crude oil price volatility in India using a hybrid ANN-GARCH model. International Journal of Business Forecasting and Marketing Intelligence, 4(4), 446-457. </w:t>
      </w:r>
    </w:p>
    <w:p w14:paraId="14AECB9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Bikker</w:t>
      </w:r>
      <w:proofErr w:type="spellEnd"/>
      <w:r w:rsidRPr="00BA4513">
        <w:rPr>
          <w:rFonts w:ascii="Times New Roman" w:hAnsi="Times New Roman" w:cs="Times New Roman"/>
          <w:sz w:val="24"/>
          <w:szCs w:val="24"/>
        </w:rPr>
        <w:t>,</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Hu,</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H.,</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2002.</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Cyclical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patterns</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profits,</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provisioning,</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w w:val="9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procyclicality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i/>
          <w:iCs/>
          <w:sz w:val="24"/>
          <w:szCs w:val="24"/>
        </w:rPr>
        <w:t>.</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BNL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Quarterly</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w w:val="110"/>
          <w:sz w:val="24"/>
          <w:szCs w:val="24"/>
        </w:rPr>
        <w:t xml:space="preserve"> </w:t>
      </w:r>
      <w:r w:rsidRPr="00BA4513">
        <w:rPr>
          <w:rFonts w:ascii="Times New Roman" w:hAnsi="Times New Roman" w:cs="Times New Roman"/>
          <w:sz w:val="24"/>
          <w:szCs w:val="24"/>
        </w:rPr>
        <w:t>221,</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 xml:space="preserve">143–175.Birge, J. R. and </w:t>
      </w:r>
      <w:proofErr w:type="spellStart"/>
      <w:r w:rsidRPr="00BA4513">
        <w:rPr>
          <w:rFonts w:ascii="Times New Roman" w:hAnsi="Times New Roman" w:cs="Times New Roman"/>
          <w:sz w:val="24"/>
          <w:szCs w:val="24"/>
        </w:rPr>
        <w:t>Linetsky</w:t>
      </w:r>
      <w:proofErr w:type="spellEnd"/>
      <w:r w:rsidRPr="00BA4513">
        <w:rPr>
          <w:rFonts w:ascii="Times New Roman" w:hAnsi="Times New Roman" w:cs="Times New Roman"/>
          <w:sz w:val="24"/>
          <w:szCs w:val="24"/>
        </w:rPr>
        <w:t xml:space="preserve"> V., (2007) Eds. Financial Engineering (Elsevier, 2007). pp. 1-1014.</w:t>
      </w:r>
    </w:p>
    <w:p w14:paraId="10C65081"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Bildirici</w:t>
      </w:r>
      <w:proofErr w:type="spellEnd"/>
      <w:r w:rsidRPr="00BA4513">
        <w:rPr>
          <w:rFonts w:ascii="Times New Roman" w:hAnsi="Times New Roman" w:cs="Times New Roman"/>
          <w:sz w:val="24"/>
          <w:szCs w:val="24"/>
        </w:rPr>
        <w:t xml:space="preserve">, M., </w:t>
      </w:r>
      <w:proofErr w:type="spellStart"/>
      <w:r w:rsidRPr="00BA4513">
        <w:rPr>
          <w:rFonts w:ascii="Times New Roman" w:hAnsi="Times New Roman" w:cs="Times New Roman"/>
          <w:sz w:val="24"/>
          <w:szCs w:val="24"/>
        </w:rPr>
        <w:t>Ersin</w:t>
      </w:r>
      <w:proofErr w:type="spellEnd"/>
      <w:r w:rsidRPr="00BA4513">
        <w:rPr>
          <w:rFonts w:ascii="Times New Roman" w:hAnsi="Times New Roman" w:cs="Times New Roman"/>
          <w:sz w:val="24"/>
          <w:szCs w:val="24"/>
        </w:rPr>
        <w:t>, Ö.Ö. (2009), Improving forecasts of GARCH family models with the artificial neural networks: An application to the daily returns in Istanbul stock exchange. Expert Systems with Applications, 36(4), 7355-7362</w:t>
      </w:r>
    </w:p>
    <w:p w14:paraId="230B321E" w14:textId="77777777" w:rsidR="00BA4513" w:rsidRPr="00BA4513" w:rsidRDefault="00BA4513" w:rsidP="005A4160">
      <w:pPr>
        <w:pStyle w:val="ListParagraph"/>
        <w:numPr>
          <w:ilvl w:val="0"/>
          <w:numId w:val="13"/>
        </w:numPr>
        <w:spacing w:line="240" w:lineRule="auto"/>
        <w:jc w:val="both"/>
        <w:rPr>
          <w:rFonts w:ascii="Times New Roman" w:eastAsia="Times New Roman" w:hAnsi="Times New Roman" w:cs="Times New Roman"/>
          <w:sz w:val="24"/>
          <w:szCs w:val="24"/>
        </w:rPr>
      </w:pPr>
      <w:r w:rsidRPr="00BA4513">
        <w:rPr>
          <w:rFonts w:ascii="Times New Roman" w:hAnsi="Times New Roman" w:cs="Times New Roman"/>
          <w:sz w:val="24"/>
          <w:szCs w:val="24"/>
        </w:rPr>
        <w:t xml:space="preserve">Black, F., 1976. Studies of stock price volatility changes. In: Proceedings of the 1976 Meetings of the Business and Economic Statistics. </w:t>
      </w:r>
      <w:r w:rsidRPr="00BA4513">
        <w:rPr>
          <w:rFonts w:ascii="Times New Roman" w:hAnsi="Times New Roman" w:cs="Times New Roman"/>
          <w:i/>
          <w:iCs/>
          <w:sz w:val="24"/>
          <w:szCs w:val="24"/>
        </w:rPr>
        <w:t>American Statistical Society</w:t>
      </w:r>
      <w:r w:rsidRPr="00BA4513">
        <w:rPr>
          <w:rFonts w:ascii="Times New Roman" w:hAnsi="Times New Roman" w:cs="Times New Roman"/>
          <w:sz w:val="24"/>
          <w:szCs w:val="24"/>
        </w:rPr>
        <w:t xml:space="preserve">, pp. 177–181. </w:t>
      </w:r>
    </w:p>
    <w:p w14:paraId="7F8E66C9" w14:textId="77777777" w:rsidR="00BA4513" w:rsidRPr="00BA4513" w:rsidRDefault="00BA4513" w:rsidP="005A4160">
      <w:pPr>
        <w:pStyle w:val="ListParagraph"/>
        <w:numPr>
          <w:ilvl w:val="0"/>
          <w:numId w:val="13"/>
        </w:numPr>
        <w:spacing w:line="240" w:lineRule="auto"/>
        <w:jc w:val="both"/>
        <w:rPr>
          <w:rFonts w:ascii="Times New Roman" w:eastAsia="Times New Roman" w:hAnsi="Times New Roman" w:cs="Times New Roman"/>
          <w:sz w:val="24"/>
          <w:szCs w:val="24"/>
        </w:rPr>
      </w:pPr>
      <w:r w:rsidRPr="00BA4513">
        <w:rPr>
          <w:rFonts w:ascii="Times New Roman" w:eastAsia="Times New Roman" w:hAnsi="Times New Roman" w:cs="Times New Roman"/>
          <w:sz w:val="24"/>
          <w:szCs w:val="24"/>
        </w:rPr>
        <w:t xml:space="preserve">Blanchard, O. J., 1989. Speculative Bubbles, Crashes, and Rational Expectations, </w:t>
      </w:r>
      <w:r w:rsidRPr="00BA4513">
        <w:rPr>
          <w:rFonts w:ascii="Times New Roman" w:eastAsia="Times New Roman" w:hAnsi="Times New Roman" w:cs="Times New Roman"/>
          <w:i/>
          <w:iCs/>
          <w:sz w:val="24"/>
          <w:szCs w:val="24"/>
        </w:rPr>
        <w:t>Economics Letters</w:t>
      </w:r>
      <w:r w:rsidRPr="00BA4513">
        <w:rPr>
          <w:rFonts w:ascii="Times New Roman" w:eastAsia="Times New Roman" w:hAnsi="Times New Roman" w:cs="Times New Roman"/>
          <w:sz w:val="24"/>
          <w:szCs w:val="24"/>
        </w:rPr>
        <w:t>, 3, 387–389.</w:t>
      </w:r>
    </w:p>
    <w:p w14:paraId="150A2E9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Blum,</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1999.</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Do</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adequacy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reduce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risks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banking?</w:t>
      </w:r>
      <w:r w:rsidRPr="00BA4513">
        <w:rPr>
          <w:rFonts w:ascii="Times New Roman" w:hAnsi="Times New Roman" w:cs="Times New Roman"/>
          <w:spacing w:val="3"/>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23,</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755–771.</w:t>
      </w:r>
    </w:p>
    <w:p w14:paraId="42A9732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Blum,</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2008.</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Why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may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need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leverage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ratio</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restriction.</w:t>
      </w:r>
      <w:r w:rsidRPr="00BA4513">
        <w:rPr>
          <w:rFonts w:ascii="Times New Roman" w:hAnsi="Times New Roman" w:cs="Times New Roman"/>
          <w:spacing w:val="-7"/>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Banking and</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32,</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1699–1707.</w:t>
      </w:r>
    </w:p>
    <w:p w14:paraId="79B2758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Blum,</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0"/>
          <w:sz w:val="24"/>
          <w:szCs w:val="24"/>
        </w:rPr>
        <w:t xml:space="preserve"> </w:t>
      </w:r>
      <w:proofErr w:type="spellStart"/>
      <w:r w:rsidRPr="00BA4513">
        <w:rPr>
          <w:rFonts w:ascii="Times New Roman" w:hAnsi="Times New Roman" w:cs="Times New Roman"/>
          <w:sz w:val="24"/>
          <w:szCs w:val="24"/>
        </w:rPr>
        <w:t>Hellwig</w:t>
      </w:r>
      <w:proofErr w:type="spellEnd"/>
      <w:r w:rsidRPr="00BA4513">
        <w:rPr>
          <w:rFonts w:ascii="Times New Roman" w:hAnsi="Times New Roman" w:cs="Times New Roman"/>
          <w:sz w:val="24"/>
          <w:szCs w:val="24"/>
        </w:rPr>
        <w:t>,</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1995.</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macroeconomic</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implications</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adequacy</w:t>
      </w:r>
      <w:r w:rsidRPr="00BA4513">
        <w:rPr>
          <w:rFonts w:ascii="Times New Roman" w:hAnsi="Times New Roman" w:cs="Times New Roman"/>
          <w:w w:val="104"/>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12"/>
          <w:sz w:val="24"/>
          <w:szCs w:val="24"/>
        </w:rPr>
        <w:t xml:space="preserve"> </w:t>
      </w:r>
      <w:r w:rsidRPr="00BA4513">
        <w:rPr>
          <w:rFonts w:ascii="Times New Roman" w:hAnsi="Times New Roman" w:cs="Times New Roman"/>
          <w:i/>
          <w:iCs/>
          <w:sz w:val="24"/>
          <w:szCs w:val="24"/>
        </w:rPr>
        <w:t>European</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39,</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739–749.</w:t>
      </w:r>
    </w:p>
    <w:p w14:paraId="4E53B34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xml:space="preserve">, T. (1986) Generalized autoregressive conditional heteroskedasticity, </w:t>
      </w:r>
      <w:r w:rsidRPr="00BA4513">
        <w:rPr>
          <w:rFonts w:ascii="Times New Roman" w:hAnsi="Times New Roman" w:cs="Times New Roman"/>
          <w:i/>
          <w:iCs/>
          <w:sz w:val="24"/>
          <w:szCs w:val="24"/>
        </w:rPr>
        <w:t>Journal of Econometrics</w:t>
      </w:r>
      <w:r w:rsidRPr="00BA4513">
        <w:rPr>
          <w:rFonts w:ascii="Times New Roman" w:hAnsi="Times New Roman" w:cs="Times New Roman"/>
          <w:sz w:val="24"/>
          <w:szCs w:val="24"/>
        </w:rPr>
        <w:t xml:space="preserve">. 31, 307–327. </w:t>
      </w:r>
    </w:p>
    <w:p w14:paraId="7C109E2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xml:space="preserve">, T. (1990) Modelling the coherence in short-run nominal exchange rates: A multivariate generalized ARCH approach, </w:t>
      </w:r>
      <w:r w:rsidRPr="00BA4513">
        <w:rPr>
          <w:rFonts w:ascii="Times New Roman" w:hAnsi="Times New Roman" w:cs="Times New Roman"/>
          <w:i/>
          <w:iCs/>
          <w:sz w:val="24"/>
          <w:szCs w:val="24"/>
        </w:rPr>
        <w:t>Review of Economics and Statistics</w:t>
      </w:r>
      <w:r w:rsidRPr="00BA4513">
        <w:rPr>
          <w:rFonts w:ascii="Times New Roman" w:hAnsi="Times New Roman" w:cs="Times New Roman"/>
          <w:sz w:val="24"/>
          <w:szCs w:val="24"/>
        </w:rPr>
        <w:t xml:space="preserve">. 72, 498–505. </w:t>
      </w:r>
    </w:p>
    <w:p w14:paraId="24901A55"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xml:space="preserve">, T., Mikkelsen, H., (1996).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and pricing long memory in stock market volatility. Journal of Econometrics 73, 151-184.</w:t>
      </w:r>
    </w:p>
    <w:p w14:paraId="474EF28A" w14:textId="77777777" w:rsidR="00BA4513" w:rsidRPr="00BA4513" w:rsidRDefault="00BA4513" w:rsidP="005A4160">
      <w:pPr>
        <w:pStyle w:val="NoSpacing"/>
        <w:numPr>
          <w:ilvl w:val="0"/>
          <w:numId w:val="13"/>
        </w:numPr>
        <w:jc w:val="both"/>
        <w:rPr>
          <w:rFonts w:ascii="Times New Roman" w:hAnsi="Times New Roman" w:cs="Times New Roman"/>
          <w:sz w:val="24"/>
          <w:szCs w:val="24"/>
        </w:rPr>
      </w:pPr>
      <w:proofErr w:type="spellStart"/>
      <w:r w:rsidRPr="00BA4513">
        <w:rPr>
          <w:rFonts w:ascii="Times New Roman" w:hAnsi="Times New Roman" w:cs="Times New Roman"/>
          <w:sz w:val="24"/>
          <w:szCs w:val="24"/>
        </w:rPr>
        <w:t>Bollerslev</w:t>
      </w:r>
      <w:proofErr w:type="spellEnd"/>
      <w:r w:rsidRPr="00BA4513">
        <w:rPr>
          <w:rFonts w:ascii="Times New Roman" w:hAnsi="Times New Roman" w:cs="Times New Roman"/>
          <w:sz w:val="24"/>
          <w:szCs w:val="24"/>
        </w:rPr>
        <w:t>, T., Mikkelsen, H., 1999. Long-term equity anticipation securities and stock market volatility dynamics</w:t>
      </w:r>
      <w:r w:rsidRPr="00BA4513">
        <w:rPr>
          <w:rFonts w:ascii="Times New Roman" w:hAnsi="Times New Roman" w:cs="Times New Roman"/>
          <w:i/>
          <w:iCs/>
          <w:sz w:val="24"/>
          <w:szCs w:val="24"/>
        </w:rPr>
        <w:t xml:space="preserve"> J. Econometrics</w:t>
      </w:r>
      <w:r w:rsidRPr="00BA4513">
        <w:rPr>
          <w:rFonts w:ascii="Times New Roman" w:hAnsi="Times New Roman" w:cs="Times New Roman"/>
          <w:sz w:val="24"/>
          <w:szCs w:val="24"/>
        </w:rPr>
        <w:t xml:space="preserve"> 92, 75–99. </w:t>
      </w:r>
    </w:p>
    <w:p w14:paraId="3ABB72C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Bolton,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7"/>
          <w:sz w:val="24"/>
          <w:szCs w:val="24"/>
        </w:rPr>
        <w:t xml:space="preserve"> </w:t>
      </w:r>
      <w:proofErr w:type="spellStart"/>
      <w:r w:rsidRPr="00BA4513">
        <w:rPr>
          <w:rFonts w:ascii="Times New Roman" w:hAnsi="Times New Roman" w:cs="Times New Roman"/>
          <w:sz w:val="24"/>
          <w:szCs w:val="24"/>
        </w:rPr>
        <w:t>Freixas</w:t>
      </w:r>
      <w:proofErr w:type="spellEnd"/>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X.,</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Corporate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finance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mechanism.</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Studies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19,</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829–870.</w:t>
      </w:r>
    </w:p>
    <w:p w14:paraId="442FCDB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Borges, M.R. (2010) “Efficient market hypothesis in European stock markets”, European Journal of Finance, 16, 711-726.</w:t>
      </w:r>
    </w:p>
    <w:p w14:paraId="78F36B2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Borio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2003.</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Towards</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macroprudential</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framework</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supervision</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24"/>
          <w:w w:val="105"/>
          <w:sz w:val="24"/>
          <w:szCs w:val="24"/>
        </w:rPr>
        <w:t xml:space="preserve"> </w:t>
      </w:r>
      <w:proofErr w:type="spellStart"/>
      <w:r w:rsidRPr="00BA4513">
        <w:rPr>
          <w:rFonts w:ascii="Times New Roman" w:hAnsi="Times New Roman" w:cs="Times New Roman"/>
          <w:i/>
          <w:iCs/>
          <w:w w:val="105"/>
          <w:sz w:val="24"/>
          <w:szCs w:val="24"/>
        </w:rPr>
        <w:t>CESifo</w:t>
      </w:r>
      <w:proofErr w:type="spellEnd"/>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Studies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49,</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181–216.</w:t>
      </w:r>
    </w:p>
    <w:p w14:paraId="2D636FB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prudential</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policies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crossroads?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Challenges</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Century.</w:t>
      </w:r>
      <w:r w:rsidRPr="00BA4513">
        <w:rPr>
          <w:rFonts w:ascii="Times New Roman" w:hAnsi="Times New Roman" w:cs="Times New Roman"/>
          <w:spacing w:val="9"/>
          <w:sz w:val="24"/>
          <w:szCs w:val="24"/>
        </w:rPr>
        <w:t xml:space="preserve"> </w:t>
      </w:r>
      <w:proofErr w:type="spellStart"/>
      <w:r w:rsidRPr="00BA4513">
        <w:rPr>
          <w:rFonts w:ascii="Times New Roman" w:hAnsi="Times New Roman" w:cs="Times New Roman"/>
          <w:i/>
          <w:iCs/>
          <w:sz w:val="24"/>
          <w:szCs w:val="24"/>
        </w:rPr>
        <w:t>Moneday</w:t>
      </w:r>
      <w:proofErr w:type="spellEnd"/>
      <w:r w:rsidRPr="00BA4513">
        <w:rPr>
          <w:rFonts w:ascii="Times New Roman" w:hAnsi="Times New Roman" w:cs="Times New Roman"/>
          <w:i/>
          <w:iCs/>
          <w:spacing w:val="9"/>
          <w:sz w:val="24"/>
          <w:szCs w:val="24"/>
        </w:rPr>
        <w:t xml:space="preserve"> </w:t>
      </w:r>
      <w:proofErr w:type="spellStart"/>
      <w:r w:rsidRPr="00BA4513">
        <w:rPr>
          <w:rFonts w:ascii="Times New Roman" w:hAnsi="Times New Roman" w:cs="Times New Roman"/>
          <w:i/>
          <w:iCs/>
          <w:sz w:val="24"/>
          <w:szCs w:val="24"/>
        </w:rPr>
        <w:t>Crédito</w:t>
      </w:r>
      <w:proofErr w:type="spellEnd"/>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224,</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63–101.</w:t>
      </w:r>
    </w:p>
    <w:p w14:paraId="5AC0CB1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Ten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propositions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about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crises.</w:t>
      </w:r>
      <w:r w:rsidRPr="00BA4513">
        <w:rPr>
          <w:rFonts w:ascii="Times New Roman" w:hAnsi="Times New Roman" w:cs="Times New Roman"/>
          <w:spacing w:val="-2"/>
          <w:sz w:val="24"/>
          <w:szCs w:val="24"/>
        </w:rPr>
        <w:t xml:space="preserve"> </w:t>
      </w:r>
      <w:proofErr w:type="spellStart"/>
      <w:r w:rsidRPr="00BA4513">
        <w:rPr>
          <w:rFonts w:ascii="Times New Roman" w:hAnsi="Times New Roman" w:cs="Times New Roman"/>
          <w:i/>
          <w:iCs/>
          <w:sz w:val="24"/>
          <w:szCs w:val="24"/>
        </w:rPr>
        <w:t>CESifo</w:t>
      </w:r>
      <w:proofErr w:type="spellEnd"/>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Studies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56,</w:t>
      </w:r>
      <w:r w:rsidRPr="00BA4513">
        <w:rPr>
          <w:rFonts w:ascii="Times New Roman" w:hAnsi="Times New Roman" w:cs="Times New Roman"/>
          <w:w w:val="98"/>
          <w:sz w:val="24"/>
          <w:szCs w:val="24"/>
        </w:rPr>
        <w:t xml:space="preserve"> </w:t>
      </w:r>
      <w:r w:rsidRPr="00BA4513">
        <w:rPr>
          <w:rFonts w:ascii="Times New Roman" w:hAnsi="Times New Roman" w:cs="Times New Roman"/>
          <w:sz w:val="24"/>
          <w:szCs w:val="24"/>
        </w:rPr>
        <w:t>70–95.</w:t>
      </w:r>
    </w:p>
    <w:p w14:paraId="313D145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Borio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2011.</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Rediscovering</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macroeconomic</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roots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w w:val="109"/>
          <w:sz w:val="24"/>
          <w:szCs w:val="24"/>
        </w:rPr>
        <w:t xml:space="preserve"> </w:t>
      </w:r>
      <w:r w:rsidRPr="00BA4513">
        <w:rPr>
          <w:rFonts w:ascii="Times New Roman" w:hAnsi="Times New Roman" w:cs="Times New Roman"/>
          <w:w w:val="105"/>
          <w:sz w:val="24"/>
          <w:szCs w:val="24"/>
        </w:rPr>
        <w:t>journey,</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challenges,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way</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forward.</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i/>
          <w:iCs/>
          <w:w w:val="105"/>
          <w:sz w:val="24"/>
          <w:szCs w:val="24"/>
        </w:rPr>
        <w:t>Annual</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3,</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87–117.</w:t>
      </w:r>
    </w:p>
    <w:p w14:paraId="0F43252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Borio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English,</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Filardo,</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2003.</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tale</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two</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perspectives:</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old</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or</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new</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challenges</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i/>
          <w:iCs/>
          <w:w w:val="105"/>
          <w:sz w:val="24"/>
          <w:szCs w:val="24"/>
        </w:rPr>
        <w:t>?</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Papers</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127.</w:t>
      </w:r>
    </w:p>
    <w:p w14:paraId="1DF51C3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lang w:val="es-AR"/>
        </w:rPr>
        <w:t>Borio</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1"/>
          <w:w w:val="105"/>
          <w:sz w:val="24"/>
          <w:szCs w:val="24"/>
          <w:lang w:val="es-AR"/>
        </w:rPr>
        <w:t xml:space="preserve"> </w:t>
      </w:r>
      <w:r w:rsidRPr="00BA4513">
        <w:rPr>
          <w:rFonts w:ascii="Times New Roman" w:hAnsi="Times New Roman" w:cs="Times New Roman"/>
          <w:w w:val="105"/>
          <w:sz w:val="24"/>
          <w:szCs w:val="24"/>
          <w:lang w:val="es-AR"/>
        </w:rPr>
        <w:t>C.,</w:t>
      </w:r>
      <w:r w:rsidRPr="00BA4513">
        <w:rPr>
          <w:rFonts w:ascii="Times New Roman" w:hAnsi="Times New Roman" w:cs="Times New Roman"/>
          <w:spacing w:val="11"/>
          <w:w w:val="105"/>
          <w:sz w:val="24"/>
          <w:szCs w:val="24"/>
          <w:lang w:val="es-AR"/>
        </w:rPr>
        <w:t xml:space="preserve"> </w:t>
      </w:r>
      <w:proofErr w:type="spellStart"/>
      <w:r w:rsidRPr="00BA4513">
        <w:rPr>
          <w:rFonts w:ascii="Times New Roman" w:hAnsi="Times New Roman" w:cs="Times New Roman"/>
          <w:w w:val="105"/>
          <w:sz w:val="24"/>
          <w:szCs w:val="24"/>
          <w:lang w:val="es-AR"/>
        </w:rPr>
        <w:t>Furfine</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1"/>
          <w:w w:val="105"/>
          <w:sz w:val="24"/>
          <w:szCs w:val="24"/>
          <w:lang w:val="es-AR"/>
        </w:rPr>
        <w:t xml:space="preserve"> </w:t>
      </w:r>
      <w:r w:rsidRPr="00BA4513">
        <w:rPr>
          <w:rFonts w:ascii="Times New Roman" w:hAnsi="Times New Roman" w:cs="Times New Roman"/>
          <w:w w:val="105"/>
          <w:sz w:val="24"/>
          <w:szCs w:val="24"/>
          <w:lang w:val="es-AR"/>
        </w:rPr>
        <w:t>C.,</w:t>
      </w:r>
      <w:r w:rsidRPr="00BA4513">
        <w:rPr>
          <w:rFonts w:ascii="Times New Roman" w:hAnsi="Times New Roman" w:cs="Times New Roman"/>
          <w:spacing w:val="11"/>
          <w:w w:val="105"/>
          <w:sz w:val="24"/>
          <w:szCs w:val="24"/>
          <w:lang w:val="es-AR"/>
        </w:rPr>
        <w:t xml:space="preserve"> </w:t>
      </w:r>
      <w:proofErr w:type="spellStart"/>
      <w:r w:rsidRPr="00BA4513">
        <w:rPr>
          <w:rFonts w:ascii="Times New Roman" w:hAnsi="Times New Roman" w:cs="Times New Roman"/>
          <w:w w:val="105"/>
          <w:sz w:val="24"/>
          <w:szCs w:val="24"/>
          <w:lang w:val="es-AR"/>
        </w:rPr>
        <w:t>Lowe</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1"/>
          <w:w w:val="105"/>
          <w:sz w:val="24"/>
          <w:szCs w:val="24"/>
          <w:lang w:val="es-AR"/>
        </w:rPr>
        <w:t xml:space="preserve"> </w:t>
      </w:r>
      <w:r w:rsidRPr="00BA4513">
        <w:rPr>
          <w:rFonts w:ascii="Times New Roman" w:hAnsi="Times New Roman" w:cs="Times New Roman"/>
          <w:w w:val="105"/>
          <w:sz w:val="24"/>
          <w:szCs w:val="24"/>
          <w:lang w:val="es-AR"/>
        </w:rPr>
        <w:t>P.,</w:t>
      </w:r>
      <w:r w:rsidRPr="00BA4513">
        <w:rPr>
          <w:rFonts w:ascii="Times New Roman" w:hAnsi="Times New Roman" w:cs="Times New Roman"/>
          <w:spacing w:val="11"/>
          <w:w w:val="105"/>
          <w:sz w:val="24"/>
          <w:szCs w:val="24"/>
          <w:lang w:val="es-AR"/>
        </w:rPr>
        <w:t xml:space="preserve"> </w:t>
      </w:r>
      <w:r w:rsidRPr="00BA4513">
        <w:rPr>
          <w:rFonts w:ascii="Times New Roman" w:hAnsi="Times New Roman" w:cs="Times New Roman"/>
          <w:w w:val="105"/>
          <w:sz w:val="24"/>
          <w:szCs w:val="24"/>
          <w:lang w:val="es-AR"/>
        </w:rPr>
        <w:t>2001.</w:t>
      </w:r>
      <w:r w:rsidRPr="00BA4513">
        <w:rPr>
          <w:rFonts w:ascii="Times New Roman" w:hAnsi="Times New Roman" w:cs="Times New Roman"/>
          <w:spacing w:val="11"/>
          <w:w w:val="105"/>
          <w:sz w:val="24"/>
          <w:szCs w:val="24"/>
          <w:lang w:val="es-AR"/>
        </w:rPr>
        <w:t xml:space="preserve"> </w:t>
      </w:r>
      <w:r w:rsidRPr="00BA4513">
        <w:rPr>
          <w:rFonts w:ascii="Times New Roman" w:hAnsi="Times New Roman" w:cs="Times New Roman"/>
          <w:w w:val="105"/>
          <w:sz w:val="24"/>
          <w:szCs w:val="24"/>
        </w:rPr>
        <w:t>Procyclicality</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system</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stability: issues and policy options. Marrying the macro- and micro-</w:t>
      </w:r>
      <w:r w:rsidRPr="00BA4513">
        <w:rPr>
          <w:rFonts w:ascii="Times New Roman" w:hAnsi="Times New Roman" w:cs="Times New Roman"/>
          <w:w w:val="108"/>
          <w:sz w:val="24"/>
          <w:szCs w:val="24"/>
        </w:rPr>
        <w:t xml:space="preserve"> </w:t>
      </w:r>
      <w:r w:rsidRPr="00BA4513">
        <w:rPr>
          <w:rFonts w:ascii="Times New Roman" w:hAnsi="Times New Roman" w:cs="Times New Roman"/>
          <w:w w:val="105"/>
          <w:sz w:val="24"/>
          <w:szCs w:val="24"/>
        </w:rPr>
        <w:t>prudential</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dimensions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Papers</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1,</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1–57.</w:t>
      </w:r>
    </w:p>
    <w:p w14:paraId="5F47412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Lowe,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2002.</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prices,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stability: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exploring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nexus.</w:t>
      </w:r>
      <w:r w:rsidRPr="00BA4513">
        <w:rPr>
          <w:rFonts w:ascii="Times New Roman" w:hAnsi="Times New Roman" w:cs="Times New Roman"/>
          <w:spacing w:val="-3"/>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11,</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4.</w:t>
      </w:r>
    </w:p>
    <w:p w14:paraId="4B9BDF6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Lowe,</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Securing</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sustainable</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price</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stability:</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should</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come</w:t>
      </w:r>
      <w:r w:rsidRPr="00BA4513">
        <w:rPr>
          <w:rFonts w:ascii="Times New Roman" w:hAnsi="Times New Roman" w:cs="Times New Roman"/>
          <w:w w:val="108"/>
          <w:sz w:val="24"/>
          <w:szCs w:val="24"/>
        </w:rPr>
        <w:t xml:space="preserve"> </w:t>
      </w:r>
      <w:r w:rsidRPr="00BA4513">
        <w:rPr>
          <w:rFonts w:ascii="Times New Roman" w:hAnsi="Times New Roman" w:cs="Times New Roman"/>
          <w:sz w:val="24"/>
          <w:szCs w:val="24"/>
        </w:rPr>
        <w:t>back</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from</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wilderness?</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157.</w:t>
      </w:r>
    </w:p>
    <w:p w14:paraId="35D5F83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McCauley,</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1996.</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economics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recent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bond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yield</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 xml:space="preserve">volatility. </w:t>
      </w:r>
      <w:r w:rsidRPr="00BA4513">
        <w:rPr>
          <w:rFonts w:ascii="Times New Roman" w:hAnsi="Times New Roman" w:cs="Times New Roman"/>
          <w:i/>
          <w:iCs/>
          <w:sz w:val="24"/>
          <w:szCs w:val="24"/>
        </w:rPr>
        <w:t>BIS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45.</w:t>
      </w:r>
    </w:p>
    <w:p w14:paraId="6C9F22C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Borio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23"/>
          <w:w w:val="105"/>
          <w:sz w:val="24"/>
          <w:szCs w:val="24"/>
        </w:rPr>
        <w:t xml:space="preserve"> </w:t>
      </w:r>
      <w:proofErr w:type="spellStart"/>
      <w:r w:rsidRPr="00BA4513">
        <w:rPr>
          <w:rFonts w:ascii="Times New Roman" w:hAnsi="Times New Roman" w:cs="Times New Roman"/>
          <w:w w:val="105"/>
          <w:sz w:val="24"/>
          <w:szCs w:val="24"/>
        </w:rPr>
        <w:t>Tsatsaronis</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K.,</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Accounting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prudential</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from</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uncomfortable</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bedfellows</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to</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perfect</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partners?</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Stability</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1,</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111–135.</w:t>
      </w:r>
    </w:p>
    <w:p w14:paraId="30050D5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Borio</w:t>
      </w:r>
      <w:proofErr w:type="spellEnd"/>
      <w:r w:rsidRPr="00BA4513">
        <w:rPr>
          <w:rFonts w:ascii="Times New Roman" w:hAnsi="Times New Roman" w:cs="Times New Roman"/>
          <w:sz w:val="24"/>
          <w:szCs w:val="24"/>
        </w:rPr>
        <w: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18"/>
          <w:sz w:val="24"/>
          <w:szCs w:val="24"/>
        </w:rPr>
        <w:t xml:space="preserve"> </w:t>
      </w:r>
      <w:proofErr w:type="spellStart"/>
      <w:r w:rsidRPr="00BA4513">
        <w:rPr>
          <w:rFonts w:ascii="Times New Roman" w:hAnsi="Times New Roman" w:cs="Times New Roman"/>
          <w:sz w:val="24"/>
          <w:szCs w:val="24"/>
        </w:rPr>
        <w:t>Tsatsaronis</w:t>
      </w:r>
      <w:proofErr w:type="spellEnd"/>
      <w:r w:rsidRPr="00BA4513">
        <w:rPr>
          <w:rFonts w:ascii="Times New Roman" w:hAnsi="Times New Roman" w:cs="Times New Roman"/>
          <w:sz w:val="24"/>
          <w:szCs w:val="24"/>
        </w:rPr>
        <w:t>,</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K.,</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reporting:</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status</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suggested</w:t>
      </w:r>
      <w:r w:rsidRPr="00BA4513">
        <w:rPr>
          <w:rFonts w:ascii="Times New Roman" w:hAnsi="Times New Roman" w:cs="Times New Roman"/>
          <w:w w:val="104"/>
          <w:sz w:val="24"/>
          <w:szCs w:val="24"/>
        </w:rPr>
        <w:t xml:space="preserve"> </w:t>
      </w:r>
      <w:r w:rsidRPr="00BA4513">
        <w:rPr>
          <w:rFonts w:ascii="Times New Roman" w:hAnsi="Times New Roman" w:cs="Times New Roman"/>
          <w:sz w:val="24"/>
          <w:szCs w:val="24"/>
        </w:rPr>
        <w:t>future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directions.</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213.</w:t>
      </w:r>
    </w:p>
    <w:p w14:paraId="4CDEC57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Borio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White,</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Whither</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implications</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evolving</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regimes.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Uncertainty:</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Adapting to</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Changing</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Economy.</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i/>
          <w:iCs/>
          <w:w w:val="105"/>
          <w:sz w:val="24"/>
          <w:szCs w:val="24"/>
        </w:rPr>
        <w:t>Proceedings</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a</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symposium</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sponsored</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by</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Federal</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w w:val="105"/>
          <w:sz w:val="24"/>
          <w:szCs w:val="24"/>
        </w:rPr>
        <w:t>Reserve</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Bank 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Kansas</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City,</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Jackson</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Hole</w:t>
      </w:r>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28–30</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August,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131–211.</w:t>
      </w:r>
    </w:p>
    <w:p w14:paraId="194A127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Breen W, </w:t>
      </w:r>
      <w:proofErr w:type="spellStart"/>
      <w:r w:rsidRPr="00BA4513">
        <w:rPr>
          <w:rFonts w:ascii="Times New Roman" w:hAnsi="Times New Roman" w:cs="Times New Roman"/>
          <w:sz w:val="24"/>
          <w:szCs w:val="24"/>
        </w:rPr>
        <w:t>Glosten</w:t>
      </w:r>
      <w:proofErr w:type="spellEnd"/>
      <w:r w:rsidRPr="00BA4513">
        <w:rPr>
          <w:rFonts w:ascii="Times New Roman" w:hAnsi="Times New Roman" w:cs="Times New Roman"/>
          <w:sz w:val="24"/>
          <w:szCs w:val="24"/>
        </w:rPr>
        <w:t xml:space="preserve"> LR, Jagannathan R. (1989). “Economic significance of predictable variations in stock index returns”. Journal of Finance 1989; 44:1177—1189.  </w:t>
      </w:r>
    </w:p>
    <w:p w14:paraId="49B232F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Breidt</w:t>
      </w:r>
      <w:proofErr w:type="spellEnd"/>
      <w:r w:rsidRPr="00BA4513">
        <w:rPr>
          <w:rFonts w:ascii="Times New Roman" w:hAnsi="Times New Roman" w:cs="Times New Roman"/>
          <w:sz w:val="24"/>
          <w:szCs w:val="24"/>
          <w:lang w:val="es-AR"/>
        </w:rPr>
        <w:t xml:space="preserve">, F.J., </w:t>
      </w:r>
      <w:proofErr w:type="spellStart"/>
      <w:r w:rsidRPr="00BA4513">
        <w:rPr>
          <w:rFonts w:ascii="Times New Roman" w:hAnsi="Times New Roman" w:cs="Times New Roman"/>
          <w:sz w:val="24"/>
          <w:szCs w:val="24"/>
          <w:lang w:val="es-AR"/>
        </w:rPr>
        <w:t>Crato</w:t>
      </w:r>
      <w:proofErr w:type="spellEnd"/>
      <w:r w:rsidRPr="00BA4513">
        <w:rPr>
          <w:rFonts w:ascii="Times New Roman" w:hAnsi="Times New Roman" w:cs="Times New Roman"/>
          <w:sz w:val="24"/>
          <w:szCs w:val="24"/>
          <w:lang w:val="es-AR"/>
        </w:rPr>
        <w:t xml:space="preserve">, N., de Lima, P., 1998. </w:t>
      </w:r>
      <w:r w:rsidRPr="00BA4513">
        <w:rPr>
          <w:rFonts w:ascii="Times New Roman" w:hAnsi="Times New Roman" w:cs="Times New Roman"/>
          <w:sz w:val="24"/>
          <w:szCs w:val="24"/>
        </w:rPr>
        <w:t xml:space="preserve">The detection and estimation of long memory in stochastic volatility. </w:t>
      </w:r>
      <w:r w:rsidRPr="00BA4513">
        <w:rPr>
          <w:rFonts w:ascii="Times New Roman" w:hAnsi="Times New Roman" w:cs="Times New Roman"/>
          <w:i/>
          <w:iCs/>
          <w:sz w:val="24"/>
          <w:szCs w:val="24"/>
        </w:rPr>
        <w:t>J. Econometrics</w:t>
      </w:r>
      <w:r w:rsidRPr="00BA4513">
        <w:rPr>
          <w:rFonts w:ascii="Times New Roman" w:hAnsi="Times New Roman" w:cs="Times New Roman"/>
          <w:sz w:val="24"/>
          <w:szCs w:val="24"/>
        </w:rPr>
        <w:t xml:space="preserve"> 83, 325–348. </w:t>
      </w:r>
    </w:p>
    <w:p w14:paraId="545A3D9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Brennan, Michael J., and Eduardo Schwartz, 1979, A continuous time approach to the pricing of bonds, </w:t>
      </w:r>
      <w:r w:rsidRPr="00BA4513">
        <w:rPr>
          <w:rFonts w:ascii="Times New Roman" w:hAnsi="Times New Roman" w:cs="Times New Roman"/>
          <w:i/>
          <w:sz w:val="24"/>
          <w:szCs w:val="24"/>
        </w:rPr>
        <w:t>Journal of Banking and Finance</w:t>
      </w:r>
      <w:r w:rsidRPr="00BA4513">
        <w:rPr>
          <w:rFonts w:ascii="Times New Roman" w:hAnsi="Times New Roman" w:cs="Times New Roman"/>
          <w:sz w:val="24"/>
          <w:szCs w:val="24"/>
        </w:rPr>
        <w:t xml:space="preserve"> 3, 133–155.</w:t>
      </w:r>
    </w:p>
    <w:p w14:paraId="24F9C078"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Brockwell, P. J., &amp; Davis, R. A. (2016). </w:t>
      </w:r>
      <w:r w:rsidRPr="00BA4513">
        <w:rPr>
          <w:rFonts w:ascii="Times New Roman" w:hAnsi="Times New Roman" w:cs="Times New Roman"/>
        </w:rPr>
        <w:t>Introduction to time series and forecasting</w:t>
      </w:r>
      <w:r w:rsidRPr="00BA4513">
        <w:rPr>
          <w:rFonts w:ascii="Times New Roman" w:hAnsi="Times New Roman" w:cs="Times New Roman"/>
          <w:sz w:val="24"/>
          <w:szCs w:val="24"/>
        </w:rPr>
        <w:t>. New York, NY: Springer International Publishing</w:t>
      </w:r>
    </w:p>
    <w:p w14:paraId="1C5983AD"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Brown, R. L., Durbin, J., and Evans, J. M., (1975). Techniques for testing the constancy of regression relationships over time, Journal of the Royal Statistical Society, Series B 37, 149 - 192.</w:t>
      </w:r>
    </w:p>
    <w:p w14:paraId="311D53A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Brunner,</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K.,</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Meltzer,</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1976.</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aggregate</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theory</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closed</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economy</w:t>
      </w:r>
      <w:r w:rsidRPr="00BA4513">
        <w:rPr>
          <w:rFonts w:ascii="Times New Roman" w:hAnsi="Times New Roman" w:cs="Times New Roman"/>
          <w:i/>
          <w:iCs/>
          <w:w w:val="105"/>
          <w:sz w:val="24"/>
          <w:szCs w:val="24"/>
        </w:rPr>
        <w:t>.</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In:</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 xml:space="preserve">Stein, </w:t>
      </w:r>
      <w:r w:rsidRPr="00BA4513">
        <w:rPr>
          <w:rFonts w:ascii="Times New Roman" w:hAnsi="Times New Roman" w:cs="Times New Roman"/>
          <w:i/>
          <w:iCs/>
          <w:sz w:val="24"/>
          <w:szCs w:val="24"/>
        </w:rPr>
        <w:t>J.</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(Ed),</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Monetarism</w:t>
      </w:r>
      <w:r w:rsidRPr="00BA4513">
        <w:rPr>
          <w:rFonts w:ascii="Times New Roman" w:hAnsi="Times New Roman" w:cs="Times New Roman"/>
          <w:sz w:val="24"/>
          <w:szCs w:val="24"/>
        </w:rPr>
        <w: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Amsterdam.</w:t>
      </w:r>
    </w:p>
    <w:p w14:paraId="4D1ECBF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Brunnermeier</w:t>
      </w:r>
      <w:proofErr w:type="spellEnd"/>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Pedersen,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funding</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i/>
          <w:iCs/>
          <w:sz w:val="24"/>
          <w:szCs w:val="24"/>
        </w:rPr>
        <w:t>.</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i/>
          <w:iCs/>
          <w:w w:val="110"/>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Studies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22,</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2201–2238.</w:t>
      </w:r>
    </w:p>
    <w:p w14:paraId="31829EB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Brunnermeier</w:t>
      </w:r>
      <w:proofErr w:type="spellEnd"/>
      <w:r w:rsidRPr="00BA4513">
        <w:rPr>
          <w:rFonts w:ascii="Times New Roman" w:hAnsi="Times New Roman" w:cs="Times New Roman"/>
          <w:sz w:val="24"/>
          <w:szCs w:val="24"/>
        </w:rPr>
        <w:t>,</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29"/>
          <w:sz w:val="24"/>
          <w:szCs w:val="24"/>
        </w:rPr>
        <w:t xml:space="preserve"> </w:t>
      </w:r>
      <w:proofErr w:type="spellStart"/>
      <w:r w:rsidRPr="00BA4513">
        <w:rPr>
          <w:rFonts w:ascii="Times New Roman" w:hAnsi="Times New Roman" w:cs="Times New Roman"/>
          <w:sz w:val="24"/>
          <w:szCs w:val="24"/>
        </w:rPr>
        <w:t>Sannikov</w:t>
      </w:r>
      <w:proofErr w:type="spellEnd"/>
      <w:r w:rsidRPr="00BA4513">
        <w:rPr>
          <w:rFonts w:ascii="Times New Roman" w:hAnsi="Times New Roman" w:cs="Times New Roman"/>
          <w:sz w:val="24"/>
          <w:szCs w:val="24"/>
        </w:rPr>
        <w:t>,</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Y.,</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2010.</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macroeconomic</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model</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with</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9"/>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w w:val="103"/>
          <w:sz w:val="24"/>
          <w:szCs w:val="24"/>
        </w:rPr>
        <w:t xml:space="preserve"> </w:t>
      </w:r>
      <w:r w:rsidRPr="00BA4513">
        <w:rPr>
          <w:rFonts w:ascii="Times New Roman" w:hAnsi="Times New Roman" w:cs="Times New Roman"/>
          <w:sz w:val="24"/>
          <w:szCs w:val="24"/>
        </w:rPr>
        <w:t>sector.</w:t>
      </w:r>
      <w:r w:rsidRPr="00BA4513">
        <w:rPr>
          <w:rFonts w:ascii="Times New Roman" w:hAnsi="Times New Roman" w:cs="Times New Roman"/>
          <w:spacing w:val="21"/>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21"/>
          <w:sz w:val="24"/>
          <w:szCs w:val="24"/>
        </w:rPr>
        <w:t xml:space="preserve"> </w:t>
      </w:r>
      <w:r w:rsidRPr="00BA4513">
        <w:rPr>
          <w:rFonts w:ascii="Times New Roman" w:hAnsi="Times New Roman" w:cs="Times New Roman"/>
          <w:i/>
          <w:iCs/>
          <w:sz w:val="24"/>
          <w:szCs w:val="24"/>
        </w:rPr>
        <w:t>paper.</w:t>
      </w:r>
    </w:p>
    <w:p w14:paraId="7B0F94D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Bruno,</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V.,</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Shin,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2011.</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flows,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cross-border</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global</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liquidity.</w:t>
      </w:r>
      <w:r w:rsidRPr="00BA4513">
        <w:rPr>
          <w:rFonts w:ascii="Times New Roman" w:hAnsi="Times New Roman" w:cs="Times New Roman"/>
          <w:i/>
          <w:iCs/>
          <w:sz w:val="24"/>
          <w:szCs w:val="24"/>
        </w:rPr>
        <w:t xml:space="preserve"> Mimeo</w:t>
      </w:r>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July.</w:t>
      </w:r>
    </w:p>
    <w:p w14:paraId="1FCEDFF1"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C. Collins., 2017. “Using Excel and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to Detect Fraud: Learn the Formulas, Functions, and Techniques That Enable E</w:t>
      </w:r>
      <w:r w:rsidRPr="00BA4513">
        <w:rPr>
          <w:rFonts w:ascii="Times New Roman" w:hAnsi="Times New Roman" w:cs="Times New Roman"/>
          <w:sz w:val="24"/>
          <w:szCs w:val="24"/>
        </w:rPr>
        <w:noBreakHyphen/>
        <w:t xml:space="preserve">client </w:t>
      </w:r>
      <w:proofErr w:type="spellStart"/>
      <w:r w:rsidRPr="00BA4513">
        <w:rPr>
          <w:rFonts w:ascii="Times New Roman" w:hAnsi="Times New Roman" w:cs="Times New Roman"/>
          <w:sz w:val="24"/>
          <w:szCs w:val="24"/>
        </w:rPr>
        <w:t>Benford</w:t>
      </w:r>
      <w:proofErr w:type="spellEnd"/>
      <w:r w:rsidRPr="00BA4513">
        <w:rPr>
          <w:rFonts w:ascii="Times New Roman" w:hAnsi="Times New Roman" w:cs="Times New Roman"/>
          <w:sz w:val="24"/>
          <w:szCs w:val="24"/>
        </w:rPr>
        <w:t xml:space="preserve"> Analysis of Data Sets,” </w:t>
      </w:r>
      <w:r w:rsidRPr="00BA4513">
        <w:rPr>
          <w:rFonts w:ascii="Times New Roman" w:hAnsi="Times New Roman" w:cs="Times New Roman"/>
          <w:i/>
          <w:iCs/>
          <w:sz w:val="24"/>
          <w:szCs w:val="24"/>
        </w:rPr>
        <w:t>Journal of Accountancy</w:t>
      </w:r>
      <w:r w:rsidRPr="00BA4513">
        <w:rPr>
          <w:rFonts w:ascii="Times New Roman" w:hAnsi="Times New Roman" w:cs="Times New Roman"/>
          <w:sz w:val="24"/>
          <w:szCs w:val="24"/>
        </w:rPr>
        <w:t>, vol. 223, no. 4, p. 44.</w:t>
      </w:r>
    </w:p>
    <w:p w14:paraId="5E71EB8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Calem</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P.,</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Rob,</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1999.</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impact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capital-based</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 xml:space="preserve">risk-taking.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Intermediation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8,</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317–352.</w:t>
      </w:r>
    </w:p>
    <w:p w14:paraId="5366799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color w:val="000000"/>
          <w:sz w:val="24"/>
          <w:szCs w:val="24"/>
          <w:shd w:val="clear" w:color="auto" w:fill="FFFFFF"/>
        </w:rPr>
        <w:t xml:space="preserve">Campbell, J., Lo, A. and </w:t>
      </w:r>
      <w:proofErr w:type="spellStart"/>
      <w:r w:rsidRPr="00BA4513">
        <w:rPr>
          <w:rFonts w:ascii="Times New Roman" w:hAnsi="Times New Roman" w:cs="Times New Roman"/>
          <w:color w:val="000000"/>
          <w:sz w:val="24"/>
          <w:szCs w:val="24"/>
          <w:shd w:val="clear" w:color="auto" w:fill="FFFFFF"/>
        </w:rPr>
        <w:t>MacKinlay</w:t>
      </w:r>
      <w:proofErr w:type="spellEnd"/>
      <w:r w:rsidRPr="00BA4513">
        <w:rPr>
          <w:rFonts w:ascii="Times New Roman" w:hAnsi="Times New Roman" w:cs="Times New Roman"/>
          <w:color w:val="000000"/>
          <w:sz w:val="24"/>
          <w:szCs w:val="24"/>
          <w:shd w:val="clear" w:color="auto" w:fill="FFFFFF"/>
        </w:rPr>
        <w:t>, A., (1997) </w:t>
      </w:r>
      <w:r w:rsidRPr="00BA4513">
        <w:rPr>
          <w:rFonts w:ascii="Times New Roman" w:hAnsi="Times New Roman" w:cs="Times New Roman"/>
          <w:i/>
          <w:iCs/>
          <w:color w:val="000000"/>
          <w:sz w:val="24"/>
          <w:szCs w:val="24"/>
          <w:shd w:val="clear" w:color="auto" w:fill="FFFFFF"/>
        </w:rPr>
        <w:t>The econometrics of financial markets</w:t>
      </w:r>
      <w:r w:rsidRPr="00BA4513">
        <w:rPr>
          <w:rFonts w:ascii="Times New Roman" w:hAnsi="Times New Roman" w:cs="Times New Roman"/>
          <w:color w:val="000000"/>
          <w:sz w:val="24"/>
          <w:szCs w:val="24"/>
          <w:shd w:val="clear" w:color="auto" w:fill="FFFFFF"/>
        </w:rPr>
        <w:t>.</w:t>
      </w:r>
    </w:p>
    <w:p w14:paraId="1D54130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Campbell,</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Lo,</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4"/>
          <w:sz w:val="24"/>
          <w:szCs w:val="24"/>
        </w:rPr>
        <w:t xml:space="preserve"> </w:t>
      </w:r>
      <w:proofErr w:type="spellStart"/>
      <w:r w:rsidRPr="00BA4513">
        <w:rPr>
          <w:rFonts w:ascii="Times New Roman" w:hAnsi="Times New Roman" w:cs="Times New Roman"/>
          <w:sz w:val="24"/>
          <w:szCs w:val="24"/>
        </w:rPr>
        <w:t>MacKinlay</w:t>
      </w:r>
      <w:proofErr w:type="spellEnd"/>
      <w:r w:rsidRPr="00BA4513">
        <w:rPr>
          <w:rFonts w:ascii="Times New Roman" w:hAnsi="Times New Roman" w:cs="Times New Roman"/>
          <w:sz w:val="24"/>
          <w:szCs w:val="24"/>
        </w:rPr>
        <w:t>,</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1997.</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Econometrics</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 xml:space="preserve">Markets. </w:t>
      </w:r>
      <w:r w:rsidRPr="00BA4513">
        <w:rPr>
          <w:rFonts w:ascii="Times New Roman" w:hAnsi="Times New Roman" w:cs="Times New Roman"/>
          <w:i/>
          <w:iCs/>
          <w:w w:val="105"/>
          <w:sz w:val="24"/>
          <w:szCs w:val="24"/>
        </w:rPr>
        <w:t>Princeton</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Press</w:t>
      </w:r>
      <w:r w:rsidRPr="00BA4513">
        <w:rPr>
          <w:rFonts w:ascii="Times New Roman" w:hAnsi="Times New Roman" w:cs="Times New Roman"/>
          <w:w w:val="105"/>
          <w:sz w:val="24"/>
          <w:szCs w:val="24"/>
        </w:rPr>
        <w:t>.</w:t>
      </w:r>
    </w:p>
    <w:p w14:paraId="3D6B3768"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Capiello</w:t>
      </w:r>
      <w:proofErr w:type="spellEnd"/>
      <w:r w:rsidRPr="00BA4513">
        <w:rPr>
          <w:rFonts w:ascii="Times New Roman" w:hAnsi="Times New Roman" w:cs="Times New Roman"/>
          <w:sz w:val="24"/>
          <w:szCs w:val="24"/>
        </w:rPr>
        <w:t>, L., R. F. Engle, and K. Sheppard, 2006, “Asymmetric Dynamics in the Correlations of Global Equity and Bond Returns,” Journal of Financial Econometrics, Vol. 4, No. 4, pp. 537–72.</w:t>
      </w:r>
    </w:p>
    <w:p w14:paraId="55396347"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Caporale</w:t>
      </w:r>
      <w:proofErr w:type="spellEnd"/>
      <w:r w:rsidRPr="00BA4513">
        <w:rPr>
          <w:rFonts w:ascii="Times New Roman" w:hAnsi="Times New Roman" w:cs="Times New Roman"/>
          <w:sz w:val="24"/>
          <w:szCs w:val="24"/>
        </w:rPr>
        <w:t xml:space="preserve">, G.M., N. </w:t>
      </w:r>
      <w:proofErr w:type="spellStart"/>
      <w:r w:rsidRPr="00BA4513">
        <w:rPr>
          <w:rFonts w:ascii="Times New Roman" w:hAnsi="Times New Roman" w:cs="Times New Roman"/>
          <w:sz w:val="24"/>
          <w:szCs w:val="24"/>
        </w:rPr>
        <w:t>Pittis</w:t>
      </w:r>
      <w:proofErr w:type="spellEnd"/>
      <w:r w:rsidRPr="00BA4513">
        <w:rPr>
          <w:rFonts w:ascii="Times New Roman" w:hAnsi="Times New Roman" w:cs="Times New Roman"/>
          <w:sz w:val="24"/>
          <w:szCs w:val="24"/>
        </w:rPr>
        <w:t xml:space="preserve">, and N. </w:t>
      </w:r>
      <w:proofErr w:type="spellStart"/>
      <w:r w:rsidRPr="00BA4513">
        <w:rPr>
          <w:rFonts w:ascii="Times New Roman" w:hAnsi="Times New Roman" w:cs="Times New Roman"/>
          <w:sz w:val="24"/>
          <w:szCs w:val="24"/>
        </w:rPr>
        <w:t>Spagnolo</w:t>
      </w:r>
      <w:proofErr w:type="spellEnd"/>
      <w:r w:rsidRPr="00BA4513">
        <w:rPr>
          <w:rFonts w:ascii="Times New Roman" w:hAnsi="Times New Roman" w:cs="Times New Roman"/>
          <w:sz w:val="24"/>
          <w:szCs w:val="24"/>
        </w:rPr>
        <w:t>, 2006, “Volatility Transmission and Financial Crises,” Journal of Economics and Finance, Vol. 30, No.3, pp.376–90.</w:t>
      </w:r>
    </w:p>
    <w:p w14:paraId="15A2741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lang w:val="es-AR"/>
        </w:rPr>
        <w:t>Cappiello</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lang w:val="es-AR"/>
        </w:rPr>
        <w:t>L.,</w:t>
      </w:r>
      <w:r w:rsidRPr="00BA4513">
        <w:rPr>
          <w:rFonts w:ascii="Times New Roman" w:hAnsi="Times New Roman" w:cs="Times New Roman"/>
          <w:spacing w:val="-14"/>
          <w:w w:val="105"/>
          <w:sz w:val="24"/>
          <w:szCs w:val="24"/>
          <w:lang w:val="es-AR"/>
        </w:rPr>
        <w:t xml:space="preserve"> </w:t>
      </w:r>
      <w:proofErr w:type="spellStart"/>
      <w:r w:rsidRPr="00BA4513">
        <w:rPr>
          <w:rFonts w:ascii="Times New Roman" w:hAnsi="Times New Roman" w:cs="Times New Roman"/>
          <w:w w:val="105"/>
          <w:sz w:val="24"/>
          <w:szCs w:val="24"/>
          <w:lang w:val="es-AR"/>
        </w:rPr>
        <w:t>Kadareja</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lang w:val="es-AR"/>
        </w:rPr>
        <w:t>A.,</w:t>
      </w:r>
      <w:r w:rsidRPr="00BA4513">
        <w:rPr>
          <w:rFonts w:ascii="Times New Roman" w:hAnsi="Times New Roman" w:cs="Times New Roman"/>
          <w:spacing w:val="-14"/>
          <w:w w:val="105"/>
          <w:sz w:val="24"/>
          <w:szCs w:val="24"/>
          <w:lang w:val="es-AR"/>
        </w:rPr>
        <w:t xml:space="preserve"> </w:t>
      </w:r>
      <w:proofErr w:type="spellStart"/>
      <w:r w:rsidRPr="00BA4513">
        <w:rPr>
          <w:rFonts w:ascii="Times New Roman" w:hAnsi="Times New Roman" w:cs="Times New Roman"/>
          <w:w w:val="105"/>
          <w:sz w:val="24"/>
          <w:szCs w:val="24"/>
          <w:lang w:val="es-AR"/>
        </w:rPr>
        <w:t>Sorensen</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lang w:val="es-AR"/>
        </w:rPr>
        <w:t>S.K.,</w:t>
      </w:r>
      <w:r w:rsidRPr="00BA4513">
        <w:rPr>
          <w:rFonts w:ascii="Times New Roman" w:hAnsi="Times New Roman" w:cs="Times New Roman"/>
          <w:spacing w:val="-14"/>
          <w:w w:val="105"/>
          <w:sz w:val="24"/>
          <w:szCs w:val="24"/>
          <w:lang w:val="es-AR"/>
        </w:rPr>
        <w:t xml:space="preserve"> </w:t>
      </w:r>
      <w:proofErr w:type="spellStart"/>
      <w:r w:rsidRPr="00BA4513">
        <w:rPr>
          <w:rFonts w:ascii="Times New Roman" w:hAnsi="Times New Roman" w:cs="Times New Roman"/>
          <w:w w:val="105"/>
          <w:sz w:val="24"/>
          <w:szCs w:val="24"/>
          <w:lang w:val="es-AR"/>
        </w:rPr>
        <w:t>Protopapa</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lang w:val="es-AR"/>
        </w:rPr>
        <w:t>M.,</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lang w:val="es-AR"/>
        </w:rPr>
        <w:t>2010.</w:t>
      </w:r>
      <w:r w:rsidRPr="00BA4513">
        <w:rPr>
          <w:rFonts w:ascii="Times New Roman" w:hAnsi="Times New Roman" w:cs="Times New Roman"/>
          <w:spacing w:val="-13"/>
          <w:w w:val="105"/>
          <w:sz w:val="24"/>
          <w:szCs w:val="24"/>
          <w:lang w:val="es-AR"/>
        </w:rPr>
        <w:t xml:space="preserve"> </w:t>
      </w:r>
      <w:r w:rsidRPr="00BA4513">
        <w:rPr>
          <w:rFonts w:ascii="Times New Roman" w:hAnsi="Times New Roman" w:cs="Times New Roman"/>
          <w:w w:val="105"/>
          <w:sz w:val="24"/>
          <w:szCs w:val="24"/>
        </w:rPr>
        <w:t>Do</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loans</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standards</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have</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an</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effect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output?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panel</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approach</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Euro</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Area.</w:t>
      </w:r>
      <w:r w:rsidRPr="00BA4513">
        <w:rPr>
          <w:rFonts w:ascii="Times New Roman" w:hAnsi="Times New Roman" w:cs="Times New Roman"/>
          <w:w w:val="102"/>
          <w:sz w:val="24"/>
          <w:szCs w:val="24"/>
        </w:rPr>
        <w:t xml:space="preserve"> </w:t>
      </w:r>
      <w:r w:rsidRPr="00BA4513">
        <w:rPr>
          <w:rFonts w:ascii="Times New Roman" w:hAnsi="Times New Roman" w:cs="Times New Roman"/>
          <w:i/>
          <w:iCs/>
          <w:w w:val="105"/>
          <w:sz w:val="24"/>
          <w:szCs w:val="24"/>
        </w:rPr>
        <w:t>ECB</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Paper</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w w:val="105"/>
          <w:sz w:val="24"/>
          <w:szCs w:val="24"/>
        </w:rPr>
        <w:t>1150.</w:t>
      </w:r>
    </w:p>
    <w:p w14:paraId="144D1D6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Carling, K., Jacobson,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 xml:space="preserve">T., Linde, J., </w:t>
      </w:r>
      <w:proofErr w:type="spellStart"/>
      <w:r w:rsidRPr="00BA4513">
        <w:rPr>
          <w:rFonts w:ascii="Times New Roman" w:hAnsi="Times New Roman" w:cs="Times New Roman"/>
          <w:sz w:val="24"/>
          <w:szCs w:val="24"/>
        </w:rPr>
        <w:t>Roszbach</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K., 2002. Capital</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charges under Basel</w:t>
      </w:r>
      <w:r w:rsidRPr="00BA4513">
        <w:rPr>
          <w:rFonts w:ascii="Times New Roman" w:hAnsi="Times New Roman" w:cs="Times New Roman"/>
          <w:w w:val="99"/>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corporate</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modelling</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macroeconomy</w:t>
      </w:r>
      <w:r w:rsidRPr="00BA4513">
        <w:rPr>
          <w:rFonts w:ascii="Times New Roman" w:hAnsi="Times New Roman" w:cs="Times New Roman"/>
          <w:i/>
          <w:iCs/>
          <w:sz w:val="24"/>
          <w:szCs w:val="24"/>
        </w:rPr>
        <w:t>.</w:t>
      </w:r>
      <w:r w:rsidRPr="00BA4513">
        <w:rPr>
          <w:rFonts w:ascii="Times New Roman" w:hAnsi="Times New Roman" w:cs="Times New Roman"/>
          <w:i/>
          <w:iCs/>
          <w:spacing w:val="23"/>
          <w:sz w:val="24"/>
          <w:szCs w:val="24"/>
        </w:rPr>
        <w:t xml:space="preserve"> </w:t>
      </w:r>
      <w:r w:rsidRPr="00BA4513">
        <w:rPr>
          <w:rFonts w:ascii="Times New Roman" w:hAnsi="Times New Roman" w:cs="Times New Roman"/>
          <w:i/>
          <w:iCs/>
          <w:sz w:val="24"/>
          <w:szCs w:val="24"/>
        </w:rPr>
        <w:t>Synergies</w:t>
      </w:r>
      <w:r w:rsidRPr="00BA4513">
        <w:rPr>
          <w:rFonts w:ascii="Times New Roman" w:hAnsi="Times New Roman" w:cs="Times New Roman"/>
          <w:i/>
          <w:iCs/>
          <w:spacing w:val="23"/>
          <w:sz w:val="24"/>
          <w:szCs w:val="24"/>
        </w:rPr>
        <w:t xml:space="preserve"> </w:t>
      </w:r>
      <w:r w:rsidRPr="00BA4513">
        <w:rPr>
          <w:rFonts w:ascii="Times New Roman" w:hAnsi="Times New Roman" w:cs="Times New Roman"/>
          <w:i/>
          <w:iCs/>
          <w:sz w:val="24"/>
          <w:szCs w:val="24"/>
        </w:rPr>
        <w:t>Risks bank</w:t>
      </w:r>
      <w:r w:rsidRPr="00BA4513">
        <w:rPr>
          <w:rFonts w:ascii="Times New Roman" w:hAnsi="Times New Roman" w:cs="Times New Roman"/>
          <w:i/>
          <w:iCs/>
          <w:w w:val="99"/>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18"/>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142.</w:t>
      </w:r>
    </w:p>
    <w:p w14:paraId="6D6ED4D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lang w:val="es-AR"/>
        </w:rPr>
      </w:pPr>
      <w:r w:rsidRPr="00BA4513">
        <w:rPr>
          <w:rFonts w:ascii="Times New Roman" w:hAnsi="Times New Roman" w:cs="Times New Roman"/>
          <w:w w:val="105"/>
          <w:sz w:val="24"/>
          <w:szCs w:val="24"/>
        </w:rPr>
        <w:t>Carlstrom,</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15"/>
          <w:w w:val="105"/>
          <w:sz w:val="24"/>
          <w:szCs w:val="24"/>
        </w:rPr>
        <w:t xml:space="preserve"> </w:t>
      </w:r>
      <w:proofErr w:type="spellStart"/>
      <w:r w:rsidRPr="00BA4513">
        <w:rPr>
          <w:rFonts w:ascii="Times New Roman" w:hAnsi="Times New Roman" w:cs="Times New Roman"/>
          <w:w w:val="105"/>
          <w:sz w:val="24"/>
          <w:szCs w:val="24"/>
        </w:rPr>
        <w:t>Fuerst</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1997.</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Agency</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costs,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net</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worth,</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business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fluctuations:</w:t>
      </w:r>
      <w:r w:rsidRPr="00BA4513">
        <w:rPr>
          <w:rFonts w:ascii="Times New Roman" w:hAnsi="Times New Roman" w:cs="Times New Roman"/>
          <w:w w:val="104"/>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computable</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general</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equilibrium</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analysis.</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i/>
          <w:iCs/>
          <w:w w:val="105"/>
          <w:sz w:val="24"/>
          <w:szCs w:val="24"/>
        </w:rPr>
        <w:t>American</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87,</w:t>
      </w:r>
      <w:r w:rsidRPr="00BA4513">
        <w:rPr>
          <w:rFonts w:ascii="Times New Roman" w:hAnsi="Times New Roman" w:cs="Times New Roman"/>
          <w:w w:val="98"/>
          <w:sz w:val="24"/>
          <w:szCs w:val="24"/>
        </w:rPr>
        <w:t xml:space="preserve"> </w:t>
      </w:r>
      <w:r w:rsidRPr="00BA4513">
        <w:rPr>
          <w:rFonts w:ascii="Times New Roman" w:hAnsi="Times New Roman" w:cs="Times New Roman"/>
          <w:w w:val="105"/>
          <w:sz w:val="24"/>
          <w:szCs w:val="24"/>
        </w:rPr>
        <w:t>893–910.</w:t>
      </w:r>
    </w:p>
    <w:p w14:paraId="4FE7E15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 xml:space="preserve">Carnero, M.A., Peña, D., Ruiz, E., 2004. </w:t>
      </w:r>
      <w:r w:rsidRPr="00BA4513">
        <w:rPr>
          <w:rFonts w:ascii="Times New Roman" w:hAnsi="Times New Roman" w:cs="Times New Roman"/>
          <w:sz w:val="24"/>
          <w:szCs w:val="24"/>
        </w:rPr>
        <w:t xml:space="preserve">Persistence and kurtosis in GARCH and stochastic volatility models. </w:t>
      </w:r>
      <w:r w:rsidRPr="00BA4513">
        <w:rPr>
          <w:rFonts w:ascii="Times New Roman" w:hAnsi="Times New Roman" w:cs="Times New Roman"/>
          <w:i/>
          <w:iCs/>
          <w:sz w:val="24"/>
          <w:szCs w:val="24"/>
          <w:lang w:val="es-AR"/>
        </w:rPr>
        <w:t xml:space="preserve">J. </w:t>
      </w:r>
      <w:proofErr w:type="spellStart"/>
      <w:r w:rsidRPr="00BA4513">
        <w:rPr>
          <w:rFonts w:ascii="Times New Roman" w:hAnsi="Times New Roman" w:cs="Times New Roman"/>
          <w:i/>
          <w:iCs/>
          <w:sz w:val="24"/>
          <w:szCs w:val="24"/>
          <w:lang w:val="es-AR"/>
        </w:rPr>
        <w:t>Financial</w:t>
      </w:r>
      <w:proofErr w:type="spellEnd"/>
      <w:r w:rsidRPr="00BA4513">
        <w:rPr>
          <w:rFonts w:ascii="Times New Roman" w:hAnsi="Times New Roman" w:cs="Times New Roman"/>
          <w:i/>
          <w:iCs/>
          <w:sz w:val="24"/>
          <w:szCs w:val="24"/>
          <w:lang w:val="es-AR"/>
        </w:rPr>
        <w:t xml:space="preserve"> </w:t>
      </w:r>
      <w:proofErr w:type="spellStart"/>
      <w:r w:rsidRPr="00BA4513">
        <w:rPr>
          <w:rFonts w:ascii="Times New Roman" w:hAnsi="Times New Roman" w:cs="Times New Roman"/>
          <w:i/>
          <w:iCs/>
          <w:sz w:val="24"/>
          <w:szCs w:val="24"/>
          <w:lang w:val="es-AR"/>
        </w:rPr>
        <w:t>Econometrics</w:t>
      </w:r>
      <w:proofErr w:type="spellEnd"/>
      <w:r w:rsidRPr="00BA4513">
        <w:rPr>
          <w:rFonts w:ascii="Times New Roman" w:hAnsi="Times New Roman" w:cs="Times New Roman"/>
          <w:sz w:val="24"/>
          <w:szCs w:val="24"/>
          <w:lang w:val="es-AR"/>
        </w:rPr>
        <w:t xml:space="preserve"> 2, 319–342. </w:t>
      </w:r>
    </w:p>
    <w:p w14:paraId="0DBCD17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 xml:space="preserve">Carnero, M.A., Peña, D., Ruiz, E., 2007. </w:t>
      </w:r>
      <w:r w:rsidRPr="00BA4513">
        <w:rPr>
          <w:rFonts w:ascii="Times New Roman" w:hAnsi="Times New Roman" w:cs="Times New Roman"/>
          <w:sz w:val="24"/>
          <w:szCs w:val="24"/>
        </w:rPr>
        <w:t xml:space="preserve">Effects of outliers on the identification and estimation of GARCH models. </w:t>
      </w:r>
      <w:r w:rsidRPr="00BA4513">
        <w:rPr>
          <w:rFonts w:ascii="Times New Roman" w:hAnsi="Times New Roman" w:cs="Times New Roman"/>
          <w:i/>
          <w:iCs/>
          <w:sz w:val="24"/>
          <w:szCs w:val="24"/>
        </w:rPr>
        <w:t>J. Time Ser. Anal</w:t>
      </w:r>
      <w:r w:rsidRPr="00BA4513">
        <w:rPr>
          <w:rFonts w:ascii="Times New Roman" w:hAnsi="Times New Roman" w:cs="Times New Roman"/>
          <w:sz w:val="24"/>
          <w:szCs w:val="24"/>
        </w:rPr>
        <w:t xml:space="preserve">. 28 (4), 471–497. </w:t>
      </w:r>
    </w:p>
    <w:p w14:paraId="1FBBF28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Catarineu-Rabell</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E.,</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Jackson,</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P.,</w:t>
      </w:r>
      <w:r w:rsidRPr="00BA4513">
        <w:rPr>
          <w:rFonts w:ascii="Times New Roman" w:hAnsi="Times New Roman" w:cs="Times New Roman"/>
          <w:spacing w:val="-16"/>
          <w:sz w:val="24"/>
          <w:szCs w:val="24"/>
          <w:lang w:val="es-AR"/>
        </w:rPr>
        <w:t xml:space="preserve"> </w:t>
      </w:r>
      <w:proofErr w:type="spellStart"/>
      <w:r w:rsidRPr="00BA4513">
        <w:rPr>
          <w:rFonts w:ascii="Times New Roman" w:hAnsi="Times New Roman" w:cs="Times New Roman"/>
          <w:sz w:val="24"/>
          <w:szCs w:val="24"/>
          <w:lang w:val="es-AR"/>
        </w:rPr>
        <w:t>Tsomocos</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D.,</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2005.</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rPr>
        <w:t>Procyclicality</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w w:val="99"/>
          <w:sz w:val="24"/>
          <w:szCs w:val="24"/>
        </w:rPr>
        <w:t xml:space="preserve"> </w:t>
      </w:r>
      <w:r w:rsidRPr="00BA4513">
        <w:rPr>
          <w:rFonts w:ascii="Times New Roman" w:hAnsi="Times New Roman" w:cs="Times New Roman"/>
          <w:sz w:val="24"/>
          <w:szCs w:val="24"/>
        </w:rPr>
        <w:t>Accord—banks’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choice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loan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rating</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systems.</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Theory</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26,</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537–557.</w:t>
      </w:r>
    </w:p>
    <w:p w14:paraId="085334E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Cecchetti</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 Flores-Lagunes,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 Krause, 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2006. Assessing the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sources of changes</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volatility</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real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growth.</w:t>
      </w:r>
      <w:r w:rsidRPr="00BA4513">
        <w:rPr>
          <w:rFonts w:ascii="Times New Roman" w:hAnsi="Times New Roman" w:cs="Times New Roman"/>
          <w:spacing w:val="11"/>
          <w:sz w:val="24"/>
          <w:szCs w:val="24"/>
        </w:rPr>
        <w:t xml:space="preserve"> </w:t>
      </w:r>
      <w:r w:rsidRPr="00BA4513">
        <w:rPr>
          <w:rFonts w:ascii="Times New Roman" w:hAnsi="Times New Roman" w:cs="Times New Roman"/>
          <w:i/>
          <w:iCs/>
          <w:sz w:val="24"/>
          <w:szCs w:val="24"/>
        </w:rPr>
        <w:t>NBER</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11946.</w:t>
      </w:r>
    </w:p>
    <w:p w14:paraId="7B20526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Cecchetti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24"/>
          <w:w w:val="105"/>
          <w:sz w:val="24"/>
          <w:szCs w:val="24"/>
        </w:rPr>
        <w:t xml:space="preserve"> </w:t>
      </w:r>
      <w:proofErr w:type="spellStart"/>
      <w:r w:rsidRPr="00BA4513">
        <w:rPr>
          <w:rFonts w:ascii="Times New Roman" w:hAnsi="Times New Roman" w:cs="Times New Roman"/>
          <w:w w:val="105"/>
          <w:sz w:val="24"/>
          <w:szCs w:val="24"/>
        </w:rPr>
        <w:t>Genberg</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H.,</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Wadhwani,</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2003.</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Asset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prices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flexible</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inflation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tar- getting</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framework.</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Hunter,</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W.C.,</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Kaufman,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G.,</w:t>
      </w:r>
      <w:r w:rsidRPr="00BA4513">
        <w:rPr>
          <w:rFonts w:ascii="Times New Roman" w:hAnsi="Times New Roman" w:cs="Times New Roman"/>
          <w:spacing w:val="-11"/>
          <w:w w:val="105"/>
          <w:sz w:val="24"/>
          <w:szCs w:val="24"/>
        </w:rPr>
        <w:t xml:space="preserve"> </w:t>
      </w:r>
      <w:proofErr w:type="spellStart"/>
      <w:r w:rsidRPr="00BA4513">
        <w:rPr>
          <w:rFonts w:ascii="Times New Roman" w:hAnsi="Times New Roman" w:cs="Times New Roman"/>
          <w:w w:val="105"/>
          <w:sz w:val="24"/>
          <w:szCs w:val="24"/>
        </w:rPr>
        <w:t>Pomerleano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Asset</w:t>
      </w:r>
      <w:r w:rsidRPr="00BA4513">
        <w:rPr>
          <w:rFonts w:ascii="Times New Roman" w:hAnsi="Times New Roman" w:cs="Times New Roman"/>
          <w:w w:val="103"/>
          <w:sz w:val="24"/>
          <w:szCs w:val="24"/>
        </w:rPr>
        <w:t xml:space="preserve"> </w:t>
      </w:r>
      <w:r w:rsidRPr="00BA4513">
        <w:rPr>
          <w:rFonts w:ascii="Times New Roman" w:hAnsi="Times New Roman" w:cs="Times New Roman"/>
          <w:w w:val="105"/>
          <w:sz w:val="24"/>
          <w:szCs w:val="24"/>
        </w:rPr>
        <w:t>Price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Bubbles: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Implications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Regulatory</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International</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Policies.</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i/>
          <w:iCs/>
          <w:w w:val="105"/>
          <w:sz w:val="24"/>
          <w:szCs w:val="24"/>
        </w:rPr>
        <w:t>MIT</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Press</w:t>
      </w:r>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Cambridge,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pp.</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427–444.</w:t>
      </w:r>
    </w:p>
    <w:p w14:paraId="22075D1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Cecchetti</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 Li, L., 2005.</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Do capital requirements matter for</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 xml:space="preserve">monetary policy? </w:t>
      </w:r>
      <w:r w:rsidRPr="00BA4513">
        <w:rPr>
          <w:rFonts w:ascii="Times New Roman" w:hAnsi="Times New Roman" w:cs="Times New Roman"/>
          <w:i/>
          <w:iCs/>
          <w:sz w:val="24"/>
          <w:szCs w:val="24"/>
        </w:rPr>
        <w:t>NBER</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22"/>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i/>
          <w:iCs/>
          <w:spacing w:val="22"/>
          <w:sz w:val="24"/>
          <w:szCs w:val="24"/>
        </w:rPr>
        <w:t xml:space="preserve"> </w:t>
      </w:r>
      <w:r w:rsidRPr="00BA4513">
        <w:rPr>
          <w:rFonts w:ascii="Times New Roman" w:hAnsi="Times New Roman" w:cs="Times New Roman"/>
          <w:sz w:val="24"/>
          <w:szCs w:val="24"/>
        </w:rPr>
        <w:t>11830.</w:t>
      </w:r>
    </w:p>
    <w:p w14:paraId="0F8B236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Cecchetti</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Li,</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there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 xml:space="preserve">conflict? </w:t>
      </w:r>
      <w:proofErr w:type="spellStart"/>
      <w:r w:rsidRPr="00BA4513">
        <w:rPr>
          <w:rFonts w:ascii="Times New Roman" w:hAnsi="Times New Roman" w:cs="Times New Roman"/>
          <w:i/>
          <w:iCs/>
          <w:w w:val="105"/>
          <w:sz w:val="24"/>
          <w:szCs w:val="24"/>
        </w:rPr>
        <w:t>Moneday</w:t>
      </w:r>
      <w:proofErr w:type="spellEnd"/>
      <w:r w:rsidRPr="00BA4513">
        <w:rPr>
          <w:rFonts w:ascii="Times New Roman" w:hAnsi="Times New Roman" w:cs="Times New Roman"/>
          <w:i/>
          <w:iCs/>
          <w:spacing w:val="-11"/>
          <w:w w:val="105"/>
          <w:sz w:val="24"/>
          <w:szCs w:val="24"/>
        </w:rPr>
        <w:t xml:space="preserve"> </w:t>
      </w:r>
      <w:proofErr w:type="spellStart"/>
      <w:r w:rsidRPr="00BA4513">
        <w:rPr>
          <w:rFonts w:ascii="Times New Roman" w:hAnsi="Times New Roman" w:cs="Times New Roman"/>
          <w:i/>
          <w:iCs/>
          <w:w w:val="105"/>
          <w:sz w:val="24"/>
          <w:szCs w:val="24"/>
        </w:rPr>
        <w:t>Credito</w:t>
      </w:r>
      <w:proofErr w:type="spellEnd"/>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224,</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153–181.</w:t>
      </w:r>
    </w:p>
    <w:p w14:paraId="67DB184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Cerasi</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V.,</w:t>
      </w:r>
      <w:r w:rsidRPr="00BA4513">
        <w:rPr>
          <w:rFonts w:ascii="Times New Roman" w:hAnsi="Times New Roman" w:cs="Times New Roman"/>
          <w:spacing w:val="-16"/>
          <w:sz w:val="24"/>
          <w:szCs w:val="24"/>
          <w:lang w:val="es-AR"/>
        </w:rPr>
        <w:t xml:space="preserve"> </w:t>
      </w:r>
      <w:proofErr w:type="spellStart"/>
      <w:r w:rsidRPr="00BA4513">
        <w:rPr>
          <w:rFonts w:ascii="Times New Roman" w:hAnsi="Times New Roman" w:cs="Times New Roman"/>
          <w:sz w:val="24"/>
          <w:szCs w:val="24"/>
          <w:lang w:val="es-AR"/>
        </w:rPr>
        <w:t>Rochet</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J.C.,</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lang w:val="es-AR"/>
        </w:rPr>
        <w:t>2008.</w:t>
      </w:r>
      <w:r w:rsidRPr="00BA4513">
        <w:rPr>
          <w:rFonts w:ascii="Times New Roman" w:hAnsi="Times New Roman" w:cs="Times New Roman"/>
          <w:spacing w:val="-16"/>
          <w:sz w:val="24"/>
          <w:szCs w:val="24"/>
          <w:lang w:val="es-AR"/>
        </w:rPr>
        <w:t xml:space="preserve"> </w:t>
      </w:r>
      <w:r w:rsidRPr="00BA4513">
        <w:rPr>
          <w:rFonts w:ascii="Times New Roman" w:hAnsi="Times New Roman" w:cs="Times New Roman"/>
          <w:sz w:val="24"/>
          <w:szCs w:val="24"/>
        </w:rPr>
        <w:t>Solvency</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Transfer.</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Paolo</w:t>
      </w:r>
      <w:r w:rsidRPr="00BA4513">
        <w:rPr>
          <w:rFonts w:ascii="Times New Roman" w:hAnsi="Times New Roman" w:cs="Times New Roman"/>
          <w:spacing w:val="-16"/>
          <w:sz w:val="24"/>
          <w:szCs w:val="24"/>
        </w:rPr>
        <w:t xml:space="preserve"> </w:t>
      </w:r>
      <w:proofErr w:type="spellStart"/>
      <w:r w:rsidRPr="00BA4513">
        <w:rPr>
          <w:rFonts w:ascii="Times New Roman" w:hAnsi="Times New Roman" w:cs="Times New Roman"/>
          <w:sz w:val="24"/>
          <w:szCs w:val="24"/>
        </w:rPr>
        <w:t>Baffi</w:t>
      </w:r>
      <w:proofErr w:type="spellEnd"/>
      <w:r w:rsidRPr="00BA4513">
        <w:rPr>
          <w:rFonts w:ascii="Times New Roman" w:hAnsi="Times New Roman" w:cs="Times New Roman"/>
          <w:w w:val="101"/>
          <w:sz w:val="24"/>
          <w:szCs w:val="24"/>
        </w:rPr>
        <w:t xml:space="preserve"> </w:t>
      </w:r>
      <w:r w:rsidRPr="00BA4513">
        <w:rPr>
          <w:rFonts w:ascii="Times New Roman" w:hAnsi="Times New Roman" w:cs="Times New Roman"/>
          <w:sz w:val="24"/>
          <w:szCs w:val="24"/>
        </w:rPr>
        <w:t>Centre,</w:t>
      </w:r>
      <w:r w:rsidRPr="00BA4513">
        <w:rPr>
          <w:rFonts w:ascii="Times New Roman" w:hAnsi="Times New Roman" w:cs="Times New Roman"/>
          <w:spacing w:val="4"/>
          <w:sz w:val="24"/>
          <w:szCs w:val="24"/>
        </w:rPr>
        <w:t xml:space="preserve"> </w:t>
      </w:r>
      <w:r w:rsidRPr="00BA4513">
        <w:rPr>
          <w:rFonts w:ascii="Times New Roman" w:hAnsi="Times New Roman" w:cs="Times New Roman"/>
          <w:i/>
          <w:iCs/>
          <w:sz w:val="24"/>
          <w:szCs w:val="24"/>
        </w:rPr>
        <w:t>Research</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Series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2008-21.</w:t>
      </w:r>
    </w:p>
    <w:p w14:paraId="5B3EB25B" w14:textId="77777777" w:rsidR="00BA4513" w:rsidRPr="00BA4513" w:rsidRDefault="00BA4513" w:rsidP="005A4160">
      <w:pPr>
        <w:pStyle w:val="ListParagraph"/>
        <w:numPr>
          <w:ilvl w:val="0"/>
          <w:numId w:val="13"/>
        </w:numPr>
        <w:spacing w:line="240" w:lineRule="auto"/>
        <w:jc w:val="both"/>
        <w:rPr>
          <w:rFonts w:ascii="Times New Roman" w:eastAsia="SimSun" w:hAnsi="Times New Roman" w:cs="Times New Roman"/>
          <w:sz w:val="24"/>
          <w:szCs w:val="24"/>
          <w:lang w:val="en-US"/>
        </w:rPr>
      </w:pPr>
      <w:proofErr w:type="spellStart"/>
      <w:r w:rsidRPr="00BA4513">
        <w:rPr>
          <w:rFonts w:ascii="Times New Roman" w:hAnsi="Times New Roman" w:cs="Times New Roman"/>
          <w:sz w:val="24"/>
          <w:szCs w:val="24"/>
        </w:rPr>
        <w:t>Chami</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4"/>
          <w:sz w:val="24"/>
          <w:szCs w:val="24"/>
        </w:rPr>
        <w:t xml:space="preserve"> </w:t>
      </w:r>
      <w:proofErr w:type="spellStart"/>
      <w:r w:rsidRPr="00BA4513">
        <w:rPr>
          <w:rFonts w:ascii="Times New Roman" w:hAnsi="Times New Roman" w:cs="Times New Roman"/>
          <w:sz w:val="24"/>
          <w:szCs w:val="24"/>
        </w:rPr>
        <w:t>Cosimano</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with</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touch</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4"/>
          <w:sz w:val="24"/>
          <w:szCs w:val="24"/>
        </w:rPr>
        <w:t xml:space="preserve"> </w:t>
      </w:r>
      <w:r w:rsidRPr="00BA4513">
        <w:rPr>
          <w:rFonts w:ascii="Times New Roman" w:hAnsi="Times New Roman" w:cs="Times New Roman"/>
          <w:i/>
          <w:iCs/>
          <w:sz w:val="24"/>
          <w:szCs w:val="24"/>
        </w:rPr>
        <w:t>IMF</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w w:val="108"/>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01/151.</w:t>
      </w:r>
    </w:p>
    <w:p w14:paraId="0F4D3C1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eastAsia="SimSun" w:hAnsi="Times New Roman" w:cs="Times New Roman"/>
          <w:sz w:val="24"/>
          <w:szCs w:val="24"/>
          <w:lang w:val="en-US" w:eastAsia="zh-CN"/>
        </w:rPr>
        <w:t xml:space="preserve">Chang, T., </w:t>
      </w:r>
      <w:proofErr w:type="spellStart"/>
      <w:r w:rsidRPr="00BA4513">
        <w:rPr>
          <w:rFonts w:ascii="Times New Roman" w:eastAsia="SimSun" w:hAnsi="Times New Roman" w:cs="Times New Roman"/>
          <w:sz w:val="24"/>
          <w:szCs w:val="24"/>
          <w:lang w:val="en-US" w:eastAsia="zh-CN"/>
        </w:rPr>
        <w:t>McLeavey</w:t>
      </w:r>
      <w:proofErr w:type="spellEnd"/>
      <w:r w:rsidRPr="00BA4513">
        <w:rPr>
          <w:rFonts w:ascii="Times New Roman" w:eastAsia="SimSun" w:hAnsi="Times New Roman" w:cs="Times New Roman"/>
          <w:sz w:val="24"/>
          <w:szCs w:val="24"/>
          <w:lang w:val="en-US" w:eastAsia="zh-CN"/>
        </w:rPr>
        <w:t xml:space="preserve">, D., and Rhee, S., 1995. Short-term abnormal returns of the contrarian strategy in the Japanese stock market. </w:t>
      </w:r>
      <w:r w:rsidRPr="00BA4513">
        <w:rPr>
          <w:rFonts w:ascii="Times New Roman" w:eastAsia="SimSun" w:hAnsi="Times New Roman" w:cs="Times New Roman"/>
          <w:i/>
          <w:sz w:val="24"/>
          <w:szCs w:val="24"/>
          <w:lang w:val="en-US" w:eastAsia="zh-CN"/>
        </w:rPr>
        <w:t>Journal of Business Finance and Accounting</w:t>
      </w:r>
      <w:r w:rsidRPr="00BA4513">
        <w:rPr>
          <w:rFonts w:ascii="Times New Roman" w:eastAsia="SimSun" w:hAnsi="Times New Roman" w:cs="Times New Roman"/>
          <w:sz w:val="24"/>
          <w:szCs w:val="24"/>
          <w:lang w:val="en-US" w:eastAsia="zh-CN"/>
        </w:rPr>
        <w:t xml:space="preserve"> 22, pp. 1035-1048.</w:t>
      </w:r>
    </w:p>
    <w:p w14:paraId="210792A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Chen, C-H. and Shih, H-T. (2002) The evolution of the stock market in China’s transitional economy advances in Chinese economic studies, </w:t>
      </w:r>
      <w:r w:rsidRPr="00BA4513">
        <w:rPr>
          <w:rFonts w:ascii="Times New Roman" w:hAnsi="Times New Roman" w:cs="Times New Roman"/>
          <w:i/>
          <w:iCs/>
          <w:sz w:val="24"/>
          <w:szCs w:val="24"/>
        </w:rPr>
        <w:t>Edward Elgar Publishing Limited</w:t>
      </w:r>
      <w:r w:rsidRPr="00BA4513">
        <w:rPr>
          <w:rFonts w:ascii="Times New Roman" w:hAnsi="Times New Roman" w:cs="Times New Roman"/>
          <w:sz w:val="24"/>
          <w:szCs w:val="24"/>
        </w:rPr>
        <w:t xml:space="preserve">, 37–54. </w:t>
      </w:r>
    </w:p>
    <w:p w14:paraId="3A90F48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Chen,</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N.K.,</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bet</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worth,</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prices</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economic</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activity.</w:t>
      </w:r>
      <w:r w:rsidRPr="00BA4513">
        <w:rPr>
          <w:rFonts w:ascii="Times New Roman" w:hAnsi="Times New Roman" w:cs="Times New Roman"/>
          <w:spacing w:val="20"/>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9"/>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Monetary</w:t>
      </w:r>
      <w:r w:rsidRPr="00BA4513">
        <w:rPr>
          <w:rFonts w:ascii="Times New Roman" w:hAnsi="Times New Roman" w:cs="Times New Roman"/>
          <w:i/>
          <w:iCs/>
          <w:spacing w:val="17"/>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48,</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415–436.</w:t>
      </w:r>
    </w:p>
    <w:p w14:paraId="6601577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Chiesa,</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2008.</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Optimal</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transfer</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monitored</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finance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banks</w:t>
      </w:r>
      <w:r w:rsidRPr="00BA4513">
        <w:rPr>
          <w:rFonts w:ascii="Times New Roman" w:hAnsi="Times New Roman" w:cs="Times New Roman"/>
          <w:i/>
          <w:iCs/>
          <w:w w:val="105"/>
          <w:sz w:val="24"/>
          <w:szCs w:val="24"/>
        </w:rPr>
        <w:t>.</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Intermediation</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17,</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464–477.</w:t>
      </w:r>
    </w:p>
    <w:p w14:paraId="5C85AFE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Chiuri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Giovanni,</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23"/>
          <w:w w:val="105"/>
          <w:sz w:val="24"/>
          <w:szCs w:val="24"/>
        </w:rPr>
        <w:t xml:space="preserve"> </w:t>
      </w:r>
      <w:proofErr w:type="spellStart"/>
      <w:r w:rsidRPr="00BA4513">
        <w:rPr>
          <w:rFonts w:ascii="Times New Roman" w:hAnsi="Times New Roman" w:cs="Times New Roman"/>
          <w:w w:val="105"/>
          <w:sz w:val="24"/>
          <w:szCs w:val="24"/>
        </w:rPr>
        <w:t>Majnoni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2001.</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Enforcing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1988</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Basel</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did</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it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curtail</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emerging</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economies?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Notes</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by</w:t>
      </w:r>
      <w:r w:rsidRPr="00BA4513">
        <w:rPr>
          <w:rFonts w:ascii="Times New Roman" w:hAnsi="Times New Roman" w:cs="Times New Roman"/>
          <w:i/>
          <w:iCs/>
          <w:w w:val="107"/>
          <w:sz w:val="24"/>
          <w:szCs w:val="24"/>
        </w:rPr>
        <w:t xml:space="preserve"> </w:t>
      </w:r>
      <w:r w:rsidRPr="00BA4513">
        <w:rPr>
          <w:rFonts w:ascii="Times New Roman" w:hAnsi="Times New Roman" w:cs="Times New Roman"/>
          <w:i/>
          <w:iCs/>
          <w:w w:val="105"/>
          <w:sz w:val="24"/>
          <w:szCs w:val="24"/>
        </w:rPr>
        <w:t>Banca</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Monte</w:t>
      </w:r>
      <w:r w:rsidRPr="00BA4513">
        <w:rPr>
          <w:rFonts w:ascii="Times New Roman" w:hAnsi="Times New Roman" w:cs="Times New Roman"/>
          <w:i/>
          <w:iCs/>
          <w:spacing w:val="-17"/>
          <w:w w:val="105"/>
          <w:sz w:val="24"/>
          <w:szCs w:val="24"/>
        </w:rPr>
        <w:t xml:space="preserve"> </w:t>
      </w:r>
      <w:proofErr w:type="spellStart"/>
      <w:r w:rsidRPr="00BA4513">
        <w:rPr>
          <w:rFonts w:ascii="Times New Roman" w:hAnsi="Times New Roman" w:cs="Times New Roman"/>
          <w:i/>
          <w:iCs/>
          <w:w w:val="105"/>
          <w:sz w:val="24"/>
          <w:szCs w:val="24"/>
        </w:rPr>
        <w:t>dei</w:t>
      </w:r>
      <w:proofErr w:type="spellEnd"/>
      <w:r w:rsidRPr="00BA4513">
        <w:rPr>
          <w:rFonts w:ascii="Times New Roman" w:hAnsi="Times New Roman" w:cs="Times New Roman"/>
          <w:i/>
          <w:iCs/>
          <w:spacing w:val="-17"/>
          <w:w w:val="105"/>
          <w:sz w:val="24"/>
          <w:szCs w:val="24"/>
        </w:rPr>
        <w:t xml:space="preserve"> </w:t>
      </w:r>
      <w:proofErr w:type="spellStart"/>
      <w:r w:rsidRPr="00BA4513">
        <w:rPr>
          <w:rFonts w:ascii="Times New Roman" w:hAnsi="Times New Roman" w:cs="Times New Roman"/>
          <w:i/>
          <w:iCs/>
          <w:w w:val="105"/>
          <w:sz w:val="24"/>
          <w:szCs w:val="24"/>
        </w:rPr>
        <w:t>Paschi</w:t>
      </w:r>
      <w:proofErr w:type="spellEnd"/>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di</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Siena</w:t>
      </w:r>
      <w:r w:rsidRPr="00BA4513">
        <w:rPr>
          <w:rFonts w:ascii="Times New Roman" w:hAnsi="Times New Roman" w:cs="Times New Roman"/>
          <w:i/>
          <w:iCs/>
          <w:spacing w:val="-17"/>
          <w:w w:val="105"/>
          <w:sz w:val="24"/>
          <w:szCs w:val="24"/>
        </w:rPr>
        <w:t xml:space="preserve"> </w:t>
      </w:r>
      <w:proofErr w:type="spellStart"/>
      <w:r w:rsidRPr="00BA4513">
        <w:rPr>
          <w:rFonts w:ascii="Times New Roman" w:hAnsi="Times New Roman" w:cs="Times New Roman"/>
          <w:i/>
          <w:iCs/>
          <w:w w:val="105"/>
          <w:sz w:val="24"/>
          <w:szCs w:val="24"/>
        </w:rPr>
        <w:t>SpA</w:t>
      </w:r>
      <w:proofErr w:type="spellEnd"/>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30,</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399–419.</w:t>
      </w:r>
    </w:p>
    <w:p w14:paraId="0FB9D67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Chiuri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Giovanni,</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31"/>
          <w:w w:val="105"/>
          <w:sz w:val="24"/>
          <w:szCs w:val="24"/>
        </w:rPr>
        <w:t xml:space="preserve"> </w:t>
      </w:r>
      <w:proofErr w:type="spellStart"/>
      <w:r w:rsidRPr="00BA4513">
        <w:rPr>
          <w:rFonts w:ascii="Times New Roman" w:hAnsi="Times New Roman" w:cs="Times New Roman"/>
          <w:w w:val="105"/>
          <w:sz w:val="24"/>
          <w:szCs w:val="24"/>
        </w:rPr>
        <w:t>Majnoni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G.,</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macroeconomic</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impact</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31"/>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32"/>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w w:val="103"/>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emerging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economies: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past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evidence</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to</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assess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future</w:t>
      </w:r>
      <w:r w:rsidRPr="00BA4513">
        <w:rPr>
          <w:rFonts w:ascii="Times New Roman" w:hAnsi="Times New Roman" w:cs="Times New Roman"/>
          <w:i/>
          <w:iCs/>
          <w:w w:val="105"/>
          <w:sz w:val="24"/>
          <w:szCs w:val="24"/>
        </w:rPr>
        <w:t>.</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w w:val="105"/>
          <w:sz w:val="24"/>
          <w:szCs w:val="24"/>
        </w:rPr>
        <w:t>6,</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881–904.</w:t>
      </w:r>
    </w:p>
    <w:p w14:paraId="6765206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Christiano</w:t>
      </w:r>
      <w:proofErr w:type="spellEnd"/>
      <w:r w:rsidRPr="00BA4513">
        <w:rPr>
          <w:rFonts w:ascii="Times New Roman" w:hAnsi="Times New Roman" w:cs="Times New Roman"/>
          <w:sz w:val="24"/>
          <w:szCs w:val="24"/>
        </w:rPr>
        <w: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Gust,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8"/>
          <w:sz w:val="24"/>
          <w:szCs w:val="24"/>
        </w:rPr>
        <w:t xml:space="preserve"> </w:t>
      </w:r>
      <w:proofErr w:type="spellStart"/>
      <w:r w:rsidRPr="00BA4513">
        <w:rPr>
          <w:rFonts w:ascii="Times New Roman" w:hAnsi="Times New Roman" w:cs="Times New Roman"/>
          <w:sz w:val="24"/>
          <w:szCs w:val="24"/>
        </w:rPr>
        <w:t>Roldos</w:t>
      </w:r>
      <w:proofErr w:type="spellEnd"/>
      <w:r w:rsidRPr="00BA4513">
        <w:rPr>
          <w:rFonts w:ascii="Times New Roman" w:hAnsi="Times New Roman" w:cs="Times New Roman"/>
          <w:sz w:val="24"/>
          <w:szCs w:val="24"/>
        </w:rPr>
        <w: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crisis.</w:t>
      </w:r>
      <w:r w:rsidRPr="00BA4513">
        <w:rPr>
          <w:rFonts w:ascii="Times New Roman" w:hAnsi="Times New Roman" w:cs="Times New Roman"/>
          <w:spacing w:val="-8"/>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Theory</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119,</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64–103.</w:t>
      </w:r>
    </w:p>
    <w:p w14:paraId="2D99818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Christiano</w:t>
      </w:r>
      <w:proofErr w:type="spellEnd"/>
      <w:r w:rsidRPr="00BA4513">
        <w:rPr>
          <w:rFonts w:ascii="Times New Roman" w:hAnsi="Times New Roman" w:cs="Times New Roman"/>
          <w:sz w:val="24"/>
          <w:szCs w:val="24"/>
        </w:rPr>
        <w:t>,</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Motto,</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14"/>
          <w:sz w:val="24"/>
          <w:szCs w:val="24"/>
        </w:rPr>
        <w:t xml:space="preserve"> </w:t>
      </w:r>
      <w:proofErr w:type="spellStart"/>
      <w:r w:rsidRPr="00BA4513">
        <w:rPr>
          <w:rFonts w:ascii="Times New Roman" w:hAnsi="Times New Roman" w:cs="Times New Roman"/>
          <w:sz w:val="24"/>
          <w:szCs w:val="24"/>
        </w:rPr>
        <w:t>Rostagno</w:t>
      </w:r>
      <w:proofErr w:type="spellEnd"/>
      <w:r w:rsidRPr="00BA4513">
        <w:rPr>
          <w:rFonts w:ascii="Times New Roman" w:hAnsi="Times New Roman" w:cs="Times New Roman"/>
          <w:sz w:val="24"/>
          <w:szCs w:val="24"/>
        </w:rPr>
        <w:t>,</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factors</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 xml:space="preserve">cycles.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Paper</w:t>
      </w:r>
      <w:r w:rsidRPr="00BA4513">
        <w:rPr>
          <w:rFonts w:ascii="Times New Roman" w:hAnsi="Times New Roman" w:cs="Times New Roman"/>
          <w:w w:val="105"/>
          <w:sz w:val="24"/>
          <w:szCs w:val="24"/>
        </w:rPr>
        <w:t>.</w:t>
      </w:r>
    </w:p>
    <w:p w14:paraId="750A53D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Christiano</w:t>
      </w:r>
      <w:proofErr w:type="spellEnd"/>
      <w:r w:rsidRPr="00BA4513">
        <w:rPr>
          <w:rFonts w:ascii="Times New Roman" w:hAnsi="Times New Roman" w:cs="Times New Roman"/>
          <w:sz w:val="24"/>
          <w:szCs w:val="24"/>
        </w:rPr>
        <w:t>,</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Motto,</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15"/>
          <w:sz w:val="24"/>
          <w:szCs w:val="24"/>
        </w:rPr>
        <w:t xml:space="preserve"> </w:t>
      </w:r>
      <w:proofErr w:type="spellStart"/>
      <w:r w:rsidRPr="00BA4513">
        <w:rPr>
          <w:rFonts w:ascii="Times New Roman" w:hAnsi="Times New Roman" w:cs="Times New Roman"/>
          <w:sz w:val="24"/>
          <w:szCs w:val="24"/>
        </w:rPr>
        <w:t>Rostagno</w:t>
      </w:r>
      <w:proofErr w:type="spellEnd"/>
      <w:r w:rsidRPr="00BA4513">
        <w:rPr>
          <w:rFonts w:ascii="Times New Roman" w:hAnsi="Times New Roman" w:cs="Times New Roman"/>
          <w:sz w:val="24"/>
          <w:szCs w:val="24"/>
        </w:rPr>
        <w:t>,</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stock</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w w:val="105"/>
          <w:sz w:val="24"/>
          <w:szCs w:val="24"/>
        </w:rPr>
        <w:t xml:space="preserve"> </w:t>
      </w:r>
      <w:r w:rsidRPr="00BA4513">
        <w:rPr>
          <w:rFonts w:ascii="Times New Roman" w:hAnsi="Times New Roman" w:cs="Times New Roman"/>
          <w:sz w:val="24"/>
          <w:szCs w:val="24"/>
        </w:rPr>
        <w:t>boom–bust</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cycles.</w:t>
      </w:r>
      <w:r w:rsidRPr="00BA4513">
        <w:rPr>
          <w:rFonts w:ascii="Times New Roman" w:hAnsi="Times New Roman" w:cs="Times New Roman"/>
          <w:spacing w:val="26"/>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26"/>
          <w:sz w:val="24"/>
          <w:szCs w:val="24"/>
        </w:rPr>
        <w:t xml:space="preserve"> </w:t>
      </w:r>
      <w:r w:rsidRPr="00BA4513">
        <w:rPr>
          <w:rFonts w:ascii="Times New Roman" w:hAnsi="Times New Roman" w:cs="Times New Roman"/>
          <w:i/>
          <w:iCs/>
          <w:sz w:val="24"/>
          <w:szCs w:val="24"/>
        </w:rPr>
        <w:t>Paper</w:t>
      </w:r>
      <w:r w:rsidRPr="00BA4513">
        <w:rPr>
          <w:rFonts w:ascii="Times New Roman" w:hAnsi="Times New Roman" w:cs="Times New Roman"/>
          <w:sz w:val="24"/>
          <w:szCs w:val="24"/>
        </w:rPr>
        <w:t>.</w:t>
      </w:r>
    </w:p>
    <w:p w14:paraId="283FED86"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Christoffersen</w:t>
      </w:r>
      <w:proofErr w:type="spellEnd"/>
      <w:r w:rsidRPr="00BA4513">
        <w:rPr>
          <w:rFonts w:ascii="Times New Roman" w:hAnsi="Times New Roman" w:cs="Times New Roman"/>
          <w:sz w:val="24"/>
          <w:szCs w:val="24"/>
        </w:rPr>
        <w:t xml:space="preserve">, P, Jacobs, K., and Wang, Y., (2006). Option valuation with long-run and short-run volatility components, Unpublished manuscript, </w:t>
      </w:r>
      <w:proofErr w:type="spellStart"/>
      <w:r w:rsidRPr="00BA4513">
        <w:rPr>
          <w:rFonts w:ascii="Times New Roman" w:hAnsi="Times New Roman" w:cs="Times New Roman"/>
          <w:sz w:val="24"/>
          <w:szCs w:val="24"/>
        </w:rPr>
        <w:t>McGiIl</w:t>
      </w:r>
      <w:proofErr w:type="spellEnd"/>
      <w:r w:rsidRPr="00BA4513">
        <w:rPr>
          <w:rFonts w:ascii="Times New Roman" w:hAnsi="Times New Roman" w:cs="Times New Roman"/>
          <w:sz w:val="24"/>
          <w:szCs w:val="24"/>
        </w:rPr>
        <w:t xml:space="preserve"> University.</w:t>
      </w:r>
    </w:p>
    <w:p w14:paraId="3787F5F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Clark,</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5"/>
          <w:sz w:val="24"/>
          <w:szCs w:val="24"/>
        </w:rPr>
        <w:t xml:space="preserve"> </w:t>
      </w:r>
      <w:proofErr w:type="spellStart"/>
      <w:r w:rsidRPr="00BA4513">
        <w:rPr>
          <w:rFonts w:ascii="Times New Roman" w:hAnsi="Times New Roman" w:cs="Times New Roman"/>
          <w:sz w:val="24"/>
          <w:szCs w:val="24"/>
        </w:rPr>
        <w:t>Berko</w:t>
      </w:r>
      <w:proofErr w:type="spellEnd"/>
      <w:r w:rsidRPr="00BA4513">
        <w:rPr>
          <w:rFonts w:ascii="Times New Roman" w:hAnsi="Times New Roman" w:cs="Times New Roman"/>
          <w:sz w:val="24"/>
          <w:szCs w:val="24"/>
        </w:rPr>
        <w:t>,</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1997.</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Foreign</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investment</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fluctuations</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emerging</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w w:val="105"/>
          <w:sz w:val="24"/>
          <w:szCs w:val="24"/>
        </w:rPr>
        <w:t xml:space="preserve"> </w:t>
      </w:r>
      <w:r w:rsidRPr="00BA4513">
        <w:rPr>
          <w:rFonts w:ascii="Times New Roman" w:hAnsi="Times New Roman" w:cs="Times New Roman"/>
          <w:sz w:val="24"/>
          <w:szCs w:val="24"/>
        </w:rPr>
        <w:t>stock</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returns:</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case</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Mexico.</w:t>
      </w:r>
      <w:r w:rsidRPr="00BA4513">
        <w:rPr>
          <w:rFonts w:ascii="Times New Roman" w:hAnsi="Times New Roman" w:cs="Times New Roman"/>
          <w:spacing w:val="35"/>
          <w:sz w:val="24"/>
          <w:szCs w:val="24"/>
        </w:rPr>
        <w:t xml:space="preserve"> </w:t>
      </w:r>
      <w:r w:rsidRPr="00BA4513">
        <w:rPr>
          <w:rFonts w:ascii="Times New Roman" w:hAnsi="Times New Roman" w:cs="Times New Roman"/>
          <w:i/>
          <w:iCs/>
          <w:sz w:val="24"/>
          <w:szCs w:val="24"/>
        </w:rPr>
        <w:t>Federal</w:t>
      </w:r>
      <w:r w:rsidRPr="00BA4513">
        <w:rPr>
          <w:rFonts w:ascii="Times New Roman" w:hAnsi="Times New Roman" w:cs="Times New Roman"/>
          <w:i/>
          <w:iCs/>
          <w:spacing w:val="35"/>
          <w:sz w:val="24"/>
          <w:szCs w:val="24"/>
        </w:rPr>
        <w:t xml:space="preserve"> </w:t>
      </w:r>
      <w:r w:rsidRPr="00BA4513">
        <w:rPr>
          <w:rFonts w:ascii="Times New Roman" w:hAnsi="Times New Roman" w:cs="Times New Roman"/>
          <w:i/>
          <w:iCs/>
          <w:sz w:val="24"/>
          <w:szCs w:val="24"/>
        </w:rPr>
        <w:t>Reserve</w:t>
      </w:r>
      <w:r w:rsidRPr="00BA4513">
        <w:rPr>
          <w:rFonts w:ascii="Times New Roman" w:hAnsi="Times New Roman" w:cs="Times New Roman"/>
          <w:i/>
          <w:iCs/>
          <w:spacing w:val="35"/>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35"/>
          <w:sz w:val="24"/>
          <w:szCs w:val="24"/>
        </w:rPr>
        <w:t xml:space="preserve"> </w:t>
      </w:r>
      <w:r w:rsidRPr="00BA4513">
        <w:rPr>
          <w:rFonts w:ascii="Times New Roman" w:hAnsi="Times New Roman" w:cs="Times New Roman"/>
          <w:sz w:val="24"/>
          <w:szCs w:val="24"/>
        </w:rPr>
        <w:t>York</w:t>
      </w:r>
      <w:r w:rsidRPr="00BA4513">
        <w:rPr>
          <w:rFonts w:ascii="Times New Roman" w:hAnsi="Times New Roman" w:cs="Times New Roman"/>
          <w:spacing w:val="36"/>
          <w:sz w:val="24"/>
          <w:szCs w:val="24"/>
        </w:rPr>
        <w:t xml:space="preserve"> </w:t>
      </w:r>
      <w:r w:rsidRPr="00BA4513">
        <w:rPr>
          <w:rFonts w:ascii="Times New Roman" w:hAnsi="Times New Roman" w:cs="Times New Roman"/>
          <w:sz w:val="24"/>
          <w:szCs w:val="24"/>
        </w:rPr>
        <w:t>Staff</w:t>
      </w:r>
      <w:r w:rsidRPr="00BA4513">
        <w:rPr>
          <w:rFonts w:ascii="Times New Roman" w:hAnsi="Times New Roman" w:cs="Times New Roman"/>
          <w:w w:val="101"/>
          <w:sz w:val="24"/>
          <w:szCs w:val="24"/>
        </w:rPr>
        <w:t xml:space="preserve"> </w:t>
      </w:r>
      <w:r w:rsidRPr="00BA4513">
        <w:rPr>
          <w:rFonts w:ascii="Times New Roman" w:hAnsi="Times New Roman" w:cs="Times New Roman"/>
          <w:sz w:val="24"/>
          <w:szCs w:val="24"/>
        </w:rPr>
        <w:t>Report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4.</w:t>
      </w:r>
    </w:p>
    <w:p w14:paraId="75F4A93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Clower</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R.W.,</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1965.</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Keynesian</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counter-revolution:</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theoretical</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appraisal.</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Hahn,</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F.H.,</w:t>
      </w:r>
      <w:r w:rsidRPr="00BA4513">
        <w:rPr>
          <w:rFonts w:ascii="Times New Roman" w:hAnsi="Times New Roman" w:cs="Times New Roman"/>
          <w:spacing w:val="-27"/>
          <w:w w:val="105"/>
          <w:sz w:val="24"/>
          <w:szCs w:val="24"/>
        </w:rPr>
        <w:t xml:space="preserve"> </w:t>
      </w:r>
      <w:proofErr w:type="spellStart"/>
      <w:r w:rsidRPr="00BA4513">
        <w:rPr>
          <w:rFonts w:ascii="Times New Roman" w:hAnsi="Times New Roman" w:cs="Times New Roman"/>
          <w:w w:val="105"/>
          <w:sz w:val="24"/>
          <w:szCs w:val="24"/>
        </w:rPr>
        <w:t>Brechling</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Theory</w:t>
      </w:r>
      <w:r w:rsidRPr="00BA4513">
        <w:rPr>
          <w:rFonts w:ascii="Times New Roman" w:hAnsi="Times New Roman" w:cs="Times New Roman"/>
          <w:i/>
          <w:iCs/>
          <w:spacing w:val="-2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Interest</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Rates</w:t>
      </w:r>
      <w:r w:rsidRPr="00BA4513">
        <w:rPr>
          <w:rFonts w:ascii="Times New Roman" w:hAnsi="Times New Roman" w:cs="Times New Roman"/>
          <w:w w:val="105"/>
          <w:sz w:val="24"/>
          <w:szCs w:val="24"/>
        </w:rPr>
        <w:t>.</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MacMillan,</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London,</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pp.</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103–125.</w:t>
      </w:r>
    </w:p>
    <w:p w14:paraId="460DDAE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Cochrane,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Pricing.</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Princeton</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University</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Press</w:t>
      </w:r>
      <w:r w:rsidRPr="00BA4513">
        <w:rPr>
          <w:rFonts w:ascii="Times New Roman" w:hAnsi="Times New Roman" w:cs="Times New Roman"/>
          <w:sz w:val="24"/>
          <w:szCs w:val="24"/>
        </w:rPr>
        <w:t>.</w:t>
      </w:r>
    </w:p>
    <w:p w14:paraId="1C92F9D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Constantinides</w:t>
      </w:r>
      <w:proofErr w:type="spellEnd"/>
      <w:r w:rsidRPr="00BA4513">
        <w:rPr>
          <w:rFonts w:ascii="Times New Roman" w:hAnsi="Times New Roman" w:cs="Times New Roman"/>
          <w:sz w:val="24"/>
          <w:szCs w:val="24"/>
        </w:rPr>
        <w:t xml:space="preserve">, George M., 1992, A theory of the nominal term structure of interest rates, </w:t>
      </w:r>
      <w:r w:rsidRPr="00BA4513">
        <w:rPr>
          <w:rFonts w:ascii="Times New Roman" w:hAnsi="Times New Roman" w:cs="Times New Roman"/>
          <w:i/>
          <w:sz w:val="24"/>
          <w:szCs w:val="24"/>
        </w:rPr>
        <w:t>Review of Financial Studies</w:t>
      </w:r>
      <w:r w:rsidRPr="00BA4513">
        <w:rPr>
          <w:rFonts w:ascii="Times New Roman" w:hAnsi="Times New Roman" w:cs="Times New Roman"/>
          <w:sz w:val="24"/>
          <w:szCs w:val="24"/>
        </w:rPr>
        <w:t xml:space="preserve"> 5, 531–552.</w:t>
      </w:r>
    </w:p>
    <w:p w14:paraId="4D86F8C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Constantinides</w:t>
      </w:r>
      <w:proofErr w:type="spellEnd"/>
      <w:r w:rsidRPr="00BA4513">
        <w:rPr>
          <w:rFonts w:ascii="Times New Roman" w:hAnsi="Times New Roman" w:cs="Times New Roman"/>
          <w:sz w:val="24"/>
          <w:szCs w:val="24"/>
        </w:rPr>
        <w:t xml:space="preserve">, George M., and T. </w:t>
      </w:r>
      <w:proofErr w:type="spellStart"/>
      <w:r w:rsidRPr="00BA4513">
        <w:rPr>
          <w:rFonts w:ascii="Times New Roman" w:hAnsi="Times New Roman" w:cs="Times New Roman"/>
          <w:sz w:val="24"/>
          <w:szCs w:val="24"/>
        </w:rPr>
        <w:t>Zariphopoulou</w:t>
      </w:r>
      <w:proofErr w:type="spellEnd"/>
      <w:r w:rsidRPr="00BA4513">
        <w:rPr>
          <w:rFonts w:ascii="Times New Roman" w:hAnsi="Times New Roman" w:cs="Times New Roman"/>
          <w:sz w:val="24"/>
          <w:szCs w:val="24"/>
        </w:rPr>
        <w:t xml:space="preserve">, 1999a, Bounds on prices of contingent claims in an intertemporal economy with proportional transactions costs and general preferences, </w:t>
      </w:r>
      <w:r w:rsidRPr="00BA4513">
        <w:rPr>
          <w:rFonts w:ascii="Times New Roman" w:hAnsi="Times New Roman" w:cs="Times New Roman"/>
          <w:i/>
          <w:sz w:val="24"/>
          <w:szCs w:val="24"/>
        </w:rPr>
        <w:t>Finance and Stochastics</w:t>
      </w:r>
      <w:r w:rsidRPr="00BA4513">
        <w:rPr>
          <w:rFonts w:ascii="Times New Roman" w:hAnsi="Times New Roman" w:cs="Times New Roman"/>
          <w:sz w:val="24"/>
          <w:szCs w:val="24"/>
        </w:rPr>
        <w:t xml:space="preserve">, forthcoming. </w:t>
      </w:r>
    </w:p>
    <w:p w14:paraId="4E03D8E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Constantinides</w:t>
      </w:r>
      <w:proofErr w:type="spellEnd"/>
      <w:r w:rsidRPr="00BA4513">
        <w:rPr>
          <w:rFonts w:ascii="Times New Roman" w:hAnsi="Times New Roman" w:cs="Times New Roman"/>
          <w:sz w:val="24"/>
          <w:szCs w:val="24"/>
        </w:rPr>
        <w:t xml:space="preserve">, George M., and T. </w:t>
      </w:r>
      <w:proofErr w:type="spellStart"/>
      <w:r w:rsidRPr="00BA4513">
        <w:rPr>
          <w:rFonts w:ascii="Times New Roman" w:hAnsi="Times New Roman" w:cs="Times New Roman"/>
          <w:sz w:val="24"/>
          <w:szCs w:val="24"/>
        </w:rPr>
        <w:t>Zariphopoulou</w:t>
      </w:r>
      <w:proofErr w:type="spellEnd"/>
      <w:r w:rsidRPr="00BA4513">
        <w:rPr>
          <w:rFonts w:ascii="Times New Roman" w:hAnsi="Times New Roman" w:cs="Times New Roman"/>
          <w:sz w:val="24"/>
          <w:szCs w:val="24"/>
        </w:rPr>
        <w:t>, 1999b, Bounds on derivative prices in an intertemporal setting with proportional transactions costs and multiple securities, Working paper, Graduate School of Business, University of Chicago.</w:t>
      </w:r>
    </w:p>
    <w:p w14:paraId="04A5804C"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Cont</w:t>
      </w:r>
      <w:proofErr w:type="spellEnd"/>
      <w:r w:rsidRPr="00BA4513">
        <w:rPr>
          <w:rFonts w:ascii="Times New Roman" w:hAnsi="Times New Roman" w:cs="Times New Roman"/>
          <w:sz w:val="24"/>
          <w:szCs w:val="24"/>
        </w:rPr>
        <w:t>, R. (2001). Empirical properties of asset returns: Stylized facts and statistical issues. </w:t>
      </w:r>
      <w:r w:rsidRPr="00BA4513">
        <w:rPr>
          <w:rFonts w:ascii="Times New Roman" w:hAnsi="Times New Roman" w:cs="Times New Roman"/>
        </w:rPr>
        <w:t>Quantitative Finance</w:t>
      </w:r>
      <w:r w:rsidRPr="00BA4513">
        <w:rPr>
          <w:rFonts w:ascii="Times New Roman" w:hAnsi="Times New Roman" w:cs="Times New Roman"/>
          <w:sz w:val="24"/>
          <w:szCs w:val="24"/>
        </w:rPr>
        <w:t>, 1(2), 223-236.</w:t>
      </w:r>
    </w:p>
    <w:p w14:paraId="5C379DA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Corcuera</w:t>
      </w:r>
      <w:proofErr w:type="spellEnd"/>
      <w:r w:rsidRPr="00BA4513">
        <w:rPr>
          <w:rFonts w:ascii="Times New Roman" w:hAnsi="Times New Roman" w:cs="Times New Roman"/>
          <w:sz w:val="24"/>
          <w:szCs w:val="24"/>
        </w:rPr>
        <w:t xml:space="preserve"> J M, </w:t>
      </w:r>
      <w:proofErr w:type="spellStart"/>
      <w:r w:rsidRPr="00BA4513">
        <w:rPr>
          <w:rFonts w:ascii="Times New Roman" w:hAnsi="Times New Roman" w:cs="Times New Roman"/>
          <w:sz w:val="24"/>
          <w:szCs w:val="24"/>
        </w:rPr>
        <w:t>Nualert</w:t>
      </w:r>
      <w:proofErr w:type="spellEnd"/>
      <w:r w:rsidRPr="00BA4513">
        <w:rPr>
          <w:rFonts w:ascii="Times New Roman" w:hAnsi="Times New Roman" w:cs="Times New Roman"/>
          <w:sz w:val="24"/>
          <w:szCs w:val="24"/>
        </w:rPr>
        <w:t xml:space="preserve"> D, </w:t>
      </w:r>
      <w:proofErr w:type="spellStart"/>
      <w:r w:rsidRPr="00BA4513">
        <w:rPr>
          <w:rFonts w:ascii="Times New Roman" w:hAnsi="Times New Roman" w:cs="Times New Roman"/>
          <w:sz w:val="24"/>
          <w:szCs w:val="24"/>
        </w:rPr>
        <w:t>Schoutens</w:t>
      </w:r>
      <w:proofErr w:type="spellEnd"/>
      <w:r w:rsidRPr="00BA4513">
        <w:rPr>
          <w:rFonts w:ascii="Times New Roman" w:hAnsi="Times New Roman" w:cs="Times New Roman"/>
          <w:sz w:val="24"/>
          <w:szCs w:val="24"/>
        </w:rPr>
        <w:t xml:space="preserve"> W (2005) Completion of a Levy Market by Power-Jump Assets. Finance and Stochastics 9, (1), 109–127.</w:t>
      </w:r>
    </w:p>
    <w:p w14:paraId="5CA8ED4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 xml:space="preserve">Corrado, C. and Su, T. (1996). </w:t>
      </w:r>
      <w:r w:rsidRPr="00BA4513">
        <w:rPr>
          <w:rFonts w:ascii="Times New Roman" w:hAnsi="Times New Roman" w:cs="Times New Roman"/>
          <w:sz w:val="24"/>
          <w:szCs w:val="24"/>
        </w:rPr>
        <w:t xml:space="preserve">“Skewness and Kurtosis in S&amp;P 500 index returns implied by option prices”, Journal of Financial Research, 19, 175-192. </w:t>
      </w:r>
    </w:p>
    <w:p w14:paraId="57A3D186"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Coudert</w:t>
      </w:r>
      <w:proofErr w:type="spellEnd"/>
      <w:r w:rsidRPr="00BA4513">
        <w:rPr>
          <w:rFonts w:ascii="Times New Roman" w:hAnsi="Times New Roman" w:cs="Times New Roman"/>
          <w:sz w:val="24"/>
          <w:szCs w:val="24"/>
        </w:rPr>
        <w:t xml:space="preserve">, V., and M. </w:t>
      </w:r>
      <w:proofErr w:type="spellStart"/>
      <w:r w:rsidRPr="00BA4513">
        <w:rPr>
          <w:rFonts w:ascii="Times New Roman" w:hAnsi="Times New Roman" w:cs="Times New Roman"/>
          <w:sz w:val="24"/>
          <w:szCs w:val="24"/>
        </w:rPr>
        <w:t>Gex</w:t>
      </w:r>
      <w:proofErr w:type="spellEnd"/>
      <w:r w:rsidRPr="00BA4513">
        <w:rPr>
          <w:rFonts w:ascii="Times New Roman" w:hAnsi="Times New Roman" w:cs="Times New Roman"/>
          <w:sz w:val="24"/>
          <w:szCs w:val="24"/>
        </w:rPr>
        <w:t xml:space="preserve">, 2007, “Does Risk Aversion Drive Financial Crises? Testing the Predictive Power of Empirical Indicators,” Centre </w:t>
      </w:r>
      <w:proofErr w:type="spellStart"/>
      <w:r w:rsidRPr="00BA4513">
        <w:rPr>
          <w:rFonts w:ascii="Times New Roman" w:hAnsi="Times New Roman" w:cs="Times New Roman"/>
          <w:sz w:val="24"/>
          <w:szCs w:val="24"/>
        </w:rPr>
        <w:t>d’Etudes</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Prospectives</w:t>
      </w:r>
      <w:proofErr w:type="spellEnd"/>
      <w:r w:rsidRPr="00BA4513">
        <w:rPr>
          <w:rFonts w:ascii="Times New Roman" w:hAnsi="Times New Roman" w:cs="Times New Roman"/>
          <w:sz w:val="24"/>
          <w:szCs w:val="24"/>
        </w:rPr>
        <w:t xml:space="preserve"> et </w:t>
      </w:r>
      <w:proofErr w:type="spellStart"/>
      <w:r w:rsidRPr="00BA4513">
        <w:rPr>
          <w:rFonts w:ascii="Times New Roman" w:hAnsi="Times New Roman" w:cs="Times New Roman"/>
          <w:sz w:val="24"/>
          <w:szCs w:val="24"/>
        </w:rPr>
        <w:t>d’Informations</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Internationales</w:t>
      </w:r>
      <w:proofErr w:type="spellEnd"/>
      <w:r w:rsidRPr="00BA4513">
        <w:rPr>
          <w:rFonts w:ascii="Times New Roman" w:hAnsi="Times New Roman" w:cs="Times New Roman"/>
          <w:sz w:val="24"/>
          <w:szCs w:val="24"/>
        </w:rPr>
        <w:t xml:space="preserve">, Working Paper No. 2007–02. </w:t>
      </w:r>
    </w:p>
    <w:p w14:paraId="42A9F0E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eastAsia="Times New Roman" w:hAnsi="Times New Roman" w:cs="Times New Roman"/>
          <w:sz w:val="24"/>
          <w:szCs w:val="24"/>
        </w:rPr>
        <w:t>Cox J.C, Ingersoll JE and Ross SA (1985). "A Theory of the Term Structure of Interest       Rates</w:t>
      </w:r>
      <w:proofErr w:type="gramStart"/>
      <w:r w:rsidRPr="00BA4513">
        <w:rPr>
          <w:rFonts w:ascii="Times New Roman" w:eastAsia="Times New Roman" w:hAnsi="Times New Roman" w:cs="Times New Roman"/>
          <w:sz w:val="24"/>
          <w:szCs w:val="24"/>
        </w:rPr>
        <w:t>” .</w:t>
      </w:r>
      <w:proofErr w:type="gramEnd"/>
      <w:r w:rsidRPr="00BA4513">
        <w:rPr>
          <w:rFonts w:ascii="Times New Roman" w:eastAsia="Times New Roman" w:hAnsi="Times New Roman" w:cs="Times New Roman"/>
          <w:sz w:val="24"/>
          <w:szCs w:val="24"/>
        </w:rPr>
        <w:t xml:space="preserve"> </w:t>
      </w:r>
      <w:hyperlink r:id="rId153" w:tooltip="Econometrica" w:history="1">
        <w:r w:rsidRPr="00BA4513">
          <w:rPr>
            <w:rFonts w:ascii="Times New Roman" w:eastAsia="Times New Roman" w:hAnsi="Times New Roman" w:cs="Times New Roman"/>
            <w:i/>
            <w:iCs/>
            <w:color w:val="0000FF"/>
            <w:sz w:val="24"/>
            <w:szCs w:val="24"/>
            <w:u w:val="single"/>
          </w:rPr>
          <w:t>Econometrica</w:t>
        </w:r>
      </w:hyperlink>
      <w:r w:rsidRPr="00BA4513">
        <w:rPr>
          <w:rFonts w:ascii="Times New Roman" w:eastAsia="Times New Roman" w:hAnsi="Times New Roman" w:cs="Times New Roman"/>
          <w:b/>
          <w:bCs/>
          <w:sz w:val="24"/>
          <w:szCs w:val="24"/>
        </w:rPr>
        <w:t>53</w:t>
      </w:r>
      <w:r w:rsidRPr="00BA4513">
        <w:rPr>
          <w:rFonts w:ascii="Times New Roman" w:eastAsia="Times New Roman" w:hAnsi="Times New Roman" w:cs="Times New Roman"/>
          <w:sz w:val="24"/>
          <w:szCs w:val="24"/>
        </w:rPr>
        <w:t>: 385–407.</w:t>
      </w:r>
    </w:p>
    <w:p w14:paraId="0C8A8A2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Cox, John C., and Chi-fu Huang, 1989a, Optimal consumption and portfolio policies when asset prices follow a diffusion process, </w:t>
      </w:r>
      <w:r w:rsidRPr="00BA4513">
        <w:rPr>
          <w:rFonts w:ascii="Times New Roman" w:hAnsi="Times New Roman" w:cs="Times New Roman"/>
          <w:i/>
          <w:sz w:val="24"/>
          <w:szCs w:val="24"/>
        </w:rPr>
        <w:t>Journal of Economic Theory</w:t>
      </w:r>
      <w:r w:rsidRPr="00BA4513">
        <w:rPr>
          <w:rFonts w:ascii="Times New Roman" w:hAnsi="Times New Roman" w:cs="Times New Roman"/>
          <w:sz w:val="24"/>
          <w:szCs w:val="24"/>
        </w:rPr>
        <w:t xml:space="preserve"> 49, 33–83. </w:t>
      </w:r>
    </w:p>
    <w:p w14:paraId="39E1FC2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Cox, John C., and Chi-fu Huang, 1989b, Options pricing theory and its applications, in </w:t>
      </w:r>
      <w:proofErr w:type="spellStart"/>
      <w:r w:rsidRPr="00BA4513">
        <w:rPr>
          <w:rFonts w:ascii="Times New Roman" w:hAnsi="Times New Roman" w:cs="Times New Roman"/>
          <w:sz w:val="24"/>
          <w:szCs w:val="24"/>
        </w:rPr>
        <w:t>Sudipto</w:t>
      </w:r>
      <w:proofErr w:type="spellEnd"/>
      <w:r w:rsidRPr="00BA4513">
        <w:rPr>
          <w:rFonts w:ascii="Times New Roman" w:hAnsi="Times New Roman" w:cs="Times New Roman"/>
          <w:sz w:val="24"/>
          <w:szCs w:val="24"/>
        </w:rPr>
        <w:t xml:space="preserve"> Bhattacharya and George M. </w:t>
      </w:r>
      <w:proofErr w:type="spellStart"/>
      <w:r w:rsidRPr="00BA4513">
        <w:rPr>
          <w:rFonts w:ascii="Times New Roman" w:hAnsi="Times New Roman" w:cs="Times New Roman"/>
          <w:sz w:val="24"/>
          <w:szCs w:val="24"/>
        </w:rPr>
        <w:t>Constantinides</w:t>
      </w:r>
      <w:proofErr w:type="spellEnd"/>
      <w:r w:rsidRPr="00BA4513">
        <w:rPr>
          <w:rFonts w:ascii="Times New Roman" w:hAnsi="Times New Roman" w:cs="Times New Roman"/>
          <w:sz w:val="24"/>
          <w:szCs w:val="24"/>
        </w:rPr>
        <w:t xml:space="preserve">, eds.: Theory of </w:t>
      </w:r>
      <w:r w:rsidRPr="00BA4513">
        <w:rPr>
          <w:rFonts w:ascii="Times New Roman" w:hAnsi="Times New Roman" w:cs="Times New Roman"/>
          <w:sz w:val="24"/>
          <w:szCs w:val="24"/>
        </w:rPr>
        <w:lastRenderedPageBreak/>
        <w:t>Valuation</w:t>
      </w:r>
      <w:r w:rsidRPr="00BA4513">
        <w:rPr>
          <w:rFonts w:ascii="Times New Roman" w:hAnsi="Times New Roman" w:cs="Times New Roman"/>
          <w:i/>
          <w:sz w:val="24"/>
          <w:szCs w:val="24"/>
        </w:rPr>
        <w:t>: Frontiers of Modern Financial Theory,</w:t>
      </w:r>
      <w:r w:rsidRPr="00BA4513">
        <w:rPr>
          <w:rFonts w:ascii="Times New Roman" w:hAnsi="Times New Roman" w:cs="Times New Roman"/>
          <w:sz w:val="24"/>
          <w:szCs w:val="24"/>
        </w:rPr>
        <w:t xml:space="preserve"> Volume 1 ~Rowman and Littlefield, Totowa, N.J.! </w:t>
      </w:r>
    </w:p>
    <w:p w14:paraId="2D92B6F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Cox, John C., Jon E. Ingersoll, and Stephen A. Ross, 1985a, An intertemporal general equilibrium model of asset prices</w:t>
      </w:r>
      <w:r w:rsidRPr="00BA4513">
        <w:rPr>
          <w:rFonts w:ascii="Times New Roman" w:hAnsi="Times New Roman" w:cs="Times New Roman"/>
          <w:i/>
          <w:sz w:val="24"/>
          <w:szCs w:val="24"/>
        </w:rPr>
        <w:t xml:space="preserve">, </w:t>
      </w:r>
      <w:proofErr w:type="spellStart"/>
      <w:r w:rsidRPr="00BA4513">
        <w:rPr>
          <w:rFonts w:ascii="Times New Roman" w:hAnsi="Times New Roman" w:cs="Times New Roman"/>
          <w:i/>
          <w:sz w:val="24"/>
          <w:szCs w:val="24"/>
        </w:rPr>
        <w:t>Econometrica</w:t>
      </w:r>
      <w:proofErr w:type="spellEnd"/>
      <w:r w:rsidRPr="00BA4513">
        <w:rPr>
          <w:rFonts w:ascii="Times New Roman" w:hAnsi="Times New Roman" w:cs="Times New Roman"/>
          <w:sz w:val="24"/>
          <w:szCs w:val="24"/>
        </w:rPr>
        <w:t xml:space="preserve"> 53, 363–384.</w:t>
      </w:r>
    </w:p>
    <w:p w14:paraId="7082CD7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Cuoco</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Liu,</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H.,</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An</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analysis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Var-based</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i/>
          <w:iCs/>
          <w:sz w:val="24"/>
          <w:szCs w:val="24"/>
        </w:rPr>
        <w:t>.</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17"/>
          <w:sz w:val="24"/>
          <w:szCs w:val="24"/>
        </w:rPr>
        <w:t xml:space="preserve"> </w:t>
      </w:r>
      <w:r w:rsidRPr="00BA4513">
        <w:rPr>
          <w:rFonts w:ascii="Times New Roman" w:hAnsi="Times New Roman" w:cs="Times New Roman"/>
          <w:i/>
          <w:iCs/>
          <w:sz w:val="24"/>
          <w:szCs w:val="24"/>
        </w:rPr>
        <w:t>Intermediation</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15,</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362–394.</w:t>
      </w:r>
    </w:p>
    <w:p w14:paraId="6510577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Curdía</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V.,</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Woodford,</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2009.</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frictions</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optimal</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w w:val="91"/>
          <w:sz w:val="24"/>
          <w:szCs w:val="24"/>
        </w:rPr>
        <w:t xml:space="preserve">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Papers</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278.</w:t>
      </w:r>
    </w:p>
    <w:p w14:paraId="3EF8745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Curto</w:t>
      </w:r>
      <w:proofErr w:type="spellEnd"/>
      <w:r w:rsidRPr="00BA4513">
        <w:rPr>
          <w:rFonts w:ascii="Times New Roman" w:hAnsi="Times New Roman" w:cs="Times New Roman"/>
          <w:sz w:val="24"/>
          <w:szCs w:val="24"/>
        </w:rPr>
        <w:t xml:space="preserve">, J.D., Pinto, J.C., Tavares, G.N. (2009),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stock markets’ volatility using GARCH models with normal, student’s t and stable </w:t>
      </w:r>
      <w:proofErr w:type="spellStart"/>
      <w:r w:rsidRPr="00BA4513">
        <w:rPr>
          <w:rFonts w:ascii="Times New Roman" w:hAnsi="Times New Roman" w:cs="Times New Roman"/>
          <w:sz w:val="24"/>
          <w:szCs w:val="24"/>
        </w:rPr>
        <w:t>paretian</w:t>
      </w:r>
      <w:proofErr w:type="spellEnd"/>
      <w:r w:rsidRPr="00BA4513">
        <w:rPr>
          <w:rFonts w:ascii="Times New Roman" w:hAnsi="Times New Roman" w:cs="Times New Roman"/>
          <w:sz w:val="24"/>
          <w:szCs w:val="24"/>
        </w:rPr>
        <w:t xml:space="preserve"> distributions</w:t>
      </w:r>
      <w:r w:rsidRPr="00BA4513">
        <w:rPr>
          <w:rFonts w:ascii="Times New Roman" w:hAnsi="Times New Roman" w:cs="Times New Roman"/>
          <w:i/>
          <w:sz w:val="24"/>
          <w:szCs w:val="24"/>
        </w:rPr>
        <w:t>. Statistical Papers</w:t>
      </w:r>
      <w:r w:rsidRPr="00BA4513">
        <w:rPr>
          <w:rFonts w:ascii="Times New Roman" w:hAnsi="Times New Roman" w:cs="Times New Roman"/>
          <w:sz w:val="24"/>
          <w:szCs w:val="24"/>
        </w:rPr>
        <w:t>, 50(2), 311.</w:t>
      </w:r>
    </w:p>
    <w:p w14:paraId="5C939D4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Danielsson,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Shin,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H.,</w:t>
      </w:r>
      <w:r w:rsidRPr="00BA4513">
        <w:rPr>
          <w:rFonts w:ascii="Times New Roman" w:hAnsi="Times New Roman" w:cs="Times New Roman"/>
          <w:spacing w:val="8"/>
          <w:sz w:val="24"/>
          <w:szCs w:val="24"/>
        </w:rPr>
        <w:t xml:space="preserve"> </w:t>
      </w:r>
      <w:proofErr w:type="spellStart"/>
      <w:r w:rsidRPr="00BA4513">
        <w:rPr>
          <w:rFonts w:ascii="Times New Roman" w:hAnsi="Times New Roman" w:cs="Times New Roman"/>
          <w:sz w:val="24"/>
          <w:szCs w:val="24"/>
        </w:rPr>
        <w:t>Zigrand</w:t>
      </w:r>
      <w:proofErr w:type="spellEnd"/>
      <w:r w:rsidRPr="00BA4513">
        <w:rPr>
          <w:rFonts w:ascii="Times New Roman" w:hAnsi="Times New Roman" w:cs="Times New Roman"/>
          <w:sz w:val="24"/>
          <w:szCs w:val="24"/>
        </w:rPr>
        <w: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J.P.,</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impact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price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dynamics.</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28,</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1069–1087.</w:t>
      </w:r>
    </w:p>
    <w:p w14:paraId="2605495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Davidson, J., 2004. Moment and memory properties of linear conditional heteroscedasticity models, and a new model</w:t>
      </w:r>
      <w:r w:rsidRPr="00BA4513">
        <w:rPr>
          <w:rFonts w:ascii="Times New Roman" w:hAnsi="Times New Roman" w:cs="Times New Roman"/>
          <w:i/>
          <w:iCs/>
          <w:sz w:val="24"/>
          <w:szCs w:val="24"/>
        </w:rPr>
        <w:t>. J. Business Econometrics. Statist</w:t>
      </w:r>
      <w:r w:rsidRPr="00BA4513">
        <w:rPr>
          <w:rFonts w:ascii="Times New Roman" w:hAnsi="Times New Roman" w:cs="Times New Roman"/>
          <w:sz w:val="24"/>
          <w:szCs w:val="24"/>
        </w:rPr>
        <w:t xml:space="preserve">. 22, 16–19. </w:t>
      </w:r>
    </w:p>
    <w:p w14:paraId="33DB705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lang w:val="es-AR"/>
        </w:rPr>
        <w:t>De</w:t>
      </w:r>
      <w:r w:rsidRPr="00BA4513">
        <w:rPr>
          <w:rFonts w:ascii="Times New Roman" w:hAnsi="Times New Roman" w:cs="Times New Roman"/>
          <w:spacing w:val="3"/>
          <w:w w:val="105"/>
          <w:sz w:val="24"/>
          <w:szCs w:val="24"/>
          <w:lang w:val="es-AR"/>
        </w:rPr>
        <w:t xml:space="preserve"> </w:t>
      </w:r>
      <w:r w:rsidRPr="00BA4513">
        <w:rPr>
          <w:rFonts w:ascii="Times New Roman" w:hAnsi="Times New Roman" w:cs="Times New Roman"/>
          <w:w w:val="105"/>
          <w:sz w:val="24"/>
          <w:szCs w:val="24"/>
          <w:lang w:val="es-AR"/>
        </w:rPr>
        <w:t>Fiore,</w:t>
      </w:r>
      <w:r w:rsidRPr="00BA4513">
        <w:rPr>
          <w:rFonts w:ascii="Times New Roman" w:hAnsi="Times New Roman" w:cs="Times New Roman"/>
          <w:spacing w:val="3"/>
          <w:w w:val="105"/>
          <w:sz w:val="24"/>
          <w:szCs w:val="24"/>
          <w:lang w:val="es-AR"/>
        </w:rPr>
        <w:t xml:space="preserve"> </w:t>
      </w:r>
      <w:r w:rsidRPr="00BA4513">
        <w:rPr>
          <w:rFonts w:ascii="Times New Roman" w:hAnsi="Times New Roman" w:cs="Times New Roman"/>
          <w:w w:val="105"/>
          <w:sz w:val="24"/>
          <w:szCs w:val="24"/>
          <w:lang w:val="es-AR"/>
        </w:rPr>
        <w:t>F.,</w:t>
      </w:r>
      <w:r w:rsidRPr="00BA4513">
        <w:rPr>
          <w:rFonts w:ascii="Times New Roman" w:hAnsi="Times New Roman" w:cs="Times New Roman"/>
          <w:spacing w:val="3"/>
          <w:w w:val="105"/>
          <w:sz w:val="24"/>
          <w:szCs w:val="24"/>
          <w:lang w:val="es-AR"/>
        </w:rPr>
        <w:t xml:space="preserve"> </w:t>
      </w:r>
      <w:proofErr w:type="spellStart"/>
      <w:r w:rsidRPr="00BA4513">
        <w:rPr>
          <w:rFonts w:ascii="Times New Roman" w:hAnsi="Times New Roman" w:cs="Times New Roman"/>
          <w:w w:val="105"/>
          <w:sz w:val="24"/>
          <w:szCs w:val="24"/>
          <w:lang w:val="es-AR"/>
        </w:rPr>
        <w:t>Tristani</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3"/>
          <w:w w:val="105"/>
          <w:sz w:val="24"/>
          <w:szCs w:val="24"/>
          <w:lang w:val="es-AR"/>
        </w:rPr>
        <w:t xml:space="preserve"> </w:t>
      </w:r>
      <w:r w:rsidRPr="00BA4513">
        <w:rPr>
          <w:rFonts w:ascii="Times New Roman" w:hAnsi="Times New Roman" w:cs="Times New Roman"/>
          <w:w w:val="105"/>
          <w:sz w:val="24"/>
          <w:szCs w:val="24"/>
          <w:lang w:val="es-AR"/>
        </w:rPr>
        <w:t>O.,</w:t>
      </w:r>
      <w:r w:rsidRPr="00BA4513">
        <w:rPr>
          <w:rFonts w:ascii="Times New Roman" w:hAnsi="Times New Roman" w:cs="Times New Roman"/>
          <w:spacing w:val="3"/>
          <w:w w:val="105"/>
          <w:sz w:val="24"/>
          <w:szCs w:val="24"/>
          <w:lang w:val="es-AR"/>
        </w:rPr>
        <w:t xml:space="preserve"> </w:t>
      </w:r>
      <w:r w:rsidRPr="00BA4513">
        <w:rPr>
          <w:rFonts w:ascii="Times New Roman" w:hAnsi="Times New Roman" w:cs="Times New Roman"/>
          <w:w w:val="105"/>
          <w:sz w:val="24"/>
          <w:szCs w:val="24"/>
          <w:lang w:val="es-AR"/>
        </w:rPr>
        <w:t>2008.</w:t>
      </w:r>
      <w:r w:rsidRPr="00BA4513">
        <w:rPr>
          <w:rFonts w:ascii="Times New Roman" w:hAnsi="Times New Roman" w:cs="Times New Roman"/>
          <w:spacing w:val="4"/>
          <w:w w:val="105"/>
          <w:sz w:val="24"/>
          <w:szCs w:val="24"/>
          <w:lang w:val="es-AR"/>
        </w:rPr>
        <w:t xml:space="preserve"> </w:t>
      </w:r>
      <w:r w:rsidRPr="00BA4513">
        <w:rPr>
          <w:rFonts w:ascii="Times New Roman" w:hAnsi="Times New Roman" w:cs="Times New Roman"/>
          <w:w w:val="105"/>
          <w:sz w:val="24"/>
          <w:szCs w:val="24"/>
        </w:rPr>
        <w:t>Optimal</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model</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channel</w:t>
      </w:r>
      <w:r w:rsidRPr="00BA4513">
        <w:rPr>
          <w:rFonts w:ascii="Times New Roman" w:hAnsi="Times New Roman" w:cs="Times New Roman"/>
          <w:i/>
          <w:iCs/>
          <w:w w:val="105"/>
          <w:sz w:val="24"/>
          <w:szCs w:val="24"/>
        </w:rPr>
        <w:t>.</w:t>
      </w:r>
      <w:r w:rsidRPr="00BA4513">
        <w:rPr>
          <w:rFonts w:ascii="Times New Roman" w:hAnsi="Times New Roman" w:cs="Times New Roman"/>
          <w:i/>
          <w:iCs/>
          <w:spacing w:val="-31"/>
          <w:w w:val="105"/>
          <w:sz w:val="24"/>
          <w:szCs w:val="24"/>
        </w:rPr>
        <w:t xml:space="preserve"> </w:t>
      </w:r>
      <w:r w:rsidRPr="00BA4513">
        <w:rPr>
          <w:rFonts w:ascii="Times New Roman" w:hAnsi="Times New Roman" w:cs="Times New Roman"/>
          <w:i/>
          <w:iCs/>
          <w:w w:val="105"/>
          <w:sz w:val="24"/>
          <w:szCs w:val="24"/>
        </w:rPr>
        <w:t>Paper</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Presented</w:t>
      </w:r>
      <w:r w:rsidRPr="00BA4513">
        <w:rPr>
          <w:rFonts w:ascii="Times New Roman" w:hAnsi="Times New Roman" w:cs="Times New Roman"/>
          <w:i/>
          <w:iCs/>
          <w:spacing w:val="-31"/>
          <w:w w:val="105"/>
          <w:sz w:val="24"/>
          <w:szCs w:val="24"/>
        </w:rPr>
        <w:t xml:space="preserve"> </w:t>
      </w:r>
      <w:r w:rsidRPr="00BA4513">
        <w:rPr>
          <w:rFonts w:ascii="Times New Roman" w:hAnsi="Times New Roman" w:cs="Times New Roman"/>
          <w:i/>
          <w:iCs/>
          <w:w w:val="105"/>
          <w:sz w:val="24"/>
          <w:szCs w:val="24"/>
        </w:rPr>
        <w:t>at</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31"/>
          <w:w w:val="105"/>
          <w:sz w:val="24"/>
          <w:szCs w:val="24"/>
        </w:rPr>
        <w:t xml:space="preserve"> </w:t>
      </w:r>
      <w:r w:rsidRPr="00BA4513">
        <w:rPr>
          <w:rFonts w:ascii="Times New Roman" w:hAnsi="Times New Roman" w:cs="Times New Roman"/>
          <w:i/>
          <w:iCs/>
          <w:w w:val="105"/>
          <w:sz w:val="24"/>
          <w:szCs w:val="24"/>
        </w:rPr>
        <w:t>CEPR/ESI</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12th</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Annual</w:t>
      </w:r>
      <w:r w:rsidRPr="00BA4513">
        <w:rPr>
          <w:rFonts w:ascii="Times New Roman" w:hAnsi="Times New Roman" w:cs="Times New Roman"/>
          <w:i/>
          <w:iCs/>
          <w:spacing w:val="-31"/>
          <w:w w:val="105"/>
          <w:sz w:val="24"/>
          <w:szCs w:val="24"/>
        </w:rPr>
        <w:t xml:space="preserve"> </w:t>
      </w:r>
      <w:r w:rsidRPr="00BA4513">
        <w:rPr>
          <w:rFonts w:ascii="Times New Roman" w:hAnsi="Times New Roman" w:cs="Times New Roman"/>
          <w:i/>
          <w:iCs/>
          <w:w w:val="105"/>
          <w:sz w:val="24"/>
          <w:szCs w:val="24"/>
        </w:rPr>
        <w:t>Conference</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Co-organised</w:t>
      </w:r>
      <w:r w:rsidRPr="00BA4513">
        <w:rPr>
          <w:rFonts w:ascii="Times New Roman" w:hAnsi="Times New Roman" w:cs="Times New Roman"/>
          <w:i/>
          <w:iCs/>
          <w:w w:val="104"/>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Hosted</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by</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September</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25–26.</w:t>
      </w:r>
    </w:p>
    <w:p w14:paraId="04708183"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 xml:space="preserve">De </w:t>
      </w:r>
      <w:proofErr w:type="spellStart"/>
      <w:r w:rsidRPr="00BA4513">
        <w:rPr>
          <w:rFonts w:ascii="Times New Roman" w:hAnsi="Times New Roman" w:cs="Times New Roman"/>
          <w:sz w:val="24"/>
          <w:szCs w:val="24"/>
          <w:lang w:val="es-AR"/>
        </w:rPr>
        <w:t>Grauwe</w:t>
      </w:r>
      <w:proofErr w:type="spellEnd"/>
      <w:r w:rsidRPr="00BA4513">
        <w:rPr>
          <w:rFonts w:ascii="Times New Roman" w:hAnsi="Times New Roman" w:cs="Times New Roman"/>
          <w:sz w:val="24"/>
          <w:szCs w:val="24"/>
          <w:lang w:val="es-AR"/>
        </w:rPr>
        <w:t xml:space="preserve">, P., </w:t>
      </w:r>
      <w:proofErr w:type="spellStart"/>
      <w:r w:rsidRPr="00BA4513">
        <w:rPr>
          <w:rFonts w:ascii="Times New Roman" w:hAnsi="Times New Roman" w:cs="Times New Roman"/>
          <w:sz w:val="24"/>
          <w:szCs w:val="24"/>
          <w:lang w:val="es-AR"/>
        </w:rPr>
        <w:t>Decupere</w:t>
      </w:r>
      <w:proofErr w:type="spellEnd"/>
      <w:r w:rsidRPr="00BA4513">
        <w:rPr>
          <w:rFonts w:ascii="Times New Roman" w:hAnsi="Times New Roman" w:cs="Times New Roman"/>
          <w:sz w:val="24"/>
          <w:szCs w:val="24"/>
          <w:lang w:val="es-AR"/>
        </w:rPr>
        <w:t xml:space="preserve">, D., (1992). </w:t>
      </w:r>
      <w:r w:rsidRPr="00BA4513">
        <w:rPr>
          <w:rFonts w:ascii="Times New Roman" w:hAnsi="Times New Roman" w:cs="Times New Roman"/>
          <w:sz w:val="24"/>
          <w:szCs w:val="24"/>
        </w:rPr>
        <w:t xml:space="preserve">Psychological barriers in the foreign exchange markets. Journal </w:t>
      </w:r>
      <w:proofErr w:type="spellStart"/>
      <w:r w:rsidRPr="00BA4513">
        <w:rPr>
          <w:rFonts w:ascii="Times New Roman" w:hAnsi="Times New Roman" w:cs="Times New Roman"/>
          <w:sz w:val="24"/>
          <w:szCs w:val="24"/>
        </w:rPr>
        <w:t>ofInternational</w:t>
      </w:r>
      <w:proofErr w:type="spellEnd"/>
      <w:r w:rsidRPr="00BA4513">
        <w:rPr>
          <w:rFonts w:ascii="Times New Roman" w:hAnsi="Times New Roman" w:cs="Times New Roman"/>
          <w:sz w:val="24"/>
          <w:szCs w:val="24"/>
        </w:rPr>
        <w:t xml:space="preserve"> and Comparative Economics 1, 87–101.</w:t>
      </w:r>
    </w:p>
    <w:p w14:paraId="6B2526E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06DC4">
        <w:rPr>
          <w:rFonts w:ascii="Times New Roman" w:hAnsi="Times New Roman" w:cs="Times New Roman"/>
          <w:w w:val="105"/>
          <w:sz w:val="24"/>
          <w:szCs w:val="24"/>
          <w:lang w:val="es-AR"/>
        </w:rPr>
        <w:t>De</w:t>
      </w:r>
      <w:r w:rsidRPr="00B06DC4">
        <w:rPr>
          <w:rFonts w:ascii="Times New Roman" w:hAnsi="Times New Roman" w:cs="Times New Roman"/>
          <w:spacing w:val="-30"/>
          <w:w w:val="105"/>
          <w:sz w:val="24"/>
          <w:szCs w:val="24"/>
          <w:lang w:val="es-AR"/>
        </w:rPr>
        <w:t xml:space="preserve"> </w:t>
      </w:r>
      <w:proofErr w:type="spellStart"/>
      <w:r w:rsidRPr="00B06DC4">
        <w:rPr>
          <w:rFonts w:ascii="Times New Roman" w:hAnsi="Times New Roman" w:cs="Times New Roman"/>
          <w:w w:val="105"/>
          <w:sz w:val="24"/>
          <w:szCs w:val="24"/>
          <w:lang w:val="es-AR"/>
        </w:rPr>
        <w:t>Nicolò</w:t>
      </w:r>
      <w:proofErr w:type="spellEnd"/>
      <w:r w:rsidRPr="00B06DC4">
        <w:rPr>
          <w:rFonts w:ascii="Times New Roman" w:hAnsi="Times New Roman" w:cs="Times New Roman"/>
          <w:w w:val="105"/>
          <w:sz w:val="24"/>
          <w:szCs w:val="24"/>
          <w:lang w:val="es-AR"/>
        </w:rPr>
        <w:t>,</w:t>
      </w:r>
      <w:r w:rsidRPr="00B06DC4">
        <w:rPr>
          <w:rFonts w:ascii="Times New Roman" w:hAnsi="Times New Roman" w:cs="Times New Roman"/>
          <w:spacing w:val="-29"/>
          <w:w w:val="105"/>
          <w:sz w:val="24"/>
          <w:szCs w:val="24"/>
          <w:lang w:val="es-AR"/>
        </w:rPr>
        <w:t xml:space="preserve"> </w:t>
      </w:r>
      <w:r w:rsidRPr="00B06DC4">
        <w:rPr>
          <w:rFonts w:ascii="Times New Roman" w:hAnsi="Times New Roman" w:cs="Times New Roman"/>
          <w:w w:val="105"/>
          <w:sz w:val="24"/>
          <w:szCs w:val="24"/>
          <w:lang w:val="es-AR"/>
        </w:rPr>
        <w:t>G.,</w:t>
      </w:r>
      <w:r w:rsidRPr="00B06DC4">
        <w:rPr>
          <w:rFonts w:ascii="Times New Roman" w:hAnsi="Times New Roman" w:cs="Times New Roman"/>
          <w:spacing w:val="-29"/>
          <w:w w:val="105"/>
          <w:sz w:val="24"/>
          <w:szCs w:val="24"/>
          <w:lang w:val="es-AR"/>
        </w:rPr>
        <w:t xml:space="preserve"> </w:t>
      </w:r>
      <w:proofErr w:type="spellStart"/>
      <w:r w:rsidRPr="00B06DC4">
        <w:rPr>
          <w:rFonts w:ascii="Times New Roman" w:hAnsi="Times New Roman" w:cs="Times New Roman"/>
          <w:w w:val="105"/>
          <w:sz w:val="24"/>
          <w:szCs w:val="24"/>
          <w:lang w:val="es-AR"/>
        </w:rPr>
        <w:t>Dell’Ariccia</w:t>
      </w:r>
      <w:proofErr w:type="spellEnd"/>
      <w:r w:rsidRPr="00B06DC4">
        <w:rPr>
          <w:rFonts w:ascii="Times New Roman" w:hAnsi="Times New Roman" w:cs="Times New Roman"/>
          <w:w w:val="105"/>
          <w:sz w:val="24"/>
          <w:szCs w:val="24"/>
          <w:lang w:val="es-AR"/>
        </w:rPr>
        <w:t>,</w:t>
      </w:r>
      <w:r w:rsidRPr="00B06DC4">
        <w:rPr>
          <w:rFonts w:ascii="Times New Roman" w:hAnsi="Times New Roman" w:cs="Times New Roman"/>
          <w:spacing w:val="-29"/>
          <w:w w:val="105"/>
          <w:sz w:val="24"/>
          <w:szCs w:val="24"/>
          <w:lang w:val="es-AR"/>
        </w:rPr>
        <w:t xml:space="preserve"> </w:t>
      </w:r>
      <w:r w:rsidRPr="00B06DC4">
        <w:rPr>
          <w:rFonts w:ascii="Times New Roman" w:hAnsi="Times New Roman" w:cs="Times New Roman"/>
          <w:w w:val="105"/>
          <w:sz w:val="24"/>
          <w:szCs w:val="24"/>
          <w:lang w:val="es-AR"/>
        </w:rPr>
        <w:t>G.,</w:t>
      </w:r>
      <w:r w:rsidRPr="00B06DC4">
        <w:rPr>
          <w:rFonts w:ascii="Times New Roman" w:hAnsi="Times New Roman" w:cs="Times New Roman"/>
          <w:spacing w:val="-29"/>
          <w:w w:val="105"/>
          <w:sz w:val="24"/>
          <w:szCs w:val="24"/>
          <w:lang w:val="es-AR"/>
        </w:rPr>
        <w:t xml:space="preserve"> </w:t>
      </w:r>
      <w:proofErr w:type="spellStart"/>
      <w:r w:rsidRPr="00B06DC4">
        <w:rPr>
          <w:rFonts w:ascii="Times New Roman" w:hAnsi="Times New Roman" w:cs="Times New Roman"/>
          <w:w w:val="105"/>
          <w:sz w:val="24"/>
          <w:szCs w:val="24"/>
          <w:lang w:val="es-AR"/>
        </w:rPr>
        <w:t>Laeven</w:t>
      </w:r>
      <w:proofErr w:type="spellEnd"/>
      <w:r w:rsidRPr="00B06DC4">
        <w:rPr>
          <w:rFonts w:ascii="Times New Roman" w:hAnsi="Times New Roman" w:cs="Times New Roman"/>
          <w:w w:val="105"/>
          <w:sz w:val="24"/>
          <w:szCs w:val="24"/>
          <w:lang w:val="es-AR"/>
        </w:rPr>
        <w:t>,</w:t>
      </w:r>
      <w:r w:rsidRPr="00B06DC4">
        <w:rPr>
          <w:rFonts w:ascii="Times New Roman" w:hAnsi="Times New Roman" w:cs="Times New Roman"/>
          <w:spacing w:val="-29"/>
          <w:w w:val="105"/>
          <w:sz w:val="24"/>
          <w:szCs w:val="24"/>
          <w:lang w:val="es-AR"/>
        </w:rPr>
        <w:t xml:space="preserve"> </w:t>
      </w:r>
      <w:r w:rsidRPr="00B06DC4">
        <w:rPr>
          <w:rFonts w:ascii="Times New Roman" w:hAnsi="Times New Roman" w:cs="Times New Roman"/>
          <w:w w:val="105"/>
          <w:sz w:val="24"/>
          <w:szCs w:val="24"/>
          <w:lang w:val="es-AR"/>
        </w:rPr>
        <w:t>L.,</w:t>
      </w:r>
      <w:r w:rsidRPr="00B06DC4">
        <w:rPr>
          <w:rFonts w:ascii="Times New Roman" w:hAnsi="Times New Roman" w:cs="Times New Roman"/>
          <w:spacing w:val="-30"/>
          <w:w w:val="105"/>
          <w:sz w:val="24"/>
          <w:szCs w:val="24"/>
          <w:lang w:val="es-AR"/>
        </w:rPr>
        <w:t xml:space="preserve"> </w:t>
      </w:r>
      <w:r w:rsidRPr="00B06DC4">
        <w:rPr>
          <w:rFonts w:ascii="Times New Roman" w:hAnsi="Times New Roman" w:cs="Times New Roman"/>
          <w:w w:val="105"/>
          <w:sz w:val="24"/>
          <w:szCs w:val="24"/>
          <w:lang w:val="es-AR"/>
        </w:rPr>
        <w:t>Valencia,</w:t>
      </w:r>
      <w:r w:rsidRPr="00B06DC4">
        <w:rPr>
          <w:rFonts w:ascii="Times New Roman" w:hAnsi="Times New Roman" w:cs="Times New Roman"/>
          <w:spacing w:val="-29"/>
          <w:w w:val="105"/>
          <w:sz w:val="24"/>
          <w:szCs w:val="24"/>
          <w:lang w:val="es-AR"/>
        </w:rPr>
        <w:t xml:space="preserve"> </w:t>
      </w:r>
      <w:r w:rsidRPr="00B06DC4">
        <w:rPr>
          <w:rFonts w:ascii="Times New Roman" w:hAnsi="Times New Roman" w:cs="Times New Roman"/>
          <w:w w:val="105"/>
          <w:sz w:val="24"/>
          <w:szCs w:val="24"/>
          <w:lang w:val="es-AR"/>
        </w:rPr>
        <w:t>F.,</w:t>
      </w:r>
      <w:r w:rsidRPr="00B06DC4">
        <w:rPr>
          <w:rFonts w:ascii="Times New Roman" w:hAnsi="Times New Roman" w:cs="Times New Roman"/>
          <w:spacing w:val="-29"/>
          <w:w w:val="105"/>
          <w:sz w:val="24"/>
          <w:szCs w:val="24"/>
          <w:lang w:val="es-AR"/>
        </w:rPr>
        <w:t xml:space="preserve"> </w:t>
      </w:r>
      <w:r w:rsidRPr="00B06DC4">
        <w:rPr>
          <w:rFonts w:ascii="Times New Roman" w:hAnsi="Times New Roman" w:cs="Times New Roman"/>
          <w:w w:val="105"/>
          <w:sz w:val="24"/>
          <w:szCs w:val="24"/>
          <w:lang w:val="es-AR"/>
        </w:rPr>
        <w:t>2010.</w:t>
      </w:r>
      <w:r w:rsidRPr="00B06DC4">
        <w:rPr>
          <w:rFonts w:ascii="Times New Roman" w:hAnsi="Times New Roman" w:cs="Times New Roman"/>
          <w:spacing w:val="-29"/>
          <w:w w:val="105"/>
          <w:sz w:val="24"/>
          <w:szCs w:val="24"/>
          <w:lang w:val="es-AR"/>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z w:val="24"/>
          <w:szCs w:val="24"/>
        </w:rPr>
        <w:t xml:space="preserve"> </w:t>
      </w:r>
      <w:r w:rsidRPr="00BA4513">
        <w:rPr>
          <w:rFonts w:ascii="Times New Roman" w:hAnsi="Times New Roman" w:cs="Times New Roman"/>
          <w:w w:val="105"/>
          <w:sz w:val="24"/>
          <w:szCs w:val="24"/>
        </w:rPr>
        <w:t>risk-taking.</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i/>
          <w:iCs/>
          <w:w w:val="105"/>
          <w:sz w:val="24"/>
          <w:szCs w:val="24"/>
        </w:rPr>
        <w:t>IMF</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Working</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Paper</w:t>
      </w:r>
      <w:r w:rsidRPr="00BA4513">
        <w:rPr>
          <w:rFonts w:ascii="Times New Roman" w:hAnsi="Times New Roman" w:cs="Times New Roman"/>
          <w:w w:val="105"/>
          <w:sz w:val="24"/>
          <w:szCs w:val="24"/>
        </w:rPr>
        <w:t>.</w:t>
      </w:r>
    </w:p>
    <w:p w14:paraId="0B523B1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Decamps,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Rochet,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Roger,</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three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pillars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optimizing</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mix.</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Intermediation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13,</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132–155.</w:t>
      </w:r>
    </w:p>
    <w:p w14:paraId="6CB2C796"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Dell’Ariccia</w:t>
      </w:r>
      <w:proofErr w:type="spellEnd"/>
      <w:r w:rsidRPr="00BA4513">
        <w:rPr>
          <w:rFonts w:ascii="Times New Roman" w:hAnsi="Times New Roman" w:cs="Times New Roman"/>
          <w:sz w:val="24"/>
          <w:szCs w:val="24"/>
        </w:rPr>
        <w:t xml:space="preserve">, G., D. </w:t>
      </w:r>
      <w:proofErr w:type="spellStart"/>
      <w:r w:rsidRPr="00BA4513">
        <w:rPr>
          <w:rFonts w:ascii="Times New Roman" w:hAnsi="Times New Roman" w:cs="Times New Roman"/>
          <w:sz w:val="24"/>
          <w:szCs w:val="24"/>
        </w:rPr>
        <w:t>Igan</w:t>
      </w:r>
      <w:proofErr w:type="spellEnd"/>
      <w:r w:rsidRPr="00BA4513">
        <w:rPr>
          <w:rFonts w:ascii="Times New Roman" w:hAnsi="Times New Roman" w:cs="Times New Roman"/>
          <w:sz w:val="24"/>
          <w:szCs w:val="24"/>
        </w:rPr>
        <w:t xml:space="preserve">, and L. </w:t>
      </w:r>
      <w:proofErr w:type="spellStart"/>
      <w:r w:rsidRPr="00BA4513">
        <w:rPr>
          <w:rFonts w:ascii="Times New Roman" w:hAnsi="Times New Roman" w:cs="Times New Roman"/>
          <w:sz w:val="24"/>
          <w:szCs w:val="24"/>
        </w:rPr>
        <w:t>Laeven</w:t>
      </w:r>
      <w:proofErr w:type="spellEnd"/>
      <w:r w:rsidRPr="00BA4513">
        <w:rPr>
          <w:rFonts w:ascii="Times New Roman" w:hAnsi="Times New Roman" w:cs="Times New Roman"/>
          <w:sz w:val="24"/>
          <w:szCs w:val="24"/>
        </w:rPr>
        <w:t xml:space="preserve">, 2008, “Credit Booms and Lending Standards: Evidence from the Subprime Mortgage Market, (unpublished; Washington: International Monetary Fund) </w:t>
      </w:r>
    </w:p>
    <w:p w14:paraId="219FAF9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Dell’Ariccia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1"/>
          <w:sz w:val="24"/>
          <w:szCs w:val="24"/>
          <w:lang w:val="es-AR"/>
        </w:rPr>
        <w:t xml:space="preserve"> </w:t>
      </w:r>
      <w:r w:rsidRPr="00BA4513">
        <w:rPr>
          <w:rFonts w:ascii="Times New Roman" w:hAnsi="Times New Roman" w:cs="Times New Roman"/>
          <w:sz w:val="24"/>
          <w:szCs w:val="24"/>
          <w:lang w:val="es-AR"/>
        </w:rPr>
        <w:t>G.,</w:t>
      </w:r>
      <w:r w:rsidRPr="00BA4513">
        <w:rPr>
          <w:rFonts w:ascii="Times New Roman" w:hAnsi="Times New Roman" w:cs="Times New Roman"/>
          <w:spacing w:val="12"/>
          <w:sz w:val="24"/>
          <w:szCs w:val="24"/>
          <w:lang w:val="es-AR"/>
        </w:rPr>
        <w:t xml:space="preserve"> </w:t>
      </w:r>
      <w:proofErr w:type="spellStart"/>
      <w:r w:rsidRPr="00BA4513">
        <w:rPr>
          <w:rFonts w:ascii="Times New Roman" w:hAnsi="Times New Roman" w:cs="Times New Roman"/>
          <w:sz w:val="24"/>
          <w:szCs w:val="24"/>
          <w:lang w:val="es-AR"/>
        </w:rPr>
        <w:t>Laeven</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1"/>
          <w:sz w:val="24"/>
          <w:szCs w:val="24"/>
          <w:lang w:val="es-AR"/>
        </w:rPr>
        <w:t xml:space="preserve"> </w:t>
      </w:r>
      <w:r w:rsidRPr="00BA4513">
        <w:rPr>
          <w:rFonts w:ascii="Times New Roman" w:hAnsi="Times New Roman" w:cs="Times New Roman"/>
          <w:sz w:val="24"/>
          <w:szCs w:val="24"/>
          <w:lang w:val="es-AR"/>
        </w:rPr>
        <w:t>L.,</w:t>
      </w:r>
      <w:r w:rsidRPr="00BA4513">
        <w:rPr>
          <w:rFonts w:ascii="Times New Roman" w:hAnsi="Times New Roman" w:cs="Times New Roman"/>
          <w:spacing w:val="12"/>
          <w:sz w:val="24"/>
          <w:szCs w:val="24"/>
          <w:lang w:val="es-AR"/>
        </w:rPr>
        <w:t xml:space="preserve"> </w:t>
      </w:r>
      <w:proofErr w:type="spellStart"/>
      <w:r w:rsidRPr="00BA4513">
        <w:rPr>
          <w:rFonts w:ascii="Times New Roman" w:hAnsi="Times New Roman" w:cs="Times New Roman"/>
          <w:sz w:val="24"/>
          <w:szCs w:val="24"/>
          <w:lang w:val="es-AR"/>
        </w:rPr>
        <w:t>Marquez</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2"/>
          <w:sz w:val="24"/>
          <w:szCs w:val="24"/>
          <w:lang w:val="es-AR"/>
        </w:rPr>
        <w:t xml:space="preserve"> </w:t>
      </w:r>
      <w:r w:rsidRPr="00BA4513">
        <w:rPr>
          <w:rFonts w:ascii="Times New Roman" w:hAnsi="Times New Roman" w:cs="Times New Roman"/>
          <w:sz w:val="24"/>
          <w:szCs w:val="24"/>
          <w:lang w:val="es-AR"/>
        </w:rPr>
        <w:t>R.,</w:t>
      </w:r>
      <w:r w:rsidRPr="00BA4513">
        <w:rPr>
          <w:rFonts w:ascii="Times New Roman" w:hAnsi="Times New Roman" w:cs="Times New Roman"/>
          <w:spacing w:val="11"/>
          <w:sz w:val="24"/>
          <w:szCs w:val="24"/>
          <w:lang w:val="es-AR"/>
        </w:rPr>
        <w:t xml:space="preserve"> </w:t>
      </w:r>
      <w:r w:rsidRPr="00BA4513">
        <w:rPr>
          <w:rFonts w:ascii="Times New Roman" w:hAnsi="Times New Roman" w:cs="Times New Roman"/>
          <w:sz w:val="24"/>
          <w:szCs w:val="24"/>
          <w:lang w:val="es-AR"/>
        </w:rPr>
        <w:t>2011.</w:t>
      </w:r>
      <w:r w:rsidRPr="00BA4513">
        <w:rPr>
          <w:rFonts w:ascii="Times New Roman" w:hAnsi="Times New Roman" w:cs="Times New Roman"/>
          <w:spacing w:val="12"/>
          <w:sz w:val="24"/>
          <w:szCs w:val="24"/>
          <w:lang w:val="es-AR"/>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leverage,</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bank risk-taking.</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Paper.</w:t>
      </w:r>
    </w:p>
    <w:p w14:paraId="0620157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Dell’Ariccia</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Marquez,</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booms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standards.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Journal</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Finance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LXI,</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2511–2546.</w:t>
      </w:r>
    </w:p>
    <w:p w14:paraId="17E529E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lang w:val="es-AR"/>
        </w:rPr>
        <w:t>Dewachter</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4"/>
          <w:w w:val="105"/>
          <w:sz w:val="24"/>
          <w:szCs w:val="24"/>
          <w:lang w:val="es-AR"/>
        </w:rPr>
        <w:t xml:space="preserve"> </w:t>
      </w:r>
      <w:r w:rsidRPr="00BA4513">
        <w:rPr>
          <w:rFonts w:ascii="Times New Roman" w:hAnsi="Times New Roman" w:cs="Times New Roman"/>
          <w:w w:val="105"/>
          <w:sz w:val="24"/>
          <w:szCs w:val="24"/>
          <w:lang w:val="es-AR"/>
        </w:rPr>
        <w:t>H.,</w:t>
      </w:r>
      <w:r w:rsidRPr="00BA4513">
        <w:rPr>
          <w:rFonts w:ascii="Times New Roman" w:hAnsi="Times New Roman" w:cs="Times New Roman"/>
          <w:spacing w:val="5"/>
          <w:w w:val="105"/>
          <w:sz w:val="24"/>
          <w:szCs w:val="24"/>
          <w:lang w:val="es-AR"/>
        </w:rPr>
        <w:t xml:space="preserve"> </w:t>
      </w:r>
      <w:proofErr w:type="spellStart"/>
      <w:r w:rsidRPr="00BA4513">
        <w:rPr>
          <w:rFonts w:ascii="Times New Roman" w:hAnsi="Times New Roman" w:cs="Times New Roman"/>
          <w:w w:val="105"/>
          <w:sz w:val="24"/>
          <w:szCs w:val="24"/>
          <w:lang w:val="es-AR"/>
        </w:rPr>
        <w:t>Lyrio</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5"/>
          <w:w w:val="105"/>
          <w:sz w:val="24"/>
          <w:szCs w:val="24"/>
          <w:lang w:val="es-AR"/>
        </w:rPr>
        <w:t xml:space="preserve"> </w:t>
      </w:r>
      <w:r w:rsidRPr="00BA4513">
        <w:rPr>
          <w:rFonts w:ascii="Times New Roman" w:hAnsi="Times New Roman" w:cs="Times New Roman"/>
          <w:w w:val="105"/>
          <w:sz w:val="24"/>
          <w:szCs w:val="24"/>
          <w:lang w:val="es-AR"/>
        </w:rPr>
        <w:t>M.,</w:t>
      </w:r>
      <w:r w:rsidRPr="00BA4513">
        <w:rPr>
          <w:rFonts w:ascii="Times New Roman" w:hAnsi="Times New Roman" w:cs="Times New Roman"/>
          <w:spacing w:val="5"/>
          <w:w w:val="105"/>
          <w:sz w:val="24"/>
          <w:szCs w:val="24"/>
          <w:lang w:val="es-AR"/>
        </w:rPr>
        <w:t xml:space="preserve"> </w:t>
      </w:r>
      <w:proofErr w:type="spellStart"/>
      <w:r w:rsidRPr="00BA4513">
        <w:rPr>
          <w:rFonts w:ascii="Times New Roman" w:hAnsi="Times New Roman" w:cs="Times New Roman"/>
          <w:w w:val="105"/>
          <w:sz w:val="24"/>
          <w:szCs w:val="24"/>
          <w:lang w:val="es-AR"/>
        </w:rPr>
        <w:t>Maes</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5"/>
          <w:w w:val="105"/>
          <w:sz w:val="24"/>
          <w:szCs w:val="24"/>
          <w:lang w:val="es-AR"/>
        </w:rPr>
        <w:t xml:space="preserve"> </w:t>
      </w:r>
      <w:r w:rsidRPr="00BA4513">
        <w:rPr>
          <w:rFonts w:ascii="Times New Roman" w:hAnsi="Times New Roman" w:cs="Times New Roman"/>
          <w:w w:val="105"/>
          <w:sz w:val="24"/>
          <w:szCs w:val="24"/>
          <w:lang w:val="es-AR"/>
        </w:rPr>
        <w:t>K.,</w:t>
      </w:r>
      <w:r w:rsidRPr="00BA4513">
        <w:rPr>
          <w:rFonts w:ascii="Times New Roman" w:hAnsi="Times New Roman" w:cs="Times New Roman"/>
          <w:spacing w:val="4"/>
          <w:w w:val="105"/>
          <w:sz w:val="24"/>
          <w:szCs w:val="24"/>
          <w:lang w:val="es-AR"/>
        </w:rPr>
        <w:t xml:space="preserve"> </w:t>
      </w:r>
      <w:r w:rsidRPr="00BA4513">
        <w:rPr>
          <w:rFonts w:ascii="Times New Roman" w:hAnsi="Times New Roman" w:cs="Times New Roman"/>
          <w:w w:val="105"/>
          <w:sz w:val="24"/>
          <w:szCs w:val="24"/>
          <w:lang w:val="es-AR"/>
        </w:rPr>
        <w:t>2006.</w:t>
      </w:r>
      <w:r w:rsidRPr="00BA4513">
        <w:rPr>
          <w:rFonts w:ascii="Times New Roman" w:hAnsi="Times New Roman" w:cs="Times New Roman"/>
          <w:spacing w:val="5"/>
          <w:w w:val="105"/>
          <w:sz w:val="24"/>
          <w:szCs w:val="24"/>
          <w:lang w:val="es-AR"/>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joint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model</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term</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structure</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rates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macroeconomy</w:t>
      </w:r>
      <w:r w:rsidRPr="00BA4513">
        <w:rPr>
          <w:rFonts w:ascii="Times New Roman" w:hAnsi="Times New Roman" w:cs="Times New Roman"/>
          <w:i/>
          <w:iCs/>
          <w:w w:val="105"/>
          <w:sz w:val="24"/>
          <w:szCs w:val="24"/>
        </w:rPr>
        <w:t>.</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Applied</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Econometrics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21,</w:t>
      </w:r>
      <w:r w:rsidRPr="00BA4513">
        <w:rPr>
          <w:rFonts w:ascii="Times New Roman" w:hAnsi="Times New Roman" w:cs="Times New Roman"/>
          <w:w w:val="98"/>
          <w:sz w:val="24"/>
          <w:szCs w:val="24"/>
        </w:rPr>
        <w:t xml:space="preserve"> </w:t>
      </w:r>
      <w:r w:rsidRPr="00BA4513">
        <w:rPr>
          <w:rFonts w:ascii="Times New Roman" w:hAnsi="Times New Roman" w:cs="Times New Roman"/>
          <w:w w:val="105"/>
          <w:sz w:val="24"/>
          <w:szCs w:val="24"/>
        </w:rPr>
        <w:t>439–462.</w:t>
      </w:r>
    </w:p>
    <w:p w14:paraId="4D84BC43"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bCs/>
          <w:sz w:val="24"/>
          <w:szCs w:val="24"/>
        </w:rPr>
        <w:t xml:space="preserve">Dhesi G, Emambocus MAW, Shakeel MB. (2011). “Semi-Closed Simulated Stock Market: An Investigation of its Components”, </w:t>
      </w:r>
      <w:r w:rsidRPr="00BA4513">
        <w:rPr>
          <w:rFonts w:ascii="Times New Roman" w:hAnsi="Times New Roman" w:cs="Times New Roman"/>
          <w:bCs/>
          <w:i/>
          <w:sz w:val="24"/>
          <w:szCs w:val="24"/>
        </w:rPr>
        <w:t xml:space="preserve">International Finance and Banking Society </w:t>
      </w:r>
      <w:r w:rsidRPr="00BA4513">
        <w:rPr>
          <w:rFonts w:ascii="Times New Roman" w:hAnsi="Times New Roman" w:cs="Times New Roman"/>
          <w:bCs/>
          <w:sz w:val="24"/>
          <w:szCs w:val="24"/>
        </w:rPr>
        <w:t>(2011).</w:t>
      </w:r>
    </w:p>
    <w:p w14:paraId="78372529" w14:textId="77777777" w:rsidR="00BA4513" w:rsidRPr="00BA4513" w:rsidRDefault="00BA4513" w:rsidP="005A4160">
      <w:pPr>
        <w:pStyle w:val="NoSpacing"/>
        <w:numPr>
          <w:ilvl w:val="0"/>
          <w:numId w:val="13"/>
        </w:numPr>
        <w:jc w:val="both"/>
        <w:rPr>
          <w:rFonts w:ascii="Times New Roman" w:hAnsi="Times New Roman" w:cs="Times New Roman"/>
          <w:bCs/>
          <w:sz w:val="24"/>
          <w:szCs w:val="24"/>
        </w:rPr>
      </w:pPr>
      <w:r w:rsidRPr="00BA4513">
        <w:rPr>
          <w:rFonts w:ascii="Times New Roman" w:hAnsi="Times New Roman" w:cs="Times New Roman"/>
          <w:sz w:val="24"/>
          <w:szCs w:val="24"/>
        </w:rPr>
        <w:t>Dhesi G, Shakeel M, Xiao L. Modified Brownian Motion Approach to Modelling Returns Distribution</w:t>
      </w:r>
      <w:r w:rsidRPr="00BA4513">
        <w:rPr>
          <w:rFonts w:ascii="Times New Roman" w:hAnsi="Times New Roman" w:cs="Times New Roman"/>
          <w:b/>
          <w:bCs/>
          <w:sz w:val="24"/>
          <w:szCs w:val="24"/>
        </w:rPr>
        <w:t xml:space="preserve">, </w:t>
      </w:r>
      <w:r w:rsidRPr="00BA4513">
        <w:rPr>
          <w:rFonts w:ascii="Times New Roman" w:hAnsi="Times New Roman" w:cs="Times New Roman"/>
          <w:i/>
          <w:iCs/>
          <w:sz w:val="24"/>
          <w:szCs w:val="24"/>
        </w:rPr>
        <w:t>Wilmott Magazine</w:t>
      </w:r>
      <w:r w:rsidRPr="00BA4513">
        <w:rPr>
          <w:rFonts w:ascii="Times New Roman" w:hAnsi="Times New Roman" w:cs="Times New Roman"/>
          <w:sz w:val="24"/>
          <w:szCs w:val="24"/>
        </w:rPr>
        <w:t xml:space="preserve"> (March,2016) (can also be found on </w:t>
      </w:r>
      <w:proofErr w:type="spellStart"/>
      <w:r w:rsidRPr="00BA4513">
        <w:rPr>
          <w:rFonts w:ascii="Times New Roman" w:hAnsi="Times New Roman" w:cs="Times New Roman"/>
          <w:sz w:val="24"/>
          <w:szCs w:val="24"/>
        </w:rPr>
        <w:t>arxiv</w:t>
      </w:r>
      <w:proofErr w:type="spellEnd"/>
      <w:r w:rsidRPr="00BA4513">
        <w:rPr>
          <w:rFonts w:ascii="Times New Roman" w:hAnsi="Times New Roman" w:cs="Times New Roman"/>
          <w:sz w:val="24"/>
          <w:szCs w:val="24"/>
        </w:rPr>
        <w:t xml:space="preserve"> 1507.02203.</w:t>
      </w:r>
    </w:p>
    <w:p w14:paraId="76999964" w14:textId="77777777" w:rsidR="00BA4513" w:rsidRPr="00BA4513" w:rsidRDefault="00BA4513" w:rsidP="005A4160">
      <w:pPr>
        <w:pStyle w:val="NoSpacing"/>
        <w:numPr>
          <w:ilvl w:val="0"/>
          <w:numId w:val="13"/>
        </w:numPr>
        <w:jc w:val="both"/>
        <w:rPr>
          <w:rFonts w:ascii="Times New Roman" w:hAnsi="Times New Roman" w:cs="Times New Roman"/>
          <w:bCs/>
          <w:sz w:val="24"/>
          <w:szCs w:val="24"/>
        </w:rPr>
      </w:pPr>
      <w:r w:rsidRPr="00BA4513">
        <w:rPr>
          <w:rFonts w:ascii="Times New Roman" w:hAnsi="Times New Roman" w:cs="Times New Roman"/>
          <w:color w:val="000000"/>
          <w:sz w:val="24"/>
          <w:szCs w:val="24"/>
          <w:shd w:val="clear" w:color="auto" w:fill="FFFFFF"/>
        </w:rPr>
        <w:t xml:space="preserve">Dhesi, G., Shakeel, B. and </w:t>
      </w:r>
      <w:proofErr w:type="spellStart"/>
      <w:r w:rsidRPr="00BA4513">
        <w:rPr>
          <w:rFonts w:ascii="Times New Roman" w:hAnsi="Times New Roman" w:cs="Times New Roman"/>
          <w:color w:val="000000"/>
          <w:sz w:val="24"/>
          <w:szCs w:val="24"/>
          <w:shd w:val="clear" w:color="auto" w:fill="FFFFFF"/>
        </w:rPr>
        <w:t>Ausloos</w:t>
      </w:r>
      <w:proofErr w:type="spellEnd"/>
      <w:r w:rsidRPr="00BA4513">
        <w:rPr>
          <w:rFonts w:ascii="Times New Roman" w:hAnsi="Times New Roman" w:cs="Times New Roman"/>
          <w:color w:val="000000"/>
          <w:sz w:val="24"/>
          <w:szCs w:val="24"/>
          <w:shd w:val="clear" w:color="auto" w:fill="FFFFFF"/>
        </w:rPr>
        <w:t>, M., 2019. Modelling and forecasting the kurtosis and returns distributions of financial markets: irrational fractional Brownian motion model approach. </w:t>
      </w:r>
      <w:r w:rsidRPr="00BA4513">
        <w:rPr>
          <w:rFonts w:ascii="Times New Roman" w:hAnsi="Times New Roman" w:cs="Times New Roman"/>
          <w:i/>
          <w:iCs/>
          <w:color w:val="000000"/>
          <w:sz w:val="24"/>
          <w:szCs w:val="24"/>
          <w:shd w:val="clear" w:color="auto" w:fill="FFFFFF"/>
        </w:rPr>
        <w:t>Annals of Operations Research</w:t>
      </w:r>
      <w:r w:rsidRPr="00BA4513">
        <w:rPr>
          <w:rFonts w:ascii="Times New Roman" w:hAnsi="Times New Roman" w:cs="Times New Roman"/>
          <w:color w:val="000000"/>
          <w:sz w:val="24"/>
          <w:szCs w:val="24"/>
          <w:shd w:val="clear" w:color="auto" w:fill="FFFFFF"/>
        </w:rPr>
        <w:t>, 299(1-2), pp.1397-1410.</w:t>
      </w:r>
    </w:p>
    <w:p w14:paraId="7D9E892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Diamond,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1"/>
          <w:w w:val="105"/>
          <w:sz w:val="24"/>
          <w:szCs w:val="24"/>
        </w:rPr>
        <w:t xml:space="preserve"> </w:t>
      </w:r>
      <w:proofErr w:type="spellStart"/>
      <w:r w:rsidRPr="00BA4513">
        <w:rPr>
          <w:rFonts w:ascii="Times New Roman" w:hAnsi="Times New Roman" w:cs="Times New Roman"/>
          <w:w w:val="105"/>
          <w:sz w:val="24"/>
          <w:szCs w:val="24"/>
        </w:rPr>
        <w:t>Rajan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R.,</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theory</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i/>
          <w:iCs/>
          <w:w w:val="105"/>
          <w:sz w:val="24"/>
          <w:szCs w:val="24"/>
        </w:rPr>
        <w:t>.</w:t>
      </w:r>
      <w:r w:rsidRPr="00BA4513">
        <w:rPr>
          <w:rFonts w:ascii="Times New Roman" w:hAnsi="Times New Roman" w:cs="Times New Roman"/>
          <w:i/>
          <w:iCs/>
          <w:spacing w:val="-1"/>
          <w:w w:val="105"/>
          <w:sz w:val="24"/>
          <w:szCs w:val="24"/>
        </w:rPr>
        <w:t xml:space="preserve"> </w:t>
      </w:r>
      <w:r w:rsidRPr="00BA4513">
        <w:rPr>
          <w:rFonts w:ascii="Times New Roman" w:hAnsi="Times New Roman" w:cs="Times New Roman"/>
          <w:i/>
          <w:iCs/>
          <w:w w:val="105"/>
          <w:sz w:val="24"/>
          <w:szCs w:val="24"/>
        </w:rPr>
        <w:t>American</w:t>
      </w:r>
      <w:r w:rsidRPr="00BA4513">
        <w:rPr>
          <w:rFonts w:ascii="Times New Roman" w:hAnsi="Times New Roman" w:cs="Times New Roman"/>
          <w:i/>
          <w:iCs/>
          <w:spacing w:val="-2"/>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96,</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30–53.</w:t>
      </w:r>
    </w:p>
    <w:p w14:paraId="45FFEEA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Diamond,</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23"/>
          <w:sz w:val="24"/>
          <w:szCs w:val="24"/>
        </w:rPr>
        <w:t xml:space="preserve"> </w:t>
      </w:r>
      <w:proofErr w:type="spellStart"/>
      <w:r w:rsidRPr="00BA4513">
        <w:rPr>
          <w:rFonts w:ascii="Times New Roman" w:hAnsi="Times New Roman" w:cs="Times New Roman"/>
          <w:sz w:val="24"/>
          <w:szCs w:val="24"/>
        </w:rPr>
        <w:t>Rajan</w:t>
      </w:r>
      <w:proofErr w:type="spellEnd"/>
      <w:r w:rsidRPr="00BA4513">
        <w:rPr>
          <w:rFonts w:ascii="Times New Roman" w:hAnsi="Times New Roman" w:cs="Times New Roman"/>
          <w:sz w:val="24"/>
          <w:szCs w:val="24"/>
        </w:rPr>
        <w:t>,</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Illiquidity</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interest</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rate</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23"/>
          <w:sz w:val="24"/>
          <w:szCs w:val="24"/>
        </w:rPr>
        <w:t xml:space="preserve"> </w:t>
      </w:r>
      <w:r w:rsidRPr="00BA4513">
        <w:rPr>
          <w:rFonts w:ascii="Times New Roman" w:hAnsi="Times New Roman" w:cs="Times New Roman"/>
          <w:i/>
          <w:iCs/>
          <w:sz w:val="24"/>
          <w:szCs w:val="24"/>
        </w:rPr>
        <w:t>NBER</w:t>
      </w:r>
      <w:r w:rsidRPr="00BA4513">
        <w:rPr>
          <w:rFonts w:ascii="Times New Roman" w:hAnsi="Times New Roman" w:cs="Times New Roman"/>
          <w:i/>
          <w:iCs/>
          <w:spacing w:val="23"/>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w w:val="108"/>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15197.</w:t>
      </w:r>
    </w:p>
    <w:p w14:paraId="0672C4DA"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lastRenderedPageBreak/>
        <w:t>Diekmann</w:t>
      </w:r>
      <w:proofErr w:type="spellEnd"/>
      <w:r w:rsidRPr="00BA4513">
        <w:rPr>
          <w:rFonts w:ascii="Times New Roman" w:hAnsi="Times New Roman" w:cs="Times New Roman"/>
          <w:sz w:val="24"/>
          <w:szCs w:val="24"/>
        </w:rPr>
        <w:t xml:space="preserve">, A., 2007. Not the first digit! using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to detect fraudulent scientific data. </w:t>
      </w:r>
      <w:r w:rsidRPr="00BA4513">
        <w:rPr>
          <w:rFonts w:ascii="Times New Roman" w:hAnsi="Times New Roman" w:cs="Times New Roman"/>
          <w:i/>
          <w:iCs/>
          <w:sz w:val="24"/>
          <w:szCs w:val="24"/>
        </w:rPr>
        <w:t>J. Appl. Stat</w:t>
      </w:r>
      <w:r w:rsidRPr="00BA4513">
        <w:rPr>
          <w:rFonts w:ascii="Times New Roman" w:hAnsi="Times New Roman" w:cs="Times New Roman"/>
          <w:sz w:val="24"/>
          <w:szCs w:val="24"/>
        </w:rPr>
        <w:t xml:space="preserve">. 34 (3), 321–329. </w:t>
      </w:r>
    </w:p>
    <w:p w14:paraId="7BF6864E"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Ding, Z., Granger, C, Engle, R., (1993). A long memory property of stock market returns and a new model. Journal of Empirical Finance 1, 83-106.</w:t>
      </w:r>
    </w:p>
    <w:p w14:paraId="3B8B577F"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Ding, Z., Granger, C. W. J., (1996).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volatility persistence of speculative returns: a new approach, Journal of Econometrics, 73, 185-215.</w:t>
      </w:r>
    </w:p>
    <w:p w14:paraId="6BA8720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Disyatat</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2011.</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channel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revisited.</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Money</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Credit</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w w:val="102"/>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43,</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711–734.</w:t>
      </w:r>
    </w:p>
    <w:p w14:paraId="382BA760"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Donaldson, G.R., (1990).  International Evidence on Psychological Barriers in Asset Prices and the Efficient Market Hypothesis. Financial Research Centre Memorandum No. 116. Princeton University.</w:t>
      </w:r>
    </w:p>
    <w:p w14:paraId="7DC0DB1F"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Donaldson, G.R., Kim, H.Y., (1993).  Price barriers in the Dow Jones Industrial Average.  Journal of Financial and Quantitative Analysis 28, 313–330.</w:t>
      </w:r>
    </w:p>
    <w:p w14:paraId="6AA33EE0"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Dornbusch, R., Y.C. Park, and S. </w:t>
      </w:r>
      <w:proofErr w:type="spellStart"/>
      <w:r w:rsidRPr="00BA4513">
        <w:rPr>
          <w:rFonts w:ascii="Times New Roman" w:hAnsi="Times New Roman" w:cs="Times New Roman"/>
          <w:sz w:val="24"/>
          <w:szCs w:val="24"/>
        </w:rPr>
        <w:t>Claessens</w:t>
      </w:r>
      <w:proofErr w:type="spellEnd"/>
      <w:r w:rsidRPr="00BA4513">
        <w:rPr>
          <w:rFonts w:ascii="Times New Roman" w:hAnsi="Times New Roman" w:cs="Times New Roman"/>
          <w:sz w:val="24"/>
          <w:szCs w:val="24"/>
        </w:rPr>
        <w:t xml:space="preserve">, 2000, “Contagion: How it Spreads and How it can be Stopped,” World Bank Research Observer, 15, pp. 177–97. </w:t>
      </w:r>
    </w:p>
    <w:p w14:paraId="13B0191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474477">
        <w:rPr>
          <w:rFonts w:ascii="Times New Roman" w:hAnsi="Times New Roman" w:cs="Times New Roman"/>
          <w:sz w:val="24"/>
          <w:szCs w:val="24"/>
          <w:lang w:val="es-AR"/>
        </w:rPr>
        <w:t>Drehmann</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M.,</w:t>
      </w:r>
      <w:r w:rsidRPr="00474477">
        <w:rPr>
          <w:rFonts w:ascii="Times New Roman" w:hAnsi="Times New Roman" w:cs="Times New Roman"/>
          <w:spacing w:val="-1"/>
          <w:sz w:val="24"/>
          <w:szCs w:val="24"/>
          <w:lang w:val="es-AR"/>
        </w:rPr>
        <w:t xml:space="preserve"> </w:t>
      </w:r>
      <w:proofErr w:type="spellStart"/>
      <w:r w:rsidRPr="00474477">
        <w:rPr>
          <w:rFonts w:ascii="Times New Roman" w:hAnsi="Times New Roman" w:cs="Times New Roman"/>
          <w:sz w:val="24"/>
          <w:szCs w:val="24"/>
          <w:lang w:val="es-AR"/>
        </w:rPr>
        <w:t>Borio</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C,</w:t>
      </w:r>
      <w:r w:rsidRPr="00474477">
        <w:rPr>
          <w:rFonts w:ascii="Times New Roman" w:hAnsi="Times New Roman" w:cs="Times New Roman"/>
          <w:spacing w:val="-1"/>
          <w:sz w:val="24"/>
          <w:szCs w:val="24"/>
          <w:lang w:val="es-AR"/>
        </w:rPr>
        <w:t xml:space="preserve"> </w:t>
      </w:r>
      <w:proofErr w:type="spellStart"/>
      <w:r w:rsidRPr="00474477">
        <w:rPr>
          <w:rFonts w:ascii="Times New Roman" w:hAnsi="Times New Roman" w:cs="Times New Roman"/>
          <w:sz w:val="24"/>
          <w:szCs w:val="24"/>
          <w:lang w:val="es-AR"/>
        </w:rPr>
        <w:t>Gambocorta</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L.,</w:t>
      </w:r>
      <w:r w:rsidRPr="00474477">
        <w:rPr>
          <w:rFonts w:ascii="Times New Roman" w:hAnsi="Times New Roman" w:cs="Times New Roman"/>
          <w:spacing w:val="-1"/>
          <w:sz w:val="24"/>
          <w:szCs w:val="24"/>
          <w:lang w:val="es-AR"/>
        </w:rPr>
        <w:t xml:space="preserve"> </w:t>
      </w:r>
      <w:proofErr w:type="spellStart"/>
      <w:r w:rsidRPr="00474477">
        <w:rPr>
          <w:rFonts w:ascii="Times New Roman" w:hAnsi="Times New Roman" w:cs="Times New Roman"/>
          <w:sz w:val="24"/>
          <w:szCs w:val="24"/>
          <w:lang w:val="es-AR"/>
        </w:rPr>
        <w:t>Jimenez</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G.,</w:t>
      </w:r>
      <w:r w:rsidRPr="00474477">
        <w:rPr>
          <w:rFonts w:ascii="Times New Roman" w:hAnsi="Times New Roman" w:cs="Times New Roman"/>
          <w:spacing w:val="-1"/>
          <w:sz w:val="24"/>
          <w:szCs w:val="24"/>
          <w:lang w:val="es-AR"/>
        </w:rPr>
        <w:t xml:space="preserve"> </w:t>
      </w:r>
      <w:proofErr w:type="spellStart"/>
      <w:r w:rsidRPr="00474477">
        <w:rPr>
          <w:rFonts w:ascii="Times New Roman" w:hAnsi="Times New Roman" w:cs="Times New Roman"/>
          <w:sz w:val="24"/>
          <w:szCs w:val="24"/>
          <w:lang w:val="es-AR"/>
        </w:rPr>
        <w:t>Trucharte</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C.,</w:t>
      </w:r>
      <w:r w:rsidRPr="00474477">
        <w:rPr>
          <w:rFonts w:ascii="Times New Roman" w:hAnsi="Times New Roman" w:cs="Times New Roman"/>
          <w:spacing w:val="-1"/>
          <w:sz w:val="24"/>
          <w:szCs w:val="24"/>
          <w:lang w:val="es-AR"/>
        </w:rPr>
        <w:t xml:space="preserve"> </w:t>
      </w:r>
      <w:r w:rsidRPr="00474477">
        <w:rPr>
          <w:rFonts w:ascii="Times New Roman" w:hAnsi="Times New Roman" w:cs="Times New Roman"/>
          <w:sz w:val="24"/>
          <w:szCs w:val="24"/>
          <w:lang w:val="es-AR"/>
        </w:rPr>
        <w:t>2010.</w:t>
      </w:r>
      <w:r w:rsidRPr="00474477">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rPr>
        <w:t>Counter-</w:t>
      </w:r>
      <w:r w:rsidRPr="00BA4513">
        <w:rPr>
          <w:rFonts w:ascii="Times New Roman" w:hAnsi="Times New Roman" w:cs="Times New Roman"/>
          <w:w w:val="103"/>
          <w:sz w:val="24"/>
          <w:szCs w:val="24"/>
        </w:rPr>
        <w:t xml:space="preserve"> </w:t>
      </w:r>
      <w:r w:rsidRPr="00BA4513">
        <w:rPr>
          <w:rFonts w:ascii="Times New Roman" w:hAnsi="Times New Roman" w:cs="Times New Roman"/>
          <w:sz w:val="24"/>
          <w:szCs w:val="24"/>
        </w:rPr>
        <w:t>cyclical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buffer:</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exploring</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options.</w:t>
      </w:r>
      <w:r w:rsidRPr="00BA4513">
        <w:rPr>
          <w:rFonts w:ascii="Times New Roman" w:hAnsi="Times New Roman" w:cs="Times New Roman"/>
          <w:spacing w:val="12"/>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317.</w:t>
      </w:r>
    </w:p>
    <w:p w14:paraId="65BED7D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Duffie</w:t>
      </w:r>
      <w:proofErr w:type="spellEnd"/>
      <w:r w:rsidRPr="00BA4513">
        <w:rPr>
          <w:rFonts w:ascii="Times New Roman" w:hAnsi="Times New Roman" w:cs="Times New Roman"/>
          <w:sz w:val="24"/>
          <w:szCs w:val="24"/>
        </w:rPr>
        <w:t>, Darrell, 1988, Securities Markets: Stochastic Models ~Academic Press, Boston.</w:t>
      </w:r>
    </w:p>
    <w:p w14:paraId="656B99E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Duffie</w:t>
      </w:r>
      <w:proofErr w:type="spellEnd"/>
      <w:r w:rsidRPr="00BA4513">
        <w:rPr>
          <w:rFonts w:ascii="Times New Roman" w:hAnsi="Times New Roman" w:cs="Times New Roman"/>
          <w:sz w:val="24"/>
          <w:szCs w:val="24"/>
        </w:rPr>
        <w:t xml:space="preserve">, Darrell, and Kenneth Singleton, 1993, Simulated moments estimation of Markov models of asset prices, </w:t>
      </w:r>
      <w:proofErr w:type="spellStart"/>
      <w:r w:rsidRPr="00BA4513">
        <w:rPr>
          <w:rFonts w:ascii="Times New Roman" w:hAnsi="Times New Roman" w:cs="Times New Roman"/>
          <w:i/>
          <w:sz w:val="24"/>
          <w:szCs w:val="24"/>
        </w:rPr>
        <w:t>Econometrica</w:t>
      </w:r>
      <w:proofErr w:type="spellEnd"/>
      <w:r w:rsidRPr="00BA4513">
        <w:rPr>
          <w:rFonts w:ascii="Times New Roman" w:hAnsi="Times New Roman" w:cs="Times New Roman"/>
          <w:sz w:val="24"/>
          <w:szCs w:val="24"/>
        </w:rPr>
        <w:t xml:space="preserve"> 61, 929–952. </w:t>
      </w:r>
    </w:p>
    <w:p w14:paraId="6BFB958B"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Dungey, M., R. Fry, B. González-Hermosillo, and V. Martin, 2005, “Empirical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of Contagion: A Review of Methodologies,” Quantitative Finance, Vol. 5, pp. 9–24.</w:t>
      </w:r>
    </w:p>
    <w:p w14:paraId="2DA4EDE8"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Dungey, M., R. Fry, B. González-Hermosillo, and V. Martin, 2006, “Contagion in International Bond Markets during the Russian and LTCM Crises,” Journal of Financial Stability, Vol. 2, pp. 1–27. </w:t>
      </w:r>
    </w:p>
    <w:p w14:paraId="2B47B33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Dynan,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K.E.,</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Elmendorf,</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D.W.,</w:t>
      </w:r>
      <w:r w:rsidRPr="00BA4513">
        <w:rPr>
          <w:rFonts w:ascii="Times New Roman" w:hAnsi="Times New Roman" w:cs="Times New Roman"/>
          <w:spacing w:val="-10"/>
          <w:w w:val="105"/>
          <w:sz w:val="24"/>
          <w:szCs w:val="24"/>
        </w:rPr>
        <w:t xml:space="preserve"> </w:t>
      </w:r>
      <w:proofErr w:type="spellStart"/>
      <w:r w:rsidRPr="00BA4513">
        <w:rPr>
          <w:rFonts w:ascii="Times New Roman" w:hAnsi="Times New Roman" w:cs="Times New Roman"/>
          <w:w w:val="105"/>
          <w:sz w:val="24"/>
          <w:szCs w:val="24"/>
        </w:rPr>
        <w:t>Sichel</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D.E.,</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Can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innovation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help</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to</w:t>
      </w:r>
      <w:r w:rsidRPr="00BA4513">
        <w:rPr>
          <w:rFonts w:ascii="Times New Roman" w:hAnsi="Times New Roman" w:cs="Times New Roman"/>
          <w:w w:val="110"/>
          <w:sz w:val="24"/>
          <w:szCs w:val="24"/>
        </w:rPr>
        <w:t xml:space="preserve"> </w:t>
      </w:r>
      <w:r w:rsidRPr="00BA4513">
        <w:rPr>
          <w:rFonts w:ascii="Times New Roman" w:hAnsi="Times New Roman" w:cs="Times New Roman"/>
          <w:w w:val="105"/>
          <w:sz w:val="24"/>
          <w:szCs w:val="24"/>
        </w:rPr>
        <w:t>explain</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reduced</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volatility of</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economic</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growth?</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6"/>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6"/>
          <w:w w:val="105"/>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spacing w:val="6"/>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53,</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123–150.</w:t>
      </w:r>
    </w:p>
    <w:p w14:paraId="78B378A8"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E. Ley., 1996. “On the peculiar distribution of the US stock indexes' digits,” </w:t>
      </w:r>
      <w:r w:rsidRPr="00BA4513">
        <w:rPr>
          <w:rFonts w:ascii="Times New Roman" w:hAnsi="Times New Roman" w:cs="Times New Roman"/>
          <w:i/>
          <w:iCs/>
          <w:sz w:val="24"/>
          <w:szCs w:val="24"/>
        </w:rPr>
        <w:t>The American Statistician</w:t>
      </w:r>
      <w:r w:rsidRPr="00BA4513">
        <w:rPr>
          <w:rFonts w:ascii="Times New Roman" w:hAnsi="Times New Roman" w:cs="Times New Roman"/>
          <w:sz w:val="24"/>
          <w:szCs w:val="24"/>
        </w:rPr>
        <w:t>, vol. 50, no. 4, pp. 311-313.</w:t>
      </w:r>
    </w:p>
    <w:p w14:paraId="1828B4E7"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E. </w:t>
      </w:r>
      <w:proofErr w:type="spellStart"/>
      <w:r w:rsidRPr="00BA4513">
        <w:rPr>
          <w:rFonts w:ascii="Times New Roman" w:hAnsi="Times New Roman" w:cs="Times New Roman"/>
          <w:sz w:val="24"/>
          <w:szCs w:val="24"/>
        </w:rPr>
        <w:t>Shulzinger</w:t>
      </w:r>
      <w:proofErr w:type="spellEnd"/>
      <w:r w:rsidRPr="00BA4513">
        <w:rPr>
          <w:rFonts w:ascii="Times New Roman" w:hAnsi="Times New Roman" w:cs="Times New Roman"/>
          <w:sz w:val="24"/>
          <w:szCs w:val="24"/>
        </w:rPr>
        <w:t xml:space="preserve"> and E. </w:t>
      </w:r>
      <w:proofErr w:type="spellStart"/>
      <w:r w:rsidRPr="00BA4513">
        <w:rPr>
          <w:rFonts w:ascii="Times New Roman" w:hAnsi="Times New Roman" w:cs="Times New Roman"/>
          <w:sz w:val="24"/>
          <w:szCs w:val="24"/>
        </w:rPr>
        <w:t>Bormashenko</w:t>
      </w:r>
      <w:proofErr w:type="spellEnd"/>
      <w:r w:rsidRPr="00BA4513">
        <w:rPr>
          <w:rFonts w:ascii="Times New Roman" w:hAnsi="Times New Roman" w:cs="Times New Roman"/>
          <w:sz w:val="24"/>
          <w:szCs w:val="24"/>
        </w:rPr>
        <w:t xml:space="preserve">., 2017. “On the universal quantitative pattern of the distribution of initial characters in general dictionaries: The exponential distribution is valid for various languages,” </w:t>
      </w:r>
      <w:r w:rsidRPr="00BA4513">
        <w:rPr>
          <w:rFonts w:ascii="Times New Roman" w:hAnsi="Times New Roman" w:cs="Times New Roman"/>
          <w:i/>
          <w:iCs/>
          <w:sz w:val="24"/>
          <w:szCs w:val="24"/>
        </w:rPr>
        <w:t>Journal of Quantitative Linguistics</w:t>
      </w:r>
      <w:r w:rsidRPr="00BA4513">
        <w:rPr>
          <w:rFonts w:ascii="Times New Roman" w:hAnsi="Times New Roman" w:cs="Times New Roman"/>
          <w:sz w:val="24"/>
          <w:szCs w:val="24"/>
        </w:rPr>
        <w:t>, vol. 24, no. 4, pp. 273-288.</w:t>
      </w:r>
    </w:p>
    <w:p w14:paraId="6CB0BCBC"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Eichenbaum</w:t>
      </w:r>
      <w:proofErr w:type="spellEnd"/>
      <w:r w:rsidRPr="00BA4513">
        <w:rPr>
          <w:rFonts w:ascii="Times New Roman" w:hAnsi="Times New Roman" w:cs="Times New Roman"/>
          <w:sz w:val="24"/>
          <w:szCs w:val="24"/>
          <w:lang w:val="es-AR"/>
        </w:rPr>
        <w:t xml:space="preserve">, M.S., Rebelo, S., </w:t>
      </w:r>
      <w:proofErr w:type="spellStart"/>
      <w:r w:rsidRPr="00BA4513">
        <w:rPr>
          <w:rFonts w:ascii="Times New Roman" w:hAnsi="Times New Roman" w:cs="Times New Roman"/>
          <w:sz w:val="24"/>
          <w:szCs w:val="24"/>
          <w:lang w:val="es-AR"/>
        </w:rPr>
        <w:t>Trabandt</w:t>
      </w:r>
      <w:proofErr w:type="spellEnd"/>
      <w:r w:rsidRPr="00BA4513">
        <w:rPr>
          <w:rFonts w:ascii="Times New Roman" w:hAnsi="Times New Roman" w:cs="Times New Roman"/>
          <w:sz w:val="24"/>
          <w:szCs w:val="24"/>
          <w:lang w:val="es-AR"/>
        </w:rPr>
        <w:t xml:space="preserve">, M., 2020. </w:t>
      </w:r>
      <w:r w:rsidRPr="00BA4513">
        <w:rPr>
          <w:rFonts w:ascii="Times New Roman" w:hAnsi="Times New Roman" w:cs="Times New Roman"/>
          <w:sz w:val="24"/>
          <w:szCs w:val="24"/>
        </w:rPr>
        <w:t xml:space="preserve">The Macroeconomics of Epidemics. Working Paper Series 26882, </w:t>
      </w:r>
      <w:r w:rsidRPr="00BA4513">
        <w:rPr>
          <w:rFonts w:ascii="Times New Roman" w:hAnsi="Times New Roman" w:cs="Times New Roman"/>
          <w:i/>
          <w:iCs/>
          <w:sz w:val="24"/>
          <w:szCs w:val="24"/>
        </w:rPr>
        <w:t>National Bureau of Economic Research</w:t>
      </w:r>
      <w:r w:rsidRPr="00BA4513">
        <w:rPr>
          <w:rFonts w:ascii="Times New Roman" w:hAnsi="Times New Roman" w:cs="Times New Roman"/>
          <w:sz w:val="24"/>
          <w:szCs w:val="24"/>
        </w:rPr>
        <w:t xml:space="preserve">. </w:t>
      </w:r>
    </w:p>
    <w:p w14:paraId="534568B0"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Elliott, P.T.D.A., (1979). Probabilistic Number Theory. Springer, New York. </w:t>
      </w:r>
    </w:p>
    <w:p w14:paraId="28CE1376" w14:textId="77777777" w:rsidR="00BA4513" w:rsidRPr="00BA4513" w:rsidRDefault="00BA4513" w:rsidP="005A4160">
      <w:pPr>
        <w:pStyle w:val="NoSpacing"/>
        <w:numPr>
          <w:ilvl w:val="0"/>
          <w:numId w:val="13"/>
        </w:numPr>
        <w:jc w:val="both"/>
        <w:rPr>
          <w:rFonts w:ascii="Times New Roman" w:hAnsi="Times New Roman" w:cs="Times New Roman"/>
          <w:color w:val="000000" w:themeColor="text1"/>
          <w:sz w:val="24"/>
          <w:szCs w:val="24"/>
        </w:rPr>
      </w:pPr>
      <w:r w:rsidRPr="00BA4513">
        <w:rPr>
          <w:rFonts w:ascii="Times New Roman" w:hAnsi="Times New Roman" w:cs="Times New Roman"/>
          <w:sz w:val="24"/>
          <w:szCs w:val="24"/>
        </w:rPr>
        <w:t>Emambocus MAW, Dhesi G. (2010). “Bubble and Burst: A Psychoanalytic Perspective on Financial Instability”. Global Economy and Finance Journal.</w:t>
      </w:r>
    </w:p>
    <w:p w14:paraId="04CD6273"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Engel, R. F. and Ng, V. K. (1993) Measuring and testing the impact of news on volatility, </w:t>
      </w:r>
      <w:r w:rsidRPr="00BA4513">
        <w:rPr>
          <w:rFonts w:ascii="Times New Roman" w:hAnsi="Times New Roman" w:cs="Times New Roman"/>
          <w:i/>
          <w:iCs/>
          <w:sz w:val="24"/>
          <w:szCs w:val="24"/>
        </w:rPr>
        <w:t>The Journal of Finance</w:t>
      </w:r>
      <w:r w:rsidRPr="00BA4513">
        <w:rPr>
          <w:rFonts w:ascii="Times New Roman" w:hAnsi="Times New Roman" w:cs="Times New Roman"/>
          <w:sz w:val="24"/>
          <w:szCs w:val="24"/>
        </w:rPr>
        <w:t xml:space="preserve">. 48, 1749–1778. </w:t>
      </w:r>
    </w:p>
    <w:p w14:paraId="56467B51"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Engel, R. F., Ng, V. K. and Rothschild, M. (1990) Asset pricing with a factor ARCH covariance structure: Empirical estimates for treasury bills, </w:t>
      </w:r>
      <w:r w:rsidRPr="00BA4513">
        <w:rPr>
          <w:rFonts w:ascii="Times New Roman" w:hAnsi="Times New Roman" w:cs="Times New Roman"/>
          <w:i/>
          <w:iCs/>
          <w:sz w:val="24"/>
          <w:szCs w:val="24"/>
        </w:rPr>
        <w:t xml:space="preserve">Journal of Econometrics. </w:t>
      </w:r>
      <w:r w:rsidRPr="00BA4513">
        <w:rPr>
          <w:rFonts w:ascii="Times New Roman" w:hAnsi="Times New Roman" w:cs="Times New Roman"/>
          <w:sz w:val="24"/>
          <w:szCs w:val="24"/>
        </w:rPr>
        <w:t xml:space="preserve">45, 213–238. </w:t>
      </w:r>
    </w:p>
    <w:p w14:paraId="68F5AC56"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color w:val="000000" w:themeColor="text1"/>
          <w:sz w:val="24"/>
          <w:szCs w:val="24"/>
        </w:rPr>
        <w:lastRenderedPageBreak/>
        <w:t>Engle RF. (1982). “</w:t>
      </w:r>
      <w:r w:rsidRPr="00BA4513">
        <w:rPr>
          <w:rFonts w:ascii="Times New Roman" w:hAnsi="Times New Roman" w:cs="Times New Roman"/>
          <w:sz w:val="24"/>
          <w:szCs w:val="24"/>
        </w:rPr>
        <w:t xml:space="preserve">Autoregressive conditional heteroscedasticity with estimates of the variance of United Kingdom inflation”.  </w:t>
      </w:r>
      <w:proofErr w:type="spellStart"/>
      <w:r w:rsidRPr="00BA4513">
        <w:rPr>
          <w:rFonts w:ascii="Times New Roman" w:hAnsi="Times New Roman" w:cs="Times New Roman"/>
          <w:sz w:val="24"/>
          <w:szCs w:val="24"/>
        </w:rPr>
        <w:t>Econometrica</w:t>
      </w:r>
      <w:proofErr w:type="spellEnd"/>
      <w:r w:rsidRPr="00BA4513">
        <w:rPr>
          <w:rFonts w:ascii="Times New Roman" w:hAnsi="Times New Roman" w:cs="Times New Roman"/>
          <w:sz w:val="24"/>
          <w:szCs w:val="24"/>
        </w:rPr>
        <w:t xml:space="preserve"> 1982; 50:987—1007.</w:t>
      </w:r>
    </w:p>
    <w:p w14:paraId="33E15E3F"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Engle, R. 2002, “Dynamic Conditional Correlation: A Simple Class of Multivariate Generalized Autoregressive Conditional Heteroskedasticity Models,” Journal of Business &amp; Economic Statistics, Vol. 20, pp. 339–50. </w:t>
      </w:r>
    </w:p>
    <w:p w14:paraId="67E96C27"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Engle, R. and Rangel, J., (2008). The Spline-GARCH model for low-frequency volatility and its global macroeconomic causes, Review of Financial Studies 21, 1187-1222.</w:t>
      </w:r>
    </w:p>
    <w:p w14:paraId="00E70923"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Engle, R. F. (1982) Autoregressive conditional heteroscedasticity with estimates of the variance of United Kingdom inflation, </w:t>
      </w:r>
      <w:proofErr w:type="spellStart"/>
      <w:r w:rsidRPr="00BA4513">
        <w:rPr>
          <w:rFonts w:ascii="Times New Roman" w:hAnsi="Times New Roman" w:cs="Times New Roman"/>
          <w:i/>
          <w:iCs/>
          <w:sz w:val="24"/>
          <w:szCs w:val="24"/>
        </w:rPr>
        <w:t>Econometrica</w:t>
      </w:r>
      <w:proofErr w:type="spellEnd"/>
      <w:r w:rsidRPr="00BA4513">
        <w:rPr>
          <w:rFonts w:ascii="Times New Roman" w:hAnsi="Times New Roman" w:cs="Times New Roman"/>
          <w:sz w:val="24"/>
          <w:szCs w:val="24"/>
        </w:rPr>
        <w:t xml:space="preserve">. 50, 987–1008. </w:t>
      </w:r>
    </w:p>
    <w:p w14:paraId="3A562595" w14:textId="77777777" w:rsidR="00BA4513" w:rsidRPr="00BA4513" w:rsidRDefault="00BA4513" w:rsidP="005A4160">
      <w:pPr>
        <w:pStyle w:val="NoSpacing"/>
        <w:numPr>
          <w:ilvl w:val="0"/>
          <w:numId w:val="13"/>
        </w:numPr>
        <w:rPr>
          <w:rFonts w:ascii="Times New Roman" w:hAnsi="Times New Roman" w:cs="Times New Roman"/>
          <w:sz w:val="24"/>
          <w:szCs w:val="24"/>
        </w:rPr>
      </w:pPr>
      <w:r w:rsidRPr="00BA4513">
        <w:rPr>
          <w:rFonts w:ascii="Times New Roman" w:hAnsi="Times New Roman" w:cs="Times New Roman"/>
          <w:sz w:val="24"/>
          <w:szCs w:val="24"/>
        </w:rPr>
        <w:t xml:space="preserve">Engle, R. F. and Kroner, K. F. (1995) Multivariate simultaneous generalized ARCH, </w:t>
      </w:r>
      <w:r w:rsidRPr="00BA4513">
        <w:rPr>
          <w:rFonts w:ascii="Times New Roman" w:hAnsi="Times New Roman" w:cs="Times New Roman"/>
          <w:i/>
          <w:iCs/>
          <w:sz w:val="24"/>
          <w:szCs w:val="24"/>
        </w:rPr>
        <w:t>Econometric Theory</w:t>
      </w:r>
      <w:r w:rsidRPr="00BA4513">
        <w:rPr>
          <w:rFonts w:ascii="Times New Roman" w:hAnsi="Times New Roman" w:cs="Times New Roman"/>
          <w:sz w:val="24"/>
          <w:szCs w:val="24"/>
        </w:rPr>
        <w:t xml:space="preserve">. 11, 122–150. </w:t>
      </w:r>
    </w:p>
    <w:p w14:paraId="15ECA2DE"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Engle, R., and Lee, G., (1999). A permanent and transitory component model of stock return volatility, in Robert F. Engle and Halbert L. White, ed.: Cointegration, Causality, and Forecasting: A Festschrift in </w:t>
      </w:r>
      <w:proofErr w:type="spellStart"/>
      <w:r w:rsidRPr="00BA4513">
        <w:rPr>
          <w:rFonts w:ascii="Times New Roman" w:hAnsi="Times New Roman" w:cs="Times New Roman"/>
          <w:sz w:val="24"/>
          <w:szCs w:val="24"/>
        </w:rPr>
        <w:t>Honor</w:t>
      </w:r>
      <w:proofErr w:type="spellEnd"/>
      <w:r w:rsidRPr="00BA4513">
        <w:rPr>
          <w:rFonts w:ascii="Times New Roman" w:hAnsi="Times New Roman" w:cs="Times New Roman"/>
          <w:sz w:val="24"/>
          <w:szCs w:val="24"/>
        </w:rPr>
        <w:t xml:space="preserve"> of Clive W J. Granger, New York: Oxford University Press.</w:t>
      </w:r>
    </w:p>
    <w:p w14:paraId="3230E681"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Engle, R., E., </w:t>
      </w:r>
      <w:proofErr w:type="spellStart"/>
      <w:r w:rsidRPr="00BA4513">
        <w:rPr>
          <w:rFonts w:ascii="Times New Roman" w:hAnsi="Times New Roman" w:cs="Times New Roman"/>
          <w:sz w:val="24"/>
          <w:szCs w:val="24"/>
        </w:rPr>
        <w:t>Sokalska</w:t>
      </w:r>
      <w:proofErr w:type="spellEnd"/>
      <w:r w:rsidRPr="00BA4513">
        <w:rPr>
          <w:rFonts w:ascii="Times New Roman" w:hAnsi="Times New Roman" w:cs="Times New Roman"/>
          <w:sz w:val="24"/>
          <w:szCs w:val="24"/>
        </w:rPr>
        <w:t>, M. E., and Chanda, (2006). Forecasting intraday volatility in the US equity market - Multiplicative Component GARCH, Unpublished manuscript, USCD.</w:t>
      </w:r>
    </w:p>
    <w:p w14:paraId="1907C41F"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Engle, R.F. and Lee, G., 1999. A long-run and short-run component model of stock return volatility. Cointegration, Causality, and Forecasting: A Festschrift in Honour of Clive WJ Granger, pp.475-497.</w:t>
      </w:r>
    </w:p>
    <w:p w14:paraId="59FBAA42"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Engle, R.F. and Ng, V.K., 1993. Measuring and testing the impact of news on volatility. The journal of finance, 48(5), pp.1749-1778.</w:t>
      </w:r>
    </w:p>
    <w:p w14:paraId="26BF8D61"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Engle, R.F., </w:t>
      </w:r>
      <w:proofErr w:type="spellStart"/>
      <w:r w:rsidRPr="00BA4513">
        <w:rPr>
          <w:rFonts w:ascii="Times New Roman" w:hAnsi="Times New Roman" w:cs="Times New Roman"/>
          <w:sz w:val="24"/>
          <w:szCs w:val="24"/>
        </w:rPr>
        <w:t>Lilien</w:t>
      </w:r>
      <w:proofErr w:type="spellEnd"/>
      <w:r w:rsidRPr="00BA4513">
        <w:rPr>
          <w:rFonts w:ascii="Times New Roman" w:hAnsi="Times New Roman" w:cs="Times New Roman"/>
          <w:sz w:val="24"/>
          <w:szCs w:val="24"/>
        </w:rPr>
        <w:t>, D.M. and Robins, R.P., 1987. Estimating time varying risk premia in the term structure: The ARCH-M model. </w:t>
      </w:r>
      <w:proofErr w:type="spellStart"/>
      <w:r w:rsidRPr="00BA4513">
        <w:rPr>
          <w:rFonts w:ascii="Times New Roman" w:hAnsi="Times New Roman" w:cs="Times New Roman"/>
          <w:sz w:val="24"/>
          <w:szCs w:val="24"/>
        </w:rPr>
        <w:t>Econometrica</w:t>
      </w:r>
      <w:proofErr w:type="spellEnd"/>
      <w:r w:rsidRPr="00BA4513">
        <w:rPr>
          <w:rFonts w:ascii="Times New Roman" w:hAnsi="Times New Roman" w:cs="Times New Roman"/>
          <w:sz w:val="24"/>
          <w:szCs w:val="24"/>
        </w:rPr>
        <w:t>: journal of the Econometric Society, pp.391-407.</w:t>
      </w:r>
    </w:p>
    <w:p w14:paraId="1D9F8F3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English,</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rate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net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margins.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Quarterly</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December,</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67–82.</w:t>
      </w:r>
    </w:p>
    <w:p w14:paraId="0D45132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474477">
        <w:rPr>
          <w:rFonts w:ascii="Times New Roman" w:hAnsi="Times New Roman" w:cs="Times New Roman"/>
          <w:sz w:val="24"/>
          <w:szCs w:val="24"/>
          <w:lang w:val="es-AR"/>
        </w:rPr>
        <w:t>Enria</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A.,</w:t>
      </w:r>
      <w:r w:rsidRPr="00474477">
        <w:rPr>
          <w:rFonts w:ascii="Times New Roman" w:hAnsi="Times New Roman" w:cs="Times New Roman"/>
          <w:spacing w:val="-14"/>
          <w:sz w:val="24"/>
          <w:szCs w:val="24"/>
          <w:lang w:val="es-AR"/>
        </w:rPr>
        <w:t xml:space="preserve"> </w:t>
      </w:r>
      <w:proofErr w:type="spellStart"/>
      <w:r w:rsidRPr="00474477">
        <w:rPr>
          <w:rFonts w:ascii="Times New Roman" w:hAnsi="Times New Roman" w:cs="Times New Roman"/>
          <w:sz w:val="24"/>
          <w:szCs w:val="24"/>
          <w:lang w:val="es-AR"/>
        </w:rPr>
        <w:t>Cappiello</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L.,</w:t>
      </w:r>
      <w:r w:rsidRPr="00474477">
        <w:rPr>
          <w:rFonts w:ascii="Times New Roman" w:hAnsi="Times New Roman" w:cs="Times New Roman"/>
          <w:spacing w:val="-14"/>
          <w:sz w:val="24"/>
          <w:szCs w:val="24"/>
          <w:lang w:val="es-AR"/>
        </w:rPr>
        <w:t xml:space="preserve"> </w:t>
      </w:r>
      <w:proofErr w:type="spellStart"/>
      <w:r w:rsidRPr="00474477">
        <w:rPr>
          <w:rFonts w:ascii="Times New Roman" w:hAnsi="Times New Roman" w:cs="Times New Roman"/>
          <w:sz w:val="24"/>
          <w:szCs w:val="24"/>
          <w:lang w:val="es-AR"/>
        </w:rPr>
        <w:t>Dierick</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F.,</w:t>
      </w:r>
      <w:r w:rsidRPr="00474477">
        <w:rPr>
          <w:rFonts w:ascii="Times New Roman" w:hAnsi="Times New Roman" w:cs="Times New Roman"/>
          <w:spacing w:val="-13"/>
          <w:sz w:val="24"/>
          <w:szCs w:val="24"/>
          <w:lang w:val="es-AR"/>
        </w:rPr>
        <w:t xml:space="preserve"> </w:t>
      </w:r>
      <w:r w:rsidRPr="00474477">
        <w:rPr>
          <w:rFonts w:ascii="Times New Roman" w:hAnsi="Times New Roman" w:cs="Times New Roman"/>
          <w:sz w:val="24"/>
          <w:szCs w:val="24"/>
          <w:lang w:val="es-AR"/>
        </w:rPr>
        <w:t>Sergio,</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G.,</w:t>
      </w:r>
      <w:r w:rsidRPr="00474477">
        <w:rPr>
          <w:rFonts w:ascii="Times New Roman" w:hAnsi="Times New Roman" w:cs="Times New Roman"/>
          <w:spacing w:val="-14"/>
          <w:sz w:val="24"/>
          <w:szCs w:val="24"/>
          <w:lang w:val="es-AR"/>
        </w:rPr>
        <w:t xml:space="preserve"> </w:t>
      </w:r>
      <w:proofErr w:type="spellStart"/>
      <w:r w:rsidRPr="00474477">
        <w:rPr>
          <w:rFonts w:ascii="Times New Roman" w:hAnsi="Times New Roman" w:cs="Times New Roman"/>
          <w:sz w:val="24"/>
          <w:szCs w:val="24"/>
          <w:lang w:val="es-AR"/>
        </w:rPr>
        <w:t>Haralambous</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A.,</w:t>
      </w:r>
      <w:r w:rsidRPr="00474477">
        <w:rPr>
          <w:rFonts w:ascii="Times New Roman" w:hAnsi="Times New Roman" w:cs="Times New Roman"/>
          <w:spacing w:val="-14"/>
          <w:sz w:val="24"/>
          <w:szCs w:val="24"/>
          <w:lang w:val="es-AR"/>
        </w:rPr>
        <w:t xml:space="preserve"> </w:t>
      </w:r>
      <w:proofErr w:type="spellStart"/>
      <w:r w:rsidRPr="00474477">
        <w:rPr>
          <w:rFonts w:ascii="Times New Roman" w:hAnsi="Times New Roman" w:cs="Times New Roman"/>
          <w:sz w:val="24"/>
          <w:szCs w:val="24"/>
          <w:lang w:val="es-AR"/>
        </w:rPr>
        <w:t>Maddaloni</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14"/>
          <w:sz w:val="24"/>
          <w:szCs w:val="24"/>
          <w:lang w:val="es-AR"/>
        </w:rPr>
        <w:t xml:space="preserve"> </w:t>
      </w:r>
      <w:r w:rsidRPr="00474477">
        <w:rPr>
          <w:rFonts w:ascii="Times New Roman" w:hAnsi="Times New Roman" w:cs="Times New Roman"/>
          <w:sz w:val="24"/>
          <w:szCs w:val="24"/>
          <w:lang w:val="es-AR"/>
        </w:rPr>
        <w:t>A.,</w:t>
      </w:r>
      <w:r w:rsidRPr="00474477">
        <w:rPr>
          <w:rFonts w:ascii="Times New Roman" w:hAnsi="Times New Roman" w:cs="Times New Roman"/>
          <w:spacing w:val="-13"/>
          <w:sz w:val="24"/>
          <w:szCs w:val="24"/>
          <w:lang w:val="es-AR"/>
        </w:rPr>
        <w:t xml:space="preserve"> </w:t>
      </w:r>
      <w:proofErr w:type="spellStart"/>
      <w:r w:rsidRPr="00474477">
        <w:rPr>
          <w:rFonts w:ascii="Times New Roman" w:hAnsi="Times New Roman" w:cs="Times New Roman"/>
          <w:sz w:val="24"/>
          <w:szCs w:val="24"/>
          <w:lang w:val="es-AR"/>
        </w:rPr>
        <w:t>Molitor</w:t>
      </w:r>
      <w:proofErr w:type="spellEnd"/>
      <w:r w:rsidRPr="00474477">
        <w:rPr>
          <w:rFonts w:ascii="Times New Roman" w:hAnsi="Times New Roman" w:cs="Times New Roman"/>
          <w:sz w:val="24"/>
          <w:szCs w:val="24"/>
          <w:lang w:val="es-AR"/>
        </w:rPr>
        <w:t>,</w:t>
      </w:r>
      <w:r w:rsidRPr="00474477">
        <w:rPr>
          <w:rFonts w:ascii="Times New Roman" w:hAnsi="Times New Roman" w:cs="Times New Roman"/>
          <w:w w:val="107"/>
          <w:sz w:val="24"/>
          <w:szCs w:val="24"/>
          <w:lang w:val="es-AR"/>
        </w:rPr>
        <w:t xml:space="preserve"> </w:t>
      </w:r>
      <w:r w:rsidRPr="00474477">
        <w:rPr>
          <w:rFonts w:ascii="Times New Roman" w:hAnsi="Times New Roman" w:cs="Times New Roman"/>
          <w:sz w:val="24"/>
          <w:szCs w:val="24"/>
          <w:lang w:val="es-AR"/>
        </w:rPr>
        <w:t>P.,</w:t>
      </w:r>
      <w:r w:rsidRPr="00474477">
        <w:rPr>
          <w:rFonts w:ascii="Times New Roman" w:hAnsi="Times New Roman" w:cs="Times New Roman"/>
          <w:spacing w:val="6"/>
          <w:sz w:val="24"/>
          <w:szCs w:val="24"/>
          <w:lang w:val="es-AR"/>
        </w:rPr>
        <w:t xml:space="preserve"> </w:t>
      </w:r>
      <w:r w:rsidRPr="00474477">
        <w:rPr>
          <w:rFonts w:ascii="Times New Roman" w:hAnsi="Times New Roman" w:cs="Times New Roman"/>
          <w:sz w:val="24"/>
          <w:szCs w:val="24"/>
          <w:lang w:val="es-AR"/>
        </w:rPr>
        <w:t>Pires,</w:t>
      </w:r>
      <w:r w:rsidRPr="00474477">
        <w:rPr>
          <w:rFonts w:ascii="Times New Roman" w:hAnsi="Times New Roman" w:cs="Times New Roman"/>
          <w:spacing w:val="6"/>
          <w:sz w:val="24"/>
          <w:szCs w:val="24"/>
          <w:lang w:val="es-AR"/>
        </w:rPr>
        <w:t xml:space="preserve"> </w:t>
      </w:r>
      <w:r w:rsidRPr="00474477">
        <w:rPr>
          <w:rFonts w:ascii="Times New Roman" w:hAnsi="Times New Roman" w:cs="Times New Roman"/>
          <w:sz w:val="24"/>
          <w:szCs w:val="24"/>
          <w:lang w:val="es-AR"/>
        </w:rPr>
        <w:t>F.,</w:t>
      </w:r>
      <w:r w:rsidRPr="00474477">
        <w:rPr>
          <w:rFonts w:ascii="Times New Roman" w:hAnsi="Times New Roman" w:cs="Times New Roman"/>
          <w:spacing w:val="7"/>
          <w:sz w:val="24"/>
          <w:szCs w:val="24"/>
          <w:lang w:val="es-AR"/>
        </w:rPr>
        <w:t xml:space="preserve"> </w:t>
      </w:r>
      <w:proofErr w:type="spellStart"/>
      <w:r w:rsidRPr="00474477">
        <w:rPr>
          <w:rFonts w:ascii="Times New Roman" w:hAnsi="Times New Roman" w:cs="Times New Roman"/>
          <w:sz w:val="24"/>
          <w:szCs w:val="24"/>
          <w:lang w:val="es-AR"/>
        </w:rPr>
        <w:t>Poloni</w:t>
      </w:r>
      <w:proofErr w:type="spellEnd"/>
      <w:r w:rsidRPr="00474477">
        <w:rPr>
          <w:rFonts w:ascii="Times New Roman" w:hAnsi="Times New Roman" w:cs="Times New Roman"/>
          <w:sz w:val="24"/>
          <w:szCs w:val="24"/>
          <w:lang w:val="es-AR"/>
        </w:rPr>
        <w:t>,</w:t>
      </w:r>
      <w:r w:rsidRPr="00474477">
        <w:rPr>
          <w:rFonts w:ascii="Times New Roman" w:hAnsi="Times New Roman" w:cs="Times New Roman"/>
          <w:spacing w:val="6"/>
          <w:sz w:val="24"/>
          <w:szCs w:val="24"/>
          <w:lang w:val="es-AR"/>
        </w:rPr>
        <w:t xml:space="preserve"> </w:t>
      </w:r>
      <w:r w:rsidRPr="00474477">
        <w:rPr>
          <w:rFonts w:ascii="Times New Roman" w:hAnsi="Times New Roman" w:cs="Times New Roman"/>
          <w:sz w:val="24"/>
          <w:szCs w:val="24"/>
          <w:lang w:val="es-AR"/>
        </w:rPr>
        <w:t>P.,</w:t>
      </w:r>
      <w:r w:rsidRPr="00474477">
        <w:rPr>
          <w:rFonts w:ascii="Times New Roman" w:hAnsi="Times New Roman" w:cs="Times New Roman"/>
          <w:spacing w:val="6"/>
          <w:sz w:val="24"/>
          <w:szCs w:val="24"/>
          <w:lang w:val="es-AR"/>
        </w:rPr>
        <w:t xml:space="preserve"> </w:t>
      </w:r>
      <w:r w:rsidRPr="00474477">
        <w:rPr>
          <w:rFonts w:ascii="Times New Roman" w:hAnsi="Times New Roman" w:cs="Times New Roman"/>
          <w:sz w:val="24"/>
          <w:szCs w:val="24"/>
          <w:lang w:val="es-AR"/>
        </w:rPr>
        <w:t>2004.</w:t>
      </w:r>
      <w:r w:rsidRPr="00474477">
        <w:rPr>
          <w:rFonts w:ascii="Times New Roman" w:hAnsi="Times New Roman" w:cs="Times New Roman"/>
          <w:spacing w:val="7"/>
          <w:sz w:val="24"/>
          <w:szCs w:val="24"/>
          <w:lang w:val="es-AR"/>
        </w:rPr>
        <w:t xml:space="preserve"> </w:t>
      </w:r>
      <w:r w:rsidRPr="00BA4513">
        <w:rPr>
          <w:rFonts w:ascii="Times New Roman" w:hAnsi="Times New Roman" w:cs="Times New Roman"/>
          <w:sz w:val="24"/>
          <w:szCs w:val="24"/>
        </w:rPr>
        <w:t>Fair</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value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accounting</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stability.</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ECB</w:t>
      </w:r>
      <w:r w:rsidRPr="00BA4513">
        <w:rPr>
          <w:rFonts w:ascii="Times New Roman" w:hAnsi="Times New Roman" w:cs="Times New Roman"/>
          <w:i/>
          <w:iCs/>
          <w:w w:val="88"/>
          <w:sz w:val="24"/>
          <w:szCs w:val="24"/>
        </w:rPr>
        <w:t xml:space="preserve"> </w:t>
      </w:r>
      <w:r w:rsidRPr="00BA4513">
        <w:rPr>
          <w:rFonts w:ascii="Times New Roman" w:hAnsi="Times New Roman" w:cs="Times New Roman"/>
          <w:i/>
          <w:iCs/>
          <w:sz w:val="24"/>
          <w:szCs w:val="24"/>
        </w:rPr>
        <w:t>Occasional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13.</w:t>
      </w:r>
    </w:p>
    <w:p w14:paraId="2DFDB76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Estrella,</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Securitization</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efficacy</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i/>
          <w:iCs/>
          <w:w w:val="105"/>
          <w:sz w:val="24"/>
          <w:szCs w:val="24"/>
        </w:rPr>
        <w:t>FRBNY</w:t>
      </w:r>
      <w:r w:rsidRPr="00BA4513">
        <w:rPr>
          <w:rFonts w:ascii="Times New Roman" w:hAnsi="Times New Roman" w:cs="Times New Roman"/>
          <w:i/>
          <w:iCs/>
          <w:spacing w:val="-2"/>
          <w:w w:val="105"/>
          <w:sz w:val="24"/>
          <w:szCs w:val="24"/>
        </w:rPr>
        <w:t xml:space="preserve"> </w:t>
      </w:r>
      <w:r w:rsidRPr="00BA4513">
        <w:rPr>
          <w:rFonts w:ascii="Times New Roman" w:hAnsi="Times New Roman" w:cs="Times New Roman"/>
          <w:i/>
          <w:iCs/>
          <w:w w:val="105"/>
          <w:sz w:val="24"/>
          <w:szCs w:val="24"/>
        </w:rPr>
        <w:t>Eco-</w:t>
      </w:r>
      <w:r w:rsidRPr="00BA4513">
        <w:rPr>
          <w:rFonts w:ascii="Times New Roman" w:hAnsi="Times New Roman" w:cs="Times New Roman"/>
          <w:i/>
          <w:iCs/>
          <w:w w:val="101"/>
          <w:sz w:val="24"/>
          <w:szCs w:val="24"/>
        </w:rPr>
        <w:t xml:space="preserve"> </w:t>
      </w:r>
      <w:r w:rsidRPr="00BA4513">
        <w:rPr>
          <w:rFonts w:ascii="Times New Roman" w:hAnsi="Times New Roman" w:cs="Times New Roman"/>
          <w:i/>
          <w:iCs/>
          <w:w w:val="105"/>
          <w:sz w:val="24"/>
          <w:szCs w:val="24"/>
        </w:rPr>
        <w:t>nomic</w:t>
      </w:r>
      <w:r w:rsidRPr="00BA4513">
        <w:rPr>
          <w:rFonts w:ascii="Times New Roman" w:hAnsi="Times New Roman" w:cs="Times New Roman"/>
          <w:i/>
          <w:iCs/>
          <w:spacing w:val="-2"/>
          <w:w w:val="105"/>
          <w:sz w:val="24"/>
          <w:szCs w:val="24"/>
        </w:rPr>
        <w:t xml:space="preserve"> </w:t>
      </w:r>
      <w:r w:rsidRPr="00BA4513">
        <w:rPr>
          <w:rFonts w:ascii="Times New Roman" w:hAnsi="Times New Roman" w:cs="Times New Roman"/>
          <w:i/>
          <w:iCs/>
          <w:w w:val="105"/>
          <w:sz w:val="24"/>
          <w:szCs w:val="24"/>
        </w:rPr>
        <w:t>Policy</w:t>
      </w:r>
      <w:r w:rsidRPr="00BA4513">
        <w:rPr>
          <w:rFonts w:ascii="Times New Roman" w:hAnsi="Times New Roman" w:cs="Times New Roman"/>
          <w:i/>
          <w:iCs/>
          <w:spacing w:val="-2"/>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w w:val="105"/>
          <w:sz w:val="24"/>
          <w:szCs w:val="24"/>
        </w:rPr>
        <w: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243–255.</w:t>
      </w:r>
    </w:p>
    <w:p w14:paraId="7971051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Estrella,</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cyclical</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behaviour</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optimal</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i/>
          <w:iCs/>
          <w:w w:val="105"/>
          <w:sz w:val="24"/>
          <w:szCs w:val="24"/>
        </w:rPr>
        <w:t>.</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5"/>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w w:val="105"/>
          <w:sz w:val="24"/>
          <w:szCs w:val="24"/>
        </w:rPr>
        <w:t>28,</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1469–1498.</w:t>
      </w:r>
    </w:p>
    <w:p w14:paraId="7FDE138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European</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Central</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Transfer</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by</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EU</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Banks:</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i/>
          <w:iCs/>
          <w:w w:val="105"/>
          <w:sz w:val="24"/>
          <w:szCs w:val="24"/>
        </w:rPr>
        <w:t>Activities,</w:t>
      </w:r>
      <w:r w:rsidRPr="00BA4513">
        <w:rPr>
          <w:rFonts w:ascii="Times New Roman" w:hAnsi="Times New Roman" w:cs="Times New Roman"/>
          <w:i/>
          <w:iCs/>
          <w:spacing w:val="-30"/>
          <w:w w:val="105"/>
          <w:sz w:val="24"/>
          <w:szCs w:val="24"/>
        </w:rPr>
        <w:t xml:space="preserve"> </w:t>
      </w:r>
      <w:r w:rsidRPr="00BA4513">
        <w:rPr>
          <w:rFonts w:ascii="Times New Roman" w:hAnsi="Times New Roman" w:cs="Times New Roman"/>
          <w:i/>
          <w:iCs/>
          <w:w w:val="105"/>
          <w:sz w:val="24"/>
          <w:szCs w:val="24"/>
        </w:rPr>
        <w:t>Risks</w:t>
      </w:r>
      <w:r w:rsidRPr="00BA4513">
        <w:rPr>
          <w:rFonts w:ascii="Times New Roman" w:hAnsi="Times New Roman" w:cs="Times New Roman"/>
          <w:i/>
          <w:iCs/>
          <w:spacing w:val="-29"/>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w w:val="102"/>
          <w:sz w:val="24"/>
          <w:szCs w:val="24"/>
        </w:rPr>
        <w:t xml:space="preserve"> </w:t>
      </w:r>
      <w:r w:rsidRPr="00BA4513">
        <w:rPr>
          <w:rFonts w:ascii="Times New Roman" w:hAnsi="Times New Roman" w:cs="Times New Roman"/>
          <w:i/>
          <w:iCs/>
          <w:w w:val="105"/>
          <w:sz w:val="24"/>
          <w:szCs w:val="24"/>
        </w:rPr>
        <w:t>Risk</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Management</w:t>
      </w:r>
      <w:r w:rsidRPr="00BA4513">
        <w:rPr>
          <w:rFonts w:ascii="Times New Roman" w:hAnsi="Times New Roman" w:cs="Times New Roman"/>
          <w:w w:val="105"/>
          <w:sz w:val="24"/>
          <w:szCs w:val="24"/>
        </w:rPr>
        <w:t>.</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Report.</w:t>
      </w:r>
    </w:p>
    <w:p w14:paraId="05A12FB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Fan, H., and Suresh M. </w:t>
      </w:r>
      <w:proofErr w:type="spellStart"/>
      <w:r w:rsidRPr="00BA4513">
        <w:rPr>
          <w:rFonts w:ascii="Times New Roman" w:hAnsi="Times New Roman" w:cs="Times New Roman"/>
          <w:sz w:val="24"/>
          <w:szCs w:val="24"/>
        </w:rPr>
        <w:t>Sundaresan</w:t>
      </w:r>
      <w:proofErr w:type="spellEnd"/>
      <w:r w:rsidRPr="00BA4513">
        <w:rPr>
          <w:rFonts w:ascii="Times New Roman" w:hAnsi="Times New Roman" w:cs="Times New Roman"/>
          <w:sz w:val="24"/>
          <w:szCs w:val="24"/>
        </w:rPr>
        <w:t xml:space="preserve">, 1999, Debt valuation, renegotiations and optimal dividend policy, </w:t>
      </w:r>
      <w:r w:rsidRPr="00BA4513">
        <w:rPr>
          <w:rFonts w:ascii="Times New Roman" w:hAnsi="Times New Roman" w:cs="Times New Roman"/>
          <w:i/>
          <w:sz w:val="24"/>
          <w:szCs w:val="24"/>
        </w:rPr>
        <w:t>Working paper</w:t>
      </w:r>
      <w:r w:rsidRPr="00BA4513">
        <w:rPr>
          <w:rFonts w:ascii="Times New Roman" w:hAnsi="Times New Roman" w:cs="Times New Roman"/>
          <w:sz w:val="24"/>
          <w:szCs w:val="24"/>
        </w:rPr>
        <w:t xml:space="preserve">, Columbia University. </w:t>
      </w:r>
    </w:p>
    <w:p w14:paraId="13AF4B9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Fan, Hua, and Suresh M. </w:t>
      </w:r>
      <w:proofErr w:type="spellStart"/>
      <w:r w:rsidRPr="00BA4513">
        <w:rPr>
          <w:rFonts w:ascii="Times New Roman" w:hAnsi="Times New Roman" w:cs="Times New Roman"/>
          <w:sz w:val="24"/>
          <w:szCs w:val="24"/>
        </w:rPr>
        <w:t>Sundaresan</w:t>
      </w:r>
      <w:proofErr w:type="spellEnd"/>
      <w:r w:rsidRPr="00BA4513">
        <w:rPr>
          <w:rFonts w:ascii="Times New Roman" w:hAnsi="Times New Roman" w:cs="Times New Roman"/>
          <w:sz w:val="24"/>
          <w:szCs w:val="24"/>
        </w:rPr>
        <w:t>, 1999, Debt valuation, renegotiations and optimal dividend policy</w:t>
      </w:r>
      <w:r w:rsidRPr="00BA4513">
        <w:rPr>
          <w:rFonts w:ascii="Times New Roman" w:hAnsi="Times New Roman" w:cs="Times New Roman"/>
          <w:i/>
          <w:sz w:val="24"/>
          <w:szCs w:val="24"/>
        </w:rPr>
        <w:t>, Review of Financial Studies</w:t>
      </w:r>
      <w:r w:rsidRPr="00BA4513">
        <w:rPr>
          <w:rFonts w:ascii="Times New Roman" w:hAnsi="Times New Roman" w:cs="Times New Roman"/>
          <w:sz w:val="24"/>
          <w:szCs w:val="24"/>
        </w:rPr>
        <w:t xml:space="preserve">, forthcoming. </w:t>
      </w:r>
    </w:p>
    <w:p w14:paraId="46F34209"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Fang, H., Wang, L., Yang, Y., 2020. Human Mobility Restrictions and the Spread of the Novel Coronavirus (2019-nCoV) in China. Working Paper Series 26906, </w:t>
      </w:r>
      <w:r w:rsidRPr="00BA4513">
        <w:rPr>
          <w:rFonts w:ascii="Times New Roman" w:hAnsi="Times New Roman" w:cs="Times New Roman"/>
          <w:i/>
          <w:iCs/>
          <w:sz w:val="24"/>
          <w:szCs w:val="24"/>
        </w:rPr>
        <w:t>National Bureau of Economic Research</w:t>
      </w:r>
      <w:r w:rsidRPr="00BA4513">
        <w:rPr>
          <w:rFonts w:ascii="Times New Roman" w:hAnsi="Times New Roman" w:cs="Times New Roman"/>
          <w:sz w:val="24"/>
          <w:szCs w:val="24"/>
        </w:rPr>
        <w:t xml:space="preserve">. </w:t>
      </w:r>
    </w:p>
    <w:p w14:paraId="7D3921D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Farhi,</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6"/>
          <w:sz w:val="24"/>
          <w:szCs w:val="24"/>
        </w:rPr>
        <w:t xml:space="preserve"> </w:t>
      </w:r>
      <w:proofErr w:type="spellStart"/>
      <w:r w:rsidRPr="00BA4513">
        <w:rPr>
          <w:rFonts w:ascii="Times New Roman" w:hAnsi="Times New Roman" w:cs="Times New Roman"/>
          <w:sz w:val="24"/>
          <w:szCs w:val="24"/>
        </w:rPr>
        <w:t>Tirole</w:t>
      </w:r>
      <w:proofErr w:type="spellEnd"/>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2009.</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Leverage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Central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Banker’s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put.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American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Economic</w:t>
      </w:r>
      <w:r w:rsidRPr="00BA4513">
        <w:rPr>
          <w:rFonts w:ascii="Times New Roman" w:hAnsi="Times New Roman" w:cs="Times New Roman"/>
          <w:w w:val="103"/>
          <w:sz w:val="24"/>
          <w:szCs w:val="24"/>
        </w:rPr>
        <w:t xml:space="preserve"> </w:t>
      </w:r>
      <w:r w:rsidRPr="00BA4513">
        <w:rPr>
          <w:rFonts w:ascii="Times New Roman" w:hAnsi="Times New Roman" w:cs="Times New Roman"/>
          <w:sz w:val="24"/>
          <w:szCs w:val="24"/>
        </w:rPr>
        <w:t>Review</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99,</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589–593.</w:t>
      </w:r>
    </w:p>
    <w:p w14:paraId="13D5303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lastRenderedPageBreak/>
        <w:t>Fazzari</w:t>
      </w:r>
      <w:proofErr w:type="spellEnd"/>
      <w:r w:rsidRPr="00BA4513">
        <w:rPr>
          <w:rFonts w:ascii="Times New Roman" w:hAnsi="Times New Roman" w:cs="Times New Roman"/>
          <w:sz w:val="24"/>
          <w:szCs w:val="24"/>
        </w:rPr>
        <w: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S.,</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Hubbard,</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Petersen,</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1988.</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Financing</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constraints</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corporate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investment.</w:t>
      </w:r>
      <w:r w:rsidRPr="00BA4513">
        <w:rPr>
          <w:rFonts w:ascii="Times New Roman" w:hAnsi="Times New Roman" w:cs="Times New Roman"/>
          <w:spacing w:val="13"/>
          <w:sz w:val="24"/>
          <w:szCs w:val="24"/>
        </w:rPr>
        <w:t xml:space="preserve"> </w:t>
      </w:r>
      <w:r w:rsidRPr="00BA4513">
        <w:rPr>
          <w:rFonts w:ascii="Times New Roman" w:hAnsi="Times New Roman" w:cs="Times New Roman"/>
          <w:i/>
          <w:iCs/>
          <w:sz w:val="24"/>
          <w:szCs w:val="24"/>
        </w:rPr>
        <w:t>Brookings</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Papers</w:t>
      </w:r>
      <w:r w:rsidRPr="00BA4513">
        <w:rPr>
          <w:rFonts w:ascii="Times New Roman" w:hAnsi="Times New Roman" w:cs="Times New Roman"/>
          <w:i/>
          <w:iCs/>
          <w:spacing w:val="14"/>
          <w:sz w:val="24"/>
          <w:szCs w:val="24"/>
        </w:rPr>
        <w:t xml:space="preserve"> </w:t>
      </w:r>
      <w:r w:rsidRPr="00BA4513">
        <w:rPr>
          <w:rFonts w:ascii="Times New Roman" w:hAnsi="Times New Roman" w:cs="Times New Roman"/>
          <w:i/>
          <w:iCs/>
          <w:sz w:val="24"/>
          <w:szCs w:val="24"/>
        </w:rPr>
        <w:t>on</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Activity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1,</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141–195.</w:t>
      </w:r>
    </w:p>
    <w:p w14:paraId="74A89841"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Federal Reserve Bank of Dallas, 2008, Economic Letter, “Fed Intervention: Managing</w:t>
      </w:r>
    </w:p>
    <w:p w14:paraId="02E5FEBC"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lang w:val="en-US"/>
        </w:rPr>
        <w:t>Fernandez, C.  and   Steel, M. F. (1988).  “On Bayesian modeling of fat tails and skewness”. Journal of the American Statistical Association, 93(441), 359-371</w:t>
      </w:r>
      <w:r w:rsidRPr="00BA4513">
        <w:rPr>
          <w:rFonts w:ascii="Times New Roman" w:hAnsi="Times New Roman" w:cs="Times New Roman"/>
          <w:sz w:val="24"/>
          <w:szCs w:val="24"/>
        </w:rPr>
        <w:t>.</w:t>
      </w:r>
    </w:p>
    <w:p w14:paraId="4C6A355B" w14:textId="77777777" w:rsidR="00BA4513" w:rsidRPr="00BA4513" w:rsidRDefault="00BA4513" w:rsidP="005A4160">
      <w:pPr>
        <w:pStyle w:val="NoSpacing"/>
        <w:numPr>
          <w:ilvl w:val="0"/>
          <w:numId w:val="13"/>
        </w:numPr>
        <w:jc w:val="both"/>
        <w:rPr>
          <w:rFonts w:ascii="Times New Roman" w:hAnsi="Times New Roman" w:cs="Times New Roman"/>
          <w:sz w:val="24"/>
          <w:szCs w:val="24"/>
          <w:lang w:val="en-US"/>
        </w:rPr>
      </w:pPr>
      <w:r w:rsidRPr="00BA4513">
        <w:rPr>
          <w:rFonts w:ascii="Times New Roman" w:hAnsi="Times New Roman" w:cs="Times New Roman"/>
          <w:sz w:val="24"/>
          <w:szCs w:val="24"/>
        </w:rPr>
        <w:t xml:space="preserve">Fernandez, C., </w:t>
      </w:r>
      <w:proofErr w:type="spellStart"/>
      <w:r w:rsidRPr="00BA4513">
        <w:rPr>
          <w:rFonts w:ascii="Times New Roman" w:hAnsi="Times New Roman" w:cs="Times New Roman"/>
          <w:sz w:val="24"/>
          <w:szCs w:val="24"/>
        </w:rPr>
        <w:t>Osiewalski</w:t>
      </w:r>
      <w:proofErr w:type="spellEnd"/>
      <w:r w:rsidRPr="00BA4513">
        <w:rPr>
          <w:rFonts w:ascii="Times New Roman" w:hAnsi="Times New Roman" w:cs="Times New Roman"/>
          <w:sz w:val="24"/>
          <w:szCs w:val="24"/>
        </w:rPr>
        <w:t>, J, and Steel, M. F. J. (1995). “</w:t>
      </w:r>
      <w:proofErr w:type="spellStart"/>
      <w:r w:rsidRPr="00BA4513">
        <w:rPr>
          <w:rFonts w:ascii="Times New Roman" w:hAnsi="Times New Roman" w:cs="Times New Roman"/>
          <w:sz w:val="24"/>
          <w:szCs w:val="24"/>
        </w:rPr>
        <w:t>Modeling</w:t>
      </w:r>
      <w:proofErr w:type="spellEnd"/>
      <w:r w:rsidRPr="00BA4513">
        <w:rPr>
          <w:rFonts w:ascii="Times New Roman" w:hAnsi="Times New Roman" w:cs="Times New Roman"/>
          <w:sz w:val="24"/>
          <w:szCs w:val="24"/>
        </w:rPr>
        <w:t xml:space="preserve"> and inference with v-spherical distributions”. Journal of the American Statistical Association, 90, 1331-1340. </w:t>
      </w:r>
    </w:p>
    <w:p w14:paraId="218DD3B5"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Ferreira, J. T. A. S. and Steel, M. F. J. (2006). “A constructive representation of univariate skewed distributions”. Journal of the American Statistical Association, 101, 823–829. </w:t>
      </w:r>
    </w:p>
    <w:p w14:paraId="58FF839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Filardo,</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2011.</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impact</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international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crisis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Asia</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Pacific:</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highlighting</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challenges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from</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an</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asset</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price</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bubble</w:t>
      </w:r>
      <w:r w:rsidRPr="00BA4513">
        <w:rPr>
          <w:rFonts w:ascii="Times New Roman" w:hAnsi="Times New Roman" w:cs="Times New Roman"/>
          <w:w w:val="104"/>
          <w:sz w:val="24"/>
          <w:szCs w:val="24"/>
        </w:rPr>
        <w:t xml:space="preserve"> </w:t>
      </w:r>
      <w:r w:rsidRPr="00BA4513">
        <w:rPr>
          <w:rFonts w:ascii="Times New Roman" w:hAnsi="Times New Roman" w:cs="Times New Roman"/>
          <w:w w:val="105"/>
          <w:sz w:val="24"/>
          <w:szCs w:val="24"/>
        </w:rPr>
        <w:t>perspective.</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i/>
          <w:iCs/>
          <w:w w:val="105"/>
          <w:sz w:val="24"/>
          <w:szCs w:val="24"/>
        </w:rPr>
        <w:t>Mimeo</w:t>
      </w:r>
      <w:r w:rsidRPr="00BA4513">
        <w:rPr>
          <w:rFonts w:ascii="Times New Roman" w:hAnsi="Times New Roman" w:cs="Times New Roman"/>
          <w:w w:val="105"/>
          <w:sz w:val="24"/>
          <w:szCs w:val="24"/>
        </w:rPr>
        <w:t>.</w:t>
      </w:r>
    </w:p>
    <w:p w14:paraId="5D684AF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Foos</w:t>
      </w:r>
      <w:proofErr w:type="spellEnd"/>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Norden,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Weber,</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2010.</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Loan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growth</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riskiness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34,</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2929–2940.</w:t>
      </w:r>
    </w:p>
    <w:p w14:paraId="050FC889"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Forbes, K., and R. </w:t>
      </w:r>
      <w:proofErr w:type="spellStart"/>
      <w:r w:rsidRPr="00BA4513">
        <w:rPr>
          <w:rFonts w:ascii="Times New Roman" w:hAnsi="Times New Roman" w:cs="Times New Roman"/>
          <w:sz w:val="24"/>
          <w:szCs w:val="24"/>
        </w:rPr>
        <w:t>Rigobon</w:t>
      </w:r>
      <w:proofErr w:type="spellEnd"/>
      <w:r w:rsidRPr="00BA4513">
        <w:rPr>
          <w:rFonts w:ascii="Times New Roman" w:hAnsi="Times New Roman" w:cs="Times New Roman"/>
          <w:sz w:val="24"/>
          <w:szCs w:val="24"/>
        </w:rPr>
        <w:t xml:space="preserve">, 2002, “No Contagion, Only Interdependence: Measuring Stock Market Co-movements,” Journal of Finance, Vol. 57, No. 5, pp. 2223–61. </w:t>
      </w:r>
    </w:p>
    <w:p w14:paraId="498CE01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Fornari</w:t>
      </w:r>
      <w:proofErr w:type="spellEnd"/>
      <w:r w:rsidRPr="00BA4513">
        <w:rPr>
          <w:rFonts w:ascii="Times New Roman" w:hAnsi="Times New Roman" w:cs="Times New Roman"/>
          <w:sz w:val="24"/>
          <w:szCs w:val="24"/>
        </w:rPr>
        <w:t xml:space="preserve">, F. and Mele, A. (1996) Modelling the changing asymmetry of conditional variances, </w:t>
      </w:r>
      <w:r w:rsidRPr="00BA4513">
        <w:rPr>
          <w:rFonts w:ascii="Times New Roman" w:hAnsi="Times New Roman" w:cs="Times New Roman"/>
          <w:i/>
          <w:iCs/>
          <w:sz w:val="24"/>
          <w:szCs w:val="24"/>
        </w:rPr>
        <w:t>Economics Letters</w:t>
      </w:r>
      <w:r w:rsidRPr="00BA4513">
        <w:rPr>
          <w:rFonts w:ascii="Times New Roman" w:hAnsi="Times New Roman" w:cs="Times New Roman"/>
          <w:sz w:val="24"/>
          <w:szCs w:val="24"/>
        </w:rPr>
        <w:t>. 50, 197–203.</w:t>
      </w:r>
    </w:p>
    <w:p w14:paraId="3C7DFEF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Fornari</w:t>
      </w:r>
      <w:proofErr w:type="spellEnd"/>
      <w:r w:rsidRPr="00BA4513">
        <w:rPr>
          <w:rFonts w:ascii="Times New Roman" w:hAnsi="Times New Roman" w:cs="Times New Roman"/>
          <w:sz w:val="24"/>
          <w:szCs w:val="24"/>
        </w:rPr>
        <w:t xml:space="preserve">, F. and Mele, A. (1997) Sign- and volatility-switching ARCH model: Theory and applications to international stock markets, </w:t>
      </w:r>
      <w:r w:rsidRPr="00BA4513">
        <w:rPr>
          <w:rFonts w:ascii="Times New Roman" w:hAnsi="Times New Roman" w:cs="Times New Roman"/>
          <w:i/>
          <w:iCs/>
          <w:sz w:val="24"/>
          <w:szCs w:val="24"/>
        </w:rPr>
        <w:t>Journal of Applied Econometrics</w:t>
      </w:r>
      <w:r w:rsidRPr="00BA4513">
        <w:rPr>
          <w:rFonts w:ascii="Times New Roman" w:hAnsi="Times New Roman" w:cs="Times New Roman"/>
          <w:sz w:val="24"/>
          <w:szCs w:val="24"/>
        </w:rPr>
        <w:t xml:space="preserve">. 12, 49–65. </w:t>
      </w:r>
    </w:p>
    <w:p w14:paraId="48AC1CEE" w14:textId="77777777" w:rsidR="00BA4513" w:rsidRPr="00BA4513" w:rsidRDefault="00BA4513" w:rsidP="003720DE">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Francq</w:t>
      </w:r>
      <w:proofErr w:type="spellEnd"/>
      <w:r w:rsidRPr="00BA4513">
        <w:rPr>
          <w:rFonts w:ascii="Times New Roman" w:hAnsi="Times New Roman" w:cs="Times New Roman"/>
          <w:sz w:val="24"/>
          <w:szCs w:val="24"/>
        </w:rPr>
        <w:t xml:space="preserve">, C., &amp; </w:t>
      </w:r>
      <w:proofErr w:type="spellStart"/>
      <w:r w:rsidRPr="00BA4513">
        <w:rPr>
          <w:rFonts w:ascii="Times New Roman" w:hAnsi="Times New Roman" w:cs="Times New Roman"/>
          <w:sz w:val="24"/>
          <w:szCs w:val="24"/>
        </w:rPr>
        <w:t>Zakoian</w:t>
      </w:r>
      <w:proofErr w:type="spellEnd"/>
      <w:r w:rsidRPr="00BA4513">
        <w:rPr>
          <w:rFonts w:ascii="Times New Roman" w:hAnsi="Times New Roman" w:cs="Times New Roman"/>
          <w:sz w:val="24"/>
          <w:szCs w:val="24"/>
        </w:rPr>
        <w:t>, J. M. (2019). </w:t>
      </w:r>
      <w:r w:rsidRPr="00BA4513">
        <w:rPr>
          <w:rFonts w:ascii="Times New Roman" w:hAnsi="Times New Roman" w:cs="Times New Roman"/>
        </w:rPr>
        <w:t>GARCH models: Structure, statistical inference and financial applications</w:t>
      </w:r>
      <w:r w:rsidRPr="00BA4513">
        <w:rPr>
          <w:rFonts w:ascii="Times New Roman" w:hAnsi="Times New Roman" w:cs="Times New Roman"/>
          <w:sz w:val="24"/>
          <w:szCs w:val="24"/>
        </w:rPr>
        <w:t>. Hoboken, NJ: John Wiley &amp; Sons.</w:t>
      </w:r>
    </w:p>
    <w:p w14:paraId="0DDEBB5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Friedman,</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1959.</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demand</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some</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theoretical</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empirical</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 xml:space="preserve">results.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Political</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Economy</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67,</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327–351.</w:t>
      </w:r>
    </w:p>
    <w:p w14:paraId="34C4D8A2"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Friedson</w:t>
      </w:r>
      <w:proofErr w:type="spellEnd"/>
      <w:r w:rsidRPr="00BA4513">
        <w:rPr>
          <w:rFonts w:ascii="Times New Roman" w:hAnsi="Times New Roman" w:cs="Times New Roman"/>
          <w:sz w:val="24"/>
          <w:szCs w:val="24"/>
        </w:rPr>
        <w:t xml:space="preserve">, A.I., Matsuzawa, K., Sabia, J.J., 2020. When do shelter-in-place orders fight COVID-19 best? Policy heterogeneity across states and adoption time. </w:t>
      </w:r>
      <w:r w:rsidRPr="00BA4513">
        <w:rPr>
          <w:rFonts w:ascii="Times New Roman" w:hAnsi="Times New Roman" w:cs="Times New Roman"/>
          <w:i/>
          <w:iCs/>
          <w:sz w:val="24"/>
          <w:szCs w:val="24"/>
        </w:rPr>
        <w:t>Econ. Inq</w:t>
      </w:r>
      <w:r w:rsidRPr="00BA4513">
        <w:rPr>
          <w:rFonts w:ascii="Times New Roman" w:hAnsi="Times New Roman" w:cs="Times New Roman"/>
          <w:sz w:val="24"/>
          <w:szCs w:val="24"/>
        </w:rPr>
        <w:t xml:space="preserve">. </w:t>
      </w:r>
    </w:p>
    <w:p w14:paraId="7EB7A04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Fries, S. M., M. Miller, and W. R. M. </w:t>
      </w:r>
      <w:proofErr w:type="spellStart"/>
      <w:r w:rsidRPr="00BA4513">
        <w:rPr>
          <w:rFonts w:ascii="Times New Roman" w:hAnsi="Times New Roman" w:cs="Times New Roman"/>
          <w:sz w:val="24"/>
          <w:szCs w:val="24"/>
        </w:rPr>
        <w:t>Perraudin</w:t>
      </w:r>
      <w:proofErr w:type="spellEnd"/>
      <w:r w:rsidRPr="00BA4513">
        <w:rPr>
          <w:rFonts w:ascii="Times New Roman" w:hAnsi="Times New Roman" w:cs="Times New Roman"/>
          <w:sz w:val="24"/>
          <w:szCs w:val="24"/>
        </w:rPr>
        <w:t xml:space="preserve">, 1997, Debt pricing in industry equilibrium, </w:t>
      </w:r>
      <w:r w:rsidRPr="00BA4513">
        <w:rPr>
          <w:rFonts w:ascii="Times New Roman" w:hAnsi="Times New Roman" w:cs="Times New Roman"/>
          <w:i/>
          <w:sz w:val="24"/>
          <w:szCs w:val="24"/>
        </w:rPr>
        <w:t>Review of Financial Studies</w:t>
      </w:r>
      <w:r w:rsidRPr="00BA4513">
        <w:rPr>
          <w:rFonts w:ascii="Times New Roman" w:hAnsi="Times New Roman" w:cs="Times New Roman"/>
          <w:sz w:val="24"/>
          <w:szCs w:val="24"/>
        </w:rPr>
        <w:t xml:space="preserve"> 10, 39–68. </w:t>
      </w:r>
    </w:p>
    <w:p w14:paraId="658BE2E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Froot,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K.,</w:t>
      </w:r>
      <w:r w:rsidRPr="00BA4513">
        <w:rPr>
          <w:rFonts w:ascii="Times New Roman" w:hAnsi="Times New Roman" w:cs="Times New Roman"/>
          <w:spacing w:val="9"/>
          <w:sz w:val="24"/>
          <w:szCs w:val="24"/>
        </w:rPr>
        <w:t xml:space="preserve"> </w:t>
      </w:r>
      <w:proofErr w:type="spellStart"/>
      <w:r w:rsidRPr="00BA4513">
        <w:rPr>
          <w:rFonts w:ascii="Times New Roman" w:hAnsi="Times New Roman" w:cs="Times New Roman"/>
          <w:sz w:val="24"/>
          <w:szCs w:val="24"/>
        </w:rPr>
        <w:t>Scharfstein</w:t>
      </w:r>
      <w:proofErr w:type="spellEnd"/>
      <w:r w:rsidRPr="00BA4513">
        <w:rPr>
          <w:rFonts w:ascii="Times New Roman" w:hAnsi="Times New Roman" w:cs="Times New Roman"/>
          <w:sz w:val="24"/>
          <w:szCs w:val="24"/>
        </w:rPr>
        <w: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Stein,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1993.</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management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coordinating</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corporate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investment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financing</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policies</w:t>
      </w:r>
      <w:r w:rsidRPr="00BA4513">
        <w:rPr>
          <w:rFonts w:ascii="Times New Roman" w:hAnsi="Times New Roman" w:cs="Times New Roman"/>
          <w:i/>
          <w:iCs/>
          <w:sz w:val="24"/>
          <w:szCs w:val="24"/>
        </w:rPr>
        <w:t>.</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48,</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1629–1658.</w:t>
      </w:r>
    </w:p>
    <w:p w14:paraId="428CE3E1"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Fuller, W. A., (1995). Introduction to Statistical Time Series, 2nd Ed, New York: Wiley</w:t>
      </w:r>
    </w:p>
    <w:p w14:paraId="320F036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Furfine</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2001.</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portfolio</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allocation: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impact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w w:val="104"/>
          <w:sz w:val="24"/>
          <w:szCs w:val="24"/>
        </w:rPr>
        <w:t xml:space="preserve"> </w:t>
      </w:r>
      <w:r w:rsidRPr="00BA4513">
        <w:rPr>
          <w:rFonts w:ascii="Times New Roman" w:hAnsi="Times New Roman" w:cs="Times New Roman"/>
          <w:w w:val="105"/>
          <w:sz w:val="24"/>
          <w:szCs w:val="24"/>
        </w:rPr>
        <w:t>regulatory</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monitoring,</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economic</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conditions.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Services</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w w:val="105"/>
          <w:sz w:val="24"/>
          <w:szCs w:val="24"/>
        </w:rPr>
        <w:t>Research</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20,</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33–56.</w:t>
      </w:r>
    </w:p>
    <w:p w14:paraId="0502905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Furlong,</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Keeley,</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1989.</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risk-taking:</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note.</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13,</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883–891.</w:t>
      </w:r>
    </w:p>
    <w:p w14:paraId="4E69029F"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i/>
          <w:sz w:val="24"/>
          <w:szCs w:val="24"/>
        </w:rPr>
      </w:pPr>
      <w:r w:rsidRPr="00BA4513">
        <w:rPr>
          <w:rFonts w:ascii="Times New Roman" w:hAnsi="Times New Roman" w:cs="Times New Roman"/>
          <w:sz w:val="24"/>
          <w:szCs w:val="24"/>
        </w:rPr>
        <w:t xml:space="preserve">G. D'Amico., 2013. “A semi-Markov approach to the stock valuation problem,” </w:t>
      </w:r>
      <w:r w:rsidRPr="00BA4513">
        <w:rPr>
          <w:rFonts w:ascii="Times New Roman" w:hAnsi="Times New Roman" w:cs="Times New Roman"/>
          <w:i/>
          <w:iCs/>
          <w:sz w:val="24"/>
          <w:szCs w:val="24"/>
        </w:rPr>
        <w:t>Annals of Finance</w:t>
      </w:r>
      <w:r w:rsidRPr="00BA4513">
        <w:rPr>
          <w:rFonts w:ascii="Times New Roman" w:hAnsi="Times New Roman" w:cs="Times New Roman"/>
          <w:sz w:val="24"/>
          <w:szCs w:val="24"/>
        </w:rPr>
        <w:t>, vol. 9, no. 4, pp. 589-610.</w:t>
      </w:r>
    </w:p>
    <w:p w14:paraId="2D966880" w14:textId="28463F4F"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Gajda</w:t>
      </w:r>
      <w:proofErr w:type="spellEnd"/>
      <w:r w:rsidRPr="00BA4513">
        <w:rPr>
          <w:rFonts w:ascii="Times New Roman" w:hAnsi="Times New Roman" w:cs="Times New Roman"/>
          <w:sz w:val="24"/>
          <w:szCs w:val="24"/>
        </w:rPr>
        <w:t>,</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 xml:space="preserve">J. </w:t>
      </w:r>
      <w:proofErr w:type="spellStart"/>
      <w:r w:rsidRPr="00BA4513">
        <w:rPr>
          <w:rFonts w:ascii="Times New Roman" w:hAnsi="Times New Roman" w:cs="Times New Roman"/>
          <w:sz w:val="24"/>
          <w:szCs w:val="24"/>
        </w:rPr>
        <w:t>Wylomanska</w:t>
      </w:r>
      <w:proofErr w:type="spellEnd"/>
      <w:r w:rsidRPr="00BA4513">
        <w:rPr>
          <w:rFonts w:ascii="Times New Roman" w:hAnsi="Times New Roman" w:cs="Times New Roman"/>
          <w:sz w:val="24"/>
          <w:szCs w:val="24"/>
        </w:rPr>
        <w:t>,</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 xml:space="preserve">A. (2012),” </w:t>
      </w:r>
      <w:r w:rsidRPr="00BA4513">
        <w:rPr>
          <w:rFonts w:ascii="Times New Roman" w:hAnsi="Times New Roman" w:cs="Times New Roman"/>
          <w:i/>
          <w:sz w:val="24"/>
          <w:szCs w:val="24"/>
        </w:rPr>
        <w:t xml:space="preserve">Geometric Brownian Motion with Tempered Stable   </w:t>
      </w:r>
    </w:p>
    <w:p w14:paraId="7E33CF1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Gallant, A. Ronald, and George </w:t>
      </w:r>
      <w:proofErr w:type="spellStart"/>
      <w:r w:rsidRPr="00BA4513">
        <w:rPr>
          <w:rFonts w:ascii="Times New Roman" w:hAnsi="Times New Roman" w:cs="Times New Roman"/>
          <w:sz w:val="24"/>
          <w:szCs w:val="24"/>
        </w:rPr>
        <w:t>Tauchen</w:t>
      </w:r>
      <w:proofErr w:type="spellEnd"/>
      <w:r w:rsidRPr="00BA4513">
        <w:rPr>
          <w:rFonts w:ascii="Times New Roman" w:hAnsi="Times New Roman" w:cs="Times New Roman"/>
          <w:sz w:val="24"/>
          <w:szCs w:val="24"/>
        </w:rPr>
        <w:t xml:space="preserve">, 1996, Which moments to match, Econometric Theory 12, 657–681. </w:t>
      </w:r>
    </w:p>
    <w:p w14:paraId="249B8D7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Gallant, A. Ronald, and George </w:t>
      </w:r>
      <w:proofErr w:type="spellStart"/>
      <w:r w:rsidRPr="00BA4513">
        <w:rPr>
          <w:rFonts w:ascii="Times New Roman" w:hAnsi="Times New Roman" w:cs="Times New Roman"/>
          <w:sz w:val="24"/>
          <w:szCs w:val="24"/>
        </w:rPr>
        <w:t>Tauchen</w:t>
      </w:r>
      <w:proofErr w:type="spellEnd"/>
      <w:r w:rsidRPr="00BA4513">
        <w:rPr>
          <w:rFonts w:ascii="Times New Roman" w:hAnsi="Times New Roman" w:cs="Times New Roman"/>
          <w:sz w:val="24"/>
          <w:szCs w:val="24"/>
        </w:rPr>
        <w:t xml:space="preserve">, 1997a, Estimation of continuous-time models for stock returns and interest rates, </w:t>
      </w:r>
      <w:r w:rsidRPr="00F57796">
        <w:rPr>
          <w:rFonts w:ascii="Times New Roman" w:hAnsi="Times New Roman" w:cs="Times New Roman"/>
          <w:i/>
          <w:sz w:val="24"/>
          <w:szCs w:val="24"/>
        </w:rPr>
        <w:t>Macroeconomic Dynamics</w:t>
      </w:r>
      <w:r w:rsidRPr="00BA4513">
        <w:rPr>
          <w:rFonts w:ascii="Times New Roman" w:hAnsi="Times New Roman" w:cs="Times New Roman"/>
          <w:sz w:val="24"/>
          <w:szCs w:val="24"/>
        </w:rPr>
        <w:t xml:space="preserve"> 1, 135–168. </w:t>
      </w:r>
    </w:p>
    <w:p w14:paraId="7E8F541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Gallant, A. Ronald, and George </w:t>
      </w:r>
      <w:proofErr w:type="spellStart"/>
      <w:r w:rsidRPr="00BA4513">
        <w:rPr>
          <w:rFonts w:ascii="Times New Roman" w:hAnsi="Times New Roman" w:cs="Times New Roman"/>
          <w:sz w:val="24"/>
          <w:szCs w:val="24"/>
        </w:rPr>
        <w:t>Tauchen</w:t>
      </w:r>
      <w:proofErr w:type="spellEnd"/>
      <w:r w:rsidRPr="00BA4513">
        <w:rPr>
          <w:rFonts w:ascii="Times New Roman" w:hAnsi="Times New Roman" w:cs="Times New Roman"/>
          <w:sz w:val="24"/>
          <w:szCs w:val="24"/>
        </w:rPr>
        <w:t xml:space="preserve">, 1997b, Estimation of continuous time models for stock returns and interest rates, </w:t>
      </w:r>
      <w:r w:rsidRPr="00F57796">
        <w:rPr>
          <w:rFonts w:ascii="Times New Roman" w:hAnsi="Times New Roman" w:cs="Times New Roman"/>
          <w:i/>
          <w:sz w:val="24"/>
          <w:szCs w:val="24"/>
        </w:rPr>
        <w:t>Macroeconomic Dynamics</w:t>
      </w:r>
      <w:r w:rsidRPr="00BA4513">
        <w:rPr>
          <w:rFonts w:ascii="Times New Roman" w:hAnsi="Times New Roman" w:cs="Times New Roman"/>
          <w:sz w:val="24"/>
          <w:szCs w:val="24"/>
        </w:rPr>
        <w:t xml:space="preserve"> 1, 135–168.</w:t>
      </w:r>
    </w:p>
    <w:p w14:paraId="5B9AD1B9"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Gallant, A.R., Hsieh, D., </w:t>
      </w:r>
      <w:proofErr w:type="spellStart"/>
      <w:r w:rsidRPr="00BA4513">
        <w:rPr>
          <w:rFonts w:ascii="Times New Roman" w:hAnsi="Times New Roman" w:cs="Times New Roman"/>
          <w:sz w:val="24"/>
          <w:szCs w:val="24"/>
        </w:rPr>
        <w:t>Tauchen</w:t>
      </w:r>
      <w:proofErr w:type="spellEnd"/>
      <w:r w:rsidRPr="00BA4513">
        <w:rPr>
          <w:rFonts w:ascii="Times New Roman" w:hAnsi="Times New Roman" w:cs="Times New Roman"/>
          <w:sz w:val="24"/>
          <w:szCs w:val="24"/>
        </w:rPr>
        <w:t>, G., 1997. Estimation of stochastic volatility models with diagnostics</w:t>
      </w:r>
      <w:r w:rsidRPr="00BA4513">
        <w:rPr>
          <w:rFonts w:ascii="Times New Roman" w:hAnsi="Times New Roman" w:cs="Times New Roman"/>
          <w:i/>
          <w:iCs/>
          <w:sz w:val="24"/>
          <w:szCs w:val="24"/>
        </w:rPr>
        <w:t>. J. Econometrics</w:t>
      </w:r>
      <w:r w:rsidRPr="00BA4513">
        <w:rPr>
          <w:rFonts w:ascii="Times New Roman" w:hAnsi="Times New Roman" w:cs="Times New Roman"/>
          <w:sz w:val="24"/>
          <w:szCs w:val="24"/>
        </w:rPr>
        <w:t xml:space="preserve"> 81, 159–192. </w:t>
      </w:r>
    </w:p>
    <w:p w14:paraId="5D6C835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Gambacorta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5"/>
          <w:sz w:val="24"/>
          <w:szCs w:val="24"/>
          <w:lang w:val="es-AR"/>
        </w:rPr>
        <w:t xml:space="preserve"> </w:t>
      </w:r>
      <w:r w:rsidRPr="00BA4513">
        <w:rPr>
          <w:rFonts w:ascii="Times New Roman" w:hAnsi="Times New Roman" w:cs="Times New Roman"/>
          <w:sz w:val="24"/>
          <w:szCs w:val="24"/>
          <w:lang w:val="es-AR"/>
        </w:rPr>
        <w:t>L.,</w:t>
      </w:r>
      <w:r w:rsidRPr="00BA4513">
        <w:rPr>
          <w:rFonts w:ascii="Times New Roman" w:hAnsi="Times New Roman" w:cs="Times New Roman"/>
          <w:spacing w:val="25"/>
          <w:sz w:val="24"/>
          <w:szCs w:val="24"/>
          <w:lang w:val="es-AR"/>
        </w:rPr>
        <w:t xml:space="preserve"> </w:t>
      </w:r>
      <w:proofErr w:type="spellStart"/>
      <w:r w:rsidRPr="00BA4513">
        <w:rPr>
          <w:rFonts w:ascii="Times New Roman" w:hAnsi="Times New Roman" w:cs="Times New Roman"/>
          <w:sz w:val="24"/>
          <w:szCs w:val="24"/>
          <w:lang w:val="es-AR"/>
        </w:rPr>
        <w:t>Mistrulli</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5"/>
          <w:sz w:val="24"/>
          <w:szCs w:val="24"/>
          <w:lang w:val="es-AR"/>
        </w:rPr>
        <w:t xml:space="preserve"> </w:t>
      </w:r>
      <w:r w:rsidRPr="00BA4513">
        <w:rPr>
          <w:rFonts w:ascii="Times New Roman" w:hAnsi="Times New Roman" w:cs="Times New Roman"/>
          <w:sz w:val="24"/>
          <w:szCs w:val="24"/>
          <w:lang w:val="es-AR"/>
        </w:rPr>
        <w:t>P.E.,</w:t>
      </w:r>
      <w:r w:rsidRPr="00BA4513">
        <w:rPr>
          <w:rFonts w:ascii="Times New Roman" w:hAnsi="Times New Roman" w:cs="Times New Roman"/>
          <w:spacing w:val="25"/>
          <w:sz w:val="24"/>
          <w:szCs w:val="24"/>
          <w:lang w:val="es-AR"/>
        </w:rPr>
        <w:t xml:space="preserve"> </w:t>
      </w:r>
      <w:r w:rsidRPr="00BA4513">
        <w:rPr>
          <w:rFonts w:ascii="Times New Roman" w:hAnsi="Times New Roman" w:cs="Times New Roman"/>
          <w:sz w:val="24"/>
          <w:szCs w:val="24"/>
          <w:lang w:val="es-AR"/>
        </w:rPr>
        <w:t>2004.</w:t>
      </w:r>
      <w:r w:rsidRPr="00BA4513">
        <w:rPr>
          <w:rFonts w:ascii="Times New Roman" w:hAnsi="Times New Roman" w:cs="Times New Roman"/>
          <w:spacing w:val="26"/>
          <w:sz w:val="24"/>
          <w:szCs w:val="24"/>
          <w:lang w:val="es-AR"/>
        </w:rPr>
        <w:t xml:space="preserve"> </w:t>
      </w:r>
      <w:r w:rsidRPr="00BA4513">
        <w:rPr>
          <w:rFonts w:ascii="Times New Roman" w:hAnsi="Times New Roman" w:cs="Times New Roman"/>
          <w:sz w:val="24"/>
          <w:szCs w:val="24"/>
        </w:rPr>
        <w:t>Does</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affect</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behaviour?</w:t>
      </w:r>
    </w:p>
    <w:p w14:paraId="26F7985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Gardiner, C., 1985. Stochastic methods. Springer Series in </w:t>
      </w:r>
      <w:proofErr w:type="spellStart"/>
      <w:r w:rsidRPr="00BA4513">
        <w:rPr>
          <w:rFonts w:ascii="Times New Roman" w:hAnsi="Times New Roman" w:cs="Times New Roman"/>
          <w:sz w:val="24"/>
          <w:szCs w:val="24"/>
        </w:rPr>
        <w:t>Synergetics</w:t>
      </w:r>
      <w:proofErr w:type="spellEnd"/>
      <w:r w:rsidRPr="00BA4513">
        <w:rPr>
          <w:rFonts w:ascii="Times New Roman" w:hAnsi="Times New Roman" w:cs="Times New Roman"/>
          <w:sz w:val="24"/>
          <w:szCs w:val="24"/>
        </w:rPr>
        <w:t xml:space="preserve"> (Springer-Verlag, Berlin, 2009). </w:t>
      </w:r>
    </w:p>
    <w:p w14:paraId="039C257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Gerali</w:t>
      </w:r>
      <w:proofErr w:type="spellEnd"/>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0"/>
          <w:sz w:val="24"/>
          <w:szCs w:val="24"/>
        </w:rPr>
        <w:t xml:space="preserve"> </w:t>
      </w:r>
      <w:proofErr w:type="spellStart"/>
      <w:r w:rsidRPr="00BA4513">
        <w:rPr>
          <w:rFonts w:ascii="Times New Roman" w:hAnsi="Times New Roman" w:cs="Times New Roman"/>
          <w:sz w:val="24"/>
          <w:szCs w:val="24"/>
        </w:rPr>
        <w:t>Neri</w:t>
      </w:r>
      <w:proofErr w:type="spellEnd"/>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Sessa,</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Signoretti,</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F.,</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2010.</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banking</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DSGE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model</w:t>
      </w:r>
      <w:r w:rsidRPr="00BA4513">
        <w:rPr>
          <w:rFonts w:ascii="Times New Roman" w:hAnsi="Times New Roman" w:cs="Times New Roman"/>
          <w:w w:val="109"/>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euro</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area.</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Money,</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Credit</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42,</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107–141.</w:t>
      </w:r>
    </w:p>
    <w:p w14:paraId="1856E4C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Gertler,</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4"/>
          <w:w w:val="105"/>
          <w:sz w:val="24"/>
          <w:szCs w:val="24"/>
        </w:rPr>
        <w:t xml:space="preserve"> </w:t>
      </w:r>
      <w:proofErr w:type="spellStart"/>
      <w:r w:rsidRPr="00BA4513">
        <w:rPr>
          <w:rFonts w:ascii="Times New Roman" w:hAnsi="Times New Roman" w:cs="Times New Roman"/>
          <w:w w:val="105"/>
          <w:sz w:val="24"/>
          <w:szCs w:val="24"/>
        </w:rPr>
        <w:t>Kiyotaki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2010.</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intermediation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business</w:t>
      </w:r>
      <w:r w:rsidRPr="00BA4513">
        <w:rPr>
          <w:rFonts w:ascii="Times New Roman" w:hAnsi="Times New Roman" w:cs="Times New Roman"/>
          <w:sz w:val="24"/>
          <w:szCs w:val="24"/>
        </w:rPr>
        <w:t xml:space="preserve"> </w:t>
      </w:r>
      <w:r w:rsidRPr="00BA4513">
        <w:rPr>
          <w:rFonts w:ascii="Times New Roman" w:hAnsi="Times New Roman" w:cs="Times New Roman"/>
          <w:w w:val="105"/>
          <w:sz w:val="24"/>
          <w:szCs w:val="24"/>
        </w:rPr>
        <w:t>cycle</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analysis.</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Friedman,</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B.,</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Woodford,</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i/>
          <w:iCs/>
          <w:w w:val="105"/>
          <w:sz w:val="24"/>
          <w:szCs w:val="24"/>
        </w:rPr>
        <w:t>Handbook</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w w:val="107"/>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vol.</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3.</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North</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Holland,</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Amsterdam</w:t>
      </w:r>
      <w:r w:rsidRPr="00BA4513">
        <w:rPr>
          <w:rFonts w:ascii="Times New Roman" w:hAnsi="Times New Roman" w:cs="Times New Roman"/>
          <w:w w:val="105"/>
          <w:sz w:val="24"/>
          <w:szCs w:val="24"/>
        </w:rPr>
        <w:t>,</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pp.</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547–599.</w:t>
      </w:r>
    </w:p>
    <w:p w14:paraId="5892B0B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Ghysels, E., Harvey, A.C., Renault, E., 1996. Stochastic volatility. In: Rao, C.R., </w:t>
      </w:r>
      <w:proofErr w:type="spellStart"/>
      <w:r w:rsidRPr="00BA4513">
        <w:rPr>
          <w:rFonts w:ascii="Times New Roman" w:hAnsi="Times New Roman" w:cs="Times New Roman"/>
          <w:sz w:val="24"/>
          <w:szCs w:val="24"/>
        </w:rPr>
        <w:t>Maddala</w:t>
      </w:r>
      <w:proofErr w:type="spellEnd"/>
      <w:r w:rsidRPr="00BA4513">
        <w:rPr>
          <w:rFonts w:ascii="Times New Roman" w:hAnsi="Times New Roman" w:cs="Times New Roman"/>
          <w:sz w:val="24"/>
          <w:szCs w:val="24"/>
        </w:rPr>
        <w:t xml:space="preserve">, G.S. (Eds.), Statistical Methods in Finance. </w:t>
      </w:r>
      <w:r w:rsidRPr="00BA4513">
        <w:rPr>
          <w:rFonts w:ascii="Times New Roman" w:hAnsi="Times New Roman" w:cs="Times New Roman"/>
          <w:i/>
          <w:iCs/>
          <w:sz w:val="24"/>
          <w:szCs w:val="24"/>
        </w:rPr>
        <w:t>North-Holland</w:t>
      </w:r>
      <w:r w:rsidRPr="00BA4513">
        <w:rPr>
          <w:rFonts w:ascii="Times New Roman" w:hAnsi="Times New Roman" w:cs="Times New Roman"/>
          <w:sz w:val="24"/>
          <w:szCs w:val="24"/>
        </w:rPr>
        <w:t xml:space="preserve">, Amsterdam, pp. 119–191. </w:t>
      </w:r>
    </w:p>
    <w:p w14:paraId="0E92D00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Glosten</w:t>
      </w:r>
      <w:proofErr w:type="spellEnd"/>
      <w:r w:rsidRPr="00BA4513">
        <w:rPr>
          <w:rFonts w:ascii="Times New Roman" w:hAnsi="Times New Roman" w:cs="Times New Roman"/>
          <w:sz w:val="24"/>
          <w:szCs w:val="24"/>
        </w:rPr>
        <w:t>, L.R., Jagannathan, R. and Runkle, D.E., 1993. On the relation between the expected value and the volatility of the nominal excess return on stocks. The journal of finance, 48(5), pp.1779-1801.</w:t>
      </w:r>
    </w:p>
    <w:p w14:paraId="31425037"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Gonzales-</w:t>
      </w:r>
      <w:proofErr w:type="spellStart"/>
      <w:r w:rsidRPr="00BA4513">
        <w:rPr>
          <w:rFonts w:ascii="Times New Roman" w:hAnsi="Times New Roman" w:cs="Times New Roman"/>
          <w:sz w:val="24"/>
          <w:szCs w:val="24"/>
          <w:lang w:val="es-AR"/>
        </w:rPr>
        <w:t>Garcia</w:t>
      </w:r>
      <w:proofErr w:type="spellEnd"/>
      <w:r w:rsidRPr="00BA4513">
        <w:rPr>
          <w:rFonts w:ascii="Times New Roman" w:hAnsi="Times New Roman" w:cs="Times New Roman"/>
          <w:sz w:val="24"/>
          <w:szCs w:val="24"/>
          <w:lang w:val="es-AR"/>
        </w:rPr>
        <w:t xml:space="preserve">, J., Pastor, G., 2009.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and Macroeconomic Data Quality. </w:t>
      </w:r>
      <w:r w:rsidRPr="00BA4513">
        <w:rPr>
          <w:rFonts w:ascii="Times New Roman" w:hAnsi="Times New Roman" w:cs="Times New Roman"/>
          <w:i/>
          <w:iCs/>
          <w:sz w:val="24"/>
          <w:szCs w:val="24"/>
        </w:rPr>
        <w:t>International Monetary Fund</w:t>
      </w:r>
      <w:r w:rsidRPr="00BA4513">
        <w:rPr>
          <w:rFonts w:ascii="Times New Roman" w:hAnsi="Times New Roman" w:cs="Times New Roman"/>
          <w:sz w:val="24"/>
          <w:szCs w:val="24"/>
        </w:rPr>
        <w:t xml:space="preserve"> Working Paper 2009-10. </w:t>
      </w:r>
    </w:p>
    <w:p w14:paraId="580C1B01"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González-Rivera, G., 1998. Smooth-transition GARCH models. Studies in Nonlinear Dynamics &amp; Econometrics, 3(2).</w:t>
      </w:r>
    </w:p>
    <w:p w14:paraId="6374EB1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Goodfriend</w:t>
      </w:r>
      <w:proofErr w:type="spellEnd"/>
      <w:r w:rsidRPr="00BA4513">
        <w:rPr>
          <w:rFonts w:ascii="Times New Roman" w:hAnsi="Times New Roman" w:cs="Times New Roman"/>
          <w:sz w:val="24"/>
          <w:szCs w:val="24"/>
        </w:rPr>
        <w:t>,</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Narrow</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money,</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broad</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money,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Faust,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Orphanides,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1"/>
          <w:sz w:val="24"/>
          <w:szCs w:val="24"/>
        </w:rPr>
        <w:t xml:space="preserve"> </w:t>
      </w:r>
      <w:proofErr w:type="spellStart"/>
      <w:r w:rsidRPr="00BA4513">
        <w:rPr>
          <w:rFonts w:ascii="Times New Roman" w:hAnsi="Times New Roman" w:cs="Times New Roman"/>
          <w:sz w:val="24"/>
          <w:szCs w:val="24"/>
        </w:rPr>
        <w:t>Reifschneider</w:t>
      </w:r>
      <w:proofErr w:type="spellEnd"/>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(Eds.),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Models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Research</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Tradition</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Dale</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Henderson,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Richard</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Porter,</w:t>
      </w:r>
      <w:r w:rsidRPr="00BA4513">
        <w:rPr>
          <w:rFonts w:ascii="Times New Roman" w:hAnsi="Times New Roman" w:cs="Times New Roman"/>
          <w:w w:val="10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Peter</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Tinsley.</w:t>
      </w:r>
      <w:r w:rsidRPr="00BA4513">
        <w:rPr>
          <w:rFonts w:ascii="Times New Roman" w:hAnsi="Times New Roman" w:cs="Times New Roman"/>
          <w:spacing w:val="9"/>
          <w:sz w:val="24"/>
          <w:szCs w:val="24"/>
        </w:rPr>
        <w:t xml:space="preserve"> </w:t>
      </w:r>
      <w:r w:rsidRPr="00BA4513">
        <w:rPr>
          <w:rFonts w:ascii="Times New Roman" w:hAnsi="Times New Roman" w:cs="Times New Roman"/>
          <w:i/>
          <w:iCs/>
          <w:sz w:val="24"/>
          <w:szCs w:val="24"/>
        </w:rPr>
        <w:t>Board</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Governors</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the</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Federal</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Reserve</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System</w:t>
      </w:r>
      <w:r w:rsidRPr="00BA4513">
        <w:rPr>
          <w:rFonts w:ascii="Times New Roman" w:hAnsi="Times New Roman" w:cs="Times New Roman"/>
          <w:sz w:val="24"/>
          <w:szCs w:val="24"/>
        </w:rPr>
        <w:t>.</w:t>
      </w:r>
    </w:p>
    <w:p w14:paraId="176B1F7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Goodfriend</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McCallum,</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B.,</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rates</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w w:val="108"/>
          <w:sz w:val="24"/>
          <w:szCs w:val="24"/>
        </w:rPr>
        <w:t xml:space="preserve"> </w:t>
      </w:r>
      <w:r w:rsidRPr="00BA4513">
        <w:rPr>
          <w:rFonts w:ascii="Times New Roman" w:hAnsi="Times New Roman" w:cs="Times New Roman"/>
          <w:w w:val="105"/>
          <w:sz w:val="24"/>
          <w:szCs w:val="24"/>
        </w:rPr>
        <w:t>analysis: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quantitative</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exploration.</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5,</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4.</w:t>
      </w:r>
    </w:p>
    <w:p w14:paraId="03A2800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Goodhart,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Some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new</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directions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stability?</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Per</w:t>
      </w:r>
      <w:r w:rsidRPr="00BA4513">
        <w:rPr>
          <w:rFonts w:ascii="Times New Roman" w:hAnsi="Times New Roman" w:cs="Times New Roman"/>
          <w:spacing w:val="10"/>
          <w:sz w:val="24"/>
          <w:szCs w:val="24"/>
        </w:rPr>
        <w:t xml:space="preserve"> </w:t>
      </w:r>
      <w:proofErr w:type="spellStart"/>
      <w:r w:rsidRPr="00BA4513">
        <w:rPr>
          <w:rFonts w:ascii="Times New Roman" w:hAnsi="Times New Roman" w:cs="Times New Roman"/>
          <w:sz w:val="24"/>
          <w:szCs w:val="24"/>
        </w:rPr>
        <w:t>Jacobsson</w:t>
      </w:r>
      <w:proofErr w:type="spellEnd"/>
      <w:r w:rsidRPr="00BA4513">
        <w:rPr>
          <w:rFonts w:ascii="Times New Roman" w:hAnsi="Times New Roman" w:cs="Times New Roman"/>
          <w:w w:val="97"/>
          <w:sz w:val="24"/>
          <w:szCs w:val="24"/>
        </w:rPr>
        <w:t xml:space="preserve"> </w:t>
      </w:r>
      <w:r w:rsidRPr="00BA4513">
        <w:rPr>
          <w:rFonts w:ascii="Times New Roman" w:hAnsi="Times New Roman" w:cs="Times New Roman"/>
          <w:sz w:val="24"/>
          <w:szCs w:val="24"/>
        </w:rPr>
        <w:t>Lecture,</w:t>
      </w:r>
      <w:r w:rsidRPr="00BA4513">
        <w:rPr>
          <w:rFonts w:ascii="Times New Roman" w:hAnsi="Times New Roman" w:cs="Times New Roman"/>
          <w:spacing w:val="-5"/>
          <w:sz w:val="24"/>
          <w:szCs w:val="24"/>
        </w:rPr>
        <w:t xml:space="preserve"> </w:t>
      </w:r>
      <w:r w:rsidRPr="00BA4513">
        <w:rPr>
          <w:rFonts w:ascii="Times New Roman" w:hAnsi="Times New Roman" w:cs="Times New Roman"/>
          <w:i/>
          <w:iCs/>
          <w:sz w:val="24"/>
          <w:szCs w:val="24"/>
        </w:rPr>
        <w:t>Zürich,</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Switzerland,</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June</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27.</w:t>
      </w:r>
    </w:p>
    <w:p w14:paraId="0C16730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Goodhart,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5"/>
          <w:sz w:val="24"/>
          <w:szCs w:val="24"/>
        </w:rPr>
        <w:t xml:space="preserve"> </w:t>
      </w:r>
      <w:proofErr w:type="spellStart"/>
      <w:r w:rsidRPr="00BA4513">
        <w:rPr>
          <w:rFonts w:ascii="Times New Roman" w:hAnsi="Times New Roman" w:cs="Times New Roman"/>
          <w:sz w:val="24"/>
          <w:szCs w:val="24"/>
        </w:rPr>
        <w:t>Sunirand</w:t>
      </w:r>
      <w:proofErr w:type="spellEnd"/>
      <w:r w:rsidRPr="00BA4513">
        <w:rPr>
          <w:rFonts w:ascii="Times New Roman" w:hAnsi="Times New Roman" w:cs="Times New Roman"/>
          <w:sz w:val="24"/>
          <w:szCs w:val="24"/>
        </w:rPr>
        <w: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5"/>
          <w:sz w:val="24"/>
          <w:szCs w:val="24"/>
        </w:rPr>
        <w:t xml:space="preserve"> </w:t>
      </w:r>
      <w:proofErr w:type="spellStart"/>
      <w:r w:rsidRPr="00BA4513">
        <w:rPr>
          <w:rFonts w:ascii="Times New Roman" w:hAnsi="Times New Roman" w:cs="Times New Roman"/>
          <w:sz w:val="24"/>
          <w:szCs w:val="24"/>
        </w:rPr>
        <w:t>Tsomocos</w:t>
      </w:r>
      <w:proofErr w:type="spellEnd"/>
      <w:r w:rsidRPr="00BA4513">
        <w:rPr>
          <w:rFonts w:ascii="Times New Roman" w:hAnsi="Times New Roman" w:cs="Times New Roman"/>
          <w:sz w:val="24"/>
          <w:szCs w:val="24"/>
        </w:rPr>
        <w: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model</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to</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analyse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fragility.</w:t>
      </w:r>
    </w:p>
    <w:p w14:paraId="5448596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Gordy,</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Howells,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B.,</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Procyclicality</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Basel</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II:</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can</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we</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treat</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disease</w:t>
      </w:r>
      <w:r w:rsidRPr="00BA4513">
        <w:rPr>
          <w:rFonts w:ascii="Times New Roman" w:hAnsi="Times New Roman" w:cs="Times New Roman"/>
          <w:w w:val="103"/>
          <w:sz w:val="24"/>
          <w:szCs w:val="24"/>
        </w:rPr>
        <w:t xml:space="preserve"> </w:t>
      </w:r>
      <w:r w:rsidRPr="00BA4513">
        <w:rPr>
          <w:rFonts w:ascii="Times New Roman" w:hAnsi="Times New Roman" w:cs="Times New Roman"/>
          <w:w w:val="105"/>
          <w:sz w:val="24"/>
          <w:szCs w:val="24"/>
        </w:rPr>
        <w:t>without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killing</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patient?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Intermediation</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15,</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395–417.</w:t>
      </w:r>
    </w:p>
    <w:p w14:paraId="769B3157"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Granger, C.W.J., Hyung, N., 2004. Occasional structural breaks and long memory with an application to the SP500 absolute stock returns. </w:t>
      </w:r>
      <w:r w:rsidRPr="00BA4513">
        <w:rPr>
          <w:rFonts w:ascii="Times New Roman" w:hAnsi="Times New Roman" w:cs="Times New Roman"/>
          <w:i/>
          <w:iCs/>
          <w:sz w:val="24"/>
          <w:szCs w:val="24"/>
        </w:rPr>
        <w:t>J. Empirical Finance</w:t>
      </w:r>
      <w:r w:rsidRPr="00BA4513">
        <w:rPr>
          <w:rFonts w:ascii="Times New Roman" w:hAnsi="Times New Roman" w:cs="Times New Roman"/>
          <w:sz w:val="24"/>
          <w:szCs w:val="24"/>
        </w:rPr>
        <w:t xml:space="preserve"> 11, 399–421. </w:t>
      </w:r>
    </w:p>
    <w:p w14:paraId="3AC0BDC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Greenspan,</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2005.</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Reflections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central</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Remarks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at</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Greenspan</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Era:</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Lessons</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Future—</w:t>
      </w:r>
      <w:r w:rsidRPr="00BA4513">
        <w:rPr>
          <w:rFonts w:ascii="Times New Roman" w:hAnsi="Times New Roman" w:cs="Times New Roman"/>
          <w:i/>
          <w:iCs/>
          <w:w w:val="105"/>
          <w:sz w:val="24"/>
          <w:szCs w:val="24"/>
        </w:rPr>
        <w:t>A</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Symposium</w:t>
      </w:r>
      <w:r w:rsidRPr="00BA4513">
        <w:rPr>
          <w:rFonts w:ascii="Times New Roman" w:hAnsi="Times New Roman" w:cs="Times New Roman"/>
          <w:i/>
          <w:iCs/>
          <w:spacing w:val="-3"/>
          <w:w w:val="105"/>
          <w:sz w:val="24"/>
          <w:szCs w:val="24"/>
        </w:rPr>
        <w:t xml:space="preserve"> </w:t>
      </w:r>
      <w:r w:rsidRPr="00BA4513">
        <w:rPr>
          <w:rFonts w:ascii="Times New Roman" w:hAnsi="Times New Roman" w:cs="Times New Roman"/>
          <w:i/>
          <w:iCs/>
          <w:w w:val="105"/>
          <w:sz w:val="24"/>
          <w:szCs w:val="24"/>
        </w:rPr>
        <w:t>Sponsored</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by</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3"/>
          <w:w w:val="105"/>
          <w:sz w:val="24"/>
          <w:szCs w:val="24"/>
        </w:rPr>
        <w:t xml:space="preserve"> </w:t>
      </w:r>
      <w:r w:rsidRPr="00BA4513">
        <w:rPr>
          <w:rFonts w:ascii="Times New Roman" w:hAnsi="Times New Roman" w:cs="Times New Roman"/>
          <w:i/>
          <w:iCs/>
          <w:w w:val="105"/>
          <w:sz w:val="24"/>
          <w:szCs w:val="24"/>
        </w:rPr>
        <w:t>Federal</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Reserve Bank</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Kansas</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City,</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Jackson</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Hole</w:t>
      </w:r>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Wyoming,</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August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25–27.</w:t>
      </w:r>
    </w:p>
    <w:p w14:paraId="0F3D802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Greenwald,</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Stiglitz,</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1988.</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Imperfect</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information,</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constraints,</w:t>
      </w:r>
      <w:r w:rsidRPr="00BA4513">
        <w:rPr>
          <w:rFonts w:ascii="Times New Roman" w:hAnsi="Times New Roman" w:cs="Times New Roman"/>
          <w:spacing w:val="2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fluctuations.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Kohn,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(Ed.),</w:t>
      </w:r>
      <w:r w:rsidRPr="00BA4513">
        <w:rPr>
          <w:rFonts w:ascii="Times New Roman" w:hAnsi="Times New Roman" w:cs="Times New Roman"/>
          <w:spacing w:val="-5"/>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Constraints,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Expectations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w w:val="102"/>
          <w:sz w:val="24"/>
          <w:szCs w:val="24"/>
        </w:rPr>
        <w:t xml:space="preserve"> </w:t>
      </w:r>
      <w:r w:rsidRPr="00BA4513">
        <w:rPr>
          <w:rFonts w:ascii="Times New Roman" w:hAnsi="Times New Roman" w:cs="Times New Roman"/>
          <w:i/>
          <w:iCs/>
          <w:sz w:val="24"/>
          <w:szCs w:val="24"/>
        </w:rPr>
        <w:t>Macroeconomics</w:t>
      </w:r>
      <w:r w:rsidRPr="00BA4513">
        <w:rPr>
          <w:rFonts w:ascii="Times New Roman" w:hAnsi="Times New Roman" w:cs="Times New Roman"/>
          <w:sz w:val="24"/>
          <w:szCs w:val="24"/>
        </w:rPr>
        <w:t>.</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pp.</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103–140.</w:t>
      </w:r>
    </w:p>
    <w:p w14:paraId="4569C0C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Greenwald,</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Stiglitz,</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1993.</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imperfections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cycles.</w:t>
      </w:r>
    </w:p>
    <w:p w14:paraId="0515EBD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Grenadier, Steve R., 1999, Information revelation through option exercise, </w:t>
      </w:r>
      <w:r w:rsidRPr="00BA4513">
        <w:rPr>
          <w:rFonts w:ascii="Times New Roman" w:hAnsi="Times New Roman" w:cs="Times New Roman"/>
          <w:i/>
          <w:sz w:val="24"/>
          <w:szCs w:val="24"/>
        </w:rPr>
        <w:t>Review of Financial Studies</w:t>
      </w:r>
      <w:r w:rsidRPr="00BA4513">
        <w:rPr>
          <w:rFonts w:ascii="Times New Roman" w:hAnsi="Times New Roman" w:cs="Times New Roman"/>
          <w:sz w:val="24"/>
          <w:szCs w:val="24"/>
        </w:rPr>
        <w:t xml:space="preserve"> 12, 95–130. </w:t>
      </w:r>
    </w:p>
    <w:p w14:paraId="350449A7" w14:textId="04C92C0A"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Grima</w:t>
      </w:r>
      <w:proofErr w:type="spellEnd"/>
      <w:r w:rsidRPr="00BA4513">
        <w:rPr>
          <w:rFonts w:ascii="Times New Roman" w:hAnsi="Times New Roman" w:cs="Times New Roman"/>
          <w:sz w:val="24"/>
          <w:szCs w:val="24"/>
        </w:rPr>
        <w:t>,</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 xml:space="preserve">R. </w:t>
      </w:r>
      <w:proofErr w:type="spellStart"/>
      <w:r w:rsidRPr="00BA4513">
        <w:rPr>
          <w:rFonts w:ascii="Times New Roman" w:hAnsi="Times New Roman" w:cs="Times New Roman"/>
          <w:sz w:val="24"/>
          <w:szCs w:val="24"/>
        </w:rPr>
        <w:t>Yaliraki</w:t>
      </w:r>
      <w:proofErr w:type="spellEnd"/>
      <w:r w:rsidRPr="00BA4513">
        <w:rPr>
          <w:rFonts w:ascii="Times New Roman" w:hAnsi="Times New Roman" w:cs="Times New Roman"/>
          <w:sz w:val="24"/>
          <w:szCs w:val="24"/>
        </w:rPr>
        <w:t>,</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S.</w:t>
      </w:r>
      <w:r w:rsidR="00F57796">
        <w:rPr>
          <w:rFonts w:ascii="Times New Roman" w:hAnsi="Times New Roman" w:cs="Times New Roman"/>
          <w:sz w:val="24"/>
          <w:szCs w:val="24"/>
        </w:rPr>
        <w:t xml:space="preserve"> </w:t>
      </w:r>
      <w:r w:rsidRPr="00BA4513">
        <w:rPr>
          <w:rFonts w:ascii="Times New Roman" w:hAnsi="Times New Roman" w:cs="Times New Roman"/>
          <w:sz w:val="24"/>
          <w:szCs w:val="24"/>
        </w:rPr>
        <w:t>N. (2007), “</w:t>
      </w:r>
      <w:r w:rsidRPr="00BA4513">
        <w:rPr>
          <w:rFonts w:ascii="Times New Roman" w:hAnsi="Times New Roman" w:cs="Times New Roman"/>
          <w:i/>
          <w:sz w:val="24"/>
          <w:szCs w:val="24"/>
        </w:rPr>
        <w:t>Brownian motion of an asymmetrical particle in a potential field</w:t>
      </w:r>
      <w:r w:rsidRPr="00BA4513">
        <w:rPr>
          <w:rFonts w:ascii="Times New Roman" w:hAnsi="Times New Roman" w:cs="Times New Roman"/>
          <w:sz w:val="24"/>
          <w:szCs w:val="24"/>
        </w:rPr>
        <w:t>”. Journal of Chemical Physics 127,084511 (2007).</w:t>
      </w:r>
    </w:p>
    <w:p w14:paraId="008A634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Gruen,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Plumb,</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Stone,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2005.</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How</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should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respond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to</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asset-</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price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bubbles?</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i/>
          <w:iCs/>
          <w:w w:val="105"/>
          <w:sz w:val="24"/>
          <w:szCs w:val="24"/>
        </w:rPr>
        <w:t>International</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Central</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1,</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1–31.</w:t>
      </w:r>
    </w:p>
    <w:p w14:paraId="580EC1C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Hänsel</w:t>
      </w:r>
      <w:proofErr w:type="spellEnd"/>
      <w:r w:rsidRPr="00BA4513">
        <w:rPr>
          <w:rFonts w:ascii="Times New Roman" w:hAnsi="Times New Roman" w:cs="Times New Roman"/>
          <w:sz w:val="24"/>
          <w:szCs w:val="24"/>
        </w:rPr>
        <w: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D.,</w:t>
      </w:r>
      <w:r w:rsidRPr="00BA4513">
        <w:rPr>
          <w:rFonts w:ascii="Times New Roman" w:hAnsi="Times New Roman" w:cs="Times New Roman"/>
          <w:spacing w:val="-1"/>
          <w:sz w:val="24"/>
          <w:szCs w:val="24"/>
        </w:rPr>
        <w:t xml:space="preserve"> </w:t>
      </w:r>
      <w:proofErr w:type="spellStart"/>
      <w:r w:rsidRPr="00BA4513">
        <w:rPr>
          <w:rFonts w:ascii="Times New Roman" w:hAnsi="Times New Roman" w:cs="Times New Roman"/>
          <w:sz w:val="24"/>
          <w:szCs w:val="24"/>
        </w:rPr>
        <w:t>Krahnen</w:t>
      </w:r>
      <w:proofErr w:type="spellEnd"/>
      <w:r w:rsidRPr="00BA4513">
        <w:rPr>
          <w:rFonts w:ascii="Times New Roman" w:hAnsi="Times New Roman" w:cs="Times New Roman"/>
          <w:sz w:val="24"/>
          <w:szCs w:val="24"/>
        </w:rPr>
        <w:t>, J.,</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Does credit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securitization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reduce bank</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Evidence</w:t>
      </w:r>
      <w:r w:rsidRPr="00BA4513">
        <w:rPr>
          <w:rFonts w:ascii="Times New Roman" w:hAnsi="Times New Roman" w:cs="Times New Roman"/>
          <w:w w:val="104"/>
          <w:sz w:val="24"/>
          <w:szCs w:val="24"/>
        </w:rPr>
        <w:t xml:space="preserve"> </w:t>
      </w:r>
      <w:r w:rsidRPr="00BA4513">
        <w:rPr>
          <w:rFonts w:ascii="Times New Roman" w:hAnsi="Times New Roman" w:cs="Times New Roman"/>
          <w:sz w:val="24"/>
          <w:szCs w:val="24"/>
        </w:rPr>
        <w:t>from</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European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CDO</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Paper.</w:t>
      </w:r>
    </w:p>
    <w:p w14:paraId="492CD13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Hansen, Lars Peter, and Jose Alexandre </w:t>
      </w:r>
      <w:proofErr w:type="spellStart"/>
      <w:r w:rsidRPr="00BA4513">
        <w:rPr>
          <w:rFonts w:ascii="Times New Roman" w:hAnsi="Times New Roman" w:cs="Times New Roman"/>
          <w:sz w:val="24"/>
          <w:szCs w:val="24"/>
        </w:rPr>
        <w:t>Scheinkman</w:t>
      </w:r>
      <w:proofErr w:type="spellEnd"/>
      <w:r w:rsidRPr="00BA4513">
        <w:rPr>
          <w:rFonts w:ascii="Times New Roman" w:hAnsi="Times New Roman" w:cs="Times New Roman"/>
          <w:sz w:val="24"/>
          <w:szCs w:val="24"/>
        </w:rPr>
        <w:t xml:space="preserve">, 1995, Back to the future: Generating moment implications for continuous-time Markov processes, </w:t>
      </w:r>
      <w:proofErr w:type="spellStart"/>
      <w:r w:rsidRPr="00BA4513">
        <w:rPr>
          <w:rFonts w:ascii="Times New Roman" w:hAnsi="Times New Roman" w:cs="Times New Roman"/>
          <w:i/>
          <w:sz w:val="24"/>
          <w:szCs w:val="24"/>
        </w:rPr>
        <w:t>Econometrica</w:t>
      </w:r>
      <w:proofErr w:type="spellEnd"/>
      <w:r w:rsidRPr="00BA4513">
        <w:rPr>
          <w:rFonts w:ascii="Times New Roman" w:hAnsi="Times New Roman" w:cs="Times New Roman"/>
          <w:sz w:val="24"/>
          <w:szCs w:val="24"/>
        </w:rPr>
        <w:t xml:space="preserve"> 63, 767–804. </w:t>
      </w:r>
    </w:p>
    <w:p w14:paraId="57636C8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Harrison, J. M., 1985, Brownian Motion and Stochastic Flow Systems ~Wiley, New York</w:t>
      </w:r>
    </w:p>
    <w:p w14:paraId="1C470AF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Harrison, J. M., and D. Kreps, 1979, Martingales and arbitrage in multiperiod securities markets, </w:t>
      </w:r>
      <w:r w:rsidRPr="00BA4513">
        <w:rPr>
          <w:rFonts w:ascii="Times New Roman" w:hAnsi="Times New Roman" w:cs="Times New Roman"/>
          <w:i/>
          <w:sz w:val="24"/>
          <w:szCs w:val="24"/>
        </w:rPr>
        <w:t>Journal of Economic Theory</w:t>
      </w:r>
      <w:r w:rsidRPr="00BA4513">
        <w:rPr>
          <w:rFonts w:ascii="Times New Roman" w:hAnsi="Times New Roman" w:cs="Times New Roman"/>
          <w:sz w:val="24"/>
          <w:szCs w:val="24"/>
        </w:rPr>
        <w:t xml:space="preserve"> 2, 381–408. </w:t>
      </w:r>
    </w:p>
    <w:p w14:paraId="6C7CD86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Harvey, A.C., 1998. Long-memory in stochastic volatility. In: Knight, J., Satchell, S.E. (Eds.), Forecasting Volatility in Financial Markets. </w:t>
      </w:r>
      <w:r w:rsidRPr="00BA4513">
        <w:rPr>
          <w:rFonts w:ascii="Times New Roman" w:hAnsi="Times New Roman" w:cs="Times New Roman"/>
          <w:i/>
          <w:iCs/>
          <w:sz w:val="24"/>
          <w:szCs w:val="24"/>
        </w:rPr>
        <w:t>Butterworth-Heinemann</w:t>
      </w:r>
      <w:r w:rsidRPr="00BA4513">
        <w:rPr>
          <w:rFonts w:ascii="Times New Roman" w:hAnsi="Times New Roman" w:cs="Times New Roman"/>
          <w:sz w:val="24"/>
          <w:szCs w:val="24"/>
        </w:rPr>
        <w:t xml:space="preserve">, London. </w:t>
      </w:r>
    </w:p>
    <w:p w14:paraId="0C87FC5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Harvey, A.C., Shephard, N.G., 1996. Estimation of an asymmetric stochastic volatility model for asset returns. </w:t>
      </w:r>
      <w:r w:rsidRPr="00BA4513">
        <w:rPr>
          <w:rFonts w:ascii="Times New Roman" w:hAnsi="Times New Roman" w:cs="Times New Roman"/>
          <w:i/>
          <w:iCs/>
          <w:sz w:val="24"/>
          <w:szCs w:val="24"/>
        </w:rPr>
        <w:t xml:space="preserve">J. Business </w:t>
      </w:r>
      <w:proofErr w:type="spellStart"/>
      <w:r w:rsidRPr="00BA4513">
        <w:rPr>
          <w:rFonts w:ascii="Times New Roman" w:hAnsi="Times New Roman" w:cs="Times New Roman"/>
          <w:i/>
          <w:iCs/>
          <w:sz w:val="24"/>
          <w:szCs w:val="24"/>
        </w:rPr>
        <w:t>Econom</w:t>
      </w:r>
      <w:proofErr w:type="spellEnd"/>
      <w:r w:rsidRPr="00BA4513">
        <w:rPr>
          <w:rFonts w:ascii="Times New Roman" w:hAnsi="Times New Roman" w:cs="Times New Roman"/>
          <w:i/>
          <w:iCs/>
          <w:sz w:val="24"/>
          <w:szCs w:val="24"/>
        </w:rPr>
        <w:t>. Statist</w:t>
      </w:r>
      <w:r w:rsidRPr="00BA4513">
        <w:rPr>
          <w:rFonts w:ascii="Times New Roman" w:hAnsi="Times New Roman" w:cs="Times New Roman"/>
          <w:sz w:val="24"/>
          <w:szCs w:val="24"/>
        </w:rPr>
        <w:t xml:space="preserve">. 14, 429–434. </w:t>
      </w:r>
    </w:p>
    <w:p w14:paraId="57E812D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He, C., </w:t>
      </w:r>
      <w:proofErr w:type="spellStart"/>
      <w:r w:rsidRPr="00BA4513">
        <w:rPr>
          <w:rFonts w:ascii="Times New Roman" w:hAnsi="Times New Roman" w:cs="Times New Roman"/>
          <w:sz w:val="24"/>
          <w:szCs w:val="24"/>
        </w:rPr>
        <w:t>Teräsvirta</w:t>
      </w:r>
      <w:proofErr w:type="spellEnd"/>
      <w:r w:rsidRPr="00BA4513">
        <w:rPr>
          <w:rFonts w:ascii="Times New Roman" w:hAnsi="Times New Roman" w:cs="Times New Roman"/>
          <w:sz w:val="24"/>
          <w:szCs w:val="24"/>
        </w:rPr>
        <w:t xml:space="preserve">, T., </w:t>
      </w:r>
      <w:proofErr w:type="spellStart"/>
      <w:r w:rsidRPr="00BA4513">
        <w:rPr>
          <w:rFonts w:ascii="Times New Roman" w:hAnsi="Times New Roman" w:cs="Times New Roman"/>
          <w:sz w:val="24"/>
          <w:szCs w:val="24"/>
        </w:rPr>
        <w:t>Malmsten</w:t>
      </w:r>
      <w:proofErr w:type="spellEnd"/>
      <w:r w:rsidRPr="00BA4513">
        <w:rPr>
          <w:rFonts w:ascii="Times New Roman" w:hAnsi="Times New Roman" w:cs="Times New Roman"/>
          <w:sz w:val="24"/>
          <w:szCs w:val="24"/>
        </w:rPr>
        <w:t xml:space="preserve">, H., 2002. Moment structure of a family of first-order exponential GARCH models. </w:t>
      </w:r>
      <w:r w:rsidRPr="00BA4513">
        <w:rPr>
          <w:rFonts w:ascii="Times New Roman" w:hAnsi="Times New Roman" w:cs="Times New Roman"/>
          <w:i/>
          <w:iCs/>
          <w:sz w:val="24"/>
          <w:szCs w:val="24"/>
        </w:rPr>
        <w:t>Econometric Theory</w:t>
      </w:r>
      <w:r w:rsidRPr="00BA4513">
        <w:rPr>
          <w:rFonts w:ascii="Times New Roman" w:hAnsi="Times New Roman" w:cs="Times New Roman"/>
          <w:sz w:val="24"/>
          <w:szCs w:val="24"/>
        </w:rPr>
        <w:t xml:space="preserve"> 18, 868–885. </w:t>
      </w:r>
    </w:p>
    <w:p w14:paraId="7D2759E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Heid,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cyclical</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effects</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Basel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II</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i/>
          <w:iCs/>
          <w:w w:val="105"/>
          <w:sz w:val="24"/>
          <w:szCs w:val="24"/>
        </w:rPr>
        <w:t>.</w:t>
      </w:r>
      <w:r w:rsidRPr="00BA4513">
        <w:rPr>
          <w:rFonts w:ascii="Times New Roman" w:hAnsi="Times New Roman" w:cs="Times New Roman"/>
          <w:i/>
          <w:iCs/>
          <w:spacing w:val="-3"/>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31,</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3885–3900.</w:t>
      </w:r>
    </w:p>
    <w:p w14:paraId="69B1F685"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Holz</w:t>
      </w:r>
      <w:proofErr w:type="spellEnd"/>
      <w:r w:rsidRPr="00BA4513">
        <w:rPr>
          <w:rFonts w:ascii="Times New Roman" w:hAnsi="Times New Roman" w:cs="Times New Roman"/>
          <w:sz w:val="24"/>
          <w:szCs w:val="24"/>
        </w:rPr>
        <w:t xml:space="preserve">, C.A., 2014. The quality of China’s GDP statistics. China Econ. Rev. 30, 309–338. </w:t>
      </w:r>
    </w:p>
    <w:p w14:paraId="6B4B3E4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lang w:val="es-AR"/>
        </w:rPr>
        <w:t>Hördahl</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6"/>
          <w:w w:val="105"/>
          <w:sz w:val="24"/>
          <w:szCs w:val="24"/>
          <w:lang w:val="es-AR"/>
        </w:rPr>
        <w:t xml:space="preserve"> </w:t>
      </w:r>
      <w:r w:rsidRPr="00BA4513">
        <w:rPr>
          <w:rFonts w:ascii="Times New Roman" w:hAnsi="Times New Roman" w:cs="Times New Roman"/>
          <w:w w:val="105"/>
          <w:sz w:val="24"/>
          <w:szCs w:val="24"/>
          <w:lang w:val="es-AR"/>
        </w:rPr>
        <w:t>P.,</w:t>
      </w:r>
      <w:r w:rsidRPr="00BA4513">
        <w:rPr>
          <w:rFonts w:ascii="Times New Roman" w:hAnsi="Times New Roman" w:cs="Times New Roman"/>
          <w:spacing w:val="-6"/>
          <w:w w:val="105"/>
          <w:sz w:val="24"/>
          <w:szCs w:val="24"/>
          <w:lang w:val="es-AR"/>
        </w:rPr>
        <w:t xml:space="preserve"> </w:t>
      </w:r>
      <w:proofErr w:type="spellStart"/>
      <w:r w:rsidRPr="00BA4513">
        <w:rPr>
          <w:rFonts w:ascii="Times New Roman" w:hAnsi="Times New Roman" w:cs="Times New Roman"/>
          <w:w w:val="105"/>
          <w:sz w:val="24"/>
          <w:szCs w:val="24"/>
          <w:lang w:val="es-AR"/>
        </w:rPr>
        <w:t>Tristani</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6"/>
          <w:w w:val="105"/>
          <w:sz w:val="24"/>
          <w:szCs w:val="24"/>
          <w:lang w:val="es-AR"/>
        </w:rPr>
        <w:t xml:space="preserve"> </w:t>
      </w:r>
      <w:r w:rsidRPr="00BA4513">
        <w:rPr>
          <w:rFonts w:ascii="Times New Roman" w:hAnsi="Times New Roman" w:cs="Times New Roman"/>
          <w:w w:val="105"/>
          <w:sz w:val="24"/>
          <w:szCs w:val="24"/>
          <w:lang w:val="es-AR"/>
        </w:rPr>
        <w:t>O.,</w:t>
      </w:r>
      <w:r w:rsidRPr="00BA4513">
        <w:rPr>
          <w:rFonts w:ascii="Times New Roman" w:hAnsi="Times New Roman" w:cs="Times New Roman"/>
          <w:spacing w:val="-5"/>
          <w:w w:val="105"/>
          <w:sz w:val="24"/>
          <w:szCs w:val="24"/>
          <w:lang w:val="es-AR"/>
        </w:rPr>
        <w:t xml:space="preserve"> </w:t>
      </w:r>
      <w:proofErr w:type="spellStart"/>
      <w:r w:rsidRPr="00BA4513">
        <w:rPr>
          <w:rFonts w:ascii="Times New Roman" w:hAnsi="Times New Roman" w:cs="Times New Roman"/>
          <w:w w:val="105"/>
          <w:sz w:val="24"/>
          <w:szCs w:val="24"/>
          <w:lang w:val="es-AR"/>
        </w:rPr>
        <w:t>Vestin</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6"/>
          <w:w w:val="105"/>
          <w:sz w:val="24"/>
          <w:szCs w:val="24"/>
          <w:lang w:val="es-AR"/>
        </w:rPr>
        <w:t xml:space="preserve"> </w:t>
      </w:r>
      <w:r w:rsidRPr="00BA4513">
        <w:rPr>
          <w:rFonts w:ascii="Times New Roman" w:hAnsi="Times New Roman" w:cs="Times New Roman"/>
          <w:w w:val="105"/>
          <w:sz w:val="24"/>
          <w:szCs w:val="24"/>
          <w:lang w:val="es-AR"/>
        </w:rPr>
        <w:t>D.,</w:t>
      </w:r>
      <w:r w:rsidRPr="00BA4513">
        <w:rPr>
          <w:rFonts w:ascii="Times New Roman" w:hAnsi="Times New Roman" w:cs="Times New Roman"/>
          <w:spacing w:val="-6"/>
          <w:w w:val="105"/>
          <w:sz w:val="24"/>
          <w:szCs w:val="24"/>
          <w:lang w:val="es-AR"/>
        </w:rPr>
        <w:t xml:space="preserve"> </w:t>
      </w:r>
      <w:r w:rsidRPr="00BA4513">
        <w:rPr>
          <w:rFonts w:ascii="Times New Roman" w:hAnsi="Times New Roman" w:cs="Times New Roman"/>
          <w:w w:val="105"/>
          <w:sz w:val="24"/>
          <w:szCs w:val="24"/>
          <w:lang w:val="es-AR"/>
        </w:rPr>
        <w:t>2006.</w:t>
      </w:r>
      <w:r w:rsidRPr="00BA4513">
        <w:rPr>
          <w:rFonts w:ascii="Times New Roman" w:hAnsi="Times New Roman" w:cs="Times New Roman"/>
          <w:spacing w:val="-5"/>
          <w:w w:val="105"/>
          <w:sz w:val="24"/>
          <w:szCs w:val="24"/>
          <w:lang w:val="es-AR"/>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joint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econometric</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model</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macroeconomic</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term-structure</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dynamics</w:t>
      </w:r>
      <w:r w:rsidRPr="00BA4513">
        <w:rPr>
          <w:rFonts w:ascii="Times New Roman" w:hAnsi="Times New Roman" w:cs="Times New Roman"/>
          <w:i/>
          <w:iCs/>
          <w:w w:val="105"/>
          <w:sz w:val="24"/>
          <w:szCs w:val="24"/>
        </w:rPr>
        <w:t>.</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Econometrics</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131,</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405–444.</w:t>
      </w:r>
    </w:p>
    <w:p w14:paraId="40A1348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Hosking, J.R.M., 1981. Fractional differencing</w:t>
      </w:r>
      <w:r w:rsidRPr="00BA4513">
        <w:rPr>
          <w:rFonts w:ascii="Times New Roman" w:hAnsi="Times New Roman" w:cs="Times New Roman"/>
          <w:i/>
          <w:iCs/>
          <w:sz w:val="24"/>
          <w:szCs w:val="24"/>
        </w:rPr>
        <w:t xml:space="preserve">. </w:t>
      </w:r>
      <w:proofErr w:type="spellStart"/>
      <w:r w:rsidRPr="00BA4513">
        <w:rPr>
          <w:rFonts w:ascii="Times New Roman" w:hAnsi="Times New Roman" w:cs="Times New Roman"/>
          <w:i/>
          <w:iCs/>
          <w:sz w:val="24"/>
          <w:szCs w:val="24"/>
        </w:rPr>
        <w:t>Biometrika</w:t>
      </w:r>
      <w:proofErr w:type="spellEnd"/>
      <w:r w:rsidRPr="00BA4513">
        <w:rPr>
          <w:rFonts w:ascii="Times New Roman" w:hAnsi="Times New Roman" w:cs="Times New Roman"/>
          <w:sz w:val="24"/>
          <w:szCs w:val="24"/>
        </w:rPr>
        <w:t xml:space="preserve"> 68, 165–176. </w:t>
      </w:r>
    </w:p>
    <w:p w14:paraId="036A3B1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Hubbard,</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1998.</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imperfections</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investment.</w:t>
      </w:r>
      <w:r w:rsidRPr="00BA4513">
        <w:rPr>
          <w:rFonts w:ascii="Times New Roman" w:hAnsi="Times New Roman" w:cs="Times New Roman"/>
          <w:spacing w:val="18"/>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8"/>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8"/>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Literature</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36,</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193–225.</w:t>
      </w:r>
    </w:p>
    <w:p w14:paraId="1D691BAD"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Hughes, M. P., Smith, S. D., and Winters, D. B., (2008). The effect of auctions on daily treasury-bill volatility, Quarterly Review of Economics and Finance 48, 48 - 60.</w:t>
      </w:r>
    </w:p>
    <w:p w14:paraId="6457722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Hull, J. and White, A., 1990. Pricing interest-rate-derivative securities. The Review of Financial Studies, 3(4), pp.573-592.</w:t>
      </w:r>
    </w:p>
    <w:p w14:paraId="09C3CFE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Hwang, S. and Satchell, S. E. (1999). “Modelling emerging market risk premia using higher moments”. International Journal of Finance and Economics, 4, 271-296.</w:t>
      </w:r>
    </w:p>
    <w:p w14:paraId="380BF3E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Hwang, Y., 2001. Asymmetric long memory GARCH in exchange returns. </w:t>
      </w:r>
      <w:proofErr w:type="spellStart"/>
      <w:r w:rsidRPr="00BA4513">
        <w:rPr>
          <w:rFonts w:ascii="Times New Roman" w:hAnsi="Times New Roman" w:cs="Times New Roman"/>
          <w:i/>
          <w:iCs/>
          <w:sz w:val="24"/>
          <w:szCs w:val="24"/>
        </w:rPr>
        <w:t>Econom</w:t>
      </w:r>
      <w:proofErr w:type="spellEnd"/>
      <w:r w:rsidRPr="00BA4513">
        <w:rPr>
          <w:rFonts w:ascii="Times New Roman" w:hAnsi="Times New Roman" w:cs="Times New Roman"/>
          <w:i/>
          <w:iCs/>
          <w:sz w:val="24"/>
          <w:szCs w:val="24"/>
        </w:rPr>
        <w:t>. Lett</w:t>
      </w:r>
      <w:r w:rsidRPr="00BA4513">
        <w:rPr>
          <w:rFonts w:ascii="Times New Roman" w:hAnsi="Times New Roman" w:cs="Times New Roman"/>
          <w:sz w:val="24"/>
          <w:szCs w:val="24"/>
        </w:rPr>
        <w:t xml:space="preserve">. 71, 1–5. </w:t>
      </w:r>
    </w:p>
    <w:p w14:paraId="3D9827E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Ioannidou</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3"/>
          <w:sz w:val="24"/>
          <w:szCs w:val="24"/>
          <w:lang w:val="es-AR"/>
        </w:rPr>
        <w:t xml:space="preserve"> </w:t>
      </w:r>
      <w:r w:rsidRPr="00BA4513">
        <w:rPr>
          <w:rFonts w:ascii="Times New Roman" w:hAnsi="Times New Roman" w:cs="Times New Roman"/>
          <w:sz w:val="24"/>
          <w:szCs w:val="24"/>
          <w:lang w:val="es-AR"/>
        </w:rPr>
        <w:t>V.P.,</w:t>
      </w:r>
      <w:r w:rsidRPr="00BA4513">
        <w:rPr>
          <w:rFonts w:ascii="Times New Roman" w:hAnsi="Times New Roman" w:cs="Times New Roman"/>
          <w:spacing w:val="23"/>
          <w:sz w:val="24"/>
          <w:szCs w:val="24"/>
          <w:lang w:val="es-AR"/>
        </w:rPr>
        <w:t xml:space="preserve"> </w:t>
      </w:r>
      <w:proofErr w:type="spellStart"/>
      <w:r w:rsidRPr="00BA4513">
        <w:rPr>
          <w:rFonts w:ascii="Times New Roman" w:hAnsi="Times New Roman" w:cs="Times New Roman"/>
          <w:sz w:val="24"/>
          <w:szCs w:val="24"/>
          <w:lang w:val="es-AR"/>
        </w:rPr>
        <w:t>Ongena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3"/>
          <w:sz w:val="24"/>
          <w:szCs w:val="24"/>
          <w:lang w:val="es-AR"/>
        </w:rPr>
        <w:t xml:space="preserve"> </w:t>
      </w:r>
      <w:r w:rsidRPr="00BA4513">
        <w:rPr>
          <w:rFonts w:ascii="Times New Roman" w:hAnsi="Times New Roman" w:cs="Times New Roman"/>
          <w:sz w:val="24"/>
          <w:szCs w:val="24"/>
          <w:lang w:val="es-AR"/>
        </w:rPr>
        <w:t>S.,</w:t>
      </w:r>
      <w:r w:rsidRPr="00BA4513">
        <w:rPr>
          <w:rFonts w:ascii="Times New Roman" w:hAnsi="Times New Roman" w:cs="Times New Roman"/>
          <w:spacing w:val="23"/>
          <w:sz w:val="24"/>
          <w:szCs w:val="24"/>
          <w:lang w:val="es-AR"/>
        </w:rPr>
        <w:t xml:space="preserve"> </w:t>
      </w:r>
      <w:proofErr w:type="spellStart"/>
      <w:r w:rsidRPr="00BA4513">
        <w:rPr>
          <w:rFonts w:ascii="Times New Roman" w:hAnsi="Times New Roman" w:cs="Times New Roman"/>
          <w:sz w:val="24"/>
          <w:szCs w:val="24"/>
          <w:lang w:val="es-AR"/>
        </w:rPr>
        <w:t>Peydró</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3"/>
          <w:sz w:val="24"/>
          <w:szCs w:val="24"/>
          <w:lang w:val="es-AR"/>
        </w:rPr>
        <w:t xml:space="preserve"> </w:t>
      </w:r>
      <w:r w:rsidRPr="00BA4513">
        <w:rPr>
          <w:rFonts w:ascii="Times New Roman" w:hAnsi="Times New Roman" w:cs="Times New Roman"/>
          <w:sz w:val="24"/>
          <w:szCs w:val="24"/>
          <w:lang w:val="es-AR"/>
        </w:rPr>
        <w:t>J.L.,</w:t>
      </w:r>
      <w:r w:rsidRPr="00BA4513">
        <w:rPr>
          <w:rFonts w:ascii="Times New Roman" w:hAnsi="Times New Roman" w:cs="Times New Roman"/>
          <w:spacing w:val="23"/>
          <w:sz w:val="24"/>
          <w:szCs w:val="24"/>
          <w:lang w:val="es-AR"/>
        </w:rPr>
        <w:t xml:space="preserve"> </w:t>
      </w:r>
      <w:r w:rsidRPr="00BA4513">
        <w:rPr>
          <w:rFonts w:ascii="Times New Roman" w:hAnsi="Times New Roman" w:cs="Times New Roman"/>
          <w:sz w:val="24"/>
          <w:szCs w:val="24"/>
          <w:lang w:val="es-AR"/>
        </w:rPr>
        <w:t>2009.</w:t>
      </w:r>
      <w:r w:rsidRPr="00BA4513">
        <w:rPr>
          <w:rFonts w:ascii="Times New Roman" w:hAnsi="Times New Roman" w:cs="Times New Roman"/>
          <w:spacing w:val="23"/>
          <w:sz w:val="24"/>
          <w:szCs w:val="24"/>
          <w:lang w:val="es-AR"/>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risk-taking</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pricing:</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evidence</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from</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quasi-natural</w:t>
      </w:r>
      <w:r w:rsidRPr="00BA4513">
        <w:rPr>
          <w:rFonts w:ascii="Times New Roman" w:hAnsi="Times New Roman" w:cs="Times New Roman"/>
          <w:spacing w:val="26"/>
          <w:sz w:val="24"/>
          <w:szCs w:val="24"/>
        </w:rPr>
        <w:t xml:space="preserve"> </w:t>
      </w:r>
      <w:r w:rsidRPr="00BA4513">
        <w:rPr>
          <w:rFonts w:ascii="Times New Roman" w:hAnsi="Times New Roman" w:cs="Times New Roman"/>
          <w:sz w:val="24"/>
          <w:szCs w:val="24"/>
        </w:rPr>
        <w:t>experiment.</w:t>
      </w:r>
      <w:r w:rsidRPr="00BA4513">
        <w:rPr>
          <w:rFonts w:ascii="Times New Roman" w:hAnsi="Times New Roman" w:cs="Times New Roman"/>
          <w:spacing w:val="26"/>
          <w:sz w:val="24"/>
          <w:szCs w:val="24"/>
        </w:rPr>
        <w:t xml:space="preserve"> </w:t>
      </w:r>
      <w:r w:rsidRPr="00BA4513">
        <w:rPr>
          <w:rFonts w:ascii="Times New Roman" w:hAnsi="Times New Roman" w:cs="Times New Roman"/>
          <w:i/>
          <w:iCs/>
          <w:sz w:val="24"/>
          <w:szCs w:val="24"/>
        </w:rPr>
        <w:t>European</w:t>
      </w:r>
      <w:r w:rsidRPr="00BA4513">
        <w:rPr>
          <w:rFonts w:ascii="Times New Roman" w:hAnsi="Times New Roman" w:cs="Times New Roman"/>
          <w:i/>
          <w:iCs/>
          <w:spacing w:val="26"/>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26"/>
          <w:sz w:val="24"/>
          <w:szCs w:val="24"/>
        </w:rPr>
        <w:t xml:space="preserve"> </w:t>
      </w:r>
      <w:r w:rsidRPr="00BA4513">
        <w:rPr>
          <w:rFonts w:ascii="Times New Roman" w:hAnsi="Times New Roman" w:cs="Times New Roman"/>
          <w:i/>
          <w:iCs/>
          <w:sz w:val="24"/>
          <w:szCs w:val="24"/>
        </w:rPr>
        <w:t>Centre</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sz w:val="24"/>
          <w:szCs w:val="24"/>
        </w:rPr>
        <w:t>Discussion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Paper2009-04S.</w:t>
      </w:r>
    </w:p>
    <w:p w14:paraId="11408E7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lang w:val="es-AR"/>
        </w:rPr>
        <w:t>Ito</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8"/>
          <w:w w:val="105"/>
          <w:sz w:val="24"/>
          <w:szCs w:val="24"/>
          <w:lang w:val="es-AR"/>
        </w:rPr>
        <w:t xml:space="preserve"> </w:t>
      </w:r>
      <w:r w:rsidRPr="00BA4513">
        <w:rPr>
          <w:rFonts w:ascii="Times New Roman" w:hAnsi="Times New Roman" w:cs="Times New Roman"/>
          <w:w w:val="105"/>
          <w:sz w:val="24"/>
          <w:szCs w:val="24"/>
          <w:lang w:val="es-AR"/>
        </w:rPr>
        <w:t>T.,</w:t>
      </w:r>
      <w:r w:rsidRPr="00BA4513">
        <w:rPr>
          <w:rFonts w:ascii="Times New Roman" w:hAnsi="Times New Roman" w:cs="Times New Roman"/>
          <w:spacing w:val="-18"/>
          <w:w w:val="105"/>
          <w:sz w:val="24"/>
          <w:szCs w:val="24"/>
          <w:lang w:val="es-AR"/>
        </w:rPr>
        <w:t xml:space="preserve"> </w:t>
      </w:r>
      <w:proofErr w:type="spellStart"/>
      <w:r w:rsidRPr="00BA4513">
        <w:rPr>
          <w:rFonts w:ascii="Times New Roman" w:hAnsi="Times New Roman" w:cs="Times New Roman"/>
          <w:w w:val="105"/>
          <w:sz w:val="24"/>
          <w:szCs w:val="24"/>
          <w:lang w:val="es-AR"/>
        </w:rPr>
        <w:t>Sasaki</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7"/>
          <w:w w:val="105"/>
          <w:sz w:val="24"/>
          <w:szCs w:val="24"/>
          <w:lang w:val="es-AR"/>
        </w:rPr>
        <w:t xml:space="preserve"> </w:t>
      </w:r>
      <w:r w:rsidRPr="00BA4513">
        <w:rPr>
          <w:rFonts w:ascii="Times New Roman" w:hAnsi="Times New Roman" w:cs="Times New Roman"/>
          <w:w w:val="105"/>
          <w:sz w:val="24"/>
          <w:szCs w:val="24"/>
          <w:lang w:val="es-AR"/>
        </w:rPr>
        <w:t>Y.N.,</w:t>
      </w:r>
      <w:r w:rsidRPr="00BA4513">
        <w:rPr>
          <w:rFonts w:ascii="Times New Roman" w:hAnsi="Times New Roman" w:cs="Times New Roman"/>
          <w:spacing w:val="-18"/>
          <w:w w:val="105"/>
          <w:sz w:val="24"/>
          <w:szCs w:val="24"/>
          <w:lang w:val="es-AR"/>
        </w:rPr>
        <w:t xml:space="preserve"> </w:t>
      </w:r>
      <w:r w:rsidRPr="00BA4513">
        <w:rPr>
          <w:rFonts w:ascii="Times New Roman" w:hAnsi="Times New Roman" w:cs="Times New Roman"/>
          <w:w w:val="105"/>
          <w:sz w:val="24"/>
          <w:szCs w:val="24"/>
          <w:lang w:val="es-AR"/>
        </w:rPr>
        <w:t>2002.</w:t>
      </w:r>
      <w:r w:rsidRPr="00BA4513">
        <w:rPr>
          <w:rFonts w:ascii="Times New Roman" w:hAnsi="Times New Roman" w:cs="Times New Roman"/>
          <w:spacing w:val="-17"/>
          <w:w w:val="105"/>
          <w:sz w:val="24"/>
          <w:szCs w:val="24"/>
          <w:lang w:val="es-AR"/>
        </w:rPr>
        <w:t xml:space="preserve"> </w:t>
      </w:r>
      <w:r w:rsidRPr="00BA4513">
        <w:rPr>
          <w:rFonts w:ascii="Times New Roman" w:hAnsi="Times New Roman" w:cs="Times New Roman"/>
          <w:w w:val="105"/>
          <w:sz w:val="24"/>
          <w:szCs w:val="24"/>
        </w:rPr>
        <w:t>Impacts</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Basle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standard</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Japanese</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Banks’</w:t>
      </w:r>
      <w:r w:rsidRPr="00BA4513">
        <w:rPr>
          <w:rFonts w:ascii="Times New Roman" w:hAnsi="Times New Roman" w:cs="Times New Roman"/>
          <w:w w:val="98"/>
          <w:sz w:val="24"/>
          <w:szCs w:val="24"/>
        </w:rPr>
        <w:t xml:space="preserve"> </w:t>
      </w:r>
      <w:r w:rsidRPr="00BA4513">
        <w:rPr>
          <w:rFonts w:ascii="Times New Roman" w:hAnsi="Times New Roman" w:cs="Times New Roman"/>
          <w:w w:val="105"/>
          <w:sz w:val="24"/>
          <w:szCs w:val="24"/>
        </w:rPr>
        <w:t>behaviour.</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the</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Japanese</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International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Economies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16,</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372–397.</w:t>
      </w:r>
    </w:p>
    <w:p w14:paraId="74A6E749"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J. L. </w:t>
      </w:r>
      <w:proofErr w:type="spellStart"/>
      <w:r w:rsidRPr="00BA4513">
        <w:rPr>
          <w:rFonts w:ascii="Times New Roman" w:hAnsi="Times New Roman" w:cs="Times New Roman"/>
          <w:sz w:val="24"/>
          <w:szCs w:val="24"/>
        </w:rPr>
        <w:t>Juergens</w:t>
      </w:r>
      <w:proofErr w:type="spellEnd"/>
      <w:r w:rsidRPr="00BA4513">
        <w:rPr>
          <w:rFonts w:ascii="Times New Roman" w:hAnsi="Times New Roman" w:cs="Times New Roman"/>
          <w:sz w:val="24"/>
          <w:szCs w:val="24"/>
        </w:rPr>
        <w:t xml:space="preserve"> and L. Lindsey., 2009. “Getting out early: an analysis of market making activity at the recommending analyst's firm,” </w:t>
      </w:r>
      <w:r w:rsidRPr="00BA4513">
        <w:rPr>
          <w:rFonts w:ascii="Times New Roman" w:hAnsi="Times New Roman" w:cs="Times New Roman"/>
          <w:i/>
          <w:iCs/>
          <w:sz w:val="24"/>
          <w:szCs w:val="24"/>
        </w:rPr>
        <w:t>The Journal of Finance</w:t>
      </w:r>
      <w:r w:rsidRPr="00BA4513">
        <w:rPr>
          <w:rFonts w:ascii="Times New Roman" w:hAnsi="Times New Roman" w:cs="Times New Roman"/>
          <w:sz w:val="24"/>
          <w:szCs w:val="24"/>
        </w:rPr>
        <w:t>, vol. 64, no. 5, pp. 2327-2359.</w:t>
      </w:r>
    </w:p>
    <w:p w14:paraId="4203DD38"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lastRenderedPageBreak/>
        <w:t>Jacquier</w:t>
      </w:r>
      <w:proofErr w:type="spellEnd"/>
      <w:r w:rsidRPr="00BA4513">
        <w:rPr>
          <w:rFonts w:ascii="Times New Roman" w:hAnsi="Times New Roman" w:cs="Times New Roman"/>
          <w:sz w:val="24"/>
          <w:szCs w:val="24"/>
        </w:rPr>
        <w:t xml:space="preserve">, E., Polson, N.G., Rossi, P.E., 2004. Bayesian analysis of stochastic volatility models with fat-tails and correlated errors. </w:t>
      </w:r>
      <w:r w:rsidRPr="00BA4513">
        <w:rPr>
          <w:rFonts w:ascii="Times New Roman" w:hAnsi="Times New Roman" w:cs="Times New Roman"/>
          <w:i/>
          <w:iCs/>
          <w:sz w:val="24"/>
          <w:szCs w:val="24"/>
        </w:rPr>
        <w:t>J. Econometrics</w:t>
      </w:r>
      <w:r w:rsidRPr="00BA4513">
        <w:rPr>
          <w:rFonts w:ascii="Times New Roman" w:hAnsi="Times New Roman" w:cs="Times New Roman"/>
          <w:sz w:val="24"/>
          <w:szCs w:val="24"/>
        </w:rPr>
        <w:t xml:space="preserve"> 122, 185–212. </w:t>
      </w:r>
    </w:p>
    <w:p w14:paraId="294A975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Jensen,</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5"/>
          <w:w w:val="105"/>
          <w:sz w:val="24"/>
          <w:szCs w:val="24"/>
        </w:rPr>
        <w:t xml:space="preserve"> </w:t>
      </w:r>
      <w:proofErr w:type="spellStart"/>
      <w:r w:rsidRPr="00BA4513">
        <w:rPr>
          <w:rFonts w:ascii="Times New Roman" w:hAnsi="Times New Roman" w:cs="Times New Roman"/>
          <w:w w:val="105"/>
          <w:sz w:val="24"/>
          <w:szCs w:val="24"/>
        </w:rPr>
        <w:t>Meckling</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1976.</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Theory</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firm:</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managerial</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behaviour,</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agency costs</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ownership</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structure</w:t>
      </w:r>
      <w:r w:rsidRPr="00BA4513">
        <w:rPr>
          <w:rFonts w:ascii="Times New Roman" w:hAnsi="Times New Roman" w:cs="Times New Roman"/>
          <w:i/>
          <w:iCs/>
          <w:w w:val="105"/>
          <w:sz w:val="24"/>
          <w:szCs w:val="24"/>
        </w:rPr>
        <w:t>.</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3,</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305–360.</w:t>
      </w:r>
    </w:p>
    <w:p w14:paraId="2D9DCBD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Jermann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U.,</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1998.</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Asset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pricing</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production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economies.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41,</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257–275.</w:t>
      </w:r>
    </w:p>
    <w:p w14:paraId="19A0BC2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Jermann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U.,</w:t>
      </w:r>
      <w:r w:rsidRPr="00BA4513">
        <w:rPr>
          <w:rFonts w:ascii="Times New Roman" w:hAnsi="Times New Roman" w:cs="Times New Roman"/>
          <w:spacing w:val="-27"/>
          <w:w w:val="105"/>
          <w:sz w:val="24"/>
          <w:szCs w:val="24"/>
        </w:rPr>
        <w:t xml:space="preserve"> </w:t>
      </w:r>
      <w:proofErr w:type="spellStart"/>
      <w:r w:rsidRPr="00BA4513">
        <w:rPr>
          <w:rFonts w:ascii="Times New Roman" w:hAnsi="Times New Roman" w:cs="Times New Roman"/>
          <w:w w:val="105"/>
          <w:sz w:val="24"/>
          <w:szCs w:val="24"/>
        </w:rPr>
        <w:t>Quadrini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V.,</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innovation</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macroeconomic volatility.</w:t>
      </w:r>
      <w:r w:rsidRPr="00BA4513">
        <w:rPr>
          <w:rFonts w:ascii="Times New Roman" w:hAnsi="Times New Roman" w:cs="Times New Roman"/>
          <w:i/>
          <w:iCs/>
          <w:sz w:val="24"/>
          <w:szCs w:val="24"/>
        </w:rPr>
        <w:t xml:space="preserve"> BER</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Working</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Pape</w:t>
      </w:r>
      <w:r w:rsidRPr="00BA4513">
        <w:rPr>
          <w:rFonts w:ascii="Times New Roman" w:hAnsi="Times New Roman" w:cs="Times New Roman"/>
          <w:sz w:val="24"/>
          <w:szCs w:val="24"/>
        </w:rPr>
        <w:t>r</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12308.</w:t>
      </w:r>
    </w:p>
    <w:p w14:paraId="465F435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lang w:val="es-AR"/>
        </w:rPr>
        <w:t>Jiménez,</w:t>
      </w:r>
      <w:r w:rsidRPr="00BA4513">
        <w:rPr>
          <w:rFonts w:ascii="Times New Roman" w:hAnsi="Times New Roman" w:cs="Times New Roman"/>
          <w:spacing w:val="-15"/>
          <w:w w:val="105"/>
          <w:sz w:val="24"/>
          <w:szCs w:val="24"/>
          <w:lang w:val="es-AR"/>
        </w:rPr>
        <w:t xml:space="preserve"> </w:t>
      </w:r>
      <w:r w:rsidRPr="00BA4513">
        <w:rPr>
          <w:rFonts w:ascii="Times New Roman" w:hAnsi="Times New Roman" w:cs="Times New Roman"/>
          <w:w w:val="105"/>
          <w:sz w:val="24"/>
          <w:szCs w:val="24"/>
          <w:lang w:val="es-AR"/>
        </w:rPr>
        <w:t>G.,</w:t>
      </w:r>
      <w:r w:rsidRPr="00BA4513">
        <w:rPr>
          <w:rFonts w:ascii="Times New Roman" w:hAnsi="Times New Roman" w:cs="Times New Roman"/>
          <w:spacing w:val="-15"/>
          <w:w w:val="105"/>
          <w:sz w:val="24"/>
          <w:szCs w:val="24"/>
          <w:lang w:val="es-AR"/>
        </w:rPr>
        <w:t xml:space="preserve"> </w:t>
      </w:r>
      <w:proofErr w:type="spellStart"/>
      <w:r w:rsidRPr="00BA4513">
        <w:rPr>
          <w:rFonts w:ascii="Times New Roman" w:hAnsi="Times New Roman" w:cs="Times New Roman"/>
          <w:w w:val="105"/>
          <w:sz w:val="24"/>
          <w:szCs w:val="24"/>
          <w:lang w:val="es-AR"/>
        </w:rPr>
        <w:t>Ongena</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sz w:val="24"/>
          <w:szCs w:val="24"/>
          <w:lang w:val="es-AR"/>
        </w:rPr>
        <w:t>S.,</w:t>
      </w:r>
      <w:r w:rsidRPr="00BA4513">
        <w:rPr>
          <w:rFonts w:ascii="Times New Roman" w:hAnsi="Times New Roman" w:cs="Times New Roman"/>
          <w:spacing w:val="-13"/>
          <w:sz w:val="24"/>
          <w:szCs w:val="24"/>
          <w:lang w:val="es-AR"/>
        </w:rPr>
        <w:t xml:space="preserve"> </w:t>
      </w:r>
      <w:proofErr w:type="spellStart"/>
      <w:r w:rsidRPr="00BA4513">
        <w:rPr>
          <w:rFonts w:ascii="Times New Roman" w:hAnsi="Times New Roman" w:cs="Times New Roman"/>
          <w:w w:val="105"/>
          <w:sz w:val="24"/>
          <w:szCs w:val="24"/>
          <w:lang w:val="es-AR"/>
        </w:rPr>
        <w:t>Peydró</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5"/>
          <w:w w:val="105"/>
          <w:sz w:val="24"/>
          <w:szCs w:val="24"/>
          <w:lang w:val="es-AR"/>
        </w:rPr>
        <w:t xml:space="preserve"> </w:t>
      </w:r>
      <w:r w:rsidRPr="00BA4513">
        <w:rPr>
          <w:rFonts w:ascii="Times New Roman" w:hAnsi="Times New Roman" w:cs="Times New Roman"/>
          <w:sz w:val="24"/>
          <w:szCs w:val="24"/>
          <w:lang w:val="es-AR"/>
        </w:rPr>
        <w:t>J.L.,</w:t>
      </w:r>
      <w:r w:rsidRPr="00BA4513">
        <w:rPr>
          <w:rFonts w:ascii="Times New Roman" w:hAnsi="Times New Roman" w:cs="Times New Roman"/>
          <w:spacing w:val="-12"/>
          <w:sz w:val="24"/>
          <w:szCs w:val="24"/>
          <w:lang w:val="es-AR"/>
        </w:rPr>
        <w:t xml:space="preserve"> </w:t>
      </w:r>
      <w:proofErr w:type="spellStart"/>
      <w:r w:rsidRPr="00BA4513">
        <w:rPr>
          <w:rFonts w:ascii="Times New Roman" w:hAnsi="Times New Roman" w:cs="Times New Roman"/>
          <w:w w:val="105"/>
          <w:sz w:val="24"/>
          <w:szCs w:val="24"/>
          <w:lang w:val="es-AR"/>
        </w:rPr>
        <w:t>Saurina</w:t>
      </w:r>
      <w:proofErr w:type="spellEnd"/>
      <w:r w:rsidRPr="00BA4513">
        <w:rPr>
          <w:rFonts w:ascii="Times New Roman" w:hAnsi="Times New Roman" w:cs="Times New Roman"/>
          <w:w w:val="105"/>
          <w:sz w:val="24"/>
          <w:szCs w:val="24"/>
          <w:lang w:val="es-AR"/>
        </w:rPr>
        <w:t>,</w:t>
      </w:r>
      <w:r w:rsidRPr="00BA4513">
        <w:rPr>
          <w:rFonts w:ascii="Times New Roman" w:hAnsi="Times New Roman" w:cs="Times New Roman"/>
          <w:spacing w:val="-15"/>
          <w:w w:val="105"/>
          <w:sz w:val="24"/>
          <w:szCs w:val="24"/>
          <w:lang w:val="es-AR"/>
        </w:rPr>
        <w:t xml:space="preserve"> </w:t>
      </w:r>
      <w:r w:rsidRPr="00BA4513">
        <w:rPr>
          <w:rFonts w:ascii="Times New Roman" w:hAnsi="Times New Roman" w:cs="Times New Roman"/>
          <w:sz w:val="24"/>
          <w:szCs w:val="24"/>
          <w:lang w:val="es-AR"/>
        </w:rPr>
        <w:t>J.,</w:t>
      </w:r>
      <w:r w:rsidRPr="00BA4513">
        <w:rPr>
          <w:rFonts w:ascii="Times New Roman" w:hAnsi="Times New Roman" w:cs="Times New Roman"/>
          <w:spacing w:val="-13"/>
          <w:sz w:val="24"/>
          <w:szCs w:val="24"/>
          <w:lang w:val="es-AR"/>
        </w:rPr>
        <w:t xml:space="preserve"> </w:t>
      </w:r>
      <w:r w:rsidRPr="00BA4513">
        <w:rPr>
          <w:rFonts w:ascii="Times New Roman" w:hAnsi="Times New Roman" w:cs="Times New Roman"/>
          <w:w w:val="105"/>
          <w:sz w:val="24"/>
          <w:szCs w:val="24"/>
          <w:lang w:val="es-AR"/>
        </w:rPr>
        <w:t>2007.</w:t>
      </w:r>
      <w:r w:rsidRPr="00BA4513">
        <w:rPr>
          <w:rFonts w:ascii="Times New Roman" w:hAnsi="Times New Roman" w:cs="Times New Roman"/>
          <w:spacing w:val="-14"/>
          <w:w w:val="105"/>
          <w:sz w:val="24"/>
          <w:szCs w:val="24"/>
          <w:lang w:val="es-AR"/>
        </w:rPr>
        <w:t xml:space="preserve"> </w:t>
      </w:r>
      <w:r w:rsidRPr="00BA4513">
        <w:rPr>
          <w:rFonts w:ascii="Times New Roman" w:hAnsi="Times New Roman" w:cs="Times New Roman"/>
          <w:w w:val="105"/>
          <w:sz w:val="24"/>
          <w:szCs w:val="24"/>
        </w:rPr>
        <w:t>Hazardous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times</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 xml:space="preserve">monetary </w:t>
      </w:r>
      <w:r w:rsidRPr="00BA4513">
        <w:rPr>
          <w:rFonts w:ascii="Times New Roman" w:hAnsi="Times New Roman" w:cs="Times New Roman"/>
          <w:spacing w:val="5"/>
          <w:w w:val="105"/>
          <w:sz w:val="24"/>
          <w:szCs w:val="24"/>
        </w:rPr>
        <w:t>policy</w:t>
      </w:r>
      <w:r w:rsidRPr="00BA4513">
        <w:rPr>
          <w:rFonts w:ascii="Times New Roman" w:hAnsi="Times New Roman" w:cs="Times New Roman"/>
          <w:w w:val="105"/>
          <w:sz w:val="24"/>
          <w:szCs w:val="24"/>
        </w:rPr>
        <w: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what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do</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twenty-three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million</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loans</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say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about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effects</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i/>
          <w:iCs/>
          <w:w w:val="105"/>
          <w:sz w:val="24"/>
          <w:szCs w:val="24"/>
        </w:rPr>
        <w:t>CEPR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Discussion</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Paper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6514.</w:t>
      </w:r>
    </w:p>
    <w:p w14:paraId="4FA64CC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Jiménez,</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6"/>
          <w:sz w:val="24"/>
          <w:szCs w:val="24"/>
        </w:rPr>
        <w:t xml:space="preserve"> </w:t>
      </w:r>
      <w:proofErr w:type="spellStart"/>
      <w:r w:rsidRPr="00BA4513">
        <w:rPr>
          <w:rFonts w:ascii="Times New Roman" w:hAnsi="Times New Roman" w:cs="Times New Roman"/>
          <w:sz w:val="24"/>
          <w:szCs w:val="24"/>
        </w:rPr>
        <w:t>Saurina</w:t>
      </w:r>
      <w:proofErr w:type="spellEnd"/>
      <w:r w:rsidRPr="00BA4513">
        <w:rPr>
          <w:rFonts w:ascii="Times New Roman" w:hAnsi="Times New Roman" w:cs="Times New Roman"/>
          <w:sz w:val="24"/>
          <w:szCs w:val="24"/>
        </w:rPr>
        <w: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cycles,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prudential</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 xml:space="preserve">regulation. </w:t>
      </w:r>
      <w:r w:rsidRPr="00BA4513">
        <w:rPr>
          <w:rFonts w:ascii="Times New Roman" w:hAnsi="Times New Roman" w:cs="Times New Roman"/>
          <w:i/>
          <w:iCs/>
          <w:w w:val="105"/>
          <w:sz w:val="24"/>
          <w:szCs w:val="24"/>
        </w:rPr>
        <w:t>International</w:t>
      </w:r>
      <w:r w:rsidRPr="00BA4513">
        <w:rPr>
          <w:rFonts w:ascii="Times New Roman" w:hAnsi="Times New Roman" w:cs="Times New Roman"/>
          <w:i/>
          <w:iCs/>
          <w:spacing w:val="-28"/>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Central</w:t>
      </w:r>
      <w:r w:rsidRPr="00BA4513">
        <w:rPr>
          <w:rFonts w:ascii="Times New Roman" w:hAnsi="Times New Roman" w:cs="Times New Roman"/>
          <w:i/>
          <w:iCs/>
          <w:spacing w:val="-28"/>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w w:val="105"/>
          <w:sz w:val="24"/>
          <w:szCs w:val="24"/>
        </w:rPr>
        <w:t>,</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65–98.</w:t>
      </w:r>
    </w:p>
    <w:p w14:paraId="39DC134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Jokivuolle</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3"/>
          <w:sz w:val="24"/>
          <w:szCs w:val="24"/>
          <w:lang w:val="es-AR"/>
        </w:rPr>
        <w:t xml:space="preserve"> </w:t>
      </w:r>
      <w:r w:rsidRPr="00BA4513">
        <w:rPr>
          <w:rFonts w:ascii="Times New Roman" w:hAnsi="Times New Roman" w:cs="Times New Roman"/>
          <w:sz w:val="24"/>
          <w:szCs w:val="24"/>
          <w:lang w:val="es-AR"/>
        </w:rPr>
        <w:t>E.,</w:t>
      </w:r>
      <w:r w:rsidRPr="00BA4513">
        <w:rPr>
          <w:rFonts w:ascii="Times New Roman" w:hAnsi="Times New Roman" w:cs="Times New Roman"/>
          <w:spacing w:val="-2"/>
          <w:sz w:val="24"/>
          <w:szCs w:val="24"/>
          <w:lang w:val="es-AR"/>
        </w:rPr>
        <w:t xml:space="preserve"> </w:t>
      </w:r>
      <w:proofErr w:type="spellStart"/>
      <w:r w:rsidRPr="00BA4513">
        <w:rPr>
          <w:rFonts w:ascii="Times New Roman" w:hAnsi="Times New Roman" w:cs="Times New Roman"/>
          <w:sz w:val="24"/>
          <w:szCs w:val="24"/>
          <w:lang w:val="es-AR"/>
        </w:rPr>
        <w:t>Kiema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2"/>
          <w:sz w:val="24"/>
          <w:szCs w:val="24"/>
          <w:lang w:val="es-AR"/>
        </w:rPr>
        <w:t xml:space="preserve"> </w:t>
      </w:r>
      <w:r w:rsidRPr="00BA4513">
        <w:rPr>
          <w:rFonts w:ascii="Times New Roman" w:hAnsi="Times New Roman" w:cs="Times New Roman"/>
          <w:sz w:val="24"/>
          <w:szCs w:val="24"/>
          <w:lang w:val="es-AR"/>
        </w:rPr>
        <w:t>I.,</w:t>
      </w:r>
      <w:r w:rsidRPr="00BA4513">
        <w:rPr>
          <w:rFonts w:ascii="Times New Roman" w:hAnsi="Times New Roman" w:cs="Times New Roman"/>
          <w:spacing w:val="-2"/>
          <w:sz w:val="24"/>
          <w:szCs w:val="24"/>
          <w:lang w:val="es-AR"/>
        </w:rPr>
        <w:t xml:space="preserve"> </w:t>
      </w:r>
      <w:proofErr w:type="spellStart"/>
      <w:r w:rsidRPr="00BA4513">
        <w:rPr>
          <w:rFonts w:ascii="Times New Roman" w:hAnsi="Times New Roman" w:cs="Times New Roman"/>
          <w:sz w:val="24"/>
          <w:szCs w:val="24"/>
          <w:lang w:val="es-AR"/>
        </w:rPr>
        <w:t>Vesala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3"/>
          <w:sz w:val="24"/>
          <w:szCs w:val="24"/>
          <w:lang w:val="es-AR"/>
        </w:rPr>
        <w:t xml:space="preserve"> </w:t>
      </w:r>
      <w:r w:rsidRPr="00BA4513">
        <w:rPr>
          <w:rFonts w:ascii="Times New Roman" w:hAnsi="Times New Roman" w:cs="Times New Roman"/>
          <w:sz w:val="24"/>
          <w:szCs w:val="24"/>
          <w:lang w:val="es-AR"/>
        </w:rPr>
        <w:t>T.,</w:t>
      </w:r>
      <w:r w:rsidRPr="00BA4513">
        <w:rPr>
          <w:rFonts w:ascii="Times New Roman" w:hAnsi="Times New Roman" w:cs="Times New Roman"/>
          <w:spacing w:val="-2"/>
          <w:sz w:val="24"/>
          <w:szCs w:val="24"/>
          <w:lang w:val="es-AR"/>
        </w:rPr>
        <w:t xml:space="preserve"> </w:t>
      </w:r>
      <w:r w:rsidRPr="00BA4513">
        <w:rPr>
          <w:rFonts w:ascii="Times New Roman" w:hAnsi="Times New Roman" w:cs="Times New Roman"/>
          <w:sz w:val="24"/>
          <w:szCs w:val="24"/>
          <w:lang w:val="es-AR"/>
        </w:rPr>
        <w:t>2009.</w:t>
      </w:r>
      <w:r w:rsidRPr="00BA4513">
        <w:rPr>
          <w:rFonts w:ascii="Times New Roman" w:hAnsi="Times New Roman" w:cs="Times New Roman"/>
          <w:spacing w:val="-2"/>
          <w:sz w:val="24"/>
          <w:szCs w:val="24"/>
          <w:lang w:val="es-AR"/>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allocation,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procyclicality.</w:t>
      </w:r>
      <w:r w:rsidRPr="00BA4513">
        <w:rPr>
          <w:rFonts w:ascii="Times New Roman" w:hAnsi="Times New Roman" w:cs="Times New Roman"/>
          <w:spacing w:val="-1"/>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Finland</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Research</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Discussion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Papers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23/2009.</w:t>
      </w:r>
    </w:p>
    <w:p w14:paraId="4ADD8D33"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Jones, C.J., Philippon, T., </w:t>
      </w:r>
      <w:proofErr w:type="spellStart"/>
      <w:r w:rsidRPr="00BA4513">
        <w:rPr>
          <w:rFonts w:ascii="Times New Roman" w:hAnsi="Times New Roman" w:cs="Times New Roman"/>
          <w:sz w:val="24"/>
          <w:szCs w:val="24"/>
        </w:rPr>
        <w:t>Venkateswaran</w:t>
      </w:r>
      <w:proofErr w:type="spellEnd"/>
      <w:r w:rsidRPr="00BA4513">
        <w:rPr>
          <w:rFonts w:ascii="Times New Roman" w:hAnsi="Times New Roman" w:cs="Times New Roman"/>
          <w:sz w:val="24"/>
          <w:szCs w:val="24"/>
        </w:rPr>
        <w:t xml:space="preserve">, V., 2020. Optimal Mitigation Policies in a Pandemic: Social Distancing and Working from Home. Working Paper Series 26984, </w:t>
      </w:r>
      <w:r w:rsidRPr="00BA4513">
        <w:rPr>
          <w:rFonts w:ascii="Times New Roman" w:hAnsi="Times New Roman" w:cs="Times New Roman"/>
          <w:i/>
          <w:iCs/>
          <w:sz w:val="24"/>
          <w:szCs w:val="24"/>
        </w:rPr>
        <w:t>National Bureau of Economic Research</w:t>
      </w:r>
      <w:r w:rsidRPr="00BA4513">
        <w:rPr>
          <w:rFonts w:ascii="Times New Roman" w:hAnsi="Times New Roman" w:cs="Times New Roman"/>
          <w:sz w:val="24"/>
          <w:szCs w:val="24"/>
        </w:rPr>
        <w:t xml:space="preserve">. </w:t>
      </w:r>
    </w:p>
    <w:p w14:paraId="307EACA7" w14:textId="77777777" w:rsidR="00BA4513" w:rsidRPr="00BA4513" w:rsidRDefault="00BA4513" w:rsidP="005A4160">
      <w:pPr>
        <w:pStyle w:val="NoSpacing"/>
        <w:numPr>
          <w:ilvl w:val="0"/>
          <w:numId w:val="13"/>
        </w:numPr>
        <w:jc w:val="both"/>
        <w:rPr>
          <w:rFonts w:ascii="Times New Roman" w:hAnsi="Times New Roman" w:cs="Times New Roman"/>
          <w:color w:val="000000"/>
          <w:sz w:val="24"/>
          <w:szCs w:val="24"/>
        </w:rPr>
      </w:pPr>
      <w:r w:rsidRPr="00BA4513">
        <w:rPr>
          <w:rFonts w:ascii="Times New Roman" w:hAnsi="Times New Roman" w:cs="Times New Roman"/>
          <w:sz w:val="24"/>
          <w:szCs w:val="24"/>
        </w:rPr>
        <w:t>Jones, M. C. and Faddy, M. J. (2003). “A skew extension of the t-distribution, with applications”. Journal of Royal Statistical Society, Series B, 65, 159–174.</w:t>
      </w:r>
    </w:p>
    <w:p w14:paraId="06B2555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Jordan,</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Peek,</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Rosengren,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2003.</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modelling</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cyclicality</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7"/>
          <w:sz w:val="24"/>
          <w:szCs w:val="24"/>
        </w:rPr>
        <w:t xml:space="preserve"> </w:t>
      </w:r>
      <w:r w:rsidRPr="00BA4513">
        <w:rPr>
          <w:rFonts w:ascii="Times New Roman" w:hAnsi="Times New Roman" w:cs="Times New Roman"/>
          <w:i/>
          <w:iCs/>
          <w:sz w:val="24"/>
          <w:szCs w:val="24"/>
        </w:rPr>
        <w:t>Federal</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Reserve</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Boston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Paper.</w:t>
      </w:r>
    </w:p>
    <w:p w14:paraId="027FC55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i/>
          <w:iCs/>
          <w:w w:val="105"/>
          <w:sz w:val="24"/>
          <w:szCs w:val="24"/>
        </w:rPr>
        <w:t>Journal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Intermediation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13,</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436–457.</w:t>
      </w:r>
    </w:p>
    <w:p w14:paraId="7AC1737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Kallsen, Jan, and Murad S. </w:t>
      </w:r>
      <w:proofErr w:type="spellStart"/>
      <w:r w:rsidRPr="00BA4513">
        <w:rPr>
          <w:rFonts w:ascii="Times New Roman" w:hAnsi="Times New Roman" w:cs="Times New Roman"/>
          <w:sz w:val="24"/>
          <w:szCs w:val="24"/>
        </w:rPr>
        <w:t>Taqqu</w:t>
      </w:r>
      <w:proofErr w:type="spellEnd"/>
      <w:r w:rsidRPr="00BA4513">
        <w:rPr>
          <w:rFonts w:ascii="Times New Roman" w:hAnsi="Times New Roman" w:cs="Times New Roman"/>
          <w:sz w:val="24"/>
          <w:szCs w:val="24"/>
        </w:rPr>
        <w:t xml:space="preserve">, 1998, Option pricing in ARCH-type models, </w:t>
      </w:r>
      <w:r w:rsidRPr="00BA4513">
        <w:rPr>
          <w:rFonts w:ascii="Times New Roman" w:hAnsi="Times New Roman" w:cs="Times New Roman"/>
          <w:i/>
          <w:sz w:val="24"/>
          <w:szCs w:val="24"/>
        </w:rPr>
        <w:t>Mathematical Finance</w:t>
      </w:r>
      <w:r w:rsidRPr="00BA4513">
        <w:rPr>
          <w:rFonts w:ascii="Times New Roman" w:hAnsi="Times New Roman" w:cs="Times New Roman"/>
          <w:sz w:val="24"/>
          <w:szCs w:val="24"/>
        </w:rPr>
        <w:t xml:space="preserve"> 8, 13–26.</w:t>
      </w:r>
    </w:p>
    <w:p w14:paraId="6A7686A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Kang, J., Liu, M. H. and Ni, S. X. (2002) Contrarian and momentum strategies in the China stock market: 1993–2000, </w:t>
      </w:r>
      <w:r w:rsidRPr="00BA4513">
        <w:rPr>
          <w:rFonts w:ascii="Times New Roman" w:hAnsi="Times New Roman" w:cs="Times New Roman"/>
          <w:i/>
          <w:iCs/>
          <w:sz w:val="24"/>
          <w:szCs w:val="24"/>
        </w:rPr>
        <w:t>Pacific-Basin Finance Journal</w:t>
      </w:r>
      <w:r w:rsidRPr="00BA4513">
        <w:rPr>
          <w:rFonts w:ascii="Times New Roman" w:hAnsi="Times New Roman" w:cs="Times New Roman"/>
          <w:sz w:val="24"/>
          <w:szCs w:val="24"/>
        </w:rPr>
        <w:t xml:space="preserve">. 10, 243–265. </w:t>
      </w:r>
    </w:p>
    <w:p w14:paraId="6019767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Karatzas</w:t>
      </w:r>
      <w:proofErr w:type="spellEnd"/>
      <w:r w:rsidRPr="00BA4513">
        <w:rPr>
          <w:rFonts w:ascii="Times New Roman" w:hAnsi="Times New Roman" w:cs="Times New Roman"/>
          <w:sz w:val="24"/>
          <w:szCs w:val="24"/>
        </w:rPr>
        <w:t xml:space="preserve">, I., J. P. </w:t>
      </w:r>
      <w:proofErr w:type="spellStart"/>
      <w:r w:rsidRPr="00BA4513">
        <w:rPr>
          <w:rFonts w:ascii="Times New Roman" w:hAnsi="Times New Roman" w:cs="Times New Roman"/>
          <w:sz w:val="24"/>
          <w:szCs w:val="24"/>
        </w:rPr>
        <w:t>Lehoczky</w:t>
      </w:r>
      <w:proofErr w:type="spellEnd"/>
      <w:r w:rsidRPr="00BA4513">
        <w:rPr>
          <w:rFonts w:ascii="Times New Roman" w:hAnsi="Times New Roman" w:cs="Times New Roman"/>
          <w:sz w:val="24"/>
          <w:szCs w:val="24"/>
        </w:rPr>
        <w:t xml:space="preserve">, and S. E. Shreve, 1987, Optimal portfolio and consumption decisions for a small investor on a finite horizon, </w:t>
      </w:r>
      <w:r w:rsidRPr="00BA4513">
        <w:rPr>
          <w:rFonts w:ascii="Times New Roman" w:hAnsi="Times New Roman" w:cs="Times New Roman"/>
          <w:i/>
          <w:sz w:val="24"/>
          <w:szCs w:val="24"/>
        </w:rPr>
        <w:t>SIAM Journal of Control and Optimization</w:t>
      </w:r>
      <w:r w:rsidRPr="00BA4513">
        <w:rPr>
          <w:rFonts w:ascii="Times New Roman" w:hAnsi="Times New Roman" w:cs="Times New Roman"/>
          <w:sz w:val="24"/>
          <w:szCs w:val="24"/>
        </w:rPr>
        <w:t xml:space="preserve"> 25, 1157–1186. </w:t>
      </w:r>
    </w:p>
    <w:p w14:paraId="4BE3528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Karatzas</w:t>
      </w:r>
      <w:proofErr w:type="spellEnd"/>
      <w:r w:rsidRPr="00BA4513">
        <w:rPr>
          <w:rFonts w:ascii="Times New Roman" w:hAnsi="Times New Roman" w:cs="Times New Roman"/>
          <w:sz w:val="24"/>
          <w:szCs w:val="24"/>
        </w:rPr>
        <w:t xml:space="preserve">, I., J. P. </w:t>
      </w:r>
      <w:proofErr w:type="spellStart"/>
      <w:r w:rsidRPr="00BA4513">
        <w:rPr>
          <w:rFonts w:ascii="Times New Roman" w:hAnsi="Times New Roman" w:cs="Times New Roman"/>
          <w:sz w:val="24"/>
          <w:szCs w:val="24"/>
        </w:rPr>
        <w:t>Lehoczky</w:t>
      </w:r>
      <w:proofErr w:type="spellEnd"/>
      <w:r w:rsidRPr="00BA4513">
        <w:rPr>
          <w:rFonts w:ascii="Times New Roman" w:hAnsi="Times New Roman" w:cs="Times New Roman"/>
          <w:sz w:val="24"/>
          <w:szCs w:val="24"/>
        </w:rPr>
        <w:t xml:space="preserve">, and Stephen E. Shreve, 1990, Existence and uniqueness of multiagent equilibrium in a stochastic, dynamic consumption0investment model, </w:t>
      </w:r>
      <w:r w:rsidRPr="00BA4513">
        <w:rPr>
          <w:rFonts w:ascii="Times New Roman" w:hAnsi="Times New Roman" w:cs="Times New Roman"/>
          <w:i/>
          <w:sz w:val="24"/>
          <w:szCs w:val="24"/>
        </w:rPr>
        <w:t>Mathematics of Operations Research,</w:t>
      </w:r>
      <w:r w:rsidRPr="00BA4513">
        <w:rPr>
          <w:rFonts w:ascii="Times New Roman" w:hAnsi="Times New Roman" w:cs="Times New Roman"/>
          <w:sz w:val="24"/>
          <w:szCs w:val="24"/>
        </w:rPr>
        <w:t xml:space="preserve"> 15, 80–128.</w:t>
      </w:r>
    </w:p>
    <w:p w14:paraId="6AE1086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Karatzas</w:t>
      </w:r>
      <w:proofErr w:type="spellEnd"/>
      <w:r w:rsidRPr="00BA4513">
        <w:rPr>
          <w:rFonts w:ascii="Times New Roman" w:hAnsi="Times New Roman" w:cs="Times New Roman"/>
          <w:sz w:val="24"/>
          <w:szCs w:val="24"/>
        </w:rPr>
        <w:t xml:space="preserve">, I., J. P. </w:t>
      </w:r>
      <w:proofErr w:type="spellStart"/>
      <w:r w:rsidRPr="00BA4513">
        <w:rPr>
          <w:rFonts w:ascii="Times New Roman" w:hAnsi="Times New Roman" w:cs="Times New Roman"/>
          <w:sz w:val="24"/>
          <w:szCs w:val="24"/>
        </w:rPr>
        <w:t>Lehoczky</w:t>
      </w:r>
      <w:proofErr w:type="spellEnd"/>
      <w:r w:rsidRPr="00BA4513">
        <w:rPr>
          <w:rFonts w:ascii="Times New Roman" w:hAnsi="Times New Roman" w:cs="Times New Roman"/>
          <w:sz w:val="24"/>
          <w:szCs w:val="24"/>
        </w:rPr>
        <w:t xml:space="preserve">, S. P. Sethi, and S. E. Shreve, 1986, Explicit solutions of a general consumption0investment problem, </w:t>
      </w:r>
      <w:r w:rsidRPr="00BA4513">
        <w:rPr>
          <w:rFonts w:ascii="Times New Roman" w:hAnsi="Times New Roman" w:cs="Times New Roman"/>
          <w:i/>
          <w:sz w:val="24"/>
          <w:szCs w:val="24"/>
        </w:rPr>
        <w:t>Mathematics of Operations Research</w:t>
      </w:r>
      <w:r w:rsidRPr="00BA4513">
        <w:rPr>
          <w:rFonts w:ascii="Times New Roman" w:hAnsi="Times New Roman" w:cs="Times New Roman"/>
          <w:sz w:val="24"/>
          <w:szCs w:val="24"/>
        </w:rPr>
        <w:t xml:space="preserve"> 11, 261–294. </w:t>
      </w:r>
    </w:p>
    <w:p w14:paraId="560D87E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Kashyap,</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Stein,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1994.</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Mankiw,</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(Ed.),</w:t>
      </w:r>
      <w:r w:rsidRPr="00BA4513">
        <w:rPr>
          <w:rFonts w:ascii="Times New Roman" w:hAnsi="Times New Roman" w:cs="Times New Roman"/>
          <w:w w:val="101"/>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2"/>
          <w:sz w:val="24"/>
          <w:szCs w:val="24"/>
        </w:rPr>
        <w:t xml:space="preserve"> </w:t>
      </w:r>
      <w:r w:rsidRPr="00BA4513">
        <w:rPr>
          <w:rFonts w:ascii="Times New Roman" w:hAnsi="Times New Roman" w:cs="Times New Roman"/>
          <w:i/>
          <w:iCs/>
          <w:sz w:val="24"/>
          <w:szCs w:val="24"/>
        </w:rPr>
        <w:t>University</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2"/>
          <w:sz w:val="24"/>
          <w:szCs w:val="24"/>
        </w:rPr>
        <w:t xml:space="preserve"> </w:t>
      </w:r>
      <w:r w:rsidRPr="00BA4513">
        <w:rPr>
          <w:rFonts w:ascii="Times New Roman" w:hAnsi="Times New Roman" w:cs="Times New Roman"/>
          <w:i/>
          <w:iCs/>
          <w:sz w:val="24"/>
          <w:szCs w:val="24"/>
        </w:rPr>
        <w:t>Chicago</w:t>
      </w:r>
      <w:r w:rsidRPr="00BA4513">
        <w:rPr>
          <w:rFonts w:ascii="Times New Roman" w:hAnsi="Times New Roman" w:cs="Times New Roman"/>
          <w:i/>
          <w:iCs/>
          <w:spacing w:val="13"/>
          <w:sz w:val="24"/>
          <w:szCs w:val="24"/>
        </w:rPr>
        <w:t xml:space="preserve"> </w:t>
      </w:r>
      <w:r w:rsidRPr="00BA4513">
        <w:rPr>
          <w:rFonts w:ascii="Times New Roman" w:hAnsi="Times New Roman" w:cs="Times New Roman"/>
          <w:i/>
          <w:iCs/>
          <w:sz w:val="24"/>
          <w:szCs w:val="24"/>
        </w:rPr>
        <w:t>Press</w:t>
      </w:r>
      <w:r w:rsidRPr="00BA4513">
        <w:rPr>
          <w:rFonts w:ascii="Times New Roman" w:hAnsi="Times New Roman" w:cs="Times New Roman"/>
          <w:sz w:val="24"/>
          <w:szCs w:val="24"/>
        </w:rPr>
        <w:t>,</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pp.</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221–256.</w:t>
      </w:r>
    </w:p>
    <w:p w14:paraId="6023933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Kashyap,</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Stein,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2000.</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What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do</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million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observations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on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say</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about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9"/>
          <w:sz w:val="24"/>
          <w:szCs w:val="24"/>
        </w:rPr>
        <w:t xml:space="preserve"> </w:t>
      </w:r>
      <w:r w:rsidRPr="00BA4513">
        <w:rPr>
          <w:rFonts w:ascii="Times New Roman" w:hAnsi="Times New Roman" w:cs="Times New Roman"/>
          <w:i/>
          <w:iCs/>
          <w:sz w:val="24"/>
          <w:szCs w:val="24"/>
        </w:rPr>
        <w:t>American</w:t>
      </w:r>
      <w:r w:rsidRPr="00BA4513">
        <w:rPr>
          <w:rFonts w:ascii="Times New Roman" w:hAnsi="Times New Roman" w:cs="Times New Roman"/>
          <w:i/>
          <w:iCs/>
          <w:spacing w:val="20"/>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19"/>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90,</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407–428.</w:t>
      </w:r>
    </w:p>
    <w:p w14:paraId="4FD481B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Kashyap,</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Stein,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Cyclical</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implications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 xml:space="preserve">standards. </w:t>
      </w:r>
      <w:r w:rsidRPr="00BA4513">
        <w:rPr>
          <w:rFonts w:ascii="Times New Roman" w:hAnsi="Times New Roman" w:cs="Times New Roman"/>
          <w:i/>
          <w:iCs/>
          <w:w w:val="105"/>
          <w:sz w:val="24"/>
          <w:szCs w:val="24"/>
        </w:rPr>
        <w:t>Federal</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Reserve</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Bank</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Chicago</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Perspectives</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1,</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18–31.</w:t>
      </w:r>
    </w:p>
    <w:p w14:paraId="26807124"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Kessler, S.M., </w:t>
      </w:r>
      <w:proofErr w:type="spellStart"/>
      <w:r w:rsidRPr="00BA4513">
        <w:rPr>
          <w:rFonts w:ascii="Times New Roman" w:hAnsi="Times New Roman" w:cs="Times New Roman"/>
          <w:sz w:val="24"/>
          <w:szCs w:val="24"/>
        </w:rPr>
        <w:t>Tedijanto</w:t>
      </w:r>
      <w:proofErr w:type="spellEnd"/>
      <w:r w:rsidRPr="00BA4513">
        <w:rPr>
          <w:rFonts w:ascii="Times New Roman" w:hAnsi="Times New Roman" w:cs="Times New Roman"/>
          <w:sz w:val="24"/>
          <w:szCs w:val="24"/>
        </w:rPr>
        <w:t xml:space="preserve">, C., </w:t>
      </w:r>
      <w:proofErr w:type="spellStart"/>
      <w:r w:rsidRPr="00BA4513">
        <w:rPr>
          <w:rFonts w:ascii="Times New Roman" w:hAnsi="Times New Roman" w:cs="Times New Roman"/>
          <w:sz w:val="24"/>
          <w:szCs w:val="24"/>
        </w:rPr>
        <w:t>Lipsitch</w:t>
      </w:r>
      <w:proofErr w:type="spellEnd"/>
      <w:r w:rsidRPr="00BA4513">
        <w:rPr>
          <w:rFonts w:ascii="Times New Roman" w:hAnsi="Times New Roman" w:cs="Times New Roman"/>
          <w:sz w:val="24"/>
          <w:szCs w:val="24"/>
        </w:rPr>
        <w:t xml:space="preserve">, M., Grad, Y., 2020. Social distancing strategies for curbing the COVID-19 epidemic. </w:t>
      </w:r>
      <w:proofErr w:type="spellStart"/>
      <w:r w:rsidRPr="00BA4513">
        <w:rPr>
          <w:rFonts w:ascii="Times New Roman" w:hAnsi="Times New Roman" w:cs="Times New Roman"/>
          <w:sz w:val="24"/>
          <w:szCs w:val="24"/>
        </w:rPr>
        <w:t>medRxiv</w:t>
      </w:r>
      <w:proofErr w:type="spellEnd"/>
      <w:r w:rsidRPr="00BA4513">
        <w:rPr>
          <w:rFonts w:ascii="Times New Roman" w:hAnsi="Times New Roman" w:cs="Times New Roman"/>
          <w:sz w:val="24"/>
          <w:szCs w:val="24"/>
        </w:rPr>
        <w:t xml:space="preserve">. </w:t>
      </w:r>
    </w:p>
    <w:p w14:paraId="28814600"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Kim, C.-J. (1993) Unobserved-components time series models with Markov-switching heteroskedasticity: Changes in regime and the link between inflation rates and inflation uncertainty, </w:t>
      </w:r>
      <w:r w:rsidRPr="00BA4513">
        <w:rPr>
          <w:rFonts w:ascii="Times New Roman" w:hAnsi="Times New Roman" w:cs="Times New Roman"/>
          <w:i/>
          <w:iCs/>
          <w:sz w:val="24"/>
          <w:szCs w:val="24"/>
        </w:rPr>
        <w:t>Journal of Business &amp; Economic Statistics</w:t>
      </w:r>
      <w:r w:rsidRPr="00BA4513">
        <w:rPr>
          <w:rFonts w:ascii="Times New Roman" w:hAnsi="Times New Roman" w:cs="Times New Roman"/>
          <w:sz w:val="24"/>
          <w:szCs w:val="24"/>
        </w:rPr>
        <w:t>. 11, 341–349.</w:t>
      </w:r>
    </w:p>
    <w:p w14:paraId="02673244"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Kim, S. and Tsurumi, H. (2000) Korean currency crisis and regime change: A multivariate GARCH model with Bayesian approach</w:t>
      </w:r>
      <w:r w:rsidRPr="00BA4513">
        <w:rPr>
          <w:rFonts w:ascii="Times New Roman" w:hAnsi="Times New Roman" w:cs="Times New Roman"/>
          <w:i/>
          <w:iCs/>
          <w:sz w:val="24"/>
          <w:szCs w:val="24"/>
        </w:rPr>
        <w:t>, Asia Pacific Financial Markets</w:t>
      </w:r>
      <w:r w:rsidRPr="00BA4513">
        <w:rPr>
          <w:rFonts w:ascii="Times New Roman" w:hAnsi="Times New Roman" w:cs="Times New Roman"/>
          <w:sz w:val="24"/>
          <w:szCs w:val="24"/>
        </w:rPr>
        <w:t xml:space="preserve">, 7, 31–44. </w:t>
      </w:r>
    </w:p>
    <w:p w14:paraId="4BFFFA0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Kishan</w:t>
      </w:r>
      <w:proofErr w:type="spellEnd"/>
      <w:r w:rsidRPr="00BA4513">
        <w:rPr>
          <w:rFonts w:ascii="Times New Roman" w:hAnsi="Times New Roman" w:cs="Times New Roman"/>
          <w:sz w:val="24"/>
          <w:szCs w:val="24"/>
        </w:rPr>
        <w: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2"/>
          <w:sz w:val="24"/>
          <w:szCs w:val="24"/>
        </w:rPr>
        <w:t xml:space="preserve"> </w:t>
      </w:r>
      <w:proofErr w:type="spellStart"/>
      <w:r w:rsidRPr="00BA4513">
        <w:rPr>
          <w:rFonts w:ascii="Times New Roman" w:hAnsi="Times New Roman" w:cs="Times New Roman"/>
          <w:sz w:val="24"/>
          <w:szCs w:val="24"/>
        </w:rPr>
        <w:t>Opiela</w:t>
      </w:r>
      <w:proofErr w:type="spellEnd"/>
      <w:r w:rsidRPr="00BA4513">
        <w:rPr>
          <w:rFonts w:ascii="Times New Roman" w:hAnsi="Times New Roman" w:cs="Times New Roman"/>
          <w:sz w:val="24"/>
          <w:szCs w:val="24"/>
        </w:rPr>
        <w:t>,</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loan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asymmetry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i/>
          <w:iCs/>
          <w:sz w:val="24"/>
          <w:szCs w:val="24"/>
        </w:rPr>
        <w:t>.</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3"/>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30,</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259–285.</w:t>
      </w:r>
    </w:p>
    <w:p w14:paraId="36278F2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Kiyotaki</w:t>
      </w:r>
      <w:proofErr w:type="spellEnd"/>
      <w:r w:rsidRPr="00BA4513">
        <w:rPr>
          <w:rFonts w:ascii="Times New Roman" w:hAnsi="Times New Roman" w:cs="Times New Roman"/>
          <w:sz w:val="24"/>
          <w:szCs w:val="24"/>
        </w:rPr>
        <w:t>,</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N.,</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Moore,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1997.</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cycles</w:t>
      </w:r>
      <w:r w:rsidRPr="00BA4513">
        <w:rPr>
          <w:rFonts w:ascii="Times New Roman" w:hAnsi="Times New Roman" w:cs="Times New Roman"/>
          <w:i/>
          <w:iCs/>
          <w:sz w:val="24"/>
          <w:szCs w:val="24"/>
        </w:rPr>
        <w:t>.</w:t>
      </w:r>
      <w:r w:rsidRPr="00BA4513">
        <w:rPr>
          <w:rFonts w:ascii="Times New Roman" w:hAnsi="Times New Roman" w:cs="Times New Roman"/>
          <w:i/>
          <w:iCs/>
          <w:spacing w:val="-14"/>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4"/>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5"/>
          <w:sz w:val="24"/>
          <w:szCs w:val="24"/>
        </w:rPr>
        <w:t xml:space="preserve"> </w:t>
      </w:r>
      <w:r w:rsidRPr="00BA4513">
        <w:rPr>
          <w:rFonts w:ascii="Times New Roman" w:hAnsi="Times New Roman" w:cs="Times New Roman"/>
          <w:i/>
          <w:iCs/>
          <w:sz w:val="24"/>
          <w:szCs w:val="24"/>
        </w:rPr>
        <w:t>Political</w:t>
      </w:r>
      <w:r w:rsidRPr="00BA4513">
        <w:rPr>
          <w:rFonts w:ascii="Times New Roman" w:hAnsi="Times New Roman" w:cs="Times New Roman"/>
          <w:i/>
          <w:iCs/>
          <w:spacing w:val="-14"/>
          <w:sz w:val="24"/>
          <w:szCs w:val="24"/>
        </w:rPr>
        <w:t xml:space="preserve"> </w:t>
      </w:r>
      <w:r w:rsidRPr="00BA4513">
        <w:rPr>
          <w:rFonts w:ascii="Times New Roman" w:hAnsi="Times New Roman" w:cs="Times New Roman"/>
          <w:i/>
          <w:iCs/>
          <w:sz w:val="24"/>
          <w:szCs w:val="24"/>
        </w:rPr>
        <w:t>Economy</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105,</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211–248.</w:t>
      </w:r>
      <w:r w:rsidRPr="00BA4513">
        <w:rPr>
          <w:rFonts w:ascii="Times New Roman" w:hAnsi="Times New Roman" w:cs="Times New Roman"/>
          <w:w w:val="104"/>
          <w:sz w:val="24"/>
          <w:szCs w:val="24"/>
        </w:rPr>
        <w:t xml:space="preserve"> </w:t>
      </w:r>
      <w:proofErr w:type="spellStart"/>
      <w:r w:rsidRPr="00BA4513">
        <w:rPr>
          <w:rFonts w:ascii="Times New Roman" w:hAnsi="Times New Roman" w:cs="Times New Roman"/>
          <w:sz w:val="24"/>
          <w:szCs w:val="24"/>
        </w:rPr>
        <w:t>Kiyotaki</w:t>
      </w:r>
      <w:proofErr w:type="spellEnd"/>
      <w:r w:rsidRPr="00BA4513">
        <w:rPr>
          <w:rFonts w:ascii="Times New Roman" w:hAnsi="Times New Roman" w:cs="Times New Roman"/>
          <w:sz w:val="24"/>
          <w:szCs w:val="24"/>
        </w:rPr>
        <w: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Moore,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Cycles,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9"/>
          <w:sz w:val="24"/>
          <w:szCs w:val="24"/>
        </w:rPr>
        <w:t xml:space="preserve"> </w:t>
      </w:r>
      <w:r w:rsidRPr="00BA4513">
        <w:rPr>
          <w:rFonts w:ascii="Times New Roman" w:hAnsi="Times New Roman" w:cs="Times New Roman"/>
          <w:i/>
          <w:iCs/>
          <w:sz w:val="24"/>
          <w:szCs w:val="24"/>
        </w:rPr>
        <w:t>Mimeo</w:t>
      </w:r>
      <w:r w:rsidRPr="00BA4513">
        <w:rPr>
          <w:rFonts w:ascii="Times New Roman" w:hAnsi="Times New Roman" w:cs="Times New Roman"/>
          <w:sz w:val="24"/>
          <w:szCs w:val="24"/>
        </w:rPr>
        <w:t>.</w:t>
      </w:r>
      <w:r w:rsidRPr="00BA4513">
        <w:rPr>
          <w:rFonts w:ascii="Times New Roman" w:hAnsi="Times New Roman" w:cs="Times New Roman"/>
          <w:w w:val="108"/>
          <w:sz w:val="24"/>
          <w:szCs w:val="24"/>
        </w:rPr>
        <w:t xml:space="preserve"> </w:t>
      </w:r>
      <w:proofErr w:type="spellStart"/>
      <w:r w:rsidRPr="00BA4513">
        <w:rPr>
          <w:rFonts w:ascii="Times New Roman" w:hAnsi="Times New Roman" w:cs="Times New Roman"/>
          <w:sz w:val="24"/>
          <w:szCs w:val="24"/>
        </w:rPr>
        <w:t>Kiyotaki</w:t>
      </w:r>
      <w:proofErr w:type="spellEnd"/>
      <w:r w:rsidRPr="00BA4513">
        <w:rPr>
          <w:rFonts w:ascii="Times New Roman" w:hAnsi="Times New Roman" w:cs="Times New Roman"/>
          <w:sz w:val="24"/>
          <w:szCs w:val="24"/>
        </w:rPr>
        <w:t>,</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N.,</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Moore,</w:t>
      </w:r>
      <w:r w:rsidRPr="00BA4513">
        <w:rPr>
          <w:rFonts w:ascii="Times New Roman" w:hAnsi="Times New Roman" w:cs="Times New Roman"/>
          <w:spacing w:val="28"/>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28"/>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27"/>
          <w:sz w:val="24"/>
          <w:szCs w:val="24"/>
        </w:rPr>
        <w:t xml:space="preserve"> </w:t>
      </w:r>
      <w:r w:rsidRPr="00BA4513">
        <w:rPr>
          <w:rFonts w:ascii="Times New Roman" w:hAnsi="Times New Roman" w:cs="Times New Roman"/>
          <w:sz w:val="24"/>
          <w:szCs w:val="24"/>
        </w:rPr>
        <w:t>prices.</w:t>
      </w:r>
      <w:r w:rsidRPr="00BA4513">
        <w:rPr>
          <w:rFonts w:ascii="Times New Roman" w:hAnsi="Times New Roman" w:cs="Times New Roman"/>
          <w:spacing w:val="28"/>
          <w:sz w:val="24"/>
          <w:szCs w:val="24"/>
        </w:rPr>
        <w:t xml:space="preserve"> </w:t>
      </w:r>
      <w:r w:rsidRPr="00BA4513">
        <w:rPr>
          <w:rFonts w:ascii="Times New Roman" w:hAnsi="Times New Roman" w:cs="Times New Roman"/>
          <w:i/>
          <w:iCs/>
          <w:sz w:val="24"/>
          <w:szCs w:val="24"/>
        </w:rPr>
        <w:t>International</w:t>
      </w:r>
      <w:r w:rsidRPr="00BA4513">
        <w:rPr>
          <w:rFonts w:ascii="Times New Roman" w:hAnsi="Times New Roman" w:cs="Times New Roman"/>
          <w:i/>
          <w:iCs/>
          <w:spacing w:val="27"/>
          <w:sz w:val="24"/>
          <w:szCs w:val="24"/>
        </w:rPr>
        <w:t xml:space="preserve"> </w:t>
      </w:r>
      <w:r w:rsidRPr="00BA4513">
        <w:rPr>
          <w:rFonts w:ascii="Times New Roman" w:hAnsi="Times New Roman" w:cs="Times New Roman"/>
          <w:i/>
          <w:iCs/>
          <w:sz w:val="24"/>
          <w:szCs w:val="24"/>
        </w:rPr>
        <w:t xml:space="preserve">Economic </w:t>
      </w:r>
      <w:r w:rsidRPr="00BA4513">
        <w:rPr>
          <w:rFonts w:ascii="Times New Roman" w:hAnsi="Times New Roman" w:cs="Times New Roman"/>
          <w:i/>
          <w:iCs/>
          <w:w w:val="105"/>
          <w:sz w:val="24"/>
          <w:szCs w:val="24"/>
        </w:rPr>
        <w:t>Review</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46,</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317–349.</w:t>
      </w:r>
    </w:p>
    <w:p w14:paraId="26AC776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Knight,</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M.D.,</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Now</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you</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see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it,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now</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you</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don’t:</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small</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large.</w:t>
      </w:r>
      <w:r w:rsidRPr="00BA4513">
        <w:rPr>
          <w:rFonts w:ascii="Times New Roman" w:hAnsi="Times New Roman" w:cs="Times New Roman"/>
          <w:w w:val="103"/>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Keynote</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address</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Eighth</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Annual</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Management</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Convention</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Global</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Association</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Risk</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Professionals</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February</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27–28.</w:t>
      </w:r>
    </w:p>
    <w:p w14:paraId="416DA440"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Koedijk</w:t>
      </w:r>
      <w:proofErr w:type="spellEnd"/>
      <w:r w:rsidRPr="00BA4513">
        <w:rPr>
          <w:rFonts w:ascii="Times New Roman" w:hAnsi="Times New Roman" w:cs="Times New Roman"/>
          <w:sz w:val="24"/>
          <w:szCs w:val="24"/>
        </w:rPr>
        <w:t>, K.G., Stork, P.A., (1994). Should we care? Psychological barriers in stock markets. Economics Letters 44, 427–432.</w:t>
      </w:r>
    </w:p>
    <w:p w14:paraId="2643126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Koopman, S.J., </w:t>
      </w:r>
      <w:proofErr w:type="spellStart"/>
      <w:r w:rsidRPr="00BA4513">
        <w:rPr>
          <w:rFonts w:ascii="Times New Roman" w:hAnsi="Times New Roman" w:cs="Times New Roman"/>
          <w:sz w:val="24"/>
          <w:szCs w:val="24"/>
        </w:rPr>
        <w:t>Jungbacker</w:t>
      </w:r>
      <w:proofErr w:type="spellEnd"/>
      <w:r w:rsidRPr="00BA4513">
        <w:rPr>
          <w:rFonts w:ascii="Times New Roman" w:hAnsi="Times New Roman" w:cs="Times New Roman"/>
          <w:sz w:val="24"/>
          <w:szCs w:val="24"/>
        </w:rPr>
        <w:t xml:space="preserve">, B., </w:t>
      </w:r>
      <w:proofErr w:type="spellStart"/>
      <w:r w:rsidRPr="00BA4513">
        <w:rPr>
          <w:rFonts w:ascii="Times New Roman" w:hAnsi="Times New Roman" w:cs="Times New Roman"/>
          <w:sz w:val="24"/>
          <w:szCs w:val="24"/>
        </w:rPr>
        <w:t>Hol</w:t>
      </w:r>
      <w:proofErr w:type="spellEnd"/>
      <w:r w:rsidRPr="00BA4513">
        <w:rPr>
          <w:rFonts w:ascii="Times New Roman" w:hAnsi="Times New Roman" w:cs="Times New Roman"/>
          <w:sz w:val="24"/>
          <w:szCs w:val="24"/>
        </w:rPr>
        <w:t xml:space="preserve">, E. (2005), Forecasting daily variability of the S&amp;P 100 stock index using historical, realised and implied volatility measurements. </w:t>
      </w:r>
      <w:r w:rsidRPr="00BA4513">
        <w:rPr>
          <w:rFonts w:ascii="Times New Roman" w:hAnsi="Times New Roman" w:cs="Times New Roman"/>
          <w:i/>
          <w:sz w:val="24"/>
          <w:szCs w:val="24"/>
        </w:rPr>
        <w:t>Journal of Empirical Finance</w:t>
      </w:r>
      <w:r w:rsidRPr="00BA4513">
        <w:rPr>
          <w:rFonts w:ascii="Times New Roman" w:hAnsi="Times New Roman" w:cs="Times New Roman"/>
          <w:sz w:val="24"/>
          <w:szCs w:val="24"/>
        </w:rPr>
        <w:t>, 12(3), 445-475.</w:t>
      </w:r>
    </w:p>
    <w:p w14:paraId="7626BE0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Kopecky</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K.,</w:t>
      </w:r>
      <w:r w:rsidRPr="00BA4513">
        <w:rPr>
          <w:rFonts w:ascii="Times New Roman" w:hAnsi="Times New Roman" w:cs="Times New Roman"/>
          <w:spacing w:val="-16"/>
          <w:w w:val="105"/>
          <w:sz w:val="24"/>
          <w:szCs w:val="24"/>
        </w:rPr>
        <w:t xml:space="preserve"> </w:t>
      </w:r>
      <w:proofErr w:type="spellStart"/>
      <w:r w:rsidRPr="00BA4513">
        <w:rPr>
          <w:rFonts w:ascii="Times New Roman" w:hAnsi="Times New Roman" w:cs="Times New Roman"/>
          <w:w w:val="105"/>
          <w:sz w:val="24"/>
          <w:szCs w:val="24"/>
        </w:rPr>
        <w:t>VanHoose</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2004a.</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model</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sector</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with</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without</w:t>
      </w:r>
      <w:r w:rsidRPr="00BA4513">
        <w:rPr>
          <w:rFonts w:ascii="Times New Roman" w:hAnsi="Times New Roman" w:cs="Times New Roman"/>
          <w:w w:val="108"/>
          <w:sz w:val="24"/>
          <w:szCs w:val="24"/>
        </w:rPr>
        <w:t xml:space="preserve"> </w:t>
      </w:r>
      <w:r w:rsidRPr="00BA4513">
        <w:rPr>
          <w:rFonts w:ascii="Times New Roman" w:hAnsi="Times New Roman" w:cs="Times New Roman"/>
          <w:w w:val="105"/>
          <w:sz w:val="24"/>
          <w:szCs w:val="24"/>
        </w:rPr>
        <w:t>binding</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w w:val="105"/>
          <w:sz w:val="24"/>
          <w:szCs w:val="24"/>
        </w:rPr>
        <w:t>28,</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633–646.</w:t>
      </w:r>
    </w:p>
    <w:p w14:paraId="4754277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Kopecky</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K.,</w:t>
      </w:r>
      <w:r w:rsidRPr="00BA4513">
        <w:rPr>
          <w:rFonts w:ascii="Times New Roman" w:hAnsi="Times New Roman" w:cs="Times New Roman"/>
          <w:spacing w:val="2"/>
          <w:w w:val="105"/>
          <w:sz w:val="24"/>
          <w:szCs w:val="24"/>
        </w:rPr>
        <w:t xml:space="preserve"> </w:t>
      </w:r>
      <w:proofErr w:type="spellStart"/>
      <w:r w:rsidRPr="00BA4513">
        <w:rPr>
          <w:rFonts w:ascii="Times New Roman" w:hAnsi="Times New Roman" w:cs="Times New Roman"/>
          <w:w w:val="105"/>
          <w:sz w:val="24"/>
          <w:szCs w:val="24"/>
        </w:rPr>
        <w:t>VanHoose</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2004b.</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w w:val="107"/>
          <w:sz w:val="24"/>
          <w:szCs w:val="24"/>
        </w:rPr>
        <w:t xml:space="preserve"> </w:t>
      </w:r>
      <w:r w:rsidRPr="00BA4513">
        <w:rPr>
          <w:rFonts w:ascii="Times New Roman" w:hAnsi="Times New Roman" w:cs="Times New Roman"/>
          <w:w w:val="105"/>
          <w:sz w:val="24"/>
          <w:szCs w:val="24"/>
        </w:rPr>
        <w:t>transmission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mechanism</w:t>
      </w:r>
      <w:r w:rsidRPr="00BA4513">
        <w:rPr>
          <w:rFonts w:ascii="Times New Roman" w:hAnsi="Times New Roman" w:cs="Times New Roman"/>
          <w:i/>
          <w:iCs/>
          <w:w w:val="105"/>
          <w:sz w:val="24"/>
          <w:szCs w:val="24"/>
        </w:rPr>
        <w:t>.</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Macroeconomics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26,</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443–464.</w:t>
      </w:r>
    </w:p>
    <w:p w14:paraId="027B113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Kopecky</w:t>
      </w:r>
      <w:proofErr w:type="spellEnd"/>
      <w:r w:rsidRPr="00BA4513">
        <w:rPr>
          <w:rFonts w:ascii="Times New Roman" w:hAnsi="Times New Roman" w:cs="Times New Roman"/>
          <w:sz w:val="24"/>
          <w:szCs w:val="24"/>
        </w:rPr>
        <w:t xml:space="preserve">, K., </w:t>
      </w:r>
      <w:proofErr w:type="spellStart"/>
      <w:r w:rsidRPr="00BA4513">
        <w:rPr>
          <w:rFonts w:ascii="Times New Roman" w:hAnsi="Times New Roman" w:cs="Times New Roman"/>
          <w:spacing w:val="1"/>
          <w:sz w:val="24"/>
          <w:szCs w:val="24"/>
        </w:rPr>
        <w:t>VanHoose</w:t>
      </w:r>
      <w:proofErr w:type="spellEnd"/>
      <w:r w:rsidRPr="00BA4513">
        <w:rPr>
          <w:rFonts w:ascii="Times New Roman" w:hAnsi="Times New Roman" w:cs="Times New Roman"/>
          <w:sz w:val="24"/>
          <w:szCs w:val="24"/>
        </w:rPr>
        <w:t xml:space="preserve">, </w:t>
      </w:r>
      <w:r w:rsidRPr="00BA4513">
        <w:rPr>
          <w:rFonts w:ascii="Times New Roman" w:hAnsi="Times New Roman" w:cs="Times New Roman"/>
          <w:spacing w:val="1"/>
          <w:sz w:val="24"/>
          <w:szCs w:val="24"/>
        </w:rPr>
        <w:t>D.</w:t>
      </w:r>
      <w:r w:rsidRPr="00BA4513">
        <w:rPr>
          <w:rFonts w:ascii="Times New Roman" w:hAnsi="Times New Roman" w:cs="Times New Roman"/>
          <w:sz w:val="24"/>
          <w:szCs w:val="24"/>
        </w:rPr>
        <w:t xml:space="preserve">, </w:t>
      </w:r>
      <w:r w:rsidRPr="00BA4513">
        <w:rPr>
          <w:rFonts w:ascii="Times New Roman" w:hAnsi="Times New Roman" w:cs="Times New Roman"/>
          <w:spacing w:val="1"/>
          <w:sz w:val="24"/>
          <w:szCs w:val="24"/>
        </w:rPr>
        <w:t>2006</w:t>
      </w:r>
      <w:r w:rsidRPr="00BA4513">
        <w:rPr>
          <w:rFonts w:ascii="Times New Roman" w:hAnsi="Times New Roman" w:cs="Times New Roman"/>
          <w:sz w:val="24"/>
          <w:szCs w:val="24"/>
        </w:rPr>
        <w:t xml:space="preserve">. </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 xml:space="preserve">Capital regulation, </w:t>
      </w:r>
      <w:r w:rsidRPr="00BA4513">
        <w:rPr>
          <w:rFonts w:ascii="Times New Roman" w:hAnsi="Times New Roman" w:cs="Times New Roman"/>
          <w:spacing w:val="1"/>
          <w:sz w:val="24"/>
          <w:szCs w:val="24"/>
        </w:rPr>
        <w:t>heterogeneous</w:t>
      </w:r>
      <w:r w:rsidRPr="00BA4513">
        <w:rPr>
          <w:rFonts w:ascii="Times New Roman" w:hAnsi="Times New Roman" w:cs="Times New Roman"/>
          <w:sz w:val="24"/>
          <w:szCs w:val="24"/>
        </w:rPr>
        <w:t xml:space="preserve"> </w:t>
      </w:r>
      <w:r w:rsidRPr="00BA4513">
        <w:rPr>
          <w:rFonts w:ascii="Times New Roman" w:hAnsi="Times New Roman" w:cs="Times New Roman"/>
          <w:spacing w:val="1"/>
          <w:sz w:val="24"/>
          <w:szCs w:val="24"/>
        </w:rPr>
        <w:t>monitoring</w:t>
      </w:r>
      <w:r w:rsidRPr="00BA4513">
        <w:rPr>
          <w:rFonts w:ascii="Times New Roman" w:hAnsi="Times New Roman" w:cs="Times New Roman"/>
          <w:w w:val="107"/>
          <w:sz w:val="24"/>
          <w:szCs w:val="24"/>
        </w:rPr>
        <w:t xml:space="preserve"> </w:t>
      </w:r>
      <w:r w:rsidRPr="00BA4513">
        <w:rPr>
          <w:rFonts w:ascii="Times New Roman" w:hAnsi="Times New Roman" w:cs="Times New Roman"/>
          <w:sz w:val="24"/>
          <w:szCs w:val="24"/>
        </w:rPr>
        <w:t>costs,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aggregate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loan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quality.</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Banking</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10"/>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30,</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2235–2255.</w:t>
      </w:r>
      <w:r w:rsidRPr="00BA4513">
        <w:rPr>
          <w:rFonts w:ascii="Times New Roman" w:hAnsi="Times New Roman" w:cs="Times New Roman"/>
          <w:w w:val="104"/>
          <w:sz w:val="24"/>
          <w:szCs w:val="24"/>
        </w:rPr>
        <w:t xml:space="preserve"> </w:t>
      </w:r>
    </w:p>
    <w:p w14:paraId="4650570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proofErr w:type="gramStart"/>
      <w:r w:rsidRPr="00BA4513">
        <w:rPr>
          <w:rFonts w:ascii="Times New Roman" w:hAnsi="Times New Roman" w:cs="Times New Roman"/>
          <w:sz w:val="24"/>
          <w:szCs w:val="24"/>
        </w:rPr>
        <w:t>Kozdron,M.J</w:t>
      </w:r>
      <w:proofErr w:type="spellEnd"/>
      <w:r w:rsidRPr="00BA4513">
        <w:rPr>
          <w:rFonts w:ascii="Times New Roman" w:hAnsi="Times New Roman" w:cs="Times New Roman"/>
          <w:sz w:val="24"/>
          <w:szCs w:val="24"/>
        </w:rPr>
        <w:t>.</w:t>
      </w:r>
      <w:proofErr w:type="gramEnd"/>
      <w:r w:rsidRPr="00BA4513">
        <w:rPr>
          <w:rFonts w:ascii="Times New Roman" w:hAnsi="Times New Roman" w:cs="Times New Roman"/>
          <w:sz w:val="24"/>
          <w:szCs w:val="24"/>
        </w:rPr>
        <w:t>(2008),”</w:t>
      </w:r>
      <w:r w:rsidRPr="00BA4513">
        <w:rPr>
          <w:rFonts w:ascii="Times New Roman" w:hAnsi="Times New Roman" w:cs="Times New Roman"/>
          <w:i/>
          <w:sz w:val="24"/>
          <w:szCs w:val="24"/>
        </w:rPr>
        <w:t>Brownian motion and The Heat Equation”,</w:t>
      </w:r>
      <w:r w:rsidRPr="00BA4513">
        <w:rPr>
          <w:rFonts w:ascii="Times New Roman" w:hAnsi="Times New Roman" w:cs="Times New Roman"/>
          <w:sz w:val="24"/>
          <w:szCs w:val="24"/>
        </w:rPr>
        <w:t xml:space="preserve">[Online]. Available from; </w:t>
      </w:r>
      <w:hyperlink r:id="rId154" w:history="1">
        <w:r w:rsidRPr="00BA4513">
          <w:rPr>
            <w:rStyle w:val="Hyperlink"/>
            <w:rFonts w:ascii="Times New Roman" w:hAnsi="Times New Roman" w:cs="Times New Roman"/>
            <w:sz w:val="24"/>
            <w:szCs w:val="24"/>
          </w:rPr>
          <w:t>http://stat.math.uregina.ca/~kozdron/Research/UgradTalks/BM_and_Heat/heat_and_BM.pdf</w:t>
        </w:r>
      </w:hyperlink>
      <w:proofErr w:type="gramStart"/>
      <w:r w:rsidRPr="00BA4513">
        <w:rPr>
          <w:rFonts w:ascii="Times New Roman" w:hAnsi="Times New Roman" w:cs="Times New Roman"/>
          <w:sz w:val="24"/>
          <w:szCs w:val="24"/>
        </w:rPr>
        <w:t xml:space="preserve">   [</w:t>
      </w:r>
      <w:proofErr w:type="gramEnd"/>
      <w:r w:rsidRPr="00BA4513">
        <w:rPr>
          <w:rFonts w:ascii="Times New Roman" w:hAnsi="Times New Roman" w:cs="Times New Roman"/>
          <w:sz w:val="24"/>
          <w:szCs w:val="24"/>
        </w:rPr>
        <w:t>Accessed 03 December 2018]</w:t>
      </w:r>
    </w:p>
    <w:p w14:paraId="13277E8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Kuttner</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K.,</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Mosser,</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mechanism:</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some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answers</w:t>
      </w:r>
      <w:r w:rsidRPr="00BA4513">
        <w:rPr>
          <w:rFonts w:ascii="Times New Roman" w:hAnsi="Times New Roman" w:cs="Times New Roman"/>
          <w:w w:val="104"/>
          <w:sz w:val="24"/>
          <w:szCs w:val="24"/>
        </w:rPr>
        <w:t xml:space="preserve"> </w:t>
      </w:r>
      <w:r w:rsidRPr="00BA4513">
        <w:rPr>
          <w:rFonts w:ascii="Times New Roman" w:hAnsi="Times New Roman" w:cs="Times New Roman"/>
          <w:sz w:val="24"/>
          <w:szCs w:val="24"/>
        </w:rPr>
        <w:t xml:space="preserve">and </w:t>
      </w:r>
      <w:r w:rsidRPr="00BA4513">
        <w:rPr>
          <w:rFonts w:ascii="Times New Roman" w:hAnsi="Times New Roman" w:cs="Times New Roman"/>
          <w:spacing w:val="1"/>
          <w:sz w:val="24"/>
          <w:szCs w:val="24"/>
        </w:rPr>
        <w:t>further</w:t>
      </w:r>
      <w:r w:rsidRPr="00BA4513">
        <w:rPr>
          <w:rFonts w:ascii="Times New Roman" w:hAnsi="Times New Roman" w:cs="Times New Roman"/>
          <w:sz w:val="24"/>
          <w:szCs w:val="24"/>
        </w:rPr>
        <w:t xml:space="preserve"> </w:t>
      </w:r>
      <w:r w:rsidRPr="00BA4513">
        <w:rPr>
          <w:rFonts w:ascii="Times New Roman" w:hAnsi="Times New Roman" w:cs="Times New Roman"/>
          <w:spacing w:val="1"/>
          <w:sz w:val="24"/>
          <w:szCs w:val="24"/>
        </w:rPr>
        <w:t>questions</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 xml:space="preserve">Federal </w:t>
      </w:r>
      <w:r w:rsidRPr="00BA4513">
        <w:rPr>
          <w:rFonts w:ascii="Times New Roman" w:hAnsi="Times New Roman" w:cs="Times New Roman"/>
          <w:i/>
          <w:iCs/>
          <w:spacing w:val="1"/>
          <w:sz w:val="24"/>
          <w:szCs w:val="24"/>
        </w:rPr>
        <w:t>Reserve</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Bank</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2"/>
          <w:sz w:val="24"/>
          <w:szCs w:val="24"/>
        </w:rPr>
        <w:t>of</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New</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York</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Economic</w:t>
      </w:r>
      <w:r w:rsidRPr="00BA4513">
        <w:rPr>
          <w:rFonts w:ascii="Times New Roman" w:hAnsi="Times New Roman" w:cs="Times New Roman"/>
          <w:i/>
          <w:iCs/>
          <w:sz w:val="24"/>
          <w:szCs w:val="24"/>
        </w:rPr>
        <w:t xml:space="preserve"> </w:t>
      </w:r>
      <w:r w:rsidRPr="00BA4513">
        <w:rPr>
          <w:rFonts w:ascii="Times New Roman" w:hAnsi="Times New Roman" w:cs="Times New Roman"/>
          <w:i/>
          <w:iCs/>
          <w:spacing w:val="1"/>
          <w:sz w:val="24"/>
          <w:szCs w:val="24"/>
        </w:rPr>
        <w:t xml:space="preserve">Policy </w:t>
      </w:r>
      <w:r w:rsidRPr="00BA4513">
        <w:rPr>
          <w:rFonts w:ascii="Times New Roman" w:hAnsi="Times New Roman" w:cs="Times New Roman"/>
          <w:i/>
          <w:iCs/>
          <w:w w:val="105"/>
          <w:sz w:val="24"/>
          <w:szCs w:val="24"/>
        </w:rPr>
        <w:t>Review</w:t>
      </w:r>
      <w:r w:rsidRPr="00BA4513">
        <w:rPr>
          <w:rFonts w:ascii="Times New Roman" w:hAnsi="Times New Roman" w:cs="Times New Roman"/>
          <w:w w:val="105"/>
          <w:sz w:val="24"/>
          <w:szCs w:val="24"/>
        </w:rPr>
        <w:t>, May 15–26.</w:t>
      </w:r>
    </w:p>
    <w:p w14:paraId="6D2E3A3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Laidler</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1999.</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Passive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active</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i/>
          <w:iCs/>
          <w:w w:val="105"/>
          <w:sz w:val="24"/>
          <w:szCs w:val="24"/>
        </w:rPr>
        <w:t>Bank</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Canada</w:t>
      </w:r>
      <w:r w:rsidRPr="00BA4513">
        <w:rPr>
          <w:rFonts w:ascii="Times New Roman" w:hAnsi="Times New Roman" w:cs="Times New Roman"/>
          <w:i/>
          <w:iCs/>
          <w:w w:val="98"/>
          <w:sz w:val="24"/>
          <w:szCs w:val="24"/>
        </w:rPr>
        <w:t xml:space="preserve"> </w:t>
      </w:r>
      <w:r w:rsidRPr="00BA4513">
        <w:rPr>
          <w:rFonts w:ascii="Times New Roman" w:hAnsi="Times New Roman" w:cs="Times New Roman"/>
          <w:i/>
          <w:iCs/>
          <w:w w:val="105"/>
          <w:sz w:val="24"/>
          <w:szCs w:val="24"/>
        </w:rPr>
        <w:t>Quarterly</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i/>
          <w:iCs/>
          <w:spacing w:val="-13"/>
          <w:w w:val="105"/>
          <w:sz w:val="24"/>
          <w:szCs w:val="24"/>
        </w:rPr>
        <w:t xml:space="preserve"> </w:t>
      </w:r>
      <w:r w:rsidRPr="00BA4513">
        <w:rPr>
          <w:rFonts w:ascii="Times New Roman" w:hAnsi="Times New Roman" w:cs="Times New Roman"/>
          <w:i/>
          <w:iCs/>
          <w:w w:val="105"/>
          <w:sz w:val="24"/>
          <w:szCs w:val="24"/>
        </w:rPr>
        <w:t>Summer</w:t>
      </w:r>
      <w:r w:rsidRPr="00BA4513">
        <w:rPr>
          <w:rFonts w:ascii="Times New Roman" w:hAnsi="Times New Roman" w:cs="Times New Roman"/>
          <w:w w:val="105"/>
          <w:sz w:val="24"/>
          <w:szCs w:val="24"/>
        </w:rPr>
        <w: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15–25.</w:t>
      </w:r>
    </w:p>
    <w:p w14:paraId="217B3D4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w w:val="105"/>
          <w:sz w:val="24"/>
          <w:szCs w:val="24"/>
        </w:rPr>
      </w:pPr>
      <w:proofErr w:type="spellStart"/>
      <w:r w:rsidRPr="00BA4513">
        <w:rPr>
          <w:rFonts w:ascii="Times New Roman" w:hAnsi="Times New Roman" w:cs="Times New Roman"/>
          <w:w w:val="105"/>
          <w:sz w:val="24"/>
          <w:szCs w:val="24"/>
        </w:rPr>
        <w:t>Laidler</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transmission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mechanism</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with</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endogenous</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3"/>
          <w:w w:val="105"/>
          <w:sz w:val="24"/>
          <w:szCs w:val="24"/>
        </w:rPr>
        <w:t xml:space="preserve"> </w:t>
      </w:r>
      <w:proofErr w:type="spellStart"/>
      <w:r w:rsidRPr="00BA4513">
        <w:rPr>
          <w:rFonts w:ascii="Times New Roman" w:hAnsi="Times New Roman" w:cs="Times New Roman"/>
          <w:w w:val="105"/>
          <w:sz w:val="24"/>
          <w:szCs w:val="24"/>
        </w:rPr>
        <w:t>Arestis</w:t>
      </w:r>
      <w:proofErr w:type="spellEnd"/>
      <w:r w:rsidRPr="00BA4513">
        <w:rPr>
          <w:rFonts w:ascii="Times New Roman" w:hAnsi="Times New Roman" w:cs="Times New Roman"/>
          <w:w w:val="105"/>
          <w:sz w:val="24"/>
          <w:szCs w:val="24"/>
        </w:rPr>
        <w:t>,</w:t>
      </w:r>
      <w:r w:rsidRPr="00BA4513">
        <w:rPr>
          <w:rFonts w:ascii="Times New Roman" w:hAnsi="Times New Roman" w:cs="Times New Roman"/>
          <w:w w:val="101"/>
          <w:sz w:val="24"/>
          <w:szCs w:val="24"/>
        </w:rPr>
        <w:t xml:space="preserve"> </w:t>
      </w:r>
      <w:r w:rsidRPr="00BA4513">
        <w:rPr>
          <w:rFonts w:ascii="Times New Roman" w:hAnsi="Times New Roman" w:cs="Times New Roman"/>
          <w:w w:val="105"/>
          <w:sz w:val="24"/>
          <w:szCs w:val="24"/>
        </w:rPr>
        <w:t>Desai,</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Dow</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Macroeconomics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Keynes: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i/>
          <w:iCs/>
          <w:w w:val="105"/>
          <w:sz w:val="24"/>
          <w:szCs w:val="24"/>
        </w:rPr>
        <w:t>Essays</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in</w:t>
      </w:r>
      <w:r w:rsidRPr="00BA4513">
        <w:rPr>
          <w:rFonts w:ascii="Times New Roman" w:hAnsi="Times New Roman" w:cs="Times New Roman"/>
          <w:i/>
          <w:iCs/>
          <w:spacing w:val="6"/>
          <w:w w:val="105"/>
          <w:sz w:val="24"/>
          <w:szCs w:val="24"/>
        </w:rPr>
        <w:t xml:space="preserve"> </w:t>
      </w:r>
      <w:r w:rsidRPr="00BA4513">
        <w:rPr>
          <w:rFonts w:ascii="Times New Roman" w:hAnsi="Times New Roman" w:cs="Times New Roman"/>
          <w:i/>
          <w:iCs/>
          <w:w w:val="105"/>
          <w:sz w:val="24"/>
          <w:szCs w:val="24"/>
        </w:rPr>
        <w:t>Honour</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w w:val="105"/>
          <w:sz w:val="24"/>
          <w:szCs w:val="24"/>
        </w:rPr>
        <w:t>Victoria</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Chick</w:t>
      </w:r>
      <w:r w:rsidRPr="00BA4513">
        <w:rPr>
          <w:rFonts w:ascii="Times New Roman" w:hAnsi="Times New Roman" w:cs="Times New Roman"/>
          <w:w w:val="105"/>
          <w:sz w:val="24"/>
          <w:szCs w:val="24"/>
        </w:rPr>
        <w:t>,</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vol.</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1.</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Routledge.</w:t>
      </w:r>
    </w:p>
    <w:p w14:paraId="0FEA676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Laidler</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monetarism,</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Wicksell</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connection.</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EPRI</w:t>
      </w:r>
      <w:r w:rsidRPr="00BA4513">
        <w:rPr>
          <w:rFonts w:ascii="Times New Roman" w:hAnsi="Times New Roman" w:cs="Times New Roman"/>
          <w:w w:val="94"/>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Paper</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Series</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2007-13.</w:t>
      </w:r>
    </w:p>
    <w:p w14:paraId="2E8D53A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Laurent, S., Peters, J.P., 2005. GARCH 4.0, Estimating and Forecasting ARCH models. </w:t>
      </w:r>
      <w:r w:rsidRPr="00BA4513">
        <w:rPr>
          <w:rFonts w:ascii="Times New Roman" w:hAnsi="Times New Roman" w:cs="Times New Roman"/>
          <w:i/>
          <w:iCs/>
          <w:sz w:val="24"/>
          <w:szCs w:val="24"/>
        </w:rPr>
        <w:t>Timberlake Consultants</w:t>
      </w:r>
      <w:r w:rsidRPr="00BA4513">
        <w:rPr>
          <w:rFonts w:ascii="Times New Roman" w:hAnsi="Times New Roman" w:cs="Times New Roman"/>
          <w:sz w:val="24"/>
          <w:szCs w:val="24"/>
        </w:rPr>
        <w:t xml:space="preserve">. </w:t>
      </w:r>
    </w:p>
    <w:p w14:paraId="7ECFE05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Leland, Hayne, 1994, Risky debt, bond covenants and optimal capital structure, </w:t>
      </w:r>
      <w:r w:rsidRPr="00BA4513">
        <w:rPr>
          <w:rFonts w:ascii="Times New Roman" w:hAnsi="Times New Roman" w:cs="Times New Roman"/>
          <w:i/>
          <w:sz w:val="24"/>
          <w:szCs w:val="24"/>
        </w:rPr>
        <w:t>Journal of Finance</w:t>
      </w:r>
      <w:r w:rsidRPr="00BA4513">
        <w:rPr>
          <w:rFonts w:ascii="Times New Roman" w:hAnsi="Times New Roman" w:cs="Times New Roman"/>
          <w:sz w:val="24"/>
          <w:szCs w:val="24"/>
        </w:rPr>
        <w:t xml:space="preserve"> 49, 1213–1252. </w:t>
      </w:r>
    </w:p>
    <w:p w14:paraId="07DEA1A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Leland, Hayne, and Klaus Toft, 1996, Optimal capital structure, endogenous bankruptcy and the term structure of credit spreads, </w:t>
      </w:r>
      <w:r w:rsidRPr="00BA4513">
        <w:rPr>
          <w:rFonts w:ascii="Times New Roman" w:hAnsi="Times New Roman" w:cs="Times New Roman"/>
          <w:i/>
          <w:sz w:val="24"/>
          <w:szCs w:val="24"/>
        </w:rPr>
        <w:t>Journal of Finance</w:t>
      </w:r>
      <w:r w:rsidRPr="00BA4513">
        <w:rPr>
          <w:rFonts w:ascii="Times New Roman" w:hAnsi="Times New Roman" w:cs="Times New Roman"/>
          <w:sz w:val="24"/>
          <w:szCs w:val="24"/>
        </w:rPr>
        <w:t xml:space="preserve"> 51, 987–1019. </w:t>
      </w:r>
    </w:p>
    <w:p w14:paraId="02EB7B8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Leon, A., Rubio, G. and   Serna, G. (2004). “Autoregressive Conditional Volatility, Skewness and Kurtosis”, WP-AD 2004-13, Instituto Valenciano de </w:t>
      </w:r>
      <w:proofErr w:type="spellStart"/>
      <w:r w:rsidRPr="00BA4513">
        <w:rPr>
          <w:rFonts w:ascii="Times New Roman" w:hAnsi="Times New Roman" w:cs="Times New Roman"/>
          <w:sz w:val="24"/>
          <w:szCs w:val="24"/>
        </w:rPr>
        <w:t>Investigaciones</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Economicas</w:t>
      </w:r>
      <w:proofErr w:type="spellEnd"/>
      <w:r w:rsidRPr="00BA4513">
        <w:rPr>
          <w:rFonts w:ascii="Times New Roman" w:hAnsi="Times New Roman" w:cs="Times New Roman"/>
          <w:sz w:val="24"/>
          <w:szCs w:val="24"/>
        </w:rPr>
        <w:t>.</w:t>
      </w:r>
    </w:p>
    <w:p w14:paraId="1EEE9BF3"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Ley, E., Varian, H., (1994). Are there psychological barriers in the Dow-Jones Index? Applied Financial Economics 4, 217–224.</w:t>
      </w:r>
    </w:p>
    <w:p w14:paraId="42E16BB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Liu, H.C., Hung, J.C. (2010), Forecasting S&amp;P-100 stock index volatility: The role of volatility asymmetry and distributional assumption in GARCH models. </w:t>
      </w:r>
      <w:r w:rsidRPr="00BA4513">
        <w:rPr>
          <w:rFonts w:ascii="Times New Roman" w:hAnsi="Times New Roman" w:cs="Times New Roman"/>
          <w:i/>
          <w:sz w:val="24"/>
          <w:szCs w:val="24"/>
        </w:rPr>
        <w:t>Expert Systems with Applications,</w:t>
      </w:r>
      <w:r w:rsidRPr="00BA4513">
        <w:rPr>
          <w:rFonts w:ascii="Times New Roman" w:hAnsi="Times New Roman" w:cs="Times New Roman"/>
          <w:sz w:val="24"/>
          <w:szCs w:val="24"/>
        </w:rPr>
        <w:t xml:space="preserve"> 37(7), 4928- 4934.</w:t>
      </w:r>
    </w:p>
    <w:p w14:paraId="5CEDD29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Lobato, I., </w:t>
      </w:r>
      <w:proofErr w:type="spellStart"/>
      <w:r w:rsidRPr="00BA4513">
        <w:rPr>
          <w:rFonts w:ascii="Times New Roman" w:hAnsi="Times New Roman" w:cs="Times New Roman"/>
          <w:sz w:val="24"/>
          <w:szCs w:val="24"/>
        </w:rPr>
        <w:t>Savin</w:t>
      </w:r>
      <w:proofErr w:type="spellEnd"/>
      <w:r w:rsidRPr="00BA4513">
        <w:rPr>
          <w:rFonts w:ascii="Times New Roman" w:hAnsi="Times New Roman" w:cs="Times New Roman"/>
          <w:sz w:val="24"/>
          <w:szCs w:val="24"/>
        </w:rPr>
        <w:t xml:space="preserve">, N.E., 1998. Long memory in stock-market trading volume. </w:t>
      </w:r>
      <w:r w:rsidRPr="00BA4513">
        <w:rPr>
          <w:rFonts w:ascii="Times New Roman" w:hAnsi="Times New Roman" w:cs="Times New Roman"/>
          <w:i/>
          <w:iCs/>
          <w:sz w:val="24"/>
          <w:szCs w:val="24"/>
        </w:rPr>
        <w:t xml:space="preserve">J. Business </w:t>
      </w:r>
      <w:proofErr w:type="spellStart"/>
      <w:r w:rsidRPr="00BA4513">
        <w:rPr>
          <w:rFonts w:ascii="Times New Roman" w:hAnsi="Times New Roman" w:cs="Times New Roman"/>
          <w:i/>
          <w:iCs/>
          <w:sz w:val="24"/>
          <w:szCs w:val="24"/>
        </w:rPr>
        <w:t>Econom</w:t>
      </w:r>
      <w:proofErr w:type="spellEnd"/>
      <w:r w:rsidRPr="00BA4513">
        <w:rPr>
          <w:rFonts w:ascii="Times New Roman" w:hAnsi="Times New Roman" w:cs="Times New Roman"/>
          <w:sz w:val="24"/>
          <w:szCs w:val="24"/>
        </w:rPr>
        <w:t xml:space="preserve">. Statist. 18, 410–427. </w:t>
      </w:r>
    </w:p>
    <w:p w14:paraId="2AB51B3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Longin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29"/>
          <w:w w:val="105"/>
          <w:sz w:val="24"/>
          <w:szCs w:val="24"/>
        </w:rPr>
        <w:t xml:space="preserve"> </w:t>
      </w:r>
      <w:proofErr w:type="spellStart"/>
      <w:r w:rsidRPr="00BA4513">
        <w:rPr>
          <w:rFonts w:ascii="Times New Roman" w:hAnsi="Times New Roman" w:cs="Times New Roman"/>
          <w:w w:val="105"/>
          <w:sz w:val="24"/>
          <w:szCs w:val="24"/>
        </w:rPr>
        <w:t>Solnik</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B.,</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1995.</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Is</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correlation</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international</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equity</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returns</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constant:</w:t>
      </w:r>
      <w:r w:rsidRPr="00BA4513">
        <w:rPr>
          <w:rFonts w:ascii="Times New Roman" w:hAnsi="Times New Roman" w:cs="Times New Roman"/>
          <w:w w:val="104"/>
          <w:sz w:val="24"/>
          <w:szCs w:val="24"/>
        </w:rPr>
        <w:t xml:space="preserve"> </w:t>
      </w:r>
      <w:r w:rsidRPr="00BA4513">
        <w:rPr>
          <w:rFonts w:ascii="Times New Roman" w:hAnsi="Times New Roman" w:cs="Times New Roman"/>
          <w:w w:val="105"/>
          <w:sz w:val="24"/>
          <w:szCs w:val="24"/>
        </w:rPr>
        <w:t>160–1990?</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International</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Money</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16"/>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14,</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3–26.</w:t>
      </w:r>
    </w:p>
    <w:p w14:paraId="00E2BCF8"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Lyu</w:t>
      </w:r>
      <w:proofErr w:type="spellEnd"/>
      <w:r w:rsidRPr="00BA4513">
        <w:rPr>
          <w:rFonts w:ascii="Times New Roman" w:hAnsi="Times New Roman" w:cs="Times New Roman"/>
          <w:sz w:val="24"/>
          <w:szCs w:val="24"/>
        </w:rPr>
        <w:t>, C., Wang, K., Zhang, F., Zhang, X., 2018. GDP Management to meet or beat growth targets</w:t>
      </w:r>
      <w:r w:rsidRPr="00BA4513">
        <w:rPr>
          <w:rFonts w:ascii="Times New Roman" w:hAnsi="Times New Roman" w:cs="Times New Roman"/>
          <w:i/>
          <w:iCs/>
          <w:sz w:val="24"/>
          <w:szCs w:val="24"/>
        </w:rPr>
        <w:t>. J. Account. Econ</w:t>
      </w:r>
      <w:r w:rsidRPr="00BA4513">
        <w:rPr>
          <w:rFonts w:ascii="Times New Roman" w:hAnsi="Times New Roman" w:cs="Times New Roman"/>
          <w:sz w:val="24"/>
          <w:szCs w:val="24"/>
        </w:rPr>
        <w:t xml:space="preserve">. 66 (1), 318–338. </w:t>
      </w:r>
    </w:p>
    <w:p w14:paraId="1578265A"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 </w:t>
      </w: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C. </w:t>
      </w:r>
      <w:proofErr w:type="spellStart"/>
      <w:r w:rsidRPr="00BA4513">
        <w:rPr>
          <w:rFonts w:ascii="Times New Roman" w:hAnsi="Times New Roman" w:cs="Times New Roman"/>
          <w:sz w:val="24"/>
          <w:szCs w:val="24"/>
        </w:rPr>
        <w:t>Herteliu</w:t>
      </w:r>
      <w:proofErr w:type="spellEnd"/>
      <w:r w:rsidRPr="00BA4513">
        <w:rPr>
          <w:rFonts w:ascii="Times New Roman" w:hAnsi="Times New Roman" w:cs="Times New Roman"/>
          <w:sz w:val="24"/>
          <w:szCs w:val="24"/>
        </w:rPr>
        <w:t xml:space="preserve">, and B. </w:t>
      </w:r>
      <w:proofErr w:type="spellStart"/>
      <w:r w:rsidRPr="00BA4513">
        <w:rPr>
          <w:rFonts w:ascii="Times New Roman" w:hAnsi="Times New Roman" w:cs="Times New Roman"/>
          <w:sz w:val="24"/>
          <w:szCs w:val="24"/>
        </w:rPr>
        <w:t>Ileanu</w:t>
      </w:r>
      <w:proofErr w:type="spellEnd"/>
      <w:r w:rsidRPr="00BA4513">
        <w:rPr>
          <w:rFonts w:ascii="Times New Roman" w:hAnsi="Times New Roman" w:cs="Times New Roman"/>
          <w:sz w:val="24"/>
          <w:szCs w:val="24"/>
        </w:rPr>
        <w:t xml:space="preserve">., 2015. “Breakdown of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for birth data,” </w:t>
      </w:r>
      <w:proofErr w:type="spellStart"/>
      <w:r w:rsidRPr="00BA4513">
        <w:rPr>
          <w:rFonts w:ascii="Times New Roman" w:hAnsi="Times New Roman" w:cs="Times New Roman"/>
          <w:i/>
          <w:iCs/>
          <w:sz w:val="24"/>
          <w:szCs w:val="24"/>
        </w:rPr>
        <w:t>Physica</w:t>
      </w:r>
      <w:proofErr w:type="spellEnd"/>
      <w:r w:rsidRPr="00BA4513">
        <w:rPr>
          <w:rFonts w:ascii="Times New Roman" w:hAnsi="Times New Roman" w:cs="Times New Roman"/>
          <w:i/>
          <w:iCs/>
          <w:sz w:val="24"/>
          <w:szCs w:val="24"/>
        </w:rPr>
        <w:t xml:space="preserve"> A: Statistical Mechanics and its Applications</w:t>
      </w:r>
      <w:r w:rsidRPr="00BA4513">
        <w:rPr>
          <w:rFonts w:ascii="Times New Roman" w:hAnsi="Times New Roman" w:cs="Times New Roman"/>
          <w:sz w:val="24"/>
          <w:szCs w:val="24"/>
        </w:rPr>
        <w:t>, vol. 419, pp. 736- 745.</w:t>
      </w:r>
    </w:p>
    <w:p w14:paraId="3D63FD46"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 </w:t>
      </w: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R. </w:t>
      </w:r>
      <w:proofErr w:type="spellStart"/>
      <w:r w:rsidRPr="00BA4513">
        <w:rPr>
          <w:rFonts w:ascii="Times New Roman" w:hAnsi="Times New Roman" w:cs="Times New Roman"/>
          <w:sz w:val="24"/>
          <w:szCs w:val="24"/>
        </w:rPr>
        <w:t>Cerqueti</w:t>
      </w:r>
      <w:proofErr w:type="spellEnd"/>
      <w:r w:rsidRPr="00BA4513">
        <w:rPr>
          <w:rFonts w:ascii="Times New Roman" w:hAnsi="Times New Roman" w:cs="Times New Roman"/>
          <w:sz w:val="24"/>
          <w:szCs w:val="24"/>
        </w:rPr>
        <w:t xml:space="preserve">, and T. A. Mir., 2017. “Data science for assessing possible tax income manipulation: The case of Italy,” </w:t>
      </w:r>
      <w:r w:rsidRPr="00BA4513">
        <w:rPr>
          <w:rFonts w:ascii="Times New Roman" w:hAnsi="Times New Roman" w:cs="Times New Roman"/>
          <w:i/>
          <w:iCs/>
          <w:sz w:val="24"/>
          <w:szCs w:val="24"/>
        </w:rPr>
        <w:t>Chaos, Solitons &amp; Fractals</w:t>
      </w:r>
      <w:r w:rsidRPr="00BA4513">
        <w:rPr>
          <w:rFonts w:ascii="Times New Roman" w:hAnsi="Times New Roman" w:cs="Times New Roman"/>
          <w:sz w:val="24"/>
          <w:szCs w:val="24"/>
        </w:rPr>
        <w:t>, vol. 104, pp. 238-256.</w:t>
      </w:r>
    </w:p>
    <w:p w14:paraId="3FF83CB6"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 </w:t>
      </w:r>
      <w:proofErr w:type="spellStart"/>
      <w:r w:rsidRPr="00BA4513">
        <w:rPr>
          <w:rFonts w:ascii="Times New Roman" w:hAnsi="Times New Roman" w:cs="Times New Roman"/>
          <w:sz w:val="24"/>
          <w:szCs w:val="24"/>
        </w:rPr>
        <w:t>Cinko</w:t>
      </w:r>
      <w:proofErr w:type="spellEnd"/>
      <w:r w:rsidRPr="00BA4513">
        <w:rPr>
          <w:rFonts w:ascii="Times New Roman" w:hAnsi="Times New Roman" w:cs="Times New Roman"/>
          <w:sz w:val="24"/>
          <w:szCs w:val="24"/>
        </w:rPr>
        <w:t xml:space="preserve">., 2014. “Testing distribution of BIST-100 returns by </w:t>
      </w:r>
      <w:proofErr w:type="spellStart"/>
      <w:r w:rsidRPr="00BA4513">
        <w:rPr>
          <w:rFonts w:ascii="Times New Roman" w:hAnsi="Times New Roman" w:cs="Times New Roman"/>
          <w:sz w:val="24"/>
          <w:szCs w:val="24"/>
        </w:rPr>
        <w:t>Benford</w:t>
      </w:r>
      <w:proofErr w:type="spellEnd"/>
      <w:r w:rsidRPr="00BA4513">
        <w:rPr>
          <w:rFonts w:ascii="Times New Roman" w:hAnsi="Times New Roman" w:cs="Times New Roman"/>
          <w:sz w:val="24"/>
          <w:szCs w:val="24"/>
        </w:rPr>
        <w:t xml:space="preserve"> Law,” </w:t>
      </w:r>
      <w:r w:rsidRPr="00BA4513">
        <w:rPr>
          <w:rFonts w:ascii="Times New Roman" w:hAnsi="Times New Roman" w:cs="Times New Roman"/>
          <w:i/>
          <w:iCs/>
          <w:sz w:val="24"/>
          <w:szCs w:val="24"/>
        </w:rPr>
        <w:t>Journal of Economics Finance and Accounting</w:t>
      </w:r>
      <w:r w:rsidRPr="00BA4513">
        <w:rPr>
          <w:rFonts w:ascii="Times New Roman" w:hAnsi="Times New Roman" w:cs="Times New Roman"/>
          <w:sz w:val="24"/>
          <w:szCs w:val="24"/>
        </w:rPr>
        <w:t>, vol. 1, no. 3, pp. 184-191.</w:t>
      </w:r>
    </w:p>
    <w:p w14:paraId="313DDED8"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 xml:space="preserve">M. Corazza, A. </w:t>
      </w:r>
      <w:proofErr w:type="spellStart"/>
      <w:r w:rsidRPr="00BA4513">
        <w:rPr>
          <w:rFonts w:ascii="Times New Roman" w:hAnsi="Times New Roman" w:cs="Times New Roman"/>
          <w:sz w:val="24"/>
          <w:szCs w:val="24"/>
          <w:lang w:val="es-AR"/>
        </w:rPr>
        <w:t>Ellero</w:t>
      </w:r>
      <w:proofErr w:type="spellEnd"/>
      <w:r w:rsidRPr="00BA4513">
        <w:rPr>
          <w:rFonts w:ascii="Times New Roman" w:hAnsi="Times New Roman" w:cs="Times New Roman"/>
          <w:sz w:val="24"/>
          <w:szCs w:val="24"/>
          <w:lang w:val="es-AR"/>
        </w:rPr>
        <w:t xml:space="preserve">, and A. </w:t>
      </w:r>
      <w:proofErr w:type="spellStart"/>
      <w:r w:rsidRPr="00BA4513">
        <w:rPr>
          <w:rFonts w:ascii="Times New Roman" w:hAnsi="Times New Roman" w:cs="Times New Roman"/>
          <w:sz w:val="24"/>
          <w:szCs w:val="24"/>
          <w:lang w:val="es-AR"/>
        </w:rPr>
        <w:t>Zorzi</w:t>
      </w:r>
      <w:proofErr w:type="spellEnd"/>
      <w:r w:rsidRPr="00BA4513">
        <w:rPr>
          <w:rFonts w:ascii="Times New Roman" w:hAnsi="Times New Roman" w:cs="Times New Roman"/>
          <w:sz w:val="24"/>
          <w:szCs w:val="24"/>
          <w:lang w:val="es-AR"/>
        </w:rPr>
        <w:t xml:space="preserve">., 2010. </w:t>
      </w:r>
      <w:r w:rsidRPr="00BA4513">
        <w:rPr>
          <w:rFonts w:ascii="Times New Roman" w:hAnsi="Times New Roman" w:cs="Times New Roman"/>
          <w:sz w:val="24"/>
          <w:szCs w:val="24"/>
        </w:rPr>
        <w:t xml:space="preserve">“Checking financial markets via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The S&amp;P 500 case,” in </w:t>
      </w:r>
      <w:r w:rsidRPr="00BA4513">
        <w:rPr>
          <w:rFonts w:ascii="Times New Roman" w:hAnsi="Times New Roman" w:cs="Times New Roman"/>
          <w:i/>
          <w:iCs/>
          <w:sz w:val="24"/>
          <w:szCs w:val="24"/>
        </w:rPr>
        <w:t>Mathematical and statistical methods for actuarial sciences and finance</w:t>
      </w:r>
      <w:r w:rsidRPr="00BA4513">
        <w:rPr>
          <w:rFonts w:ascii="Times New Roman" w:hAnsi="Times New Roman" w:cs="Times New Roman"/>
          <w:sz w:val="24"/>
          <w:szCs w:val="24"/>
        </w:rPr>
        <w:t>, pp. 93-102, Springer.</w:t>
      </w:r>
    </w:p>
    <w:p w14:paraId="2D9ADE4F"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 </w:t>
      </w:r>
      <w:proofErr w:type="spellStart"/>
      <w:r w:rsidRPr="00BA4513">
        <w:rPr>
          <w:rFonts w:ascii="Times New Roman" w:hAnsi="Times New Roman" w:cs="Times New Roman"/>
          <w:sz w:val="24"/>
          <w:szCs w:val="24"/>
        </w:rPr>
        <w:t>Lesperance</w:t>
      </w:r>
      <w:proofErr w:type="spellEnd"/>
      <w:r w:rsidRPr="00BA4513">
        <w:rPr>
          <w:rFonts w:ascii="Times New Roman" w:hAnsi="Times New Roman" w:cs="Times New Roman"/>
          <w:sz w:val="24"/>
          <w:szCs w:val="24"/>
        </w:rPr>
        <w:t xml:space="preserve">, W. Reed, M. Stephens, C. Tsao, and B. Wilton., 2016. “Assessing conformance with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Goodness-of-fit tests and simultaneous confidence intervals,” </w:t>
      </w:r>
      <w:proofErr w:type="spellStart"/>
      <w:r w:rsidRPr="00BA4513">
        <w:rPr>
          <w:rFonts w:ascii="Times New Roman" w:hAnsi="Times New Roman" w:cs="Times New Roman"/>
          <w:i/>
          <w:iCs/>
          <w:sz w:val="24"/>
          <w:szCs w:val="24"/>
        </w:rPr>
        <w:t>PloS</w:t>
      </w:r>
      <w:proofErr w:type="spellEnd"/>
      <w:r w:rsidRPr="00BA4513">
        <w:rPr>
          <w:rFonts w:ascii="Times New Roman" w:hAnsi="Times New Roman" w:cs="Times New Roman"/>
          <w:i/>
          <w:iCs/>
          <w:sz w:val="24"/>
          <w:szCs w:val="24"/>
        </w:rPr>
        <w:t xml:space="preserve"> one</w:t>
      </w:r>
      <w:r w:rsidRPr="00BA4513">
        <w:rPr>
          <w:rFonts w:ascii="Times New Roman" w:hAnsi="Times New Roman" w:cs="Times New Roman"/>
          <w:sz w:val="24"/>
          <w:szCs w:val="24"/>
        </w:rPr>
        <w:t>, vol. 11, no. 3, p. e0151235.</w:t>
      </w:r>
    </w:p>
    <w:p w14:paraId="294F4E5F"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 R. Haley., 2017. “K-fold cross validation performance comparisons of six naive portfolio selection rules: how naive can you be and still have successful out-of-sample portfolio performance?”. </w:t>
      </w:r>
      <w:r w:rsidRPr="00BA4513">
        <w:rPr>
          <w:rFonts w:ascii="Times New Roman" w:hAnsi="Times New Roman" w:cs="Times New Roman"/>
          <w:i/>
          <w:iCs/>
          <w:sz w:val="24"/>
          <w:szCs w:val="24"/>
        </w:rPr>
        <w:t>Annals of Finance</w:t>
      </w:r>
      <w:r w:rsidRPr="00BA4513">
        <w:rPr>
          <w:rFonts w:ascii="Times New Roman" w:hAnsi="Times New Roman" w:cs="Times New Roman"/>
          <w:sz w:val="24"/>
          <w:szCs w:val="24"/>
        </w:rPr>
        <w:t>, vol. 13, no. 3, pp. 341-353.</w:t>
      </w:r>
    </w:p>
    <w:p w14:paraId="627E6BE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lang w:val="es-AR"/>
        </w:rPr>
        <w:t>Maddaloni</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9"/>
          <w:sz w:val="24"/>
          <w:szCs w:val="24"/>
          <w:lang w:val="es-AR"/>
        </w:rPr>
        <w:t xml:space="preserve"> </w:t>
      </w:r>
      <w:r w:rsidRPr="00BA4513">
        <w:rPr>
          <w:rFonts w:ascii="Times New Roman" w:hAnsi="Times New Roman" w:cs="Times New Roman"/>
          <w:sz w:val="24"/>
          <w:szCs w:val="24"/>
          <w:lang w:val="es-AR"/>
        </w:rPr>
        <w:t>A.,</w:t>
      </w:r>
      <w:r w:rsidRPr="00BA4513">
        <w:rPr>
          <w:rFonts w:ascii="Times New Roman" w:hAnsi="Times New Roman" w:cs="Times New Roman"/>
          <w:spacing w:val="9"/>
          <w:sz w:val="24"/>
          <w:szCs w:val="24"/>
          <w:lang w:val="es-AR"/>
        </w:rPr>
        <w:t xml:space="preserve"> </w:t>
      </w:r>
      <w:proofErr w:type="spellStart"/>
      <w:r w:rsidRPr="00BA4513">
        <w:rPr>
          <w:rFonts w:ascii="Times New Roman" w:hAnsi="Times New Roman" w:cs="Times New Roman"/>
          <w:sz w:val="24"/>
          <w:szCs w:val="24"/>
          <w:lang w:val="es-AR"/>
        </w:rPr>
        <w:t>Petró</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9"/>
          <w:sz w:val="24"/>
          <w:szCs w:val="24"/>
          <w:lang w:val="es-AR"/>
        </w:rPr>
        <w:t xml:space="preserve"> </w:t>
      </w:r>
      <w:r w:rsidRPr="00BA4513">
        <w:rPr>
          <w:rFonts w:ascii="Times New Roman" w:hAnsi="Times New Roman" w:cs="Times New Roman"/>
          <w:sz w:val="24"/>
          <w:szCs w:val="24"/>
          <w:lang w:val="es-AR"/>
        </w:rPr>
        <w:t>J.L.,</w:t>
      </w:r>
      <w:r w:rsidRPr="00BA4513">
        <w:rPr>
          <w:rFonts w:ascii="Times New Roman" w:hAnsi="Times New Roman" w:cs="Times New Roman"/>
          <w:spacing w:val="10"/>
          <w:sz w:val="24"/>
          <w:szCs w:val="24"/>
          <w:lang w:val="es-AR"/>
        </w:rPr>
        <w:t xml:space="preserve"> </w:t>
      </w:r>
      <w:proofErr w:type="spellStart"/>
      <w:r w:rsidRPr="00BA4513">
        <w:rPr>
          <w:rFonts w:ascii="Times New Roman" w:hAnsi="Times New Roman" w:cs="Times New Roman"/>
          <w:sz w:val="24"/>
          <w:szCs w:val="24"/>
          <w:lang w:val="es-AR"/>
        </w:rPr>
        <w:t>Scope</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9"/>
          <w:sz w:val="24"/>
          <w:szCs w:val="24"/>
          <w:lang w:val="es-AR"/>
        </w:rPr>
        <w:t xml:space="preserve"> </w:t>
      </w:r>
      <w:r w:rsidRPr="00BA4513">
        <w:rPr>
          <w:rFonts w:ascii="Times New Roman" w:hAnsi="Times New Roman" w:cs="Times New Roman"/>
          <w:sz w:val="24"/>
          <w:szCs w:val="24"/>
          <w:lang w:val="es-AR"/>
        </w:rPr>
        <w:t>S.,</w:t>
      </w:r>
      <w:r w:rsidRPr="00BA4513">
        <w:rPr>
          <w:rFonts w:ascii="Times New Roman" w:hAnsi="Times New Roman" w:cs="Times New Roman"/>
          <w:spacing w:val="9"/>
          <w:sz w:val="24"/>
          <w:szCs w:val="24"/>
          <w:lang w:val="es-AR"/>
        </w:rPr>
        <w:t xml:space="preserve"> </w:t>
      </w:r>
      <w:r w:rsidRPr="00BA4513">
        <w:rPr>
          <w:rFonts w:ascii="Times New Roman" w:hAnsi="Times New Roman" w:cs="Times New Roman"/>
          <w:sz w:val="24"/>
          <w:szCs w:val="24"/>
          <w:lang w:val="es-AR"/>
        </w:rPr>
        <w:t>2010.</w:t>
      </w:r>
      <w:r w:rsidRPr="00BA4513">
        <w:rPr>
          <w:rFonts w:ascii="Times New Roman" w:hAnsi="Times New Roman" w:cs="Times New Roman"/>
          <w:spacing w:val="9"/>
          <w:sz w:val="24"/>
          <w:szCs w:val="24"/>
          <w:lang w:val="es-AR"/>
        </w:rPr>
        <w:t xml:space="preserve"> </w:t>
      </w:r>
      <w:r w:rsidRPr="00BA4513">
        <w:rPr>
          <w:rFonts w:ascii="Times New Roman" w:hAnsi="Times New Roman" w:cs="Times New Roman"/>
          <w:sz w:val="24"/>
          <w:szCs w:val="24"/>
        </w:rPr>
        <w:t>Does</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affect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standards?</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ECB</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1150.</w:t>
      </w:r>
    </w:p>
    <w:p w14:paraId="26FE4B25"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proofErr w:type="spellStart"/>
      <w:r w:rsidRPr="00BA4513">
        <w:rPr>
          <w:rFonts w:ascii="Times New Roman" w:hAnsi="Times New Roman" w:cs="Times New Roman"/>
          <w:sz w:val="24"/>
          <w:szCs w:val="24"/>
        </w:rPr>
        <w:t>Maheu</w:t>
      </w:r>
      <w:proofErr w:type="spellEnd"/>
      <w:r w:rsidRPr="00BA4513">
        <w:rPr>
          <w:rFonts w:ascii="Times New Roman" w:hAnsi="Times New Roman" w:cs="Times New Roman"/>
          <w:sz w:val="24"/>
          <w:szCs w:val="24"/>
        </w:rPr>
        <w:t>, J., (2005). Can GARCH models capture long range dependence, Studies in Nonlinear Dynamics &amp; Econometrics 9, Article 1.</w:t>
      </w:r>
    </w:p>
    <w:p w14:paraId="0495963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bookmarkStart w:id="213" w:name="_Hlk90400202"/>
      <w:r w:rsidRPr="00BA4513">
        <w:rPr>
          <w:rFonts w:ascii="Times New Roman" w:hAnsi="Times New Roman" w:cs="Times New Roman"/>
          <w:sz w:val="24"/>
          <w:szCs w:val="24"/>
        </w:rPr>
        <w:t xml:space="preserve">Mandelbrot B </w:t>
      </w:r>
      <w:proofErr w:type="spellStart"/>
      <w:r w:rsidRPr="00BA4513">
        <w:rPr>
          <w:rFonts w:ascii="Times New Roman" w:hAnsi="Times New Roman" w:cs="Times New Roman"/>
          <w:sz w:val="24"/>
          <w:szCs w:val="24"/>
        </w:rPr>
        <w:t>B</w:t>
      </w:r>
      <w:proofErr w:type="spellEnd"/>
      <w:r w:rsidRPr="00BA4513">
        <w:rPr>
          <w:rFonts w:ascii="Times New Roman" w:hAnsi="Times New Roman" w:cs="Times New Roman"/>
          <w:sz w:val="24"/>
          <w:szCs w:val="24"/>
        </w:rPr>
        <w:t xml:space="preserve"> (1963a) </w:t>
      </w:r>
      <w:r w:rsidRPr="00BA4513">
        <w:rPr>
          <w:rFonts w:ascii="Times New Roman" w:hAnsi="Times New Roman" w:cs="Times New Roman"/>
          <w:i/>
          <w:sz w:val="24"/>
          <w:szCs w:val="24"/>
        </w:rPr>
        <w:t xml:space="preserve">New Methods in Statistical Economics </w:t>
      </w:r>
      <w:r w:rsidRPr="00BA4513">
        <w:rPr>
          <w:rFonts w:ascii="Times New Roman" w:hAnsi="Times New Roman" w:cs="Times New Roman"/>
          <w:sz w:val="24"/>
          <w:szCs w:val="24"/>
        </w:rPr>
        <w:t>Journal of Political Economy, 71, 421–40.</w:t>
      </w:r>
    </w:p>
    <w:p w14:paraId="79AFC82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Markovic,</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channels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 xml:space="preserve">mechanism. </w:t>
      </w:r>
      <w:r w:rsidRPr="00BA4513">
        <w:rPr>
          <w:rFonts w:ascii="Times New Roman" w:hAnsi="Times New Roman" w:cs="Times New Roman"/>
          <w:i/>
          <w:iCs/>
          <w:sz w:val="24"/>
          <w:szCs w:val="24"/>
        </w:rPr>
        <w:t>Bank</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England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313.</w:t>
      </w:r>
    </w:p>
    <w:p w14:paraId="679DEDF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Meh,</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Moran,</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K.,</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agency</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costs,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4"/>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Canada</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2004-6.</w:t>
      </w:r>
    </w:p>
    <w:p w14:paraId="30BECAF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Meh,</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Moran,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K.,</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2010.</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role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4"/>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propagation</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5"/>
          <w:sz w:val="24"/>
          <w:szCs w:val="24"/>
        </w:rPr>
        <w:t xml:space="preserve"> </w:t>
      </w:r>
      <w:r w:rsidRPr="00BA4513">
        <w:rPr>
          <w:rFonts w:ascii="Times New Roman" w:hAnsi="Times New Roman" w:cs="Times New Roman"/>
          <w:sz w:val="24"/>
          <w:szCs w:val="24"/>
        </w:rPr>
        <w:t>shocks.</w:t>
      </w:r>
      <w:r w:rsidRPr="00BA4513">
        <w:rPr>
          <w:rFonts w:ascii="Times New Roman" w:hAnsi="Times New Roman" w:cs="Times New Roman"/>
          <w:spacing w:val="-15"/>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Dynamics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&amp;</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Control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34,</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555–576.</w:t>
      </w:r>
    </w:p>
    <w:p w14:paraId="227D1BF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Mella-Barral</w:t>
      </w:r>
      <w:proofErr w:type="spellEnd"/>
      <w:r w:rsidRPr="00BA4513">
        <w:rPr>
          <w:rFonts w:ascii="Times New Roman" w:hAnsi="Times New Roman" w:cs="Times New Roman"/>
          <w:sz w:val="24"/>
          <w:szCs w:val="24"/>
        </w:rPr>
        <w:t xml:space="preserve">, P., and W. R. M. </w:t>
      </w:r>
      <w:proofErr w:type="spellStart"/>
      <w:r w:rsidRPr="00BA4513">
        <w:rPr>
          <w:rFonts w:ascii="Times New Roman" w:hAnsi="Times New Roman" w:cs="Times New Roman"/>
          <w:sz w:val="24"/>
          <w:szCs w:val="24"/>
        </w:rPr>
        <w:t>Perraudin</w:t>
      </w:r>
      <w:proofErr w:type="spellEnd"/>
      <w:r w:rsidRPr="00BA4513">
        <w:rPr>
          <w:rFonts w:ascii="Times New Roman" w:hAnsi="Times New Roman" w:cs="Times New Roman"/>
          <w:sz w:val="24"/>
          <w:szCs w:val="24"/>
        </w:rPr>
        <w:t xml:space="preserve">, 1997, Strategic debt service, </w:t>
      </w:r>
      <w:r w:rsidRPr="00BA4513">
        <w:rPr>
          <w:rFonts w:ascii="Times New Roman" w:hAnsi="Times New Roman" w:cs="Times New Roman"/>
          <w:i/>
          <w:sz w:val="24"/>
          <w:szCs w:val="24"/>
        </w:rPr>
        <w:t>Journal of Finance</w:t>
      </w:r>
      <w:r w:rsidRPr="00BA4513">
        <w:rPr>
          <w:rFonts w:ascii="Times New Roman" w:hAnsi="Times New Roman" w:cs="Times New Roman"/>
          <w:sz w:val="24"/>
          <w:szCs w:val="24"/>
        </w:rPr>
        <w:t xml:space="preserve"> 52, 531–556.</w:t>
      </w:r>
    </w:p>
    <w:p w14:paraId="34A7332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Meltzer, A.,</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1995.</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(and other)</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processes: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monetarist</w:t>
      </w:r>
      <w:r w:rsidRPr="00BA4513">
        <w:rPr>
          <w:rFonts w:ascii="Times New Roman" w:hAnsi="Times New Roman" w:cs="Times New Roman"/>
          <w:w w:val="105"/>
          <w:sz w:val="24"/>
          <w:szCs w:val="24"/>
        </w:rPr>
        <w:t xml:space="preserve"> </w:t>
      </w:r>
      <w:r w:rsidRPr="00BA4513">
        <w:rPr>
          <w:rFonts w:ascii="Times New Roman" w:hAnsi="Times New Roman" w:cs="Times New Roman"/>
          <w:sz w:val="24"/>
          <w:szCs w:val="24"/>
        </w:rPr>
        <w:t>perspective.</w:t>
      </w:r>
      <w:r w:rsidRPr="00BA4513">
        <w:rPr>
          <w:rFonts w:ascii="Times New Roman" w:hAnsi="Times New Roman" w:cs="Times New Roman"/>
          <w:spacing w:val="8"/>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Perspectives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9,</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49–72.</w:t>
      </w:r>
    </w:p>
    <w:p w14:paraId="0D61C67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Merton, Robert C., (1973a), Theory of rational option pricing</w:t>
      </w:r>
      <w:r w:rsidRPr="00BA4513">
        <w:rPr>
          <w:rFonts w:ascii="Times New Roman" w:hAnsi="Times New Roman" w:cs="Times New Roman"/>
          <w:i/>
          <w:sz w:val="24"/>
          <w:szCs w:val="24"/>
        </w:rPr>
        <w:t>, Bell Journal of Economics</w:t>
      </w:r>
      <w:r w:rsidRPr="00BA4513">
        <w:rPr>
          <w:rFonts w:ascii="Times New Roman" w:hAnsi="Times New Roman" w:cs="Times New Roman"/>
          <w:sz w:val="24"/>
          <w:szCs w:val="24"/>
        </w:rPr>
        <w:t xml:space="preserve"> 4, 141– 183.</w:t>
      </w:r>
    </w:p>
    <w:p w14:paraId="7B06B92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 Merton, Robert C., (1973b), An intertemporal capital asset pricing model, </w:t>
      </w:r>
      <w:proofErr w:type="spellStart"/>
      <w:r w:rsidRPr="00BA4513">
        <w:rPr>
          <w:rFonts w:ascii="Times New Roman" w:hAnsi="Times New Roman" w:cs="Times New Roman"/>
          <w:i/>
          <w:sz w:val="24"/>
          <w:szCs w:val="24"/>
        </w:rPr>
        <w:t>Econometrica</w:t>
      </w:r>
      <w:proofErr w:type="spellEnd"/>
      <w:r w:rsidRPr="00BA4513">
        <w:rPr>
          <w:rFonts w:ascii="Times New Roman" w:hAnsi="Times New Roman" w:cs="Times New Roman"/>
          <w:i/>
          <w:sz w:val="24"/>
          <w:szCs w:val="24"/>
        </w:rPr>
        <w:t xml:space="preserve"> </w:t>
      </w:r>
      <w:r w:rsidRPr="00BA4513">
        <w:rPr>
          <w:rFonts w:ascii="Times New Roman" w:hAnsi="Times New Roman" w:cs="Times New Roman"/>
          <w:sz w:val="24"/>
          <w:szCs w:val="24"/>
        </w:rPr>
        <w:t xml:space="preserve">41, 8678–87. </w:t>
      </w:r>
    </w:p>
    <w:p w14:paraId="4BF9569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Merton, Robert C., (1990), Continuous-Time Finance ~Oxford University Press, New York.</w:t>
      </w:r>
    </w:p>
    <w:p w14:paraId="377CE29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Merton, Robert C., 1969, Lifetime portfolio selection under uncertainty: The continuous time case, </w:t>
      </w:r>
      <w:r w:rsidRPr="00BA4513">
        <w:rPr>
          <w:rFonts w:ascii="Times New Roman" w:hAnsi="Times New Roman" w:cs="Times New Roman"/>
          <w:i/>
          <w:sz w:val="24"/>
          <w:szCs w:val="24"/>
        </w:rPr>
        <w:t>Review of Economics and Statistics</w:t>
      </w:r>
      <w:r w:rsidRPr="00BA4513">
        <w:rPr>
          <w:rFonts w:ascii="Times New Roman" w:hAnsi="Times New Roman" w:cs="Times New Roman"/>
          <w:sz w:val="24"/>
          <w:szCs w:val="24"/>
        </w:rPr>
        <w:t xml:space="preserve"> 51, 247–257. </w:t>
      </w:r>
    </w:p>
    <w:p w14:paraId="4D0E542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 xml:space="preserve">Merton, Robert C., 1971, Optimum consumption and portfolio rules in a continuous time model, </w:t>
      </w:r>
      <w:r w:rsidRPr="00BA4513">
        <w:rPr>
          <w:rFonts w:ascii="Times New Roman" w:hAnsi="Times New Roman" w:cs="Times New Roman"/>
          <w:i/>
          <w:sz w:val="24"/>
          <w:szCs w:val="24"/>
        </w:rPr>
        <w:t>Journal of Economic Theory</w:t>
      </w:r>
      <w:r w:rsidRPr="00BA4513">
        <w:rPr>
          <w:rFonts w:ascii="Times New Roman" w:hAnsi="Times New Roman" w:cs="Times New Roman"/>
          <w:sz w:val="24"/>
          <w:szCs w:val="24"/>
        </w:rPr>
        <w:t xml:space="preserve"> 3, 373–413. </w:t>
      </w:r>
    </w:p>
    <w:p w14:paraId="39BE97E9"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lang w:val="es-AR"/>
        </w:rPr>
      </w:pPr>
      <w:r w:rsidRPr="00BA4513">
        <w:rPr>
          <w:rFonts w:ascii="Times New Roman" w:hAnsi="Times New Roman" w:cs="Times New Roman"/>
          <w:sz w:val="24"/>
          <w:szCs w:val="24"/>
        </w:rPr>
        <w:t xml:space="preserve">Michalski, T., Stoltz, G., (2013). Do countries falsify economic data strategically? Some evidence that they might. Rev. Econ. Stat. 95 (2), 591–616. </w:t>
      </w:r>
    </w:p>
    <w:p w14:paraId="5FD68D46"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lang w:val="es-AR"/>
        </w:rPr>
      </w:pPr>
      <w:r w:rsidRPr="00BA4513">
        <w:rPr>
          <w:rFonts w:ascii="Times New Roman" w:hAnsi="Times New Roman" w:cs="Times New Roman"/>
          <w:sz w:val="24"/>
          <w:szCs w:val="24"/>
          <w:lang w:val="es-AR"/>
        </w:rPr>
        <w:t xml:space="preserve">Mora-Galán, A., Pérez, A., Ruiz, E., (2004). </w:t>
      </w:r>
      <w:r w:rsidRPr="00BA4513">
        <w:rPr>
          <w:rFonts w:ascii="Times New Roman" w:hAnsi="Times New Roman" w:cs="Times New Roman"/>
          <w:sz w:val="24"/>
          <w:szCs w:val="24"/>
        </w:rPr>
        <w:t xml:space="preserve">Stochastic Volatility and the Taylor Effect. </w:t>
      </w:r>
      <w:r w:rsidRPr="00BA4513">
        <w:rPr>
          <w:rFonts w:ascii="Times New Roman" w:hAnsi="Times New Roman" w:cs="Times New Roman"/>
          <w:sz w:val="24"/>
          <w:szCs w:val="24"/>
          <w:lang w:val="es-AR"/>
        </w:rPr>
        <w:t xml:space="preserve">WP04-63, </w:t>
      </w:r>
      <w:proofErr w:type="spellStart"/>
      <w:r w:rsidRPr="00BA4513">
        <w:rPr>
          <w:rFonts w:ascii="Times New Roman" w:hAnsi="Times New Roman" w:cs="Times New Roman"/>
          <w:sz w:val="24"/>
          <w:szCs w:val="24"/>
          <w:lang w:val="es-AR"/>
        </w:rPr>
        <w:t>Statistics</w:t>
      </w:r>
      <w:proofErr w:type="spellEnd"/>
      <w:r w:rsidRPr="00BA4513">
        <w:rPr>
          <w:rFonts w:ascii="Times New Roman" w:hAnsi="Times New Roman" w:cs="Times New Roman"/>
          <w:sz w:val="24"/>
          <w:szCs w:val="24"/>
          <w:lang w:val="es-AR"/>
        </w:rPr>
        <w:t xml:space="preserve"> and </w:t>
      </w:r>
      <w:proofErr w:type="spellStart"/>
      <w:r w:rsidRPr="00BA4513">
        <w:rPr>
          <w:rFonts w:ascii="Times New Roman" w:hAnsi="Times New Roman" w:cs="Times New Roman"/>
          <w:sz w:val="24"/>
          <w:szCs w:val="24"/>
          <w:lang w:val="es-AR"/>
        </w:rPr>
        <w:t>Econometrics</w:t>
      </w:r>
      <w:proofErr w:type="spellEnd"/>
      <w:r w:rsidRPr="00BA4513">
        <w:rPr>
          <w:rFonts w:ascii="Times New Roman" w:hAnsi="Times New Roman" w:cs="Times New Roman"/>
          <w:sz w:val="24"/>
          <w:szCs w:val="24"/>
          <w:lang w:val="es-AR"/>
        </w:rPr>
        <w:t xml:space="preserve"> Series. </w:t>
      </w:r>
      <w:r w:rsidRPr="00BA4513">
        <w:rPr>
          <w:rFonts w:ascii="Times New Roman" w:hAnsi="Times New Roman" w:cs="Times New Roman"/>
          <w:i/>
          <w:iCs/>
          <w:sz w:val="24"/>
          <w:szCs w:val="24"/>
          <w:lang w:val="es-AR"/>
        </w:rPr>
        <w:t>Universidad Carlos III de Madrid</w:t>
      </w:r>
      <w:r w:rsidRPr="00BA4513">
        <w:rPr>
          <w:rFonts w:ascii="Times New Roman" w:hAnsi="Times New Roman" w:cs="Times New Roman"/>
          <w:sz w:val="24"/>
          <w:szCs w:val="24"/>
          <w:lang w:val="es-AR"/>
        </w:rPr>
        <w:t xml:space="preserve">, </w:t>
      </w:r>
    </w:p>
    <w:p w14:paraId="44F6A925"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 xml:space="preserve">Müller, U, </w:t>
      </w:r>
      <w:proofErr w:type="spellStart"/>
      <w:r w:rsidRPr="00BA4513">
        <w:rPr>
          <w:rFonts w:ascii="Times New Roman" w:hAnsi="Times New Roman" w:cs="Times New Roman"/>
          <w:sz w:val="24"/>
          <w:szCs w:val="24"/>
        </w:rPr>
        <w:t>Dacorogna</w:t>
      </w:r>
      <w:proofErr w:type="spellEnd"/>
      <w:r w:rsidRPr="00BA4513">
        <w:rPr>
          <w:rFonts w:ascii="Times New Roman" w:hAnsi="Times New Roman" w:cs="Times New Roman"/>
          <w:sz w:val="24"/>
          <w:szCs w:val="24"/>
        </w:rPr>
        <w:t xml:space="preserve">, M. M., Dave, R. D., Olsen, R. B., </w:t>
      </w:r>
      <w:proofErr w:type="spellStart"/>
      <w:r w:rsidRPr="00BA4513">
        <w:rPr>
          <w:rFonts w:ascii="Times New Roman" w:hAnsi="Times New Roman" w:cs="Times New Roman"/>
          <w:sz w:val="24"/>
          <w:szCs w:val="24"/>
        </w:rPr>
        <w:t>Pictet</w:t>
      </w:r>
      <w:proofErr w:type="spellEnd"/>
      <w:r w:rsidRPr="00BA4513">
        <w:rPr>
          <w:rFonts w:ascii="Times New Roman" w:hAnsi="Times New Roman" w:cs="Times New Roman"/>
          <w:sz w:val="24"/>
          <w:szCs w:val="24"/>
        </w:rPr>
        <w:t xml:space="preserve">, O. V. and von </w:t>
      </w:r>
      <w:proofErr w:type="spellStart"/>
      <w:r w:rsidRPr="00BA4513">
        <w:rPr>
          <w:rFonts w:ascii="Times New Roman" w:hAnsi="Times New Roman" w:cs="Times New Roman"/>
          <w:sz w:val="24"/>
          <w:szCs w:val="24"/>
        </w:rPr>
        <w:t>Weizsäcker</w:t>
      </w:r>
      <w:proofErr w:type="spellEnd"/>
      <w:r w:rsidRPr="00BA4513">
        <w:rPr>
          <w:rFonts w:ascii="Times New Roman" w:hAnsi="Times New Roman" w:cs="Times New Roman"/>
          <w:sz w:val="24"/>
          <w:szCs w:val="24"/>
        </w:rPr>
        <w:t xml:space="preserve">, J. E., (1997). Volatilities of different time resolutions - </w:t>
      </w:r>
      <w:proofErr w:type="spellStart"/>
      <w:r w:rsidRPr="00BA4513">
        <w:rPr>
          <w:rFonts w:ascii="Times New Roman" w:hAnsi="Times New Roman" w:cs="Times New Roman"/>
          <w:sz w:val="24"/>
          <w:szCs w:val="24"/>
        </w:rPr>
        <w:t>Analyzing</w:t>
      </w:r>
      <w:proofErr w:type="spellEnd"/>
      <w:r w:rsidRPr="00BA4513">
        <w:rPr>
          <w:rFonts w:ascii="Times New Roman" w:hAnsi="Times New Roman" w:cs="Times New Roman"/>
          <w:sz w:val="24"/>
          <w:szCs w:val="24"/>
        </w:rPr>
        <w:t xml:space="preserve"> the dynamics of market components, Journal of Empirical Finance 4, 213 - 239.</w:t>
      </w:r>
    </w:p>
    <w:p w14:paraId="45C3CDCD"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Myers,</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26"/>
          <w:w w:val="105"/>
          <w:sz w:val="24"/>
          <w:szCs w:val="24"/>
        </w:rPr>
        <w:t xml:space="preserve"> </w:t>
      </w:r>
      <w:proofErr w:type="spellStart"/>
      <w:r w:rsidRPr="00BA4513">
        <w:rPr>
          <w:rFonts w:ascii="Times New Roman" w:hAnsi="Times New Roman" w:cs="Times New Roman"/>
          <w:w w:val="105"/>
          <w:sz w:val="24"/>
          <w:szCs w:val="24"/>
        </w:rPr>
        <w:t>Majluf</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N.,</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1984).</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Corporate</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financing</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investment</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decisions</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when</w:t>
      </w:r>
      <w:r w:rsidRPr="00BA4513">
        <w:rPr>
          <w:rFonts w:ascii="Times New Roman" w:hAnsi="Times New Roman" w:cs="Times New Roman"/>
          <w:spacing w:val="-26"/>
          <w:w w:val="105"/>
          <w:sz w:val="24"/>
          <w:szCs w:val="24"/>
        </w:rPr>
        <w:t xml:space="preserve"> </w:t>
      </w:r>
      <w:r w:rsidRPr="00BA4513">
        <w:rPr>
          <w:rFonts w:ascii="Times New Roman" w:hAnsi="Times New Roman" w:cs="Times New Roman"/>
          <w:w w:val="105"/>
          <w:sz w:val="24"/>
          <w:szCs w:val="24"/>
        </w:rPr>
        <w:t>firms have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information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that</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investors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do</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not</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have.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9"/>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13,</w:t>
      </w:r>
      <w:r w:rsidRPr="00BA4513">
        <w:rPr>
          <w:rFonts w:ascii="Times New Roman" w:hAnsi="Times New Roman" w:cs="Times New Roman"/>
          <w:w w:val="98"/>
          <w:sz w:val="24"/>
          <w:szCs w:val="24"/>
        </w:rPr>
        <w:t xml:space="preserve"> </w:t>
      </w:r>
      <w:r w:rsidRPr="00BA4513">
        <w:rPr>
          <w:rFonts w:ascii="Times New Roman" w:hAnsi="Times New Roman" w:cs="Times New Roman"/>
          <w:w w:val="105"/>
          <w:sz w:val="24"/>
          <w:szCs w:val="24"/>
        </w:rPr>
        <w:t>187–221.</w:t>
      </w:r>
    </w:p>
    <w:p w14:paraId="03BB17C1"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N. </w:t>
      </w:r>
      <w:proofErr w:type="spellStart"/>
      <w:r w:rsidRPr="00BA4513">
        <w:rPr>
          <w:rFonts w:ascii="Times New Roman" w:hAnsi="Times New Roman" w:cs="Times New Roman"/>
          <w:sz w:val="24"/>
          <w:szCs w:val="24"/>
        </w:rPr>
        <w:t>Omerzu</w:t>
      </w:r>
      <w:proofErr w:type="spellEnd"/>
      <w:r w:rsidRPr="00BA4513">
        <w:rPr>
          <w:rFonts w:ascii="Times New Roman" w:hAnsi="Times New Roman" w:cs="Times New Roman"/>
          <w:sz w:val="24"/>
          <w:szCs w:val="24"/>
        </w:rPr>
        <w:t xml:space="preserve"> and I. Kolar., (2019). “Do the Financial Statements of Listed Companies on the Ljubljana Stock Exchange Pass the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Test?” </w:t>
      </w:r>
      <w:r w:rsidRPr="00BA4513">
        <w:rPr>
          <w:rFonts w:ascii="Times New Roman" w:hAnsi="Times New Roman" w:cs="Times New Roman"/>
          <w:i/>
          <w:iCs/>
          <w:sz w:val="24"/>
          <w:szCs w:val="24"/>
        </w:rPr>
        <w:t>International Business Research</w:t>
      </w:r>
      <w:r w:rsidRPr="00BA4513">
        <w:rPr>
          <w:rFonts w:ascii="Times New Roman" w:hAnsi="Times New Roman" w:cs="Times New Roman"/>
          <w:sz w:val="24"/>
          <w:szCs w:val="24"/>
        </w:rPr>
        <w:t>, vol. 12, no. 1, pp. 54-64.</w:t>
      </w:r>
    </w:p>
    <w:p w14:paraId="3B8AF844"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Nelson, D. B. (1991) Conditional heteroskedasticity in asset return: A new approach, </w:t>
      </w:r>
      <w:proofErr w:type="spellStart"/>
      <w:r w:rsidRPr="00BA4513">
        <w:rPr>
          <w:rFonts w:ascii="Times New Roman" w:hAnsi="Times New Roman" w:cs="Times New Roman"/>
          <w:sz w:val="24"/>
          <w:szCs w:val="24"/>
        </w:rPr>
        <w:t>Econometrica</w:t>
      </w:r>
      <w:proofErr w:type="spellEnd"/>
      <w:r w:rsidRPr="00BA4513">
        <w:rPr>
          <w:rFonts w:ascii="Times New Roman" w:hAnsi="Times New Roman" w:cs="Times New Roman"/>
          <w:sz w:val="24"/>
          <w:szCs w:val="24"/>
        </w:rPr>
        <w:t xml:space="preserve">, 59 347–370 </w:t>
      </w:r>
    </w:p>
    <w:p w14:paraId="5D632889" w14:textId="77777777" w:rsidR="00BA4513" w:rsidRPr="00BA4513" w:rsidRDefault="00BA4513" w:rsidP="005A4160">
      <w:pPr>
        <w:pStyle w:val="ListParagraph"/>
        <w:numPr>
          <w:ilvl w:val="0"/>
          <w:numId w:val="13"/>
        </w:numPr>
        <w:spacing w:after="160" w:line="240" w:lineRule="auto"/>
        <w:jc w:val="both"/>
        <w:rPr>
          <w:rFonts w:ascii="Times New Roman" w:eastAsia="Times New Roman" w:hAnsi="Times New Roman" w:cs="Times New Roman"/>
          <w:sz w:val="24"/>
          <w:szCs w:val="24"/>
        </w:rPr>
      </w:pPr>
      <w:r w:rsidRPr="00BA4513">
        <w:rPr>
          <w:rFonts w:ascii="Times New Roman" w:hAnsi="Times New Roman" w:cs="Times New Roman"/>
          <w:sz w:val="24"/>
          <w:szCs w:val="24"/>
        </w:rPr>
        <w:t xml:space="preserve">Nelson, E (2001) </w:t>
      </w:r>
      <w:r w:rsidRPr="00BA4513">
        <w:rPr>
          <w:rFonts w:ascii="Times New Roman" w:hAnsi="Times New Roman" w:cs="Times New Roman"/>
          <w:i/>
          <w:sz w:val="24"/>
          <w:szCs w:val="24"/>
        </w:rPr>
        <w:t xml:space="preserve">Dynamical Theories of Brownian Motion, </w:t>
      </w:r>
      <w:r w:rsidRPr="00BA4513">
        <w:rPr>
          <w:rFonts w:ascii="Times New Roman" w:hAnsi="Times New Roman" w:cs="Times New Roman"/>
          <w:sz w:val="24"/>
          <w:szCs w:val="24"/>
        </w:rPr>
        <w:t xml:space="preserve">[Online]. Available    from: </w:t>
      </w:r>
      <w:hyperlink r:id="rId155" w:history="1">
        <w:r w:rsidRPr="00BA4513">
          <w:rPr>
            <w:rStyle w:val="Hyperlink"/>
            <w:rFonts w:ascii="Times New Roman" w:hAnsi="Times New Roman" w:cs="Times New Roman"/>
            <w:sz w:val="24"/>
            <w:szCs w:val="24"/>
          </w:rPr>
          <w:t>http://www.math.princeton.edu/_nelson/books.html</w:t>
        </w:r>
      </w:hyperlink>
      <w:r w:rsidRPr="00BA4513">
        <w:rPr>
          <w:rFonts w:ascii="Times New Roman" w:hAnsi="Times New Roman" w:cs="Times New Roman"/>
          <w:sz w:val="24"/>
          <w:szCs w:val="24"/>
        </w:rPr>
        <w:t xml:space="preserve">  Accessed [08 December 2009].</w:t>
      </w:r>
    </w:p>
    <w:p w14:paraId="4016F5D2"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Newcomb, S., (1881). Note on the frequency of use of the different digits in natural numbers. American Journal of Mathematics 4, 39–40. </w:t>
      </w:r>
    </w:p>
    <w:p w14:paraId="4BE1624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Nicolò</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
          <w:w w:val="105"/>
          <w:sz w:val="24"/>
          <w:szCs w:val="24"/>
        </w:rPr>
        <w:t xml:space="preserve"> </w:t>
      </w:r>
      <w:proofErr w:type="spellStart"/>
      <w:r w:rsidRPr="00BA4513">
        <w:rPr>
          <w:rFonts w:ascii="Times New Roman" w:hAnsi="Times New Roman" w:cs="Times New Roman"/>
          <w:w w:val="105"/>
          <w:sz w:val="24"/>
          <w:szCs w:val="24"/>
        </w:rPr>
        <w:t>Pelizzon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2008).</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derivatives,</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opaque</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OTC</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markets.</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Ca’</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Foscari</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Venice,</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Dept.</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i/>
          <w:iCs/>
          <w:spacing w:val="4"/>
          <w:w w:val="105"/>
          <w:sz w:val="24"/>
          <w:szCs w:val="24"/>
        </w:rPr>
        <w:t xml:space="preserve"> </w:t>
      </w:r>
      <w:r w:rsidRPr="00BA4513">
        <w:rPr>
          <w:rFonts w:ascii="Times New Roman" w:hAnsi="Times New Roman" w:cs="Times New Roman"/>
          <w:i/>
          <w:iCs/>
          <w:w w:val="105"/>
          <w:sz w:val="24"/>
          <w:szCs w:val="24"/>
        </w:rPr>
        <w:t>Research</w:t>
      </w:r>
      <w:r w:rsidRPr="00BA4513">
        <w:rPr>
          <w:rFonts w:ascii="Times New Roman" w:hAnsi="Times New Roman" w:cs="Times New Roman"/>
          <w:w w:val="101"/>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Series</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58/06.</w:t>
      </w:r>
    </w:p>
    <w:p w14:paraId="2083908A"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Nigrini</w:t>
      </w:r>
      <w:proofErr w:type="spellEnd"/>
      <w:r w:rsidRPr="00BA4513">
        <w:rPr>
          <w:rFonts w:ascii="Times New Roman" w:hAnsi="Times New Roman" w:cs="Times New Roman"/>
          <w:sz w:val="24"/>
          <w:szCs w:val="24"/>
        </w:rPr>
        <w:t xml:space="preserve">, M.J., (1996). A taxpayer compliance application of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w:t>
      </w:r>
      <w:r w:rsidRPr="00BA4513">
        <w:rPr>
          <w:rFonts w:ascii="Times New Roman" w:hAnsi="Times New Roman" w:cs="Times New Roman"/>
          <w:i/>
          <w:iCs/>
          <w:sz w:val="24"/>
          <w:szCs w:val="24"/>
        </w:rPr>
        <w:t>J. Am. Tax. Assoc</w:t>
      </w:r>
      <w:r w:rsidRPr="00BA4513">
        <w:rPr>
          <w:rFonts w:ascii="Times New Roman" w:hAnsi="Times New Roman" w:cs="Times New Roman"/>
          <w:sz w:val="24"/>
          <w:szCs w:val="24"/>
        </w:rPr>
        <w:t xml:space="preserve">. 18 (1), 72. </w:t>
      </w:r>
    </w:p>
    <w:p w14:paraId="724CBCB2"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NJ. Yu, J., (2004). On leverage in a stochastic volatility model. </w:t>
      </w:r>
      <w:r w:rsidRPr="00BA4513">
        <w:rPr>
          <w:rFonts w:ascii="Times New Roman" w:hAnsi="Times New Roman" w:cs="Times New Roman"/>
          <w:i/>
          <w:iCs/>
          <w:sz w:val="24"/>
          <w:szCs w:val="24"/>
        </w:rPr>
        <w:t>J. Econometrics</w:t>
      </w:r>
      <w:r w:rsidRPr="00BA4513">
        <w:rPr>
          <w:rFonts w:ascii="Times New Roman" w:hAnsi="Times New Roman" w:cs="Times New Roman"/>
          <w:sz w:val="24"/>
          <w:szCs w:val="24"/>
        </w:rPr>
        <w:t xml:space="preserve"> 127, 165–178. </w:t>
      </w:r>
    </w:p>
    <w:p w14:paraId="04EFEC35"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Nye, J., </w:t>
      </w:r>
      <w:proofErr w:type="spellStart"/>
      <w:r w:rsidRPr="00BA4513">
        <w:rPr>
          <w:rFonts w:ascii="Times New Roman" w:hAnsi="Times New Roman" w:cs="Times New Roman"/>
          <w:sz w:val="24"/>
          <w:szCs w:val="24"/>
        </w:rPr>
        <w:t>Moul</w:t>
      </w:r>
      <w:proofErr w:type="spellEnd"/>
      <w:r w:rsidRPr="00BA4513">
        <w:rPr>
          <w:rFonts w:ascii="Times New Roman" w:hAnsi="Times New Roman" w:cs="Times New Roman"/>
          <w:sz w:val="24"/>
          <w:szCs w:val="24"/>
        </w:rPr>
        <w:t xml:space="preserve">, C., (2007). The political economy of numbers: On the application of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to international macroeconomic statistics.</w:t>
      </w:r>
    </w:p>
    <w:p w14:paraId="03456455"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Omori, Y., Watanabe, T., (2007). Block sampler and posterior mode estimation for asymmetric stochastic volatility models. </w:t>
      </w:r>
      <w:r w:rsidRPr="00BA4513">
        <w:rPr>
          <w:rFonts w:ascii="Times New Roman" w:hAnsi="Times New Roman" w:cs="Times New Roman"/>
          <w:i/>
          <w:iCs/>
          <w:sz w:val="24"/>
          <w:szCs w:val="24"/>
        </w:rPr>
        <w:t>Computing. Statist. Data Anal.</w:t>
      </w:r>
      <w:r w:rsidRPr="00BA4513">
        <w:rPr>
          <w:rFonts w:ascii="Times New Roman" w:hAnsi="Times New Roman" w:cs="Times New Roman"/>
          <w:sz w:val="24"/>
          <w:szCs w:val="24"/>
        </w:rPr>
        <w:t xml:space="preserve"> 10.1016/j.csda.2007.09.001. </w:t>
      </w:r>
    </w:p>
    <w:p w14:paraId="1826B167"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P. </w:t>
      </w:r>
      <w:proofErr w:type="spellStart"/>
      <w:r w:rsidRPr="00BA4513">
        <w:rPr>
          <w:rFonts w:ascii="Times New Roman" w:hAnsi="Times New Roman" w:cs="Times New Roman"/>
          <w:sz w:val="24"/>
          <w:szCs w:val="24"/>
        </w:rPr>
        <w:t>Clippe</w:t>
      </w:r>
      <w:proofErr w:type="spellEnd"/>
      <w:r w:rsidRPr="00BA4513">
        <w:rPr>
          <w:rFonts w:ascii="Times New Roman" w:hAnsi="Times New Roman" w:cs="Times New Roman"/>
          <w:sz w:val="24"/>
          <w:szCs w:val="24"/>
        </w:rPr>
        <w:t xml:space="preserve"> and M. </w:t>
      </w: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(2012).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and Theil transform of financial data</w:t>
      </w:r>
      <w:r w:rsidRPr="00BA4513">
        <w:rPr>
          <w:rFonts w:ascii="Times New Roman" w:hAnsi="Times New Roman" w:cs="Times New Roman"/>
          <w:i/>
          <w:iCs/>
          <w:sz w:val="24"/>
          <w:szCs w:val="24"/>
        </w:rPr>
        <w:t xml:space="preserve">,” </w:t>
      </w:r>
      <w:proofErr w:type="spellStart"/>
      <w:r w:rsidRPr="00BA4513">
        <w:rPr>
          <w:rFonts w:ascii="Times New Roman" w:hAnsi="Times New Roman" w:cs="Times New Roman"/>
          <w:i/>
          <w:iCs/>
          <w:sz w:val="24"/>
          <w:szCs w:val="24"/>
        </w:rPr>
        <w:t>Physica</w:t>
      </w:r>
      <w:proofErr w:type="spellEnd"/>
      <w:r w:rsidRPr="00BA4513">
        <w:rPr>
          <w:rFonts w:ascii="Times New Roman" w:hAnsi="Times New Roman" w:cs="Times New Roman"/>
          <w:i/>
          <w:iCs/>
          <w:sz w:val="24"/>
          <w:szCs w:val="24"/>
        </w:rPr>
        <w:t xml:space="preserve"> A: Statistical Mechanics and its Applications</w:t>
      </w:r>
      <w:r w:rsidRPr="00BA4513">
        <w:rPr>
          <w:rFonts w:ascii="Times New Roman" w:hAnsi="Times New Roman" w:cs="Times New Roman"/>
          <w:sz w:val="24"/>
          <w:szCs w:val="24"/>
        </w:rPr>
        <w:t xml:space="preserve">, vol. 391, no. 24, pp. 6556- 6567.  </w:t>
      </w:r>
    </w:p>
    <w:p w14:paraId="1F70697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Palomino,</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F.,</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rates,</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bond</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premia</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i/>
          <w:iCs/>
          <w:w w:val="105"/>
          <w:sz w:val="24"/>
          <w:szCs w:val="24"/>
        </w:rPr>
        <w:t>.</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Carnegie</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i/>
          <w:iCs/>
          <w:w w:val="105"/>
          <w:sz w:val="24"/>
          <w:szCs w:val="24"/>
        </w:rPr>
        <w:t>Mellon</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5"/>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5"/>
          <w:w w:val="105"/>
          <w:sz w:val="24"/>
          <w:szCs w:val="24"/>
        </w:rPr>
        <w:t xml:space="preserve"> </w:t>
      </w:r>
      <w:r w:rsidRPr="00BA4513">
        <w:rPr>
          <w:rFonts w:ascii="Times New Roman" w:hAnsi="Times New Roman" w:cs="Times New Roman"/>
          <w:w w:val="105"/>
          <w:sz w:val="24"/>
          <w:szCs w:val="24"/>
        </w:rPr>
        <w:t>Paper.</w:t>
      </w:r>
    </w:p>
    <w:p w14:paraId="368A57FD"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Parry, J., (2003). WHO Is worried that China is under-reporting SARS? </w:t>
      </w:r>
      <w:r w:rsidRPr="00BA4513">
        <w:rPr>
          <w:rFonts w:ascii="Times New Roman" w:hAnsi="Times New Roman" w:cs="Times New Roman"/>
          <w:i/>
          <w:iCs/>
          <w:sz w:val="24"/>
          <w:szCs w:val="24"/>
        </w:rPr>
        <w:t>BMJ</w:t>
      </w:r>
      <w:r w:rsidRPr="00BA4513">
        <w:rPr>
          <w:rFonts w:ascii="Times New Roman" w:hAnsi="Times New Roman" w:cs="Times New Roman"/>
          <w:sz w:val="24"/>
          <w:szCs w:val="24"/>
        </w:rPr>
        <w:t xml:space="preserve"> 326 (7399), 1110. </w:t>
      </w:r>
    </w:p>
    <w:p w14:paraId="745E5E5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Pearson, </w:t>
      </w:r>
      <w:proofErr w:type="spellStart"/>
      <w:r w:rsidRPr="00BA4513">
        <w:rPr>
          <w:rFonts w:ascii="Times New Roman" w:hAnsi="Times New Roman" w:cs="Times New Roman"/>
          <w:sz w:val="24"/>
          <w:szCs w:val="24"/>
        </w:rPr>
        <w:t>Niel</w:t>
      </w:r>
      <w:proofErr w:type="spellEnd"/>
      <w:r w:rsidRPr="00BA4513">
        <w:rPr>
          <w:rFonts w:ascii="Times New Roman" w:hAnsi="Times New Roman" w:cs="Times New Roman"/>
          <w:sz w:val="24"/>
          <w:szCs w:val="24"/>
        </w:rPr>
        <w:t xml:space="preserve">, and </w:t>
      </w:r>
      <w:proofErr w:type="spellStart"/>
      <w:r w:rsidRPr="00BA4513">
        <w:rPr>
          <w:rFonts w:ascii="Times New Roman" w:hAnsi="Times New Roman" w:cs="Times New Roman"/>
          <w:sz w:val="24"/>
          <w:szCs w:val="24"/>
        </w:rPr>
        <w:t>Tongsheng</w:t>
      </w:r>
      <w:proofErr w:type="spellEnd"/>
      <w:r w:rsidRPr="00BA4513">
        <w:rPr>
          <w:rFonts w:ascii="Times New Roman" w:hAnsi="Times New Roman" w:cs="Times New Roman"/>
          <w:sz w:val="24"/>
          <w:szCs w:val="24"/>
        </w:rPr>
        <w:t xml:space="preserve"> Sun, (1994), Exploiting the conditional density in estimating the term structure: An application to the CIR model, </w:t>
      </w:r>
      <w:r w:rsidRPr="00BA4513">
        <w:rPr>
          <w:rFonts w:ascii="Times New Roman" w:hAnsi="Times New Roman" w:cs="Times New Roman"/>
          <w:i/>
          <w:sz w:val="24"/>
          <w:szCs w:val="24"/>
        </w:rPr>
        <w:t>Journal of Finance</w:t>
      </w:r>
      <w:r w:rsidRPr="00BA4513">
        <w:rPr>
          <w:rFonts w:ascii="Times New Roman" w:hAnsi="Times New Roman" w:cs="Times New Roman"/>
          <w:sz w:val="24"/>
          <w:szCs w:val="24"/>
        </w:rPr>
        <w:t xml:space="preserve"> 49, 1279–1304</w:t>
      </w:r>
    </w:p>
    <w:p w14:paraId="63575E11"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Pérez, A., Ruiz, E., (2001). Finite sample properties of a QML estimator of stochastic volatility models with long memory</w:t>
      </w:r>
      <w:r w:rsidRPr="00BA4513">
        <w:rPr>
          <w:rFonts w:ascii="Times New Roman" w:hAnsi="Times New Roman" w:cs="Times New Roman"/>
          <w:i/>
          <w:iCs/>
          <w:sz w:val="24"/>
          <w:szCs w:val="24"/>
        </w:rPr>
        <w:t xml:space="preserve">. </w:t>
      </w:r>
      <w:proofErr w:type="spellStart"/>
      <w:r w:rsidRPr="00BA4513">
        <w:rPr>
          <w:rFonts w:ascii="Times New Roman" w:hAnsi="Times New Roman" w:cs="Times New Roman"/>
          <w:i/>
          <w:iCs/>
          <w:sz w:val="24"/>
          <w:szCs w:val="24"/>
        </w:rPr>
        <w:t>Econom</w:t>
      </w:r>
      <w:proofErr w:type="spellEnd"/>
      <w:r w:rsidRPr="00BA4513">
        <w:rPr>
          <w:rFonts w:ascii="Times New Roman" w:hAnsi="Times New Roman" w:cs="Times New Roman"/>
          <w:i/>
          <w:iCs/>
          <w:sz w:val="24"/>
          <w:szCs w:val="24"/>
        </w:rPr>
        <w:t>. Lett</w:t>
      </w:r>
      <w:r w:rsidRPr="00BA4513">
        <w:rPr>
          <w:rFonts w:ascii="Times New Roman" w:hAnsi="Times New Roman" w:cs="Times New Roman"/>
          <w:sz w:val="24"/>
          <w:szCs w:val="24"/>
        </w:rPr>
        <w:t xml:space="preserve">. 70, 157–164. </w:t>
      </w:r>
    </w:p>
    <w:p w14:paraId="29C0A03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Peura</w:t>
      </w:r>
      <w:proofErr w:type="spellEnd"/>
      <w:r w:rsidRPr="00BA4513">
        <w:rPr>
          <w:rFonts w:ascii="Times New Roman" w:hAnsi="Times New Roman" w:cs="Times New Roman"/>
          <w:sz w:val="24"/>
          <w:szCs w:val="24"/>
        </w:rPr>
        <w:t>,</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S.,</w:t>
      </w:r>
      <w:r w:rsidRPr="00BA4513">
        <w:rPr>
          <w:rFonts w:ascii="Times New Roman" w:hAnsi="Times New Roman" w:cs="Times New Roman"/>
          <w:spacing w:val="17"/>
          <w:sz w:val="24"/>
          <w:szCs w:val="24"/>
        </w:rPr>
        <w:t xml:space="preserve"> </w:t>
      </w:r>
      <w:proofErr w:type="spellStart"/>
      <w:r w:rsidRPr="00BA4513">
        <w:rPr>
          <w:rFonts w:ascii="Times New Roman" w:hAnsi="Times New Roman" w:cs="Times New Roman"/>
          <w:sz w:val="24"/>
          <w:szCs w:val="24"/>
        </w:rPr>
        <w:t>Jokivuolle</w:t>
      </w:r>
      <w:proofErr w:type="spellEnd"/>
      <w:r w:rsidRPr="00BA4513">
        <w:rPr>
          <w:rFonts w:ascii="Times New Roman" w:hAnsi="Times New Roman" w:cs="Times New Roman"/>
          <w:sz w:val="24"/>
          <w:szCs w:val="24"/>
        </w:rPr>
        <w:t>,</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2004).</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Simulation</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based</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stress</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tests</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18"/>
          <w:sz w:val="24"/>
          <w:szCs w:val="24"/>
        </w:rPr>
        <w:t xml:space="preserve"> </w:t>
      </w:r>
      <w:r w:rsidRPr="00BA4513">
        <w:rPr>
          <w:rFonts w:ascii="Times New Roman" w:hAnsi="Times New Roman" w:cs="Times New Roman"/>
          <w:sz w:val="24"/>
          <w:szCs w:val="24"/>
        </w:rPr>
        <w:t>regulatory</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 xml:space="preserve">capital adequacy. </w:t>
      </w:r>
      <w:r w:rsidRPr="00BA4513">
        <w:rPr>
          <w:rFonts w:ascii="Times New Roman" w:hAnsi="Times New Roman" w:cs="Times New Roman"/>
          <w:i/>
          <w:iCs/>
          <w:sz w:val="24"/>
          <w:szCs w:val="24"/>
        </w:rPr>
        <w:t>Journal of Banking and Finance</w:t>
      </w:r>
      <w:r w:rsidRPr="00BA4513">
        <w:rPr>
          <w:rFonts w:ascii="Times New Roman" w:hAnsi="Times New Roman" w:cs="Times New Roman"/>
          <w:sz w:val="24"/>
          <w:szCs w:val="24"/>
        </w:rPr>
        <w:t xml:space="preserve"> 28, 1801–1824.</w:t>
      </w:r>
    </w:p>
    <w:p w14:paraId="5DD06435"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lastRenderedPageBreak/>
        <w:t>Piazzesi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Swanson,</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E.,</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Futures</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prices</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as</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risk-adjusted</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forecasts</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30"/>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w w:val="107"/>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i/>
          <w:iCs/>
          <w:w w:val="105"/>
          <w:sz w:val="24"/>
          <w:szCs w:val="24"/>
        </w:rPr>
        <w:t>.</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Chicago</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Paper.</w:t>
      </w:r>
    </w:p>
    <w:p w14:paraId="1EA11E7F"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Pinkham, R.S., (1961).  On the distribution of first significant digits.  Annals of Mathematical Statistics32, 1223–1230.</w:t>
      </w:r>
    </w:p>
    <w:p w14:paraId="261BAE6D" w14:textId="77777777" w:rsidR="00BA4513" w:rsidRPr="00BA4513" w:rsidRDefault="00BA4513" w:rsidP="005A4160">
      <w:pPr>
        <w:pStyle w:val="NoSpacing"/>
        <w:numPr>
          <w:ilvl w:val="0"/>
          <w:numId w:val="13"/>
        </w:numPr>
        <w:jc w:val="both"/>
        <w:rPr>
          <w:rFonts w:ascii="Times New Roman" w:eastAsia="OneGulliverA" w:hAnsi="Times New Roman" w:cs="Times New Roman"/>
          <w:sz w:val="24"/>
          <w:szCs w:val="24"/>
        </w:rPr>
      </w:pPr>
      <w:r w:rsidRPr="00BA4513">
        <w:rPr>
          <w:rFonts w:ascii="Times New Roman" w:hAnsi="Times New Roman" w:cs="Times New Roman"/>
          <w:sz w:val="24"/>
          <w:szCs w:val="24"/>
        </w:rPr>
        <w:t>Post, T., van Vliet, P. and Levy, H., (2008). Risk aversion and skewness preference. Journal of Banking &amp; Finance, 32(7), pp.1178-1187.</w:t>
      </w:r>
    </w:p>
    <w:p w14:paraId="0EFF5F98" w14:textId="77777777" w:rsidR="00BA4513" w:rsidRPr="00BA4513" w:rsidRDefault="00BA4513" w:rsidP="005A4160">
      <w:pPr>
        <w:pStyle w:val="NoSpacing"/>
        <w:numPr>
          <w:ilvl w:val="0"/>
          <w:numId w:val="13"/>
        </w:numPr>
        <w:jc w:val="both"/>
        <w:rPr>
          <w:rFonts w:ascii="Times New Roman" w:hAnsi="Times New Roman" w:cs="Times New Roman"/>
          <w:sz w:val="24"/>
          <w:szCs w:val="24"/>
        </w:rPr>
      </w:pPr>
      <w:proofErr w:type="spellStart"/>
      <w:r w:rsidRPr="00BA4513">
        <w:rPr>
          <w:rFonts w:ascii="Times New Roman" w:eastAsia="OneGulliverA" w:hAnsi="Times New Roman" w:cs="Times New Roman"/>
          <w:sz w:val="24"/>
          <w:szCs w:val="24"/>
        </w:rPr>
        <w:t>Postali</w:t>
      </w:r>
      <w:proofErr w:type="spellEnd"/>
      <w:r w:rsidRPr="00BA4513">
        <w:rPr>
          <w:rFonts w:ascii="Times New Roman" w:eastAsia="OneGulliverA" w:hAnsi="Times New Roman" w:cs="Times New Roman"/>
          <w:sz w:val="24"/>
          <w:szCs w:val="24"/>
        </w:rPr>
        <w:t xml:space="preserve">, F., &amp; </w:t>
      </w:r>
      <w:proofErr w:type="spellStart"/>
      <w:r w:rsidRPr="00BA4513">
        <w:rPr>
          <w:rFonts w:ascii="Times New Roman" w:eastAsia="OneGulliverA" w:hAnsi="Times New Roman" w:cs="Times New Roman"/>
          <w:sz w:val="24"/>
          <w:szCs w:val="24"/>
        </w:rPr>
        <w:t>Pichetti</w:t>
      </w:r>
      <w:proofErr w:type="spellEnd"/>
      <w:r w:rsidRPr="00BA4513">
        <w:rPr>
          <w:rFonts w:ascii="Times New Roman" w:eastAsia="OneGulliverA" w:hAnsi="Times New Roman" w:cs="Times New Roman"/>
          <w:sz w:val="24"/>
          <w:szCs w:val="24"/>
        </w:rPr>
        <w:t xml:space="preserve">, P. (2006).” </w:t>
      </w:r>
      <w:r w:rsidRPr="00BA4513">
        <w:rPr>
          <w:rFonts w:ascii="Times New Roman" w:eastAsia="OneGulliverA" w:hAnsi="Times New Roman" w:cs="Times New Roman"/>
          <w:i/>
          <w:sz w:val="24"/>
          <w:szCs w:val="24"/>
        </w:rPr>
        <w:t>Geometric Brownian Motion and structural breaks in oil Prices: A quantitative analysis</w:t>
      </w:r>
      <w:r w:rsidRPr="00BA4513">
        <w:rPr>
          <w:rFonts w:ascii="Times New Roman" w:eastAsia="OneGulliverA" w:hAnsi="Times New Roman" w:cs="Times New Roman"/>
          <w:sz w:val="24"/>
          <w:szCs w:val="24"/>
        </w:rPr>
        <w:t xml:space="preserve">”. </w:t>
      </w:r>
      <w:r w:rsidRPr="00BA4513">
        <w:rPr>
          <w:rFonts w:ascii="Times New Roman" w:eastAsia="OneGulliverA" w:hAnsi="Times New Roman" w:cs="Times New Roman"/>
          <w:iCs/>
          <w:sz w:val="24"/>
          <w:szCs w:val="24"/>
        </w:rPr>
        <w:t>Energy Economics</w:t>
      </w:r>
      <w:r w:rsidRPr="00BA4513">
        <w:rPr>
          <w:rFonts w:ascii="Times New Roman" w:eastAsia="OneGulliverA" w:hAnsi="Times New Roman" w:cs="Times New Roman"/>
          <w:sz w:val="24"/>
          <w:szCs w:val="24"/>
        </w:rPr>
        <w:t xml:space="preserve">, </w:t>
      </w:r>
      <w:r w:rsidRPr="00BA4513">
        <w:rPr>
          <w:rFonts w:ascii="Times New Roman" w:eastAsia="OneGulliverA" w:hAnsi="Times New Roman" w:cs="Times New Roman"/>
          <w:iCs/>
          <w:sz w:val="24"/>
          <w:szCs w:val="24"/>
        </w:rPr>
        <w:t>28</w:t>
      </w:r>
      <w:r w:rsidRPr="00BA4513">
        <w:rPr>
          <w:rFonts w:ascii="Times New Roman" w:eastAsia="OneGulliverA" w:hAnsi="Times New Roman" w:cs="Times New Roman"/>
          <w:sz w:val="24"/>
          <w:szCs w:val="24"/>
        </w:rPr>
        <w:t>, 506–522.</w:t>
      </w:r>
    </w:p>
    <w:p w14:paraId="76031572"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Qiu</w:t>
      </w:r>
      <w:proofErr w:type="spellEnd"/>
      <w:r w:rsidRPr="00BA4513">
        <w:rPr>
          <w:rFonts w:ascii="Times New Roman" w:hAnsi="Times New Roman" w:cs="Times New Roman"/>
          <w:sz w:val="24"/>
          <w:szCs w:val="24"/>
        </w:rPr>
        <w:t xml:space="preserve">, Y., Chen, X., Shi, W., (2020). Impacts of social and economic factors on the transmission of coronavirus disease (2019) (COVID-19) in China. </w:t>
      </w:r>
      <w:r w:rsidRPr="00BA4513">
        <w:rPr>
          <w:rFonts w:ascii="Times New Roman" w:hAnsi="Times New Roman" w:cs="Times New Roman"/>
          <w:i/>
          <w:iCs/>
          <w:sz w:val="24"/>
          <w:szCs w:val="24"/>
        </w:rPr>
        <w:t xml:space="preserve">J. </w:t>
      </w:r>
      <w:proofErr w:type="spellStart"/>
      <w:r w:rsidRPr="00BA4513">
        <w:rPr>
          <w:rFonts w:ascii="Times New Roman" w:hAnsi="Times New Roman" w:cs="Times New Roman"/>
          <w:i/>
          <w:iCs/>
          <w:sz w:val="24"/>
          <w:szCs w:val="24"/>
        </w:rPr>
        <w:t>Popul</w:t>
      </w:r>
      <w:proofErr w:type="spellEnd"/>
      <w:r w:rsidRPr="00BA4513">
        <w:rPr>
          <w:rFonts w:ascii="Times New Roman" w:hAnsi="Times New Roman" w:cs="Times New Roman"/>
          <w:i/>
          <w:iCs/>
          <w:sz w:val="24"/>
          <w:szCs w:val="24"/>
        </w:rPr>
        <w:t>. Econ</w:t>
      </w:r>
      <w:r w:rsidRPr="00BA4513">
        <w:rPr>
          <w:rFonts w:ascii="Times New Roman" w:hAnsi="Times New Roman" w:cs="Times New Roman"/>
          <w:sz w:val="24"/>
          <w:szCs w:val="24"/>
        </w:rPr>
        <w:t xml:space="preserve">. 33 (4), 1–46. </w:t>
      </w:r>
      <w:r w:rsidRPr="00BA4513">
        <w:rPr>
          <w:rFonts w:ascii="Times New Roman" w:hAnsi="Times New Roman" w:cs="Times New Roman"/>
          <w:i/>
          <w:iCs/>
          <w:sz w:val="24"/>
          <w:szCs w:val="24"/>
        </w:rPr>
        <w:t>Quarterly</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108,</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77–114.</w:t>
      </w:r>
    </w:p>
    <w:p w14:paraId="6F5A9E56"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R. </w:t>
      </w:r>
      <w:proofErr w:type="spellStart"/>
      <w:r w:rsidRPr="00BA4513">
        <w:rPr>
          <w:rFonts w:ascii="Times New Roman" w:hAnsi="Times New Roman" w:cs="Times New Roman"/>
          <w:sz w:val="24"/>
          <w:szCs w:val="24"/>
        </w:rPr>
        <w:t>Cerqueti</w:t>
      </w:r>
      <w:proofErr w:type="spellEnd"/>
      <w:r w:rsidRPr="00BA4513">
        <w:rPr>
          <w:rFonts w:ascii="Times New Roman" w:hAnsi="Times New Roman" w:cs="Times New Roman"/>
          <w:sz w:val="24"/>
          <w:szCs w:val="24"/>
        </w:rPr>
        <w:t xml:space="preserve"> and M. </w:t>
      </w: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xml:space="preserve">, (2015) “Evidence of economic regularities and disparities of Italian regions from aggregated tax income size data,” </w:t>
      </w:r>
      <w:proofErr w:type="spellStart"/>
      <w:r w:rsidRPr="00BA4513">
        <w:rPr>
          <w:rFonts w:ascii="Times New Roman" w:hAnsi="Times New Roman" w:cs="Times New Roman"/>
          <w:i/>
          <w:iCs/>
          <w:sz w:val="24"/>
          <w:szCs w:val="24"/>
        </w:rPr>
        <w:t>Physica</w:t>
      </w:r>
      <w:proofErr w:type="spellEnd"/>
      <w:r w:rsidRPr="00BA4513">
        <w:rPr>
          <w:rFonts w:ascii="Times New Roman" w:hAnsi="Times New Roman" w:cs="Times New Roman"/>
          <w:i/>
          <w:iCs/>
          <w:sz w:val="24"/>
          <w:szCs w:val="24"/>
        </w:rPr>
        <w:t xml:space="preserve"> A: Statistical Mechanics and its Applications</w:t>
      </w:r>
      <w:r w:rsidRPr="00BA4513">
        <w:rPr>
          <w:rFonts w:ascii="Times New Roman" w:hAnsi="Times New Roman" w:cs="Times New Roman"/>
          <w:sz w:val="24"/>
          <w:szCs w:val="24"/>
        </w:rPr>
        <w:t>, vol. 421, pp. 187207.</w:t>
      </w:r>
    </w:p>
    <w:p w14:paraId="0279470D"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Raimi, R.A., (1976). The first digit problem. The American Mathematical Monthly 83, 521–538.</w:t>
      </w:r>
    </w:p>
    <w:bookmarkEnd w:id="213"/>
    <w:p w14:paraId="01A7704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Rajan</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2005).</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Has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development made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world</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riskier?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Paper</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presented</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at</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Greenspan</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Era:</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Lessons</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for</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Future—A</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Symposium</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Sponsored</w:t>
      </w:r>
      <w:r w:rsidRPr="00BA4513">
        <w:rPr>
          <w:rFonts w:ascii="Times New Roman" w:hAnsi="Times New Roman" w:cs="Times New Roman"/>
          <w:spacing w:val="-15"/>
          <w:w w:val="105"/>
          <w:sz w:val="24"/>
          <w:szCs w:val="24"/>
        </w:rPr>
        <w:t xml:space="preserve"> </w:t>
      </w:r>
      <w:r w:rsidRPr="00BA4513">
        <w:rPr>
          <w:rFonts w:ascii="Times New Roman" w:hAnsi="Times New Roman" w:cs="Times New Roman"/>
          <w:w w:val="105"/>
          <w:sz w:val="24"/>
          <w:szCs w:val="24"/>
        </w:rPr>
        <w:t>by</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i/>
          <w:iCs/>
          <w:w w:val="105"/>
          <w:sz w:val="24"/>
          <w:szCs w:val="24"/>
        </w:rPr>
        <w:t>Federal</w:t>
      </w:r>
      <w:r w:rsidRPr="00BA4513">
        <w:rPr>
          <w:rFonts w:ascii="Times New Roman" w:hAnsi="Times New Roman" w:cs="Times New Roman"/>
          <w:i/>
          <w:iCs/>
          <w:spacing w:val="-21"/>
          <w:w w:val="105"/>
          <w:sz w:val="24"/>
          <w:szCs w:val="24"/>
        </w:rPr>
        <w:t xml:space="preserve"> </w:t>
      </w:r>
      <w:r w:rsidRPr="00BA4513">
        <w:rPr>
          <w:rFonts w:ascii="Times New Roman" w:hAnsi="Times New Roman" w:cs="Times New Roman"/>
          <w:i/>
          <w:iCs/>
          <w:w w:val="105"/>
          <w:sz w:val="24"/>
          <w:szCs w:val="24"/>
        </w:rPr>
        <w:t>Reserve</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Bank</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Kansas</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City,</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Jackson</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Hole,</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Wyoming</w:t>
      </w:r>
      <w:r w:rsidRPr="00BA4513">
        <w:rPr>
          <w:rFonts w:ascii="Times New Roman" w:hAnsi="Times New Roman" w:cs="Times New Roman"/>
          <w:w w:val="105"/>
          <w:sz w:val="24"/>
          <w:szCs w:val="24"/>
        </w:rPr>
        <w: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August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25–27.</w:t>
      </w:r>
    </w:p>
    <w:p w14:paraId="0F8C04C2"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Rauch, B., </w:t>
      </w:r>
      <w:proofErr w:type="spellStart"/>
      <w:r w:rsidRPr="00BA4513">
        <w:rPr>
          <w:rFonts w:ascii="Times New Roman" w:hAnsi="Times New Roman" w:cs="Times New Roman"/>
          <w:sz w:val="24"/>
          <w:szCs w:val="24"/>
        </w:rPr>
        <w:t>Göttsche</w:t>
      </w:r>
      <w:proofErr w:type="spellEnd"/>
      <w:r w:rsidRPr="00BA4513">
        <w:rPr>
          <w:rFonts w:ascii="Times New Roman" w:hAnsi="Times New Roman" w:cs="Times New Roman"/>
          <w:sz w:val="24"/>
          <w:szCs w:val="24"/>
        </w:rPr>
        <w:t xml:space="preserve">, M., </w:t>
      </w:r>
      <w:proofErr w:type="spellStart"/>
      <w:r w:rsidRPr="00BA4513">
        <w:rPr>
          <w:rFonts w:ascii="Times New Roman" w:hAnsi="Times New Roman" w:cs="Times New Roman"/>
          <w:sz w:val="24"/>
          <w:szCs w:val="24"/>
        </w:rPr>
        <w:t>Brähler</w:t>
      </w:r>
      <w:proofErr w:type="spellEnd"/>
      <w:r w:rsidRPr="00BA4513">
        <w:rPr>
          <w:rFonts w:ascii="Times New Roman" w:hAnsi="Times New Roman" w:cs="Times New Roman"/>
          <w:sz w:val="24"/>
          <w:szCs w:val="24"/>
        </w:rPr>
        <w:t>, G., Engel, S., (2011). Fact and fiction in EU-governmental economic data. Ger.</w:t>
      </w:r>
      <w:r w:rsidRPr="00BA4513">
        <w:rPr>
          <w:rFonts w:ascii="Times New Roman" w:hAnsi="Times New Roman" w:cs="Times New Roman"/>
          <w:i/>
          <w:iCs/>
          <w:sz w:val="24"/>
          <w:szCs w:val="24"/>
        </w:rPr>
        <w:t xml:space="preserve"> Econ. Rev</w:t>
      </w:r>
      <w:r w:rsidRPr="00BA4513">
        <w:rPr>
          <w:rFonts w:ascii="Times New Roman" w:hAnsi="Times New Roman" w:cs="Times New Roman"/>
          <w:sz w:val="24"/>
          <w:szCs w:val="24"/>
        </w:rPr>
        <w:t xml:space="preserve">. 12 (3), 243–255. </w:t>
      </w:r>
    </w:p>
    <w:p w14:paraId="099F353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lang w:val="es-AR"/>
        </w:rPr>
        <w:t>Remolona,</w:t>
      </w:r>
      <w:r w:rsidRPr="00BA4513">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lang w:val="es-AR"/>
        </w:rPr>
        <w:t>E.,</w:t>
      </w:r>
      <w:r w:rsidRPr="00BA4513">
        <w:rPr>
          <w:rFonts w:ascii="Times New Roman" w:hAnsi="Times New Roman" w:cs="Times New Roman"/>
          <w:spacing w:val="1"/>
          <w:sz w:val="24"/>
          <w:szCs w:val="24"/>
          <w:lang w:val="es-AR"/>
        </w:rPr>
        <w:t xml:space="preserve"> </w:t>
      </w:r>
      <w:proofErr w:type="spellStart"/>
      <w:r w:rsidRPr="00BA4513">
        <w:rPr>
          <w:rFonts w:ascii="Times New Roman" w:hAnsi="Times New Roman" w:cs="Times New Roman"/>
          <w:sz w:val="24"/>
          <w:szCs w:val="24"/>
          <w:lang w:val="es-AR"/>
        </w:rPr>
        <w:t>Scatigna</w:t>
      </w:r>
      <w:proofErr w:type="spellEnd"/>
      <w:r w:rsidRPr="00BA4513">
        <w:rPr>
          <w:rFonts w:ascii="Times New Roman" w:hAnsi="Times New Roman" w:cs="Times New Roman"/>
          <w:sz w:val="24"/>
          <w:szCs w:val="24"/>
          <w:lang w:val="es-AR"/>
        </w:rPr>
        <w:t>,</w:t>
      </w:r>
      <w:r w:rsidRPr="00BA4513">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lang w:val="es-AR"/>
        </w:rPr>
        <w:t>M.,</w:t>
      </w:r>
      <w:r w:rsidRPr="00BA4513">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lang w:val="es-AR"/>
        </w:rPr>
        <w:t>Wu,</w:t>
      </w:r>
      <w:r w:rsidRPr="00BA4513">
        <w:rPr>
          <w:rFonts w:ascii="Times New Roman" w:hAnsi="Times New Roman" w:cs="Times New Roman"/>
          <w:spacing w:val="2"/>
          <w:sz w:val="24"/>
          <w:szCs w:val="24"/>
          <w:lang w:val="es-AR"/>
        </w:rPr>
        <w:t xml:space="preserve"> </w:t>
      </w:r>
      <w:r w:rsidRPr="00BA4513">
        <w:rPr>
          <w:rFonts w:ascii="Times New Roman" w:hAnsi="Times New Roman" w:cs="Times New Roman"/>
          <w:sz w:val="24"/>
          <w:szCs w:val="24"/>
          <w:lang w:val="es-AR"/>
        </w:rPr>
        <w:t>E.,</w:t>
      </w:r>
      <w:r w:rsidRPr="00BA4513">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lang w:val="es-AR"/>
        </w:rPr>
        <w:t>2007).</w:t>
      </w:r>
      <w:r w:rsidRPr="00BA4513">
        <w:rPr>
          <w:rFonts w:ascii="Times New Roman" w:hAnsi="Times New Roman" w:cs="Times New Roman"/>
          <w:spacing w:val="1"/>
          <w:sz w:val="24"/>
          <w:szCs w:val="24"/>
          <w:lang w:val="es-AR"/>
        </w:rPr>
        <w:t xml:space="preserve"> </w:t>
      </w:r>
      <w:r w:rsidRPr="00BA4513">
        <w:rPr>
          <w:rFonts w:ascii="Times New Roman" w:hAnsi="Times New Roman" w:cs="Times New Roman"/>
          <w:sz w:val="24"/>
          <w:szCs w:val="24"/>
        </w:rPr>
        <w:t>Interpreting</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sovereign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spreads.</w:t>
      </w:r>
      <w:r w:rsidRPr="00BA4513">
        <w:rPr>
          <w:rFonts w:ascii="Times New Roman" w:hAnsi="Times New Roman" w:cs="Times New Roman"/>
          <w:spacing w:val="1"/>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Quarterly</w:t>
      </w:r>
      <w:r w:rsidRPr="00BA4513">
        <w:rPr>
          <w:rFonts w:ascii="Times New Roman" w:hAnsi="Times New Roman" w:cs="Times New Roman"/>
          <w:i/>
          <w:iCs/>
          <w:spacing w:val="23"/>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March</w:t>
      </w:r>
      <w:r w:rsidRPr="00BA4513">
        <w:rPr>
          <w:rFonts w:ascii="Times New Roman" w:hAnsi="Times New Roman" w:cs="Times New Roman"/>
          <w:spacing w:val="23"/>
          <w:sz w:val="24"/>
          <w:szCs w:val="24"/>
        </w:rPr>
        <w:t xml:space="preserve"> </w:t>
      </w:r>
      <w:r w:rsidRPr="00BA4513">
        <w:rPr>
          <w:rFonts w:ascii="Times New Roman" w:hAnsi="Times New Roman" w:cs="Times New Roman"/>
          <w:sz w:val="24"/>
          <w:szCs w:val="24"/>
        </w:rPr>
        <w:t>27–39.</w:t>
      </w:r>
    </w:p>
    <w:p w14:paraId="3BC9C5F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Repullo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R.,</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2004).</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market</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power,</w:t>
      </w:r>
      <w:r w:rsidRPr="00BA4513">
        <w:rPr>
          <w:rFonts w:ascii="Times New Roman" w:hAnsi="Times New Roman" w:cs="Times New Roman"/>
          <w:spacing w:val="-17"/>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risk-taking</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6"/>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Financial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Intermediation</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13,</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156–182.</w:t>
      </w:r>
    </w:p>
    <w:p w14:paraId="46BCAD9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Repullo</w:t>
      </w:r>
      <w:proofErr w:type="spellEnd"/>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Suarez,</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procyclical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effects</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w w:val="101"/>
          <w:sz w:val="24"/>
          <w:szCs w:val="24"/>
        </w:rPr>
        <w:t xml:space="preserve"> </w:t>
      </w:r>
      <w:r w:rsidRPr="00BA4513">
        <w:rPr>
          <w:rFonts w:ascii="Times New Roman" w:hAnsi="Times New Roman" w:cs="Times New Roman"/>
          <w:sz w:val="24"/>
          <w:szCs w:val="24"/>
        </w:rPr>
        <w:t>Rochet,</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1992.</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requirements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behaviour</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commercial</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Euro</w:t>
      </w:r>
      <w:r w:rsidRPr="00BA4513">
        <w:rPr>
          <w:rFonts w:ascii="Times New Roman" w:hAnsi="Times New Roman" w:cs="Times New Roman"/>
          <w:i/>
          <w:iCs/>
          <w:w w:val="105"/>
          <w:sz w:val="24"/>
          <w:szCs w:val="24"/>
        </w:rPr>
        <w:t>pean</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w w:val="105"/>
          <w:sz w:val="24"/>
          <w:szCs w:val="24"/>
        </w:rPr>
        <w:t>36,</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1137–1170.</w:t>
      </w:r>
    </w:p>
    <w:p w14:paraId="4F5B6400" w14:textId="77777777" w:rsidR="00BA4513" w:rsidRPr="00BA4513" w:rsidRDefault="00BA4513" w:rsidP="005A4160">
      <w:pPr>
        <w:pStyle w:val="NoSpacing"/>
        <w:numPr>
          <w:ilvl w:val="0"/>
          <w:numId w:val="13"/>
        </w:numPr>
        <w:jc w:val="both"/>
        <w:rPr>
          <w:rFonts w:ascii="Times New Roman" w:eastAsia="OneGulliverA" w:hAnsi="Times New Roman" w:cs="Times New Roman"/>
          <w:sz w:val="24"/>
          <w:szCs w:val="24"/>
        </w:rPr>
      </w:pPr>
      <w:r w:rsidRPr="00BA4513">
        <w:rPr>
          <w:rFonts w:ascii="Times New Roman" w:hAnsi="Times New Roman" w:cs="Times New Roman"/>
          <w:sz w:val="24"/>
          <w:szCs w:val="24"/>
        </w:rPr>
        <w:t>Rogers, L.C.G (1997),’Arbitrage with Fractional Brownian Motion’, math. Finance 7(1),95-105.</w:t>
      </w:r>
    </w:p>
    <w:p w14:paraId="0018230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Ross,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1987).</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interrelations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finance</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economics</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theoretical</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 xml:space="preserve">perspectives. </w:t>
      </w:r>
      <w:r w:rsidRPr="00BA4513">
        <w:rPr>
          <w:rFonts w:ascii="Times New Roman" w:hAnsi="Times New Roman" w:cs="Times New Roman"/>
          <w:i/>
          <w:iCs/>
          <w:w w:val="105"/>
          <w:sz w:val="24"/>
          <w:szCs w:val="24"/>
        </w:rPr>
        <w:t>American</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77,</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29–34.</w:t>
      </w:r>
    </w:p>
    <w:p w14:paraId="3905756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Rudebusch,</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Sack,</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B.,</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Swanson,</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Macroeconomic</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implications</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changes</w:t>
      </w:r>
      <w:r w:rsidRPr="00BA4513">
        <w:rPr>
          <w:rFonts w:ascii="Times New Roman" w:hAnsi="Times New Roman" w:cs="Times New Roman"/>
          <w:w w:val="102"/>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term</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premium.</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Federal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Reserve</w:t>
      </w:r>
      <w:r w:rsidRPr="00BA4513">
        <w:rPr>
          <w:rFonts w:ascii="Times New Roman" w:hAnsi="Times New Roman" w:cs="Times New Roman"/>
          <w:spacing w:val="6"/>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St.</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Louis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8,</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241–269.</w:t>
      </w:r>
    </w:p>
    <w:p w14:paraId="2175B56E"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Ruiz, E., Pérez, A., (2003). Asymmetric long memory GARCH: a reply to Hwang’s model. </w:t>
      </w:r>
      <w:proofErr w:type="spellStart"/>
      <w:r w:rsidRPr="00BA4513">
        <w:rPr>
          <w:rFonts w:ascii="Times New Roman" w:hAnsi="Times New Roman" w:cs="Times New Roman"/>
          <w:i/>
          <w:iCs/>
          <w:sz w:val="24"/>
          <w:szCs w:val="24"/>
        </w:rPr>
        <w:t>Econom</w:t>
      </w:r>
      <w:proofErr w:type="spellEnd"/>
      <w:r w:rsidRPr="00BA4513">
        <w:rPr>
          <w:rFonts w:ascii="Times New Roman" w:hAnsi="Times New Roman" w:cs="Times New Roman"/>
          <w:i/>
          <w:iCs/>
          <w:sz w:val="24"/>
          <w:szCs w:val="24"/>
        </w:rPr>
        <w:t>. Lett</w:t>
      </w:r>
      <w:r w:rsidRPr="00BA4513">
        <w:rPr>
          <w:rFonts w:ascii="Times New Roman" w:hAnsi="Times New Roman" w:cs="Times New Roman"/>
          <w:sz w:val="24"/>
          <w:szCs w:val="24"/>
        </w:rPr>
        <w:t xml:space="preserve">. 78, 415–422. </w:t>
      </w:r>
    </w:p>
    <w:p w14:paraId="3BBE093D"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S. J. Miller., 2015. </w:t>
      </w:r>
      <w:proofErr w:type="spellStart"/>
      <w:r w:rsidRPr="00BA4513">
        <w:rPr>
          <w:rFonts w:ascii="Times New Roman" w:hAnsi="Times New Roman" w:cs="Times New Roman"/>
          <w:i/>
          <w:iCs/>
          <w:sz w:val="24"/>
          <w:szCs w:val="24"/>
        </w:rPr>
        <w:t>Benford's</w:t>
      </w:r>
      <w:proofErr w:type="spellEnd"/>
      <w:r w:rsidRPr="00BA4513">
        <w:rPr>
          <w:rFonts w:ascii="Times New Roman" w:hAnsi="Times New Roman" w:cs="Times New Roman"/>
          <w:i/>
          <w:iCs/>
          <w:sz w:val="24"/>
          <w:szCs w:val="24"/>
        </w:rPr>
        <w:t xml:space="preserve"> Law: Theory and Applications</w:t>
      </w:r>
      <w:r w:rsidRPr="00BA4513">
        <w:rPr>
          <w:rFonts w:ascii="Times New Roman" w:hAnsi="Times New Roman" w:cs="Times New Roman"/>
          <w:sz w:val="24"/>
          <w:szCs w:val="24"/>
        </w:rPr>
        <w:t>. Princeton University Press.</w:t>
      </w:r>
    </w:p>
    <w:p w14:paraId="04753F8E"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S. Zhao and W. Wu., 2010. “Does Chinese Stock Indices Agree with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in </w:t>
      </w:r>
      <w:r w:rsidRPr="00BA4513">
        <w:rPr>
          <w:rFonts w:ascii="Times New Roman" w:hAnsi="Times New Roman" w:cs="Times New Roman"/>
          <w:i/>
          <w:iCs/>
          <w:sz w:val="24"/>
          <w:szCs w:val="24"/>
        </w:rPr>
        <w:t>2010 International Conference on Management and Service Science,</w:t>
      </w:r>
      <w:r w:rsidRPr="00BA4513">
        <w:rPr>
          <w:rFonts w:ascii="Times New Roman" w:hAnsi="Times New Roman" w:cs="Times New Roman"/>
          <w:sz w:val="24"/>
          <w:szCs w:val="24"/>
        </w:rPr>
        <w:t xml:space="preserve"> pp. 1-3, IEEE.</w:t>
      </w:r>
    </w:p>
    <w:p w14:paraId="2113EE9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Santos,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2001).</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contemporary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banking</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theory: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review</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literature.</w:t>
      </w:r>
      <w:r w:rsidRPr="00BA4513">
        <w:rPr>
          <w:rFonts w:ascii="Times New Roman" w:hAnsi="Times New Roman" w:cs="Times New Roman"/>
          <w:spacing w:val="5"/>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markets.</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Institutions</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&amp;</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Instruments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10, 41–84.</w:t>
      </w:r>
    </w:p>
    <w:p w14:paraId="14B620E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Saurina</w:t>
      </w:r>
      <w:proofErr w:type="spellEnd"/>
      <w:r w:rsidRPr="00BA4513">
        <w:rPr>
          <w:rFonts w:ascii="Times New Roman" w:hAnsi="Times New Roman" w:cs="Times New Roman"/>
          <w:sz w:val="24"/>
          <w:szCs w:val="24"/>
        </w:rPr>
        <w:t>,</w:t>
      </w:r>
      <w:r w:rsidRPr="00BA4513">
        <w:rPr>
          <w:rFonts w:ascii="Times New Roman" w:hAnsi="Times New Roman" w:cs="Times New Roman"/>
          <w:spacing w:val="19"/>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An</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assessment</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procyclicality</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21"/>
          <w:sz w:val="24"/>
          <w:szCs w:val="24"/>
        </w:rPr>
        <w:t xml:space="preserve"> </w:t>
      </w:r>
      <w:r w:rsidRPr="00BA4513">
        <w:rPr>
          <w:rFonts w:ascii="Times New Roman" w:hAnsi="Times New Roman" w:cs="Times New Roman"/>
          <w:sz w:val="24"/>
          <w:szCs w:val="24"/>
        </w:rPr>
        <w:t>mortgage</w:t>
      </w:r>
      <w:r w:rsidRPr="00BA4513">
        <w:rPr>
          <w:rFonts w:ascii="Times New Roman" w:hAnsi="Times New Roman" w:cs="Times New Roman"/>
          <w:spacing w:val="20"/>
          <w:sz w:val="24"/>
          <w:szCs w:val="24"/>
        </w:rPr>
        <w:t xml:space="preserve"> </w:t>
      </w:r>
      <w:r w:rsidRPr="00BA4513">
        <w:rPr>
          <w:rFonts w:ascii="Times New Roman" w:hAnsi="Times New Roman" w:cs="Times New Roman"/>
          <w:sz w:val="24"/>
          <w:szCs w:val="24"/>
        </w:rPr>
        <w:t xml:space="preserve">portfolios. </w:t>
      </w:r>
      <w:r w:rsidRPr="00BA4513">
        <w:rPr>
          <w:rFonts w:ascii="Times New Roman" w:hAnsi="Times New Roman" w:cs="Times New Roman"/>
          <w:i/>
          <w:iCs/>
          <w:sz w:val="24"/>
          <w:szCs w:val="24"/>
        </w:rPr>
        <w:t>Journal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Services</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Research</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32,</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81–101.</w:t>
      </w:r>
    </w:p>
    <w:p w14:paraId="2A192146" w14:textId="77777777" w:rsidR="00BA4513" w:rsidRPr="00BA4513" w:rsidRDefault="00BA4513" w:rsidP="005A4160">
      <w:pPr>
        <w:pStyle w:val="ListParagraph"/>
        <w:numPr>
          <w:ilvl w:val="0"/>
          <w:numId w:val="13"/>
        </w:numPr>
        <w:spacing w:after="160" w:line="240" w:lineRule="auto"/>
        <w:ind w:left="714" w:hanging="357"/>
        <w:jc w:val="both"/>
        <w:rPr>
          <w:rFonts w:ascii="Times New Roman" w:hAnsi="Times New Roman" w:cs="Times New Roman"/>
          <w:sz w:val="24"/>
          <w:szCs w:val="24"/>
        </w:rPr>
      </w:pPr>
      <w:r w:rsidRPr="00BA4513">
        <w:rPr>
          <w:rFonts w:ascii="Times New Roman" w:hAnsi="Times New Roman" w:cs="Times New Roman"/>
          <w:sz w:val="24"/>
          <w:szCs w:val="24"/>
        </w:rPr>
        <w:t xml:space="preserve">Saville. A. D., (2006). “Using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to detect data error and fraud: an examination of companies listed on the Johannesburg Stock Exchange: economics,” </w:t>
      </w:r>
      <w:r w:rsidRPr="00BA4513">
        <w:rPr>
          <w:rFonts w:ascii="Times New Roman" w:hAnsi="Times New Roman" w:cs="Times New Roman"/>
          <w:i/>
          <w:iCs/>
          <w:sz w:val="24"/>
          <w:szCs w:val="24"/>
        </w:rPr>
        <w:lastRenderedPageBreak/>
        <w:t>South African Journal of Economic and Management Sciences</w:t>
      </w:r>
      <w:r w:rsidRPr="00BA4513">
        <w:rPr>
          <w:rFonts w:ascii="Times New Roman" w:hAnsi="Times New Roman" w:cs="Times New Roman"/>
          <w:sz w:val="24"/>
          <w:szCs w:val="24"/>
        </w:rPr>
        <w:t>, vol. 9, no. 3, pp. 341- 354.</w:t>
      </w:r>
    </w:p>
    <w:p w14:paraId="211E4EBA"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Schatte</w:t>
      </w:r>
      <w:proofErr w:type="spellEnd"/>
      <w:r w:rsidRPr="00BA4513">
        <w:rPr>
          <w:rFonts w:ascii="Times New Roman" w:hAnsi="Times New Roman" w:cs="Times New Roman"/>
          <w:sz w:val="24"/>
          <w:szCs w:val="24"/>
        </w:rPr>
        <w:t xml:space="preserve">, P., (1984).  On the asymptotic uniform distribution of sums reduced mod 1. </w:t>
      </w:r>
      <w:proofErr w:type="spellStart"/>
      <w:r w:rsidRPr="00BA4513">
        <w:rPr>
          <w:rFonts w:ascii="Times New Roman" w:hAnsi="Times New Roman" w:cs="Times New Roman"/>
          <w:sz w:val="24"/>
          <w:szCs w:val="24"/>
        </w:rPr>
        <w:t>Mathematische</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Nachrichten</w:t>
      </w:r>
      <w:proofErr w:type="spellEnd"/>
      <w:r w:rsidRPr="00BA4513">
        <w:rPr>
          <w:rFonts w:ascii="Times New Roman" w:hAnsi="Times New Roman" w:cs="Times New Roman"/>
          <w:sz w:val="24"/>
          <w:szCs w:val="24"/>
        </w:rPr>
        <w:t xml:space="preserve"> 115, 275–281.</w:t>
      </w:r>
    </w:p>
    <w:p w14:paraId="22BEF64F"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Schatte</w:t>
      </w:r>
      <w:proofErr w:type="spellEnd"/>
      <w:r w:rsidRPr="00BA4513">
        <w:rPr>
          <w:rFonts w:ascii="Times New Roman" w:hAnsi="Times New Roman" w:cs="Times New Roman"/>
          <w:sz w:val="24"/>
          <w:szCs w:val="24"/>
        </w:rPr>
        <w:t xml:space="preserve">, P., (1988a).  On a law of the iterated logarithm for su0ms reduced mod 1 with application to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Probability Theory and Related Fields 77, 167–178.</w:t>
      </w:r>
    </w:p>
    <w:p w14:paraId="12FC0C25" w14:textId="77777777" w:rsidR="00BA4513" w:rsidRPr="00BA4513" w:rsidRDefault="00BA4513" w:rsidP="00216053">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Schatte</w:t>
      </w:r>
      <w:proofErr w:type="spellEnd"/>
      <w:r w:rsidRPr="00BA4513">
        <w:rPr>
          <w:rFonts w:ascii="Times New Roman" w:hAnsi="Times New Roman" w:cs="Times New Roman"/>
          <w:sz w:val="24"/>
          <w:szCs w:val="24"/>
        </w:rPr>
        <w:t xml:space="preserve">, P., (1988b).  On the almost sure convergence of floating-point mantissas and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w:t>
      </w:r>
      <w:proofErr w:type="spellStart"/>
      <w:r w:rsidRPr="00BA4513">
        <w:rPr>
          <w:rFonts w:ascii="Times New Roman" w:hAnsi="Times New Roman" w:cs="Times New Roman"/>
          <w:sz w:val="24"/>
          <w:szCs w:val="24"/>
        </w:rPr>
        <w:t>Mathematische</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Nachrichten</w:t>
      </w:r>
      <w:proofErr w:type="spellEnd"/>
      <w:r w:rsidRPr="00BA4513">
        <w:rPr>
          <w:rFonts w:ascii="Times New Roman" w:hAnsi="Times New Roman" w:cs="Times New Roman"/>
          <w:sz w:val="24"/>
          <w:szCs w:val="24"/>
        </w:rPr>
        <w:t xml:space="preserve"> 135, 79–83.</w:t>
      </w:r>
    </w:p>
    <w:p w14:paraId="6A6A99F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Schwert</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G.W.,</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1989).</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Why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does</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stock</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market</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volatility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change</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w w:val="105"/>
          <w:sz w:val="24"/>
          <w:szCs w:val="24"/>
        </w:rPr>
        <w:t>over</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time?</w:t>
      </w:r>
      <w:r w:rsidRPr="00BA4513">
        <w:rPr>
          <w:rFonts w:ascii="Times New Roman" w:hAnsi="Times New Roman" w:cs="Times New Roman"/>
          <w:spacing w:val="-4"/>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0"/>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44,</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1115–1153.</w:t>
      </w:r>
    </w:p>
    <w:p w14:paraId="16A09CBA"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Segoviano</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Lowe,</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P.,</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Internal</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ratings,</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business</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cycle</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9"/>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8"/>
          <w:w w:val="105"/>
          <w:sz w:val="24"/>
          <w:szCs w:val="24"/>
        </w:rPr>
        <w:t xml:space="preserve"> </w:t>
      </w:r>
      <w:r w:rsidRPr="00BA4513">
        <w:rPr>
          <w:rFonts w:ascii="Times New Roman" w:hAnsi="Times New Roman" w:cs="Times New Roman"/>
          <w:w w:val="105"/>
          <w:sz w:val="24"/>
          <w:szCs w:val="24"/>
        </w:rPr>
        <w:t>requirements:</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some</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evidence</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from</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an</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emerging</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market</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economy</w:t>
      </w:r>
      <w:r w:rsidRPr="00BA4513">
        <w:rPr>
          <w:rFonts w:ascii="Times New Roman" w:hAnsi="Times New Roman" w:cs="Times New Roman"/>
          <w:i/>
          <w:iCs/>
          <w:w w:val="105"/>
          <w:sz w:val="24"/>
          <w:szCs w:val="24"/>
        </w:rPr>
        <w:t>.</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Papers</w:t>
      </w:r>
      <w:r w:rsidRPr="00BA4513">
        <w:rPr>
          <w:rFonts w:ascii="Times New Roman" w:hAnsi="Times New Roman" w:cs="Times New Roman"/>
          <w:w w:val="102"/>
          <w:sz w:val="24"/>
          <w:szCs w:val="24"/>
        </w:rPr>
        <w:t xml:space="preserve"> </w:t>
      </w:r>
      <w:r w:rsidRPr="00BA4513">
        <w:rPr>
          <w:rFonts w:ascii="Times New Roman" w:hAnsi="Times New Roman" w:cs="Times New Roman"/>
          <w:w w:val="105"/>
          <w:sz w:val="24"/>
          <w:szCs w:val="24"/>
        </w:rPr>
        <w:t>117.</w:t>
      </w:r>
    </w:p>
    <w:p w14:paraId="2AA94DC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Sellon</w:t>
      </w:r>
      <w:proofErr w:type="spellEnd"/>
      <w:r w:rsidRPr="00BA4513">
        <w:rPr>
          <w:rFonts w:ascii="Times New Roman" w:hAnsi="Times New Roman" w:cs="Times New Roman"/>
          <w:sz w:val="24"/>
          <w:szCs w:val="24"/>
        </w:rPr>
        <w:t>,</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2002).</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changing</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US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system:</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some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implications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mechanism.</w:t>
      </w:r>
      <w:r w:rsidRPr="00BA4513">
        <w:rPr>
          <w:rFonts w:ascii="Times New Roman" w:hAnsi="Times New Roman" w:cs="Times New Roman"/>
          <w:spacing w:val="9"/>
          <w:sz w:val="24"/>
          <w:szCs w:val="24"/>
        </w:rPr>
        <w:t xml:space="preserve"> </w:t>
      </w:r>
      <w:r w:rsidRPr="00BA4513">
        <w:rPr>
          <w:rFonts w:ascii="Times New Roman" w:hAnsi="Times New Roman" w:cs="Times New Roman"/>
          <w:i/>
          <w:iCs/>
          <w:sz w:val="24"/>
          <w:szCs w:val="24"/>
        </w:rPr>
        <w:t>Federal</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Reserve</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Kansas</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City</w:t>
      </w:r>
      <w:r w:rsidRPr="00BA4513">
        <w:rPr>
          <w:rFonts w:ascii="Times New Roman" w:hAnsi="Times New Roman" w:cs="Times New Roman"/>
          <w:i/>
          <w:iCs/>
          <w:spacing w:val="9"/>
          <w:sz w:val="24"/>
          <w:szCs w:val="24"/>
        </w:rPr>
        <w:t xml:space="preserve"> </w:t>
      </w:r>
      <w:r w:rsidRPr="00BA4513">
        <w:rPr>
          <w:rFonts w:ascii="Times New Roman" w:hAnsi="Times New Roman" w:cs="Times New Roman"/>
          <w:i/>
          <w:iCs/>
          <w:sz w:val="24"/>
          <w:szCs w:val="24"/>
        </w:rPr>
        <w:t>Economic</w:t>
      </w:r>
      <w:r w:rsidRPr="00BA4513">
        <w:rPr>
          <w:rFonts w:ascii="Times New Roman" w:hAnsi="Times New Roman" w:cs="Times New Roman"/>
          <w:i/>
          <w:iCs/>
          <w:w w:val="103"/>
          <w:sz w:val="24"/>
          <w:szCs w:val="24"/>
        </w:rPr>
        <w:t xml:space="preserve"> </w:t>
      </w:r>
      <w:r w:rsidRPr="00BA4513">
        <w:rPr>
          <w:rFonts w:ascii="Times New Roman" w:hAnsi="Times New Roman" w:cs="Times New Roman"/>
          <w:i/>
          <w:iCs/>
          <w:sz w:val="24"/>
          <w:szCs w:val="24"/>
        </w:rPr>
        <w:t>Review</w:t>
      </w:r>
      <w:r w:rsidRPr="00BA4513">
        <w:rPr>
          <w:rFonts w:ascii="Times New Roman" w:hAnsi="Times New Roman" w:cs="Times New Roman"/>
          <w:sz w:val="24"/>
          <w:szCs w:val="24"/>
        </w:rPr>
        <w:t xml:space="preserve">, </w:t>
      </w:r>
      <w:r w:rsidRPr="00BA4513">
        <w:rPr>
          <w:rFonts w:ascii="Times New Roman" w:hAnsi="Times New Roman" w:cs="Times New Roman"/>
          <w:spacing w:val="7"/>
          <w:sz w:val="24"/>
          <w:szCs w:val="24"/>
        </w:rPr>
        <w:t>5</w:t>
      </w:r>
      <w:r w:rsidRPr="00BA4513">
        <w:rPr>
          <w:rFonts w:ascii="Times New Roman" w:hAnsi="Times New Roman" w:cs="Times New Roman"/>
          <w:sz w:val="24"/>
          <w:szCs w:val="24"/>
        </w:rPr>
        <w:t>–35.</w:t>
      </w:r>
    </w:p>
    <w:p w14:paraId="3C1AC78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Shim,</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I.,</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Von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Peter,</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G.,</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Distress</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selling</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market</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feedback</w:t>
      </w:r>
      <w:r w:rsidRPr="00BA4513">
        <w:rPr>
          <w:rFonts w:ascii="Times New Roman" w:hAnsi="Times New Roman" w:cs="Times New Roman"/>
          <w:i/>
          <w:iCs/>
          <w:sz w:val="24"/>
          <w:szCs w:val="24"/>
        </w:rPr>
        <w:t>.</w:t>
      </w:r>
      <w:r w:rsidRPr="00BA4513">
        <w:rPr>
          <w:rFonts w:ascii="Times New Roman" w:hAnsi="Times New Roman" w:cs="Times New Roman"/>
          <w:i/>
          <w:iCs/>
          <w:spacing w:val="8"/>
          <w:sz w:val="24"/>
          <w:szCs w:val="24"/>
        </w:rPr>
        <w:t xml:space="preserve"> </w:t>
      </w:r>
      <w:r w:rsidRPr="00BA4513">
        <w:rPr>
          <w:rFonts w:ascii="Times New Roman" w:hAnsi="Times New Roman" w:cs="Times New Roman"/>
          <w:i/>
          <w:iCs/>
          <w:sz w:val="24"/>
          <w:szCs w:val="24"/>
        </w:rPr>
        <w:t>Financial markets.</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Institutions</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&amp;</w:t>
      </w:r>
      <w:r w:rsidRPr="00BA4513">
        <w:rPr>
          <w:rFonts w:ascii="Times New Roman" w:hAnsi="Times New Roman" w:cs="Times New Roman"/>
          <w:i/>
          <w:iCs/>
          <w:spacing w:val="6"/>
          <w:sz w:val="24"/>
          <w:szCs w:val="24"/>
        </w:rPr>
        <w:t xml:space="preserve"> </w:t>
      </w:r>
      <w:r w:rsidRPr="00BA4513">
        <w:rPr>
          <w:rFonts w:ascii="Times New Roman" w:hAnsi="Times New Roman" w:cs="Times New Roman"/>
          <w:i/>
          <w:iCs/>
          <w:sz w:val="24"/>
          <w:szCs w:val="24"/>
        </w:rPr>
        <w:t>Instruments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16,</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243–291.</w:t>
      </w:r>
    </w:p>
    <w:p w14:paraId="6A6665C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Shin,</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H.S.,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liquidity</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in</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system</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context.</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BIS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Papers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212.</w:t>
      </w:r>
      <w:r w:rsidRPr="00BA4513">
        <w:rPr>
          <w:rFonts w:ascii="Times New Roman" w:hAnsi="Times New Roman" w:cs="Times New Roman"/>
          <w:w w:val="99"/>
          <w:sz w:val="24"/>
          <w:szCs w:val="24"/>
        </w:rPr>
        <w:t xml:space="preserve"> </w:t>
      </w:r>
      <w:r w:rsidRPr="00BA4513">
        <w:rPr>
          <w:rFonts w:ascii="Times New Roman" w:hAnsi="Times New Roman" w:cs="Times New Roman"/>
          <w:sz w:val="24"/>
          <w:szCs w:val="24"/>
        </w:rPr>
        <w:t>Smith,</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C.,</w:t>
      </w:r>
      <w:r w:rsidRPr="00BA4513">
        <w:rPr>
          <w:rFonts w:ascii="Times New Roman" w:hAnsi="Times New Roman" w:cs="Times New Roman"/>
          <w:spacing w:val="17"/>
          <w:sz w:val="24"/>
          <w:szCs w:val="24"/>
        </w:rPr>
        <w:t xml:space="preserve"> </w:t>
      </w:r>
      <w:proofErr w:type="spellStart"/>
      <w:r w:rsidRPr="00BA4513">
        <w:rPr>
          <w:rFonts w:ascii="Times New Roman" w:hAnsi="Times New Roman" w:cs="Times New Roman"/>
          <w:sz w:val="24"/>
          <w:szCs w:val="24"/>
        </w:rPr>
        <w:t>Stulz</w:t>
      </w:r>
      <w:proofErr w:type="spellEnd"/>
      <w:r w:rsidRPr="00BA4513">
        <w:rPr>
          <w:rFonts w:ascii="Times New Roman" w:hAnsi="Times New Roman" w:cs="Times New Roman"/>
          <w:sz w:val="24"/>
          <w:szCs w:val="24"/>
        </w:rPr>
        <w:t>,</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R.,</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1985.</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determinants</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firms’</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hedging</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policies.</w:t>
      </w:r>
      <w:r w:rsidRPr="00BA4513">
        <w:rPr>
          <w:rFonts w:ascii="Times New Roman" w:hAnsi="Times New Roman" w:cs="Times New Roman"/>
          <w:spacing w:val="17"/>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16"/>
          <w:sz w:val="24"/>
          <w:szCs w:val="24"/>
        </w:rPr>
        <w:t xml:space="preserve"> </w:t>
      </w:r>
      <w:r w:rsidRPr="00BA4513">
        <w:rPr>
          <w:rFonts w:ascii="Times New Roman" w:hAnsi="Times New Roman" w:cs="Times New Roman"/>
          <w:i/>
          <w:iCs/>
          <w:sz w:val="24"/>
          <w:szCs w:val="24"/>
        </w:rPr>
        <w:t>of Financial</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and</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Quantitative</w:t>
      </w:r>
      <w:r w:rsidRPr="00BA4513">
        <w:rPr>
          <w:rFonts w:ascii="Times New Roman" w:hAnsi="Times New Roman" w:cs="Times New Roman"/>
          <w:i/>
          <w:iCs/>
          <w:spacing w:val="7"/>
          <w:sz w:val="24"/>
          <w:szCs w:val="24"/>
        </w:rPr>
        <w:t xml:space="preserve"> </w:t>
      </w:r>
      <w:r w:rsidRPr="00BA4513">
        <w:rPr>
          <w:rFonts w:ascii="Times New Roman" w:hAnsi="Times New Roman" w:cs="Times New Roman"/>
          <w:i/>
          <w:iCs/>
          <w:sz w:val="24"/>
          <w:szCs w:val="24"/>
        </w:rPr>
        <w:t>Analysis</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20,</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391–405.</w:t>
      </w:r>
    </w:p>
    <w:p w14:paraId="755A8EC7" w14:textId="77777777" w:rsidR="00BA4513" w:rsidRPr="00BA4513" w:rsidRDefault="00BA4513" w:rsidP="005A4160">
      <w:pPr>
        <w:pStyle w:val="NoSpacing"/>
        <w:numPr>
          <w:ilvl w:val="0"/>
          <w:numId w:val="13"/>
        </w:numPr>
        <w:jc w:val="both"/>
        <w:rPr>
          <w:rFonts w:ascii="Times New Roman" w:hAnsi="Times New Roman" w:cs="Times New Roman"/>
          <w:sz w:val="24"/>
          <w:szCs w:val="24"/>
        </w:rPr>
      </w:pPr>
      <w:r w:rsidRPr="00BA4513">
        <w:rPr>
          <w:rFonts w:ascii="Times New Roman" w:hAnsi="Times New Roman" w:cs="Times New Roman"/>
          <w:sz w:val="24"/>
          <w:szCs w:val="24"/>
        </w:rPr>
        <w:t xml:space="preserve">So, M.K.P., Li, W.K., Lam, K., (2002). A threshold stochastic volatility model. </w:t>
      </w:r>
      <w:r w:rsidRPr="00BA4513">
        <w:rPr>
          <w:rFonts w:ascii="Times New Roman" w:hAnsi="Times New Roman" w:cs="Times New Roman"/>
          <w:i/>
          <w:iCs/>
          <w:sz w:val="24"/>
          <w:szCs w:val="24"/>
        </w:rPr>
        <w:t>J. Forecasting</w:t>
      </w:r>
      <w:r w:rsidRPr="00BA4513">
        <w:rPr>
          <w:rFonts w:ascii="Times New Roman" w:hAnsi="Times New Roman" w:cs="Times New Roman"/>
          <w:sz w:val="24"/>
          <w:szCs w:val="24"/>
        </w:rPr>
        <w:t xml:space="preserve"> 21, 473–500. </w:t>
      </w:r>
    </w:p>
    <w:p w14:paraId="2E245730"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Söderlind</w:t>
      </w:r>
      <w:proofErr w:type="spellEnd"/>
      <w:r w:rsidRPr="00BA4513">
        <w:rPr>
          <w:rFonts w:ascii="Times New Roman" w:hAnsi="Times New Roman" w:cs="Times New Roman"/>
          <w:sz w:val="24"/>
          <w:szCs w:val="24"/>
        </w:rPr>
        <w:t>,</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P.,</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2006).</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effects</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on</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7"/>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premia.</w:t>
      </w:r>
      <w:r w:rsidRPr="00BA4513">
        <w:rPr>
          <w:rFonts w:ascii="Times New Roman" w:hAnsi="Times New Roman" w:cs="Times New Roman"/>
          <w:spacing w:val="16"/>
          <w:sz w:val="24"/>
          <w:szCs w:val="24"/>
        </w:rPr>
        <w:t xml:space="preserve"> </w:t>
      </w:r>
      <w:r w:rsidRPr="00BA4513">
        <w:rPr>
          <w:rFonts w:ascii="Times New Roman" w:hAnsi="Times New Roman" w:cs="Times New Roman"/>
          <w:i/>
          <w:iCs/>
          <w:sz w:val="24"/>
          <w:szCs w:val="24"/>
        </w:rPr>
        <w:t>University</w:t>
      </w:r>
      <w:r w:rsidRPr="00BA4513">
        <w:rPr>
          <w:rFonts w:ascii="Times New Roman" w:hAnsi="Times New Roman" w:cs="Times New Roman"/>
          <w:i/>
          <w:iCs/>
          <w:spacing w:val="17"/>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sz w:val="24"/>
          <w:szCs w:val="24"/>
        </w:rPr>
        <w:t>St</w:t>
      </w:r>
      <w:r w:rsidRPr="00BA4513">
        <w:rPr>
          <w:rFonts w:ascii="Times New Roman" w:hAnsi="Times New Roman" w:cs="Times New Roman"/>
          <w:i/>
          <w:iCs/>
          <w:spacing w:val="4"/>
          <w:sz w:val="24"/>
          <w:szCs w:val="24"/>
        </w:rPr>
        <w:t xml:space="preserve"> </w:t>
      </w:r>
      <w:r w:rsidRPr="00BA4513">
        <w:rPr>
          <w:rFonts w:ascii="Times New Roman" w:hAnsi="Times New Roman" w:cs="Times New Roman"/>
          <w:i/>
          <w:iCs/>
          <w:sz w:val="24"/>
          <w:szCs w:val="24"/>
        </w:rPr>
        <w:t>Gallen</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Finance</w:t>
      </w:r>
      <w:r w:rsidRPr="00BA4513">
        <w:rPr>
          <w:rFonts w:ascii="Times New Roman" w:hAnsi="Times New Roman" w:cs="Times New Roman"/>
          <w:i/>
          <w:iCs/>
          <w:spacing w:val="5"/>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4"/>
          <w:sz w:val="24"/>
          <w:szCs w:val="24"/>
        </w:rPr>
        <w:t xml:space="preserve"> </w:t>
      </w:r>
      <w:r w:rsidRPr="00BA4513">
        <w:rPr>
          <w:rFonts w:ascii="Times New Roman" w:hAnsi="Times New Roman" w:cs="Times New Roman"/>
          <w:sz w:val="24"/>
          <w:szCs w:val="24"/>
        </w:rPr>
        <w:t>36.</w:t>
      </w:r>
    </w:p>
    <w:p w14:paraId="43319FAF"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Speight, A. E. H, McMillan, D. G., and ap Gwilym, O., (2000). Intraday volatility components in FTSE100 stock index futures, 2000, Journal of Futures Markets 20, 425 - 444.</w:t>
      </w:r>
    </w:p>
    <w:p w14:paraId="61C7CED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Stein,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1998).</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adverse-selection</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model</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asset</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liability</w:t>
      </w:r>
      <w:r w:rsidRPr="00BA4513">
        <w:rPr>
          <w:rFonts w:ascii="Times New Roman" w:hAnsi="Times New Roman" w:cs="Times New Roman"/>
          <w:spacing w:val="9"/>
          <w:sz w:val="24"/>
          <w:szCs w:val="24"/>
        </w:rPr>
        <w:t xml:space="preserve"> </w:t>
      </w:r>
      <w:r w:rsidRPr="00BA4513">
        <w:rPr>
          <w:rFonts w:ascii="Times New Roman" w:hAnsi="Times New Roman" w:cs="Times New Roman"/>
          <w:sz w:val="24"/>
          <w:szCs w:val="24"/>
        </w:rPr>
        <w:t>management</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with</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implications</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for</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policy.</w:t>
      </w:r>
      <w:r w:rsidRPr="00BA4513">
        <w:rPr>
          <w:rFonts w:ascii="Times New Roman" w:hAnsi="Times New Roman" w:cs="Times New Roman"/>
          <w:spacing w:val="5"/>
          <w:sz w:val="24"/>
          <w:szCs w:val="24"/>
        </w:rPr>
        <w:t xml:space="preserve"> </w:t>
      </w:r>
      <w:r w:rsidRPr="00BA4513">
        <w:rPr>
          <w:rFonts w:ascii="Times New Roman" w:hAnsi="Times New Roman" w:cs="Times New Roman"/>
          <w:i/>
          <w:iCs/>
          <w:sz w:val="24"/>
          <w:szCs w:val="24"/>
        </w:rPr>
        <w:t>Rand</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5"/>
          <w:sz w:val="24"/>
          <w:szCs w:val="24"/>
        </w:rPr>
        <w:t xml:space="preserve"> </w:t>
      </w:r>
      <w:r w:rsidRPr="00BA4513">
        <w:rPr>
          <w:rFonts w:ascii="Times New Roman" w:hAnsi="Times New Roman" w:cs="Times New Roman"/>
          <w:i/>
          <w:iCs/>
          <w:sz w:val="24"/>
          <w:szCs w:val="24"/>
        </w:rPr>
        <w:t>Economics</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29,</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466–486.</w:t>
      </w:r>
    </w:p>
    <w:p w14:paraId="49571F3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Stolz,</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S.,</w:t>
      </w:r>
      <w:r w:rsidRPr="00BA4513">
        <w:rPr>
          <w:rFonts w:ascii="Times New Roman" w:hAnsi="Times New Roman" w:cs="Times New Roman"/>
          <w:spacing w:val="7"/>
          <w:sz w:val="24"/>
          <w:szCs w:val="24"/>
        </w:rPr>
        <w:t xml:space="preserve"> </w:t>
      </w:r>
      <w:proofErr w:type="spellStart"/>
      <w:r w:rsidRPr="00BA4513">
        <w:rPr>
          <w:rFonts w:ascii="Times New Roman" w:hAnsi="Times New Roman" w:cs="Times New Roman"/>
          <w:sz w:val="24"/>
          <w:szCs w:val="24"/>
        </w:rPr>
        <w:t>Wedow</w:t>
      </w:r>
      <w:proofErr w:type="spellEnd"/>
      <w:r w:rsidRPr="00BA4513">
        <w:rPr>
          <w:rFonts w:ascii="Times New Roman" w:hAnsi="Times New Roman" w:cs="Times New Roman"/>
          <w:sz w:val="24"/>
          <w:szCs w:val="24"/>
        </w:rPr>
        <w:t>,</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2011).</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regulatory</w:t>
      </w:r>
      <w:r w:rsidRPr="00BA4513">
        <w:rPr>
          <w:rFonts w:ascii="Times New Roman" w:hAnsi="Times New Roman" w:cs="Times New Roman"/>
          <w:spacing w:val="5"/>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buffer</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business</w:t>
      </w:r>
      <w:r w:rsidRPr="00BA4513">
        <w:rPr>
          <w:rFonts w:ascii="Times New Roman" w:hAnsi="Times New Roman" w:cs="Times New Roman"/>
          <w:spacing w:val="6"/>
          <w:sz w:val="24"/>
          <w:szCs w:val="24"/>
        </w:rPr>
        <w:t xml:space="preserve"> </w:t>
      </w:r>
      <w:r w:rsidRPr="00BA4513">
        <w:rPr>
          <w:rFonts w:ascii="Times New Roman" w:hAnsi="Times New Roman" w:cs="Times New Roman"/>
          <w:sz w:val="24"/>
          <w:szCs w:val="24"/>
        </w:rPr>
        <w:t>cycle:</w:t>
      </w:r>
      <w:r w:rsidRPr="00BA4513">
        <w:rPr>
          <w:rFonts w:ascii="Times New Roman" w:hAnsi="Times New Roman" w:cs="Times New Roman"/>
          <w:w w:val="109"/>
          <w:sz w:val="24"/>
          <w:szCs w:val="24"/>
        </w:rPr>
        <w:t xml:space="preserve"> </w:t>
      </w:r>
      <w:r w:rsidRPr="00BA4513">
        <w:rPr>
          <w:rFonts w:ascii="Times New Roman" w:hAnsi="Times New Roman" w:cs="Times New Roman"/>
          <w:sz w:val="24"/>
          <w:szCs w:val="24"/>
        </w:rPr>
        <w:t>evidence for German savings</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and cooperative banks.</w:t>
      </w:r>
      <w:r w:rsidRPr="00BA4513">
        <w:rPr>
          <w:rFonts w:ascii="Times New Roman" w:hAnsi="Times New Roman" w:cs="Times New Roman"/>
          <w:spacing w:val="1"/>
          <w:sz w:val="24"/>
          <w:szCs w:val="24"/>
        </w:rPr>
        <w:t xml:space="preserve"> </w:t>
      </w:r>
      <w:r w:rsidRPr="00BA4513">
        <w:rPr>
          <w:rFonts w:ascii="Times New Roman" w:hAnsi="Times New Roman" w:cs="Times New Roman"/>
          <w:i/>
          <w:iCs/>
          <w:sz w:val="24"/>
          <w:szCs w:val="24"/>
        </w:rPr>
        <w:t>Journal of Financial Stability</w:t>
      </w:r>
      <w:r w:rsidRPr="00BA4513">
        <w:rPr>
          <w:rFonts w:ascii="Times New Roman" w:hAnsi="Times New Roman" w:cs="Times New Roman"/>
          <w:spacing w:val="7"/>
          <w:sz w:val="24"/>
          <w:szCs w:val="24"/>
        </w:rPr>
        <w:t xml:space="preserve"> </w:t>
      </w:r>
      <w:r w:rsidRPr="00BA4513">
        <w:rPr>
          <w:rFonts w:ascii="Times New Roman" w:hAnsi="Times New Roman" w:cs="Times New Roman"/>
          <w:sz w:val="24"/>
          <w:szCs w:val="24"/>
        </w:rPr>
        <w:t>7,</w:t>
      </w:r>
      <w:r w:rsidRPr="00BA4513">
        <w:rPr>
          <w:rFonts w:ascii="Times New Roman" w:hAnsi="Times New Roman" w:cs="Times New Roman"/>
          <w:spacing w:val="8"/>
          <w:sz w:val="24"/>
          <w:szCs w:val="24"/>
        </w:rPr>
        <w:t xml:space="preserve"> </w:t>
      </w:r>
      <w:r w:rsidRPr="00BA4513">
        <w:rPr>
          <w:rFonts w:ascii="Times New Roman" w:hAnsi="Times New Roman" w:cs="Times New Roman"/>
          <w:sz w:val="24"/>
          <w:szCs w:val="24"/>
        </w:rPr>
        <w:t>98–110.</w:t>
      </w:r>
    </w:p>
    <w:p w14:paraId="2E566125"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T. A. Mir and M. </w:t>
      </w:r>
      <w:proofErr w:type="spellStart"/>
      <w:r w:rsidRPr="00BA4513">
        <w:rPr>
          <w:rFonts w:ascii="Times New Roman" w:hAnsi="Times New Roman" w:cs="Times New Roman"/>
          <w:sz w:val="24"/>
          <w:szCs w:val="24"/>
        </w:rPr>
        <w:t>Ausloos</w:t>
      </w:r>
      <w:proofErr w:type="spellEnd"/>
      <w:r w:rsidRPr="00BA4513">
        <w:rPr>
          <w:rFonts w:ascii="Times New Roman" w:hAnsi="Times New Roman" w:cs="Times New Roman"/>
          <w:sz w:val="24"/>
          <w:szCs w:val="24"/>
        </w:rPr>
        <w:t>., (2018).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A “sleeping beauty" sleeping in the dirty pages of logarithmic tables.,” </w:t>
      </w:r>
      <w:r w:rsidRPr="00BA4513">
        <w:rPr>
          <w:rFonts w:ascii="Times New Roman" w:hAnsi="Times New Roman" w:cs="Times New Roman"/>
          <w:i/>
          <w:iCs/>
          <w:sz w:val="24"/>
          <w:szCs w:val="24"/>
        </w:rPr>
        <w:t>Journal of the Association for Information Science and Technology</w:t>
      </w:r>
      <w:r w:rsidRPr="00BA4513">
        <w:rPr>
          <w:rFonts w:ascii="Times New Roman" w:hAnsi="Times New Roman" w:cs="Times New Roman"/>
          <w:sz w:val="24"/>
          <w:szCs w:val="24"/>
        </w:rPr>
        <w:t>, vol. 69, no. 3, pp. 349-358.</w:t>
      </w:r>
    </w:p>
    <w:p w14:paraId="42D9973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Tallarini</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T.D.,</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2000).</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Risk-sensitive</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real</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business</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cycles.</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Economics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45,</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507–532.</w:t>
      </w:r>
    </w:p>
    <w:p w14:paraId="308A08F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Tanaka,</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M.,</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2002).</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How</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do</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adequacy</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13"/>
          <w:sz w:val="24"/>
          <w:szCs w:val="24"/>
        </w:rPr>
        <w:t xml:space="preserve"> </w:t>
      </w:r>
      <w:r w:rsidRPr="00BA4513">
        <w:rPr>
          <w:rFonts w:ascii="Times New Roman" w:hAnsi="Times New Roman" w:cs="Times New Roman"/>
          <w:sz w:val="24"/>
          <w:szCs w:val="24"/>
        </w:rPr>
        <w:t>affect</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w w:val="106"/>
          <w:sz w:val="24"/>
          <w:szCs w:val="24"/>
        </w:rPr>
        <w:t xml:space="preserve"> </w:t>
      </w:r>
      <w:r w:rsidRPr="00BA4513">
        <w:rPr>
          <w:rFonts w:ascii="Times New Roman" w:hAnsi="Times New Roman" w:cs="Times New Roman"/>
          <w:sz w:val="24"/>
          <w:szCs w:val="24"/>
        </w:rPr>
        <w:t>monetary</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transmission</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mechanism?</w:t>
      </w:r>
      <w:r w:rsidRPr="00BA4513">
        <w:rPr>
          <w:rFonts w:ascii="Times New Roman" w:hAnsi="Times New Roman" w:cs="Times New Roman"/>
          <w:spacing w:val="10"/>
          <w:sz w:val="24"/>
          <w:szCs w:val="24"/>
        </w:rPr>
        <w:t xml:space="preserve"> </w:t>
      </w:r>
      <w:r w:rsidRPr="00BA4513">
        <w:rPr>
          <w:rFonts w:ascii="Times New Roman" w:hAnsi="Times New Roman" w:cs="Times New Roman"/>
          <w:i/>
          <w:iCs/>
          <w:sz w:val="24"/>
          <w:szCs w:val="24"/>
        </w:rPr>
        <w:t>CESIFO</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799.</w:t>
      </w:r>
    </w:p>
    <w:p w14:paraId="3A86E79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Tarashev</w:t>
      </w:r>
      <w:proofErr w:type="spellEnd"/>
      <w:r w:rsidRPr="00BA4513">
        <w:rPr>
          <w:rFonts w:ascii="Times New Roman" w:hAnsi="Times New Roman" w:cs="Times New Roman"/>
          <w:sz w:val="24"/>
          <w:szCs w:val="24"/>
        </w:rPr>
        <w:t>,</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N.,</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An</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empirical</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evaluation</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structural</w:t>
      </w:r>
      <w:r w:rsidRPr="00BA4513">
        <w:rPr>
          <w:rFonts w:ascii="Times New Roman" w:hAnsi="Times New Roman" w:cs="Times New Roman"/>
          <w:spacing w:val="24"/>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risk</w:t>
      </w:r>
      <w:r w:rsidRPr="00BA4513">
        <w:rPr>
          <w:rFonts w:ascii="Times New Roman" w:hAnsi="Times New Roman" w:cs="Times New Roman"/>
          <w:spacing w:val="25"/>
          <w:sz w:val="24"/>
          <w:szCs w:val="24"/>
        </w:rPr>
        <w:t xml:space="preserve"> </w:t>
      </w:r>
      <w:r w:rsidRPr="00BA4513">
        <w:rPr>
          <w:rFonts w:ascii="Times New Roman" w:hAnsi="Times New Roman" w:cs="Times New Roman"/>
          <w:sz w:val="24"/>
          <w:szCs w:val="24"/>
        </w:rPr>
        <w:t>models.</w:t>
      </w:r>
      <w:r w:rsidRPr="00BA4513">
        <w:rPr>
          <w:rFonts w:ascii="Times New Roman" w:hAnsi="Times New Roman" w:cs="Times New Roman"/>
          <w:spacing w:val="25"/>
          <w:sz w:val="24"/>
          <w:szCs w:val="24"/>
        </w:rPr>
        <w:t xml:space="preserve"> </w:t>
      </w:r>
      <w:r w:rsidRPr="00BA4513">
        <w:rPr>
          <w:rFonts w:ascii="Times New Roman" w:hAnsi="Times New Roman" w:cs="Times New Roman"/>
          <w:i/>
          <w:iCs/>
          <w:sz w:val="24"/>
          <w:szCs w:val="24"/>
        </w:rPr>
        <w:t>BIS</w:t>
      </w:r>
      <w:r w:rsidRPr="00BA4513">
        <w:rPr>
          <w:rFonts w:ascii="Times New Roman" w:hAnsi="Times New Roman" w:cs="Times New Roman"/>
          <w:w w:val="9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Papers</w:t>
      </w:r>
      <w:r w:rsidRPr="00BA4513">
        <w:rPr>
          <w:rFonts w:ascii="Times New Roman" w:hAnsi="Times New Roman" w:cs="Times New Roman"/>
          <w:spacing w:val="16"/>
          <w:sz w:val="24"/>
          <w:szCs w:val="24"/>
        </w:rPr>
        <w:t xml:space="preserve"> </w:t>
      </w:r>
      <w:r w:rsidRPr="00BA4513">
        <w:rPr>
          <w:rFonts w:ascii="Times New Roman" w:hAnsi="Times New Roman" w:cs="Times New Roman"/>
          <w:sz w:val="24"/>
          <w:szCs w:val="24"/>
        </w:rPr>
        <w:t>179.</w:t>
      </w:r>
    </w:p>
    <w:p w14:paraId="646F48F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Taylor,</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Goodhart,</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C.,</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Procyclicality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volatility</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6"/>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system:</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implementation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Basel</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II</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IAS39.</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Gerlach,</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Gruenwald,</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P.</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(Eds.),</w:t>
      </w:r>
      <w:r w:rsidRPr="00BA4513">
        <w:rPr>
          <w:rFonts w:ascii="Times New Roman" w:hAnsi="Times New Roman" w:cs="Times New Roman"/>
          <w:sz w:val="24"/>
          <w:szCs w:val="24"/>
        </w:rPr>
        <w:t xml:space="preserve"> </w:t>
      </w:r>
      <w:r w:rsidRPr="00BA4513">
        <w:rPr>
          <w:rFonts w:ascii="Times New Roman" w:hAnsi="Times New Roman" w:cs="Times New Roman"/>
          <w:w w:val="105"/>
          <w:sz w:val="24"/>
          <w:szCs w:val="24"/>
        </w:rPr>
        <w:t>Procyclicality</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Financial</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Systems</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in</w:t>
      </w:r>
      <w:r w:rsidRPr="00BA4513">
        <w:rPr>
          <w:rFonts w:ascii="Times New Roman" w:hAnsi="Times New Roman" w:cs="Times New Roman"/>
          <w:spacing w:val="8"/>
          <w:w w:val="105"/>
          <w:sz w:val="24"/>
          <w:szCs w:val="24"/>
        </w:rPr>
        <w:t xml:space="preserve"> </w:t>
      </w:r>
      <w:r w:rsidRPr="00BA4513">
        <w:rPr>
          <w:rFonts w:ascii="Times New Roman" w:hAnsi="Times New Roman" w:cs="Times New Roman"/>
          <w:w w:val="105"/>
          <w:sz w:val="24"/>
          <w:szCs w:val="24"/>
        </w:rPr>
        <w:t>Asia.</w:t>
      </w:r>
      <w:r w:rsidRPr="00BA4513">
        <w:rPr>
          <w:rFonts w:ascii="Times New Roman" w:hAnsi="Times New Roman" w:cs="Times New Roman"/>
          <w:spacing w:val="7"/>
          <w:w w:val="105"/>
          <w:sz w:val="24"/>
          <w:szCs w:val="24"/>
        </w:rPr>
        <w:t xml:space="preserve"> </w:t>
      </w:r>
      <w:r w:rsidRPr="00BA4513">
        <w:rPr>
          <w:rFonts w:ascii="Times New Roman" w:hAnsi="Times New Roman" w:cs="Times New Roman"/>
          <w:i/>
          <w:iCs/>
          <w:w w:val="105"/>
          <w:sz w:val="24"/>
          <w:szCs w:val="24"/>
        </w:rPr>
        <w:t>IMF</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Hong</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Kong</w:t>
      </w:r>
      <w:r w:rsidRPr="00BA4513">
        <w:rPr>
          <w:rFonts w:ascii="Times New Roman" w:hAnsi="Times New Roman" w:cs="Times New Roman"/>
          <w:i/>
          <w:iCs/>
          <w:spacing w:val="8"/>
          <w:w w:val="105"/>
          <w:sz w:val="24"/>
          <w:szCs w:val="24"/>
        </w:rPr>
        <w:t xml:space="preserve"> </w:t>
      </w:r>
      <w:r w:rsidRPr="00BA4513">
        <w:rPr>
          <w:rFonts w:ascii="Times New Roman" w:hAnsi="Times New Roman" w:cs="Times New Roman"/>
          <w:i/>
          <w:iCs/>
          <w:w w:val="105"/>
          <w:sz w:val="24"/>
          <w:szCs w:val="24"/>
        </w:rPr>
        <w:t>Institute</w:t>
      </w:r>
      <w:r w:rsidRPr="00BA4513">
        <w:rPr>
          <w:rFonts w:ascii="Times New Roman" w:hAnsi="Times New Roman" w:cs="Times New Roman"/>
          <w:i/>
          <w:iCs/>
          <w:spacing w:val="7"/>
          <w:w w:val="105"/>
          <w:sz w:val="24"/>
          <w:szCs w:val="24"/>
        </w:rPr>
        <w:t xml:space="preserve"> </w:t>
      </w:r>
      <w:r w:rsidRPr="00BA4513">
        <w:rPr>
          <w:rFonts w:ascii="Times New Roman" w:hAnsi="Times New Roman" w:cs="Times New Roman"/>
          <w:i/>
          <w:iCs/>
          <w:w w:val="105"/>
          <w:sz w:val="24"/>
          <w:szCs w:val="24"/>
        </w:rPr>
        <w:t>for</w:t>
      </w:r>
      <w:r w:rsidRPr="00BA4513">
        <w:rPr>
          <w:rFonts w:ascii="Times New Roman" w:hAnsi="Times New Roman" w:cs="Times New Roman"/>
          <w:i/>
          <w:iCs/>
          <w:w w:val="109"/>
          <w:sz w:val="24"/>
          <w:szCs w:val="24"/>
        </w:rPr>
        <w:t xml:space="preserve"> </w:t>
      </w:r>
      <w:r w:rsidRPr="00BA4513">
        <w:rPr>
          <w:rFonts w:ascii="Times New Roman" w:hAnsi="Times New Roman" w:cs="Times New Roman"/>
          <w:i/>
          <w:iCs/>
          <w:w w:val="105"/>
          <w:sz w:val="24"/>
          <w:szCs w:val="24"/>
        </w:rPr>
        <w:t>Monetary</w:t>
      </w:r>
      <w:r w:rsidRPr="00BA4513">
        <w:rPr>
          <w:rFonts w:ascii="Times New Roman" w:hAnsi="Times New Roman" w:cs="Times New Roman"/>
          <w:i/>
          <w:iCs/>
          <w:spacing w:val="-11"/>
          <w:w w:val="105"/>
          <w:sz w:val="24"/>
          <w:szCs w:val="24"/>
        </w:rPr>
        <w:t xml:space="preserve"> </w:t>
      </w:r>
      <w:r w:rsidRPr="00BA4513">
        <w:rPr>
          <w:rFonts w:ascii="Times New Roman" w:hAnsi="Times New Roman" w:cs="Times New Roman"/>
          <w:i/>
          <w:iCs/>
          <w:w w:val="105"/>
          <w:sz w:val="24"/>
          <w:szCs w:val="24"/>
        </w:rPr>
        <w:t>Research</w:t>
      </w:r>
      <w:r w:rsidRPr="00BA4513">
        <w:rPr>
          <w:rFonts w:ascii="Times New Roman" w:hAnsi="Times New Roman" w:cs="Times New Roman"/>
          <w:w w:val="105"/>
          <w:sz w:val="24"/>
          <w:szCs w:val="24"/>
        </w:rPr>
        <w:t>,</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Palgrave</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MacMillan,</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New</w:t>
      </w:r>
      <w:r w:rsidRPr="00BA4513">
        <w:rPr>
          <w:rFonts w:ascii="Times New Roman" w:hAnsi="Times New Roman" w:cs="Times New Roman"/>
          <w:spacing w:val="-11"/>
          <w:w w:val="105"/>
          <w:sz w:val="24"/>
          <w:szCs w:val="24"/>
        </w:rPr>
        <w:t xml:space="preserve"> </w:t>
      </w:r>
      <w:r w:rsidRPr="00BA4513">
        <w:rPr>
          <w:rFonts w:ascii="Times New Roman" w:hAnsi="Times New Roman" w:cs="Times New Roman"/>
          <w:w w:val="105"/>
          <w:sz w:val="24"/>
          <w:szCs w:val="24"/>
        </w:rPr>
        <w:t>York.</w:t>
      </w:r>
    </w:p>
    <w:p w14:paraId="1C5040D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lastRenderedPageBreak/>
        <w:t>Taylor, S.J., (1982). Financial returns modelled by the product of two stochastic processes—a study of daily sugar prices 1961–1978. In: Anderson, O.D. (Ed.), Time Series Analysis, vol. 1</w:t>
      </w:r>
      <w:r w:rsidRPr="00BA4513">
        <w:rPr>
          <w:rFonts w:ascii="Times New Roman" w:hAnsi="Times New Roman" w:cs="Times New Roman"/>
          <w:i/>
          <w:iCs/>
          <w:sz w:val="24"/>
          <w:szCs w:val="24"/>
        </w:rPr>
        <w:t>. North-Holland, Amsterdam</w:t>
      </w:r>
      <w:r w:rsidRPr="00BA4513">
        <w:rPr>
          <w:rFonts w:ascii="Times New Roman" w:hAnsi="Times New Roman" w:cs="Times New Roman"/>
          <w:sz w:val="24"/>
          <w:szCs w:val="24"/>
        </w:rPr>
        <w:t xml:space="preserve">, pp. 203–226. </w:t>
      </w:r>
    </w:p>
    <w:p w14:paraId="4DD56382"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Taylor, S.J., (1994). Modelling stochastic volatility: a review and comparative study. Math. </w:t>
      </w:r>
      <w:r w:rsidRPr="00BA4513">
        <w:rPr>
          <w:rFonts w:ascii="Times New Roman" w:hAnsi="Times New Roman" w:cs="Times New Roman"/>
          <w:i/>
          <w:iCs/>
          <w:sz w:val="24"/>
          <w:szCs w:val="24"/>
        </w:rPr>
        <w:t>Finance</w:t>
      </w:r>
      <w:r w:rsidRPr="00BA4513">
        <w:rPr>
          <w:rFonts w:ascii="Times New Roman" w:hAnsi="Times New Roman" w:cs="Times New Roman"/>
          <w:sz w:val="24"/>
          <w:szCs w:val="24"/>
        </w:rPr>
        <w:t xml:space="preserve"> 4, 183–204. </w:t>
      </w:r>
    </w:p>
    <w:p w14:paraId="0E574A6C"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Taylor, S.J., (2005). Asset Price Dynamics, Volatility and Prediction. Princeton </w:t>
      </w:r>
      <w:r w:rsidRPr="00BA4513">
        <w:rPr>
          <w:rFonts w:ascii="Times New Roman" w:hAnsi="Times New Roman" w:cs="Times New Roman"/>
          <w:i/>
          <w:iCs/>
          <w:sz w:val="24"/>
          <w:szCs w:val="24"/>
        </w:rPr>
        <w:t>University Press, Princeton</w:t>
      </w:r>
      <w:r w:rsidRPr="00BA4513">
        <w:rPr>
          <w:rFonts w:ascii="Times New Roman" w:hAnsi="Times New Roman" w:cs="Times New Roman"/>
          <w:sz w:val="24"/>
          <w:szCs w:val="24"/>
        </w:rPr>
        <w:t xml:space="preserve">, </w:t>
      </w:r>
    </w:p>
    <w:p w14:paraId="45CEBCB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Tobin,</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22"/>
          <w:sz w:val="24"/>
          <w:szCs w:val="24"/>
        </w:rPr>
        <w:t xml:space="preserve"> (</w:t>
      </w:r>
      <w:r w:rsidRPr="00BA4513">
        <w:rPr>
          <w:rFonts w:ascii="Times New Roman" w:hAnsi="Times New Roman" w:cs="Times New Roman"/>
          <w:w w:val="105"/>
          <w:sz w:val="24"/>
          <w:szCs w:val="24"/>
        </w:rPr>
        <w:t>1961).</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Money,</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other</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stores</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value.</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i/>
          <w:iCs/>
          <w:w w:val="105"/>
          <w:sz w:val="24"/>
          <w:szCs w:val="24"/>
        </w:rPr>
        <w:t>American</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Review</w:t>
      </w:r>
      <w:r w:rsidRPr="00BA4513">
        <w:rPr>
          <w:rFonts w:ascii="Times New Roman" w:hAnsi="Times New Roman" w:cs="Times New Roman"/>
          <w:w w:val="110"/>
          <w:sz w:val="24"/>
          <w:szCs w:val="24"/>
        </w:rPr>
        <w:t xml:space="preserve"> </w:t>
      </w:r>
      <w:r w:rsidRPr="00BA4513">
        <w:rPr>
          <w:rFonts w:ascii="Times New Roman" w:hAnsi="Times New Roman" w:cs="Times New Roman"/>
          <w:w w:val="105"/>
          <w:sz w:val="24"/>
          <w:szCs w:val="24"/>
        </w:rPr>
        <w:t>51,</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26–37.</w:t>
      </w:r>
    </w:p>
    <w:p w14:paraId="2729B9A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Townsend,</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R.,</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1979).</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Optimal</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contracts</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competitive</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markets</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with</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costly</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state</w:t>
      </w:r>
      <w:r w:rsidRPr="00BA4513">
        <w:rPr>
          <w:rFonts w:ascii="Times New Roman" w:hAnsi="Times New Roman" w:cs="Times New Roman"/>
          <w:w w:val="103"/>
          <w:sz w:val="24"/>
          <w:szCs w:val="24"/>
        </w:rPr>
        <w:t xml:space="preserve"> </w:t>
      </w:r>
      <w:r w:rsidRPr="00BA4513">
        <w:rPr>
          <w:rFonts w:ascii="Times New Roman" w:hAnsi="Times New Roman" w:cs="Times New Roman"/>
          <w:w w:val="105"/>
          <w:sz w:val="24"/>
          <w:szCs w:val="24"/>
        </w:rPr>
        <w:t>verification.</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9"/>
          <w:w w:val="105"/>
          <w:sz w:val="24"/>
          <w:szCs w:val="24"/>
        </w:rPr>
        <w:t xml:space="preserve"> </w:t>
      </w:r>
      <w:r w:rsidRPr="00BA4513">
        <w:rPr>
          <w:rFonts w:ascii="Times New Roman" w:hAnsi="Times New Roman" w:cs="Times New Roman"/>
          <w:i/>
          <w:iCs/>
          <w:w w:val="105"/>
          <w:sz w:val="24"/>
          <w:szCs w:val="24"/>
        </w:rPr>
        <w:t>Economic</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Theory</w:t>
      </w:r>
      <w:r w:rsidRPr="00BA4513">
        <w:rPr>
          <w:rFonts w:ascii="Times New Roman" w:hAnsi="Times New Roman" w:cs="Times New Roman"/>
          <w:spacing w:val="-19"/>
          <w:w w:val="105"/>
          <w:sz w:val="24"/>
          <w:szCs w:val="24"/>
        </w:rPr>
        <w:t xml:space="preserve"> </w:t>
      </w:r>
      <w:r w:rsidRPr="00BA4513">
        <w:rPr>
          <w:rFonts w:ascii="Times New Roman" w:hAnsi="Times New Roman" w:cs="Times New Roman"/>
          <w:w w:val="105"/>
          <w:sz w:val="24"/>
          <w:szCs w:val="24"/>
        </w:rPr>
        <w:t>21,</w:t>
      </w:r>
      <w:r w:rsidRPr="00BA4513">
        <w:rPr>
          <w:rFonts w:ascii="Times New Roman" w:hAnsi="Times New Roman" w:cs="Times New Roman"/>
          <w:spacing w:val="-18"/>
          <w:w w:val="105"/>
          <w:sz w:val="24"/>
          <w:szCs w:val="24"/>
        </w:rPr>
        <w:t xml:space="preserve"> </w:t>
      </w:r>
      <w:r w:rsidRPr="00BA4513">
        <w:rPr>
          <w:rFonts w:ascii="Times New Roman" w:hAnsi="Times New Roman" w:cs="Times New Roman"/>
          <w:w w:val="105"/>
          <w:sz w:val="24"/>
          <w:szCs w:val="24"/>
        </w:rPr>
        <w:t>265–293.</w:t>
      </w:r>
    </w:p>
    <w:p w14:paraId="06C31B7A"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U. Hassler and M. </w:t>
      </w:r>
      <w:proofErr w:type="spellStart"/>
      <w:r w:rsidRPr="00BA4513">
        <w:rPr>
          <w:rFonts w:ascii="Times New Roman" w:hAnsi="Times New Roman" w:cs="Times New Roman"/>
          <w:sz w:val="24"/>
          <w:szCs w:val="24"/>
        </w:rPr>
        <w:t>Hosseinkouchack</w:t>
      </w:r>
      <w:proofErr w:type="spellEnd"/>
      <w:r w:rsidRPr="00BA4513">
        <w:rPr>
          <w:rFonts w:ascii="Times New Roman" w:hAnsi="Times New Roman" w:cs="Times New Roman"/>
          <w:sz w:val="24"/>
          <w:szCs w:val="24"/>
        </w:rPr>
        <w:t>., (2019). “Testing the Newcomb-</w:t>
      </w:r>
      <w:proofErr w:type="spellStart"/>
      <w:r w:rsidRPr="00BA4513">
        <w:rPr>
          <w:rFonts w:ascii="Times New Roman" w:hAnsi="Times New Roman" w:cs="Times New Roman"/>
          <w:sz w:val="24"/>
          <w:szCs w:val="24"/>
        </w:rPr>
        <w:t>Benford</w:t>
      </w:r>
      <w:proofErr w:type="spellEnd"/>
      <w:r w:rsidRPr="00BA4513">
        <w:rPr>
          <w:rFonts w:ascii="Times New Roman" w:hAnsi="Times New Roman" w:cs="Times New Roman"/>
          <w:sz w:val="24"/>
          <w:szCs w:val="24"/>
        </w:rPr>
        <w:t xml:space="preserve"> law: experimental evidence,” </w:t>
      </w:r>
      <w:r w:rsidRPr="00BA4513">
        <w:rPr>
          <w:rFonts w:ascii="Times New Roman" w:hAnsi="Times New Roman" w:cs="Times New Roman"/>
          <w:i/>
          <w:iCs/>
          <w:sz w:val="24"/>
          <w:szCs w:val="24"/>
        </w:rPr>
        <w:t>Applied Economics Letters</w:t>
      </w:r>
      <w:r w:rsidRPr="00BA4513">
        <w:rPr>
          <w:rFonts w:ascii="Times New Roman" w:hAnsi="Times New Roman" w:cs="Times New Roman"/>
          <w:sz w:val="24"/>
          <w:szCs w:val="24"/>
        </w:rPr>
        <w:t>, vol. 26, no. 21, pp. 1762-1769.</w:t>
      </w:r>
    </w:p>
    <w:p w14:paraId="0601BD76"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Van</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den</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Heuvel,</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2002).</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Banking</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conditions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effects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w w:val="109"/>
          <w:sz w:val="24"/>
          <w:szCs w:val="24"/>
        </w:rPr>
        <w:t xml:space="preserve"> </w:t>
      </w:r>
      <w:r w:rsidRPr="00BA4513">
        <w:rPr>
          <w:rFonts w:ascii="Times New Roman" w:hAnsi="Times New Roman" w:cs="Times New Roman"/>
          <w:w w:val="105"/>
          <w:sz w:val="24"/>
          <w:szCs w:val="24"/>
        </w:rPr>
        <w:t>evidence</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from</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U.S.</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States.</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2"/>
          <w:w w:val="105"/>
          <w:sz w:val="24"/>
          <w:szCs w:val="24"/>
        </w:rPr>
        <w:t xml:space="preserve"> </w:t>
      </w:r>
      <w:r w:rsidRPr="00BA4513">
        <w:rPr>
          <w:rFonts w:ascii="Times New Roman" w:hAnsi="Times New Roman" w:cs="Times New Roman"/>
          <w:i/>
          <w:iCs/>
          <w:w w:val="105"/>
          <w:sz w:val="24"/>
          <w:szCs w:val="24"/>
        </w:rPr>
        <w:t>Pennsylvania</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12"/>
          <w:w w:val="105"/>
          <w:sz w:val="24"/>
          <w:szCs w:val="24"/>
        </w:rPr>
        <w:t xml:space="preserve"> </w:t>
      </w:r>
      <w:r w:rsidRPr="00BA4513">
        <w:rPr>
          <w:rFonts w:ascii="Times New Roman" w:hAnsi="Times New Roman" w:cs="Times New Roman"/>
          <w:w w:val="105"/>
          <w:sz w:val="24"/>
          <w:szCs w:val="24"/>
        </w:rPr>
        <w:t>Paper.</w:t>
      </w:r>
    </w:p>
    <w:p w14:paraId="0BCE1CCE"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Van</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den</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Heuvel,</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2007). Do</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effects</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on bank</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lending</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depend</w:t>
      </w:r>
      <w:r w:rsidRPr="00BA4513">
        <w:rPr>
          <w:rFonts w:ascii="Times New Roman" w:hAnsi="Times New Roman" w:cs="Times New Roman"/>
          <w:spacing w:val="-1"/>
          <w:w w:val="105"/>
          <w:sz w:val="24"/>
          <w:szCs w:val="24"/>
        </w:rPr>
        <w:t xml:space="preserve"> </w:t>
      </w:r>
      <w:r w:rsidRPr="00BA4513">
        <w:rPr>
          <w:rFonts w:ascii="Times New Roman" w:hAnsi="Times New Roman" w:cs="Times New Roman"/>
          <w:w w:val="105"/>
          <w:sz w:val="24"/>
          <w:szCs w:val="24"/>
        </w:rPr>
        <w:t>on</w:t>
      </w:r>
      <w:r w:rsidRPr="00BA4513">
        <w:rPr>
          <w:rFonts w:ascii="Times New Roman" w:hAnsi="Times New Roman" w:cs="Times New Roman"/>
          <w:w w:val="106"/>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10"/>
          <w:w w:val="105"/>
          <w:sz w:val="24"/>
          <w:szCs w:val="24"/>
        </w:rPr>
        <w:t xml:space="preserve"> </w:t>
      </w:r>
      <w:r w:rsidRPr="00BA4513">
        <w:rPr>
          <w:rFonts w:ascii="Times New Roman" w:hAnsi="Times New Roman" w:cs="Times New Roman"/>
          <w:w w:val="105"/>
          <w:sz w:val="24"/>
          <w:szCs w:val="24"/>
        </w:rPr>
        <w:t>capitalization?</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9"/>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10"/>
          <w:w w:val="105"/>
          <w:sz w:val="24"/>
          <w:szCs w:val="24"/>
        </w:rPr>
        <w:t xml:space="preserve"> </w:t>
      </w:r>
      <w:r w:rsidRPr="00BA4513">
        <w:rPr>
          <w:rFonts w:ascii="Times New Roman" w:hAnsi="Times New Roman" w:cs="Times New Roman"/>
          <w:i/>
          <w:iCs/>
          <w:w w:val="105"/>
          <w:sz w:val="24"/>
          <w:szCs w:val="24"/>
        </w:rPr>
        <w:t>Pennsylvania</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9"/>
          <w:w w:val="105"/>
          <w:sz w:val="24"/>
          <w:szCs w:val="24"/>
        </w:rPr>
        <w:t xml:space="preserve"> </w:t>
      </w:r>
      <w:r w:rsidRPr="00BA4513">
        <w:rPr>
          <w:rFonts w:ascii="Times New Roman" w:hAnsi="Times New Roman" w:cs="Times New Roman"/>
          <w:w w:val="105"/>
          <w:sz w:val="24"/>
          <w:szCs w:val="24"/>
        </w:rPr>
        <w:t>Paper.</w:t>
      </w:r>
    </w:p>
    <w:p w14:paraId="7D33C28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w w:val="105"/>
          <w:sz w:val="24"/>
          <w:szCs w:val="24"/>
        </w:rPr>
        <w:t>VanHoose</w:t>
      </w:r>
      <w:proofErr w:type="spellEnd"/>
      <w:r w:rsidRPr="00BA4513">
        <w:rPr>
          <w:rFonts w:ascii="Times New Roman" w:hAnsi="Times New Roman" w:cs="Times New Roman"/>
          <w:w w:val="105"/>
          <w:sz w:val="24"/>
          <w:szCs w:val="24"/>
        </w:rPr>
        <w:t>,</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D.,</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Theories</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bank</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behaviour</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under</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capital</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22"/>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2"/>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w w:val="113"/>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7"/>
          <w:w w:val="105"/>
          <w:sz w:val="24"/>
          <w:szCs w:val="24"/>
        </w:rPr>
        <w:t xml:space="preserve"> </w:t>
      </w:r>
      <w:r w:rsidRPr="00BA4513">
        <w:rPr>
          <w:rFonts w:ascii="Times New Roman" w:hAnsi="Times New Roman" w:cs="Times New Roman"/>
          <w:i/>
          <w:iCs/>
          <w:w w:val="105"/>
          <w:sz w:val="24"/>
          <w:szCs w:val="24"/>
        </w:rPr>
        <w:t>Finance</w:t>
      </w:r>
      <w:r w:rsidRPr="00BA4513">
        <w:rPr>
          <w:rFonts w:ascii="Times New Roman" w:hAnsi="Times New Roman" w:cs="Times New Roman"/>
          <w:i/>
          <w:iCs/>
          <w:spacing w:val="-26"/>
          <w:w w:val="105"/>
          <w:sz w:val="24"/>
          <w:szCs w:val="24"/>
        </w:rPr>
        <w:t xml:space="preserve"> </w:t>
      </w:r>
      <w:r w:rsidRPr="00BA4513">
        <w:rPr>
          <w:rFonts w:ascii="Times New Roman" w:hAnsi="Times New Roman" w:cs="Times New Roman"/>
          <w:w w:val="105"/>
          <w:sz w:val="24"/>
          <w:szCs w:val="24"/>
        </w:rPr>
        <w:t>31,</w:t>
      </w:r>
      <w:r w:rsidRPr="00BA4513">
        <w:rPr>
          <w:rFonts w:ascii="Times New Roman" w:hAnsi="Times New Roman" w:cs="Times New Roman"/>
          <w:spacing w:val="-27"/>
          <w:w w:val="105"/>
          <w:sz w:val="24"/>
          <w:szCs w:val="24"/>
        </w:rPr>
        <w:t xml:space="preserve"> </w:t>
      </w:r>
      <w:r w:rsidRPr="00BA4513">
        <w:rPr>
          <w:rFonts w:ascii="Times New Roman" w:hAnsi="Times New Roman" w:cs="Times New Roman"/>
          <w:w w:val="105"/>
          <w:sz w:val="24"/>
          <w:szCs w:val="24"/>
        </w:rPr>
        <w:t>3680–3697.</w:t>
      </w:r>
    </w:p>
    <w:p w14:paraId="45B9CD7E"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Varian, H.R., (1972). </w:t>
      </w:r>
      <w:proofErr w:type="spellStart"/>
      <w:r w:rsidRPr="00BA4513">
        <w:rPr>
          <w:rFonts w:ascii="Times New Roman" w:hAnsi="Times New Roman" w:cs="Times New Roman"/>
          <w:sz w:val="24"/>
          <w:szCs w:val="24"/>
        </w:rPr>
        <w:t>Benford’s</w:t>
      </w:r>
      <w:proofErr w:type="spellEnd"/>
      <w:r w:rsidRPr="00BA4513">
        <w:rPr>
          <w:rFonts w:ascii="Times New Roman" w:hAnsi="Times New Roman" w:cs="Times New Roman"/>
          <w:sz w:val="24"/>
          <w:szCs w:val="24"/>
        </w:rPr>
        <w:t xml:space="preserve"> law (letters to the editor). </w:t>
      </w:r>
      <w:r w:rsidRPr="00BA4513">
        <w:rPr>
          <w:rFonts w:ascii="Times New Roman" w:hAnsi="Times New Roman" w:cs="Times New Roman"/>
          <w:i/>
          <w:iCs/>
          <w:sz w:val="24"/>
          <w:szCs w:val="24"/>
        </w:rPr>
        <w:t>Am. Stat</w:t>
      </w:r>
      <w:r w:rsidRPr="00BA4513">
        <w:rPr>
          <w:rFonts w:ascii="Times New Roman" w:hAnsi="Times New Roman" w:cs="Times New Roman"/>
          <w:sz w:val="24"/>
          <w:szCs w:val="24"/>
        </w:rPr>
        <w:t xml:space="preserve">. 26 (3), 65. </w:t>
      </w:r>
    </w:p>
    <w:p w14:paraId="040D33B8"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Vasicek</w:t>
      </w:r>
      <w:proofErr w:type="spellEnd"/>
      <w:r w:rsidRPr="00BA4513">
        <w:rPr>
          <w:rFonts w:ascii="Times New Roman" w:hAnsi="Times New Roman" w:cs="Times New Roman"/>
          <w:sz w:val="24"/>
          <w:szCs w:val="24"/>
        </w:rPr>
        <w:t xml:space="preserve">, </w:t>
      </w:r>
      <w:proofErr w:type="spellStart"/>
      <w:r w:rsidRPr="00BA4513">
        <w:rPr>
          <w:rFonts w:ascii="Times New Roman" w:hAnsi="Times New Roman" w:cs="Times New Roman"/>
          <w:sz w:val="24"/>
          <w:szCs w:val="24"/>
        </w:rPr>
        <w:t>Oldrich</w:t>
      </w:r>
      <w:proofErr w:type="spellEnd"/>
      <w:r w:rsidRPr="00BA4513">
        <w:rPr>
          <w:rFonts w:ascii="Times New Roman" w:hAnsi="Times New Roman" w:cs="Times New Roman"/>
          <w:sz w:val="24"/>
          <w:szCs w:val="24"/>
        </w:rPr>
        <w:t xml:space="preserve">, (1977), An equilibrium characterization of the term structure, </w:t>
      </w:r>
      <w:r w:rsidRPr="00BA4513">
        <w:rPr>
          <w:rFonts w:ascii="Times New Roman" w:hAnsi="Times New Roman" w:cs="Times New Roman"/>
          <w:i/>
          <w:sz w:val="24"/>
          <w:szCs w:val="24"/>
        </w:rPr>
        <w:t>Journal of Financial Economics</w:t>
      </w:r>
      <w:r w:rsidRPr="00BA4513">
        <w:rPr>
          <w:rFonts w:ascii="Times New Roman" w:hAnsi="Times New Roman" w:cs="Times New Roman"/>
          <w:sz w:val="24"/>
          <w:szCs w:val="24"/>
        </w:rPr>
        <w:t xml:space="preserve"> 5, 177–188.</w:t>
      </w:r>
    </w:p>
    <w:p w14:paraId="0985BE4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Wagster</w:t>
      </w:r>
      <w:proofErr w:type="spellEnd"/>
      <w:r w:rsidRPr="00BA4513">
        <w:rPr>
          <w:rFonts w:ascii="Times New Roman" w:hAnsi="Times New Roman" w:cs="Times New Roman"/>
          <w:sz w:val="24"/>
          <w:szCs w:val="24"/>
        </w:rPr>
        <w: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J.,</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1999).</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Accord</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1988</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international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credit</w:t>
      </w:r>
      <w:r w:rsidRPr="00BA4513">
        <w:rPr>
          <w:rFonts w:ascii="Times New Roman" w:hAnsi="Times New Roman" w:cs="Times New Roman"/>
          <w:spacing w:val="10"/>
          <w:sz w:val="24"/>
          <w:szCs w:val="24"/>
        </w:rPr>
        <w:t xml:space="preserve"> </w:t>
      </w:r>
      <w:r w:rsidRPr="00BA4513">
        <w:rPr>
          <w:rFonts w:ascii="Times New Roman" w:hAnsi="Times New Roman" w:cs="Times New Roman"/>
          <w:sz w:val="24"/>
          <w:szCs w:val="24"/>
        </w:rPr>
        <w:t>crunch</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w w:val="113"/>
          <w:sz w:val="24"/>
          <w:szCs w:val="24"/>
        </w:rPr>
        <w:t xml:space="preserve"> </w:t>
      </w:r>
      <w:r w:rsidRPr="00BA4513">
        <w:rPr>
          <w:rFonts w:ascii="Times New Roman" w:hAnsi="Times New Roman" w:cs="Times New Roman"/>
          <w:sz w:val="24"/>
          <w:szCs w:val="24"/>
        </w:rPr>
        <w:t>1989–1992.</w:t>
      </w:r>
      <w:r w:rsidRPr="00BA4513">
        <w:rPr>
          <w:rFonts w:ascii="Times New Roman" w:hAnsi="Times New Roman" w:cs="Times New Roman"/>
          <w:spacing w:val="2"/>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Financial</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Services</w:t>
      </w:r>
      <w:r w:rsidRPr="00BA4513">
        <w:rPr>
          <w:rFonts w:ascii="Times New Roman" w:hAnsi="Times New Roman" w:cs="Times New Roman"/>
          <w:i/>
          <w:iCs/>
          <w:spacing w:val="2"/>
          <w:sz w:val="24"/>
          <w:szCs w:val="24"/>
        </w:rPr>
        <w:t xml:space="preserve"> </w:t>
      </w:r>
      <w:r w:rsidRPr="00BA4513">
        <w:rPr>
          <w:rFonts w:ascii="Times New Roman" w:hAnsi="Times New Roman" w:cs="Times New Roman"/>
          <w:i/>
          <w:iCs/>
          <w:sz w:val="24"/>
          <w:szCs w:val="24"/>
        </w:rPr>
        <w:t>Research</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15,</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123–143.</w:t>
      </w:r>
    </w:p>
    <w:p w14:paraId="6AE0CE74"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i/>
          <w:sz w:val="24"/>
          <w:szCs w:val="24"/>
        </w:rPr>
        <w:t>Waiting Times</w:t>
      </w:r>
      <w:r w:rsidRPr="00BA4513">
        <w:rPr>
          <w:rFonts w:ascii="Times New Roman" w:hAnsi="Times New Roman" w:cs="Times New Roman"/>
          <w:sz w:val="24"/>
          <w:szCs w:val="24"/>
        </w:rPr>
        <w:t>”, Journal of Statistical Physics (2012) 148:296-305.</w:t>
      </w:r>
    </w:p>
    <w:p w14:paraId="4D5D283C" w14:textId="77777777" w:rsidR="00BA4513" w:rsidRPr="00BA4513" w:rsidRDefault="00BA4513" w:rsidP="005A4160">
      <w:pPr>
        <w:pStyle w:val="ListParagraph"/>
        <w:numPr>
          <w:ilvl w:val="0"/>
          <w:numId w:val="13"/>
        </w:numPr>
        <w:spacing w:after="160"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Wang, Y., (2013). The H7N9 influenza virus in China–changes since SARS. </w:t>
      </w:r>
      <w:r w:rsidRPr="00BA4513">
        <w:rPr>
          <w:rFonts w:ascii="Times New Roman" w:hAnsi="Times New Roman" w:cs="Times New Roman"/>
          <w:i/>
          <w:iCs/>
          <w:sz w:val="24"/>
          <w:szCs w:val="24"/>
        </w:rPr>
        <w:t>New Engl. J. Med</w:t>
      </w:r>
      <w:r w:rsidRPr="00BA4513">
        <w:rPr>
          <w:rFonts w:ascii="Times New Roman" w:hAnsi="Times New Roman" w:cs="Times New Roman"/>
          <w:sz w:val="24"/>
          <w:szCs w:val="24"/>
        </w:rPr>
        <w:t>. 368 (25), 2348–2349.</w:t>
      </w:r>
    </w:p>
    <w:p w14:paraId="09DD557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Watanabe,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2007).</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Prudential</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regulation</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the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‘Credit</w:t>
      </w:r>
      <w:r w:rsidRPr="00BA4513">
        <w:rPr>
          <w:rFonts w:ascii="Times New Roman" w:hAnsi="Times New Roman" w:cs="Times New Roman"/>
          <w:spacing w:val="-2"/>
          <w:w w:val="105"/>
          <w:sz w:val="24"/>
          <w:szCs w:val="24"/>
        </w:rPr>
        <w:t xml:space="preserve"> </w:t>
      </w:r>
      <w:r w:rsidRPr="00BA4513">
        <w:rPr>
          <w:rFonts w:ascii="Times New Roman" w:hAnsi="Times New Roman" w:cs="Times New Roman"/>
          <w:w w:val="105"/>
          <w:sz w:val="24"/>
          <w:szCs w:val="24"/>
        </w:rPr>
        <w:t>Crunch’</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evidence</w:t>
      </w:r>
      <w:r w:rsidRPr="00BA4513">
        <w:rPr>
          <w:rFonts w:ascii="Times New Roman" w:hAnsi="Times New Roman" w:cs="Times New Roman"/>
          <w:spacing w:val="-3"/>
          <w:w w:val="105"/>
          <w:sz w:val="24"/>
          <w:szCs w:val="24"/>
        </w:rPr>
        <w:t xml:space="preserve"> </w:t>
      </w:r>
      <w:r w:rsidRPr="00BA4513">
        <w:rPr>
          <w:rFonts w:ascii="Times New Roman" w:hAnsi="Times New Roman" w:cs="Times New Roman"/>
          <w:w w:val="105"/>
          <w:sz w:val="24"/>
          <w:szCs w:val="24"/>
        </w:rPr>
        <w:t>from</w:t>
      </w:r>
      <w:r w:rsidRPr="00BA4513">
        <w:rPr>
          <w:rFonts w:ascii="Times New Roman" w:hAnsi="Times New Roman" w:cs="Times New Roman"/>
          <w:w w:val="109"/>
          <w:sz w:val="24"/>
          <w:szCs w:val="24"/>
        </w:rPr>
        <w:t xml:space="preserve"> </w:t>
      </w:r>
      <w:r w:rsidRPr="00BA4513">
        <w:rPr>
          <w:rFonts w:ascii="Times New Roman" w:hAnsi="Times New Roman" w:cs="Times New Roman"/>
          <w:w w:val="105"/>
          <w:sz w:val="24"/>
          <w:szCs w:val="24"/>
        </w:rPr>
        <w:t>Japan.</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i/>
          <w:iCs/>
          <w:w w:val="105"/>
          <w:sz w:val="24"/>
          <w:szCs w:val="24"/>
        </w:rPr>
        <w:t>Journal</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Money</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Credit</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and</w:t>
      </w:r>
      <w:r w:rsidRPr="00BA4513">
        <w:rPr>
          <w:rFonts w:ascii="Times New Roman" w:hAnsi="Times New Roman" w:cs="Times New Roman"/>
          <w:i/>
          <w:iCs/>
          <w:spacing w:val="-25"/>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spacing w:val="-25"/>
          <w:w w:val="105"/>
          <w:sz w:val="24"/>
          <w:szCs w:val="24"/>
        </w:rPr>
        <w:t xml:space="preserve"> </w:t>
      </w:r>
      <w:r w:rsidRPr="00BA4513">
        <w:rPr>
          <w:rFonts w:ascii="Times New Roman" w:hAnsi="Times New Roman" w:cs="Times New Roman"/>
          <w:w w:val="105"/>
          <w:sz w:val="24"/>
          <w:szCs w:val="24"/>
        </w:rPr>
        <w:t>39,</w:t>
      </w:r>
      <w:r w:rsidRPr="00BA4513">
        <w:rPr>
          <w:rFonts w:ascii="Times New Roman" w:hAnsi="Times New Roman" w:cs="Times New Roman"/>
          <w:spacing w:val="-24"/>
          <w:w w:val="105"/>
          <w:sz w:val="24"/>
          <w:szCs w:val="24"/>
        </w:rPr>
        <w:t xml:space="preserve"> </w:t>
      </w:r>
      <w:r w:rsidRPr="00BA4513">
        <w:rPr>
          <w:rFonts w:ascii="Times New Roman" w:hAnsi="Times New Roman" w:cs="Times New Roman"/>
          <w:w w:val="105"/>
          <w:sz w:val="24"/>
          <w:szCs w:val="24"/>
        </w:rPr>
        <w:t>639–665.</w:t>
      </w:r>
    </w:p>
    <w:p w14:paraId="0B23D37B"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White,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W.,</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2006).</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Is</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price</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stability</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enough?</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i/>
          <w:iCs/>
          <w:w w:val="105"/>
          <w:sz w:val="24"/>
          <w:szCs w:val="24"/>
        </w:rPr>
        <w:t>BIS</w:t>
      </w:r>
      <w:r w:rsidRPr="00BA4513">
        <w:rPr>
          <w:rFonts w:ascii="Times New Roman" w:hAnsi="Times New Roman" w:cs="Times New Roman"/>
          <w:i/>
          <w:iCs/>
          <w:spacing w:val="-14"/>
          <w:w w:val="105"/>
          <w:sz w:val="24"/>
          <w:szCs w:val="24"/>
        </w:rPr>
        <w:t xml:space="preserve"> </w:t>
      </w:r>
      <w:r w:rsidRPr="00BA4513">
        <w:rPr>
          <w:rFonts w:ascii="Times New Roman" w:hAnsi="Times New Roman" w:cs="Times New Roman"/>
          <w:w w:val="105"/>
          <w:sz w:val="24"/>
          <w:szCs w:val="24"/>
        </w:rPr>
        <w:t>Working</w:t>
      </w:r>
      <w:r w:rsidRPr="00BA4513">
        <w:rPr>
          <w:rFonts w:ascii="Times New Roman" w:hAnsi="Times New Roman" w:cs="Times New Roman"/>
          <w:spacing w:val="-13"/>
          <w:w w:val="105"/>
          <w:sz w:val="24"/>
          <w:szCs w:val="24"/>
        </w:rPr>
        <w:t xml:space="preserve"> </w:t>
      </w:r>
      <w:r w:rsidRPr="00BA4513">
        <w:rPr>
          <w:rFonts w:ascii="Times New Roman" w:hAnsi="Times New Roman" w:cs="Times New Roman"/>
          <w:w w:val="105"/>
          <w:sz w:val="24"/>
          <w:szCs w:val="24"/>
        </w:rPr>
        <w:t>Papers</w:t>
      </w:r>
      <w:r w:rsidRPr="00BA4513">
        <w:rPr>
          <w:rFonts w:ascii="Times New Roman" w:hAnsi="Times New Roman" w:cs="Times New Roman"/>
          <w:spacing w:val="-14"/>
          <w:w w:val="105"/>
          <w:sz w:val="24"/>
          <w:szCs w:val="24"/>
        </w:rPr>
        <w:t xml:space="preserve"> </w:t>
      </w:r>
      <w:r w:rsidRPr="00BA4513">
        <w:rPr>
          <w:rFonts w:ascii="Times New Roman" w:hAnsi="Times New Roman" w:cs="Times New Roman"/>
          <w:w w:val="105"/>
          <w:sz w:val="24"/>
          <w:szCs w:val="24"/>
        </w:rPr>
        <w:t>205.</w:t>
      </w:r>
    </w:p>
    <w:p w14:paraId="7874B9B9"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w w:val="105"/>
          <w:sz w:val="24"/>
          <w:szCs w:val="24"/>
        </w:rPr>
        <w:t>Woodford,</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M.,</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2003).</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Interest</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and</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Prices:</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Foundations</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a</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Theory</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of</w:t>
      </w:r>
      <w:r w:rsidRPr="00BA4513">
        <w:rPr>
          <w:rFonts w:ascii="Times New Roman" w:hAnsi="Times New Roman" w:cs="Times New Roman"/>
          <w:spacing w:val="-20"/>
          <w:w w:val="105"/>
          <w:sz w:val="24"/>
          <w:szCs w:val="24"/>
        </w:rPr>
        <w:t xml:space="preserve"> </w:t>
      </w:r>
      <w:r w:rsidRPr="00BA4513">
        <w:rPr>
          <w:rFonts w:ascii="Times New Roman" w:hAnsi="Times New Roman" w:cs="Times New Roman"/>
          <w:w w:val="105"/>
          <w:sz w:val="24"/>
          <w:szCs w:val="24"/>
        </w:rPr>
        <w:t>Monetary</w:t>
      </w:r>
      <w:r w:rsidRPr="00BA4513">
        <w:rPr>
          <w:rFonts w:ascii="Times New Roman" w:hAnsi="Times New Roman" w:cs="Times New Roman"/>
          <w:spacing w:val="-21"/>
          <w:w w:val="105"/>
          <w:sz w:val="24"/>
          <w:szCs w:val="24"/>
        </w:rPr>
        <w:t xml:space="preserve"> </w:t>
      </w:r>
      <w:r w:rsidRPr="00BA4513">
        <w:rPr>
          <w:rFonts w:ascii="Times New Roman" w:hAnsi="Times New Roman" w:cs="Times New Roman"/>
          <w:w w:val="105"/>
          <w:sz w:val="24"/>
          <w:szCs w:val="24"/>
        </w:rPr>
        <w:t>Policy.</w:t>
      </w:r>
      <w:r w:rsidRPr="00BA4513">
        <w:rPr>
          <w:rFonts w:ascii="Times New Roman" w:hAnsi="Times New Roman" w:cs="Times New Roman"/>
          <w:sz w:val="24"/>
          <w:szCs w:val="24"/>
        </w:rPr>
        <w:t xml:space="preserve"> </w:t>
      </w:r>
      <w:r w:rsidRPr="00BA4513">
        <w:rPr>
          <w:rFonts w:ascii="Times New Roman" w:hAnsi="Times New Roman" w:cs="Times New Roman"/>
          <w:i/>
          <w:iCs/>
          <w:w w:val="105"/>
          <w:sz w:val="24"/>
          <w:szCs w:val="24"/>
        </w:rPr>
        <w:t>Princeton</w:t>
      </w:r>
      <w:r w:rsidRPr="00BA4513">
        <w:rPr>
          <w:rFonts w:ascii="Times New Roman" w:hAnsi="Times New Roman" w:cs="Times New Roman"/>
          <w:i/>
          <w:iCs/>
          <w:spacing w:val="-18"/>
          <w:w w:val="105"/>
          <w:sz w:val="24"/>
          <w:szCs w:val="24"/>
        </w:rPr>
        <w:t xml:space="preserve"> </w:t>
      </w:r>
      <w:r w:rsidRPr="00BA4513">
        <w:rPr>
          <w:rFonts w:ascii="Times New Roman" w:hAnsi="Times New Roman" w:cs="Times New Roman"/>
          <w:i/>
          <w:iCs/>
          <w:w w:val="105"/>
          <w:sz w:val="24"/>
          <w:szCs w:val="24"/>
        </w:rPr>
        <w:t>University</w:t>
      </w:r>
      <w:r w:rsidRPr="00BA4513">
        <w:rPr>
          <w:rFonts w:ascii="Times New Roman" w:hAnsi="Times New Roman" w:cs="Times New Roman"/>
          <w:i/>
          <w:iCs/>
          <w:spacing w:val="-17"/>
          <w:w w:val="105"/>
          <w:sz w:val="24"/>
          <w:szCs w:val="24"/>
        </w:rPr>
        <w:t xml:space="preserve"> </w:t>
      </w:r>
      <w:r w:rsidRPr="00BA4513">
        <w:rPr>
          <w:rFonts w:ascii="Times New Roman" w:hAnsi="Times New Roman" w:cs="Times New Roman"/>
          <w:i/>
          <w:iCs/>
          <w:w w:val="105"/>
          <w:sz w:val="24"/>
          <w:szCs w:val="24"/>
        </w:rPr>
        <w:t>Press</w:t>
      </w:r>
      <w:r w:rsidRPr="00BA4513">
        <w:rPr>
          <w:rFonts w:ascii="Times New Roman" w:hAnsi="Times New Roman" w:cs="Times New Roman"/>
          <w:w w:val="105"/>
          <w:sz w:val="24"/>
          <w:szCs w:val="24"/>
        </w:rPr>
        <w:t>.</w:t>
      </w:r>
    </w:p>
    <w:p w14:paraId="3105D635" w14:textId="77777777" w:rsidR="00BA4513" w:rsidRPr="00BA4513" w:rsidRDefault="00BA4513" w:rsidP="0019236A">
      <w:pPr>
        <w:pStyle w:val="ListParagraph"/>
        <w:numPr>
          <w:ilvl w:val="0"/>
          <w:numId w:val="13"/>
        </w:numPr>
        <w:spacing w:line="240" w:lineRule="auto"/>
        <w:rPr>
          <w:rFonts w:ascii="Times New Roman" w:hAnsi="Times New Roman" w:cs="Times New Roman"/>
          <w:sz w:val="24"/>
          <w:szCs w:val="24"/>
        </w:rPr>
      </w:pPr>
      <w:r w:rsidRPr="00BA4513">
        <w:rPr>
          <w:rFonts w:ascii="Times New Roman" w:hAnsi="Times New Roman" w:cs="Times New Roman"/>
          <w:sz w:val="24"/>
          <w:szCs w:val="24"/>
        </w:rPr>
        <w:t>Xu, X., and Stephen, T., (1994). The term structure of volatility implied by foreign exchange options, Journal of Financial and Quantitative Analysis 29, 57-74.</w:t>
      </w:r>
    </w:p>
    <w:p w14:paraId="47F78D97"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eastAsia="OneGulliverA" w:hAnsi="Times New Roman" w:cs="Times New Roman"/>
          <w:sz w:val="24"/>
          <w:szCs w:val="24"/>
        </w:rPr>
        <w:t>Yu, J. (2007). “</w:t>
      </w:r>
      <w:r w:rsidRPr="00BA4513">
        <w:rPr>
          <w:rFonts w:ascii="Times New Roman" w:eastAsia="OneGulliverA" w:hAnsi="Times New Roman" w:cs="Times New Roman"/>
          <w:i/>
          <w:sz w:val="24"/>
          <w:szCs w:val="24"/>
        </w:rPr>
        <w:t>Closed-form likelihood estimation of jump-diffusions with an application to the realignment risk of the Chinese Yuan</w:t>
      </w:r>
      <w:r w:rsidRPr="00BA4513">
        <w:rPr>
          <w:rFonts w:ascii="Times New Roman" w:eastAsia="OneGulliverA" w:hAnsi="Times New Roman" w:cs="Times New Roman"/>
          <w:sz w:val="24"/>
          <w:szCs w:val="24"/>
        </w:rPr>
        <w:t xml:space="preserve">”. </w:t>
      </w:r>
      <w:r w:rsidRPr="00BA4513">
        <w:rPr>
          <w:rFonts w:ascii="Times New Roman" w:eastAsia="OneGulliverA" w:hAnsi="Times New Roman" w:cs="Times New Roman"/>
          <w:iCs/>
          <w:sz w:val="24"/>
          <w:szCs w:val="24"/>
        </w:rPr>
        <w:t>Journal of Econometrics</w:t>
      </w:r>
      <w:r w:rsidRPr="00BA4513">
        <w:rPr>
          <w:rFonts w:ascii="Times New Roman" w:eastAsia="OneGulliverA" w:hAnsi="Times New Roman" w:cs="Times New Roman"/>
          <w:sz w:val="24"/>
          <w:szCs w:val="24"/>
        </w:rPr>
        <w:t xml:space="preserve">, </w:t>
      </w:r>
      <w:r w:rsidRPr="00BA4513">
        <w:rPr>
          <w:rFonts w:ascii="Times New Roman" w:eastAsia="OneGulliverA" w:hAnsi="Times New Roman" w:cs="Times New Roman"/>
          <w:iCs/>
          <w:sz w:val="24"/>
          <w:szCs w:val="24"/>
        </w:rPr>
        <w:t>141</w:t>
      </w:r>
      <w:r w:rsidRPr="00BA4513">
        <w:rPr>
          <w:rFonts w:ascii="Times New Roman" w:eastAsia="OneGulliverA" w:hAnsi="Times New Roman" w:cs="Times New Roman"/>
          <w:sz w:val="24"/>
          <w:szCs w:val="24"/>
        </w:rPr>
        <w:t>, 1245–1280.</w:t>
      </w:r>
    </w:p>
    <w:p w14:paraId="7EFFA7A1"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 xml:space="preserve">Yu, J., Yang, Z., Zhang, X., (2006). A class of nonlinear stochastic volatility models and its implications for pricing currency options. </w:t>
      </w:r>
      <w:r w:rsidRPr="00BA4513">
        <w:rPr>
          <w:rFonts w:ascii="Times New Roman" w:hAnsi="Times New Roman" w:cs="Times New Roman"/>
          <w:i/>
          <w:iCs/>
          <w:sz w:val="24"/>
          <w:szCs w:val="24"/>
        </w:rPr>
        <w:t>Computing. Statist. Data Anal</w:t>
      </w:r>
      <w:r w:rsidRPr="00BA4513">
        <w:rPr>
          <w:rFonts w:ascii="Times New Roman" w:hAnsi="Times New Roman" w:cs="Times New Roman"/>
          <w:sz w:val="24"/>
          <w:szCs w:val="24"/>
        </w:rPr>
        <w:t xml:space="preserve">. 51, 2218–2231. </w:t>
      </w:r>
    </w:p>
    <w:p w14:paraId="30CEBA29" w14:textId="77777777" w:rsidR="00BA4513" w:rsidRPr="00BA4513" w:rsidRDefault="00BA4513" w:rsidP="0019236A">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Zaffaroni</w:t>
      </w:r>
      <w:proofErr w:type="spellEnd"/>
      <w:r w:rsidRPr="00BA4513">
        <w:rPr>
          <w:rFonts w:ascii="Times New Roman" w:hAnsi="Times New Roman" w:cs="Times New Roman"/>
          <w:sz w:val="24"/>
          <w:szCs w:val="24"/>
        </w:rPr>
        <w:t xml:space="preserve">, P., (2004). Stationarity and memory of ARCH (∞) models. Econometric Theory 20, 147–160. </w:t>
      </w:r>
    </w:p>
    <w:p w14:paraId="05C87550" w14:textId="77777777" w:rsidR="00BA4513" w:rsidRPr="00BA4513" w:rsidRDefault="00BA4513" w:rsidP="0019236A">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Zaffaroni</w:t>
      </w:r>
      <w:proofErr w:type="spellEnd"/>
      <w:r w:rsidRPr="00BA4513">
        <w:rPr>
          <w:rFonts w:ascii="Times New Roman" w:hAnsi="Times New Roman" w:cs="Times New Roman"/>
          <w:sz w:val="24"/>
          <w:szCs w:val="24"/>
        </w:rPr>
        <w:t>, P., (2005). Whittle estimation of exponential volatility models. Manuscript.</w:t>
      </w:r>
    </w:p>
    <w:p w14:paraId="76493D4D" w14:textId="77777777" w:rsidR="00BA4513" w:rsidRPr="00BA4513" w:rsidRDefault="00BA4513" w:rsidP="0019236A">
      <w:pPr>
        <w:pStyle w:val="ListParagraph"/>
        <w:numPr>
          <w:ilvl w:val="0"/>
          <w:numId w:val="13"/>
        </w:numPr>
        <w:spacing w:after="160"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t>Zakoian</w:t>
      </w:r>
      <w:proofErr w:type="spellEnd"/>
      <w:r w:rsidRPr="00BA4513">
        <w:rPr>
          <w:rFonts w:ascii="Times New Roman" w:hAnsi="Times New Roman" w:cs="Times New Roman"/>
          <w:sz w:val="24"/>
          <w:szCs w:val="24"/>
        </w:rPr>
        <w:t>, J. M. (1994) Threshold heteroskedastic models, Journal of Economic Dynamics and Control. 18, 931–955.</w:t>
      </w:r>
    </w:p>
    <w:p w14:paraId="72C1987F"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r w:rsidRPr="00BA4513">
        <w:rPr>
          <w:rFonts w:ascii="Times New Roman" w:hAnsi="Times New Roman" w:cs="Times New Roman"/>
          <w:sz w:val="24"/>
          <w:szCs w:val="24"/>
        </w:rPr>
        <w:t>Zhu,</w:t>
      </w:r>
      <w:r w:rsidRPr="00BA4513">
        <w:rPr>
          <w:rFonts w:ascii="Times New Roman" w:hAnsi="Times New Roman" w:cs="Times New Roman"/>
          <w:spacing w:val="-12"/>
          <w:sz w:val="24"/>
          <w:szCs w:val="24"/>
        </w:rPr>
        <w:t xml:space="preserve"> </w:t>
      </w:r>
      <w:r w:rsidRPr="00BA4513">
        <w:rPr>
          <w:rFonts w:ascii="Times New Roman" w:hAnsi="Times New Roman" w:cs="Times New Roman"/>
          <w:sz w:val="24"/>
          <w:szCs w:val="24"/>
        </w:rPr>
        <w:t>H.,</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2007).</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regulation</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banks’</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financial</w:t>
      </w:r>
      <w:r w:rsidRPr="00BA4513">
        <w:rPr>
          <w:rFonts w:ascii="Times New Roman" w:hAnsi="Times New Roman" w:cs="Times New Roman"/>
          <w:spacing w:val="-11"/>
          <w:sz w:val="24"/>
          <w:szCs w:val="24"/>
        </w:rPr>
        <w:t xml:space="preserve"> </w:t>
      </w:r>
      <w:r w:rsidRPr="00BA4513">
        <w:rPr>
          <w:rFonts w:ascii="Times New Roman" w:hAnsi="Times New Roman" w:cs="Times New Roman"/>
          <w:sz w:val="24"/>
          <w:szCs w:val="24"/>
        </w:rPr>
        <w:t>decisions.</w:t>
      </w:r>
      <w:r w:rsidRPr="00BA4513">
        <w:rPr>
          <w:rFonts w:ascii="Times New Roman" w:hAnsi="Times New Roman" w:cs="Times New Roman"/>
          <w:spacing w:val="-11"/>
          <w:sz w:val="24"/>
          <w:szCs w:val="24"/>
        </w:rPr>
        <w:t xml:space="preserve"> </w:t>
      </w:r>
      <w:r w:rsidRPr="00BA4513">
        <w:rPr>
          <w:rFonts w:ascii="Times New Roman" w:hAnsi="Times New Roman" w:cs="Times New Roman"/>
          <w:i/>
          <w:iCs/>
          <w:sz w:val="24"/>
          <w:szCs w:val="24"/>
        </w:rPr>
        <w:t>International</w:t>
      </w:r>
      <w:r w:rsidRPr="00BA4513">
        <w:rPr>
          <w:rFonts w:ascii="Times New Roman" w:hAnsi="Times New Roman" w:cs="Times New Roman"/>
          <w:i/>
          <w:iCs/>
          <w:spacing w:val="-11"/>
          <w:sz w:val="24"/>
          <w:szCs w:val="24"/>
        </w:rPr>
        <w:t xml:space="preserve"> </w:t>
      </w:r>
      <w:r w:rsidRPr="00BA4513">
        <w:rPr>
          <w:rFonts w:ascii="Times New Roman" w:hAnsi="Times New Roman" w:cs="Times New Roman"/>
          <w:i/>
          <w:iCs/>
          <w:sz w:val="24"/>
          <w:szCs w:val="24"/>
        </w:rPr>
        <w:t>Journal</w:t>
      </w:r>
      <w:r w:rsidRPr="00BA4513">
        <w:rPr>
          <w:rFonts w:ascii="Times New Roman" w:hAnsi="Times New Roman" w:cs="Times New Roman"/>
          <w:i/>
          <w:iCs/>
          <w:w w:val="95"/>
          <w:sz w:val="24"/>
          <w:szCs w:val="24"/>
        </w:rPr>
        <w:t xml:space="preserve"> </w:t>
      </w:r>
      <w:r w:rsidRPr="00BA4513">
        <w:rPr>
          <w:rFonts w:ascii="Times New Roman" w:hAnsi="Times New Roman" w:cs="Times New Roman"/>
          <w:i/>
          <w:iCs/>
          <w:w w:val="105"/>
          <w:sz w:val="24"/>
          <w:szCs w:val="24"/>
        </w:rPr>
        <w:t>of</w:t>
      </w:r>
      <w:r w:rsidRPr="00BA4513">
        <w:rPr>
          <w:rFonts w:ascii="Times New Roman" w:hAnsi="Times New Roman" w:cs="Times New Roman"/>
          <w:i/>
          <w:iCs/>
          <w:spacing w:val="-24"/>
          <w:w w:val="105"/>
          <w:sz w:val="24"/>
          <w:szCs w:val="24"/>
        </w:rPr>
        <w:t xml:space="preserve"> </w:t>
      </w:r>
      <w:r w:rsidRPr="00BA4513">
        <w:rPr>
          <w:rFonts w:ascii="Times New Roman" w:hAnsi="Times New Roman" w:cs="Times New Roman"/>
          <w:i/>
          <w:iCs/>
          <w:w w:val="105"/>
          <w:sz w:val="24"/>
          <w:szCs w:val="24"/>
        </w:rPr>
        <w:t>Central</w:t>
      </w:r>
      <w:r w:rsidRPr="00BA4513">
        <w:rPr>
          <w:rFonts w:ascii="Times New Roman" w:hAnsi="Times New Roman" w:cs="Times New Roman"/>
          <w:i/>
          <w:iCs/>
          <w:spacing w:val="-23"/>
          <w:w w:val="105"/>
          <w:sz w:val="24"/>
          <w:szCs w:val="24"/>
        </w:rPr>
        <w:t xml:space="preserve"> </w:t>
      </w:r>
      <w:r w:rsidRPr="00BA4513">
        <w:rPr>
          <w:rFonts w:ascii="Times New Roman" w:hAnsi="Times New Roman" w:cs="Times New Roman"/>
          <w:i/>
          <w:iCs/>
          <w:w w:val="105"/>
          <w:sz w:val="24"/>
          <w:szCs w:val="24"/>
        </w:rPr>
        <w:t>Banking</w:t>
      </w:r>
      <w:r w:rsidRPr="00BA4513">
        <w:rPr>
          <w:rFonts w:ascii="Times New Roman" w:hAnsi="Times New Roman" w:cs="Times New Roman"/>
          <w:w w:val="105"/>
          <w:sz w:val="24"/>
          <w:szCs w:val="24"/>
        </w:rPr>
        <w:t>,</w:t>
      </w:r>
      <w:r w:rsidRPr="00BA4513">
        <w:rPr>
          <w:rFonts w:ascii="Times New Roman" w:hAnsi="Times New Roman" w:cs="Times New Roman"/>
          <w:spacing w:val="-23"/>
          <w:w w:val="105"/>
          <w:sz w:val="24"/>
          <w:szCs w:val="24"/>
        </w:rPr>
        <w:t xml:space="preserve"> </w:t>
      </w:r>
      <w:r w:rsidRPr="00BA4513">
        <w:rPr>
          <w:rFonts w:ascii="Times New Roman" w:hAnsi="Times New Roman" w:cs="Times New Roman"/>
          <w:w w:val="105"/>
          <w:sz w:val="24"/>
          <w:szCs w:val="24"/>
        </w:rPr>
        <w:t>165–211.</w:t>
      </w:r>
    </w:p>
    <w:p w14:paraId="08044523" w14:textId="77777777" w:rsidR="00BA4513" w:rsidRPr="00BA4513" w:rsidRDefault="00BA4513" w:rsidP="005A4160">
      <w:pPr>
        <w:pStyle w:val="ListParagraph"/>
        <w:numPr>
          <w:ilvl w:val="0"/>
          <w:numId w:val="13"/>
        </w:numPr>
        <w:spacing w:line="240" w:lineRule="auto"/>
        <w:jc w:val="both"/>
        <w:rPr>
          <w:rFonts w:ascii="Times New Roman" w:hAnsi="Times New Roman" w:cs="Times New Roman"/>
          <w:sz w:val="24"/>
          <w:szCs w:val="24"/>
        </w:rPr>
      </w:pPr>
      <w:proofErr w:type="spellStart"/>
      <w:r w:rsidRPr="00BA4513">
        <w:rPr>
          <w:rFonts w:ascii="Times New Roman" w:hAnsi="Times New Roman" w:cs="Times New Roman"/>
          <w:sz w:val="24"/>
          <w:szCs w:val="24"/>
        </w:rPr>
        <w:lastRenderedPageBreak/>
        <w:t>Zicchino</w:t>
      </w:r>
      <w:proofErr w:type="spellEnd"/>
      <w:r w:rsidRPr="00BA4513">
        <w:rPr>
          <w:rFonts w:ascii="Times New Roman" w:hAnsi="Times New Roman" w:cs="Times New Roman"/>
          <w:sz w:val="24"/>
          <w:szCs w:val="24"/>
        </w:rPr>
        <w:t>,</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2005).</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model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of</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bank</w:t>
      </w:r>
      <w:r w:rsidRPr="00BA4513">
        <w:rPr>
          <w:rFonts w:ascii="Times New Roman" w:hAnsi="Times New Roman" w:cs="Times New Roman"/>
          <w:spacing w:val="2"/>
          <w:sz w:val="24"/>
          <w:szCs w:val="24"/>
        </w:rPr>
        <w:t xml:space="preserve"> </w:t>
      </w:r>
      <w:r w:rsidRPr="00BA4513">
        <w:rPr>
          <w:rFonts w:ascii="Times New Roman" w:hAnsi="Times New Roman" w:cs="Times New Roman"/>
          <w:sz w:val="24"/>
          <w:szCs w:val="24"/>
        </w:rPr>
        <w:t>capital,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lending,</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and</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the</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macroeconomy:</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Basel</w:t>
      </w:r>
      <w:r w:rsidRPr="00BA4513">
        <w:rPr>
          <w:rFonts w:ascii="Times New Roman" w:hAnsi="Times New Roman" w:cs="Times New Roman"/>
          <w:spacing w:val="3"/>
          <w:sz w:val="24"/>
          <w:szCs w:val="24"/>
        </w:rPr>
        <w:t xml:space="preserve"> </w:t>
      </w:r>
      <w:r w:rsidRPr="00BA4513">
        <w:rPr>
          <w:rFonts w:ascii="Times New Roman" w:hAnsi="Times New Roman" w:cs="Times New Roman"/>
          <w:sz w:val="24"/>
          <w:szCs w:val="24"/>
        </w:rPr>
        <w:t>I versus Basel</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II.</w:t>
      </w:r>
      <w:r w:rsidRPr="00BA4513">
        <w:rPr>
          <w:rFonts w:ascii="Times New Roman" w:hAnsi="Times New Roman" w:cs="Times New Roman"/>
          <w:spacing w:val="1"/>
          <w:sz w:val="24"/>
          <w:szCs w:val="24"/>
        </w:rPr>
        <w:t xml:space="preserve"> </w:t>
      </w:r>
      <w:r w:rsidRPr="00BA4513">
        <w:rPr>
          <w:rFonts w:ascii="Times New Roman" w:hAnsi="Times New Roman" w:cs="Times New Roman"/>
          <w:i/>
          <w:iCs/>
          <w:sz w:val="24"/>
          <w:szCs w:val="24"/>
        </w:rPr>
        <w:t>Bank</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of</w:t>
      </w:r>
      <w:r w:rsidRPr="00BA4513">
        <w:rPr>
          <w:rFonts w:ascii="Times New Roman" w:hAnsi="Times New Roman" w:cs="Times New Roman"/>
          <w:i/>
          <w:iCs/>
          <w:spacing w:val="1"/>
          <w:sz w:val="24"/>
          <w:szCs w:val="24"/>
        </w:rPr>
        <w:t xml:space="preserve"> </w:t>
      </w:r>
      <w:r w:rsidRPr="00BA4513">
        <w:rPr>
          <w:rFonts w:ascii="Times New Roman" w:hAnsi="Times New Roman" w:cs="Times New Roman"/>
          <w:i/>
          <w:iCs/>
          <w:sz w:val="24"/>
          <w:szCs w:val="24"/>
        </w:rPr>
        <w:t>England</w:t>
      </w:r>
      <w:r w:rsidRPr="00BA4513">
        <w:rPr>
          <w:rFonts w:ascii="Times New Roman" w:hAnsi="Times New Roman" w:cs="Times New Roman"/>
          <w:i/>
          <w:iCs/>
          <w:spacing w:val="1"/>
          <w:sz w:val="24"/>
          <w:szCs w:val="24"/>
        </w:rPr>
        <w:t xml:space="preserve"> </w:t>
      </w:r>
      <w:r w:rsidRPr="00BA4513">
        <w:rPr>
          <w:rFonts w:ascii="Times New Roman" w:hAnsi="Times New Roman" w:cs="Times New Roman"/>
          <w:sz w:val="24"/>
          <w:szCs w:val="24"/>
        </w:rPr>
        <w:t>Working</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Paper</w:t>
      </w:r>
      <w:r w:rsidRPr="00BA4513">
        <w:rPr>
          <w:rFonts w:ascii="Times New Roman" w:hAnsi="Times New Roman" w:cs="Times New Roman"/>
          <w:spacing w:val="1"/>
          <w:sz w:val="24"/>
          <w:szCs w:val="24"/>
        </w:rPr>
        <w:t xml:space="preserve"> </w:t>
      </w:r>
      <w:r w:rsidRPr="00BA4513">
        <w:rPr>
          <w:rFonts w:ascii="Times New Roman" w:hAnsi="Times New Roman" w:cs="Times New Roman"/>
          <w:sz w:val="24"/>
          <w:szCs w:val="24"/>
        </w:rPr>
        <w:t xml:space="preserve">27. </w:t>
      </w:r>
    </w:p>
    <w:p w14:paraId="6F3AAB6E" w14:textId="77777777" w:rsidR="00400407" w:rsidRDefault="00400407" w:rsidP="00400407">
      <w:pPr>
        <w:pStyle w:val="ListParagraph"/>
        <w:spacing w:line="240" w:lineRule="auto"/>
        <w:jc w:val="both"/>
        <w:rPr>
          <w:rFonts w:ascii="Times New Roman" w:hAnsi="Times New Roman" w:cs="Times New Roman"/>
          <w:sz w:val="24"/>
          <w:szCs w:val="24"/>
        </w:rPr>
      </w:pPr>
    </w:p>
    <w:p w14:paraId="0DB0643A" w14:textId="77777777" w:rsidR="00216053" w:rsidRPr="00702945" w:rsidRDefault="00216053" w:rsidP="00702945">
      <w:pPr>
        <w:spacing w:line="240" w:lineRule="auto"/>
        <w:ind w:left="360"/>
        <w:jc w:val="both"/>
        <w:rPr>
          <w:rFonts w:ascii="Times New Roman" w:hAnsi="Times New Roman" w:cs="Times New Roman"/>
          <w:sz w:val="24"/>
          <w:szCs w:val="24"/>
        </w:rPr>
      </w:pPr>
    </w:p>
    <w:p w14:paraId="5E04472E" w14:textId="77777777" w:rsidR="003720DE" w:rsidRDefault="003720DE" w:rsidP="0019236A">
      <w:pPr>
        <w:pStyle w:val="ListParagraph"/>
        <w:spacing w:line="240" w:lineRule="auto"/>
        <w:jc w:val="both"/>
        <w:rPr>
          <w:rFonts w:ascii="Times New Roman" w:hAnsi="Times New Roman" w:cs="Times New Roman"/>
          <w:sz w:val="24"/>
          <w:szCs w:val="24"/>
        </w:rPr>
      </w:pPr>
    </w:p>
    <w:p w14:paraId="702EE860" w14:textId="77777777" w:rsidR="005A4160" w:rsidRPr="005A4160" w:rsidRDefault="005A4160" w:rsidP="005A4160">
      <w:pPr>
        <w:spacing w:line="240" w:lineRule="auto"/>
        <w:ind w:left="360"/>
        <w:jc w:val="both"/>
        <w:rPr>
          <w:rFonts w:ascii="Times New Roman" w:hAnsi="Times New Roman" w:cs="Times New Roman"/>
          <w:sz w:val="24"/>
          <w:szCs w:val="24"/>
        </w:rPr>
      </w:pPr>
    </w:p>
    <w:p w14:paraId="02C19E91" w14:textId="77777777" w:rsidR="00CD195D" w:rsidRPr="00846B52" w:rsidRDefault="00CD195D" w:rsidP="00373A01">
      <w:pPr>
        <w:spacing w:line="240" w:lineRule="auto"/>
        <w:ind w:left="357" w:hanging="240"/>
        <w:jc w:val="both"/>
        <w:rPr>
          <w:rFonts w:ascii="Bookman Old Style" w:eastAsia="Bookman Old Style" w:hAnsi="Bookman Old Style" w:cs="Bookman Old Style"/>
          <w:sz w:val="24"/>
          <w:szCs w:val="24"/>
        </w:rPr>
      </w:pPr>
    </w:p>
    <w:p w14:paraId="33E75468" w14:textId="26B80334" w:rsidR="00CD195D" w:rsidRDefault="00CD195D" w:rsidP="00645577">
      <w:pPr>
        <w:rPr>
          <w:w w:val="105"/>
        </w:rPr>
      </w:pPr>
    </w:p>
    <w:p w14:paraId="7C5FA7DF" w14:textId="7CB81FE0" w:rsidR="00645577" w:rsidRDefault="00645577" w:rsidP="00645577">
      <w:pPr>
        <w:rPr>
          <w:w w:val="105"/>
        </w:rPr>
      </w:pPr>
    </w:p>
    <w:p w14:paraId="3EABDCF8" w14:textId="6248F507" w:rsidR="00645577" w:rsidRDefault="00645577" w:rsidP="00645577">
      <w:pPr>
        <w:rPr>
          <w:w w:val="105"/>
        </w:rPr>
      </w:pPr>
    </w:p>
    <w:p w14:paraId="23ECECB4" w14:textId="53418317" w:rsidR="00645577" w:rsidRDefault="00645577" w:rsidP="00645577">
      <w:pPr>
        <w:rPr>
          <w:w w:val="105"/>
        </w:rPr>
      </w:pPr>
    </w:p>
    <w:p w14:paraId="134EF10F" w14:textId="56828EE9" w:rsidR="00645577" w:rsidRDefault="00645577" w:rsidP="00645577">
      <w:pPr>
        <w:rPr>
          <w:w w:val="105"/>
        </w:rPr>
      </w:pPr>
    </w:p>
    <w:p w14:paraId="69B15EE7" w14:textId="5492B116" w:rsidR="00645577" w:rsidRDefault="00645577" w:rsidP="00645577">
      <w:pPr>
        <w:rPr>
          <w:w w:val="105"/>
        </w:rPr>
      </w:pPr>
    </w:p>
    <w:p w14:paraId="1AA08BC9" w14:textId="1C1F5BFD" w:rsidR="00645577" w:rsidRDefault="00645577" w:rsidP="00645577">
      <w:pPr>
        <w:rPr>
          <w:w w:val="105"/>
        </w:rPr>
      </w:pPr>
    </w:p>
    <w:p w14:paraId="7A18B4B3" w14:textId="20D93549" w:rsidR="00645577" w:rsidRDefault="00645577" w:rsidP="00645577">
      <w:pPr>
        <w:rPr>
          <w:w w:val="105"/>
        </w:rPr>
      </w:pPr>
    </w:p>
    <w:p w14:paraId="47DDE78B" w14:textId="270897EA" w:rsidR="00645577" w:rsidRDefault="00645577" w:rsidP="00645577">
      <w:pPr>
        <w:rPr>
          <w:w w:val="105"/>
        </w:rPr>
      </w:pPr>
    </w:p>
    <w:p w14:paraId="0FB8AC60" w14:textId="3AB9937A" w:rsidR="00645577" w:rsidRDefault="00645577" w:rsidP="00645577">
      <w:pPr>
        <w:rPr>
          <w:w w:val="105"/>
        </w:rPr>
      </w:pPr>
    </w:p>
    <w:p w14:paraId="7C5B766D" w14:textId="2CDE2B71" w:rsidR="00645577" w:rsidRDefault="00645577" w:rsidP="00645577">
      <w:pPr>
        <w:rPr>
          <w:w w:val="105"/>
        </w:rPr>
      </w:pPr>
    </w:p>
    <w:p w14:paraId="6235553B" w14:textId="3313A7B4" w:rsidR="00295EE4" w:rsidRDefault="00295EE4" w:rsidP="00645577">
      <w:pPr>
        <w:rPr>
          <w:w w:val="105"/>
        </w:rPr>
      </w:pPr>
    </w:p>
    <w:p w14:paraId="1415741E" w14:textId="16146091" w:rsidR="00295EE4" w:rsidRDefault="00295EE4" w:rsidP="00645577">
      <w:pPr>
        <w:rPr>
          <w:w w:val="105"/>
        </w:rPr>
      </w:pPr>
    </w:p>
    <w:p w14:paraId="26C960F6" w14:textId="16997F62" w:rsidR="00295EE4" w:rsidRDefault="00295EE4" w:rsidP="00645577">
      <w:pPr>
        <w:rPr>
          <w:w w:val="105"/>
        </w:rPr>
      </w:pPr>
    </w:p>
    <w:p w14:paraId="19B8870E" w14:textId="77777777" w:rsidR="00295EE4" w:rsidRDefault="00295EE4" w:rsidP="00645577">
      <w:pPr>
        <w:rPr>
          <w:w w:val="105"/>
        </w:rPr>
      </w:pPr>
    </w:p>
    <w:p w14:paraId="7FCA1A65" w14:textId="07639EB7" w:rsidR="00645577" w:rsidRDefault="00645577" w:rsidP="00645577">
      <w:pPr>
        <w:rPr>
          <w:w w:val="105"/>
        </w:rPr>
      </w:pPr>
    </w:p>
    <w:p w14:paraId="13CC7613" w14:textId="25DA7518" w:rsidR="00645577" w:rsidRDefault="00645577" w:rsidP="00645577">
      <w:pPr>
        <w:rPr>
          <w:w w:val="105"/>
        </w:rPr>
      </w:pPr>
    </w:p>
    <w:p w14:paraId="48CAEA6B" w14:textId="6B91FE8B" w:rsidR="00645577" w:rsidRDefault="00645577" w:rsidP="00645577">
      <w:pPr>
        <w:rPr>
          <w:w w:val="105"/>
        </w:rPr>
      </w:pPr>
    </w:p>
    <w:p w14:paraId="5ADEFAED" w14:textId="77777777" w:rsidR="00BA4513" w:rsidRDefault="00BA4513" w:rsidP="00645577">
      <w:pPr>
        <w:rPr>
          <w:w w:val="105"/>
        </w:rPr>
      </w:pPr>
    </w:p>
    <w:p w14:paraId="4820E47D" w14:textId="30EA7CA8" w:rsidR="00645577" w:rsidRDefault="00645577" w:rsidP="00645577">
      <w:pPr>
        <w:rPr>
          <w:w w:val="105"/>
        </w:rPr>
      </w:pPr>
    </w:p>
    <w:p w14:paraId="372AF853" w14:textId="63B1B7DC" w:rsidR="00940F7A" w:rsidRDefault="00831FCE" w:rsidP="00C83870">
      <w:pPr>
        <w:pStyle w:val="Heading1"/>
        <w:rPr>
          <w:w w:val="105"/>
        </w:rPr>
      </w:pPr>
      <w:bookmarkStart w:id="214" w:name="_Toc90500019"/>
      <w:r>
        <w:rPr>
          <w:w w:val="105"/>
        </w:rPr>
        <w:lastRenderedPageBreak/>
        <w:t xml:space="preserve">Appendix </w:t>
      </w:r>
      <w:r w:rsidR="006C0F17">
        <w:rPr>
          <w:w w:val="105"/>
        </w:rPr>
        <w:t>1.1</w:t>
      </w:r>
      <w:r w:rsidR="00681FB0">
        <w:rPr>
          <w:w w:val="105"/>
        </w:rPr>
        <w:t>(</w:t>
      </w:r>
      <w:r w:rsidR="00362262">
        <w:rPr>
          <w:w w:val="105"/>
        </w:rPr>
        <w:t xml:space="preserve">Part1: </w:t>
      </w:r>
      <w:r w:rsidR="00681FB0">
        <w:rPr>
          <w:w w:val="105"/>
        </w:rPr>
        <w:t xml:space="preserve">Results </w:t>
      </w:r>
      <w:r w:rsidR="006C0F17">
        <w:rPr>
          <w:w w:val="105"/>
        </w:rPr>
        <w:t>output</w:t>
      </w:r>
      <w:r w:rsidR="00681FB0">
        <w:rPr>
          <w:w w:val="105"/>
        </w:rPr>
        <w:t>)</w:t>
      </w:r>
      <w:bookmarkEnd w:id="214"/>
    </w:p>
    <w:p w14:paraId="2B2DABF0" w14:textId="1229D0C9" w:rsidR="002E217F" w:rsidRDefault="002E217F" w:rsidP="002E217F">
      <w:pPr>
        <w:rPr>
          <w:rFonts w:asciiTheme="majorHAnsi" w:eastAsiaTheme="majorEastAsia" w:hAnsiTheme="majorHAnsi" w:cstheme="majorBidi"/>
          <w:b/>
          <w:bCs/>
          <w:color w:val="4F81BD" w:themeColor="accent1"/>
          <w:w w:val="105"/>
          <w:sz w:val="26"/>
          <w:szCs w:val="26"/>
        </w:rPr>
      </w:pPr>
    </w:p>
    <w:p w14:paraId="205444A2" w14:textId="5BD9B9E7" w:rsidR="00CB0BC0" w:rsidRDefault="00CB0BC0" w:rsidP="00CB0BC0">
      <w:pPr>
        <w:pStyle w:val="Heading2"/>
        <w:rPr>
          <w:w w:val="105"/>
        </w:rPr>
      </w:pPr>
      <w:bookmarkStart w:id="215" w:name="_Toc90500020"/>
      <w:r>
        <w:rPr>
          <w:w w:val="105"/>
        </w:rPr>
        <w:t>Descriptive Statistics</w:t>
      </w:r>
      <w:bookmarkEnd w:id="215"/>
      <w:r>
        <w:rPr>
          <w:w w:val="105"/>
        </w:rPr>
        <w:t xml:space="preserve"> </w:t>
      </w:r>
    </w:p>
    <w:p w14:paraId="693B6424" w14:textId="7B4D9135" w:rsidR="002E217F" w:rsidRDefault="002E217F" w:rsidP="002E217F">
      <w:pPr>
        <w:rPr>
          <w:noProof/>
          <w:lang w:val="en-US"/>
        </w:rPr>
      </w:pPr>
      <w:r w:rsidRPr="002E217F">
        <w:rPr>
          <w:noProof/>
          <w:lang w:eastAsia="en-GB"/>
        </w:rPr>
        <w:drawing>
          <wp:inline distT="0" distB="0" distL="0" distR="0" wp14:anchorId="074EE411" wp14:editId="322F840A">
            <wp:extent cx="5486400" cy="21418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63107"/>
                    <a:stretch/>
                  </pic:blipFill>
                  <pic:spPr bwMode="auto">
                    <a:xfrm>
                      <a:off x="0" y="0"/>
                      <a:ext cx="5501476" cy="2147724"/>
                    </a:xfrm>
                    <a:prstGeom prst="rect">
                      <a:avLst/>
                    </a:prstGeom>
                    <a:noFill/>
                    <a:ln>
                      <a:noFill/>
                    </a:ln>
                    <a:extLst>
                      <a:ext uri="{53640926-AAD7-44D8-BBD7-CCE9431645EC}">
                        <a14:shadowObscured xmlns:a14="http://schemas.microsoft.com/office/drawing/2010/main"/>
                      </a:ext>
                    </a:extLst>
                  </pic:spPr>
                </pic:pic>
              </a:graphicData>
            </a:graphic>
          </wp:inline>
        </w:drawing>
      </w:r>
    </w:p>
    <w:p w14:paraId="69C88641" w14:textId="590F0308" w:rsidR="002E217F" w:rsidRDefault="002E217F" w:rsidP="002E217F">
      <w:pPr>
        <w:rPr>
          <w:noProof/>
          <w:lang w:val="en-US"/>
        </w:rPr>
      </w:pPr>
    </w:p>
    <w:p w14:paraId="2FF4288B" w14:textId="326B9B40" w:rsidR="002E217F" w:rsidRDefault="002E217F" w:rsidP="002E217F">
      <w:pPr>
        <w:rPr>
          <w:noProof/>
          <w:lang w:val="en-US"/>
        </w:rPr>
      </w:pPr>
      <w:r w:rsidRPr="002E217F">
        <w:rPr>
          <w:noProof/>
          <w:lang w:eastAsia="en-GB"/>
        </w:rPr>
        <w:drawing>
          <wp:inline distT="0" distB="0" distL="0" distR="0" wp14:anchorId="689D2E3F" wp14:editId="2FC0C406">
            <wp:extent cx="5971319" cy="5295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r="64436"/>
                    <a:stretch/>
                  </pic:blipFill>
                  <pic:spPr bwMode="auto">
                    <a:xfrm>
                      <a:off x="0" y="0"/>
                      <a:ext cx="6000457" cy="5321742"/>
                    </a:xfrm>
                    <a:prstGeom prst="rect">
                      <a:avLst/>
                    </a:prstGeom>
                    <a:noFill/>
                    <a:ln>
                      <a:noFill/>
                    </a:ln>
                    <a:extLst>
                      <a:ext uri="{53640926-AAD7-44D8-BBD7-CCE9431645EC}">
                        <a14:shadowObscured xmlns:a14="http://schemas.microsoft.com/office/drawing/2010/main"/>
                      </a:ext>
                    </a:extLst>
                  </pic:spPr>
                </pic:pic>
              </a:graphicData>
            </a:graphic>
          </wp:inline>
        </w:drawing>
      </w:r>
    </w:p>
    <w:p w14:paraId="652FBA9E" w14:textId="451BF88A" w:rsidR="002E217F" w:rsidRDefault="002E217F" w:rsidP="002E217F">
      <w:pPr>
        <w:rPr>
          <w:noProof/>
          <w:lang w:val="en-US"/>
        </w:rPr>
      </w:pPr>
    </w:p>
    <w:p w14:paraId="5D1A9A20" w14:textId="4A9825E4" w:rsidR="002E217F" w:rsidRDefault="00534F90" w:rsidP="002E217F">
      <w:pPr>
        <w:rPr>
          <w:lang w:val="en-US"/>
        </w:rPr>
      </w:pPr>
      <w:r>
        <w:rPr>
          <w:rFonts w:ascii="Garamond" w:hAnsi="Garamond"/>
          <w:b/>
          <w:bCs/>
          <w:sz w:val="20"/>
          <w:szCs w:val="20"/>
          <w:lang w:val="en-US"/>
        </w:rPr>
        <w:t>Descriptive Statistics</w:t>
      </w:r>
    </w:p>
    <w:tbl>
      <w:tblPr>
        <w:tblW w:w="9084" w:type="dxa"/>
        <w:tblLayout w:type="fixed"/>
        <w:tblLook w:val="0000" w:firstRow="0" w:lastRow="0" w:firstColumn="0" w:lastColumn="0" w:noHBand="0" w:noVBand="0"/>
      </w:tblPr>
      <w:tblGrid>
        <w:gridCol w:w="1616"/>
        <w:gridCol w:w="677"/>
        <w:gridCol w:w="845"/>
        <w:gridCol w:w="845"/>
        <w:gridCol w:w="845"/>
        <w:gridCol w:w="845"/>
        <w:gridCol w:w="845"/>
        <w:gridCol w:w="845"/>
        <w:gridCol w:w="845"/>
        <w:gridCol w:w="850"/>
        <w:gridCol w:w="26"/>
      </w:tblGrid>
      <w:tr w:rsidR="00FB5FFD" w:rsidRPr="00534F90" w14:paraId="66D5AA44" w14:textId="77777777" w:rsidTr="000460E1">
        <w:trPr>
          <w:gridAfter w:val="1"/>
          <w:wAfter w:w="26" w:type="dxa"/>
          <w:trHeight w:val="267"/>
        </w:trPr>
        <w:tc>
          <w:tcPr>
            <w:tcW w:w="1616" w:type="dxa"/>
            <w:tcBorders>
              <w:top w:val="single" w:sz="4" w:space="0" w:color="auto"/>
              <w:left w:val="nil"/>
              <w:bottom w:val="single" w:sz="10" w:space="0" w:color="auto"/>
              <w:right w:val="nil"/>
            </w:tcBorders>
          </w:tcPr>
          <w:p w14:paraId="6894704D" w14:textId="77777777" w:rsidR="00534F90" w:rsidRPr="00534F90" w:rsidRDefault="00534F90" w:rsidP="00534F90">
            <w:pPr>
              <w:rPr>
                <w:lang w:val="en-US"/>
              </w:rPr>
            </w:pPr>
            <w:r w:rsidRPr="00534F90">
              <w:rPr>
                <w:lang w:val="en-US"/>
              </w:rPr>
              <w:t>Variables</w:t>
            </w:r>
          </w:p>
        </w:tc>
        <w:tc>
          <w:tcPr>
            <w:tcW w:w="677" w:type="dxa"/>
            <w:tcBorders>
              <w:top w:val="single" w:sz="4" w:space="0" w:color="auto"/>
              <w:left w:val="nil"/>
              <w:bottom w:val="single" w:sz="10" w:space="0" w:color="auto"/>
              <w:right w:val="nil"/>
            </w:tcBorders>
          </w:tcPr>
          <w:p w14:paraId="21A53681" w14:textId="77777777" w:rsidR="00534F90" w:rsidRPr="00534F90" w:rsidRDefault="00534F90" w:rsidP="00534F90">
            <w:pPr>
              <w:rPr>
                <w:lang w:val="en-US"/>
              </w:rPr>
            </w:pPr>
            <w:r w:rsidRPr="00534F90">
              <w:rPr>
                <w:lang w:val="en-US"/>
              </w:rPr>
              <w:t xml:space="preserve"> </w:t>
            </w:r>
            <w:proofErr w:type="spellStart"/>
            <w:r w:rsidRPr="00534F90">
              <w:rPr>
                <w:lang w:val="en-US"/>
              </w:rPr>
              <w:t>Obs</w:t>
            </w:r>
            <w:proofErr w:type="spellEnd"/>
          </w:p>
        </w:tc>
        <w:tc>
          <w:tcPr>
            <w:tcW w:w="845" w:type="dxa"/>
            <w:tcBorders>
              <w:top w:val="single" w:sz="4" w:space="0" w:color="auto"/>
              <w:left w:val="nil"/>
              <w:bottom w:val="single" w:sz="10" w:space="0" w:color="auto"/>
              <w:right w:val="nil"/>
            </w:tcBorders>
          </w:tcPr>
          <w:p w14:paraId="5A28C85B" w14:textId="77777777" w:rsidR="00534F90" w:rsidRPr="00534F90" w:rsidRDefault="00534F90" w:rsidP="00534F90">
            <w:pPr>
              <w:rPr>
                <w:lang w:val="en-US"/>
              </w:rPr>
            </w:pPr>
            <w:r w:rsidRPr="00534F90">
              <w:rPr>
                <w:lang w:val="en-US"/>
              </w:rPr>
              <w:t xml:space="preserve"> Mean</w:t>
            </w:r>
          </w:p>
        </w:tc>
        <w:tc>
          <w:tcPr>
            <w:tcW w:w="845" w:type="dxa"/>
            <w:tcBorders>
              <w:top w:val="single" w:sz="4" w:space="0" w:color="auto"/>
              <w:left w:val="nil"/>
              <w:bottom w:val="single" w:sz="10" w:space="0" w:color="auto"/>
              <w:right w:val="nil"/>
            </w:tcBorders>
          </w:tcPr>
          <w:p w14:paraId="699B2E90" w14:textId="77777777" w:rsidR="00534F90" w:rsidRPr="00534F90" w:rsidRDefault="00534F90" w:rsidP="00534F90">
            <w:pPr>
              <w:rPr>
                <w:lang w:val="en-US"/>
              </w:rPr>
            </w:pPr>
            <w:r w:rsidRPr="00534F90">
              <w:rPr>
                <w:lang w:val="en-US"/>
              </w:rPr>
              <w:t xml:space="preserve"> Std. Dev.</w:t>
            </w:r>
          </w:p>
        </w:tc>
        <w:tc>
          <w:tcPr>
            <w:tcW w:w="845" w:type="dxa"/>
            <w:tcBorders>
              <w:top w:val="single" w:sz="4" w:space="0" w:color="auto"/>
              <w:left w:val="nil"/>
              <w:bottom w:val="single" w:sz="10" w:space="0" w:color="auto"/>
              <w:right w:val="nil"/>
            </w:tcBorders>
          </w:tcPr>
          <w:p w14:paraId="01562C8C" w14:textId="77777777" w:rsidR="00534F90" w:rsidRPr="00534F90" w:rsidRDefault="00534F90" w:rsidP="00534F90">
            <w:pPr>
              <w:rPr>
                <w:lang w:val="en-US"/>
              </w:rPr>
            </w:pPr>
            <w:r w:rsidRPr="00534F90">
              <w:rPr>
                <w:lang w:val="en-US"/>
              </w:rPr>
              <w:t xml:space="preserve"> Min</w:t>
            </w:r>
          </w:p>
        </w:tc>
        <w:tc>
          <w:tcPr>
            <w:tcW w:w="845" w:type="dxa"/>
            <w:tcBorders>
              <w:top w:val="single" w:sz="4" w:space="0" w:color="auto"/>
              <w:left w:val="nil"/>
              <w:bottom w:val="single" w:sz="10" w:space="0" w:color="auto"/>
              <w:right w:val="nil"/>
            </w:tcBorders>
          </w:tcPr>
          <w:p w14:paraId="61F7AF5B" w14:textId="77777777" w:rsidR="00534F90" w:rsidRPr="00534F90" w:rsidRDefault="00534F90" w:rsidP="00534F90">
            <w:pPr>
              <w:rPr>
                <w:lang w:val="en-US"/>
              </w:rPr>
            </w:pPr>
            <w:r w:rsidRPr="00534F90">
              <w:rPr>
                <w:lang w:val="en-US"/>
              </w:rPr>
              <w:t xml:space="preserve"> Max</w:t>
            </w:r>
          </w:p>
        </w:tc>
        <w:tc>
          <w:tcPr>
            <w:tcW w:w="845" w:type="dxa"/>
            <w:tcBorders>
              <w:top w:val="single" w:sz="4" w:space="0" w:color="auto"/>
              <w:left w:val="nil"/>
              <w:bottom w:val="single" w:sz="10" w:space="0" w:color="auto"/>
              <w:right w:val="nil"/>
            </w:tcBorders>
          </w:tcPr>
          <w:p w14:paraId="760F0E3F" w14:textId="77777777" w:rsidR="00534F90" w:rsidRPr="00534F90" w:rsidRDefault="00534F90" w:rsidP="00534F90">
            <w:pPr>
              <w:rPr>
                <w:lang w:val="en-US"/>
              </w:rPr>
            </w:pPr>
            <w:r w:rsidRPr="00534F90">
              <w:rPr>
                <w:lang w:val="en-US"/>
              </w:rPr>
              <w:t xml:space="preserve"> p1</w:t>
            </w:r>
          </w:p>
        </w:tc>
        <w:tc>
          <w:tcPr>
            <w:tcW w:w="845" w:type="dxa"/>
            <w:tcBorders>
              <w:top w:val="single" w:sz="4" w:space="0" w:color="auto"/>
              <w:left w:val="nil"/>
              <w:bottom w:val="single" w:sz="10" w:space="0" w:color="auto"/>
              <w:right w:val="nil"/>
            </w:tcBorders>
          </w:tcPr>
          <w:p w14:paraId="3AA28A89" w14:textId="77777777" w:rsidR="00534F90" w:rsidRPr="00534F90" w:rsidRDefault="00534F90" w:rsidP="00534F90">
            <w:pPr>
              <w:rPr>
                <w:lang w:val="en-US"/>
              </w:rPr>
            </w:pPr>
            <w:r w:rsidRPr="00534F90">
              <w:rPr>
                <w:lang w:val="en-US"/>
              </w:rPr>
              <w:t xml:space="preserve"> p99</w:t>
            </w:r>
          </w:p>
        </w:tc>
        <w:tc>
          <w:tcPr>
            <w:tcW w:w="845" w:type="dxa"/>
            <w:tcBorders>
              <w:top w:val="single" w:sz="4" w:space="0" w:color="auto"/>
              <w:left w:val="nil"/>
              <w:bottom w:val="single" w:sz="10" w:space="0" w:color="auto"/>
              <w:right w:val="nil"/>
            </w:tcBorders>
          </w:tcPr>
          <w:p w14:paraId="08A98928" w14:textId="77777777" w:rsidR="00534F90" w:rsidRPr="00534F90" w:rsidRDefault="00534F90" w:rsidP="00534F90">
            <w:pPr>
              <w:rPr>
                <w:lang w:val="en-US"/>
              </w:rPr>
            </w:pPr>
            <w:r w:rsidRPr="00534F90">
              <w:rPr>
                <w:lang w:val="en-US"/>
              </w:rPr>
              <w:t xml:space="preserve"> Skew.</w:t>
            </w:r>
          </w:p>
        </w:tc>
        <w:tc>
          <w:tcPr>
            <w:tcW w:w="850" w:type="dxa"/>
            <w:tcBorders>
              <w:top w:val="single" w:sz="4" w:space="0" w:color="auto"/>
              <w:left w:val="nil"/>
              <w:bottom w:val="single" w:sz="10" w:space="0" w:color="auto"/>
              <w:right w:val="nil"/>
            </w:tcBorders>
          </w:tcPr>
          <w:p w14:paraId="6AFF7FC5" w14:textId="77777777" w:rsidR="00534F90" w:rsidRPr="00534F90" w:rsidRDefault="00534F90" w:rsidP="00534F90">
            <w:pPr>
              <w:rPr>
                <w:lang w:val="en-US"/>
              </w:rPr>
            </w:pPr>
            <w:r w:rsidRPr="00534F90">
              <w:rPr>
                <w:lang w:val="en-US"/>
              </w:rPr>
              <w:t xml:space="preserve"> Kurt.</w:t>
            </w:r>
          </w:p>
        </w:tc>
      </w:tr>
      <w:tr w:rsidR="00FB5FFD" w:rsidRPr="00534F90" w14:paraId="1EFA6966" w14:textId="77777777" w:rsidTr="000460E1">
        <w:trPr>
          <w:gridAfter w:val="1"/>
          <w:wAfter w:w="26" w:type="dxa"/>
          <w:trHeight w:val="168"/>
        </w:trPr>
        <w:tc>
          <w:tcPr>
            <w:tcW w:w="1616" w:type="dxa"/>
            <w:tcBorders>
              <w:top w:val="nil"/>
              <w:left w:val="nil"/>
              <w:bottom w:val="nil"/>
              <w:right w:val="nil"/>
            </w:tcBorders>
          </w:tcPr>
          <w:p w14:paraId="2DF1DCBA" w14:textId="77777777" w:rsidR="00534F90" w:rsidRPr="00534F90" w:rsidRDefault="00534F90" w:rsidP="00534F90">
            <w:pPr>
              <w:rPr>
                <w:lang w:val="en-US"/>
              </w:rPr>
            </w:pPr>
            <w:r w:rsidRPr="00534F90">
              <w:rPr>
                <w:lang w:val="en-US"/>
              </w:rPr>
              <w:t xml:space="preserve"> SPRT</w:t>
            </w:r>
          </w:p>
        </w:tc>
        <w:tc>
          <w:tcPr>
            <w:tcW w:w="677" w:type="dxa"/>
            <w:tcBorders>
              <w:top w:val="nil"/>
              <w:left w:val="nil"/>
              <w:bottom w:val="nil"/>
              <w:right w:val="nil"/>
            </w:tcBorders>
          </w:tcPr>
          <w:p w14:paraId="32ADA63C" w14:textId="77777777" w:rsidR="00534F90" w:rsidRPr="00534F90" w:rsidRDefault="00534F90" w:rsidP="00534F90">
            <w:pPr>
              <w:rPr>
                <w:lang w:val="en-US"/>
              </w:rPr>
            </w:pPr>
            <w:r w:rsidRPr="00534F90">
              <w:rPr>
                <w:lang w:val="en-US"/>
              </w:rPr>
              <w:t>2605</w:t>
            </w:r>
          </w:p>
        </w:tc>
        <w:tc>
          <w:tcPr>
            <w:tcW w:w="845" w:type="dxa"/>
            <w:tcBorders>
              <w:top w:val="nil"/>
              <w:left w:val="nil"/>
              <w:bottom w:val="nil"/>
              <w:right w:val="nil"/>
            </w:tcBorders>
          </w:tcPr>
          <w:p w14:paraId="4ACF1D65" w14:textId="77777777" w:rsidR="00534F90" w:rsidRPr="00534F90" w:rsidRDefault="00534F90" w:rsidP="00534F90">
            <w:pPr>
              <w:rPr>
                <w:lang w:val="en-US"/>
              </w:rPr>
            </w:pPr>
            <w:r w:rsidRPr="00534F90">
              <w:rPr>
                <w:lang w:val="en-US"/>
              </w:rPr>
              <w:t>0</w:t>
            </w:r>
          </w:p>
        </w:tc>
        <w:tc>
          <w:tcPr>
            <w:tcW w:w="845" w:type="dxa"/>
            <w:tcBorders>
              <w:top w:val="nil"/>
              <w:left w:val="nil"/>
              <w:bottom w:val="nil"/>
              <w:right w:val="nil"/>
            </w:tcBorders>
          </w:tcPr>
          <w:p w14:paraId="06A77E1E" w14:textId="77777777" w:rsidR="00534F90" w:rsidRPr="00534F90" w:rsidRDefault="00534F90" w:rsidP="00534F90">
            <w:pPr>
              <w:rPr>
                <w:lang w:val="en-US"/>
              </w:rPr>
            </w:pPr>
            <w:r w:rsidRPr="00534F90">
              <w:rPr>
                <w:lang w:val="en-US"/>
              </w:rPr>
              <w:t>.013</w:t>
            </w:r>
          </w:p>
        </w:tc>
        <w:tc>
          <w:tcPr>
            <w:tcW w:w="845" w:type="dxa"/>
            <w:tcBorders>
              <w:top w:val="nil"/>
              <w:left w:val="nil"/>
              <w:bottom w:val="nil"/>
              <w:right w:val="nil"/>
            </w:tcBorders>
          </w:tcPr>
          <w:p w14:paraId="629DF0E1" w14:textId="77777777" w:rsidR="00534F90" w:rsidRPr="00534F90" w:rsidRDefault="00534F90" w:rsidP="00534F90">
            <w:pPr>
              <w:rPr>
                <w:lang w:val="en-US"/>
              </w:rPr>
            </w:pPr>
            <w:r w:rsidRPr="00534F90">
              <w:rPr>
                <w:lang w:val="en-US"/>
              </w:rPr>
              <w:t>-.095</w:t>
            </w:r>
          </w:p>
        </w:tc>
        <w:tc>
          <w:tcPr>
            <w:tcW w:w="845" w:type="dxa"/>
            <w:tcBorders>
              <w:top w:val="nil"/>
              <w:left w:val="nil"/>
              <w:bottom w:val="nil"/>
              <w:right w:val="nil"/>
            </w:tcBorders>
          </w:tcPr>
          <w:p w14:paraId="602ED97A" w14:textId="77777777" w:rsidR="00534F90" w:rsidRPr="00534F90" w:rsidRDefault="00534F90" w:rsidP="00534F90">
            <w:pPr>
              <w:rPr>
                <w:lang w:val="en-US"/>
              </w:rPr>
            </w:pPr>
            <w:r w:rsidRPr="00534F90">
              <w:rPr>
                <w:lang w:val="en-US"/>
              </w:rPr>
              <w:t>.11</w:t>
            </w:r>
          </w:p>
        </w:tc>
        <w:tc>
          <w:tcPr>
            <w:tcW w:w="845" w:type="dxa"/>
            <w:tcBorders>
              <w:top w:val="nil"/>
              <w:left w:val="nil"/>
              <w:bottom w:val="nil"/>
              <w:right w:val="nil"/>
            </w:tcBorders>
          </w:tcPr>
          <w:p w14:paraId="005A1330" w14:textId="77777777" w:rsidR="00534F90" w:rsidRPr="00534F90" w:rsidRDefault="00534F90" w:rsidP="00534F90">
            <w:pPr>
              <w:rPr>
                <w:lang w:val="en-US"/>
              </w:rPr>
            </w:pPr>
            <w:r w:rsidRPr="00534F90">
              <w:rPr>
                <w:lang w:val="en-US"/>
              </w:rPr>
              <w:t>-.039</w:t>
            </w:r>
          </w:p>
        </w:tc>
        <w:tc>
          <w:tcPr>
            <w:tcW w:w="845" w:type="dxa"/>
            <w:tcBorders>
              <w:top w:val="nil"/>
              <w:left w:val="nil"/>
              <w:bottom w:val="nil"/>
              <w:right w:val="nil"/>
            </w:tcBorders>
          </w:tcPr>
          <w:p w14:paraId="1A9EC133" w14:textId="77777777" w:rsidR="00534F90" w:rsidRPr="00534F90" w:rsidRDefault="00534F90" w:rsidP="00534F90">
            <w:pPr>
              <w:rPr>
                <w:lang w:val="en-US"/>
              </w:rPr>
            </w:pPr>
            <w:r w:rsidRPr="00534F90">
              <w:rPr>
                <w:lang w:val="en-US"/>
              </w:rPr>
              <w:t>.036</w:t>
            </w:r>
          </w:p>
        </w:tc>
        <w:tc>
          <w:tcPr>
            <w:tcW w:w="845" w:type="dxa"/>
            <w:tcBorders>
              <w:top w:val="nil"/>
              <w:left w:val="nil"/>
              <w:bottom w:val="nil"/>
              <w:right w:val="nil"/>
            </w:tcBorders>
          </w:tcPr>
          <w:p w14:paraId="5766942C" w14:textId="77777777" w:rsidR="00534F90" w:rsidRPr="00534F90" w:rsidRDefault="00534F90" w:rsidP="00534F90">
            <w:pPr>
              <w:rPr>
                <w:lang w:val="en-US"/>
              </w:rPr>
            </w:pPr>
            <w:r w:rsidRPr="00534F90">
              <w:rPr>
                <w:lang w:val="en-US"/>
              </w:rPr>
              <w:t>-.353</w:t>
            </w:r>
          </w:p>
        </w:tc>
        <w:tc>
          <w:tcPr>
            <w:tcW w:w="850" w:type="dxa"/>
            <w:tcBorders>
              <w:top w:val="nil"/>
              <w:left w:val="nil"/>
              <w:bottom w:val="nil"/>
              <w:right w:val="nil"/>
            </w:tcBorders>
          </w:tcPr>
          <w:p w14:paraId="154F519B" w14:textId="77777777" w:rsidR="00534F90" w:rsidRPr="00534F90" w:rsidRDefault="00534F90" w:rsidP="00534F90">
            <w:pPr>
              <w:rPr>
                <w:lang w:val="en-US"/>
              </w:rPr>
            </w:pPr>
            <w:r w:rsidRPr="00534F90">
              <w:rPr>
                <w:lang w:val="en-US"/>
              </w:rPr>
              <w:t>13.31</w:t>
            </w:r>
          </w:p>
        </w:tc>
      </w:tr>
      <w:tr w:rsidR="00FB5FFD" w:rsidRPr="00534F90" w14:paraId="5B41FE45" w14:textId="77777777" w:rsidTr="000460E1">
        <w:trPr>
          <w:gridAfter w:val="1"/>
          <w:wAfter w:w="26" w:type="dxa"/>
          <w:trHeight w:val="168"/>
        </w:trPr>
        <w:tc>
          <w:tcPr>
            <w:tcW w:w="1616" w:type="dxa"/>
            <w:tcBorders>
              <w:top w:val="nil"/>
              <w:left w:val="nil"/>
              <w:bottom w:val="nil"/>
              <w:right w:val="nil"/>
            </w:tcBorders>
          </w:tcPr>
          <w:p w14:paraId="07AA297A" w14:textId="77777777" w:rsidR="00534F90" w:rsidRPr="00534F90" w:rsidRDefault="00534F90" w:rsidP="00534F90">
            <w:pPr>
              <w:rPr>
                <w:lang w:val="en-US"/>
              </w:rPr>
            </w:pPr>
            <w:r w:rsidRPr="00534F90">
              <w:rPr>
                <w:lang w:val="en-US"/>
              </w:rPr>
              <w:t xml:space="preserve"> ABCP</w:t>
            </w:r>
          </w:p>
        </w:tc>
        <w:tc>
          <w:tcPr>
            <w:tcW w:w="677" w:type="dxa"/>
            <w:tcBorders>
              <w:top w:val="nil"/>
              <w:left w:val="nil"/>
              <w:bottom w:val="nil"/>
              <w:right w:val="nil"/>
            </w:tcBorders>
          </w:tcPr>
          <w:p w14:paraId="2605E25F" w14:textId="77777777" w:rsidR="00534F90" w:rsidRPr="00534F90" w:rsidRDefault="00534F90" w:rsidP="00534F90">
            <w:pPr>
              <w:rPr>
                <w:lang w:val="en-US"/>
              </w:rPr>
            </w:pPr>
            <w:r w:rsidRPr="00534F90">
              <w:rPr>
                <w:lang w:val="en-US"/>
              </w:rPr>
              <w:t>2605</w:t>
            </w:r>
          </w:p>
        </w:tc>
        <w:tc>
          <w:tcPr>
            <w:tcW w:w="845" w:type="dxa"/>
            <w:tcBorders>
              <w:top w:val="nil"/>
              <w:left w:val="nil"/>
              <w:bottom w:val="nil"/>
              <w:right w:val="nil"/>
            </w:tcBorders>
          </w:tcPr>
          <w:p w14:paraId="4ACA2111" w14:textId="77777777" w:rsidR="00534F90" w:rsidRPr="00534F90" w:rsidRDefault="00534F90" w:rsidP="00534F90">
            <w:pPr>
              <w:rPr>
                <w:lang w:val="en-US"/>
              </w:rPr>
            </w:pPr>
            <w:r w:rsidRPr="00534F90">
              <w:rPr>
                <w:lang w:val="en-US"/>
              </w:rPr>
              <w:t>.468</w:t>
            </w:r>
          </w:p>
        </w:tc>
        <w:tc>
          <w:tcPr>
            <w:tcW w:w="845" w:type="dxa"/>
            <w:tcBorders>
              <w:top w:val="nil"/>
              <w:left w:val="nil"/>
              <w:bottom w:val="nil"/>
              <w:right w:val="nil"/>
            </w:tcBorders>
          </w:tcPr>
          <w:p w14:paraId="476358C0" w14:textId="77777777" w:rsidR="00534F90" w:rsidRPr="00534F90" w:rsidRDefault="00534F90" w:rsidP="00534F90">
            <w:pPr>
              <w:rPr>
                <w:lang w:val="en-US"/>
              </w:rPr>
            </w:pPr>
            <w:r w:rsidRPr="00534F90">
              <w:rPr>
                <w:lang w:val="en-US"/>
              </w:rPr>
              <w:t>.568</w:t>
            </w:r>
          </w:p>
        </w:tc>
        <w:tc>
          <w:tcPr>
            <w:tcW w:w="845" w:type="dxa"/>
            <w:tcBorders>
              <w:top w:val="nil"/>
              <w:left w:val="nil"/>
              <w:bottom w:val="nil"/>
              <w:right w:val="nil"/>
            </w:tcBorders>
          </w:tcPr>
          <w:p w14:paraId="495093D8" w14:textId="77777777" w:rsidR="00534F90" w:rsidRPr="00534F90" w:rsidRDefault="00534F90" w:rsidP="00534F90">
            <w:pPr>
              <w:rPr>
                <w:lang w:val="en-US"/>
              </w:rPr>
            </w:pPr>
            <w:r w:rsidRPr="00534F90">
              <w:rPr>
                <w:lang w:val="en-US"/>
              </w:rPr>
              <w:t>.01</w:t>
            </w:r>
          </w:p>
        </w:tc>
        <w:tc>
          <w:tcPr>
            <w:tcW w:w="845" w:type="dxa"/>
            <w:tcBorders>
              <w:top w:val="nil"/>
              <w:left w:val="nil"/>
              <w:bottom w:val="nil"/>
              <w:right w:val="nil"/>
            </w:tcBorders>
          </w:tcPr>
          <w:p w14:paraId="334493FF" w14:textId="77777777" w:rsidR="00534F90" w:rsidRPr="00534F90" w:rsidRDefault="00534F90" w:rsidP="00534F90">
            <w:pPr>
              <w:rPr>
                <w:lang w:val="en-US"/>
              </w:rPr>
            </w:pPr>
            <w:r w:rsidRPr="00534F90">
              <w:rPr>
                <w:lang w:val="en-US"/>
              </w:rPr>
              <w:t>4.306</w:t>
            </w:r>
          </w:p>
        </w:tc>
        <w:tc>
          <w:tcPr>
            <w:tcW w:w="845" w:type="dxa"/>
            <w:tcBorders>
              <w:top w:val="nil"/>
              <w:left w:val="nil"/>
              <w:bottom w:val="nil"/>
              <w:right w:val="nil"/>
            </w:tcBorders>
          </w:tcPr>
          <w:p w14:paraId="68EE5EE6" w14:textId="77777777" w:rsidR="00534F90" w:rsidRPr="00534F90" w:rsidRDefault="00534F90" w:rsidP="00534F90">
            <w:pPr>
              <w:rPr>
                <w:lang w:val="en-US"/>
              </w:rPr>
            </w:pPr>
            <w:r w:rsidRPr="00534F90">
              <w:rPr>
                <w:lang w:val="en-US"/>
              </w:rPr>
              <w:t>.072</w:t>
            </w:r>
          </w:p>
        </w:tc>
        <w:tc>
          <w:tcPr>
            <w:tcW w:w="845" w:type="dxa"/>
            <w:tcBorders>
              <w:top w:val="nil"/>
              <w:left w:val="nil"/>
              <w:bottom w:val="nil"/>
              <w:right w:val="nil"/>
            </w:tcBorders>
          </w:tcPr>
          <w:p w14:paraId="1BBB7F6A" w14:textId="77777777" w:rsidR="00534F90" w:rsidRPr="00534F90" w:rsidRDefault="00534F90" w:rsidP="00534F90">
            <w:pPr>
              <w:rPr>
                <w:lang w:val="en-US"/>
              </w:rPr>
            </w:pPr>
            <w:r w:rsidRPr="00534F90">
              <w:rPr>
                <w:lang w:val="en-US"/>
              </w:rPr>
              <w:t>2.804</w:t>
            </w:r>
          </w:p>
        </w:tc>
        <w:tc>
          <w:tcPr>
            <w:tcW w:w="845" w:type="dxa"/>
            <w:tcBorders>
              <w:top w:val="nil"/>
              <w:left w:val="nil"/>
              <w:bottom w:val="nil"/>
              <w:right w:val="nil"/>
            </w:tcBorders>
          </w:tcPr>
          <w:p w14:paraId="0313C188" w14:textId="77777777" w:rsidR="00534F90" w:rsidRPr="00534F90" w:rsidRDefault="00534F90" w:rsidP="00534F90">
            <w:pPr>
              <w:rPr>
                <w:lang w:val="en-US"/>
              </w:rPr>
            </w:pPr>
            <w:r w:rsidRPr="00534F90">
              <w:rPr>
                <w:lang w:val="en-US"/>
              </w:rPr>
              <w:t>2.987</w:t>
            </w:r>
          </w:p>
        </w:tc>
        <w:tc>
          <w:tcPr>
            <w:tcW w:w="850" w:type="dxa"/>
            <w:tcBorders>
              <w:top w:val="nil"/>
              <w:left w:val="nil"/>
              <w:bottom w:val="nil"/>
              <w:right w:val="nil"/>
            </w:tcBorders>
          </w:tcPr>
          <w:p w14:paraId="27F41E7A" w14:textId="77777777" w:rsidR="00534F90" w:rsidRPr="00534F90" w:rsidRDefault="00534F90" w:rsidP="00534F90">
            <w:pPr>
              <w:rPr>
                <w:lang w:val="en-US"/>
              </w:rPr>
            </w:pPr>
            <w:r w:rsidRPr="00534F90">
              <w:rPr>
                <w:lang w:val="en-US"/>
              </w:rPr>
              <w:t>13.636</w:t>
            </w:r>
          </w:p>
        </w:tc>
      </w:tr>
      <w:tr w:rsidR="00FB5FFD" w:rsidRPr="00534F90" w14:paraId="010A948F" w14:textId="77777777" w:rsidTr="000460E1">
        <w:trPr>
          <w:gridAfter w:val="1"/>
          <w:wAfter w:w="26" w:type="dxa"/>
          <w:trHeight w:val="168"/>
        </w:trPr>
        <w:tc>
          <w:tcPr>
            <w:tcW w:w="1616" w:type="dxa"/>
            <w:tcBorders>
              <w:top w:val="nil"/>
              <w:left w:val="nil"/>
              <w:bottom w:val="nil"/>
              <w:right w:val="nil"/>
            </w:tcBorders>
          </w:tcPr>
          <w:p w14:paraId="0DC486A5" w14:textId="77777777" w:rsidR="00534F90" w:rsidRPr="00534F90" w:rsidRDefault="00534F90" w:rsidP="00534F90">
            <w:pPr>
              <w:rPr>
                <w:lang w:val="en-US"/>
              </w:rPr>
            </w:pPr>
            <w:r w:rsidRPr="00534F90">
              <w:rPr>
                <w:lang w:val="en-US"/>
              </w:rPr>
              <w:t xml:space="preserve"> TED</w:t>
            </w:r>
          </w:p>
        </w:tc>
        <w:tc>
          <w:tcPr>
            <w:tcW w:w="677" w:type="dxa"/>
            <w:tcBorders>
              <w:top w:val="nil"/>
              <w:left w:val="nil"/>
              <w:bottom w:val="nil"/>
              <w:right w:val="nil"/>
            </w:tcBorders>
          </w:tcPr>
          <w:p w14:paraId="476E18CB" w14:textId="77777777" w:rsidR="00534F90" w:rsidRPr="00534F90" w:rsidRDefault="00534F90" w:rsidP="00534F90">
            <w:pPr>
              <w:rPr>
                <w:lang w:val="en-US"/>
              </w:rPr>
            </w:pPr>
            <w:r w:rsidRPr="00534F90">
              <w:rPr>
                <w:lang w:val="en-US"/>
              </w:rPr>
              <w:t>2605</w:t>
            </w:r>
          </w:p>
        </w:tc>
        <w:tc>
          <w:tcPr>
            <w:tcW w:w="845" w:type="dxa"/>
            <w:tcBorders>
              <w:top w:val="nil"/>
              <w:left w:val="nil"/>
              <w:bottom w:val="nil"/>
              <w:right w:val="nil"/>
            </w:tcBorders>
          </w:tcPr>
          <w:p w14:paraId="65BA0E11" w14:textId="77777777" w:rsidR="00534F90" w:rsidRPr="00534F90" w:rsidRDefault="00534F90" w:rsidP="00534F90">
            <w:pPr>
              <w:rPr>
                <w:lang w:val="en-US"/>
              </w:rPr>
            </w:pPr>
            <w:r w:rsidRPr="00534F90">
              <w:rPr>
                <w:lang w:val="en-US"/>
              </w:rPr>
              <w:t>.509</w:t>
            </w:r>
          </w:p>
        </w:tc>
        <w:tc>
          <w:tcPr>
            <w:tcW w:w="845" w:type="dxa"/>
            <w:tcBorders>
              <w:top w:val="nil"/>
              <w:left w:val="nil"/>
              <w:bottom w:val="nil"/>
              <w:right w:val="nil"/>
            </w:tcBorders>
          </w:tcPr>
          <w:p w14:paraId="2DBA98B7" w14:textId="77777777" w:rsidR="00534F90" w:rsidRPr="00534F90" w:rsidRDefault="00534F90" w:rsidP="00534F90">
            <w:pPr>
              <w:rPr>
                <w:lang w:val="en-US"/>
              </w:rPr>
            </w:pPr>
            <w:r w:rsidRPr="00534F90">
              <w:rPr>
                <w:lang w:val="en-US"/>
              </w:rPr>
              <w:t>.523</w:t>
            </w:r>
          </w:p>
        </w:tc>
        <w:tc>
          <w:tcPr>
            <w:tcW w:w="845" w:type="dxa"/>
            <w:tcBorders>
              <w:top w:val="nil"/>
              <w:left w:val="nil"/>
              <w:bottom w:val="nil"/>
              <w:right w:val="nil"/>
            </w:tcBorders>
          </w:tcPr>
          <w:p w14:paraId="6A816597" w14:textId="77777777" w:rsidR="00534F90" w:rsidRPr="00534F90" w:rsidRDefault="00534F90" w:rsidP="00534F90">
            <w:pPr>
              <w:rPr>
                <w:lang w:val="en-US"/>
              </w:rPr>
            </w:pPr>
            <w:r w:rsidRPr="00534F90">
              <w:rPr>
                <w:lang w:val="en-US"/>
              </w:rPr>
              <w:t>.109</w:t>
            </w:r>
          </w:p>
        </w:tc>
        <w:tc>
          <w:tcPr>
            <w:tcW w:w="845" w:type="dxa"/>
            <w:tcBorders>
              <w:top w:val="nil"/>
              <w:left w:val="nil"/>
              <w:bottom w:val="nil"/>
              <w:right w:val="nil"/>
            </w:tcBorders>
          </w:tcPr>
          <w:p w14:paraId="01234C25" w14:textId="77777777" w:rsidR="00534F90" w:rsidRPr="00534F90" w:rsidRDefault="00534F90" w:rsidP="00534F90">
            <w:pPr>
              <w:rPr>
                <w:lang w:val="en-US"/>
              </w:rPr>
            </w:pPr>
            <w:r w:rsidRPr="00534F90">
              <w:rPr>
                <w:lang w:val="en-US"/>
              </w:rPr>
              <w:t>4.485</w:t>
            </w:r>
          </w:p>
        </w:tc>
        <w:tc>
          <w:tcPr>
            <w:tcW w:w="845" w:type="dxa"/>
            <w:tcBorders>
              <w:top w:val="nil"/>
              <w:left w:val="nil"/>
              <w:bottom w:val="nil"/>
              <w:right w:val="nil"/>
            </w:tcBorders>
          </w:tcPr>
          <w:p w14:paraId="422CC557" w14:textId="77777777" w:rsidR="00534F90" w:rsidRPr="00534F90" w:rsidRDefault="00534F90" w:rsidP="00534F90">
            <w:pPr>
              <w:rPr>
                <w:lang w:val="en-US"/>
              </w:rPr>
            </w:pPr>
            <w:r w:rsidRPr="00534F90">
              <w:rPr>
                <w:lang w:val="en-US"/>
              </w:rPr>
              <w:t>.146</w:t>
            </w:r>
          </w:p>
        </w:tc>
        <w:tc>
          <w:tcPr>
            <w:tcW w:w="845" w:type="dxa"/>
            <w:tcBorders>
              <w:top w:val="nil"/>
              <w:left w:val="nil"/>
              <w:bottom w:val="nil"/>
              <w:right w:val="nil"/>
            </w:tcBorders>
          </w:tcPr>
          <w:p w14:paraId="4A9B604A" w14:textId="77777777" w:rsidR="00534F90" w:rsidRPr="00534F90" w:rsidRDefault="00534F90" w:rsidP="00534F90">
            <w:pPr>
              <w:rPr>
                <w:lang w:val="en-US"/>
              </w:rPr>
            </w:pPr>
            <w:r w:rsidRPr="00534F90">
              <w:rPr>
                <w:lang w:val="en-US"/>
              </w:rPr>
              <w:t>2.708</w:t>
            </w:r>
          </w:p>
        </w:tc>
        <w:tc>
          <w:tcPr>
            <w:tcW w:w="845" w:type="dxa"/>
            <w:tcBorders>
              <w:top w:val="nil"/>
              <w:left w:val="nil"/>
              <w:bottom w:val="nil"/>
              <w:right w:val="nil"/>
            </w:tcBorders>
          </w:tcPr>
          <w:p w14:paraId="45C9D957" w14:textId="77777777" w:rsidR="00534F90" w:rsidRPr="00534F90" w:rsidRDefault="00534F90" w:rsidP="00534F90">
            <w:pPr>
              <w:rPr>
                <w:lang w:val="en-US"/>
              </w:rPr>
            </w:pPr>
            <w:r w:rsidRPr="00534F90">
              <w:rPr>
                <w:lang w:val="en-US"/>
              </w:rPr>
              <w:t>3.175</w:t>
            </w:r>
          </w:p>
        </w:tc>
        <w:tc>
          <w:tcPr>
            <w:tcW w:w="850" w:type="dxa"/>
            <w:tcBorders>
              <w:top w:val="nil"/>
              <w:left w:val="nil"/>
              <w:bottom w:val="nil"/>
              <w:right w:val="nil"/>
            </w:tcBorders>
          </w:tcPr>
          <w:p w14:paraId="6BA3AC01" w14:textId="77777777" w:rsidR="00534F90" w:rsidRPr="00534F90" w:rsidRDefault="00534F90" w:rsidP="00534F90">
            <w:pPr>
              <w:rPr>
                <w:lang w:val="en-US"/>
              </w:rPr>
            </w:pPr>
            <w:r w:rsidRPr="00534F90">
              <w:rPr>
                <w:lang w:val="en-US"/>
              </w:rPr>
              <w:t>16.118</w:t>
            </w:r>
          </w:p>
        </w:tc>
      </w:tr>
      <w:tr w:rsidR="00FB5FFD" w:rsidRPr="00534F90" w14:paraId="1C3ED10D" w14:textId="77777777" w:rsidTr="000460E1">
        <w:trPr>
          <w:gridAfter w:val="1"/>
          <w:wAfter w:w="26" w:type="dxa"/>
          <w:trHeight w:val="80"/>
        </w:trPr>
        <w:tc>
          <w:tcPr>
            <w:tcW w:w="1616" w:type="dxa"/>
            <w:tcBorders>
              <w:top w:val="nil"/>
              <w:left w:val="nil"/>
              <w:bottom w:val="nil"/>
              <w:right w:val="nil"/>
            </w:tcBorders>
          </w:tcPr>
          <w:p w14:paraId="0DF1DE89" w14:textId="77777777" w:rsidR="00534F90" w:rsidRPr="00534F90" w:rsidRDefault="00534F90" w:rsidP="00534F90">
            <w:pPr>
              <w:rPr>
                <w:lang w:val="en-US"/>
              </w:rPr>
            </w:pPr>
            <w:r w:rsidRPr="00534F90">
              <w:rPr>
                <w:lang w:val="en-US"/>
              </w:rPr>
              <w:t xml:space="preserve"> OIS</w:t>
            </w:r>
          </w:p>
        </w:tc>
        <w:tc>
          <w:tcPr>
            <w:tcW w:w="677" w:type="dxa"/>
            <w:tcBorders>
              <w:top w:val="nil"/>
              <w:left w:val="nil"/>
              <w:bottom w:val="nil"/>
              <w:right w:val="nil"/>
            </w:tcBorders>
          </w:tcPr>
          <w:p w14:paraId="12F2E42C" w14:textId="77777777" w:rsidR="00534F90" w:rsidRPr="00534F90" w:rsidRDefault="00534F90" w:rsidP="00534F90">
            <w:pPr>
              <w:rPr>
                <w:lang w:val="en-US"/>
              </w:rPr>
            </w:pPr>
            <w:r w:rsidRPr="00534F90">
              <w:rPr>
                <w:lang w:val="en-US"/>
              </w:rPr>
              <w:t>2605</w:t>
            </w:r>
          </w:p>
        </w:tc>
        <w:tc>
          <w:tcPr>
            <w:tcW w:w="845" w:type="dxa"/>
            <w:tcBorders>
              <w:top w:val="nil"/>
              <w:left w:val="nil"/>
              <w:bottom w:val="nil"/>
              <w:right w:val="nil"/>
            </w:tcBorders>
          </w:tcPr>
          <w:p w14:paraId="0B282605" w14:textId="77777777" w:rsidR="00534F90" w:rsidRPr="00534F90" w:rsidRDefault="00534F90" w:rsidP="00534F90">
            <w:pPr>
              <w:rPr>
                <w:lang w:val="en-US"/>
              </w:rPr>
            </w:pPr>
            <w:r w:rsidRPr="00534F90">
              <w:rPr>
                <w:lang w:val="en-US"/>
              </w:rPr>
              <w:t>.293</w:t>
            </w:r>
          </w:p>
        </w:tc>
        <w:tc>
          <w:tcPr>
            <w:tcW w:w="845" w:type="dxa"/>
            <w:tcBorders>
              <w:top w:val="nil"/>
              <w:left w:val="nil"/>
              <w:bottom w:val="nil"/>
              <w:right w:val="nil"/>
            </w:tcBorders>
          </w:tcPr>
          <w:p w14:paraId="1E47483A" w14:textId="77777777" w:rsidR="00534F90" w:rsidRPr="00534F90" w:rsidRDefault="00534F90" w:rsidP="00534F90">
            <w:pPr>
              <w:rPr>
                <w:lang w:val="en-US"/>
              </w:rPr>
            </w:pPr>
            <w:r w:rsidRPr="00534F90">
              <w:rPr>
                <w:lang w:val="en-US"/>
              </w:rPr>
              <w:t>.396</w:t>
            </w:r>
          </w:p>
        </w:tc>
        <w:tc>
          <w:tcPr>
            <w:tcW w:w="845" w:type="dxa"/>
            <w:tcBorders>
              <w:top w:val="nil"/>
              <w:left w:val="nil"/>
              <w:bottom w:val="nil"/>
              <w:right w:val="nil"/>
            </w:tcBorders>
          </w:tcPr>
          <w:p w14:paraId="2FAA8FF5" w14:textId="77777777" w:rsidR="00534F90" w:rsidRPr="00534F90" w:rsidRDefault="00534F90" w:rsidP="00534F90">
            <w:pPr>
              <w:rPr>
                <w:lang w:val="en-US"/>
              </w:rPr>
            </w:pPr>
            <w:r w:rsidRPr="00534F90">
              <w:rPr>
                <w:lang w:val="en-US"/>
              </w:rPr>
              <w:t>.019</w:t>
            </w:r>
          </w:p>
        </w:tc>
        <w:tc>
          <w:tcPr>
            <w:tcW w:w="845" w:type="dxa"/>
            <w:tcBorders>
              <w:top w:val="nil"/>
              <w:left w:val="nil"/>
              <w:bottom w:val="nil"/>
              <w:right w:val="nil"/>
            </w:tcBorders>
          </w:tcPr>
          <w:p w14:paraId="3D6172A6" w14:textId="77777777" w:rsidR="00534F90" w:rsidRPr="00534F90" w:rsidRDefault="00534F90" w:rsidP="00534F90">
            <w:pPr>
              <w:rPr>
                <w:lang w:val="en-US"/>
              </w:rPr>
            </w:pPr>
            <w:r w:rsidRPr="00534F90">
              <w:rPr>
                <w:lang w:val="en-US"/>
              </w:rPr>
              <w:t>3.644</w:t>
            </w:r>
          </w:p>
        </w:tc>
        <w:tc>
          <w:tcPr>
            <w:tcW w:w="845" w:type="dxa"/>
            <w:tcBorders>
              <w:top w:val="nil"/>
              <w:left w:val="nil"/>
              <w:bottom w:val="nil"/>
              <w:right w:val="nil"/>
            </w:tcBorders>
          </w:tcPr>
          <w:p w14:paraId="5E7814D2" w14:textId="77777777" w:rsidR="00534F90" w:rsidRPr="00534F90" w:rsidRDefault="00534F90" w:rsidP="00534F90">
            <w:pPr>
              <w:rPr>
                <w:lang w:val="en-US"/>
              </w:rPr>
            </w:pPr>
            <w:r w:rsidRPr="00534F90">
              <w:rPr>
                <w:lang w:val="en-US"/>
              </w:rPr>
              <w:t>.056</w:t>
            </w:r>
          </w:p>
        </w:tc>
        <w:tc>
          <w:tcPr>
            <w:tcW w:w="845" w:type="dxa"/>
            <w:tcBorders>
              <w:top w:val="nil"/>
              <w:left w:val="nil"/>
              <w:bottom w:val="nil"/>
              <w:right w:val="nil"/>
            </w:tcBorders>
          </w:tcPr>
          <w:p w14:paraId="3FC39B99" w14:textId="77777777" w:rsidR="00534F90" w:rsidRPr="00534F90" w:rsidRDefault="00534F90" w:rsidP="00534F90">
            <w:pPr>
              <w:rPr>
                <w:lang w:val="en-US"/>
              </w:rPr>
            </w:pPr>
            <w:r w:rsidRPr="00534F90">
              <w:rPr>
                <w:lang w:val="en-US"/>
              </w:rPr>
              <w:t>2.127</w:t>
            </w:r>
          </w:p>
        </w:tc>
        <w:tc>
          <w:tcPr>
            <w:tcW w:w="845" w:type="dxa"/>
            <w:tcBorders>
              <w:top w:val="nil"/>
              <w:left w:val="nil"/>
              <w:bottom w:val="nil"/>
              <w:right w:val="nil"/>
            </w:tcBorders>
          </w:tcPr>
          <w:p w14:paraId="4E351838" w14:textId="77777777" w:rsidR="00534F90" w:rsidRPr="00534F90" w:rsidRDefault="00534F90" w:rsidP="00534F90">
            <w:pPr>
              <w:rPr>
                <w:lang w:val="en-US"/>
              </w:rPr>
            </w:pPr>
            <w:r w:rsidRPr="00534F90">
              <w:rPr>
                <w:lang w:val="en-US"/>
              </w:rPr>
              <w:t>3.981</w:t>
            </w:r>
          </w:p>
        </w:tc>
        <w:tc>
          <w:tcPr>
            <w:tcW w:w="850" w:type="dxa"/>
            <w:tcBorders>
              <w:top w:val="nil"/>
              <w:left w:val="nil"/>
              <w:bottom w:val="nil"/>
              <w:right w:val="nil"/>
            </w:tcBorders>
          </w:tcPr>
          <w:p w14:paraId="65EEFBCD" w14:textId="77777777" w:rsidR="00534F90" w:rsidRPr="00534F90" w:rsidRDefault="00534F90" w:rsidP="00534F90">
            <w:pPr>
              <w:rPr>
                <w:lang w:val="en-US"/>
              </w:rPr>
            </w:pPr>
            <w:r w:rsidRPr="00534F90">
              <w:rPr>
                <w:lang w:val="en-US"/>
              </w:rPr>
              <w:t>24.283</w:t>
            </w:r>
          </w:p>
        </w:tc>
      </w:tr>
      <w:tr w:rsidR="00534F90" w:rsidRPr="00534F90" w14:paraId="184541BA" w14:textId="77777777" w:rsidTr="000460E1">
        <w:trPr>
          <w:trHeight w:val="162"/>
        </w:trPr>
        <w:tc>
          <w:tcPr>
            <w:tcW w:w="9084" w:type="dxa"/>
            <w:gridSpan w:val="11"/>
            <w:tcBorders>
              <w:top w:val="single" w:sz="6" w:space="0" w:color="auto"/>
              <w:left w:val="nil"/>
              <w:bottom w:val="nil"/>
              <w:right w:val="nil"/>
            </w:tcBorders>
          </w:tcPr>
          <w:p w14:paraId="30E69094" w14:textId="77777777" w:rsidR="00534F90" w:rsidRPr="00534F90" w:rsidRDefault="00534F90" w:rsidP="00534F90">
            <w:pPr>
              <w:rPr>
                <w:lang w:val="en-US"/>
              </w:rPr>
            </w:pPr>
          </w:p>
        </w:tc>
      </w:tr>
    </w:tbl>
    <w:p w14:paraId="3629B8E8" w14:textId="25F1606B" w:rsidR="002E217F" w:rsidRDefault="000460E1" w:rsidP="002E217F">
      <w:pPr>
        <w:rPr>
          <w:lang w:val="en-US"/>
        </w:rPr>
      </w:pPr>
      <w:r w:rsidRPr="002E217F">
        <w:rPr>
          <w:noProof/>
          <w:lang w:eastAsia="en-GB"/>
        </w:rPr>
        <w:drawing>
          <wp:inline distT="0" distB="0" distL="0" distR="0" wp14:anchorId="380CA7F6" wp14:editId="0CA387BC">
            <wp:extent cx="5730926" cy="6000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8">
                      <a:extLst>
                        <a:ext uri="{28A0092B-C50C-407E-A947-70E740481C1C}">
                          <a14:useLocalDpi xmlns:a14="http://schemas.microsoft.com/office/drawing/2010/main" val="0"/>
                        </a:ext>
                      </a:extLst>
                    </a:blip>
                    <a:srcRect r="34855"/>
                    <a:stretch/>
                  </pic:blipFill>
                  <pic:spPr bwMode="auto">
                    <a:xfrm>
                      <a:off x="0" y="0"/>
                      <a:ext cx="5731765" cy="6001629"/>
                    </a:xfrm>
                    <a:prstGeom prst="rect">
                      <a:avLst/>
                    </a:prstGeom>
                    <a:noFill/>
                    <a:ln>
                      <a:noFill/>
                    </a:ln>
                    <a:extLst>
                      <a:ext uri="{53640926-AAD7-44D8-BBD7-CCE9431645EC}">
                        <a14:shadowObscured xmlns:a14="http://schemas.microsoft.com/office/drawing/2010/main"/>
                      </a:ext>
                    </a:extLst>
                  </pic:spPr>
                </pic:pic>
              </a:graphicData>
            </a:graphic>
          </wp:inline>
        </w:drawing>
      </w:r>
    </w:p>
    <w:p w14:paraId="79FCEC53" w14:textId="3EF14C49" w:rsidR="002E217F" w:rsidRDefault="00D2472B" w:rsidP="00CB0BC0">
      <w:pPr>
        <w:pStyle w:val="Heading2"/>
        <w:rPr>
          <w:lang w:val="en-US"/>
        </w:rPr>
      </w:pPr>
      <w:bookmarkStart w:id="216" w:name="_Toc90500021"/>
      <w:r>
        <w:rPr>
          <w:lang w:val="en-US"/>
        </w:rPr>
        <w:lastRenderedPageBreak/>
        <w:t>Pre-Crisis</w:t>
      </w:r>
      <w:r w:rsidR="00CB0BC0">
        <w:rPr>
          <w:lang w:val="en-US"/>
        </w:rPr>
        <w:t xml:space="preserve"> period</w:t>
      </w:r>
      <w:bookmarkEnd w:id="216"/>
      <w:r w:rsidR="00CB0BC0">
        <w:rPr>
          <w:lang w:val="en-US"/>
        </w:rPr>
        <w:t xml:space="preserve"> </w:t>
      </w:r>
    </w:p>
    <w:p w14:paraId="50E8E3DF" w14:textId="270CDACE" w:rsidR="002E217F" w:rsidRDefault="002E217F" w:rsidP="002E217F">
      <w:pPr>
        <w:rPr>
          <w:noProof/>
          <w:lang w:val="en-US"/>
        </w:rPr>
      </w:pPr>
      <w:r w:rsidRPr="002E217F">
        <w:rPr>
          <w:noProof/>
          <w:lang w:eastAsia="en-GB"/>
        </w:rPr>
        <w:drawing>
          <wp:inline distT="0" distB="0" distL="0" distR="0" wp14:anchorId="72982377" wp14:editId="5D2AAB26">
            <wp:extent cx="5731510" cy="797242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7972425"/>
                    </a:xfrm>
                    <a:prstGeom prst="rect">
                      <a:avLst/>
                    </a:prstGeom>
                    <a:noFill/>
                    <a:ln>
                      <a:noFill/>
                    </a:ln>
                  </pic:spPr>
                </pic:pic>
              </a:graphicData>
            </a:graphic>
          </wp:inline>
        </w:drawing>
      </w:r>
    </w:p>
    <w:p w14:paraId="3332CBBB" w14:textId="1BF60D8B" w:rsidR="002E217F" w:rsidRPr="002E217F" w:rsidRDefault="002E217F" w:rsidP="002E217F">
      <w:pPr>
        <w:rPr>
          <w:lang w:val="en-US"/>
        </w:rPr>
      </w:pPr>
    </w:p>
    <w:p w14:paraId="497252CE" w14:textId="7C6F609A" w:rsidR="002E217F" w:rsidRPr="002E217F" w:rsidRDefault="00053A69" w:rsidP="00CB0BC0">
      <w:pPr>
        <w:pStyle w:val="Heading2"/>
        <w:rPr>
          <w:lang w:val="en-US"/>
        </w:rPr>
      </w:pPr>
      <w:bookmarkStart w:id="217" w:name="_Toc90500022"/>
      <w:r>
        <w:rPr>
          <w:lang w:val="en-US"/>
        </w:rPr>
        <w:lastRenderedPageBreak/>
        <w:t>During Crisis p</w:t>
      </w:r>
      <w:r w:rsidR="00CB0BC0">
        <w:rPr>
          <w:lang w:val="en-US"/>
        </w:rPr>
        <w:t>eriod</w:t>
      </w:r>
      <w:bookmarkEnd w:id="217"/>
    </w:p>
    <w:p w14:paraId="69A93CC6" w14:textId="03168171" w:rsidR="002E217F" w:rsidRDefault="002E217F" w:rsidP="002E217F">
      <w:pPr>
        <w:rPr>
          <w:noProof/>
          <w:lang w:val="en-US"/>
        </w:rPr>
      </w:pPr>
      <w:r w:rsidRPr="002E217F">
        <w:rPr>
          <w:noProof/>
          <w:lang w:eastAsia="en-GB"/>
        </w:rPr>
        <w:drawing>
          <wp:inline distT="0" distB="0" distL="0" distR="0" wp14:anchorId="79CB1C30" wp14:editId="1027A9FE">
            <wp:extent cx="5731510" cy="745807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7458075"/>
                    </a:xfrm>
                    <a:prstGeom prst="rect">
                      <a:avLst/>
                    </a:prstGeom>
                    <a:noFill/>
                    <a:ln>
                      <a:noFill/>
                    </a:ln>
                  </pic:spPr>
                </pic:pic>
              </a:graphicData>
            </a:graphic>
          </wp:inline>
        </w:drawing>
      </w:r>
    </w:p>
    <w:p w14:paraId="11708201" w14:textId="16087C87" w:rsidR="002E217F" w:rsidRPr="002E217F" w:rsidRDefault="002E217F" w:rsidP="002E217F">
      <w:pPr>
        <w:rPr>
          <w:lang w:val="en-US"/>
        </w:rPr>
      </w:pPr>
    </w:p>
    <w:p w14:paraId="5E9DF738" w14:textId="6D2217AD" w:rsidR="002E217F" w:rsidRPr="002E217F" w:rsidRDefault="002E217F" w:rsidP="002E217F">
      <w:pPr>
        <w:rPr>
          <w:lang w:val="en-US"/>
        </w:rPr>
      </w:pPr>
    </w:p>
    <w:p w14:paraId="4FF33D1C" w14:textId="417C3F5A" w:rsidR="002E217F" w:rsidRDefault="002E217F" w:rsidP="002E217F">
      <w:pPr>
        <w:rPr>
          <w:noProof/>
          <w:lang w:val="en-US"/>
        </w:rPr>
      </w:pPr>
    </w:p>
    <w:p w14:paraId="569733EA" w14:textId="3EF28D1A" w:rsidR="002E217F" w:rsidRDefault="00CB0BC0" w:rsidP="00CB0BC0">
      <w:pPr>
        <w:pStyle w:val="Heading2"/>
        <w:rPr>
          <w:lang w:val="en-US"/>
        </w:rPr>
      </w:pPr>
      <w:bookmarkStart w:id="218" w:name="_Toc90500023"/>
      <w:r>
        <w:rPr>
          <w:lang w:val="en-US"/>
        </w:rPr>
        <w:lastRenderedPageBreak/>
        <w:t>Po</w:t>
      </w:r>
      <w:r w:rsidR="00D2472B">
        <w:rPr>
          <w:lang w:val="en-US"/>
        </w:rPr>
        <w:t>st-</w:t>
      </w:r>
      <w:r>
        <w:rPr>
          <w:lang w:val="en-US"/>
        </w:rPr>
        <w:t>Crisis period</w:t>
      </w:r>
      <w:bookmarkEnd w:id="218"/>
      <w:r>
        <w:rPr>
          <w:lang w:val="en-US"/>
        </w:rPr>
        <w:t xml:space="preserve"> </w:t>
      </w:r>
    </w:p>
    <w:p w14:paraId="3EE0A779" w14:textId="5F7DFDC0" w:rsidR="002E217F" w:rsidRDefault="002E217F" w:rsidP="002E217F">
      <w:pPr>
        <w:rPr>
          <w:noProof/>
          <w:lang w:val="en-US"/>
        </w:rPr>
      </w:pPr>
      <w:r w:rsidRPr="002E217F">
        <w:rPr>
          <w:noProof/>
          <w:lang w:eastAsia="en-GB"/>
        </w:rPr>
        <w:drawing>
          <wp:inline distT="0" distB="0" distL="0" distR="0" wp14:anchorId="22764AFD" wp14:editId="5FD71B36">
            <wp:extent cx="5731510" cy="797242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7972425"/>
                    </a:xfrm>
                    <a:prstGeom prst="rect">
                      <a:avLst/>
                    </a:prstGeom>
                    <a:noFill/>
                    <a:ln>
                      <a:noFill/>
                    </a:ln>
                  </pic:spPr>
                </pic:pic>
              </a:graphicData>
            </a:graphic>
          </wp:inline>
        </w:drawing>
      </w:r>
    </w:p>
    <w:p w14:paraId="7F7C93AD" w14:textId="07DDE985" w:rsidR="002E217F" w:rsidRPr="002E217F" w:rsidRDefault="002E217F" w:rsidP="002E217F">
      <w:pPr>
        <w:rPr>
          <w:lang w:val="en-US"/>
        </w:rPr>
      </w:pPr>
    </w:p>
    <w:p w14:paraId="67545B18" w14:textId="2A37A85F" w:rsidR="002E217F" w:rsidRDefault="002E217F" w:rsidP="002E217F">
      <w:pPr>
        <w:rPr>
          <w:noProof/>
          <w:lang w:val="en-US"/>
        </w:rPr>
      </w:pPr>
    </w:p>
    <w:p w14:paraId="6705F1CA" w14:textId="7A210823" w:rsidR="00CB0BC0" w:rsidRDefault="00CB0BC0" w:rsidP="00CB0BC0">
      <w:pPr>
        <w:pStyle w:val="Heading2"/>
        <w:rPr>
          <w:lang w:val="en-US"/>
        </w:rPr>
      </w:pPr>
      <w:bookmarkStart w:id="219" w:name="_Toc90500024"/>
      <w:r>
        <w:rPr>
          <w:lang w:val="en-US"/>
        </w:rPr>
        <w:lastRenderedPageBreak/>
        <w:t>Testing normality</w:t>
      </w:r>
      <w:bookmarkEnd w:id="219"/>
      <w:r>
        <w:rPr>
          <w:lang w:val="en-US"/>
        </w:rPr>
        <w:t xml:space="preserve"> </w:t>
      </w:r>
    </w:p>
    <w:p w14:paraId="6A19C82B" w14:textId="77777777" w:rsidR="00CB0BC0" w:rsidRDefault="00CB0BC0" w:rsidP="002E217F">
      <w:pPr>
        <w:rPr>
          <w:lang w:val="en-US"/>
        </w:rPr>
      </w:pPr>
    </w:p>
    <w:p w14:paraId="624A3DC3" w14:textId="0ABE6CC9" w:rsidR="002E217F" w:rsidRDefault="002E217F" w:rsidP="002E217F">
      <w:pPr>
        <w:rPr>
          <w:lang w:val="en-US"/>
        </w:rPr>
      </w:pPr>
      <w:r w:rsidRPr="002E217F">
        <w:rPr>
          <w:lang w:val="en-US"/>
        </w:rPr>
        <w:t>*****            testing normality     *****</w:t>
      </w:r>
    </w:p>
    <w:p w14:paraId="46601BAF" w14:textId="0803301F" w:rsidR="002E217F" w:rsidRDefault="002E217F" w:rsidP="002E217F">
      <w:pPr>
        <w:rPr>
          <w:lang w:val="en-US"/>
        </w:rPr>
      </w:pPr>
      <w:r w:rsidRPr="002E217F">
        <w:rPr>
          <w:noProof/>
          <w:lang w:eastAsia="en-GB"/>
        </w:rPr>
        <w:drawing>
          <wp:inline distT="0" distB="0" distL="0" distR="0" wp14:anchorId="408C2E32" wp14:editId="497FFDF7">
            <wp:extent cx="5643563" cy="1504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62">
                      <a:extLst>
                        <a:ext uri="{28A0092B-C50C-407E-A947-70E740481C1C}">
                          <a14:useLocalDpi xmlns:a14="http://schemas.microsoft.com/office/drawing/2010/main" val="0"/>
                        </a:ext>
                      </a:extLst>
                    </a:blip>
                    <a:srcRect r="23388"/>
                    <a:stretch/>
                  </pic:blipFill>
                  <pic:spPr bwMode="auto">
                    <a:xfrm>
                      <a:off x="0" y="0"/>
                      <a:ext cx="5645389" cy="1505437"/>
                    </a:xfrm>
                    <a:prstGeom prst="rect">
                      <a:avLst/>
                    </a:prstGeom>
                    <a:noFill/>
                    <a:ln>
                      <a:noFill/>
                    </a:ln>
                    <a:extLst>
                      <a:ext uri="{53640926-AAD7-44D8-BBD7-CCE9431645EC}">
                        <a14:shadowObscured xmlns:a14="http://schemas.microsoft.com/office/drawing/2010/main"/>
                      </a:ext>
                    </a:extLst>
                  </pic:spPr>
                </pic:pic>
              </a:graphicData>
            </a:graphic>
          </wp:inline>
        </w:drawing>
      </w:r>
    </w:p>
    <w:p w14:paraId="7D59B986" w14:textId="7143BDDA" w:rsidR="002E217F" w:rsidRPr="002E217F" w:rsidRDefault="002E217F" w:rsidP="002E217F">
      <w:pPr>
        <w:rPr>
          <w:lang w:val="en-US"/>
        </w:rPr>
      </w:pPr>
    </w:p>
    <w:p w14:paraId="4ED74410" w14:textId="1DC85307" w:rsidR="002E217F" w:rsidRDefault="008E49AD" w:rsidP="002E217F">
      <w:pPr>
        <w:rPr>
          <w:noProof/>
          <w:lang w:val="en-US"/>
        </w:rPr>
      </w:pPr>
      <w:r w:rsidRPr="008E49AD">
        <w:rPr>
          <w:noProof/>
          <w:lang w:eastAsia="en-GB"/>
        </w:rPr>
        <w:drawing>
          <wp:inline distT="0" distB="0" distL="0" distR="0" wp14:anchorId="71DCFF87" wp14:editId="447BDFD9">
            <wp:extent cx="5534025" cy="20118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3">
                      <a:extLst>
                        <a:ext uri="{28A0092B-C50C-407E-A947-70E740481C1C}">
                          <a14:useLocalDpi xmlns:a14="http://schemas.microsoft.com/office/drawing/2010/main" val="0"/>
                        </a:ext>
                      </a:extLst>
                    </a:blip>
                    <a:srcRect r="48648"/>
                    <a:stretch/>
                  </pic:blipFill>
                  <pic:spPr bwMode="auto">
                    <a:xfrm>
                      <a:off x="0" y="0"/>
                      <a:ext cx="5544184" cy="2015523"/>
                    </a:xfrm>
                    <a:prstGeom prst="rect">
                      <a:avLst/>
                    </a:prstGeom>
                    <a:noFill/>
                    <a:ln>
                      <a:noFill/>
                    </a:ln>
                    <a:extLst>
                      <a:ext uri="{53640926-AAD7-44D8-BBD7-CCE9431645EC}">
                        <a14:shadowObscured xmlns:a14="http://schemas.microsoft.com/office/drawing/2010/main"/>
                      </a:ext>
                    </a:extLst>
                  </pic:spPr>
                </pic:pic>
              </a:graphicData>
            </a:graphic>
          </wp:inline>
        </w:drawing>
      </w:r>
    </w:p>
    <w:p w14:paraId="292607D7" w14:textId="330783D8" w:rsidR="008E49AD" w:rsidRDefault="008E49AD" w:rsidP="008E49AD">
      <w:pPr>
        <w:rPr>
          <w:noProof/>
          <w:lang w:val="en-US"/>
        </w:rPr>
      </w:pPr>
    </w:p>
    <w:p w14:paraId="4259CCE9" w14:textId="6B9AB5D4" w:rsidR="008E49AD" w:rsidRDefault="008E49AD" w:rsidP="008E49AD">
      <w:pPr>
        <w:rPr>
          <w:noProof/>
          <w:lang w:val="en-US"/>
        </w:rPr>
      </w:pPr>
      <w:r w:rsidRPr="008E49AD">
        <w:rPr>
          <w:noProof/>
          <w:lang w:eastAsia="en-GB"/>
        </w:rPr>
        <w:drawing>
          <wp:inline distT="0" distB="0" distL="0" distR="0" wp14:anchorId="13546B64" wp14:editId="77646747">
            <wp:extent cx="5212633" cy="1657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64">
                      <a:extLst>
                        <a:ext uri="{28A0092B-C50C-407E-A947-70E740481C1C}">
                          <a14:useLocalDpi xmlns:a14="http://schemas.microsoft.com/office/drawing/2010/main" val="0"/>
                        </a:ext>
                      </a:extLst>
                    </a:blip>
                    <a:srcRect r="50310"/>
                    <a:stretch/>
                  </pic:blipFill>
                  <pic:spPr bwMode="auto">
                    <a:xfrm>
                      <a:off x="0" y="0"/>
                      <a:ext cx="5217051" cy="1658755"/>
                    </a:xfrm>
                    <a:prstGeom prst="rect">
                      <a:avLst/>
                    </a:prstGeom>
                    <a:noFill/>
                    <a:ln>
                      <a:noFill/>
                    </a:ln>
                    <a:extLst>
                      <a:ext uri="{53640926-AAD7-44D8-BBD7-CCE9431645EC}">
                        <a14:shadowObscured xmlns:a14="http://schemas.microsoft.com/office/drawing/2010/main"/>
                      </a:ext>
                    </a:extLst>
                  </pic:spPr>
                </pic:pic>
              </a:graphicData>
            </a:graphic>
          </wp:inline>
        </w:drawing>
      </w:r>
    </w:p>
    <w:p w14:paraId="293E7D87" w14:textId="19CB23D2" w:rsidR="008E49AD" w:rsidRDefault="008E49AD" w:rsidP="008E49AD">
      <w:pPr>
        <w:rPr>
          <w:noProof/>
          <w:lang w:val="en-US"/>
        </w:rPr>
      </w:pPr>
    </w:p>
    <w:p w14:paraId="604223D8" w14:textId="77777777" w:rsidR="00CB0BC0" w:rsidRDefault="00CB0BC0" w:rsidP="008E49AD">
      <w:pPr>
        <w:rPr>
          <w:noProof/>
          <w:lang w:val="en-US"/>
        </w:rPr>
      </w:pPr>
    </w:p>
    <w:p w14:paraId="6465FC7E" w14:textId="77777777" w:rsidR="00CB0BC0" w:rsidRDefault="00CB0BC0" w:rsidP="008E49AD">
      <w:pPr>
        <w:rPr>
          <w:noProof/>
          <w:lang w:val="en-US"/>
        </w:rPr>
      </w:pPr>
    </w:p>
    <w:p w14:paraId="3794649C" w14:textId="77777777" w:rsidR="00CB0BC0" w:rsidRDefault="00CB0BC0" w:rsidP="008E49AD">
      <w:pPr>
        <w:rPr>
          <w:noProof/>
          <w:lang w:val="en-US"/>
        </w:rPr>
      </w:pPr>
    </w:p>
    <w:p w14:paraId="52E491A8" w14:textId="77777777" w:rsidR="00CB0BC0" w:rsidRDefault="00CB0BC0" w:rsidP="008E49AD">
      <w:pPr>
        <w:rPr>
          <w:noProof/>
          <w:lang w:val="en-US"/>
        </w:rPr>
      </w:pPr>
    </w:p>
    <w:p w14:paraId="22C98824" w14:textId="287884AD" w:rsidR="00CB0BC0" w:rsidRDefault="00CB0BC0" w:rsidP="00CB0BC0">
      <w:pPr>
        <w:pStyle w:val="Heading2"/>
        <w:rPr>
          <w:noProof/>
          <w:lang w:val="en-US"/>
        </w:rPr>
      </w:pPr>
      <w:bookmarkStart w:id="220" w:name="_Toc90500025"/>
      <w:r>
        <w:rPr>
          <w:noProof/>
          <w:lang w:val="en-US"/>
        </w:rPr>
        <w:lastRenderedPageBreak/>
        <w:t>Stationarity test</w:t>
      </w:r>
      <w:bookmarkEnd w:id="220"/>
      <w:r>
        <w:rPr>
          <w:noProof/>
          <w:lang w:val="en-US"/>
        </w:rPr>
        <w:t xml:space="preserve"> </w:t>
      </w:r>
    </w:p>
    <w:p w14:paraId="3BBCA9FF" w14:textId="4FD28031" w:rsidR="00CB0BC0" w:rsidRPr="00CB0BC0" w:rsidRDefault="00CB0BC0" w:rsidP="00CB0BC0">
      <w:pPr>
        <w:pStyle w:val="Heading3"/>
        <w:rPr>
          <w:lang w:val="en-US"/>
        </w:rPr>
      </w:pPr>
      <w:bookmarkStart w:id="221" w:name="_Toc90500026"/>
      <w:r>
        <w:rPr>
          <w:lang w:val="en-US"/>
        </w:rPr>
        <w:t>Phillips-Perron</w:t>
      </w:r>
      <w:bookmarkEnd w:id="221"/>
      <w:r>
        <w:rPr>
          <w:lang w:val="en-US"/>
        </w:rPr>
        <w:t xml:space="preserve"> </w:t>
      </w:r>
    </w:p>
    <w:p w14:paraId="2129DD13" w14:textId="7E4E6F98" w:rsidR="008E49AD" w:rsidRDefault="008E49AD" w:rsidP="008E49AD">
      <w:pPr>
        <w:rPr>
          <w:noProof/>
          <w:lang w:val="en-US"/>
        </w:rPr>
      </w:pPr>
      <w:r w:rsidRPr="008E49AD">
        <w:rPr>
          <w:noProof/>
          <w:lang w:eastAsia="en-GB"/>
        </w:rPr>
        <w:drawing>
          <wp:inline distT="0" distB="0" distL="0" distR="0" wp14:anchorId="30835CAC" wp14:editId="676AEA67">
            <wp:extent cx="4981575" cy="154617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5">
                      <a:extLst>
                        <a:ext uri="{28A0092B-C50C-407E-A947-70E740481C1C}">
                          <a14:useLocalDpi xmlns:a14="http://schemas.microsoft.com/office/drawing/2010/main" val="0"/>
                        </a:ext>
                      </a:extLst>
                    </a:blip>
                    <a:srcRect r="44494"/>
                    <a:stretch/>
                  </pic:blipFill>
                  <pic:spPr bwMode="auto">
                    <a:xfrm>
                      <a:off x="0" y="0"/>
                      <a:ext cx="4991086" cy="1549129"/>
                    </a:xfrm>
                    <a:prstGeom prst="rect">
                      <a:avLst/>
                    </a:prstGeom>
                    <a:noFill/>
                    <a:ln>
                      <a:noFill/>
                    </a:ln>
                    <a:extLst>
                      <a:ext uri="{53640926-AAD7-44D8-BBD7-CCE9431645EC}">
                        <a14:shadowObscured xmlns:a14="http://schemas.microsoft.com/office/drawing/2010/main"/>
                      </a:ext>
                    </a:extLst>
                  </pic:spPr>
                </pic:pic>
              </a:graphicData>
            </a:graphic>
          </wp:inline>
        </w:drawing>
      </w:r>
    </w:p>
    <w:p w14:paraId="221C109C" w14:textId="29B5E3D9" w:rsidR="0054033F" w:rsidRPr="0054033F" w:rsidRDefault="0054033F" w:rsidP="0054033F">
      <w:pPr>
        <w:rPr>
          <w:lang w:val="en-US"/>
        </w:rPr>
      </w:pPr>
    </w:p>
    <w:p w14:paraId="02D04EF5" w14:textId="1583AE93" w:rsidR="00CB0BC0" w:rsidRDefault="0054033F" w:rsidP="0054033F">
      <w:pPr>
        <w:rPr>
          <w:lang w:val="en-US"/>
        </w:rPr>
      </w:pPr>
      <w:r w:rsidRPr="0054033F">
        <w:rPr>
          <w:noProof/>
          <w:lang w:eastAsia="en-GB"/>
        </w:rPr>
        <w:drawing>
          <wp:inline distT="0" distB="0" distL="0" distR="0" wp14:anchorId="65FCEF64" wp14:editId="3A80F291">
            <wp:extent cx="5524500" cy="5676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r="40505"/>
                    <a:stretch/>
                  </pic:blipFill>
                  <pic:spPr bwMode="auto">
                    <a:xfrm>
                      <a:off x="0" y="0"/>
                      <a:ext cx="5524500" cy="5676900"/>
                    </a:xfrm>
                    <a:prstGeom prst="rect">
                      <a:avLst/>
                    </a:prstGeom>
                    <a:noFill/>
                    <a:ln>
                      <a:noFill/>
                    </a:ln>
                    <a:extLst>
                      <a:ext uri="{53640926-AAD7-44D8-BBD7-CCE9431645EC}">
                        <a14:shadowObscured xmlns:a14="http://schemas.microsoft.com/office/drawing/2010/main"/>
                      </a:ext>
                    </a:extLst>
                  </pic:spPr>
                </pic:pic>
              </a:graphicData>
            </a:graphic>
          </wp:inline>
        </w:drawing>
      </w:r>
    </w:p>
    <w:p w14:paraId="77CCF73E" w14:textId="77777777" w:rsidR="0054033F" w:rsidRDefault="0054033F" w:rsidP="00CB0BC0">
      <w:pPr>
        <w:rPr>
          <w:lang w:val="en-US"/>
        </w:rPr>
      </w:pPr>
    </w:p>
    <w:p w14:paraId="29DD69CC" w14:textId="2E307860" w:rsidR="00CB0BC0" w:rsidRPr="00CB0BC0" w:rsidRDefault="00CB0BC0" w:rsidP="00CB0BC0">
      <w:pPr>
        <w:pStyle w:val="Heading3"/>
        <w:rPr>
          <w:lang w:val="en-US"/>
        </w:rPr>
      </w:pPr>
      <w:bookmarkStart w:id="222" w:name="_Toc90500027"/>
      <w:proofErr w:type="spellStart"/>
      <w:r>
        <w:rPr>
          <w:lang w:val="en-US"/>
        </w:rPr>
        <w:lastRenderedPageBreak/>
        <w:t>Agumented</w:t>
      </w:r>
      <w:proofErr w:type="spellEnd"/>
      <w:r>
        <w:rPr>
          <w:lang w:val="en-US"/>
        </w:rPr>
        <w:t xml:space="preserve"> Dicky Fuller</w:t>
      </w:r>
      <w:bookmarkEnd w:id="222"/>
    </w:p>
    <w:p w14:paraId="445BD2AA" w14:textId="1BF41821" w:rsidR="002E217F" w:rsidRDefault="002E217F" w:rsidP="002E217F">
      <w:pPr>
        <w:rPr>
          <w:lang w:val="en-US"/>
        </w:rPr>
      </w:pPr>
      <w:r w:rsidRPr="002E217F">
        <w:rPr>
          <w:noProof/>
          <w:lang w:eastAsia="en-GB"/>
        </w:rPr>
        <w:drawing>
          <wp:inline distT="0" distB="0" distL="0" distR="0" wp14:anchorId="4D9E1A5A" wp14:editId="4A15E6A8">
            <wp:extent cx="5086350" cy="8420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7">
                      <a:extLst>
                        <a:ext uri="{28A0092B-C50C-407E-A947-70E740481C1C}">
                          <a14:useLocalDpi xmlns:a14="http://schemas.microsoft.com/office/drawing/2010/main" val="0"/>
                        </a:ext>
                      </a:extLst>
                    </a:blip>
                    <a:srcRect r="20377"/>
                    <a:stretch/>
                  </pic:blipFill>
                  <pic:spPr bwMode="auto">
                    <a:xfrm>
                      <a:off x="0" y="0"/>
                      <a:ext cx="5086350" cy="8420100"/>
                    </a:xfrm>
                    <a:prstGeom prst="rect">
                      <a:avLst/>
                    </a:prstGeom>
                    <a:noFill/>
                    <a:ln>
                      <a:noFill/>
                    </a:ln>
                    <a:extLst>
                      <a:ext uri="{53640926-AAD7-44D8-BBD7-CCE9431645EC}">
                        <a14:shadowObscured xmlns:a14="http://schemas.microsoft.com/office/drawing/2010/main"/>
                      </a:ext>
                    </a:extLst>
                  </pic:spPr>
                </pic:pic>
              </a:graphicData>
            </a:graphic>
          </wp:inline>
        </w:drawing>
      </w:r>
    </w:p>
    <w:p w14:paraId="7A6DE1D1" w14:textId="0FB15951" w:rsidR="002E217F" w:rsidRDefault="002E217F" w:rsidP="002E217F">
      <w:pPr>
        <w:rPr>
          <w:lang w:val="en-US"/>
        </w:rPr>
      </w:pPr>
      <w:r w:rsidRPr="002E217F">
        <w:rPr>
          <w:noProof/>
          <w:lang w:eastAsia="en-GB"/>
        </w:rPr>
        <w:lastRenderedPageBreak/>
        <w:drawing>
          <wp:inline distT="0" distB="0" distL="0" distR="0" wp14:anchorId="33C65B52" wp14:editId="4816F470">
            <wp:extent cx="5086350" cy="88633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8">
                      <a:extLst>
                        <a:ext uri="{28A0092B-C50C-407E-A947-70E740481C1C}">
                          <a14:useLocalDpi xmlns:a14="http://schemas.microsoft.com/office/drawing/2010/main" val="0"/>
                        </a:ext>
                      </a:extLst>
                    </a:blip>
                    <a:srcRect r="22563"/>
                    <a:stretch/>
                  </pic:blipFill>
                  <pic:spPr bwMode="auto">
                    <a:xfrm>
                      <a:off x="0" y="0"/>
                      <a:ext cx="5086350" cy="8863330"/>
                    </a:xfrm>
                    <a:prstGeom prst="rect">
                      <a:avLst/>
                    </a:prstGeom>
                    <a:noFill/>
                    <a:ln>
                      <a:noFill/>
                    </a:ln>
                    <a:extLst>
                      <a:ext uri="{53640926-AAD7-44D8-BBD7-CCE9431645EC}">
                        <a14:shadowObscured xmlns:a14="http://schemas.microsoft.com/office/drawing/2010/main"/>
                      </a:ext>
                    </a:extLst>
                  </pic:spPr>
                </pic:pic>
              </a:graphicData>
            </a:graphic>
          </wp:inline>
        </w:drawing>
      </w:r>
    </w:p>
    <w:p w14:paraId="21BC3CFD" w14:textId="2DA3E04E" w:rsidR="002E217F" w:rsidRDefault="002E217F" w:rsidP="002E217F">
      <w:pPr>
        <w:rPr>
          <w:lang w:val="en-US"/>
        </w:rPr>
      </w:pPr>
      <w:r w:rsidRPr="002E217F">
        <w:rPr>
          <w:noProof/>
          <w:lang w:eastAsia="en-GB"/>
        </w:rPr>
        <w:lastRenderedPageBreak/>
        <w:drawing>
          <wp:inline distT="0" distB="0" distL="0" distR="0" wp14:anchorId="6AA87CB6" wp14:editId="09172CD6">
            <wp:extent cx="5791200" cy="8783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69">
                      <a:extLst>
                        <a:ext uri="{28A0092B-C50C-407E-A947-70E740481C1C}">
                          <a14:useLocalDpi xmlns:a14="http://schemas.microsoft.com/office/drawing/2010/main" val="0"/>
                        </a:ext>
                      </a:extLst>
                    </a:blip>
                    <a:srcRect r="21726"/>
                    <a:stretch/>
                  </pic:blipFill>
                  <pic:spPr bwMode="auto">
                    <a:xfrm>
                      <a:off x="0" y="0"/>
                      <a:ext cx="5791200" cy="8783320"/>
                    </a:xfrm>
                    <a:prstGeom prst="rect">
                      <a:avLst/>
                    </a:prstGeom>
                    <a:noFill/>
                    <a:ln>
                      <a:noFill/>
                    </a:ln>
                    <a:extLst>
                      <a:ext uri="{53640926-AAD7-44D8-BBD7-CCE9431645EC}">
                        <a14:shadowObscured xmlns:a14="http://schemas.microsoft.com/office/drawing/2010/main"/>
                      </a:ext>
                    </a:extLst>
                  </pic:spPr>
                </pic:pic>
              </a:graphicData>
            </a:graphic>
          </wp:inline>
        </w:drawing>
      </w:r>
    </w:p>
    <w:p w14:paraId="02E0EC34" w14:textId="6923DE06" w:rsidR="001345B1" w:rsidRDefault="002E217F" w:rsidP="002E217F">
      <w:pPr>
        <w:rPr>
          <w:lang w:val="en-US"/>
        </w:rPr>
      </w:pPr>
      <w:r w:rsidRPr="002E217F">
        <w:rPr>
          <w:noProof/>
          <w:lang w:eastAsia="en-GB"/>
        </w:rPr>
        <w:lastRenderedPageBreak/>
        <w:drawing>
          <wp:inline distT="0" distB="0" distL="0" distR="0" wp14:anchorId="55A0104E" wp14:editId="168A5C62">
            <wp:extent cx="5810250" cy="8629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70">
                      <a:extLst>
                        <a:ext uri="{28A0092B-C50C-407E-A947-70E740481C1C}">
                          <a14:useLocalDpi xmlns:a14="http://schemas.microsoft.com/office/drawing/2010/main" val="0"/>
                        </a:ext>
                      </a:extLst>
                    </a:blip>
                    <a:srcRect r="20060"/>
                    <a:stretch/>
                  </pic:blipFill>
                  <pic:spPr bwMode="auto">
                    <a:xfrm>
                      <a:off x="0" y="0"/>
                      <a:ext cx="5810250" cy="8629650"/>
                    </a:xfrm>
                    <a:prstGeom prst="rect">
                      <a:avLst/>
                    </a:prstGeom>
                    <a:noFill/>
                    <a:ln>
                      <a:noFill/>
                    </a:ln>
                    <a:extLst>
                      <a:ext uri="{53640926-AAD7-44D8-BBD7-CCE9431645EC}">
                        <a14:shadowObscured xmlns:a14="http://schemas.microsoft.com/office/drawing/2010/main"/>
                      </a:ext>
                    </a:extLst>
                  </pic:spPr>
                </pic:pic>
              </a:graphicData>
            </a:graphic>
          </wp:inline>
        </w:drawing>
      </w:r>
    </w:p>
    <w:p w14:paraId="20098005" w14:textId="7086A2D3" w:rsidR="002E217F" w:rsidRDefault="001345B1" w:rsidP="001345B1">
      <w:pPr>
        <w:pStyle w:val="Heading2"/>
        <w:rPr>
          <w:lang w:val="en-US"/>
        </w:rPr>
      </w:pPr>
      <w:bookmarkStart w:id="223" w:name="_Toc90500028"/>
      <w:r>
        <w:rPr>
          <w:lang w:val="en-US"/>
        </w:rPr>
        <w:lastRenderedPageBreak/>
        <w:t>Autocorrelation and Partial Autocorrelation</w:t>
      </w:r>
      <w:bookmarkEnd w:id="223"/>
    </w:p>
    <w:p w14:paraId="473088D2" w14:textId="77777777" w:rsidR="001345B1" w:rsidRPr="001345B1" w:rsidRDefault="001345B1" w:rsidP="001345B1">
      <w:pPr>
        <w:rPr>
          <w:lang w:val="en-US"/>
        </w:rPr>
      </w:pPr>
    </w:p>
    <w:p w14:paraId="32EAEB36" w14:textId="2E8320A5" w:rsidR="002E217F" w:rsidRDefault="002E217F" w:rsidP="002E217F">
      <w:pPr>
        <w:rPr>
          <w:noProof/>
          <w:lang w:val="en-US"/>
        </w:rPr>
      </w:pPr>
      <w:r w:rsidRPr="002E217F">
        <w:rPr>
          <w:noProof/>
          <w:lang w:eastAsia="en-GB"/>
        </w:rPr>
        <w:drawing>
          <wp:inline distT="0" distB="0" distL="0" distR="0" wp14:anchorId="0E466A75" wp14:editId="023EFB9C">
            <wp:extent cx="5705475" cy="515874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1">
                      <a:extLst>
                        <a:ext uri="{28A0092B-C50C-407E-A947-70E740481C1C}">
                          <a14:useLocalDpi xmlns:a14="http://schemas.microsoft.com/office/drawing/2010/main" val="0"/>
                        </a:ext>
                      </a:extLst>
                    </a:blip>
                    <a:srcRect r="23222"/>
                    <a:stretch/>
                  </pic:blipFill>
                  <pic:spPr bwMode="auto">
                    <a:xfrm>
                      <a:off x="0" y="0"/>
                      <a:ext cx="5705475" cy="5158740"/>
                    </a:xfrm>
                    <a:prstGeom prst="rect">
                      <a:avLst/>
                    </a:prstGeom>
                    <a:noFill/>
                    <a:ln>
                      <a:noFill/>
                    </a:ln>
                    <a:extLst>
                      <a:ext uri="{53640926-AAD7-44D8-BBD7-CCE9431645EC}">
                        <a14:shadowObscured xmlns:a14="http://schemas.microsoft.com/office/drawing/2010/main"/>
                      </a:ext>
                    </a:extLst>
                  </pic:spPr>
                </pic:pic>
              </a:graphicData>
            </a:graphic>
          </wp:inline>
        </w:drawing>
      </w:r>
    </w:p>
    <w:p w14:paraId="583DCE81" w14:textId="7C876AE1" w:rsidR="002E217F" w:rsidRDefault="001345B1" w:rsidP="001345B1">
      <w:pPr>
        <w:pStyle w:val="Heading2"/>
        <w:rPr>
          <w:noProof/>
          <w:lang w:val="en-US"/>
        </w:rPr>
      </w:pPr>
      <w:bookmarkStart w:id="224" w:name="_Toc90500029"/>
      <w:r>
        <w:rPr>
          <w:noProof/>
          <w:lang w:val="en-US"/>
        </w:rPr>
        <w:t>Heteroskedasticity</w:t>
      </w:r>
      <w:bookmarkEnd w:id="224"/>
      <w:r>
        <w:rPr>
          <w:noProof/>
          <w:lang w:val="en-US"/>
        </w:rPr>
        <w:t xml:space="preserve"> </w:t>
      </w:r>
    </w:p>
    <w:p w14:paraId="5BFAF483" w14:textId="369B2B46" w:rsidR="002E217F" w:rsidRDefault="002E217F" w:rsidP="002E217F">
      <w:pPr>
        <w:rPr>
          <w:noProof/>
          <w:lang w:val="en-US"/>
        </w:rPr>
      </w:pPr>
      <w:r w:rsidRPr="002E217F">
        <w:rPr>
          <w:noProof/>
          <w:lang w:eastAsia="en-GB"/>
        </w:rPr>
        <w:drawing>
          <wp:inline distT="0" distB="0" distL="0" distR="0" wp14:anchorId="75A07BDC" wp14:editId="417EEB00">
            <wp:extent cx="5505450" cy="1990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72">
                      <a:extLst>
                        <a:ext uri="{28A0092B-C50C-407E-A947-70E740481C1C}">
                          <a14:useLocalDpi xmlns:a14="http://schemas.microsoft.com/office/drawing/2010/main" val="0"/>
                        </a:ext>
                      </a:extLst>
                    </a:blip>
                    <a:srcRect r="20064"/>
                    <a:stretch/>
                  </pic:blipFill>
                  <pic:spPr bwMode="auto">
                    <a:xfrm>
                      <a:off x="0" y="0"/>
                      <a:ext cx="550545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721C475A" w14:textId="77777777" w:rsidR="001345B1" w:rsidRDefault="001345B1" w:rsidP="002E217F">
      <w:pPr>
        <w:rPr>
          <w:noProof/>
          <w:lang w:val="en-US"/>
        </w:rPr>
      </w:pPr>
    </w:p>
    <w:p w14:paraId="41EA2D39" w14:textId="77777777" w:rsidR="001345B1" w:rsidRDefault="001345B1" w:rsidP="002E217F">
      <w:pPr>
        <w:rPr>
          <w:noProof/>
          <w:lang w:val="en-US"/>
        </w:rPr>
      </w:pPr>
    </w:p>
    <w:p w14:paraId="4FD5C257" w14:textId="0CCD399D" w:rsidR="001345B1" w:rsidRDefault="001345B1" w:rsidP="001345B1">
      <w:pPr>
        <w:pStyle w:val="Heading2"/>
        <w:rPr>
          <w:noProof/>
          <w:lang w:val="en-US"/>
        </w:rPr>
      </w:pPr>
      <w:bookmarkStart w:id="225" w:name="_Toc90500030"/>
      <w:r>
        <w:rPr>
          <w:noProof/>
          <w:lang w:val="en-US"/>
        </w:rPr>
        <w:lastRenderedPageBreak/>
        <w:t>ARCH Effects</w:t>
      </w:r>
      <w:bookmarkEnd w:id="225"/>
    </w:p>
    <w:p w14:paraId="7EE75C4F" w14:textId="70A334AC" w:rsidR="001345B1" w:rsidRDefault="001345B1" w:rsidP="001345B1">
      <w:pPr>
        <w:pStyle w:val="Heading3"/>
        <w:rPr>
          <w:noProof/>
          <w:lang w:val="en-US"/>
        </w:rPr>
      </w:pPr>
      <w:bookmarkStart w:id="226" w:name="_Toc90500031"/>
      <w:r>
        <w:rPr>
          <w:noProof/>
          <w:lang w:val="en-US"/>
        </w:rPr>
        <w:t>ARCHLM</w:t>
      </w:r>
      <w:bookmarkEnd w:id="226"/>
    </w:p>
    <w:p w14:paraId="79D7F7B0" w14:textId="4D1365CD" w:rsidR="002E217F" w:rsidRDefault="002E217F" w:rsidP="002E217F">
      <w:pPr>
        <w:ind w:firstLine="720"/>
        <w:rPr>
          <w:lang w:val="en-US"/>
        </w:rPr>
      </w:pPr>
    </w:p>
    <w:p w14:paraId="0E579C09" w14:textId="5209AEC7" w:rsidR="002E217F" w:rsidRDefault="002E217F" w:rsidP="002E217F">
      <w:pPr>
        <w:ind w:firstLine="720"/>
        <w:rPr>
          <w:lang w:val="en-US"/>
        </w:rPr>
      </w:pPr>
    </w:p>
    <w:p w14:paraId="5882FA42" w14:textId="218BF193" w:rsidR="002E217F" w:rsidRDefault="002E217F" w:rsidP="002E217F">
      <w:pPr>
        <w:ind w:firstLine="720"/>
        <w:rPr>
          <w:lang w:val="en-US"/>
        </w:rPr>
      </w:pPr>
      <w:r w:rsidRPr="002E217F">
        <w:rPr>
          <w:noProof/>
          <w:lang w:eastAsia="en-GB"/>
        </w:rPr>
        <w:drawing>
          <wp:inline distT="0" distB="0" distL="0" distR="0" wp14:anchorId="64785073" wp14:editId="7C1C99E8">
            <wp:extent cx="5153025" cy="5286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73">
                      <a:extLst>
                        <a:ext uri="{28A0092B-C50C-407E-A947-70E740481C1C}">
                          <a14:useLocalDpi xmlns:a14="http://schemas.microsoft.com/office/drawing/2010/main" val="0"/>
                        </a:ext>
                      </a:extLst>
                    </a:blip>
                    <a:srcRect r="20895"/>
                    <a:stretch/>
                  </pic:blipFill>
                  <pic:spPr bwMode="auto">
                    <a:xfrm>
                      <a:off x="0" y="0"/>
                      <a:ext cx="5154069" cy="5287446"/>
                    </a:xfrm>
                    <a:prstGeom prst="rect">
                      <a:avLst/>
                    </a:prstGeom>
                    <a:noFill/>
                    <a:ln>
                      <a:noFill/>
                    </a:ln>
                    <a:extLst>
                      <a:ext uri="{53640926-AAD7-44D8-BBD7-CCE9431645EC}">
                        <a14:shadowObscured xmlns:a14="http://schemas.microsoft.com/office/drawing/2010/main"/>
                      </a:ext>
                    </a:extLst>
                  </pic:spPr>
                </pic:pic>
              </a:graphicData>
            </a:graphic>
          </wp:inline>
        </w:drawing>
      </w:r>
    </w:p>
    <w:p w14:paraId="10BF4C14" w14:textId="3A38A10E" w:rsidR="002E217F" w:rsidRPr="002E217F" w:rsidRDefault="002E217F" w:rsidP="002E217F">
      <w:pPr>
        <w:rPr>
          <w:lang w:val="en-US"/>
        </w:rPr>
      </w:pPr>
    </w:p>
    <w:p w14:paraId="29875F11" w14:textId="4956E5DE" w:rsidR="002E217F" w:rsidRDefault="002E217F" w:rsidP="002E217F">
      <w:pPr>
        <w:rPr>
          <w:lang w:val="en-US"/>
        </w:rPr>
      </w:pPr>
    </w:p>
    <w:p w14:paraId="25BD558F" w14:textId="15557BAC" w:rsidR="002E217F" w:rsidRDefault="002E217F" w:rsidP="002E217F">
      <w:pPr>
        <w:tabs>
          <w:tab w:val="left" w:pos="1215"/>
        </w:tabs>
        <w:rPr>
          <w:noProof/>
          <w:lang w:val="en-US"/>
        </w:rPr>
      </w:pPr>
      <w:r>
        <w:rPr>
          <w:lang w:val="en-US"/>
        </w:rPr>
        <w:lastRenderedPageBreak/>
        <w:tab/>
      </w:r>
      <w:r w:rsidRPr="002E217F">
        <w:rPr>
          <w:noProof/>
          <w:lang w:eastAsia="en-GB"/>
        </w:rPr>
        <w:drawing>
          <wp:inline distT="0" distB="0" distL="0" distR="0" wp14:anchorId="5A1C6892" wp14:editId="766EA32D">
            <wp:extent cx="5114925" cy="63239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74">
                      <a:extLst>
                        <a:ext uri="{28A0092B-C50C-407E-A947-70E740481C1C}">
                          <a14:useLocalDpi xmlns:a14="http://schemas.microsoft.com/office/drawing/2010/main" val="0"/>
                        </a:ext>
                      </a:extLst>
                    </a:blip>
                    <a:srcRect r="21228"/>
                    <a:stretch/>
                  </pic:blipFill>
                  <pic:spPr bwMode="auto">
                    <a:xfrm>
                      <a:off x="0" y="0"/>
                      <a:ext cx="5114925" cy="6323965"/>
                    </a:xfrm>
                    <a:prstGeom prst="rect">
                      <a:avLst/>
                    </a:prstGeom>
                    <a:noFill/>
                    <a:ln>
                      <a:noFill/>
                    </a:ln>
                    <a:extLst>
                      <a:ext uri="{53640926-AAD7-44D8-BBD7-CCE9431645EC}">
                        <a14:shadowObscured xmlns:a14="http://schemas.microsoft.com/office/drawing/2010/main"/>
                      </a:ext>
                    </a:extLst>
                  </pic:spPr>
                </pic:pic>
              </a:graphicData>
            </a:graphic>
          </wp:inline>
        </w:drawing>
      </w:r>
    </w:p>
    <w:p w14:paraId="0B7635DA" w14:textId="24176D01" w:rsidR="002E217F" w:rsidRPr="002E217F" w:rsidRDefault="002E217F" w:rsidP="002E217F">
      <w:pPr>
        <w:rPr>
          <w:lang w:val="en-US"/>
        </w:rPr>
      </w:pPr>
    </w:p>
    <w:p w14:paraId="31BD7CA8" w14:textId="4D6402D6" w:rsidR="002E217F" w:rsidRDefault="002E217F" w:rsidP="002E217F">
      <w:pPr>
        <w:rPr>
          <w:lang w:val="en-US"/>
        </w:rPr>
      </w:pPr>
    </w:p>
    <w:p w14:paraId="402892DC" w14:textId="77777777" w:rsidR="001345B1" w:rsidRDefault="001345B1" w:rsidP="002E217F">
      <w:pPr>
        <w:rPr>
          <w:lang w:val="en-US"/>
        </w:rPr>
      </w:pPr>
    </w:p>
    <w:p w14:paraId="6F96DCCF" w14:textId="77777777" w:rsidR="001345B1" w:rsidRDefault="001345B1" w:rsidP="002E217F">
      <w:pPr>
        <w:rPr>
          <w:lang w:val="en-US"/>
        </w:rPr>
      </w:pPr>
    </w:p>
    <w:p w14:paraId="09A1D7B4" w14:textId="77777777" w:rsidR="001345B1" w:rsidRDefault="001345B1" w:rsidP="002E217F">
      <w:pPr>
        <w:rPr>
          <w:lang w:val="en-US"/>
        </w:rPr>
      </w:pPr>
    </w:p>
    <w:p w14:paraId="20DCDA73" w14:textId="77777777" w:rsidR="001345B1" w:rsidRDefault="001345B1" w:rsidP="002E217F">
      <w:pPr>
        <w:rPr>
          <w:lang w:val="en-US"/>
        </w:rPr>
      </w:pPr>
    </w:p>
    <w:p w14:paraId="53B5413F" w14:textId="77777777" w:rsidR="001345B1" w:rsidRDefault="001345B1" w:rsidP="002E217F">
      <w:pPr>
        <w:rPr>
          <w:lang w:val="en-US"/>
        </w:rPr>
      </w:pPr>
    </w:p>
    <w:p w14:paraId="6B94F510" w14:textId="4C8A4539" w:rsidR="001345B1" w:rsidRPr="002E217F" w:rsidRDefault="001345B1" w:rsidP="001345B1">
      <w:pPr>
        <w:pStyle w:val="Heading2"/>
        <w:rPr>
          <w:lang w:val="en-US"/>
        </w:rPr>
      </w:pPr>
      <w:bookmarkStart w:id="227" w:name="_Toc90500032"/>
      <w:r>
        <w:rPr>
          <w:lang w:val="en-US"/>
        </w:rPr>
        <w:lastRenderedPageBreak/>
        <w:t>ARMA FILTTER</w:t>
      </w:r>
      <w:bookmarkEnd w:id="227"/>
    </w:p>
    <w:p w14:paraId="758E6FDD" w14:textId="6F8E7073" w:rsidR="002E217F" w:rsidRDefault="001345B1" w:rsidP="001345B1">
      <w:pPr>
        <w:pStyle w:val="Heading3"/>
        <w:rPr>
          <w:lang w:val="en-US"/>
        </w:rPr>
      </w:pPr>
      <w:bookmarkStart w:id="228" w:name="_Toc90500033"/>
      <w:r>
        <w:rPr>
          <w:lang w:val="en-US"/>
        </w:rPr>
        <w:t>S&amp;P 500</w:t>
      </w:r>
      <w:bookmarkEnd w:id="228"/>
    </w:p>
    <w:p w14:paraId="162E5BFD" w14:textId="3E119F0D" w:rsidR="002E217F" w:rsidRDefault="002E217F" w:rsidP="002E217F">
      <w:pPr>
        <w:rPr>
          <w:lang w:val="en-US"/>
        </w:rPr>
      </w:pPr>
      <w:r w:rsidRPr="002E217F">
        <w:rPr>
          <w:noProof/>
          <w:lang w:eastAsia="en-GB"/>
        </w:rPr>
        <w:drawing>
          <wp:inline distT="0" distB="0" distL="0" distR="0" wp14:anchorId="7BCC9A15" wp14:editId="10D1989F">
            <wp:extent cx="5591175" cy="3448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5">
                      <a:extLst>
                        <a:ext uri="{28A0092B-C50C-407E-A947-70E740481C1C}">
                          <a14:useLocalDpi xmlns:a14="http://schemas.microsoft.com/office/drawing/2010/main" val="0"/>
                        </a:ext>
                      </a:extLst>
                    </a:blip>
                    <a:srcRect r="21228"/>
                    <a:stretch/>
                  </pic:blipFill>
                  <pic:spPr bwMode="auto">
                    <a:xfrm>
                      <a:off x="0" y="0"/>
                      <a:ext cx="5591175"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450F9183" w14:textId="014E15A0" w:rsidR="00930364" w:rsidRDefault="00930364" w:rsidP="00930364">
      <w:pPr>
        <w:rPr>
          <w:lang w:val="en-US"/>
        </w:rPr>
      </w:pPr>
    </w:p>
    <w:p w14:paraId="2BA05618" w14:textId="5E0186CB" w:rsidR="00930364" w:rsidRDefault="00930364" w:rsidP="00930364">
      <w:pPr>
        <w:rPr>
          <w:lang w:val="en-US"/>
        </w:rPr>
      </w:pPr>
      <w:r w:rsidRPr="00930364">
        <w:rPr>
          <w:noProof/>
          <w:lang w:eastAsia="en-GB"/>
        </w:rPr>
        <w:drawing>
          <wp:inline distT="0" distB="0" distL="0" distR="0" wp14:anchorId="04227F7B" wp14:editId="674DCFFF">
            <wp:extent cx="4705350" cy="12813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6">
                      <a:extLst>
                        <a:ext uri="{28A0092B-C50C-407E-A947-70E740481C1C}">
                          <a14:useLocalDpi xmlns:a14="http://schemas.microsoft.com/office/drawing/2010/main" val="0"/>
                        </a:ext>
                      </a:extLst>
                    </a:blip>
                    <a:srcRect r="54963"/>
                    <a:stretch/>
                  </pic:blipFill>
                  <pic:spPr bwMode="auto">
                    <a:xfrm>
                      <a:off x="0" y="0"/>
                      <a:ext cx="4715141" cy="1284049"/>
                    </a:xfrm>
                    <a:prstGeom prst="rect">
                      <a:avLst/>
                    </a:prstGeom>
                    <a:noFill/>
                    <a:ln>
                      <a:noFill/>
                    </a:ln>
                    <a:extLst>
                      <a:ext uri="{53640926-AAD7-44D8-BBD7-CCE9431645EC}">
                        <a14:shadowObscured xmlns:a14="http://schemas.microsoft.com/office/drawing/2010/main"/>
                      </a:ext>
                    </a:extLst>
                  </pic:spPr>
                </pic:pic>
              </a:graphicData>
            </a:graphic>
          </wp:inline>
        </w:drawing>
      </w:r>
    </w:p>
    <w:p w14:paraId="7B9CFA40" w14:textId="3B69CFE4" w:rsidR="00930364" w:rsidRDefault="00930364" w:rsidP="00930364">
      <w:pPr>
        <w:rPr>
          <w:lang w:val="en-US"/>
        </w:rPr>
      </w:pPr>
    </w:p>
    <w:p w14:paraId="655931BF" w14:textId="4AC6E716" w:rsidR="00930364" w:rsidRDefault="00930364" w:rsidP="00930364">
      <w:pPr>
        <w:rPr>
          <w:noProof/>
          <w:lang w:val="en-US"/>
        </w:rPr>
      </w:pPr>
      <w:r w:rsidRPr="00930364">
        <w:rPr>
          <w:noProof/>
          <w:lang w:eastAsia="en-GB"/>
        </w:rPr>
        <w:lastRenderedPageBreak/>
        <w:drawing>
          <wp:inline distT="0" distB="0" distL="0" distR="0" wp14:anchorId="0ACE1828" wp14:editId="638F45E8">
            <wp:extent cx="5822793" cy="3171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77">
                      <a:extLst>
                        <a:ext uri="{28A0092B-C50C-407E-A947-70E740481C1C}">
                          <a14:useLocalDpi xmlns:a14="http://schemas.microsoft.com/office/drawing/2010/main" val="0"/>
                        </a:ext>
                      </a:extLst>
                    </a:blip>
                    <a:srcRect r="21228"/>
                    <a:stretch/>
                  </pic:blipFill>
                  <pic:spPr bwMode="auto">
                    <a:xfrm>
                      <a:off x="0" y="0"/>
                      <a:ext cx="5827140" cy="3174193"/>
                    </a:xfrm>
                    <a:prstGeom prst="rect">
                      <a:avLst/>
                    </a:prstGeom>
                    <a:noFill/>
                    <a:ln>
                      <a:noFill/>
                    </a:ln>
                    <a:extLst>
                      <a:ext uri="{53640926-AAD7-44D8-BBD7-CCE9431645EC}">
                        <a14:shadowObscured xmlns:a14="http://schemas.microsoft.com/office/drawing/2010/main"/>
                      </a:ext>
                    </a:extLst>
                  </pic:spPr>
                </pic:pic>
              </a:graphicData>
            </a:graphic>
          </wp:inline>
        </w:drawing>
      </w:r>
    </w:p>
    <w:p w14:paraId="3CE10F61" w14:textId="50013E17" w:rsidR="00930364" w:rsidRDefault="00930364" w:rsidP="00930364">
      <w:pPr>
        <w:rPr>
          <w:noProof/>
          <w:lang w:val="en-US"/>
        </w:rPr>
      </w:pPr>
      <w:r w:rsidRPr="00930364">
        <w:rPr>
          <w:noProof/>
          <w:lang w:eastAsia="en-GB"/>
        </w:rPr>
        <w:drawing>
          <wp:inline distT="0" distB="0" distL="0" distR="0" wp14:anchorId="32250D3C" wp14:editId="3C9DF1AC">
            <wp:extent cx="5495925" cy="29749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78">
                      <a:extLst>
                        <a:ext uri="{28A0092B-C50C-407E-A947-70E740481C1C}">
                          <a14:useLocalDpi xmlns:a14="http://schemas.microsoft.com/office/drawing/2010/main" val="0"/>
                        </a:ext>
                      </a:extLst>
                    </a:blip>
                    <a:srcRect r="20729"/>
                    <a:stretch/>
                  </pic:blipFill>
                  <pic:spPr bwMode="auto">
                    <a:xfrm>
                      <a:off x="0" y="0"/>
                      <a:ext cx="5502246" cy="2978365"/>
                    </a:xfrm>
                    <a:prstGeom prst="rect">
                      <a:avLst/>
                    </a:prstGeom>
                    <a:noFill/>
                    <a:ln>
                      <a:noFill/>
                    </a:ln>
                    <a:extLst>
                      <a:ext uri="{53640926-AAD7-44D8-BBD7-CCE9431645EC}">
                        <a14:shadowObscured xmlns:a14="http://schemas.microsoft.com/office/drawing/2010/main"/>
                      </a:ext>
                    </a:extLst>
                  </pic:spPr>
                </pic:pic>
              </a:graphicData>
            </a:graphic>
          </wp:inline>
        </w:drawing>
      </w:r>
    </w:p>
    <w:p w14:paraId="5AB7DB69" w14:textId="648081E7" w:rsidR="00930364" w:rsidRPr="00930364" w:rsidRDefault="00930364" w:rsidP="00930364">
      <w:pPr>
        <w:rPr>
          <w:lang w:val="en-US"/>
        </w:rPr>
      </w:pPr>
    </w:p>
    <w:p w14:paraId="31046ACA" w14:textId="11818221" w:rsidR="00930364" w:rsidRDefault="00930364" w:rsidP="00930364">
      <w:pPr>
        <w:rPr>
          <w:noProof/>
          <w:lang w:val="en-US"/>
        </w:rPr>
      </w:pPr>
    </w:p>
    <w:p w14:paraId="3069EF0D" w14:textId="1EBA77E1" w:rsidR="00930364" w:rsidRDefault="00930364" w:rsidP="00930364">
      <w:pPr>
        <w:rPr>
          <w:lang w:val="en-US"/>
        </w:rPr>
      </w:pPr>
      <w:r w:rsidRPr="00930364">
        <w:rPr>
          <w:noProof/>
          <w:lang w:eastAsia="en-GB"/>
        </w:rPr>
        <w:lastRenderedPageBreak/>
        <w:drawing>
          <wp:inline distT="0" distB="0" distL="0" distR="0" wp14:anchorId="74BE7C78" wp14:editId="71ED5189">
            <wp:extent cx="5377988" cy="3333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79">
                      <a:extLst>
                        <a:ext uri="{28A0092B-C50C-407E-A947-70E740481C1C}">
                          <a14:useLocalDpi xmlns:a14="http://schemas.microsoft.com/office/drawing/2010/main" val="0"/>
                        </a:ext>
                      </a:extLst>
                    </a:blip>
                    <a:srcRect r="20895"/>
                    <a:stretch/>
                  </pic:blipFill>
                  <pic:spPr bwMode="auto">
                    <a:xfrm>
                      <a:off x="0" y="0"/>
                      <a:ext cx="5379751" cy="3334843"/>
                    </a:xfrm>
                    <a:prstGeom prst="rect">
                      <a:avLst/>
                    </a:prstGeom>
                    <a:noFill/>
                    <a:ln>
                      <a:noFill/>
                    </a:ln>
                    <a:extLst>
                      <a:ext uri="{53640926-AAD7-44D8-BBD7-CCE9431645EC}">
                        <a14:shadowObscured xmlns:a14="http://schemas.microsoft.com/office/drawing/2010/main"/>
                      </a:ext>
                    </a:extLst>
                  </pic:spPr>
                </pic:pic>
              </a:graphicData>
            </a:graphic>
          </wp:inline>
        </w:drawing>
      </w:r>
    </w:p>
    <w:p w14:paraId="7295BBCA" w14:textId="0AF6476B" w:rsidR="00930364" w:rsidRDefault="00930364" w:rsidP="00930364">
      <w:pPr>
        <w:rPr>
          <w:lang w:val="en-US"/>
        </w:rPr>
      </w:pPr>
      <w:r w:rsidRPr="00930364">
        <w:rPr>
          <w:noProof/>
          <w:lang w:eastAsia="en-GB"/>
        </w:rPr>
        <w:drawing>
          <wp:inline distT="0" distB="0" distL="0" distR="0" wp14:anchorId="655E0027" wp14:editId="6AF72ECD">
            <wp:extent cx="5491936" cy="31337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80">
                      <a:extLst>
                        <a:ext uri="{28A0092B-C50C-407E-A947-70E740481C1C}">
                          <a14:useLocalDpi xmlns:a14="http://schemas.microsoft.com/office/drawing/2010/main" val="0"/>
                        </a:ext>
                      </a:extLst>
                    </a:blip>
                    <a:srcRect r="21228"/>
                    <a:stretch/>
                  </pic:blipFill>
                  <pic:spPr bwMode="auto">
                    <a:xfrm>
                      <a:off x="0" y="0"/>
                      <a:ext cx="5495794" cy="3135927"/>
                    </a:xfrm>
                    <a:prstGeom prst="rect">
                      <a:avLst/>
                    </a:prstGeom>
                    <a:noFill/>
                    <a:ln>
                      <a:noFill/>
                    </a:ln>
                    <a:extLst>
                      <a:ext uri="{53640926-AAD7-44D8-BBD7-CCE9431645EC}">
                        <a14:shadowObscured xmlns:a14="http://schemas.microsoft.com/office/drawing/2010/main"/>
                      </a:ext>
                    </a:extLst>
                  </pic:spPr>
                </pic:pic>
              </a:graphicData>
            </a:graphic>
          </wp:inline>
        </w:drawing>
      </w:r>
    </w:p>
    <w:p w14:paraId="251E9177" w14:textId="2527302D" w:rsidR="00930364" w:rsidRDefault="00930364" w:rsidP="00930364">
      <w:pPr>
        <w:rPr>
          <w:lang w:val="en-US"/>
        </w:rPr>
      </w:pPr>
    </w:p>
    <w:p w14:paraId="6B6FE6C4" w14:textId="50A35495" w:rsidR="00930364" w:rsidRDefault="00930364" w:rsidP="00930364">
      <w:pPr>
        <w:rPr>
          <w:noProof/>
          <w:lang w:val="en-US"/>
        </w:rPr>
      </w:pPr>
      <w:r w:rsidRPr="00930364">
        <w:rPr>
          <w:noProof/>
          <w:lang w:eastAsia="en-GB"/>
        </w:rPr>
        <w:lastRenderedPageBreak/>
        <w:drawing>
          <wp:inline distT="0" distB="0" distL="0" distR="0" wp14:anchorId="7BDF174F" wp14:editId="4F40D885">
            <wp:extent cx="5670912" cy="3419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81">
                      <a:extLst>
                        <a:ext uri="{28A0092B-C50C-407E-A947-70E740481C1C}">
                          <a14:useLocalDpi xmlns:a14="http://schemas.microsoft.com/office/drawing/2010/main" val="0"/>
                        </a:ext>
                      </a:extLst>
                    </a:blip>
                    <a:srcRect r="22059"/>
                    <a:stretch/>
                  </pic:blipFill>
                  <pic:spPr bwMode="auto">
                    <a:xfrm>
                      <a:off x="0" y="0"/>
                      <a:ext cx="5673365" cy="3420954"/>
                    </a:xfrm>
                    <a:prstGeom prst="rect">
                      <a:avLst/>
                    </a:prstGeom>
                    <a:noFill/>
                    <a:ln>
                      <a:noFill/>
                    </a:ln>
                    <a:extLst>
                      <a:ext uri="{53640926-AAD7-44D8-BBD7-CCE9431645EC}">
                        <a14:shadowObscured xmlns:a14="http://schemas.microsoft.com/office/drawing/2010/main"/>
                      </a:ext>
                    </a:extLst>
                  </pic:spPr>
                </pic:pic>
              </a:graphicData>
            </a:graphic>
          </wp:inline>
        </w:drawing>
      </w:r>
    </w:p>
    <w:p w14:paraId="24F0C12E" w14:textId="5CFB2A12" w:rsidR="00930364" w:rsidRDefault="00930364" w:rsidP="00930364">
      <w:pPr>
        <w:rPr>
          <w:noProof/>
          <w:lang w:val="en-US"/>
        </w:rPr>
      </w:pPr>
    </w:p>
    <w:p w14:paraId="2A89E59C" w14:textId="405524B4" w:rsidR="00930364" w:rsidRDefault="00930364" w:rsidP="00930364">
      <w:pPr>
        <w:rPr>
          <w:noProof/>
          <w:lang w:val="en-US"/>
        </w:rPr>
      </w:pPr>
      <w:r w:rsidRPr="00930364">
        <w:rPr>
          <w:noProof/>
          <w:lang w:eastAsia="en-GB"/>
        </w:rPr>
        <w:drawing>
          <wp:inline distT="0" distB="0" distL="0" distR="0" wp14:anchorId="68439F47" wp14:editId="01A23158">
            <wp:extent cx="5563480" cy="3600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82">
                      <a:extLst>
                        <a:ext uri="{28A0092B-C50C-407E-A947-70E740481C1C}">
                          <a14:useLocalDpi xmlns:a14="http://schemas.microsoft.com/office/drawing/2010/main" val="0"/>
                        </a:ext>
                      </a:extLst>
                    </a:blip>
                    <a:srcRect r="21061"/>
                    <a:stretch/>
                  </pic:blipFill>
                  <pic:spPr bwMode="auto">
                    <a:xfrm>
                      <a:off x="0" y="0"/>
                      <a:ext cx="5566894" cy="3602659"/>
                    </a:xfrm>
                    <a:prstGeom prst="rect">
                      <a:avLst/>
                    </a:prstGeom>
                    <a:noFill/>
                    <a:ln>
                      <a:noFill/>
                    </a:ln>
                    <a:extLst>
                      <a:ext uri="{53640926-AAD7-44D8-BBD7-CCE9431645EC}">
                        <a14:shadowObscured xmlns:a14="http://schemas.microsoft.com/office/drawing/2010/main"/>
                      </a:ext>
                    </a:extLst>
                  </pic:spPr>
                </pic:pic>
              </a:graphicData>
            </a:graphic>
          </wp:inline>
        </w:drawing>
      </w:r>
    </w:p>
    <w:p w14:paraId="1D6DE3DC" w14:textId="07E1E0AD" w:rsidR="00930364" w:rsidRDefault="00930364" w:rsidP="00930364">
      <w:pPr>
        <w:rPr>
          <w:noProof/>
          <w:lang w:val="en-US"/>
        </w:rPr>
      </w:pPr>
      <w:r w:rsidRPr="00930364">
        <w:rPr>
          <w:noProof/>
          <w:lang w:eastAsia="en-GB"/>
        </w:rPr>
        <w:lastRenderedPageBreak/>
        <w:drawing>
          <wp:inline distT="0" distB="0" distL="0" distR="0" wp14:anchorId="0D0DF4B6" wp14:editId="25E8EABA">
            <wp:extent cx="5583672" cy="304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83">
                      <a:extLst>
                        <a:ext uri="{28A0092B-C50C-407E-A947-70E740481C1C}">
                          <a14:useLocalDpi xmlns:a14="http://schemas.microsoft.com/office/drawing/2010/main" val="0"/>
                        </a:ext>
                      </a:extLst>
                    </a:blip>
                    <a:srcRect r="21394"/>
                    <a:stretch/>
                  </pic:blipFill>
                  <pic:spPr bwMode="auto">
                    <a:xfrm>
                      <a:off x="0" y="0"/>
                      <a:ext cx="5590265" cy="3051599"/>
                    </a:xfrm>
                    <a:prstGeom prst="rect">
                      <a:avLst/>
                    </a:prstGeom>
                    <a:noFill/>
                    <a:ln>
                      <a:noFill/>
                    </a:ln>
                    <a:extLst>
                      <a:ext uri="{53640926-AAD7-44D8-BBD7-CCE9431645EC}">
                        <a14:shadowObscured xmlns:a14="http://schemas.microsoft.com/office/drawing/2010/main"/>
                      </a:ext>
                    </a:extLst>
                  </pic:spPr>
                </pic:pic>
              </a:graphicData>
            </a:graphic>
          </wp:inline>
        </w:drawing>
      </w:r>
    </w:p>
    <w:p w14:paraId="7F7511EE" w14:textId="316BDA55" w:rsidR="00930364" w:rsidRDefault="00930364" w:rsidP="00930364">
      <w:pPr>
        <w:rPr>
          <w:noProof/>
          <w:lang w:val="en-US"/>
        </w:rPr>
      </w:pPr>
      <w:r w:rsidRPr="00930364">
        <w:rPr>
          <w:noProof/>
          <w:lang w:eastAsia="en-GB"/>
        </w:rPr>
        <w:drawing>
          <wp:inline distT="0" distB="0" distL="0" distR="0" wp14:anchorId="7C333AF0" wp14:editId="1F448CB7">
            <wp:extent cx="4636791" cy="1352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84">
                      <a:extLst>
                        <a:ext uri="{28A0092B-C50C-407E-A947-70E740481C1C}">
                          <a14:useLocalDpi xmlns:a14="http://schemas.microsoft.com/office/drawing/2010/main" val="0"/>
                        </a:ext>
                      </a:extLst>
                    </a:blip>
                    <a:srcRect r="57955"/>
                    <a:stretch/>
                  </pic:blipFill>
                  <pic:spPr bwMode="auto">
                    <a:xfrm>
                      <a:off x="0" y="0"/>
                      <a:ext cx="4640624" cy="1353668"/>
                    </a:xfrm>
                    <a:prstGeom prst="rect">
                      <a:avLst/>
                    </a:prstGeom>
                    <a:noFill/>
                    <a:ln>
                      <a:noFill/>
                    </a:ln>
                    <a:extLst>
                      <a:ext uri="{53640926-AAD7-44D8-BBD7-CCE9431645EC}">
                        <a14:shadowObscured xmlns:a14="http://schemas.microsoft.com/office/drawing/2010/main"/>
                      </a:ext>
                    </a:extLst>
                  </pic:spPr>
                </pic:pic>
              </a:graphicData>
            </a:graphic>
          </wp:inline>
        </w:drawing>
      </w:r>
    </w:p>
    <w:p w14:paraId="11A3CC05" w14:textId="43723927" w:rsidR="00930364" w:rsidRDefault="00930364" w:rsidP="00930364">
      <w:pPr>
        <w:rPr>
          <w:noProof/>
          <w:lang w:val="en-US"/>
        </w:rPr>
      </w:pPr>
    </w:p>
    <w:p w14:paraId="1007673C" w14:textId="67E51513" w:rsidR="00930364" w:rsidRDefault="00930364" w:rsidP="00930364">
      <w:pPr>
        <w:rPr>
          <w:noProof/>
          <w:lang w:val="en-US"/>
        </w:rPr>
      </w:pPr>
      <w:r w:rsidRPr="00930364">
        <w:rPr>
          <w:noProof/>
          <w:lang w:eastAsia="en-GB"/>
        </w:rPr>
        <w:drawing>
          <wp:inline distT="0" distB="0" distL="0" distR="0" wp14:anchorId="536C1F26" wp14:editId="656A18B0">
            <wp:extent cx="5505450" cy="334107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85">
                      <a:extLst>
                        <a:ext uri="{28A0092B-C50C-407E-A947-70E740481C1C}">
                          <a14:useLocalDpi xmlns:a14="http://schemas.microsoft.com/office/drawing/2010/main" val="0"/>
                        </a:ext>
                      </a:extLst>
                    </a:blip>
                    <a:srcRect r="22557"/>
                    <a:stretch/>
                  </pic:blipFill>
                  <pic:spPr bwMode="auto">
                    <a:xfrm>
                      <a:off x="0" y="0"/>
                      <a:ext cx="5508825" cy="3343124"/>
                    </a:xfrm>
                    <a:prstGeom prst="rect">
                      <a:avLst/>
                    </a:prstGeom>
                    <a:noFill/>
                    <a:ln>
                      <a:noFill/>
                    </a:ln>
                    <a:extLst>
                      <a:ext uri="{53640926-AAD7-44D8-BBD7-CCE9431645EC}">
                        <a14:shadowObscured xmlns:a14="http://schemas.microsoft.com/office/drawing/2010/main"/>
                      </a:ext>
                    </a:extLst>
                  </pic:spPr>
                </pic:pic>
              </a:graphicData>
            </a:graphic>
          </wp:inline>
        </w:drawing>
      </w:r>
    </w:p>
    <w:p w14:paraId="5A667336" w14:textId="203175CC" w:rsidR="00930364" w:rsidRDefault="00930364" w:rsidP="00930364">
      <w:pPr>
        <w:rPr>
          <w:noProof/>
          <w:lang w:val="en-US"/>
        </w:rPr>
      </w:pPr>
    </w:p>
    <w:p w14:paraId="2480C89C" w14:textId="035DFD65" w:rsidR="00930364" w:rsidRDefault="00930364" w:rsidP="00930364">
      <w:pPr>
        <w:rPr>
          <w:noProof/>
          <w:lang w:val="en-US"/>
        </w:rPr>
      </w:pPr>
      <w:r w:rsidRPr="00930364">
        <w:rPr>
          <w:noProof/>
          <w:lang w:eastAsia="en-GB"/>
        </w:rPr>
        <w:lastRenderedPageBreak/>
        <w:drawing>
          <wp:inline distT="0" distB="0" distL="0" distR="0" wp14:anchorId="1E138020" wp14:editId="09DFA3CC">
            <wp:extent cx="5594195" cy="1600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86">
                      <a:extLst>
                        <a:ext uri="{28A0092B-C50C-407E-A947-70E740481C1C}">
                          <a14:useLocalDpi xmlns:a14="http://schemas.microsoft.com/office/drawing/2010/main" val="0"/>
                        </a:ext>
                      </a:extLst>
                    </a:blip>
                    <a:srcRect r="57124"/>
                    <a:stretch/>
                  </pic:blipFill>
                  <pic:spPr bwMode="auto">
                    <a:xfrm>
                      <a:off x="0" y="0"/>
                      <a:ext cx="5601476" cy="1602283"/>
                    </a:xfrm>
                    <a:prstGeom prst="rect">
                      <a:avLst/>
                    </a:prstGeom>
                    <a:noFill/>
                    <a:ln>
                      <a:noFill/>
                    </a:ln>
                    <a:extLst>
                      <a:ext uri="{53640926-AAD7-44D8-BBD7-CCE9431645EC}">
                        <a14:shadowObscured xmlns:a14="http://schemas.microsoft.com/office/drawing/2010/main"/>
                      </a:ext>
                    </a:extLst>
                  </pic:spPr>
                </pic:pic>
              </a:graphicData>
            </a:graphic>
          </wp:inline>
        </w:drawing>
      </w:r>
    </w:p>
    <w:p w14:paraId="47CEC4DD" w14:textId="69A89DD8" w:rsidR="00930364" w:rsidRDefault="00930364" w:rsidP="00930364">
      <w:pPr>
        <w:rPr>
          <w:noProof/>
          <w:lang w:val="en-US"/>
        </w:rPr>
      </w:pPr>
    </w:p>
    <w:p w14:paraId="04BC60B5" w14:textId="19A59258" w:rsidR="00930364" w:rsidRDefault="009129A8" w:rsidP="00930364">
      <w:pPr>
        <w:rPr>
          <w:lang w:val="en-US"/>
        </w:rPr>
      </w:pPr>
      <w:r w:rsidRPr="00930364">
        <w:rPr>
          <w:noProof/>
          <w:lang w:eastAsia="en-GB"/>
        </w:rPr>
        <w:drawing>
          <wp:inline distT="0" distB="0" distL="0" distR="0" wp14:anchorId="7FEC04BE" wp14:editId="30CC1C1E">
            <wp:extent cx="5732623" cy="2409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87">
                      <a:extLst>
                        <a:ext uri="{28A0092B-C50C-407E-A947-70E740481C1C}">
                          <a14:useLocalDpi xmlns:a14="http://schemas.microsoft.com/office/drawing/2010/main" val="0"/>
                        </a:ext>
                      </a:extLst>
                    </a:blip>
                    <a:srcRect r="22225"/>
                    <a:stretch/>
                  </pic:blipFill>
                  <pic:spPr bwMode="auto">
                    <a:xfrm>
                      <a:off x="0" y="0"/>
                      <a:ext cx="5743468" cy="2414384"/>
                    </a:xfrm>
                    <a:prstGeom prst="rect">
                      <a:avLst/>
                    </a:prstGeom>
                    <a:noFill/>
                    <a:ln>
                      <a:noFill/>
                    </a:ln>
                    <a:extLst>
                      <a:ext uri="{53640926-AAD7-44D8-BBD7-CCE9431645EC}">
                        <a14:shadowObscured xmlns:a14="http://schemas.microsoft.com/office/drawing/2010/main"/>
                      </a:ext>
                    </a:extLst>
                  </pic:spPr>
                </pic:pic>
              </a:graphicData>
            </a:graphic>
          </wp:inline>
        </w:drawing>
      </w:r>
    </w:p>
    <w:p w14:paraId="4C0B7717" w14:textId="467CD653" w:rsidR="00930364" w:rsidRDefault="001345B1" w:rsidP="001345B1">
      <w:pPr>
        <w:pStyle w:val="Heading3"/>
        <w:rPr>
          <w:lang w:val="en-US"/>
        </w:rPr>
      </w:pPr>
      <w:bookmarkStart w:id="229" w:name="_Toc90500034"/>
      <w:r>
        <w:rPr>
          <w:lang w:val="en-US"/>
        </w:rPr>
        <w:t>ABCP</w:t>
      </w:r>
      <w:bookmarkEnd w:id="229"/>
    </w:p>
    <w:p w14:paraId="788CCF19" w14:textId="22B22577" w:rsidR="00930364" w:rsidRDefault="00930364" w:rsidP="00930364">
      <w:pPr>
        <w:rPr>
          <w:noProof/>
          <w:lang w:val="en-US"/>
        </w:rPr>
      </w:pPr>
      <w:r w:rsidRPr="00930364">
        <w:rPr>
          <w:noProof/>
          <w:lang w:eastAsia="en-GB"/>
        </w:rPr>
        <w:drawing>
          <wp:inline distT="0" distB="0" distL="0" distR="0" wp14:anchorId="54D787B3" wp14:editId="1262608C">
            <wp:extent cx="5891372" cy="2647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8">
                      <a:extLst>
                        <a:ext uri="{28A0092B-C50C-407E-A947-70E740481C1C}">
                          <a14:useLocalDpi xmlns:a14="http://schemas.microsoft.com/office/drawing/2010/main" val="0"/>
                        </a:ext>
                      </a:extLst>
                    </a:blip>
                    <a:srcRect r="22723"/>
                    <a:stretch/>
                  </pic:blipFill>
                  <pic:spPr bwMode="auto">
                    <a:xfrm>
                      <a:off x="0" y="0"/>
                      <a:ext cx="5893152" cy="2648750"/>
                    </a:xfrm>
                    <a:prstGeom prst="rect">
                      <a:avLst/>
                    </a:prstGeom>
                    <a:noFill/>
                    <a:ln>
                      <a:noFill/>
                    </a:ln>
                    <a:extLst>
                      <a:ext uri="{53640926-AAD7-44D8-BBD7-CCE9431645EC}">
                        <a14:shadowObscured xmlns:a14="http://schemas.microsoft.com/office/drawing/2010/main"/>
                      </a:ext>
                    </a:extLst>
                  </pic:spPr>
                </pic:pic>
              </a:graphicData>
            </a:graphic>
          </wp:inline>
        </w:drawing>
      </w:r>
    </w:p>
    <w:p w14:paraId="2753FF1A" w14:textId="6BB79108" w:rsidR="00930364" w:rsidRPr="00930364" w:rsidRDefault="00930364" w:rsidP="00930364">
      <w:pPr>
        <w:rPr>
          <w:lang w:val="en-US"/>
        </w:rPr>
      </w:pPr>
    </w:p>
    <w:p w14:paraId="7C43DEE8" w14:textId="52CB65FD" w:rsidR="00930364" w:rsidRDefault="00930364" w:rsidP="00930364">
      <w:pPr>
        <w:rPr>
          <w:noProof/>
          <w:lang w:val="en-US"/>
        </w:rPr>
      </w:pPr>
    </w:p>
    <w:p w14:paraId="364138AF" w14:textId="77777777" w:rsidR="001345B1" w:rsidRDefault="001345B1" w:rsidP="00930364">
      <w:pPr>
        <w:rPr>
          <w:noProof/>
          <w:lang w:val="en-US"/>
        </w:rPr>
      </w:pPr>
    </w:p>
    <w:p w14:paraId="7F287261" w14:textId="77777777" w:rsidR="001345B1" w:rsidRDefault="001345B1" w:rsidP="00930364">
      <w:pPr>
        <w:rPr>
          <w:noProof/>
          <w:lang w:val="en-US"/>
        </w:rPr>
      </w:pPr>
    </w:p>
    <w:p w14:paraId="4DB8E727" w14:textId="49889D02" w:rsidR="001345B1" w:rsidRDefault="001345B1" w:rsidP="001345B1">
      <w:pPr>
        <w:pStyle w:val="Heading3"/>
        <w:rPr>
          <w:noProof/>
          <w:lang w:val="en-US"/>
        </w:rPr>
      </w:pPr>
      <w:bookmarkStart w:id="230" w:name="_Toc90500035"/>
      <w:r>
        <w:rPr>
          <w:noProof/>
          <w:lang w:val="en-US"/>
        </w:rPr>
        <w:lastRenderedPageBreak/>
        <w:t>OIS</w:t>
      </w:r>
      <w:bookmarkEnd w:id="230"/>
    </w:p>
    <w:p w14:paraId="6014708D" w14:textId="0D2AB677" w:rsidR="00930364" w:rsidRDefault="00930364" w:rsidP="00930364">
      <w:pPr>
        <w:rPr>
          <w:lang w:val="en-US"/>
        </w:rPr>
      </w:pPr>
      <w:r w:rsidRPr="00930364">
        <w:rPr>
          <w:noProof/>
          <w:lang w:eastAsia="en-GB"/>
        </w:rPr>
        <w:drawing>
          <wp:inline distT="0" distB="0" distL="0" distR="0" wp14:anchorId="50D1C2C9" wp14:editId="4FF105B7">
            <wp:extent cx="5748601" cy="2447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89">
                      <a:extLst>
                        <a:ext uri="{28A0092B-C50C-407E-A947-70E740481C1C}">
                          <a14:useLocalDpi xmlns:a14="http://schemas.microsoft.com/office/drawing/2010/main" val="0"/>
                        </a:ext>
                      </a:extLst>
                    </a:blip>
                    <a:srcRect r="23222"/>
                    <a:stretch/>
                  </pic:blipFill>
                  <pic:spPr bwMode="auto">
                    <a:xfrm>
                      <a:off x="0" y="0"/>
                      <a:ext cx="5751052" cy="2448969"/>
                    </a:xfrm>
                    <a:prstGeom prst="rect">
                      <a:avLst/>
                    </a:prstGeom>
                    <a:noFill/>
                    <a:ln>
                      <a:noFill/>
                    </a:ln>
                    <a:extLst>
                      <a:ext uri="{53640926-AAD7-44D8-BBD7-CCE9431645EC}">
                        <a14:shadowObscured xmlns:a14="http://schemas.microsoft.com/office/drawing/2010/main"/>
                      </a:ext>
                    </a:extLst>
                  </pic:spPr>
                </pic:pic>
              </a:graphicData>
            </a:graphic>
          </wp:inline>
        </w:drawing>
      </w:r>
    </w:p>
    <w:p w14:paraId="3AA6A3EF" w14:textId="0127DCA5" w:rsidR="009129A8" w:rsidRDefault="001345B1" w:rsidP="001345B1">
      <w:pPr>
        <w:pStyle w:val="Heading3"/>
        <w:rPr>
          <w:lang w:val="en-US"/>
        </w:rPr>
      </w:pPr>
      <w:bookmarkStart w:id="231" w:name="_Toc90500036"/>
      <w:r>
        <w:rPr>
          <w:lang w:val="en-US"/>
        </w:rPr>
        <w:t>TED</w:t>
      </w:r>
      <w:bookmarkEnd w:id="231"/>
    </w:p>
    <w:p w14:paraId="09684CAD" w14:textId="7E41EA2A" w:rsidR="00930364" w:rsidRDefault="009129A8" w:rsidP="00930364">
      <w:pPr>
        <w:rPr>
          <w:lang w:val="en-US"/>
        </w:rPr>
      </w:pPr>
      <w:r w:rsidRPr="00930364">
        <w:rPr>
          <w:noProof/>
          <w:lang w:eastAsia="en-GB"/>
        </w:rPr>
        <w:drawing>
          <wp:inline distT="0" distB="0" distL="0" distR="0" wp14:anchorId="41C141EC" wp14:editId="56942A61">
            <wp:extent cx="5878645" cy="2476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90">
                      <a:extLst>
                        <a:ext uri="{28A0092B-C50C-407E-A947-70E740481C1C}">
                          <a14:useLocalDpi xmlns:a14="http://schemas.microsoft.com/office/drawing/2010/main" val="0"/>
                        </a:ext>
                      </a:extLst>
                    </a:blip>
                    <a:srcRect r="22391"/>
                    <a:stretch/>
                  </pic:blipFill>
                  <pic:spPr bwMode="auto">
                    <a:xfrm>
                      <a:off x="0" y="0"/>
                      <a:ext cx="5883488" cy="2478540"/>
                    </a:xfrm>
                    <a:prstGeom prst="rect">
                      <a:avLst/>
                    </a:prstGeom>
                    <a:noFill/>
                    <a:ln>
                      <a:noFill/>
                    </a:ln>
                    <a:extLst>
                      <a:ext uri="{53640926-AAD7-44D8-BBD7-CCE9431645EC}">
                        <a14:shadowObscured xmlns:a14="http://schemas.microsoft.com/office/drawing/2010/main"/>
                      </a:ext>
                    </a:extLst>
                  </pic:spPr>
                </pic:pic>
              </a:graphicData>
            </a:graphic>
          </wp:inline>
        </w:drawing>
      </w:r>
    </w:p>
    <w:p w14:paraId="71484B54" w14:textId="7D7EC7DB" w:rsidR="001345B1" w:rsidRDefault="001345B1" w:rsidP="001345B1">
      <w:pPr>
        <w:pStyle w:val="Heading2"/>
        <w:rPr>
          <w:lang w:val="en-US"/>
        </w:rPr>
      </w:pPr>
      <w:bookmarkStart w:id="232" w:name="_Toc90500037"/>
      <w:r>
        <w:rPr>
          <w:lang w:val="en-US"/>
        </w:rPr>
        <w:t>GARCH Filter</w:t>
      </w:r>
      <w:bookmarkEnd w:id="232"/>
      <w:r>
        <w:rPr>
          <w:lang w:val="en-US"/>
        </w:rPr>
        <w:t xml:space="preserve"> </w:t>
      </w:r>
    </w:p>
    <w:p w14:paraId="7A6F5806" w14:textId="0E5206E2" w:rsidR="00930364" w:rsidRDefault="00930364" w:rsidP="00930364">
      <w:pPr>
        <w:rPr>
          <w:noProof/>
          <w:lang w:val="en-US"/>
        </w:rPr>
      </w:pPr>
      <w:r w:rsidRPr="00930364">
        <w:rPr>
          <w:noProof/>
          <w:lang w:eastAsia="en-GB"/>
        </w:rPr>
        <w:drawing>
          <wp:inline distT="0" distB="0" distL="0" distR="0" wp14:anchorId="2C84AAAE" wp14:editId="7E9752D7">
            <wp:extent cx="5731510" cy="4686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1510" cy="468630"/>
                    </a:xfrm>
                    <a:prstGeom prst="rect">
                      <a:avLst/>
                    </a:prstGeom>
                    <a:noFill/>
                    <a:ln>
                      <a:noFill/>
                    </a:ln>
                  </pic:spPr>
                </pic:pic>
              </a:graphicData>
            </a:graphic>
          </wp:inline>
        </w:drawing>
      </w:r>
    </w:p>
    <w:p w14:paraId="7BDEBA7B" w14:textId="5F5358BA" w:rsidR="00930364" w:rsidRDefault="001345B1" w:rsidP="001345B1">
      <w:pPr>
        <w:pStyle w:val="Heading3"/>
        <w:rPr>
          <w:noProof/>
          <w:lang w:val="en-US"/>
        </w:rPr>
      </w:pPr>
      <w:bookmarkStart w:id="233" w:name="_Toc90500038"/>
      <w:r>
        <w:rPr>
          <w:noProof/>
          <w:lang w:val="en-US"/>
        </w:rPr>
        <w:t>S&amp;P500</w:t>
      </w:r>
      <w:bookmarkEnd w:id="233"/>
    </w:p>
    <w:p w14:paraId="354ADBCA" w14:textId="4F26F5BA" w:rsidR="00930364" w:rsidRDefault="00930364" w:rsidP="00930364">
      <w:pPr>
        <w:rPr>
          <w:noProof/>
          <w:lang w:val="en-US"/>
        </w:rPr>
      </w:pPr>
      <w:r w:rsidRPr="00930364">
        <w:rPr>
          <w:noProof/>
          <w:lang w:eastAsia="en-GB"/>
        </w:rPr>
        <w:drawing>
          <wp:inline distT="0" distB="0" distL="0" distR="0" wp14:anchorId="59BAC975" wp14:editId="2803EFEB">
            <wp:extent cx="5611206" cy="1628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92">
                      <a:extLst>
                        <a:ext uri="{28A0092B-C50C-407E-A947-70E740481C1C}">
                          <a14:useLocalDpi xmlns:a14="http://schemas.microsoft.com/office/drawing/2010/main" val="0"/>
                        </a:ext>
                      </a:extLst>
                    </a:blip>
                    <a:srcRect r="22557"/>
                    <a:stretch/>
                  </pic:blipFill>
                  <pic:spPr bwMode="auto">
                    <a:xfrm>
                      <a:off x="0" y="0"/>
                      <a:ext cx="5616493" cy="1630310"/>
                    </a:xfrm>
                    <a:prstGeom prst="rect">
                      <a:avLst/>
                    </a:prstGeom>
                    <a:noFill/>
                    <a:ln>
                      <a:noFill/>
                    </a:ln>
                    <a:extLst>
                      <a:ext uri="{53640926-AAD7-44D8-BBD7-CCE9431645EC}">
                        <a14:shadowObscured xmlns:a14="http://schemas.microsoft.com/office/drawing/2010/main"/>
                      </a:ext>
                    </a:extLst>
                  </pic:spPr>
                </pic:pic>
              </a:graphicData>
            </a:graphic>
          </wp:inline>
        </w:drawing>
      </w:r>
    </w:p>
    <w:p w14:paraId="24ADB3E4" w14:textId="18BF3F10" w:rsidR="00930364" w:rsidRDefault="00930364" w:rsidP="00930364">
      <w:pPr>
        <w:rPr>
          <w:lang w:val="en-US"/>
        </w:rPr>
      </w:pPr>
    </w:p>
    <w:p w14:paraId="1B7FC5B8" w14:textId="0FD0D7C6" w:rsidR="001345B1" w:rsidRDefault="001345B1" w:rsidP="001345B1">
      <w:pPr>
        <w:pStyle w:val="Heading3"/>
        <w:rPr>
          <w:lang w:val="en-US"/>
        </w:rPr>
      </w:pPr>
      <w:bookmarkStart w:id="234" w:name="_Toc90500039"/>
      <w:r>
        <w:rPr>
          <w:lang w:val="en-US"/>
        </w:rPr>
        <w:lastRenderedPageBreak/>
        <w:t>ABCP</w:t>
      </w:r>
      <w:bookmarkEnd w:id="234"/>
    </w:p>
    <w:p w14:paraId="7BE31AB5" w14:textId="5C22FF76" w:rsidR="00930364" w:rsidRDefault="00930364" w:rsidP="00930364">
      <w:pPr>
        <w:rPr>
          <w:lang w:val="en-US"/>
        </w:rPr>
      </w:pPr>
      <w:r w:rsidRPr="00930364">
        <w:rPr>
          <w:noProof/>
          <w:lang w:eastAsia="en-GB"/>
        </w:rPr>
        <w:drawing>
          <wp:inline distT="0" distB="0" distL="0" distR="0" wp14:anchorId="397B9CED" wp14:editId="6F2239CB">
            <wp:extent cx="5530509" cy="1619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3">
                      <a:extLst>
                        <a:ext uri="{28A0092B-C50C-407E-A947-70E740481C1C}">
                          <a14:useLocalDpi xmlns:a14="http://schemas.microsoft.com/office/drawing/2010/main" val="0"/>
                        </a:ext>
                      </a:extLst>
                    </a:blip>
                    <a:srcRect r="23222"/>
                    <a:stretch/>
                  </pic:blipFill>
                  <pic:spPr bwMode="auto">
                    <a:xfrm>
                      <a:off x="0" y="0"/>
                      <a:ext cx="5535256" cy="1620640"/>
                    </a:xfrm>
                    <a:prstGeom prst="rect">
                      <a:avLst/>
                    </a:prstGeom>
                    <a:noFill/>
                    <a:ln>
                      <a:noFill/>
                    </a:ln>
                    <a:extLst>
                      <a:ext uri="{53640926-AAD7-44D8-BBD7-CCE9431645EC}">
                        <a14:shadowObscured xmlns:a14="http://schemas.microsoft.com/office/drawing/2010/main"/>
                      </a:ext>
                    </a:extLst>
                  </pic:spPr>
                </pic:pic>
              </a:graphicData>
            </a:graphic>
          </wp:inline>
        </w:drawing>
      </w:r>
    </w:p>
    <w:p w14:paraId="28B3E75A" w14:textId="31D9616B" w:rsidR="00930364" w:rsidRDefault="001345B1" w:rsidP="001345B1">
      <w:pPr>
        <w:pStyle w:val="Heading3"/>
        <w:rPr>
          <w:lang w:val="en-US"/>
        </w:rPr>
      </w:pPr>
      <w:bookmarkStart w:id="235" w:name="_Toc90500040"/>
      <w:r>
        <w:rPr>
          <w:lang w:val="en-US"/>
        </w:rPr>
        <w:t>OIS</w:t>
      </w:r>
      <w:bookmarkEnd w:id="235"/>
    </w:p>
    <w:p w14:paraId="1C72EFE0" w14:textId="53884766" w:rsidR="00930364" w:rsidRDefault="00930364" w:rsidP="00930364">
      <w:pPr>
        <w:rPr>
          <w:lang w:val="en-US"/>
        </w:rPr>
      </w:pPr>
      <w:r w:rsidRPr="00930364">
        <w:rPr>
          <w:noProof/>
          <w:lang w:eastAsia="en-GB"/>
        </w:rPr>
        <w:drawing>
          <wp:inline distT="0" distB="0" distL="0" distR="0" wp14:anchorId="225C24C9" wp14:editId="0EDE9762">
            <wp:extent cx="5346863" cy="1562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94">
                      <a:extLst>
                        <a:ext uri="{28A0092B-C50C-407E-A947-70E740481C1C}">
                          <a14:useLocalDpi xmlns:a14="http://schemas.microsoft.com/office/drawing/2010/main" val="0"/>
                        </a:ext>
                      </a:extLst>
                    </a:blip>
                    <a:srcRect r="23056"/>
                    <a:stretch/>
                  </pic:blipFill>
                  <pic:spPr bwMode="auto">
                    <a:xfrm>
                      <a:off x="0" y="0"/>
                      <a:ext cx="5348416" cy="1562554"/>
                    </a:xfrm>
                    <a:prstGeom prst="rect">
                      <a:avLst/>
                    </a:prstGeom>
                    <a:noFill/>
                    <a:ln>
                      <a:noFill/>
                    </a:ln>
                    <a:extLst>
                      <a:ext uri="{53640926-AAD7-44D8-BBD7-CCE9431645EC}">
                        <a14:shadowObscured xmlns:a14="http://schemas.microsoft.com/office/drawing/2010/main"/>
                      </a:ext>
                    </a:extLst>
                  </pic:spPr>
                </pic:pic>
              </a:graphicData>
            </a:graphic>
          </wp:inline>
        </w:drawing>
      </w:r>
    </w:p>
    <w:p w14:paraId="7B7B22DB" w14:textId="3DF5155C" w:rsidR="001345B1" w:rsidRDefault="001345B1" w:rsidP="001345B1">
      <w:pPr>
        <w:pStyle w:val="Heading3"/>
        <w:rPr>
          <w:lang w:val="en-US"/>
        </w:rPr>
      </w:pPr>
      <w:bookmarkStart w:id="236" w:name="_Toc90500041"/>
      <w:r>
        <w:rPr>
          <w:lang w:val="en-US"/>
        </w:rPr>
        <w:t>TED</w:t>
      </w:r>
      <w:bookmarkEnd w:id="236"/>
    </w:p>
    <w:p w14:paraId="2E2806FF" w14:textId="40F46B90" w:rsidR="00930364" w:rsidRDefault="009129A8" w:rsidP="00930364">
      <w:pPr>
        <w:rPr>
          <w:lang w:val="en-US"/>
        </w:rPr>
      </w:pPr>
      <w:r w:rsidRPr="00930364">
        <w:rPr>
          <w:noProof/>
          <w:lang w:eastAsia="en-GB"/>
        </w:rPr>
        <w:drawing>
          <wp:inline distT="0" distB="0" distL="0" distR="0" wp14:anchorId="7BCF4DF9" wp14:editId="67409200">
            <wp:extent cx="5385348" cy="1704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95">
                      <a:extLst>
                        <a:ext uri="{28A0092B-C50C-407E-A947-70E740481C1C}">
                          <a14:useLocalDpi xmlns:a14="http://schemas.microsoft.com/office/drawing/2010/main" val="0"/>
                        </a:ext>
                      </a:extLst>
                    </a:blip>
                    <a:srcRect r="22557"/>
                    <a:stretch/>
                  </pic:blipFill>
                  <pic:spPr bwMode="auto">
                    <a:xfrm>
                      <a:off x="0" y="0"/>
                      <a:ext cx="5395113" cy="1708067"/>
                    </a:xfrm>
                    <a:prstGeom prst="rect">
                      <a:avLst/>
                    </a:prstGeom>
                    <a:noFill/>
                    <a:ln>
                      <a:noFill/>
                    </a:ln>
                    <a:extLst>
                      <a:ext uri="{53640926-AAD7-44D8-BBD7-CCE9431645EC}">
                        <a14:shadowObscured xmlns:a14="http://schemas.microsoft.com/office/drawing/2010/main"/>
                      </a:ext>
                    </a:extLst>
                  </pic:spPr>
                </pic:pic>
              </a:graphicData>
            </a:graphic>
          </wp:inline>
        </w:drawing>
      </w:r>
    </w:p>
    <w:p w14:paraId="7F7EEBAA" w14:textId="6B9194BE" w:rsidR="00930364" w:rsidRDefault="00930364" w:rsidP="00930364">
      <w:pPr>
        <w:rPr>
          <w:lang w:val="en-US"/>
        </w:rPr>
      </w:pPr>
    </w:p>
    <w:p w14:paraId="7E41302D" w14:textId="77777777" w:rsidR="001345B1" w:rsidRDefault="001345B1" w:rsidP="00930364">
      <w:pPr>
        <w:rPr>
          <w:lang w:val="en-US"/>
        </w:rPr>
      </w:pPr>
    </w:p>
    <w:p w14:paraId="25E232AC" w14:textId="77777777" w:rsidR="001345B1" w:rsidRDefault="001345B1" w:rsidP="00930364">
      <w:pPr>
        <w:rPr>
          <w:lang w:val="en-US"/>
        </w:rPr>
      </w:pPr>
    </w:p>
    <w:p w14:paraId="71BEC1EE" w14:textId="77777777" w:rsidR="001345B1" w:rsidRDefault="001345B1" w:rsidP="00930364">
      <w:pPr>
        <w:rPr>
          <w:lang w:val="en-US"/>
        </w:rPr>
      </w:pPr>
    </w:p>
    <w:p w14:paraId="3E22B24F" w14:textId="77777777" w:rsidR="001345B1" w:rsidRDefault="001345B1" w:rsidP="00930364">
      <w:pPr>
        <w:rPr>
          <w:lang w:val="en-US"/>
        </w:rPr>
      </w:pPr>
    </w:p>
    <w:p w14:paraId="541F5B70" w14:textId="77777777" w:rsidR="001345B1" w:rsidRDefault="001345B1" w:rsidP="00930364">
      <w:pPr>
        <w:rPr>
          <w:lang w:val="en-US"/>
        </w:rPr>
      </w:pPr>
    </w:p>
    <w:p w14:paraId="5203B041" w14:textId="77777777" w:rsidR="001345B1" w:rsidRDefault="001345B1" w:rsidP="00930364">
      <w:pPr>
        <w:rPr>
          <w:lang w:val="en-US"/>
        </w:rPr>
      </w:pPr>
    </w:p>
    <w:p w14:paraId="728D7BE9" w14:textId="77777777" w:rsidR="001345B1" w:rsidRDefault="001345B1" w:rsidP="00930364">
      <w:pPr>
        <w:rPr>
          <w:lang w:val="en-US"/>
        </w:rPr>
      </w:pPr>
    </w:p>
    <w:p w14:paraId="38D792BB" w14:textId="77777777" w:rsidR="001345B1" w:rsidRDefault="001345B1" w:rsidP="00930364">
      <w:pPr>
        <w:rPr>
          <w:lang w:val="en-US"/>
        </w:rPr>
      </w:pPr>
    </w:p>
    <w:p w14:paraId="4124D7CA" w14:textId="3D7741A4" w:rsidR="001345B1" w:rsidRDefault="001345B1" w:rsidP="001345B1">
      <w:pPr>
        <w:pStyle w:val="Heading2"/>
        <w:rPr>
          <w:lang w:val="en-US"/>
        </w:rPr>
      </w:pPr>
      <w:bookmarkStart w:id="237" w:name="_Toc90500042"/>
      <w:proofErr w:type="spellStart"/>
      <w:r>
        <w:rPr>
          <w:lang w:val="en-US"/>
        </w:rPr>
        <w:lastRenderedPageBreak/>
        <w:t>Multivariat</w:t>
      </w:r>
      <w:proofErr w:type="spellEnd"/>
      <w:r>
        <w:rPr>
          <w:lang w:val="en-US"/>
        </w:rPr>
        <w:t xml:space="preserve"> GARCH</w:t>
      </w:r>
      <w:bookmarkEnd w:id="237"/>
    </w:p>
    <w:p w14:paraId="3FE45842" w14:textId="3CFC8920" w:rsidR="001345B1" w:rsidRDefault="001345B1" w:rsidP="001345B1">
      <w:pPr>
        <w:pStyle w:val="Heading3"/>
        <w:rPr>
          <w:lang w:val="en-US"/>
        </w:rPr>
      </w:pPr>
      <w:bookmarkStart w:id="238" w:name="_Toc90500043"/>
      <w:r>
        <w:rPr>
          <w:lang w:val="en-US"/>
        </w:rPr>
        <w:t>Dynamic Conditional Correlation (DCC)</w:t>
      </w:r>
      <w:bookmarkEnd w:id="238"/>
    </w:p>
    <w:p w14:paraId="2B858999" w14:textId="2ECCCDA8" w:rsidR="001345B1" w:rsidRPr="001345B1" w:rsidRDefault="001345B1" w:rsidP="001345B1">
      <w:pPr>
        <w:pStyle w:val="Heading3"/>
        <w:rPr>
          <w:lang w:val="en-US"/>
        </w:rPr>
      </w:pPr>
    </w:p>
    <w:p w14:paraId="3495DD96" w14:textId="509BF593" w:rsidR="00930364" w:rsidRDefault="00930364" w:rsidP="00930364">
      <w:pPr>
        <w:rPr>
          <w:noProof/>
          <w:lang w:val="en-US"/>
        </w:rPr>
      </w:pPr>
      <w:r w:rsidRPr="00930364">
        <w:rPr>
          <w:noProof/>
          <w:lang w:eastAsia="en-GB"/>
        </w:rPr>
        <w:drawing>
          <wp:inline distT="0" distB="0" distL="0" distR="0" wp14:anchorId="16CB1FE5" wp14:editId="75954E3A">
            <wp:extent cx="5372100" cy="7000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r="59949"/>
                    <a:stretch/>
                  </pic:blipFill>
                  <pic:spPr bwMode="auto">
                    <a:xfrm>
                      <a:off x="0" y="0"/>
                      <a:ext cx="5379028" cy="7009904"/>
                    </a:xfrm>
                    <a:prstGeom prst="rect">
                      <a:avLst/>
                    </a:prstGeom>
                    <a:noFill/>
                    <a:ln>
                      <a:noFill/>
                    </a:ln>
                    <a:extLst>
                      <a:ext uri="{53640926-AAD7-44D8-BBD7-CCE9431645EC}">
                        <a14:shadowObscured xmlns:a14="http://schemas.microsoft.com/office/drawing/2010/main"/>
                      </a:ext>
                    </a:extLst>
                  </pic:spPr>
                </pic:pic>
              </a:graphicData>
            </a:graphic>
          </wp:inline>
        </w:drawing>
      </w:r>
    </w:p>
    <w:p w14:paraId="0A28EFE2" w14:textId="4BD51279" w:rsidR="00930364" w:rsidRDefault="00930364" w:rsidP="00930364">
      <w:pPr>
        <w:rPr>
          <w:noProof/>
          <w:lang w:val="en-US"/>
        </w:rPr>
      </w:pPr>
    </w:p>
    <w:p w14:paraId="48328160" w14:textId="6A2B9D5D" w:rsidR="00930364" w:rsidRDefault="00930364" w:rsidP="00930364">
      <w:pPr>
        <w:rPr>
          <w:noProof/>
          <w:lang w:val="en-US"/>
        </w:rPr>
      </w:pPr>
      <w:r w:rsidRPr="00930364">
        <w:rPr>
          <w:noProof/>
          <w:lang w:eastAsia="en-GB"/>
        </w:rPr>
        <w:lastRenderedPageBreak/>
        <w:drawing>
          <wp:inline distT="0" distB="0" distL="0" distR="0" wp14:anchorId="726D6051" wp14:editId="43E07926">
            <wp:extent cx="5562600" cy="48012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97">
                      <a:extLst>
                        <a:ext uri="{28A0092B-C50C-407E-A947-70E740481C1C}">
                          <a14:useLocalDpi xmlns:a14="http://schemas.microsoft.com/office/drawing/2010/main" val="0"/>
                        </a:ext>
                      </a:extLst>
                    </a:blip>
                    <a:srcRect r="16575"/>
                    <a:stretch/>
                  </pic:blipFill>
                  <pic:spPr bwMode="auto">
                    <a:xfrm>
                      <a:off x="0" y="0"/>
                      <a:ext cx="5562600" cy="4801235"/>
                    </a:xfrm>
                    <a:prstGeom prst="rect">
                      <a:avLst/>
                    </a:prstGeom>
                    <a:noFill/>
                    <a:ln>
                      <a:noFill/>
                    </a:ln>
                    <a:extLst>
                      <a:ext uri="{53640926-AAD7-44D8-BBD7-CCE9431645EC}">
                        <a14:shadowObscured xmlns:a14="http://schemas.microsoft.com/office/drawing/2010/main"/>
                      </a:ext>
                    </a:extLst>
                  </pic:spPr>
                </pic:pic>
              </a:graphicData>
            </a:graphic>
          </wp:inline>
        </w:drawing>
      </w:r>
    </w:p>
    <w:p w14:paraId="2640E848" w14:textId="0F91C50A" w:rsidR="00930364" w:rsidRDefault="00930364" w:rsidP="00930364">
      <w:pPr>
        <w:rPr>
          <w:noProof/>
          <w:lang w:val="en-US"/>
        </w:rPr>
      </w:pPr>
    </w:p>
    <w:p w14:paraId="6640DAF6" w14:textId="3718F068" w:rsidR="00930364" w:rsidRDefault="00930364" w:rsidP="00930364">
      <w:pPr>
        <w:rPr>
          <w:lang w:val="en-US"/>
        </w:rPr>
      </w:pPr>
      <w:r w:rsidRPr="00930364">
        <w:rPr>
          <w:noProof/>
          <w:lang w:eastAsia="en-GB"/>
        </w:rPr>
        <w:drawing>
          <wp:inline distT="0" distB="0" distL="0" distR="0" wp14:anchorId="413C451A" wp14:editId="693CFFB5">
            <wp:extent cx="5466308" cy="33051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98">
                      <a:extLst>
                        <a:ext uri="{28A0092B-C50C-407E-A947-70E740481C1C}">
                          <a14:useLocalDpi xmlns:a14="http://schemas.microsoft.com/office/drawing/2010/main" val="0"/>
                        </a:ext>
                      </a:extLst>
                    </a:blip>
                    <a:srcRect r="18901"/>
                    <a:stretch/>
                  </pic:blipFill>
                  <pic:spPr bwMode="auto">
                    <a:xfrm>
                      <a:off x="0" y="0"/>
                      <a:ext cx="5466308"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52CB95BB" w14:textId="365C9840" w:rsidR="0029086C" w:rsidRDefault="0029086C" w:rsidP="00681FB0">
      <w:pPr>
        <w:pStyle w:val="Heading1"/>
        <w:rPr>
          <w:lang w:val="en-US"/>
        </w:rPr>
      </w:pPr>
      <w:bookmarkStart w:id="239" w:name="_Toc90500044"/>
      <w:r>
        <w:rPr>
          <w:lang w:val="en-US"/>
        </w:rPr>
        <w:lastRenderedPageBreak/>
        <w:t>Appendix</w:t>
      </w:r>
      <w:r w:rsidR="006C0F17">
        <w:rPr>
          <w:lang w:val="en-US"/>
        </w:rPr>
        <w:t xml:space="preserve"> 1.2</w:t>
      </w:r>
      <w:r>
        <w:rPr>
          <w:lang w:val="en-US"/>
        </w:rPr>
        <w:t xml:space="preserve"> </w:t>
      </w:r>
      <w:r w:rsidR="00681FB0">
        <w:rPr>
          <w:lang w:val="en-US"/>
        </w:rPr>
        <w:t xml:space="preserve">(Stata </w:t>
      </w:r>
      <w:r w:rsidR="007540FD">
        <w:rPr>
          <w:lang w:val="en-US"/>
        </w:rPr>
        <w:t xml:space="preserve">and </w:t>
      </w:r>
      <w:proofErr w:type="spellStart"/>
      <w:r w:rsidR="007540FD">
        <w:rPr>
          <w:lang w:val="en-US"/>
        </w:rPr>
        <w:t>Matlab</w:t>
      </w:r>
      <w:proofErr w:type="spellEnd"/>
      <w:r w:rsidR="007540FD">
        <w:rPr>
          <w:lang w:val="en-US"/>
        </w:rPr>
        <w:t xml:space="preserve"> </w:t>
      </w:r>
      <w:r w:rsidR="00681FB0">
        <w:rPr>
          <w:lang w:val="en-US"/>
        </w:rPr>
        <w:t>programing codes)</w:t>
      </w:r>
      <w:bookmarkEnd w:id="239"/>
    </w:p>
    <w:p w14:paraId="01FA608E" w14:textId="10DD390D" w:rsidR="001D2F1F" w:rsidRPr="001D2F1F" w:rsidRDefault="001D2F1F" w:rsidP="006E460A">
      <w:pPr>
        <w:pStyle w:val="NoSpacing"/>
        <w:rPr>
          <w:color w:val="4F6228" w:themeColor="accent3" w:themeShade="80"/>
          <w:lang w:val="en-US"/>
        </w:rPr>
      </w:pPr>
      <w:r>
        <w:rPr>
          <w:color w:val="4F6228" w:themeColor="accent3" w:themeShade="80"/>
          <w:lang w:val="en-US"/>
        </w:rPr>
        <w:t>****</w:t>
      </w:r>
      <w:proofErr w:type="spellStart"/>
      <w:r>
        <w:rPr>
          <w:color w:val="4F6228" w:themeColor="accent3" w:themeShade="80"/>
          <w:lang w:val="en-US"/>
        </w:rPr>
        <w:t>intiatiating</w:t>
      </w:r>
      <w:proofErr w:type="spellEnd"/>
      <w:r>
        <w:rPr>
          <w:color w:val="4F6228" w:themeColor="accent3" w:themeShade="80"/>
          <w:lang w:val="en-US"/>
        </w:rPr>
        <w:t xml:space="preserve"> program*****</w:t>
      </w:r>
    </w:p>
    <w:p w14:paraId="321C9283" w14:textId="77777777" w:rsidR="0029086C" w:rsidRPr="0029086C" w:rsidRDefault="0029086C" w:rsidP="006E460A">
      <w:pPr>
        <w:pStyle w:val="NoSpacing"/>
        <w:rPr>
          <w:lang w:val="en-US"/>
        </w:rPr>
      </w:pPr>
      <w:r w:rsidRPr="0029086C">
        <w:rPr>
          <w:lang w:val="en-US"/>
        </w:rPr>
        <w:t>d "C:\StataDirectory"</w:t>
      </w:r>
    </w:p>
    <w:p w14:paraId="0D2D6A75" w14:textId="77777777" w:rsidR="0029086C" w:rsidRPr="0029086C" w:rsidRDefault="0029086C" w:rsidP="006E460A">
      <w:pPr>
        <w:pStyle w:val="NoSpacing"/>
        <w:rPr>
          <w:lang w:val="en-US"/>
        </w:rPr>
      </w:pPr>
      <w:r w:rsidRPr="0029086C">
        <w:rPr>
          <w:lang w:val="en-US"/>
        </w:rPr>
        <w:t>log using "C:\StataDirectory\res5draft.smcl"</w:t>
      </w:r>
    </w:p>
    <w:p w14:paraId="2259CD31" w14:textId="77777777" w:rsidR="0029086C" w:rsidRPr="0029086C" w:rsidRDefault="0029086C" w:rsidP="006E460A">
      <w:pPr>
        <w:pStyle w:val="NoSpacing"/>
        <w:rPr>
          <w:lang w:val="en-US"/>
        </w:rPr>
      </w:pPr>
      <w:r w:rsidRPr="0029086C">
        <w:rPr>
          <w:lang w:val="en-US"/>
        </w:rPr>
        <w:t xml:space="preserve">import excel "C:\Users\babar\Desktop\raw1.xlsx", sheet("Sheet1") </w:t>
      </w:r>
      <w:proofErr w:type="spellStart"/>
      <w:r w:rsidRPr="0029086C">
        <w:rPr>
          <w:lang w:val="en-US"/>
        </w:rPr>
        <w:t>firstrow</w:t>
      </w:r>
      <w:proofErr w:type="spellEnd"/>
    </w:p>
    <w:p w14:paraId="6A219D9A" w14:textId="77777777" w:rsidR="0029086C" w:rsidRPr="0029086C" w:rsidRDefault="0029086C" w:rsidP="006E460A">
      <w:pPr>
        <w:pStyle w:val="NoSpacing"/>
        <w:rPr>
          <w:lang w:val="en-US"/>
        </w:rPr>
      </w:pPr>
      <w:r w:rsidRPr="0029086C">
        <w:rPr>
          <w:lang w:val="en-US"/>
        </w:rPr>
        <w:t>describe</w:t>
      </w:r>
    </w:p>
    <w:p w14:paraId="26A7FDC1" w14:textId="5DF1B363" w:rsidR="0029086C" w:rsidRPr="0029086C" w:rsidRDefault="0029086C" w:rsidP="006E460A">
      <w:pPr>
        <w:pStyle w:val="NoSpacing"/>
        <w:rPr>
          <w:lang w:val="en-US"/>
        </w:rPr>
      </w:pPr>
      <w:proofErr w:type="spellStart"/>
      <w:r w:rsidRPr="0029086C">
        <w:rPr>
          <w:lang w:val="en-US"/>
        </w:rPr>
        <w:t>bcal</w:t>
      </w:r>
      <w:proofErr w:type="spellEnd"/>
      <w:r w:rsidRPr="0029086C">
        <w:rPr>
          <w:lang w:val="en-US"/>
        </w:rPr>
        <w:t xml:space="preserve"> create raw1, </w:t>
      </w:r>
      <w:r w:rsidR="006E460A" w:rsidRPr="0029086C">
        <w:rPr>
          <w:lang w:val="en-US"/>
        </w:rPr>
        <w:t>from (</w:t>
      </w:r>
      <w:r w:rsidRPr="0029086C">
        <w:rPr>
          <w:lang w:val="en-US"/>
        </w:rPr>
        <w:t>Date) generate(</w:t>
      </w:r>
      <w:proofErr w:type="spellStart"/>
      <w:r w:rsidRPr="0029086C">
        <w:rPr>
          <w:lang w:val="en-US"/>
        </w:rPr>
        <w:t>bcdate</w:t>
      </w:r>
      <w:proofErr w:type="spellEnd"/>
      <w:r w:rsidRPr="0029086C">
        <w:rPr>
          <w:lang w:val="en-US"/>
        </w:rPr>
        <w:t xml:space="preserve">) </w:t>
      </w:r>
      <w:proofErr w:type="spellStart"/>
      <w:proofErr w:type="gramStart"/>
      <w:r w:rsidRPr="0029086C">
        <w:rPr>
          <w:lang w:val="en-US"/>
        </w:rPr>
        <w:t>excludemissing</w:t>
      </w:r>
      <w:proofErr w:type="spellEnd"/>
      <w:r w:rsidRPr="0029086C">
        <w:rPr>
          <w:lang w:val="en-US"/>
        </w:rPr>
        <w:t>(</w:t>
      </w:r>
      <w:proofErr w:type="gramEnd"/>
      <w:r w:rsidRPr="0029086C">
        <w:rPr>
          <w:lang w:val="en-US"/>
        </w:rPr>
        <w:t>Date) replace</w:t>
      </w:r>
    </w:p>
    <w:p w14:paraId="15BEA2AB" w14:textId="77777777" w:rsidR="0029086C" w:rsidRPr="0029086C" w:rsidRDefault="0029086C" w:rsidP="006E460A">
      <w:pPr>
        <w:pStyle w:val="NoSpacing"/>
        <w:rPr>
          <w:lang w:val="en-US"/>
        </w:rPr>
      </w:pPr>
      <w:proofErr w:type="spellStart"/>
      <w:r w:rsidRPr="0029086C">
        <w:rPr>
          <w:lang w:val="en-US"/>
        </w:rPr>
        <w:t>tsset</w:t>
      </w:r>
      <w:proofErr w:type="spellEnd"/>
      <w:r w:rsidRPr="0029086C">
        <w:rPr>
          <w:lang w:val="en-US"/>
        </w:rPr>
        <w:t xml:space="preserve"> </w:t>
      </w:r>
      <w:proofErr w:type="spellStart"/>
      <w:r w:rsidRPr="0029086C">
        <w:rPr>
          <w:lang w:val="en-US"/>
        </w:rPr>
        <w:t>bcdate</w:t>
      </w:r>
      <w:proofErr w:type="spellEnd"/>
    </w:p>
    <w:p w14:paraId="4D732D85" w14:textId="77777777" w:rsidR="0029086C" w:rsidRPr="005C29E1" w:rsidRDefault="0029086C" w:rsidP="0029086C">
      <w:pPr>
        <w:rPr>
          <w:b/>
          <w:lang w:val="en-US"/>
        </w:rPr>
      </w:pPr>
    </w:p>
    <w:p w14:paraId="4BD4DBE9" w14:textId="40054639" w:rsidR="005C29E1" w:rsidRPr="005C29E1" w:rsidRDefault="005C29E1" w:rsidP="0029086C">
      <w:pPr>
        <w:rPr>
          <w:b/>
          <w:color w:val="548DD4" w:themeColor="text2" w:themeTint="99"/>
          <w:lang w:val="en-US"/>
        </w:rPr>
      </w:pPr>
      <w:r w:rsidRPr="005C29E1">
        <w:rPr>
          <w:b/>
          <w:color w:val="548DD4" w:themeColor="text2" w:themeTint="99"/>
          <w:lang w:val="en-US"/>
        </w:rPr>
        <w:t xml:space="preserve">Descriptive statistics </w:t>
      </w:r>
    </w:p>
    <w:p w14:paraId="11E254D5" w14:textId="32DD3031" w:rsidR="001D2F1F" w:rsidRPr="001D2F1F" w:rsidRDefault="001D2F1F" w:rsidP="0029086C">
      <w:pPr>
        <w:rPr>
          <w:color w:val="4F6228" w:themeColor="accent3" w:themeShade="80"/>
          <w:lang w:val="en-US"/>
        </w:rPr>
      </w:pPr>
      <w:r w:rsidRPr="001D2F1F">
        <w:rPr>
          <w:color w:val="4F6228" w:themeColor="accent3" w:themeShade="80"/>
          <w:lang w:val="en-US"/>
        </w:rPr>
        <w:t xml:space="preserve">******Descriptive </w:t>
      </w:r>
      <w:proofErr w:type="spellStart"/>
      <w:r w:rsidRPr="001D2F1F">
        <w:rPr>
          <w:color w:val="4F6228" w:themeColor="accent3" w:themeShade="80"/>
          <w:lang w:val="en-US"/>
        </w:rPr>
        <w:t>Statisctics</w:t>
      </w:r>
      <w:proofErr w:type="spellEnd"/>
      <w:r w:rsidRPr="001D2F1F">
        <w:rPr>
          <w:color w:val="4F6228" w:themeColor="accent3" w:themeShade="80"/>
          <w:lang w:val="en-US"/>
        </w:rPr>
        <w:t>******</w:t>
      </w:r>
    </w:p>
    <w:p w14:paraId="56A63862" w14:textId="77777777" w:rsidR="0029086C" w:rsidRPr="0029086C" w:rsidRDefault="0029086C" w:rsidP="006E460A">
      <w:pPr>
        <w:pStyle w:val="NoSpacing"/>
        <w:rPr>
          <w:lang w:val="en-US"/>
        </w:rPr>
      </w:pPr>
      <w:proofErr w:type="spellStart"/>
      <w:r w:rsidRPr="0029086C">
        <w:rPr>
          <w:lang w:val="en-US"/>
        </w:rPr>
        <w:t>asdoc</w:t>
      </w:r>
      <w:proofErr w:type="spellEnd"/>
      <w:r w:rsidRPr="0029086C">
        <w:rPr>
          <w:lang w:val="en-US"/>
        </w:rPr>
        <w:t xml:space="preserve"> summarize SPRT ABCP TED OIS, detail replace</w:t>
      </w:r>
    </w:p>
    <w:p w14:paraId="41CDE51D" w14:textId="44BBA2E7" w:rsidR="0029086C" w:rsidRPr="0029086C" w:rsidRDefault="0029086C" w:rsidP="006E460A">
      <w:pPr>
        <w:pStyle w:val="NoSpacing"/>
        <w:rPr>
          <w:lang w:val="en-US"/>
        </w:rPr>
      </w:pPr>
      <w:r w:rsidRPr="0029086C">
        <w:rPr>
          <w:lang w:val="en-US"/>
        </w:rPr>
        <w:t xml:space="preserve">summarize SPRT ABCP </w:t>
      </w:r>
      <w:r w:rsidR="00832B93" w:rsidRPr="0029086C">
        <w:rPr>
          <w:lang w:val="en-US"/>
        </w:rPr>
        <w:t>OIS TED</w:t>
      </w:r>
      <w:r w:rsidRPr="0029086C">
        <w:rPr>
          <w:lang w:val="en-US"/>
        </w:rPr>
        <w:t>, detail</w:t>
      </w:r>
    </w:p>
    <w:p w14:paraId="12DB5764" w14:textId="6365CC7E" w:rsidR="0029086C" w:rsidRPr="0029086C" w:rsidRDefault="0029086C" w:rsidP="006E460A">
      <w:pPr>
        <w:pStyle w:val="NoSpacing"/>
        <w:rPr>
          <w:lang w:val="en-US"/>
        </w:rPr>
      </w:pPr>
      <w:r w:rsidRPr="0029086C">
        <w:rPr>
          <w:lang w:val="en-US"/>
        </w:rPr>
        <w:t xml:space="preserve">** Summary Statistics for </w:t>
      </w:r>
      <w:r w:rsidR="00832B93" w:rsidRPr="0029086C">
        <w:rPr>
          <w:lang w:val="en-US"/>
        </w:rPr>
        <w:t>pre-Crisis</w:t>
      </w:r>
      <w:r w:rsidRPr="0029086C">
        <w:rPr>
          <w:lang w:val="en-US"/>
        </w:rPr>
        <w:t xml:space="preserve"> ****</w:t>
      </w:r>
    </w:p>
    <w:p w14:paraId="03B4403E" w14:textId="77777777" w:rsidR="0029086C" w:rsidRPr="0029086C" w:rsidRDefault="0029086C" w:rsidP="006E460A">
      <w:pPr>
        <w:pStyle w:val="NoSpacing"/>
        <w:rPr>
          <w:lang w:val="en-US"/>
        </w:rPr>
      </w:pPr>
      <w:r w:rsidRPr="0029086C">
        <w:rPr>
          <w:lang w:val="en-US"/>
        </w:rPr>
        <w:t xml:space="preserve">summarize SPRT ABCP OIS TED if </w:t>
      </w:r>
      <w:proofErr w:type="spellStart"/>
      <w:r w:rsidRPr="0029086C">
        <w:rPr>
          <w:lang w:val="en-US"/>
        </w:rPr>
        <w:t>bcdate</w:t>
      </w:r>
      <w:proofErr w:type="spellEnd"/>
      <w:r w:rsidRPr="0029086C">
        <w:rPr>
          <w:lang w:val="en-US"/>
        </w:rPr>
        <w:t>&gt;=</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&lt;=</w:t>
      </w:r>
      <w:proofErr w:type="spellStart"/>
      <w:r w:rsidRPr="0029086C">
        <w:rPr>
          <w:lang w:val="en-US"/>
        </w:rPr>
        <w:t>bofd</w:t>
      </w:r>
      <w:proofErr w:type="spellEnd"/>
      <w:r w:rsidRPr="0029086C">
        <w:rPr>
          <w:lang w:val="en-US"/>
        </w:rPr>
        <w:t>("raw1", td(01jun2007)), detail</w:t>
      </w:r>
    </w:p>
    <w:p w14:paraId="351144BE" w14:textId="77777777" w:rsidR="0029086C" w:rsidRPr="0029086C" w:rsidRDefault="0029086C" w:rsidP="006E460A">
      <w:pPr>
        <w:pStyle w:val="NoSpacing"/>
        <w:rPr>
          <w:lang w:val="en-US"/>
        </w:rPr>
      </w:pPr>
      <w:r w:rsidRPr="0029086C">
        <w:rPr>
          <w:lang w:val="en-US"/>
        </w:rPr>
        <w:t>** Summary Statistics for during Crisis ****</w:t>
      </w:r>
    </w:p>
    <w:p w14:paraId="72870C08" w14:textId="77777777" w:rsidR="0029086C" w:rsidRPr="0029086C" w:rsidRDefault="0029086C" w:rsidP="006E460A">
      <w:pPr>
        <w:pStyle w:val="NoSpacing"/>
        <w:rPr>
          <w:lang w:val="en-US"/>
        </w:rPr>
      </w:pPr>
      <w:r w:rsidRPr="0029086C">
        <w:rPr>
          <w:lang w:val="en-US"/>
        </w:rPr>
        <w:t xml:space="preserve">summarize SPRT ABCP OIS TED if </w:t>
      </w:r>
      <w:proofErr w:type="spellStart"/>
      <w:r w:rsidRPr="0029086C">
        <w:rPr>
          <w:lang w:val="en-US"/>
        </w:rPr>
        <w:t>bcdate</w:t>
      </w:r>
      <w:proofErr w:type="spellEnd"/>
      <w:r w:rsidRPr="0029086C">
        <w:rPr>
          <w:lang w:val="en-US"/>
        </w:rPr>
        <w:t>&gt;=</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&lt;=</w:t>
      </w:r>
      <w:proofErr w:type="spellStart"/>
      <w:r w:rsidRPr="0029086C">
        <w:rPr>
          <w:lang w:val="en-US"/>
        </w:rPr>
        <w:t>bofd</w:t>
      </w:r>
      <w:proofErr w:type="spellEnd"/>
      <w:r w:rsidRPr="0029086C">
        <w:rPr>
          <w:lang w:val="en-US"/>
        </w:rPr>
        <w:t>("raw1", td(09mar2009)), detail</w:t>
      </w:r>
    </w:p>
    <w:p w14:paraId="41E57509" w14:textId="77777777" w:rsidR="0029086C" w:rsidRPr="0029086C" w:rsidRDefault="0029086C" w:rsidP="006E460A">
      <w:pPr>
        <w:pStyle w:val="NoSpacing"/>
        <w:rPr>
          <w:lang w:val="en-US"/>
        </w:rPr>
      </w:pPr>
      <w:r w:rsidRPr="0029086C">
        <w:rPr>
          <w:lang w:val="en-US"/>
        </w:rPr>
        <w:t>** Summary Statistics for post Crisis ****</w:t>
      </w:r>
    </w:p>
    <w:p w14:paraId="1AC7A3ED" w14:textId="77777777" w:rsidR="0029086C" w:rsidRPr="0029086C" w:rsidRDefault="0029086C" w:rsidP="006E460A">
      <w:pPr>
        <w:pStyle w:val="NoSpacing"/>
        <w:rPr>
          <w:lang w:val="en-US"/>
        </w:rPr>
      </w:pPr>
      <w:r w:rsidRPr="0029086C">
        <w:rPr>
          <w:lang w:val="en-US"/>
        </w:rPr>
        <w:t xml:space="preserve">summarize SPRT ABCP OIS TED if </w:t>
      </w:r>
      <w:proofErr w:type="spellStart"/>
      <w:r w:rsidRPr="0029086C">
        <w:rPr>
          <w:lang w:val="en-US"/>
        </w:rPr>
        <w:t>bcdate</w:t>
      </w:r>
      <w:proofErr w:type="spellEnd"/>
      <w:r w:rsidRPr="0029086C">
        <w:rPr>
          <w:lang w:val="en-US"/>
        </w:rPr>
        <w:t>&gt;=</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&lt;=</w:t>
      </w:r>
      <w:proofErr w:type="spellStart"/>
      <w:r w:rsidRPr="0029086C">
        <w:rPr>
          <w:lang w:val="en-US"/>
        </w:rPr>
        <w:t>bofd</w:t>
      </w:r>
      <w:proofErr w:type="spellEnd"/>
      <w:r w:rsidRPr="0029086C">
        <w:rPr>
          <w:lang w:val="en-US"/>
        </w:rPr>
        <w:t>("raw1", td(23dec2015)), detail</w:t>
      </w:r>
    </w:p>
    <w:p w14:paraId="57AD765D" w14:textId="77777777" w:rsidR="006E460A" w:rsidRDefault="006E460A" w:rsidP="0029086C">
      <w:pPr>
        <w:rPr>
          <w:color w:val="4F6228" w:themeColor="accent3" w:themeShade="80"/>
          <w:lang w:val="en-US"/>
        </w:rPr>
      </w:pPr>
    </w:p>
    <w:p w14:paraId="46AC2A93" w14:textId="55EA2E7B" w:rsidR="005C29E1" w:rsidRPr="005C29E1" w:rsidRDefault="005C29E1" w:rsidP="0029086C">
      <w:pPr>
        <w:rPr>
          <w:b/>
          <w:color w:val="548DD4" w:themeColor="text2" w:themeTint="99"/>
          <w:lang w:val="en-US"/>
        </w:rPr>
      </w:pPr>
      <w:r w:rsidRPr="005C29E1">
        <w:rPr>
          <w:b/>
          <w:color w:val="548DD4" w:themeColor="text2" w:themeTint="99"/>
          <w:lang w:val="en-US"/>
        </w:rPr>
        <w:t xml:space="preserve">Normality </w:t>
      </w:r>
    </w:p>
    <w:p w14:paraId="6A8EA635" w14:textId="0C99A053" w:rsidR="001D2F1F" w:rsidRPr="001D2F1F" w:rsidRDefault="001D2F1F" w:rsidP="0029086C">
      <w:pPr>
        <w:rPr>
          <w:color w:val="4F6228" w:themeColor="accent3" w:themeShade="80"/>
          <w:lang w:val="en-US"/>
        </w:rPr>
      </w:pPr>
      <w:r>
        <w:rPr>
          <w:color w:val="4F6228" w:themeColor="accent3" w:themeShade="80"/>
          <w:lang w:val="en-US"/>
        </w:rPr>
        <w:t>******Normality Test******</w:t>
      </w:r>
    </w:p>
    <w:p w14:paraId="77E883C6" w14:textId="4CA100EE" w:rsidR="0029086C" w:rsidRPr="0029086C" w:rsidRDefault="0029086C" w:rsidP="006E460A">
      <w:pPr>
        <w:pStyle w:val="NoSpacing"/>
        <w:rPr>
          <w:lang w:val="en-US"/>
        </w:rPr>
      </w:pPr>
      <w:r w:rsidRPr="0029086C">
        <w:rPr>
          <w:lang w:val="en-US"/>
        </w:rPr>
        <w:t>*****            testing normality     *****</w:t>
      </w:r>
    </w:p>
    <w:p w14:paraId="2E144A7A" w14:textId="77777777" w:rsidR="0029086C" w:rsidRPr="0029086C" w:rsidRDefault="0029086C" w:rsidP="006E460A">
      <w:pPr>
        <w:pStyle w:val="NoSpacing"/>
        <w:rPr>
          <w:lang w:val="en-US"/>
        </w:rPr>
      </w:pPr>
      <w:r w:rsidRPr="0029086C">
        <w:rPr>
          <w:lang w:val="en-US"/>
        </w:rPr>
        <w:t xml:space="preserve">histogram SPRT, normal </w:t>
      </w:r>
      <w:proofErr w:type="spellStart"/>
      <w:r w:rsidRPr="0029086C">
        <w:rPr>
          <w:lang w:val="en-US"/>
        </w:rPr>
        <w:t>kdensity</w:t>
      </w:r>
      <w:proofErr w:type="spellEnd"/>
    </w:p>
    <w:p w14:paraId="5B79F46C"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SPHistogram.gph</w:t>
      </w:r>
      <w:proofErr w:type="spellEnd"/>
      <w:r w:rsidRPr="0029086C">
        <w:rPr>
          <w:lang w:val="en-US"/>
        </w:rPr>
        <w:t>"</w:t>
      </w:r>
    </w:p>
    <w:p w14:paraId="70A2C5B9" w14:textId="77777777" w:rsidR="0029086C" w:rsidRPr="0029086C" w:rsidRDefault="0029086C" w:rsidP="006E460A">
      <w:pPr>
        <w:pStyle w:val="NoSpacing"/>
        <w:rPr>
          <w:lang w:val="en-US"/>
        </w:rPr>
      </w:pPr>
      <w:r w:rsidRPr="0029086C">
        <w:rPr>
          <w:lang w:val="en-US"/>
        </w:rPr>
        <w:t xml:space="preserve">histogram ABCP, normal </w:t>
      </w:r>
      <w:proofErr w:type="spellStart"/>
      <w:r w:rsidRPr="0029086C">
        <w:rPr>
          <w:lang w:val="en-US"/>
        </w:rPr>
        <w:t>kdensity</w:t>
      </w:r>
      <w:proofErr w:type="spellEnd"/>
    </w:p>
    <w:p w14:paraId="2F883907"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ABCPHistogram.gph</w:t>
      </w:r>
      <w:proofErr w:type="spellEnd"/>
      <w:r w:rsidRPr="0029086C">
        <w:rPr>
          <w:lang w:val="en-US"/>
        </w:rPr>
        <w:t>"</w:t>
      </w:r>
    </w:p>
    <w:p w14:paraId="18008DE6" w14:textId="77777777" w:rsidR="0029086C" w:rsidRPr="0029086C" w:rsidRDefault="0029086C" w:rsidP="006E460A">
      <w:pPr>
        <w:pStyle w:val="NoSpacing"/>
        <w:rPr>
          <w:lang w:val="en-US"/>
        </w:rPr>
      </w:pPr>
      <w:r w:rsidRPr="0029086C">
        <w:rPr>
          <w:lang w:val="en-US"/>
        </w:rPr>
        <w:t xml:space="preserve">histogram OIS, normal </w:t>
      </w:r>
      <w:proofErr w:type="spellStart"/>
      <w:r w:rsidRPr="0029086C">
        <w:rPr>
          <w:lang w:val="en-US"/>
        </w:rPr>
        <w:t>kdensity</w:t>
      </w:r>
      <w:proofErr w:type="spellEnd"/>
    </w:p>
    <w:p w14:paraId="6850678D"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OISHistogram.gph</w:t>
      </w:r>
      <w:proofErr w:type="spellEnd"/>
      <w:r w:rsidRPr="0029086C">
        <w:rPr>
          <w:lang w:val="en-US"/>
        </w:rPr>
        <w:t>"</w:t>
      </w:r>
    </w:p>
    <w:p w14:paraId="6FA1727F" w14:textId="77777777" w:rsidR="0029086C" w:rsidRPr="0029086C" w:rsidRDefault="0029086C" w:rsidP="006E460A">
      <w:pPr>
        <w:pStyle w:val="NoSpacing"/>
        <w:rPr>
          <w:lang w:val="en-US"/>
        </w:rPr>
      </w:pPr>
      <w:r w:rsidRPr="0029086C">
        <w:rPr>
          <w:lang w:val="en-US"/>
        </w:rPr>
        <w:t xml:space="preserve">histogram TED, normal </w:t>
      </w:r>
      <w:proofErr w:type="spellStart"/>
      <w:r w:rsidRPr="0029086C">
        <w:rPr>
          <w:lang w:val="en-US"/>
        </w:rPr>
        <w:t>kdensity</w:t>
      </w:r>
      <w:proofErr w:type="spellEnd"/>
    </w:p>
    <w:p w14:paraId="1FB27005"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TEDHistogram.gph</w:t>
      </w:r>
      <w:proofErr w:type="spellEnd"/>
      <w:r w:rsidRPr="0029086C">
        <w:rPr>
          <w:lang w:val="en-US"/>
        </w:rPr>
        <w:t>"</w:t>
      </w:r>
    </w:p>
    <w:p w14:paraId="1B80294A" w14:textId="77777777" w:rsidR="0029086C" w:rsidRPr="0029086C" w:rsidRDefault="0029086C" w:rsidP="006E460A">
      <w:pPr>
        <w:pStyle w:val="NoSpacing"/>
        <w:rPr>
          <w:lang w:val="en-US"/>
        </w:rPr>
      </w:pPr>
      <w:proofErr w:type="spellStart"/>
      <w:r w:rsidRPr="0029086C">
        <w:rPr>
          <w:lang w:val="en-US"/>
        </w:rPr>
        <w:t>qnorm</w:t>
      </w:r>
      <w:proofErr w:type="spellEnd"/>
      <w:r w:rsidRPr="0029086C">
        <w:rPr>
          <w:lang w:val="en-US"/>
        </w:rPr>
        <w:t xml:space="preserve"> SPRT</w:t>
      </w:r>
    </w:p>
    <w:p w14:paraId="1EBCBB93"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QuartileNormalitySPgraph.gph</w:t>
      </w:r>
      <w:proofErr w:type="spellEnd"/>
      <w:r w:rsidRPr="0029086C">
        <w:rPr>
          <w:lang w:val="en-US"/>
        </w:rPr>
        <w:t>"</w:t>
      </w:r>
    </w:p>
    <w:p w14:paraId="4974B903" w14:textId="77777777" w:rsidR="0029086C" w:rsidRPr="0029086C" w:rsidRDefault="0029086C" w:rsidP="006E460A">
      <w:pPr>
        <w:pStyle w:val="NoSpacing"/>
        <w:rPr>
          <w:lang w:val="en-US"/>
        </w:rPr>
      </w:pPr>
      <w:proofErr w:type="spellStart"/>
      <w:r w:rsidRPr="0029086C">
        <w:rPr>
          <w:lang w:val="en-US"/>
        </w:rPr>
        <w:t>qnorm</w:t>
      </w:r>
      <w:proofErr w:type="spellEnd"/>
      <w:r w:rsidRPr="0029086C">
        <w:rPr>
          <w:lang w:val="en-US"/>
        </w:rPr>
        <w:t xml:space="preserve"> ABCP</w:t>
      </w:r>
    </w:p>
    <w:p w14:paraId="1DEA944A"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QuartileNormalityABCPgraph.gph</w:t>
      </w:r>
      <w:proofErr w:type="spellEnd"/>
      <w:r w:rsidRPr="0029086C">
        <w:rPr>
          <w:lang w:val="en-US"/>
        </w:rPr>
        <w:t>"</w:t>
      </w:r>
    </w:p>
    <w:p w14:paraId="4B479973"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QuartileNormalityABCPgraph.gph</w:t>
      </w:r>
      <w:proofErr w:type="spellEnd"/>
      <w:r w:rsidRPr="0029086C">
        <w:rPr>
          <w:lang w:val="en-US"/>
        </w:rPr>
        <w:t>", replace</w:t>
      </w:r>
    </w:p>
    <w:p w14:paraId="14D69DF5" w14:textId="77777777" w:rsidR="0029086C" w:rsidRPr="0029086C" w:rsidRDefault="0029086C" w:rsidP="006E460A">
      <w:pPr>
        <w:pStyle w:val="NoSpacing"/>
        <w:rPr>
          <w:lang w:val="en-US"/>
        </w:rPr>
      </w:pPr>
      <w:proofErr w:type="spellStart"/>
      <w:r w:rsidRPr="0029086C">
        <w:rPr>
          <w:lang w:val="en-US"/>
        </w:rPr>
        <w:t>qnorm</w:t>
      </w:r>
      <w:proofErr w:type="spellEnd"/>
      <w:r w:rsidRPr="0029086C">
        <w:rPr>
          <w:lang w:val="en-US"/>
        </w:rPr>
        <w:t xml:space="preserve"> OIS</w:t>
      </w:r>
    </w:p>
    <w:p w14:paraId="087676EE"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QuartileNormalityOISgraph.gph</w:t>
      </w:r>
      <w:proofErr w:type="spellEnd"/>
      <w:r w:rsidRPr="0029086C">
        <w:rPr>
          <w:lang w:val="en-US"/>
        </w:rPr>
        <w:t>"</w:t>
      </w:r>
    </w:p>
    <w:p w14:paraId="43BD4168" w14:textId="77777777" w:rsidR="0029086C" w:rsidRPr="0029086C" w:rsidRDefault="0029086C" w:rsidP="006E460A">
      <w:pPr>
        <w:pStyle w:val="NoSpacing"/>
        <w:rPr>
          <w:lang w:val="en-US"/>
        </w:rPr>
      </w:pPr>
      <w:proofErr w:type="spellStart"/>
      <w:r w:rsidRPr="0029086C">
        <w:rPr>
          <w:lang w:val="en-US"/>
        </w:rPr>
        <w:t>qnorm</w:t>
      </w:r>
      <w:proofErr w:type="spellEnd"/>
      <w:r w:rsidRPr="0029086C">
        <w:rPr>
          <w:lang w:val="en-US"/>
        </w:rPr>
        <w:t xml:space="preserve"> TED</w:t>
      </w:r>
    </w:p>
    <w:p w14:paraId="4E830E6B"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QuartileNormalityTEDgraph.gph</w:t>
      </w:r>
      <w:proofErr w:type="spellEnd"/>
      <w:r w:rsidRPr="0029086C">
        <w:rPr>
          <w:lang w:val="en-US"/>
        </w:rPr>
        <w:t>"</w:t>
      </w:r>
    </w:p>
    <w:p w14:paraId="14CCFE55" w14:textId="77777777" w:rsidR="0029086C" w:rsidRPr="0029086C" w:rsidRDefault="0029086C" w:rsidP="006E460A">
      <w:pPr>
        <w:pStyle w:val="NoSpacing"/>
        <w:rPr>
          <w:lang w:val="en-US"/>
        </w:rPr>
      </w:pPr>
      <w:proofErr w:type="spellStart"/>
      <w:r w:rsidRPr="0029086C">
        <w:rPr>
          <w:lang w:val="en-US"/>
        </w:rPr>
        <w:t>sktest</w:t>
      </w:r>
      <w:proofErr w:type="spellEnd"/>
      <w:r w:rsidRPr="0029086C">
        <w:rPr>
          <w:lang w:val="en-US"/>
        </w:rPr>
        <w:t xml:space="preserve"> SPRT ABCP OIS TED</w:t>
      </w:r>
    </w:p>
    <w:p w14:paraId="1745C618" w14:textId="77777777" w:rsidR="0029086C" w:rsidRPr="0029086C" w:rsidRDefault="0029086C" w:rsidP="006E460A">
      <w:pPr>
        <w:pStyle w:val="NoSpacing"/>
        <w:rPr>
          <w:lang w:val="en-US"/>
        </w:rPr>
      </w:pPr>
    </w:p>
    <w:p w14:paraId="6ACD3792" w14:textId="77777777" w:rsidR="0029086C" w:rsidRPr="0029086C" w:rsidRDefault="0029086C" w:rsidP="006E460A">
      <w:pPr>
        <w:pStyle w:val="NoSpacing"/>
        <w:rPr>
          <w:lang w:val="en-US"/>
        </w:rPr>
      </w:pPr>
      <w:proofErr w:type="spellStart"/>
      <w:r w:rsidRPr="0029086C">
        <w:rPr>
          <w:lang w:val="en-US"/>
        </w:rPr>
        <w:lastRenderedPageBreak/>
        <w:t>swilk</w:t>
      </w:r>
      <w:proofErr w:type="spellEnd"/>
      <w:r w:rsidRPr="0029086C">
        <w:rPr>
          <w:lang w:val="en-US"/>
        </w:rPr>
        <w:t xml:space="preserve"> SPRT ABCP OIS TED</w:t>
      </w:r>
    </w:p>
    <w:p w14:paraId="5DD9C65C" w14:textId="77777777" w:rsidR="0029086C" w:rsidRDefault="0029086C" w:rsidP="006E460A">
      <w:pPr>
        <w:pStyle w:val="NoSpacing"/>
        <w:rPr>
          <w:lang w:val="en-US"/>
        </w:rPr>
      </w:pPr>
      <w:proofErr w:type="spellStart"/>
      <w:r w:rsidRPr="0029086C">
        <w:rPr>
          <w:lang w:val="en-US"/>
        </w:rPr>
        <w:t>sfrancia</w:t>
      </w:r>
      <w:proofErr w:type="spellEnd"/>
      <w:r w:rsidRPr="0029086C">
        <w:rPr>
          <w:lang w:val="en-US"/>
        </w:rPr>
        <w:t xml:space="preserve"> SPRT ABCP OIS TED</w:t>
      </w:r>
    </w:p>
    <w:p w14:paraId="1405FFCD" w14:textId="77777777" w:rsidR="005C29E1" w:rsidRDefault="005C29E1" w:rsidP="006E460A">
      <w:pPr>
        <w:pStyle w:val="NoSpacing"/>
        <w:rPr>
          <w:lang w:val="en-US"/>
        </w:rPr>
      </w:pPr>
    </w:p>
    <w:p w14:paraId="45330A27" w14:textId="52195A3A" w:rsidR="005C29E1" w:rsidRPr="005C29E1" w:rsidRDefault="005C29E1" w:rsidP="006E460A">
      <w:pPr>
        <w:pStyle w:val="NoSpacing"/>
        <w:rPr>
          <w:b/>
          <w:lang w:val="en-US"/>
        </w:rPr>
      </w:pPr>
      <w:r w:rsidRPr="005C29E1">
        <w:rPr>
          <w:b/>
          <w:color w:val="548DD4" w:themeColor="text2" w:themeTint="99"/>
          <w:lang w:val="en-US"/>
        </w:rPr>
        <w:t>Stationarity</w:t>
      </w:r>
      <w:r w:rsidRPr="005C29E1">
        <w:rPr>
          <w:b/>
          <w:lang w:val="en-US"/>
        </w:rPr>
        <w:t xml:space="preserve"> </w:t>
      </w:r>
    </w:p>
    <w:p w14:paraId="7CA852D6" w14:textId="77777777" w:rsidR="001D2F1F" w:rsidRDefault="001D2F1F" w:rsidP="006E460A">
      <w:pPr>
        <w:pStyle w:val="NoSpacing"/>
        <w:rPr>
          <w:lang w:val="en-US"/>
        </w:rPr>
      </w:pPr>
    </w:p>
    <w:p w14:paraId="607ECEE8" w14:textId="7BD47B29" w:rsidR="001D2F1F" w:rsidRDefault="001D2F1F" w:rsidP="006E460A">
      <w:pPr>
        <w:pStyle w:val="NoSpacing"/>
        <w:rPr>
          <w:color w:val="4F6228" w:themeColor="accent3" w:themeShade="80"/>
          <w:lang w:val="en-US"/>
        </w:rPr>
      </w:pPr>
      <w:r w:rsidRPr="001D2F1F">
        <w:rPr>
          <w:color w:val="4F6228" w:themeColor="accent3" w:themeShade="80"/>
          <w:lang w:val="en-US"/>
        </w:rPr>
        <w:t>******Stationarity Test******</w:t>
      </w:r>
    </w:p>
    <w:p w14:paraId="2185CEC7" w14:textId="255A7DF0" w:rsidR="001D2F1F" w:rsidRPr="001D2F1F" w:rsidRDefault="001D2F1F" w:rsidP="006E460A">
      <w:pPr>
        <w:pStyle w:val="NoSpacing"/>
        <w:rPr>
          <w:color w:val="4F6228" w:themeColor="accent3" w:themeShade="80"/>
          <w:lang w:val="en-US"/>
        </w:rPr>
      </w:pPr>
      <w:r>
        <w:rPr>
          <w:color w:val="4F6228" w:themeColor="accent3" w:themeShade="80"/>
          <w:lang w:val="en-US"/>
        </w:rPr>
        <w:t>Phillips Perron test</w:t>
      </w:r>
    </w:p>
    <w:p w14:paraId="069BAE0A" w14:textId="77777777" w:rsidR="0029086C" w:rsidRPr="0029086C" w:rsidRDefault="0029086C" w:rsidP="006E460A">
      <w:pPr>
        <w:pStyle w:val="NoSpacing"/>
        <w:rPr>
          <w:lang w:val="en-US"/>
        </w:rPr>
      </w:pPr>
      <w:proofErr w:type="spellStart"/>
      <w:r w:rsidRPr="0029086C">
        <w:rPr>
          <w:lang w:val="en-US"/>
        </w:rPr>
        <w:t>pperron</w:t>
      </w:r>
      <w:proofErr w:type="spellEnd"/>
      <w:r w:rsidRPr="0029086C">
        <w:rPr>
          <w:lang w:val="en-US"/>
        </w:rPr>
        <w:t xml:space="preserve"> SPRT</w:t>
      </w:r>
    </w:p>
    <w:p w14:paraId="1D70575A" w14:textId="77777777" w:rsidR="0029086C" w:rsidRPr="0029086C" w:rsidRDefault="0029086C" w:rsidP="006E460A">
      <w:pPr>
        <w:pStyle w:val="NoSpacing"/>
        <w:rPr>
          <w:lang w:val="en-US"/>
        </w:rPr>
      </w:pPr>
      <w:proofErr w:type="spellStart"/>
      <w:r w:rsidRPr="0029086C">
        <w:rPr>
          <w:lang w:val="en-US"/>
        </w:rPr>
        <w:t>pperron</w:t>
      </w:r>
      <w:proofErr w:type="spellEnd"/>
      <w:r w:rsidRPr="0029086C">
        <w:rPr>
          <w:lang w:val="en-US"/>
        </w:rPr>
        <w:t xml:space="preserve"> ABCP</w:t>
      </w:r>
    </w:p>
    <w:p w14:paraId="79D3E77E" w14:textId="77777777" w:rsidR="0029086C" w:rsidRPr="0029086C" w:rsidRDefault="0029086C" w:rsidP="006E460A">
      <w:pPr>
        <w:pStyle w:val="NoSpacing"/>
        <w:rPr>
          <w:lang w:val="en-US"/>
        </w:rPr>
      </w:pPr>
      <w:proofErr w:type="spellStart"/>
      <w:r w:rsidRPr="0029086C">
        <w:rPr>
          <w:lang w:val="en-US"/>
        </w:rPr>
        <w:t>pperron</w:t>
      </w:r>
      <w:proofErr w:type="spellEnd"/>
      <w:r w:rsidRPr="0029086C">
        <w:rPr>
          <w:lang w:val="en-US"/>
        </w:rPr>
        <w:t xml:space="preserve"> OIS</w:t>
      </w:r>
    </w:p>
    <w:p w14:paraId="5164B7C5" w14:textId="77777777" w:rsidR="0029086C" w:rsidRPr="0029086C" w:rsidRDefault="0029086C" w:rsidP="006E460A">
      <w:pPr>
        <w:pStyle w:val="NoSpacing"/>
        <w:rPr>
          <w:lang w:val="en-US"/>
        </w:rPr>
      </w:pPr>
      <w:proofErr w:type="spellStart"/>
      <w:r w:rsidRPr="0029086C">
        <w:rPr>
          <w:lang w:val="en-US"/>
        </w:rPr>
        <w:t>pperron</w:t>
      </w:r>
      <w:proofErr w:type="spellEnd"/>
      <w:r w:rsidRPr="0029086C">
        <w:rPr>
          <w:lang w:val="en-US"/>
        </w:rPr>
        <w:t xml:space="preserve"> TED</w:t>
      </w:r>
    </w:p>
    <w:p w14:paraId="1FEAE918" w14:textId="77777777" w:rsidR="0029086C" w:rsidRDefault="0029086C" w:rsidP="001D2F1F">
      <w:pPr>
        <w:pStyle w:val="NoSpacing"/>
        <w:rPr>
          <w:lang w:val="en-US"/>
        </w:rPr>
      </w:pPr>
    </w:p>
    <w:p w14:paraId="1B9E2B45" w14:textId="2874C3B9" w:rsidR="001D2F1F" w:rsidRPr="001D2F1F" w:rsidRDefault="001D2F1F" w:rsidP="001D2F1F">
      <w:pPr>
        <w:pStyle w:val="NoSpacing"/>
        <w:rPr>
          <w:color w:val="4F6228" w:themeColor="accent3" w:themeShade="80"/>
          <w:lang w:val="en-US"/>
        </w:rPr>
      </w:pPr>
      <w:r w:rsidRPr="001D2F1F">
        <w:rPr>
          <w:color w:val="4F6228" w:themeColor="accent3" w:themeShade="80"/>
          <w:lang w:val="en-US"/>
        </w:rPr>
        <w:t xml:space="preserve">Augmented Dicky Fuller Test </w:t>
      </w:r>
    </w:p>
    <w:p w14:paraId="11FD001C"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       Stationarity test        *******</w:t>
      </w:r>
    </w:p>
    <w:p w14:paraId="31F9E31A"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Augmented dicky fuller unit root test   *****</w:t>
      </w:r>
    </w:p>
    <w:p w14:paraId="228554EB" w14:textId="70178480" w:rsidR="001D2F1F" w:rsidRDefault="001D2F1F" w:rsidP="006E460A">
      <w:pPr>
        <w:pStyle w:val="NoSpacing"/>
        <w:rPr>
          <w:color w:val="4F6228" w:themeColor="accent3" w:themeShade="80"/>
          <w:lang w:val="en-US"/>
        </w:rPr>
      </w:pPr>
      <w:r>
        <w:rPr>
          <w:color w:val="4F6228" w:themeColor="accent3" w:themeShade="80"/>
          <w:lang w:val="en-US"/>
        </w:rPr>
        <w:t>******S&amp;P500*****</w:t>
      </w:r>
    </w:p>
    <w:p w14:paraId="5A8A275F" w14:textId="55315FB1"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1</w:t>
      </w:r>
      <w:r w:rsidRPr="001D2F1F">
        <w:rPr>
          <w:color w:val="4F6228" w:themeColor="accent3" w:themeShade="80"/>
          <w:lang w:val="en-US"/>
        </w:rPr>
        <w:t xml:space="preserve"> ****</w:t>
      </w:r>
    </w:p>
    <w:p w14:paraId="011559EE"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no constant,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2B27C0F3" w14:textId="1811FA75"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SPRT, </w:t>
      </w:r>
      <w:proofErr w:type="spellStart"/>
      <w:r w:rsidRPr="0029086C">
        <w:rPr>
          <w:lang w:val="en-US"/>
        </w:rPr>
        <w:t>noconstant</w:t>
      </w:r>
      <w:proofErr w:type="spellEnd"/>
      <w:r w:rsidRPr="0029086C">
        <w:rPr>
          <w:lang w:val="en-US"/>
        </w:rPr>
        <w:t xml:space="preserve"> </w:t>
      </w:r>
      <w:r w:rsidR="006E460A" w:rsidRPr="0029086C">
        <w:rPr>
          <w:lang w:val="en-US"/>
        </w:rPr>
        <w:t>lags (</w:t>
      </w:r>
      <w:r w:rsidRPr="0029086C">
        <w:rPr>
          <w:lang w:val="en-US"/>
        </w:rPr>
        <w:t>2)</w:t>
      </w:r>
    </w:p>
    <w:p w14:paraId="2F21FAAE" w14:textId="24CCFA4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2</w:t>
      </w:r>
      <w:r w:rsidRPr="001D2F1F">
        <w:rPr>
          <w:color w:val="4F6228" w:themeColor="accent3" w:themeShade="80"/>
          <w:lang w:val="en-US"/>
        </w:rPr>
        <w:t xml:space="preserve"> ****</w:t>
      </w:r>
    </w:p>
    <w:p w14:paraId="459AA05E"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Random walk without drift, but a constant term included *******</w:t>
      </w:r>
    </w:p>
    <w:p w14:paraId="58070C5A" w14:textId="133A0B5D"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SPRT, </w:t>
      </w:r>
      <w:r w:rsidR="006E460A" w:rsidRPr="0029086C">
        <w:rPr>
          <w:lang w:val="en-US"/>
        </w:rPr>
        <w:t>lags (</w:t>
      </w:r>
      <w:r w:rsidRPr="0029086C">
        <w:rPr>
          <w:lang w:val="en-US"/>
        </w:rPr>
        <w:t>2)</w:t>
      </w:r>
    </w:p>
    <w:p w14:paraId="2171C4E5" w14:textId="110C25FA"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3</w:t>
      </w:r>
      <w:r w:rsidRPr="001D2F1F">
        <w:rPr>
          <w:color w:val="4F6228" w:themeColor="accent3" w:themeShade="80"/>
          <w:lang w:val="en-US"/>
        </w:rPr>
        <w:t xml:space="preserve"> ****</w:t>
      </w:r>
    </w:p>
    <w:p w14:paraId="249B43C2"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include drift,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738336A6" w14:textId="675C0E27"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SPRT, drift </w:t>
      </w:r>
      <w:r w:rsidR="006E460A" w:rsidRPr="0029086C">
        <w:rPr>
          <w:lang w:val="en-US"/>
        </w:rPr>
        <w:t>lags (</w:t>
      </w:r>
      <w:r w:rsidRPr="0029086C">
        <w:rPr>
          <w:lang w:val="en-US"/>
        </w:rPr>
        <w:t>2)</w:t>
      </w:r>
    </w:p>
    <w:p w14:paraId="0BD481F5" w14:textId="471763F1"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4</w:t>
      </w:r>
      <w:r w:rsidRPr="001D2F1F">
        <w:rPr>
          <w:color w:val="4F6228" w:themeColor="accent3" w:themeShade="80"/>
          <w:lang w:val="en-US"/>
        </w:rPr>
        <w:t xml:space="preserve"> ****</w:t>
      </w:r>
    </w:p>
    <w:p w14:paraId="728A4D06"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include drift, include trend and include constant in regression ***</w:t>
      </w:r>
    </w:p>
    <w:p w14:paraId="3EB9C1C9" w14:textId="7DE76257" w:rsidR="0029086C" w:rsidRPr="001D2F1F" w:rsidRDefault="0029086C" w:rsidP="006E460A">
      <w:pPr>
        <w:pStyle w:val="NoSpacing"/>
        <w:rPr>
          <w:lang w:val="en-US"/>
        </w:rPr>
      </w:pPr>
      <w:proofErr w:type="spellStart"/>
      <w:r w:rsidRPr="001D2F1F">
        <w:rPr>
          <w:lang w:val="en-US"/>
        </w:rPr>
        <w:t>dfuller</w:t>
      </w:r>
      <w:proofErr w:type="spellEnd"/>
      <w:r w:rsidRPr="001D2F1F">
        <w:rPr>
          <w:lang w:val="en-US"/>
        </w:rPr>
        <w:t xml:space="preserve"> SPRT, trend </w:t>
      </w:r>
      <w:r w:rsidR="006E460A" w:rsidRPr="001D2F1F">
        <w:rPr>
          <w:lang w:val="en-US"/>
        </w:rPr>
        <w:t>lags (</w:t>
      </w:r>
      <w:r w:rsidRPr="001D2F1F">
        <w:rPr>
          <w:lang w:val="en-US"/>
        </w:rPr>
        <w:t>2)</w:t>
      </w:r>
    </w:p>
    <w:p w14:paraId="774C175B" w14:textId="77777777" w:rsidR="0029086C" w:rsidRPr="0029086C" w:rsidRDefault="0029086C" w:rsidP="006E460A">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SPRT), name (SPRT)</w:t>
      </w:r>
    </w:p>
    <w:p w14:paraId="3D28E802" w14:textId="77777777" w:rsidR="0029086C" w:rsidRPr="0029086C" w:rsidRDefault="0029086C" w:rsidP="006E460A">
      <w:pPr>
        <w:pStyle w:val="NoSpacing"/>
        <w:rPr>
          <w:lang w:val="en-US"/>
        </w:rPr>
      </w:pPr>
      <w:r w:rsidRPr="0029086C">
        <w:rPr>
          <w:lang w:val="en-US"/>
        </w:rPr>
        <w:t>graph save SPRT "F:\FinalWork\copy of continue\RES5 work\</w:t>
      </w:r>
      <w:proofErr w:type="spellStart"/>
      <w:r w:rsidRPr="0029086C">
        <w:rPr>
          <w:lang w:val="en-US"/>
        </w:rPr>
        <w:t>SPRTgraphfor</w:t>
      </w:r>
      <w:proofErr w:type="spellEnd"/>
      <w:r w:rsidRPr="0029086C">
        <w:rPr>
          <w:lang w:val="en-US"/>
        </w:rPr>
        <w:t xml:space="preserve"> </w:t>
      </w:r>
      <w:proofErr w:type="spellStart"/>
      <w:r w:rsidRPr="0029086C">
        <w:rPr>
          <w:lang w:val="en-US"/>
        </w:rPr>
        <w:t>stationarity.gph</w:t>
      </w:r>
      <w:proofErr w:type="spellEnd"/>
      <w:r w:rsidRPr="0029086C">
        <w:rPr>
          <w:lang w:val="en-US"/>
        </w:rPr>
        <w:t>"</w:t>
      </w:r>
    </w:p>
    <w:p w14:paraId="65596892"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ABCP   ******</w:t>
      </w:r>
    </w:p>
    <w:p w14:paraId="320D8CB2" w14:textId="19BB7374"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1</w:t>
      </w:r>
      <w:r w:rsidRPr="001D2F1F">
        <w:rPr>
          <w:color w:val="4F6228" w:themeColor="accent3" w:themeShade="80"/>
          <w:lang w:val="en-US"/>
        </w:rPr>
        <w:t xml:space="preserve"> ****</w:t>
      </w:r>
    </w:p>
    <w:p w14:paraId="4CDB5278"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no constant,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14F79C37" w14:textId="5C2EAAE3"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ABCP, </w:t>
      </w:r>
      <w:proofErr w:type="spellStart"/>
      <w:r w:rsidRPr="0029086C">
        <w:rPr>
          <w:lang w:val="en-US"/>
        </w:rPr>
        <w:t>noconstant</w:t>
      </w:r>
      <w:proofErr w:type="spellEnd"/>
      <w:r w:rsidRPr="0029086C">
        <w:rPr>
          <w:lang w:val="en-US"/>
        </w:rPr>
        <w:t xml:space="preserve"> </w:t>
      </w:r>
      <w:r w:rsidR="006E460A" w:rsidRPr="0029086C">
        <w:rPr>
          <w:lang w:val="en-US"/>
        </w:rPr>
        <w:t>lags (</w:t>
      </w:r>
      <w:r w:rsidRPr="0029086C">
        <w:rPr>
          <w:lang w:val="en-US"/>
        </w:rPr>
        <w:t>2)</w:t>
      </w:r>
    </w:p>
    <w:p w14:paraId="7A309C8E" w14:textId="1BFECD94"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2</w:t>
      </w:r>
      <w:r w:rsidRPr="001D2F1F">
        <w:rPr>
          <w:color w:val="4F6228" w:themeColor="accent3" w:themeShade="80"/>
          <w:lang w:val="en-US"/>
        </w:rPr>
        <w:t xml:space="preserve"> ****</w:t>
      </w:r>
    </w:p>
    <w:p w14:paraId="35F2E4BB"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Random walk without drift, but a constant term included *******</w:t>
      </w:r>
    </w:p>
    <w:p w14:paraId="423D9833" w14:textId="2D197CAE" w:rsidR="0029086C" w:rsidRPr="001D2F1F" w:rsidRDefault="0029086C" w:rsidP="006E460A">
      <w:pPr>
        <w:pStyle w:val="NoSpacing"/>
        <w:rPr>
          <w:color w:val="4F6228" w:themeColor="accent3" w:themeShade="80"/>
          <w:lang w:val="en-US"/>
        </w:rPr>
      </w:pPr>
      <w:proofErr w:type="spellStart"/>
      <w:r w:rsidRPr="001D2F1F">
        <w:rPr>
          <w:color w:val="4F6228" w:themeColor="accent3" w:themeShade="80"/>
          <w:lang w:val="en-US"/>
        </w:rPr>
        <w:t>dfuller</w:t>
      </w:r>
      <w:proofErr w:type="spellEnd"/>
      <w:r w:rsidRPr="001D2F1F">
        <w:rPr>
          <w:color w:val="4F6228" w:themeColor="accent3" w:themeShade="80"/>
          <w:lang w:val="en-US"/>
        </w:rPr>
        <w:t xml:space="preserve"> ABCP, </w:t>
      </w:r>
      <w:r w:rsidR="006E460A" w:rsidRPr="001D2F1F">
        <w:rPr>
          <w:color w:val="4F6228" w:themeColor="accent3" w:themeShade="80"/>
          <w:lang w:val="en-US"/>
        </w:rPr>
        <w:t>lags (</w:t>
      </w:r>
      <w:r w:rsidRPr="001D2F1F">
        <w:rPr>
          <w:color w:val="4F6228" w:themeColor="accent3" w:themeShade="80"/>
          <w:lang w:val="en-US"/>
        </w:rPr>
        <w:t>2)</w:t>
      </w:r>
    </w:p>
    <w:p w14:paraId="5004B431" w14:textId="7BA4A843"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3</w:t>
      </w:r>
      <w:r w:rsidRPr="001D2F1F">
        <w:rPr>
          <w:color w:val="4F6228" w:themeColor="accent3" w:themeShade="80"/>
          <w:lang w:val="en-US"/>
        </w:rPr>
        <w:t xml:space="preserve"> ****</w:t>
      </w:r>
    </w:p>
    <w:p w14:paraId="5F81A992"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include drift,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0C5323DA" w14:textId="1A08DDB2"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ABCP, drift </w:t>
      </w:r>
      <w:r w:rsidR="006E460A" w:rsidRPr="0029086C">
        <w:rPr>
          <w:lang w:val="en-US"/>
        </w:rPr>
        <w:t>lags (</w:t>
      </w:r>
      <w:r w:rsidRPr="0029086C">
        <w:rPr>
          <w:lang w:val="en-US"/>
        </w:rPr>
        <w:t>2)</w:t>
      </w:r>
    </w:p>
    <w:p w14:paraId="6C93258E" w14:textId="31E3A30D"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4</w:t>
      </w:r>
      <w:r w:rsidRPr="001D2F1F">
        <w:rPr>
          <w:color w:val="4F6228" w:themeColor="accent3" w:themeShade="80"/>
          <w:lang w:val="en-US"/>
        </w:rPr>
        <w:t xml:space="preserve"> ****</w:t>
      </w:r>
    </w:p>
    <w:p w14:paraId="64149DBD"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include drift, include trend and include constant in regression ***</w:t>
      </w:r>
    </w:p>
    <w:p w14:paraId="05F43DE5" w14:textId="5E299091"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ABCP, trend </w:t>
      </w:r>
      <w:r w:rsidR="006E460A" w:rsidRPr="0029086C">
        <w:rPr>
          <w:lang w:val="en-US"/>
        </w:rPr>
        <w:t>lags (</w:t>
      </w:r>
      <w:r w:rsidRPr="0029086C">
        <w:rPr>
          <w:lang w:val="en-US"/>
        </w:rPr>
        <w:t>2)</w:t>
      </w:r>
    </w:p>
    <w:p w14:paraId="05F732B1" w14:textId="77777777" w:rsidR="0029086C" w:rsidRPr="0029086C" w:rsidRDefault="0029086C" w:rsidP="006E460A">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ABCP), name (ABCP)</w:t>
      </w:r>
    </w:p>
    <w:p w14:paraId="77606220" w14:textId="77777777" w:rsidR="0029086C" w:rsidRPr="0029086C" w:rsidRDefault="0029086C" w:rsidP="006E460A">
      <w:pPr>
        <w:pStyle w:val="NoSpacing"/>
        <w:rPr>
          <w:lang w:val="en-US"/>
        </w:rPr>
      </w:pPr>
      <w:r w:rsidRPr="0029086C">
        <w:rPr>
          <w:lang w:val="en-US"/>
        </w:rPr>
        <w:t>graph save ABCP "F:\FinalWork\copy of continue\RES5 work\</w:t>
      </w:r>
      <w:proofErr w:type="spellStart"/>
      <w:r w:rsidRPr="0029086C">
        <w:rPr>
          <w:lang w:val="en-US"/>
        </w:rPr>
        <w:t>ABCPgraphfor</w:t>
      </w:r>
      <w:proofErr w:type="spellEnd"/>
      <w:r w:rsidRPr="0029086C">
        <w:rPr>
          <w:lang w:val="en-US"/>
        </w:rPr>
        <w:t xml:space="preserve"> </w:t>
      </w:r>
      <w:proofErr w:type="spellStart"/>
      <w:r w:rsidRPr="0029086C">
        <w:rPr>
          <w:lang w:val="en-US"/>
        </w:rPr>
        <w:t>stationarity.gph</w:t>
      </w:r>
      <w:proofErr w:type="spellEnd"/>
      <w:r w:rsidRPr="0029086C">
        <w:rPr>
          <w:lang w:val="en-US"/>
        </w:rPr>
        <w:t>"</w:t>
      </w:r>
    </w:p>
    <w:p w14:paraId="47A15DCF" w14:textId="26EAEA01"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OIS *</w:t>
      </w:r>
      <w:r w:rsidRPr="001D2F1F">
        <w:rPr>
          <w:color w:val="4F6228" w:themeColor="accent3" w:themeShade="80"/>
          <w:lang w:val="en-US"/>
        </w:rPr>
        <w:t>*****</w:t>
      </w:r>
    </w:p>
    <w:p w14:paraId="1498B587" w14:textId="6FEA5798"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1</w:t>
      </w:r>
      <w:r w:rsidRPr="001D2F1F">
        <w:rPr>
          <w:color w:val="4F6228" w:themeColor="accent3" w:themeShade="80"/>
          <w:lang w:val="en-US"/>
        </w:rPr>
        <w:t xml:space="preserve"> ****</w:t>
      </w:r>
    </w:p>
    <w:p w14:paraId="4178C207"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no constant,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50B8530B" w14:textId="53D52C12"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OIS, </w:t>
      </w:r>
      <w:proofErr w:type="spellStart"/>
      <w:r w:rsidRPr="0029086C">
        <w:rPr>
          <w:lang w:val="en-US"/>
        </w:rPr>
        <w:t>noconstant</w:t>
      </w:r>
      <w:proofErr w:type="spellEnd"/>
      <w:r w:rsidRPr="0029086C">
        <w:rPr>
          <w:lang w:val="en-US"/>
        </w:rPr>
        <w:t xml:space="preserve"> </w:t>
      </w:r>
      <w:r w:rsidR="006E460A" w:rsidRPr="0029086C">
        <w:rPr>
          <w:lang w:val="en-US"/>
        </w:rPr>
        <w:t>lags (</w:t>
      </w:r>
      <w:r w:rsidRPr="0029086C">
        <w:rPr>
          <w:lang w:val="en-US"/>
        </w:rPr>
        <w:t>2)</w:t>
      </w:r>
    </w:p>
    <w:p w14:paraId="4A56B84B" w14:textId="4567CE4A"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2</w:t>
      </w:r>
      <w:r w:rsidRPr="001D2F1F">
        <w:rPr>
          <w:color w:val="4F6228" w:themeColor="accent3" w:themeShade="80"/>
          <w:lang w:val="en-US"/>
        </w:rPr>
        <w:t xml:space="preserve"> ****</w:t>
      </w:r>
    </w:p>
    <w:p w14:paraId="7BE8F347"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Random walk without drift, but a constant term included *******</w:t>
      </w:r>
    </w:p>
    <w:p w14:paraId="32C9E96C" w14:textId="1780A46C" w:rsidR="0029086C" w:rsidRPr="0029086C" w:rsidRDefault="0029086C" w:rsidP="006E460A">
      <w:pPr>
        <w:pStyle w:val="NoSpacing"/>
        <w:rPr>
          <w:lang w:val="en-US"/>
        </w:rPr>
      </w:pPr>
      <w:proofErr w:type="spellStart"/>
      <w:r w:rsidRPr="0029086C">
        <w:rPr>
          <w:lang w:val="en-US"/>
        </w:rPr>
        <w:lastRenderedPageBreak/>
        <w:t>dfuller</w:t>
      </w:r>
      <w:proofErr w:type="spellEnd"/>
      <w:r w:rsidRPr="0029086C">
        <w:rPr>
          <w:lang w:val="en-US"/>
        </w:rPr>
        <w:t xml:space="preserve"> OIS, </w:t>
      </w:r>
      <w:r w:rsidR="006E460A" w:rsidRPr="0029086C">
        <w:rPr>
          <w:lang w:val="en-US"/>
        </w:rPr>
        <w:t>lags (</w:t>
      </w:r>
      <w:r w:rsidRPr="0029086C">
        <w:rPr>
          <w:lang w:val="en-US"/>
        </w:rPr>
        <w:t>2)</w:t>
      </w:r>
    </w:p>
    <w:p w14:paraId="070CAD2E" w14:textId="06BA1C21"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3</w:t>
      </w:r>
      <w:r w:rsidRPr="001D2F1F">
        <w:rPr>
          <w:color w:val="4F6228" w:themeColor="accent3" w:themeShade="80"/>
          <w:lang w:val="en-US"/>
        </w:rPr>
        <w:t xml:space="preserve"> ****</w:t>
      </w:r>
    </w:p>
    <w:p w14:paraId="0C5C6221"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include drift,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4F2D4A1A" w14:textId="119F3A35"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OIS, drift </w:t>
      </w:r>
      <w:r w:rsidR="006E460A" w:rsidRPr="0029086C">
        <w:rPr>
          <w:lang w:val="en-US"/>
        </w:rPr>
        <w:t>lags (</w:t>
      </w:r>
      <w:r w:rsidRPr="0029086C">
        <w:rPr>
          <w:lang w:val="en-US"/>
        </w:rPr>
        <w:t>2)</w:t>
      </w:r>
    </w:p>
    <w:p w14:paraId="1780B78A" w14:textId="2B97B874"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4</w:t>
      </w:r>
      <w:r w:rsidRPr="001D2F1F">
        <w:rPr>
          <w:color w:val="4F6228" w:themeColor="accent3" w:themeShade="80"/>
          <w:lang w:val="en-US"/>
        </w:rPr>
        <w:t xml:space="preserve"> ****</w:t>
      </w:r>
    </w:p>
    <w:p w14:paraId="400DF8C8"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include drift, include trend and include constant in regression ***</w:t>
      </w:r>
    </w:p>
    <w:p w14:paraId="730DEDB7" w14:textId="20843866"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OIS, trend </w:t>
      </w:r>
      <w:r w:rsidR="006E460A" w:rsidRPr="0029086C">
        <w:rPr>
          <w:lang w:val="en-US"/>
        </w:rPr>
        <w:t>lags (</w:t>
      </w:r>
      <w:r w:rsidRPr="0029086C">
        <w:rPr>
          <w:lang w:val="en-US"/>
        </w:rPr>
        <w:t>2)</w:t>
      </w:r>
    </w:p>
    <w:p w14:paraId="7865763F" w14:textId="77777777" w:rsidR="0029086C" w:rsidRPr="0029086C" w:rsidRDefault="0029086C" w:rsidP="006E460A">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OIS), name (OIS)</w:t>
      </w:r>
    </w:p>
    <w:p w14:paraId="677636F6" w14:textId="77777777" w:rsidR="0029086C" w:rsidRPr="0029086C" w:rsidRDefault="0029086C" w:rsidP="006E460A">
      <w:pPr>
        <w:pStyle w:val="NoSpacing"/>
        <w:rPr>
          <w:lang w:val="en-US"/>
        </w:rPr>
      </w:pPr>
      <w:r w:rsidRPr="0029086C">
        <w:rPr>
          <w:lang w:val="en-US"/>
        </w:rPr>
        <w:t>graph save OIS "F:\FinalWork\copy of continue\RES5 work\</w:t>
      </w:r>
      <w:proofErr w:type="spellStart"/>
      <w:r w:rsidRPr="0029086C">
        <w:rPr>
          <w:lang w:val="en-US"/>
        </w:rPr>
        <w:t>OISgraphfor</w:t>
      </w:r>
      <w:proofErr w:type="spellEnd"/>
      <w:r w:rsidRPr="0029086C">
        <w:rPr>
          <w:lang w:val="en-US"/>
        </w:rPr>
        <w:t xml:space="preserve"> </w:t>
      </w:r>
      <w:proofErr w:type="spellStart"/>
      <w:r w:rsidRPr="0029086C">
        <w:rPr>
          <w:lang w:val="en-US"/>
        </w:rPr>
        <w:t>stationarity.gph</w:t>
      </w:r>
      <w:proofErr w:type="spellEnd"/>
      <w:r w:rsidRPr="0029086C">
        <w:rPr>
          <w:lang w:val="en-US"/>
        </w:rPr>
        <w:t>"</w:t>
      </w:r>
    </w:p>
    <w:p w14:paraId="3D2760BF"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TED *****</w:t>
      </w:r>
    </w:p>
    <w:p w14:paraId="2AB75003" w14:textId="0D9300C4"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1</w:t>
      </w:r>
      <w:r w:rsidRPr="001D2F1F">
        <w:rPr>
          <w:color w:val="4F6228" w:themeColor="accent3" w:themeShade="80"/>
          <w:lang w:val="en-US"/>
        </w:rPr>
        <w:t xml:space="preserve"> ****</w:t>
      </w:r>
    </w:p>
    <w:p w14:paraId="558547A6"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no constant,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751A8CDC" w14:textId="3D3160B5"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TED, </w:t>
      </w:r>
      <w:proofErr w:type="spellStart"/>
      <w:r w:rsidRPr="0029086C">
        <w:rPr>
          <w:lang w:val="en-US"/>
        </w:rPr>
        <w:t>noconstant</w:t>
      </w:r>
      <w:proofErr w:type="spellEnd"/>
      <w:r w:rsidRPr="0029086C">
        <w:rPr>
          <w:lang w:val="en-US"/>
        </w:rPr>
        <w:t xml:space="preserve"> </w:t>
      </w:r>
      <w:r w:rsidR="006E460A" w:rsidRPr="0029086C">
        <w:rPr>
          <w:lang w:val="en-US"/>
        </w:rPr>
        <w:t>lags (</w:t>
      </w:r>
      <w:r w:rsidRPr="0029086C">
        <w:rPr>
          <w:lang w:val="en-US"/>
        </w:rPr>
        <w:t>2)</w:t>
      </w:r>
    </w:p>
    <w:p w14:paraId="169AC0CC" w14:textId="07910A6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2</w:t>
      </w:r>
      <w:r w:rsidRPr="001D2F1F">
        <w:rPr>
          <w:color w:val="4F6228" w:themeColor="accent3" w:themeShade="80"/>
          <w:lang w:val="en-US"/>
        </w:rPr>
        <w:t xml:space="preserve"> ****</w:t>
      </w:r>
    </w:p>
    <w:p w14:paraId="49E302BD"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Random walk without drift, but a constant term included *******</w:t>
      </w:r>
    </w:p>
    <w:p w14:paraId="24ECE215" w14:textId="7C8FD2C0"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TED, </w:t>
      </w:r>
      <w:r w:rsidR="006E460A" w:rsidRPr="0029086C">
        <w:rPr>
          <w:lang w:val="en-US"/>
        </w:rPr>
        <w:t>lags (</w:t>
      </w:r>
      <w:r w:rsidRPr="0029086C">
        <w:rPr>
          <w:lang w:val="en-US"/>
        </w:rPr>
        <w:t>2)</w:t>
      </w:r>
    </w:p>
    <w:p w14:paraId="2EA9F5CE" w14:textId="565B0C55"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3</w:t>
      </w:r>
      <w:r w:rsidRPr="001D2F1F">
        <w:rPr>
          <w:color w:val="4F6228" w:themeColor="accent3" w:themeShade="80"/>
          <w:lang w:val="en-US"/>
        </w:rPr>
        <w:t xml:space="preserve"> ****</w:t>
      </w:r>
    </w:p>
    <w:p w14:paraId="49479FD3"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include drift, no </w:t>
      </w:r>
      <w:proofErr w:type="spellStart"/>
      <w:r w:rsidRPr="001D2F1F">
        <w:rPr>
          <w:color w:val="4F6228" w:themeColor="accent3" w:themeShade="80"/>
          <w:lang w:val="en-US"/>
        </w:rPr>
        <w:t>trent</w:t>
      </w:r>
      <w:proofErr w:type="spellEnd"/>
      <w:r w:rsidRPr="001D2F1F">
        <w:rPr>
          <w:color w:val="4F6228" w:themeColor="accent3" w:themeShade="80"/>
          <w:lang w:val="en-US"/>
        </w:rPr>
        <w:t xml:space="preserve"> ***</w:t>
      </w:r>
    </w:p>
    <w:p w14:paraId="5BCB4023" w14:textId="03750EB0"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TED, drift </w:t>
      </w:r>
      <w:r w:rsidR="006E460A" w:rsidRPr="0029086C">
        <w:rPr>
          <w:lang w:val="en-US"/>
        </w:rPr>
        <w:t>lags (</w:t>
      </w:r>
      <w:r w:rsidRPr="0029086C">
        <w:rPr>
          <w:lang w:val="en-US"/>
        </w:rPr>
        <w:t>2)</w:t>
      </w:r>
    </w:p>
    <w:p w14:paraId="1F685A6E" w14:textId="3CCD8373" w:rsidR="0029086C" w:rsidRPr="001D2F1F" w:rsidRDefault="0029086C" w:rsidP="006E460A">
      <w:pPr>
        <w:pStyle w:val="NoSpacing"/>
        <w:rPr>
          <w:color w:val="4F6228" w:themeColor="accent3" w:themeShade="80"/>
          <w:lang w:val="en-US"/>
        </w:rPr>
      </w:pPr>
      <w:r w:rsidRPr="001D2F1F">
        <w:rPr>
          <w:color w:val="4F6228" w:themeColor="accent3" w:themeShade="80"/>
          <w:lang w:val="en-US"/>
        </w:rPr>
        <w:t xml:space="preserve">**** </w:t>
      </w:r>
      <w:r w:rsidR="006E460A" w:rsidRPr="001D2F1F">
        <w:rPr>
          <w:color w:val="4F6228" w:themeColor="accent3" w:themeShade="80"/>
          <w:lang w:val="en-US"/>
        </w:rPr>
        <w:t>Case 4</w:t>
      </w:r>
      <w:r w:rsidRPr="001D2F1F">
        <w:rPr>
          <w:color w:val="4F6228" w:themeColor="accent3" w:themeShade="80"/>
          <w:lang w:val="en-US"/>
        </w:rPr>
        <w:t xml:space="preserve"> ****</w:t>
      </w:r>
    </w:p>
    <w:p w14:paraId="0161EE07" w14:textId="77777777" w:rsidR="0029086C" w:rsidRPr="001D2F1F" w:rsidRDefault="0029086C" w:rsidP="006E460A">
      <w:pPr>
        <w:pStyle w:val="NoSpacing"/>
        <w:rPr>
          <w:color w:val="4F6228" w:themeColor="accent3" w:themeShade="80"/>
          <w:lang w:val="en-US"/>
        </w:rPr>
      </w:pPr>
      <w:r w:rsidRPr="001D2F1F">
        <w:rPr>
          <w:color w:val="4F6228" w:themeColor="accent3" w:themeShade="80"/>
          <w:lang w:val="en-US"/>
        </w:rPr>
        <w:t>*** include drift, include trend and include constant in regression ***</w:t>
      </w:r>
    </w:p>
    <w:p w14:paraId="24F541A2" w14:textId="05B910CE" w:rsidR="0029086C" w:rsidRPr="0029086C" w:rsidRDefault="0029086C" w:rsidP="006E460A">
      <w:pPr>
        <w:pStyle w:val="NoSpacing"/>
        <w:rPr>
          <w:lang w:val="en-US"/>
        </w:rPr>
      </w:pPr>
      <w:proofErr w:type="spellStart"/>
      <w:r w:rsidRPr="0029086C">
        <w:rPr>
          <w:lang w:val="en-US"/>
        </w:rPr>
        <w:t>dfuller</w:t>
      </w:r>
      <w:proofErr w:type="spellEnd"/>
      <w:r w:rsidRPr="0029086C">
        <w:rPr>
          <w:lang w:val="en-US"/>
        </w:rPr>
        <w:t xml:space="preserve"> TED, trend </w:t>
      </w:r>
      <w:r w:rsidR="006E460A" w:rsidRPr="0029086C">
        <w:rPr>
          <w:lang w:val="en-US"/>
        </w:rPr>
        <w:t>lags (</w:t>
      </w:r>
      <w:r w:rsidRPr="0029086C">
        <w:rPr>
          <w:lang w:val="en-US"/>
        </w:rPr>
        <w:t>2)</w:t>
      </w:r>
    </w:p>
    <w:p w14:paraId="24EE6D77" w14:textId="77777777" w:rsidR="001D2F1F" w:rsidRPr="001D2F1F" w:rsidRDefault="001D2F1F" w:rsidP="006E460A">
      <w:pPr>
        <w:pStyle w:val="NoSpacing"/>
        <w:rPr>
          <w:color w:val="4F6228" w:themeColor="accent3" w:themeShade="80"/>
          <w:lang w:val="en-US"/>
        </w:rPr>
      </w:pPr>
    </w:p>
    <w:p w14:paraId="69EA3CD4" w14:textId="5A2C7F9C" w:rsidR="001D2F1F" w:rsidRPr="001D2F1F" w:rsidRDefault="001D2F1F" w:rsidP="006E460A">
      <w:pPr>
        <w:pStyle w:val="NoSpacing"/>
        <w:rPr>
          <w:color w:val="4F6228" w:themeColor="accent3" w:themeShade="80"/>
          <w:lang w:val="en-US"/>
        </w:rPr>
      </w:pPr>
      <w:r w:rsidRPr="001D2F1F">
        <w:rPr>
          <w:color w:val="4F6228" w:themeColor="accent3" w:themeShade="80"/>
          <w:lang w:val="en-US"/>
        </w:rPr>
        <w:t xml:space="preserve">*****Graphical </w:t>
      </w:r>
      <w:proofErr w:type="spellStart"/>
      <w:r w:rsidRPr="001D2F1F">
        <w:rPr>
          <w:color w:val="4F6228" w:themeColor="accent3" w:themeShade="80"/>
          <w:lang w:val="en-US"/>
        </w:rPr>
        <w:t>Represntation</w:t>
      </w:r>
      <w:proofErr w:type="spellEnd"/>
      <w:r w:rsidRPr="001D2F1F">
        <w:rPr>
          <w:color w:val="4F6228" w:themeColor="accent3" w:themeShade="80"/>
          <w:lang w:val="en-US"/>
        </w:rPr>
        <w:t>******</w:t>
      </w:r>
    </w:p>
    <w:p w14:paraId="6FE3BB71" w14:textId="77777777" w:rsidR="0029086C" w:rsidRPr="0029086C" w:rsidRDefault="0029086C" w:rsidP="006E460A">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TED), name (TED)</w:t>
      </w:r>
    </w:p>
    <w:p w14:paraId="0E9AD05B" w14:textId="77777777" w:rsidR="0029086C" w:rsidRPr="0029086C" w:rsidRDefault="0029086C" w:rsidP="006E460A">
      <w:pPr>
        <w:pStyle w:val="NoSpacing"/>
        <w:rPr>
          <w:lang w:val="en-US"/>
        </w:rPr>
      </w:pPr>
      <w:r w:rsidRPr="0029086C">
        <w:rPr>
          <w:lang w:val="en-US"/>
        </w:rPr>
        <w:t>graph save TED "F:\FinalWork\copy of continue\RES5 work\</w:t>
      </w:r>
      <w:proofErr w:type="spellStart"/>
      <w:r w:rsidRPr="0029086C">
        <w:rPr>
          <w:lang w:val="en-US"/>
        </w:rPr>
        <w:t>TEDgraphfor</w:t>
      </w:r>
      <w:proofErr w:type="spellEnd"/>
      <w:r w:rsidRPr="0029086C">
        <w:rPr>
          <w:lang w:val="en-US"/>
        </w:rPr>
        <w:t xml:space="preserve"> </w:t>
      </w:r>
      <w:proofErr w:type="spellStart"/>
      <w:r w:rsidRPr="0029086C">
        <w:rPr>
          <w:lang w:val="en-US"/>
        </w:rPr>
        <w:t>stationarity.gph</w:t>
      </w:r>
      <w:proofErr w:type="spellEnd"/>
      <w:r w:rsidRPr="0029086C">
        <w:rPr>
          <w:lang w:val="en-US"/>
        </w:rPr>
        <w:t>"</w:t>
      </w:r>
    </w:p>
    <w:p w14:paraId="6437FD50" w14:textId="77777777" w:rsidR="0029086C" w:rsidRPr="0029086C" w:rsidRDefault="0029086C" w:rsidP="006E460A">
      <w:pPr>
        <w:pStyle w:val="NoSpacing"/>
        <w:rPr>
          <w:lang w:val="en-US"/>
        </w:rPr>
      </w:pPr>
      <w:r w:rsidRPr="0029086C">
        <w:rPr>
          <w:lang w:val="en-US"/>
        </w:rPr>
        <w:t>graph combine SPRT ABCP OIS TED</w:t>
      </w:r>
    </w:p>
    <w:p w14:paraId="52FDC020"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combinegraphofstationarity.gph</w:t>
      </w:r>
      <w:proofErr w:type="spellEnd"/>
      <w:r w:rsidRPr="0029086C">
        <w:rPr>
          <w:lang w:val="en-US"/>
        </w:rPr>
        <w:t>"</w:t>
      </w:r>
    </w:p>
    <w:p w14:paraId="6BC07233" w14:textId="77777777" w:rsidR="0029086C" w:rsidRPr="0029086C" w:rsidRDefault="0029086C" w:rsidP="006E460A">
      <w:pPr>
        <w:pStyle w:val="NoSpacing"/>
        <w:rPr>
          <w:lang w:val="en-US"/>
        </w:rPr>
      </w:pPr>
      <w:proofErr w:type="spellStart"/>
      <w:r w:rsidRPr="0029086C">
        <w:rPr>
          <w:lang w:val="en-US"/>
        </w:rPr>
        <w:t>corrgram</w:t>
      </w:r>
      <w:proofErr w:type="spellEnd"/>
      <w:r w:rsidRPr="0029086C">
        <w:rPr>
          <w:lang w:val="en-US"/>
        </w:rPr>
        <w:t xml:space="preserve"> SPRT</w:t>
      </w:r>
    </w:p>
    <w:p w14:paraId="50EA01EB" w14:textId="77777777" w:rsidR="0029086C" w:rsidRPr="0029086C" w:rsidRDefault="0029086C" w:rsidP="006E460A">
      <w:pPr>
        <w:pStyle w:val="NoSpacing"/>
        <w:rPr>
          <w:lang w:val="en-US"/>
        </w:rPr>
      </w:pPr>
      <w:r w:rsidRPr="0029086C">
        <w:rPr>
          <w:lang w:val="en-US"/>
        </w:rPr>
        <w:t>ac SPRT, name (ACSPRT)</w:t>
      </w:r>
    </w:p>
    <w:p w14:paraId="3C5863B9" w14:textId="77777777" w:rsidR="0029086C" w:rsidRPr="0029086C" w:rsidRDefault="0029086C" w:rsidP="006E460A">
      <w:pPr>
        <w:pStyle w:val="NoSpacing"/>
        <w:rPr>
          <w:lang w:val="en-US"/>
        </w:rPr>
      </w:pPr>
      <w:r w:rsidRPr="0029086C">
        <w:rPr>
          <w:lang w:val="en-US"/>
        </w:rPr>
        <w:t>ac ABCP, name (ACABCP)</w:t>
      </w:r>
    </w:p>
    <w:p w14:paraId="25F67166" w14:textId="77777777" w:rsidR="0029086C" w:rsidRPr="0029086C" w:rsidRDefault="0029086C" w:rsidP="006E460A">
      <w:pPr>
        <w:pStyle w:val="NoSpacing"/>
        <w:rPr>
          <w:lang w:val="en-US"/>
        </w:rPr>
      </w:pPr>
      <w:r w:rsidRPr="0029086C">
        <w:rPr>
          <w:lang w:val="en-US"/>
        </w:rPr>
        <w:t>ac OIS, name (ACOIS)</w:t>
      </w:r>
    </w:p>
    <w:p w14:paraId="7A690A94" w14:textId="77777777" w:rsidR="0029086C" w:rsidRPr="0029086C" w:rsidRDefault="0029086C" w:rsidP="006E460A">
      <w:pPr>
        <w:pStyle w:val="NoSpacing"/>
        <w:rPr>
          <w:lang w:val="en-US"/>
        </w:rPr>
      </w:pPr>
      <w:r w:rsidRPr="0029086C">
        <w:rPr>
          <w:lang w:val="en-US"/>
        </w:rPr>
        <w:t>ac TED, name (ACTED)</w:t>
      </w:r>
    </w:p>
    <w:p w14:paraId="2AC7B645" w14:textId="77777777" w:rsidR="0029086C" w:rsidRPr="0029086C" w:rsidRDefault="0029086C" w:rsidP="006E460A">
      <w:pPr>
        <w:pStyle w:val="NoSpacing"/>
        <w:rPr>
          <w:lang w:val="en-US"/>
        </w:rPr>
      </w:pPr>
      <w:r w:rsidRPr="0029086C">
        <w:rPr>
          <w:lang w:val="en-US"/>
        </w:rPr>
        <w:t>graph combine ACSPRT ACABCP ACOIS ACTED</w:t>
      </w:r>
    </w:p>
    <w:p w14:paraId="4AA83B20" w14:textId="77777777" w:rsidR="0029086C" w:rsidRPr="0029086C" w:rsidRDefault="0029086C" w:rsidP="006E460A">
      <w:pPr>
        <w:pStyle w:val="NoSpacing"/>
        <w:rPr>
          <w:lang w:val="en-US"/>
        </w:rPr>
      </w:pPr>
      <w:r w:rsidRPr="0029086C">
        <w:rPr>
          <w:lang w:val="en-US"/>
        </w:rPr>
        <w:t>graph save Graph "F:\FinalWork\copy of continue\RES5 work\</w:t>
      </w:r>
      <w:proofErr w:type="spellStart"/>
      <w:r w:rsidRPr="0029086C">
        <w:rPr>
          <w:lang w:val="en-US"/>
        </w:rPr>
        <w:t>combinegraphACF.gph</w:t>
      </w:r>
      <w:proofErr w:type="spellEnd"/>
      <w:r w:rsidRPr="0029086C">
        <w:rPr>
          <w:lang w:val="en-US"/>
        </w:rPr>
        <w:t>"</w:t>
      </w:r>
    </w:p>
    <w:p w14:paraId="7374526A" w14:textId="77777777" w:rsidR="000519C3" w:rsidRPr="00DE5D41" w:rsidRDefault="000519C3" w:rsidP="000519C3">
      <w:pPr>
        <w:pStyle w:val="NoSpacing"/>
        <w:rPr>
          <w:b/>
          <w:color w:val="548DD4" w:themeColor="text2" w:themeTint="99"/>
          <w:lang w:val="en-US"/>
        </w:rPr>
      </w:pPr>
    </w:p>
    <w:p w14:paraId="78286167" w14:textId="6F2434FC" w:rsidR="001D2F1F" w:rsidRDefault="00DE5D41" w:rsidP="000519C3">
      <w:pPr>
        <w:pStyle w:val="NoSpacing"/>
        <w:rPr>
          <w:b/>
          <w:color w:val="548DD4" w:themeColor="text2" w:themeTint="99"/>
          <w:lang w:val="en-US"/>
        </w:rPr>
      </w:pPr>
      <w:r w:rsidRPr="00DE5D41">
        <w:rPr>
          <w:b/>
          <w:color w:val="548DD4" w:themeColor="text2" w:themeTint="99"/>
          <w:lang w:val="en-US"/>
        </w:rPr>
        <w:t xml:space="preserve">Heteroscedasticity </w:t>
      </w:r>
    </w:p>
    <w:p w14:paraId="5B118D60" w14:textId="77777777" w:rsidR="00DE5D41" w:rsidRPr="00DE5D41" w:rsidRDefault="00DE5D41" w:rsidP="000519C3">
      <w:pPr>
        <w:pStyle w:val="NoSpacing"/>
        <w:rPr>
          <w:b/>
          <w:color w:val="548DD4" w:themeColor="text2" w:themeTint="99"/>
          <w:lang w:val="en-US"/>
        </w:rPr>
      </w:pPr>
    </w:p>
    <w:p w14:paraId="32F10E19" w14:textId="16E893A1" w:rsidR="0029086C" w:rsidRPr="0029086C" w:rsidRDefault="0029086C" w:rsidP="000519C3">
      <w:pPr>
        <w:pStyle w:val="NoSpacing"/>
        <w:rPr>
          <w:lang w:val="en-US"/>
        </w:rPr>
      </w:pPr>
      <w:r w:rsidRPr="001D2F1F">
        <w:rPr>
          <w:color w:val="4F6228" w:themeColor="accent3" w:themeShade="80"/>
          <w:lang w:val="en-US"/>
        </w:rPr>
        <w:t>******** Heteroscedasticity ******</w:t>
      </w:r>
    </w:p>
    <w:p w14:paraId="64B695E5" w14:textId="77777777" w:rsidR="0029086C" w:rsidRPr="0029086C" w:rsidRDefault="0029086C" w:rsidP="000519C3">
      <w:pPr>
        <w:pStyle w:val="NoSpacing"/>
        <w:rPr>
          <w:lang w:val="en-US"/>
        </w:rPr>
      </w:pPr>
      <w:r w:rsidRPr="0029086C">
        <w:rPr>
          <w:lang w:val="en-US"/>
        </w:rPr>
        <w:t>regress SPRT</w:t>
      </w:r>
    </w:p>
    <w:p w14:paraId="4BA1509A" w14:textId="77777777" w:rsidR="0029086C" w:rsidRPr="0029086C" w:rsidRDefault="0029086C" w:rsidP="000519C3">
      <w:pPr>
        <w:pStyle w:val="NoSpacing"/>
        <w:rPr>
          <w:lang w:val="en-US"/>
        </w:rPr>
      </w:pPr>
      <w:r w:rsidRPr="0029086C">
        <w:rPr>
          <w:lang w:val="en-US"/>
        </w:rPr>
        <w:t>predict residuals, residuals</w:t>
      </w:r>
    </w:p>
    <w:p w14:paraId="069DF8B1" w14:textId="77777777" w:rsidR="0029086C" w:rsidRPr="0029086C" w:rsidRDefault="0029086C" w:rsidP="000519C3">
      <w:pPr>
        <w:pStyle w:val="NoSpacing"/>
        <w:rPr>
          <w:lang w:val="en-US"/>
        </w:rPr>
      </w:pPr>
      <w:proofErr w:type="spellStart"/>
      <w:r w:rsidRPr="0029086C">
        <w:rPr>
          <w:lang w:val="en-US"/>
        </w:rPr>
        <w:t>estat</w:t>
      </w:r>
      <w:proofErr w:type="spellEnd"/>
      <w:r w:rsidRPr="0029086C">
        <w:rPr>
          <w:lang w:val="en-US"/>
        </w:rPr>
        <w:t xml:space="preserve"> </w:t>
      </w:r>
      <w:proofErr w:type="spellStart"/>
      <w:r w:rsidRPr="0029086C">
        <w:rPr>
          <w:lang w:val="en-US"/>
        </w:rPr>
        <w:t>archlm</w:t>
      </w:r>
      <w:proofErr w:type="spellEnd"/>
      <w:r w:rsidRPr="0029086C">
        <w:rPr>
          <w:lang w:val="en-US"/>
        </w:rPr>
        <w:t xml:space="preserve">, </w:t>
      </w:r>
      <w:proofErr w:type="gramStart"/>
      <w:r w:rsidRPr="0029086C">
        <w:rPr>
          <w:lang w:val="en-US"/>
        </w:rPr>
        <w:t>lags(</w:t>
      </w:r>
      <w:proofErr w:type="gramEnd"/>
      <w:r w:rsidRPr="0029086C">
        <w:rPr>
          <w:lang w:val="en-US"/>
        </w:rPr>
        <w:t>1 5 10)</w:t>
      </w:r>
    </w:p>
    <w:p w14:paraId="755A627C" w14:textId="77777777" w:rsidR="0029086C" w:rsidRPr="0029086C" w:rsidRDefault="0029086C" w:rsidP="000519C3">
      <w:pPr>
        <w:pStyle w:val="NoSpacing"/>
        <w:rPr>
          <w:lang w:val="en-US"/>
        </w:rPr>
      </w:pPr>
      <w:r w:rsidRPr="0029086C">
        <w:rPr>
          <w:lang w:val="en-US"/>
        </w:rPr>
        <w:t>regress ABCP</w:t>
      </w:r>
    </w:p>
    <w:p w14:paraId="27811421" w14:textId="77777777" w:rsidR="0029086C" w:rsidRPr="0029086C" w:rsidRDefault="0029086C" w:rsidP="000519C3">
      <w:pPr>
        <w:pStyle w:val="NoSpacing"/>
        <w:rPr>
          <w:lang w:val="en-US"/>
        </w:rPr>
      </w:pPr>
      <w:proofErr w:type="spellStart"/>
      <w:r w:rsidRPr="0029086C">
        <w:rPr>
          <w:lang w:val="en-US"/>
        </w:rPr>
        <w:t>estat</w:t>
      </w:r>
      <w:proofErr w:type="spellEnd"/>
      <w:r w:rsidRPr="0029086C">
        <w:rPr>
          <w:lang w:val="en-US"/>
        </w:rPr>
        <w:t xml:space="preserve"> </w:t>
      </w:r>
      <w:proofErr w:type="spellStart"/>
      <w:r w:rsidRPr="0029086C">
        <w:rPr>
          <w:lang w:val="en-US"/>
        </w:rPr>
        <w:t>archlm</w:t>
      </w:r>
      <w:proofErr w:type="spellEnd"/>
      <w:r w:rsidRPr="0029086C">
        <w:rPr>
          <w:lang w:val="en-US"/>
        </w:rPr>
        <w:t xml:space="preserve">, </w:t>
      </w:r>
      <w:proofErr w:type="gramStart"/>
      <w:r w:rsidRPr="0029086C">
        <w:rPr>
          <w:lang w:val="en-US"/>
        </w:rPr>
        <w:t>lags(</w:t>
      </w:r>
      <w:proofErr w:type="gramEnd"/>
      <w:r w:rsidRPr="0029086C">
        <w:rPr>
          <w:lang w:val="en-US"/>
        </w:rPr>
        <w:t>1 5 10)</w:t>
      </w:r>
    </w:p>
    <w:p w14:paraId="1DEDEAD1" w14:textId="77777777" w:rsidR="0029086C" w:rsidRPr="0029086C" w:rsidRDefault="0029086C" w:rsidP="000519C3">
      <w:pPr>
        <w:pStyle w:val="NoSpacing"/>
        <w:rPr>
          <w:lang w:val="en-US"/>
        </w:rPr>
      </w:pPr>
      <w:r w:rsidRPr="0029086C">
        <w:rPr>
          <w:lang w:val="en-US"/>
        </w:rPr>
        <w:t>regress OIS</w:t>
      </w:r>
    </w:p>
    <w:p w14:paraId="4B560993" w14:textId="77777777" w:rsidR="0029086C" w:rsidRPr="0029086C" w:rsidRDefault="0029086C" w:rsidP="000519C3">
      <w:pPr>
        <w:pStyle w:val="NoSpacing"/>
        <w:rPr>
          <w:lang w:val="en-US"/>
        </w:rPr>
      </w:pPr>
      <w:proofErr w:type="spellStart"/>
      <w:r w:rsidRPr="0029086C">
        <w:rPr>
          <w:lang w:val="en-US"/>
        </w:rPr>
        <w:t>estat</w:t>
      </w:r>
      <w:proofErr w:type="spellEnd"/>
      <w:r w:rsidRPr="0029086C">
        <w:rPr>
          <w:lang w:val="en-US"/>
        </w:rPr>
        <w:t xml:space="preserve"> </w:t>
      </w:r>
      <w:proofErr w:type="spellStart"/>
      <w:r w:rsidRPr="0029086C">
        <w:rPr>
          <w:lang w:val="en-US"/>
        </w:rPr>
        <w:t>archlm</w:t>
      </w:r>
      <w:proofErr w:type="spellEnd"/>
      <w:r w:rsidRPr="0029086C">
        <w:rPr>
          <w:lang w:val="en-US"/>
        </w:rPr>
        <w:t xml:space="preserve">, </w:t>
      </w:r>
      <w:proofErr w:type="gramStart"/>
      <w:r w:rsidRPr="0029086C">
        <w:rPr>
          <w:lang w:val="en-US"/>
        </w:rPr>
        <w:t>lags(</w:t>
      </w:r>
      <w:proofErr w:type="gramEnd"/>
      <w:r w:rsidRPr="0029086C">
        <w:rPr>
          <w:lang w:val="en-US"/>
        </w:rPr>
        <w:t>1 5 10)</w:t>
      </w:r>
    </w:p>
    <w:p w14:paraId="3EBA2857" w14:textId="77777777" w:rsidR="0029086C" w:rsidRPr="0029086C" w:rsidRDefault="0029086C" w:rsidP="000519C3">
      <w:pPr>
        <w:pStyle w:val="NoSpacing"/>
        <w:rPr>
          <w:lang w:val="en-US"/>
        </w:rPr>
      </w:pPr>
      <w:r w:rsidRPr="0029086C">
        <w:rPr>
          <w:lang w:val="en-US"/>
        </w:rPr>
        <w:t>regress TED</w:t>
      </w:r>
    </w:p>
    <w:p w14:paraId="06AA6694" w14:textId="3C7185EA" w:rsidR="0029086C" w:rsidRDefault="0029086C" w:rsidP="000519C3">
      <w:pPr>
        <w:pStyle w:val="NoSpacing"/>
        <w:rPr>
          <w:lang w:val="en-US"/>
        </w:rPr>
      </w:pPr>
      <w:proofErr w:type="spellStart"/>
      <w:r w:rsidRPr="0029086C">
        <w:rPr>
          <w:lang w:val="en-US"/>
        </w:rPr>
        <w:t>estat</w:t>
      </w:r>
      <w:proofErr w:type="spellEnd"/>
      <w:r w:rsidRPr="0029086C">
        <w:rPr>
          <w:lang w:val="en-US"/>
        </w:rPr>
        <w:t xml:space="preserve"> </w:t>
      </w:r>
      <w:proofErr w:type="spellStart"/>
      <w:r w:rsidRPr="0029086C">
        <w:rPr>
          <w:lang w:val="en-US"/>
        </w:rPr>
        <w:t>archlm</w:t>
      </w:r>
      <w:proofErr w:type="spellEnd"/>
      <w:r w:rsidRPr="0029086C">
        <w:rPr>
          <w:lang w:val="en-US"/>
        </w:rPr>
        <w:t xml:space="preserve">, </w:t>
      </w:r>
      <w:proofErr w:type="gramStart"/>
      <w:r w:rsidRPr="0029086C">
        <w:rPr>
          <w:lang w:val="en-US"/>
        </w:rPr>
        <w:t>lags(</w:t>
      </w:r>
      <w:proofErr w:type="gramEnd"/>
      <w:r w:rsidRPr="0029086C">
        <w:rPr>
          <w:lang w:val="en-US"/>
        </w:rPr>
        <w:t>1 5 10)</w:t>
      </w:r>
    </w:p>
    <w:p w14:paraId="53E6F048" w14:textId="77777777" w:rsidR="0029086C" w:rsidRPr="0029086C" w:rsidRDefault="0029086C" w:rsidP="000519C3">
      <w:pPr>
        <w:pStyle w:val="NoSpacing"/>
        <w:rPr>
          <w:lang w:val="en-US"/>
        </w:rPr>
      </w:pPr>
      <w:proofErr w:type="spellStart"/>
      <w:r w:rsidRPr="0029086C">
        <w:rPr>
          <w:lang w:val="en-US"/>
        </w:rPr>
        <w:t>lmalb</w:t>
      </w:r>
      <w:proofErr w:type="spellEnd"/>
      <w:r w:rsidRPr="0029086C">
        <w:rPr>
          <w:lang w:val="en-US"/>
        </w:rPr>
        <w:t xml:space="preserve"> SPRES</w:t>
      </w:r>
    </w:p>
    <w:p w14:paraId="5D9CE933" w14:textId="77777777" w:rsidR="0029086C" w:rsidRPr="009E72D1" w:rsidRDefault="0029086C" w:rsidP="000519C3">
      <w:pPr>
        <w:pStyle w:val="NoSpacing"/>
        <w:rPr>
          <w:lang w:val="es-AR"/>
        </w:rPr>
      </w:pPr>
      <w:proofErr w:type="spellStart"/>
      <w:r w:rsidRPr="009E72D1">
        <w:rPr>
          <w:lang w:val="es-AR"/>
        </w:rPr>
        <w:t>lmalb</w:t>
      </w:r>
      <w:proofErr w:type="spellEnd"/>
      <w:r w:rsidRPr="009E72D1">
        <w:rPr>
          <w:lang w:val="es-AR"/>
        </w:rPr>
        <w:t xml:space="preserve"> ABCPRES</w:t>
      </w:r>
    </w:p>
    <w:p w14:paraId="67AB2AB5" w14:textId="77777777" w:rsidR="0029086C" w:rsidRPr="009E72D1" w:rsidRDefault="0029086C" w:rsidP="000519C3">
      <w:pPr>
        <w:pStyle w:val="NoSpacing"/>
        <w:rPr>
          <w:lang w:val="es-AR"/>
        </w:rPr>
      </w:pPr>
      <w:proofErr w:type="spellStart"/>
      <w:r w:rsidRPr="009E72D1">
        <w:rPr>
          <w:lang w:val="es-AR"/>
        </w:rPr>
        <w:t>lmalb</w:t>
      </w:r>
      <w:proofErr w:type="spellEnd"/>
      <w:r w:rsidRPr="009E72D1">
        <w:rPr>
          <w:lang w:val="es-AR"/>
        </w:rPr>
        <w:t xml:space="preserve"> OISRES</w:t>
      </w:r>
    </w:p>
    <w:p w14:paraId="670B2475" w14:textId="2C925226" w:rsidR="0029086C" w:rsidRPr="009E72D1" w:rsidRDefault="0029086C" w:rsidP="000519C3">
      <w:pPr>
        <w:pStyle w:val="NoSpacing"/>
        <w:rPr>
          <w:lang w:val="es-AR"/>
        </w:rPr>
      </w:pPr>
      <w:proofErr w:type="spellStart"/>
      <w:r w:rsidRPr="009E72D1">
        <w:rPr>
          <w:lang w:val="es-AR"/>
        </w:rPr>
        <w:lastRenderedPageBreak/>
        <w:t>lmalb</w:t>
      </w:r>
      <w:proofErr w:type="spellEnd"/>
      <w:r w:rsidRPr="009E72D1">
        <w:rPr>
          <w:lang w:val="es-AR"/>
        </w:rPr>
        <w:t xml:space="preserve"> TEDRES</w:t>
      </w:r>
    </w:p>
    <w:p w14:paraId="402DB589" w14:textId="77777777" w:rsidR="001D2F1F" w:rsidRPr="009E72D1" w:rsidRDefault="001D2F1F" w:rsidP="000519C3">
      <w:pPr>
        <w:pStyle w:val="NoSpacing"/>
        <w:rPr>
          <w:lang w:val="es-AR"/>
        </w:rPr>
      </w:pPr>
    </w:p>
    <w:p w14:paraId="349A3232" w14:textId="77777777" w:rsidR="001D2F1F" w:rsidRPr="009E72D1" w:rsidRDefault="001D2F1F" w:rsidP="000519C3">
      <w:pPr>
        <w:pStyle w:val="NoSpacing"/>
        <w:rPr>
          <w:lang w:val="es-AR"/>
        </w:rPr>
      </w:pPr>
    </w:p>
    <w:p w14:paraId="1A847172" w14:textId="4B697005" w:rsidR="001D2F1F" w:rsidRPr="009E72D1" w:rsidRDefault="00DE5D41" w:rsidP="000519C3">
      <w:pPr>
        <w:pStyle w:val="NoSpacing"/>
        <w:rPr>
          <w:b/>
          <w:color w:val="548DD4" w:themeColor="text2" w:themeTint="99"/>
          <w:lang w:val="es-AR"/>
        </w:rPr>
      </w:pPr>
      <w:r w:rsidRPr="009E72D1">
        <w:rPr>
          <w:b/>
          <w:color w:val="548DD4" w:themeColor="text2" w:themeTint="99"/>
          <w:lang w:val="es-AR"/>
        </w:rPr>
        <w:t xml:space="preserve">ARMA </w:t>
      </w:r>
      <w:proofErr w:type="spellStart"/>
      <w:r w:rsidRPr="009E72D1">
        <w:rPr>
          <w:b/>
          <w:color w:val="548DD4" w:themeColor="text2" w:themeTint="99"/>
          <w:lang w:val="es-AR"/>
        </w:rPr>
        <w:t>Filter</w:t>
      </w:r>
      <w:proofErr w:type="spellEnd"/>
    </w:p>
    <w:p w14:paraId="4CCEF2D2" w14:textId="77777777" w:rsidR="001D2F1F" w:rsidRPr="009E72D1" w:rsidRDefault="001D2F1F" w:rsidP="000519C3">
      <w:pPr>
        <w:pStyle w:val="NoSpacing"/>
        <w:rPr>
          <w:lang w:val="es-AR"/>
        </w:rPr>
      </w:pPr>
    </w:p>
    <w:p w14:paraId="522DEE7E" w14:textId="77777777" w:rsidR="0029086C" w:rsidRPr="009E72D1" w:rsidRDefault="0029086C" w:rsidP="000519C3">
      <w:pPr>
        <w:pStyle w:val="NoSpacing"/>
        <w:rPr>
          <w:color w:val="4F6228" w:themeColor="accent3" w:themeShade="80"/>
          <w:lang w:val="es-AR"/>
        </w:rPr>
      </w:pPr>
      <w:r w:rsidRPr="009E72D1">
        <w:rPr>
          <w:color w:val="4F6228" w:themeColor="accent3" w:themeShade="80"/>
          <w:lang w:val="es-AR"/>
        </w:rPr>
        <w:t xml:space="preserve">******   ARMA </w:t>
      </w:r>
      <w:proofErr w:type="spellStart"/>
      <w:r w:rsidRPr="009E72D1">
        <w:rPr>
          <w:color w:val="4F6228" w:themeColor="accent3" w:themeShade="80"/>
          <w:lang w:val="es-AR"/>
        </w:rPr>
        <w:t>Filter</w:t>
      </w:r>
      <w:proofErr w:type="spellEnd"/>
      <w:r w:rsidRPr="009E72D1">
        <w:rPr>
          <w:color w:val="4F6228" w:themeColor="accent3" w:themeShade="80"/>
          <w:lang w:val="es-AR"/>
        </w:rPr>
        <w:t xml:space="preserve"> ******</w:t>
      </w:r>
    </w:p>
    <w:p w14:paraId="4723307D"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w:t>
      </w:r>
    </w:p>
    <w:p w14:paraId="2C0807A6" w14:textId="77777777" w:rsidR="0029086C" w:rsidRPr="0029086C" w:rsidRDefault="0029086C" w:rsidP="000519C3">
      <w:pPr>
        <w:pStyle w:val="NoSpacing"/>
        <w:rPr>
          <w:lang w:val="en-US"/>
        </w:rPr>
      </w:pPr>
      <w:r w:rsidRPr="0029086C">
        <w:rPr>
          <w:lang w:val="en-US"/>
        </w:rPr>
        <w:t>estimates store SParma00</w:t>
      </w:r>
    </w:p>
    <w:p w14:paraId="4B1A35C8" w14:textId="77777777" w:rsidR="0029086C" w:rsidRPr="0029086C" w:rsidRDefault="0029086C" w:rsidP="000519C3">
      <w:pPr>
        <w:pStyle w:val="NoSpacing"/>
        <w:rPr>
          <w:lang w:val="en-US"/>
        </w:rPr>
      </w:pPr>
      <w:r w:rsidRPr="0029086C">
        <w:rPr>
          <w:lang w:val="en-US"/>
        </w:rPr>
        <w:t>predict resSParma00, residuals</w:t>
      </w:r>
    </w:p>
    <w:p w14:paraId="478E28A0"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resSParma00</w:t>
      </w:r>
    </w:p>
    <w:p w14:paraId="33B95C57"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0,0,1)</w:t>
      </w:r>
    </w:p>
    <w:p w14:paraId="691843C1" w14:textId="77777777" w:rsidR="0029086C" w:rsidRPr="0029086C" w:rsidRDefault="0029086C" w:rsidP="000519C3">
      <w:pPr>
        <w:pStyle w:val="NoSpacing"/>
        <w:rPr>
          <w:lang w:val="en-US"/>
        </w:rPr>
      </w:pPr>
      <w:r w:rsidRPr="0029086C">
        <w:rPr>
          <w:lang w:val="en-US"/>
        </w:rPr>
        <w:t>estimates store SParma01</w:t>
      </w:r>
    </w:p>
    <w:p w14:paraId="62EC2E42" w14:textId="77777777" w:rsidR="0029086C" w:rsidRPr="0029086C" w:rsidRDefault="0029086C" w:rsidP="000519C3">
      <w:pPr>
        <w:pStyle w:val="NoSpacing"/>
        <w:rPr>
          <w:lang w:val="en-US"/>
        </w:rPr>
      </w:pPr>
      <w:r w:rsidRPr="0029086C">
        <w:rPr>
          <w:lang w:val="en-US"/>
        </w:rPr>
        <w:t>predict resSParma01, residuals</w:t>
      </w:r>
    </w:p>
    <w:p w14:paraId="19B79071"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resSParma01</w:t>
      </w:r>
    </w:p>
    <w:p w14:paraId="322CF932"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1,0,0)</w:t>
      </w:r>
    </w:p>
    <w:p w14:paraId="0260CB35" w14:textId="77777777" w:rsidR="0029086C" w:rsidRPr="0029086C" w:rsidRDefault="0029086C" w:rsidP="000519C3">
      <w:pPr>
        <w:pStyle w:val="NoSpacing"/>
        <w:rPr>
          <w:lang w:val="en-US"/>
        </w:rPr>
      </w:pPr>
      <w:r w:rsidRPr="0029086C">
        <w:rPr>
          <w:lang w:val="en-US"/>
        </w:rPr>
        <w:t>estimates store SParma10</w:t>
      </w:r>
    </w:p>
    <w:p w14:paraId="56607423" w14:textId="77777777" w:rsidR="0029086C" w:rsidRPr="0029086C" w:rsidRDefault="0029086C" w:rsidP="000519C3">
      <w:pPr>
        <w:pStyle w:val="NoSpacing"/>
        <w:rPr>
          <w:lang w:val="en-US"/>
        </w:rPr>
      </w:pPr>
      <w:r w:rsidRPr="0029086C">
        <w:rPr>
          <w:lang w:val="en-US"/>
        </w:rPr>
        <w:t>predict resSParma10, residuals</w:t>
      </w:r>
    </w:p>
    <w:p w14:paraId="4D545249"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resSParma10</w:t>
      </w:r>
    </w:p>
    <w:p w14:paraId="36E596C2"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1,0,1)</w:t>
      </w:r>
    </w:p>
    <w:p w14:paraId="20D55AF5" w14:textId="77777777" w:rsidR="0029086C" w:rsidRPr="0029086C" w:rsidRDefault="0029086C" w:rsidP="000519C3">
      <w:pPr>
        <w:pStyle w:val="NoSpacing"/>
        <w:rPr>
          <w:lang w:val="en-US"/>
        </w:rPr>
      </w:pPr>
      <w:r w:rsidRPr="0029086C">
        <w:rPr>
          <w:lang w:val="en-US"/>
        </w:rPr>
        <w:t>estimates store SParma11</w:t>
      </w:r>
    </w:p>
    <w:p w14:paraId="340F319C" w14:textId="77777777" w:rsidR="0029086C" w:rsidRPr="0029086C" w:rsidRDefault="0029086C" w:rsidP="000519C3">
      <w:pPr>
        <w:pStyle w:val="NoSpacing"/>
        <w:rPr>
          <w:lang w:val="en-US"/>
        </w:rPr>
      </w:pPr>
      <w:r w:rsidRPr="0029086C">
        <w:rPr>
          <w:lang w:val="en-US"/>
        </w:rPr>
        <w:t>predict resSParma11, residuals</w:t>
      </w:r>
    </w:p>
    <w:p w14:paraId="45EF07E3"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resSParma11</w:t>
      </w:r>
    </w:p>
    <w:p w14:paraId="7E0E5D9D"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2,0,0)</w:t>
      </w:r>
    </w:p>
    <w:p w14:paraId="082A3B30" w14:textId="77777777" w:rsidR="0029086C" w:rsidRPr="0029086C" w:rsidRDefault="0029086C" w:rsidP="000519C3">
      <w:pPr>
        <w:pStyle w:val="NoSpacing"/>
        <w:rPr>
          <w:lang w:val="en-US"/>
        </w:rPr>
      </w:pPr>
      <w:r w:rsidRPr="0029086C">
        <w:rPr>
          <w:lang w:val="en-US"/>
        </w:rPr>
        <w:t>estimates store SParma20</w:t>
      </w:r>
    </w:p>
    <w:p w14:paraId="572D4A52" w14:textId="77777777" w:rsidR="0029086C" w:rsidRPr="0029086C" w:rsidRDefault="0029086C" w:rsidP="000519C3">
      <w:pPr>
        <w:pStyle w:val="NoSpacing"/>
        <w:rPr>
          <w:lang w:val="en-US"/>
        </w:rPr>
      </w:pPr>
      <w:r w:rsidRPr="0029086C">
        <w:rPr>
          <w:lang w:val="en-US"/>
        </w:rPr>
        <w:t>predict resSParma20, residuals</w:t>
      </w:r>
    </w:p>
    <w:p w14:paraId="7F891A3B"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resSParma20</w:t>
      </w:r>
    </w:p>
    <w:p w14:paraId="49C03F98"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2,0,1)</w:t>
      </w:r>
    </w:p>
    <w:p w14:paraId="6F54954A" w14:textId="77777777" w:rsidR="0029086C" w:rsidRPr="0029086C" w:rsidRDefault="0029086C" w:rsidP="000519C3">
      <w:pPr>
        <w:pStyle w:val="NoSpacing"/>
        <w:rPr>
          <w:lang w:val="en-US"/>
        </w:rPr>
      </w:pPr>
      <w:r w:rsidRPr="0029086C">
        <w:rPr>
          <w:lang w:val="en-US"/>
        </w:rPr>
        <w:t>estimates store SParma21</w:t>
      </w:r>
    </w:p>
    <w:p w14:paraId="1AF02761" w14:textId="77777777" w:rsidR="0029086C" w:rsidRPr="0029086C" w:rsidRDefault="0029086C" w:rsidP="000519C3">
      <w:pPr>
        <w:pStyle w:val="NoSpacing"/>
        <w:rPr>
          <w:lang w:val="en-US"/>
        </w:rPr>
      </w:pPr>
      <w:r w:rsidRPr="0029086C">
        <w:rPr>
          <w:lang w:val="en-US"/>
        </w:rPr>
        <w:t>predict resSParma21, residuals</w:t>
      </w:r>
    </w:p>
    <w:p w14:paraId="0A237282"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resSParma21</w:t>
      </w:r>
    </w:p>
    <w:p w14:paraId="0CEC9688"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2,0,2)</w:t>
      </w:r>
    </w:p>
    <w:p w14:paraId="6B57A6D0" w14:textId="77777777" w:rsidR="0029086C" w:rsidRPr="0029086C" w:rsidRDefault="0029086C" w:rsidP="000519C3">
      <w:pPr>
        <w:pStyle w:val="NoSpacing"/>
        <w:rPr>
          <w:lang w:val="en-US"/>
        </w:rPr>
      </w:pPr>
      <w:r w:rsidRPr="0029086C">
        <w:rPr>
          <w:lang w:val="en-US"/>
        </w:rPr>
        <w:t>estimates store SParma22</w:t>
      </w:r>
    </w:p>
    <w:p w14:paraId="1CA75760" w14:textId="77777777" w:rsidR="0029086C" w:rsidRPr="0029086C" w:rsidRDefault="0029086C" w:rsidP="000519C3">
      <w:pPr>
        <w:pStyle w:val="NoSpacing"/>
        <w:rPr>
          <w:lang w:val="en-US"/>
        </w:rPr>
      </w:pPr>
      <w:r w:rsidRPr="0029086C">
        <w:rPr>
          <w:lang w:val="en-US"/>
        </w:rPr>
        <w:t>predict resSParma22, residuals</w:t>
      </w:r>
    </w:p>
    <w:p w14:paraId="5ACFC13C"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resSParma22</w:t>
      </w:r>
    </w:p>
    <w:p w14:paraId="6F34FFF3"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0,0,2)</w:t>
      </w:r>
    </w:p>
    <w:p w14:paraId="5F4BEF5B" w14:textId="77777777" w:rsidR="0029086C" w:rsidRPr="0029086C" w:rsidRDefault="0029086C" w:rsidP="000519C3">
      <w:pPr>
        <w:pStyle w:val="NoSpacing"/>
        <w:rPr>
          <w:lang w:val="en-US"/>
        </w:rPr>
      </w:pPr>
      <w:r w:rsidRPr="0029086C">
        <w:rPr>
          <w:lang w:val="en-US"/>
        </w:rPr>
        <w:t>estimates store SParma02</w:t>
      </w:r>
    </w:p>
    <w:p w14:paraId="7F2A6D6A" w14:textId="77777777" w:rsidR="0029086C" w:rsidRPr="0029086C" w:rsidRDefault="0029086C" w:rsidP="000519C3">
      <w:pPr>
        <w:pStyle w:val="NoSpacing"/>
        <w:rPr>
          <w:lang w:val="en-US"/>
        </w:rPr>
      </w:pPr>
      <w:r w:rsidRPr="0029086C">
        <w:rPr>
          <w:lang w:val="en-US"/>
        </w:rPr>
        <w:t>predict resSParma02, residuals</w:t>
      </w:r>
    </w:p>
    <w:p w14:paraId="19B48946"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resSParma02</w:t>
      </w:r>
    </w:p>
    <w:p w14:paraId="3E030F62" w14:textId="77777777" w:rsidR="0029086C" w:rsidRPr="0029086C" w:rsidRDefault="0029086C" w:rsidP="000519C3">
      <w:pPr>
        <w:pStyle w:val="NoSpacing"/>
        <w:rPr>
          <w:lang w:val="en-US"/>
        </w:rPr>
      </w:pPr>
      <w:proofErr w:type="spellStart"/>
      <w:r w:rsidRPr="0029086C">
        <w:rPr>
          <w:lang w:val="en-US"/>
        </w:rPr>
        <w:t>arima</w:t>
      </w:r>
      <w:proofErr w:type="spellEnd"/>
      <w:r w:rsidRPr="0029086C">
        <w:rPr>
          <w:lang w:val="en-US"/>
        </w:rPr>
        <w:t xml:space="preserve"> SPRT, </w:t>
      </w:r>
      <w:proofErr w:type="spellStart"/>
      <w:proofErr w:type="gramStart"/>
      <w:r w:rsidRPr="0029086C">
        <w:rPr>
          <w:lang w:val="en-US"/>
        </w:rPr>
        <w:t>arima</w:t>
      </w:r>
      <w:proofErr w:type="spellEnd"/>
      <w:r w:rsidRPr="0029086C">
        <w:rPr>
          <w:lang w:val="en-US"/>
        </w:rPr>
        <w:t>(</w:t>
      </w:r>
      <w:proofErr w:type="gramEnd"/>
      <w:r w:rsidRPr="0029086C">
        <w:rPr>
          <w:lang w:val="en-US"/>
        </w:rPr>
        <w:t>1,0,2)</w:t>
      </w:r>
    </w:p>
    <w:p w14:paraId="1671EAFC" w14:textId="77777777" w:rsidR="0029086C" w:rsidRPr="0029086C" w:rsidRDefault="0029086C" w:rsidP="000519C3">
      <w:pPr>
        <w:pStyle w:val="NoSpacing"/>
        <w:rPr>
          <w:lang w:val="en-US"/>
        </w:rPr>
      </w:pPr>
      <w:r w:rsidRPr="0029086C">
        <w:rPr>
          <w:lang w:val="en-US"/>
        </w:rPr>
        <w:t>estimates store SParma12</w:t>
      </w:r>
    </w:p>
    <w:p w14:paraId="2B508ADB" w14:textId="77777777" w:rsidR="0029086C" w:rsidRPr="0029086C" w:rsidRDefault="0029086C" w:rsidP="000519C3">
      <w:pPr>
        <w:pStyle w:val="NoSpacing"/>
        <w:rPr>
          <w:lang w:val="en-US"/>
        </w:rPr>
      </w:pPr>
      <w:r w:rsidRPr="0029086C">
        <w:rPr>
          <w:lang w:val="en-US"/>
        </w:rPr>
        <w:t>predict resSParma12, residuals</w:t>
      </w:r>
    </w:p>
    <w:p w14:paraId="4BEBCE12"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resSParma12</w:t>
      </w:r>
    </w:p>
    <w:p w14:paraId="70FFABA8" w14:textId="77777777" w:rsidR="000519C3" w:rsidRDefault="0029086C" w:rsidP="0029086C">
      <w:pPr>
        <w:rPr>
          <w:lang w:val="en-US"/>
        </w:rPr>
      </w:pPr>
      <w:r w:rsidRPr="0029086C">
        <w:rPr>
          <w:lang w:val="en-US"/>
        </w:rPr>
        <w:t xml:space="preserve">          </w:t>
      </w:r>
    </w:p>
    <w:p w14:paraId="304D7290" w14:textId="508A9EEC" w:rsidR="0029086C" w:rsidRPr="001D2F1F" w:rsidRDefault="0029086C" w:rsidP="000519C3">
      <w:pPr>
        <w:pStyle w:val="NoSpacing"/>
        <w:rPr>
          <w:color w:val="4F6228" w:themeColor="accent3" w:themeShade="80"/>
          <w:lang w:val="en-US"/>
        </w:rPr>
      </w:pPr>
      <w:r w:rsidRPr="001D2F1F">
        <w:rPr>
          <w:color w:val="4F6228" w:themeColor="accent3" w:themeShade="80"/>
          <w:lang w:val="en-US"/>
        </w:rPr>
        <w:t xml:space="preserve">  *******       Here is the summary of ARMA filter for S&amp;P returns     *********</w:t>
      </w:r>
    </w:p>
    <w:p w14:paraId="2630D8FA"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w:t>
      </w:r>
      <w:proofErr w:type="spellStart"/>
      <w:r w:rsidRPr="0029086C">
        <w:rPr>
          <w:lang w:val="es-AR"/>
        </w:rPr>
        <w:t>stats</w:t>
      </w:r>
      <w:proofErr w:type="spellEnd"/>
      <w:r w:rsidRPr="0029086C">
        <w:rPr>
          <w:lang w:val="es-AR"/>
        </w:rPr>
        <w:t xml:space="preserve"> SParma00 SParma01 SParma02 SParma10 SParma11 SParma12 SParma20 SParma21 SParma22</w:t>
      </w:r>
    </w:p>
    <w:p w14:paraId="3B00C06B"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w:t>
      </w:r>
    </w:p>
    <w:p w14:paraId="26E29B4B"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ABCParma00</w:t>
      </w:r>
    </w:p>
    <w:p w14:paraId="5E6C5E97"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resABCParma00, </w:t>
      </w:r>
      <w:proofErr w:type="spellStart"/>
      <w:r w:rsidRPr="0029086C">
        <w:rPr>
          <w:lang w:val="es-AR"/>
        </w:rPr>
        <w:t>residuals</w:t>
      </w:r>
      <w:proofErr w:type="spellEnd"/>
    </w:p>
    <w:p w14:paraId="7E75B898"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resABCParma00</w:t>
      </w:r>
    </w:p>
    <w:p w14:paraId="05379516"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0,0,1)</w:t>
      </w:r>
    </w:p>
    <w:p w14:paraId="405F15D4" w14:textId="77777777" w:rsidR="0029086C" w:rsidRPr="0029086C" w:rsidRDefault="0029086C" w:rsidP="000519C3">
      <w:pPr>
        <w:pStyle w:val="NoSpacing"/>
        <w:rPr>
          <w:lang w:val="es-AR"/>
        </w:rPr>
      </w:pPr>
      <w:proofErr w:type="spellStart"/>
      <w:r w:rsidRPr="0029086C">
        <w:rPr>
          <w:lang w:val="es-AR"/>
        </w:rPr>
        <w:lastRenderedPageBreak/>
        <w:t>estimates</w:t>
      </w:r>
      <w:proofErr w:type="spellEnd"/>
      <w:r w:rsidRPr="0029086C">
        <w:rPr>
          <w:lang w:val="es-AR"/>
        </w:rPr>
        <w:t xml:space="preserve"> store ABCParma01</w:t>
      </w:r>
    </w:p>
    <w:p w14:paraId="1AD53FA2"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resABCParma01, </w:t>
      </w:r>
      <w:proofErr w:type="spellStart"/>
      <w:r w:rsidRPr="0029086C">
        <w:rPr>
          <w:lang w:val="es-AR"/>
        </w:rPr>
        <w:t>residuals</w:t>
      </w:r>
      <w:proofErr w:type="spellEnd"/>
    </w:p>
    <w:p w14:paraId="01F6E69F"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resABCParma01</w:t>
      </w:r>
    </w:p>
    <w:p w14:paraId="77FA2126"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1,0,0)</w:t>
      </w:r>
    </w:p>
    <w:p w14:paraId="51D6A245"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ABCParma10</w:t>
      </w:r>
    </w:p>
    <w:p w14:paraId="321C1E63"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resABCParma10, </w:t>
      </w:r>
      <w:proofErr w:type="spellStart"/>
      <w:r w:rsidRPr="0029086C">
        <w:rPr>
          <w:lang w:val="es-AR"/>
        </w:rPr>
        <w:t>residuals</w:t>
      </w:r>
      <w:proofErr w:type="spellEnd"/>
    </w:p>
    <w:p w14:paraId="7BC69653"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resABCParma10</w:t>
      </w:r>
    </w:p>
    <w:p w14:paraId="0C81F09B"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1,0,1)</w:t>
      </w:r>
    </w:p>
    <w:p w14:paraId="6FF826EC"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ABCParma11</w:t>
      </w:r>
    </w:p>
    <w:p w14:paraId="1DFA29EB"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resABCParma11, </w:t>
      </w:r>
      <w:proofErr w:type="spellStart"/>
      <w:r w:rsidRPr="0029086C">
        <w:rPr>
          <w:lang w:val="es-AR"/>
        </w:rPr>
        <w:t>residuals</w:t>
      </w:r>
      <w:proofErr w:type="spellEnd"/>
    </w:p>
    <w:p w14:paraId="2126CB5A"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resABCParma11</w:t>
      </w:r>
    </w:p>
    <w:p w14:paraId="68541143"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2,0,0)</w:t>
      </w:r>
    </w:p>
    <w:p w14:paraId="7C2721CF"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ABCParma20</w:t>
      </w:r>
    </w:p>
    <w:p w14:paraId="044906AD"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resABCParma20, </w:t>
      </w:r>
      <w:proofErr w:type="spellStart"/>
      <w:r w:rsidRPr="0029086C">
        <w:rPr>
          <w:lang w:val="es-AR"/>
        </w:rPr>
        <w:t>residuals</w:t>
      </w:r>
      <w:proofErr w:type="spellEnd"/>
    </w:p>
    <w:p w14:paraId="0091D3B9"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resABCParma20</w:t>
      </w:r>
    </w:p>
    <w:p w14:paraId="75740E83"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2,0,1)</w:t>
      </w:r>
    </w:p>
    <w:p w14:paraId="005D9B2D"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ABCParma21</w:t>
      </w:r>
    </w:p>
    <w:p w14:paraId="2216B570"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resABCParma21, </w:t>
      </w:r>
      <w:proofErr w:type="spellStart"/>
      <w:r w:rsidRPr="0029086C">
        <w:rPr>
          <w:lang w:val="es-AR"/>
        </w:rPr>
        <w:t>residuals</w:t>
      </w:r>
      <w:proofErr w:type="spellEnd"/>
    </w:p>
    <w:p w14:paraId="5C3B43FB"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resABCParma21</w:t>
      </w:r>
    </w:p>
    <w:p w14:paraId="68ABE88C"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2,0,2)</w:t>
      </w:r>
    </w:p>
    <w:p w14:paraId="26052012"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ABCParma22</w:t>
      </w:r>
    </w:p>
    <w:p w14:paraId="2DAC2AE2"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resABCParma22, </w:t>
      </w:r>
      <w:proofErr w:type="spellStart"/>
      <w:r w:rsidRPr="0029086C">
        <w:rPr>
          <w:lang w:val="es-AR"/>
        </w:rPr>
        <w:t>residuals</w:t>
      </w:r>
      <w:proofErr w:type="spellEnd"/>
    </w:p>
    <w:p w14:paraId="40F5D97F"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resABCParma22</w:t>
      </w:r>
    </w:p>
    <w:p w14:paraId="32A5BC39"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0,0,2)</w:t>
      </w:r>
    </w:p>
    <w:p w14:paraId="1B329D71"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ABCParma02</w:t>
      </w:r>
    </w:p>
    <w:p w14:paraId="7FCEBD81"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resABCParma02, </w:t>
      </w:r>
      <w:proofErr w:type="spellStart"/>
      <w:r w:rsidRPr="0029086C">
        <w:rPr>
          <w:lang w:val="es-AR"/>
        </w:rPr>
        <w:t>residuals</w:t>
      </w:r>
      <w:proofErr w:type="spellEnd"/>
    </w:p>
    <w:p w14:paraId="39490CAD"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resABCParma02</w:t>
      </w:r>
    </w:p>
    <w:p w14:paraId="42782AC7"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ABCP, </w:t>
      </w:r>
      <w:proofErr w:type="spellStart"/>
      <w:proofErr w:type="gramStart"/>
      <w:r w:rsidRPr="0029086C">
        <w:rPr>
          <w:lang w:val="es-AR"/>
        </w:rPr>
        <w:t>arima</w:t>
      </w:r>
      <w:proofErr w:type="spellEnd"/>
      <w:r w:rsidRPr="0029086C">
        <w:rPr>
          <w:lang w:val="es-AR"/>
        </w:rPr>
        <w:t>(</w:t>
      </w:r>
      <w:proofErr w:type="gramEnd"/>
      <w:r w:rsidRPr="0029086C">
        <w:rPr>
          <w:lang w:val="es-AR"/>
        </w:rPr>
        <w:t>1,0,2)</w:t>
      </w:r>
    </w:p>
    <w:p w14:paraId="170DFDA5" w14:textId="77777777" w:rsidR="0029086C" w:rsidRPr="009E72D1" w:rsidRDefault="0029086C" w:rsidP="000519C3">
      <w:pPr>
        <w:pStyle w:val="NoSpacing"/>
        <w:rPr>
          <w:lang w:val="es-AR"/>
        </w:rPr>
      </w:pPr>
      <w:proofErr w:type="spellStart"/>
      <w:r w:rsidRPr="009E72D1">
        <w:rPr>
          <w:lang w:val="es-AR"/>
        </w:rPr>
        <w:t>estimates</w:t>
      </w:r>
      <w:proofErr w:type="spellEnd"/>
      <w:r w:rsidRPr="009E72D1">
        <w:rPr>
          <w:lang w:val="es-AR"/>
        </w:rPr>
        <w:t xml:space="preserve"> store ABCParma12</w:t>
      </w:r>
    </w:p>
    <w:p w14:paraId="0EC86542" w14:textId="77777777" w:rsidR="0029086C" w:rsidRPr="0029086C" w:rsidRDefault="0029086C" w:rsidP="000519C3">
      <w:pPr>
        <w:pStyle w:val="NoSpacing"/>
        <w:rPr>
          <w:lang w:val="en-US"/>
        </w:rPr>
      </w:pPr>
      <w:r w:rsidRPr="0029086C">
        <w:rPr>
          <w:lang w:val="en-US"/>
        </w:rPr>
        <w:t>predict resABCParma12, residuals</w:t>
      </w:r>
    </w:p>
    <w:p w14:paraId="38E13EF0" w14:textId="77777777" w:rsidR="0029086C" w:rsidRPr="0029086C" w:rsidRDefault="0029086C" w:rsidP="000519C3">
      <w:pPr>
        <w:pStyle w:val="NoSpacing"/>
        <w:rPr>
          <w:lang w:val="en-US"/>
        </w:rPr>
      </w:pPr>
      <w:proofErr w:type="spellStart"/>
      <w:r w:rsidRPr="0029086C">
        <w:rPr>
          <w:lang w:val="en-US"/>
        </w:rPr>
        <w:t>wntestq</w:t>
      </w:r>
      <w:proofErr w:type="spellEnd"/>
      <w:r w:rsidRPr="0029086C">
        <w:rPr>
          <w:lang w:val="en-US"/>
        </w:rPr>
        <w:t xml:space="preserve"> resABCParma12</w:t>
      </w:r>
    </w:p>
    <w:p w14:paraId="34384C3D" w14:textId="77777777" w:rsidR="0029086C" w:rsidRPr="0029086C" w:rsidRDefault="0029086C" w:rsidP="000519C3">
      <w:pPr>
        <w:pStyle w:val="NoSpacing"/>
        <w:rPr>
          <w:lang w:val="en-US"/>
        </w:rPr>
      </w:pPr>
      <w:r w:rsidRPr="0029086C">
        <w:rPr>
          <w:lang w:val="en-US"/>
        </w:rPr>
        <w:t xml:space="preserve">            </w:t>
      </w:r>
      <w:r w:rsidRPr="001D2F1F">
        <w:rPr>
          <w:color w:val="4F6228" w:themeColor="accent3" w:themeShade="80"/>
          <w:lang w:val="en-US"/>
        </w:rPr>
        <w:t>*******       Here is the summary of ARMA filter for ABCP SPREAD     *********</w:t>
      </w:r>
    </w:p>
    <w:p w14:paraId="6ED18BD6"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w:t>
      </w:r>
      <w:proofErr w:type="spellStart"/>
      <w:r w:rsidRPr="0029086C">
        <w:rPr>
          <w:lang w:val="es-AR"/>
        </w:rPr>
        <w:t>stats</w:t>
      </w:r>
      <w:proofErr w:type="spellEnd"/>
      <w:r w:rsidRPr="0029086C">
        <w:rPr>
          <w:lang w:val="es-AR"/>
        </w:rPr>
        <w:t xml:space="preserve"> ABCParma00 ABCParma01 ABCParma02 ABCParma10 ABCParma11 ABCParma12 ABCParma20 ABCParma21 ABCParma22</w:t>
      </w:r>
    </w:p>
    <w:p w14:paraId="77EE7C1D"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w:t>
      </w:r>
    </w:p>
    <w:p w14:paraId="131C499E"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OISarma00</w:t>
      </w:r>
    </w:p>
    <w:p w14:paraId="3F40E739"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resOISarma00, </w:t>
      </w:r>
      <w:proofErr w:type="spellStart"/>
      <w:r w:rsidRPr="0029086C">
        <w:rPr>
          <w:lang w:val="es-AR"/>
        </w:rPr>
        <w:t>residuals</w:t>
      </w:r>
      <w:proofErr w:type="spellEnd"/>
    </w:p>
    <w:p w14:paraId="37F351B8"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resOISarma00</w:t>
      </w:r>
    </w:p>
    <w:p w14:paraId="0C92DBC9"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0,0,1)</w:t>
      </w:r>
    </w:p>
    <w:p w14:paraId="79065C9F"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OISarma01</w:t>
      </w:r>
    </w:p>
    <w:p w14:paraId="041C3F38"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resOISarma01, </w:t>
      </w:r>
      <w:proofErr w:type="spellStart"/>
      <w:r w:rsidRPr="0029086C">
        <w:rPr>
          <w:lang w:val="es-AR"/>
        </w:rPr>
        <w:t>residuals</w:t>
      </w:r>
      <w:proofErr w:type="spellEnd"/>
    </w:p>
    <w:p w14:paraId="4AB1F9C5"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resOISarma01</w:t>
      </w:r>
    </w:p>
    <w:p w14:paraId="28C7DDC6"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1,0,0)</w:t>
      </w:r>
    </w:p>
    <w:p w14:paraId="1693BB4A"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OISarma10</w:t>
      </w:r>
    </w:p>
    <w:p w14:paraId="3C84CEDD"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resOISarma10, </w:t>
      </w:r>
      <w:proofErr w:type="spellStart"/>
      <w:r w:rsidRPr="0029086C">
        <w:rPr>
          <w:lang w:val="es-AR"/>
        </w:rPr>
        <w:t>residuals</w:t>
      </w:r>
      <w:proofErr w:type="spellEnd"/>
    </w:p>
    <w:p w14:paraId="4E00CAFA"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resOISarma10</w:t>
      </w:r>
    </w:p>
    <w:p w14:paraId="0F77B8BB"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1,0,1)</w:t>
      </w:r>
    </w:p>
    <w:p w14:paraId="7EF6A496"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OISarma11</w:t>
      </w:r>
    </w:p>
    <w:p w14:paraId="571519B5"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resOISarma11, </w:t>
      </w:r>
      <w:proofErr w:type="spellStart"/>
      <w:r w:rsidRPr="0029086C">
        <w:rPr>
          <w:lang w:val="es-AR"/>
        </w:rPr>
        <w:t>residuals</w:t>
      </w:r>
      <w:proofErr w:type="spellEnd"/>
    </w:p>
    <w:p w14:paraId="5F882179"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resOISarma11</w:t>
      </w:r>
    </w:p>
    <w:p w14:paraId="04790E4E"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2,0,0)</w:t>
      </w:r>
    </w:p>
    <w:p w14:paraId="332676AA" w14:textId="77777777" w:rsidR="0029086C" w:rsidRPr="0029086C" w:rsidRDefault="0029086C" w:rsidP="000519C3">
      <w:pPr>
        <w:pStyle w:val="NoSpacing"/>
        <w:rPr>
          <w:lang w:val="es-AR"/>
        </w:rPr>
      </w:pPr>
      <w:proofErr w:type="spellStart"/>
      <w:r w:rsidRPr="0029086C">
        <w:rPr>
          <w:lang w:val="es-AR"/>
        </w:rPr>
        <w:lastRenderedPageBreak/>
        <w:t>estimates</w:t>
      </w:r>
      <w:proofErr w:type="spellEnd"/>
      <w:r w:rsidRPr="0029086C">
        <w:rPr>
          <w:lang w:val="es-AR"/>
        </w:rPr>
        <w:t xml:space="preserve"> store OISarma20</w:t>
      </w:r>
    </w:p>
    <w:p w14:paraId="65A337AA"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resOISarma20, </w:t>
      </w:r>
      <w:proofErr w:type="spellStart"/>
      <w:r w:rsidRPr="0029086C">
        <w:rPr>
          <w:lang w:val="es-AR"/>
        </w:rPr>
        <w:t>residuals</w:t>
      </w:r>
      <w:proofErr w:type="spellEnd"/>
    </w:p>
    <w:p w14:paraId="419B61C7"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resOISarma20</w:t>
      </w:r>
    </w:p>
    <w:p w14:paraId="0102F427"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2,0,1)</w:t>
      </w:r>
    </w:p>
    <w:p w14:paraId="695D1C03"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OISarma21</w:t>
      </w:r>
    </w:p>
    <w:p w14:paraId="34088080"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resOISarma21, </w:t>
      </w:r>
      <w:proofErr w:type="spellStart"/>
      <w:r w:rsidRPr="0029086C">
        <w:rPr>
          <w:lang w:val="es-AR"/>
        </w:rPr>
        <w:t>residuals</w:t>
      </w:r>
      <w:proofErr w:type="spellEnd"/>
    </w:p>
    <w:p w14:paraId="45367289"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resOISarma21</w:t>
      </w:r>
    </w:p>
    <w:p w14:paraId="54D4C8E9"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2,0,2)</w:t>
      </w:r>
    </w:p>
    <w:p w14:paraId="022C7601"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OISarma22</w:t>
      </w:r>
    </w:p>
    <w:p w14:paraId="7EB7B24A"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resOISarma22, </w:t>
      </w:r>
      <w:proofErr w:type="spellStart"/>
      <w:r w:rsidRPr="0029086C">
        <w:rPr>
          <w:lang w:val="es-AR"/>
        </w:rPr>
        <w:t>residuals</w:t>
      </w:r>
      <w:proofErr w:type="spellEnd"/>
    </w:p>
    <w:p w14:paraId="683FCE59"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resOISarma22</w:t>
      </w:r>
    </w:p>
    <w:p w14:paraId="72DC1AD9"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0,0,2)</w:t>
      </w:r>
    </w:p>
    <w:p w14:paraId="00FEF3F7"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OISarma02</w:t>
      </w:r>
    </w:p>
    <w:p w14:paraId="4FE20B65"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resOISarma02, </w:t>
      </w:r>
      <w:proofErr w:type="spellStart"/>
      <w:r w:rsidRPr="0029086C">
        <w:rPr>
          <w:lang w:val="es-AR"/>
        </w:rPr>
        <w:t>residuals</w:t>
      </w:r>
      <w:proofErr w:type="spellEnd"/>
    </w:p>
    <w:p w14:paraId="2DDBF22B"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resOISarma02</w:t>
      </w:r>
    </w:p>
    <w:p w14:paraId="69E61DB5"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OIS, </w:t>
      </w:r>
      <w:proofErr w:type="spellStart"/>
      <w:proofErr w:type="gramStart"/>
      <w:r w:rsidRPr="0029086C">
        <w:rPr>
          <w:lang w:val="es-AR"/>
        </w:rPr>
        <w:t>arima</w:t>
      </w:r>
      <w:proofErr w:type="spellEnd"/>
      <w:r w:rsidRPr="0029086C">
        <w:rPr>
          <w:lang w:val="es-AR"/>
        </w:rPr>
        <w:t>(</w:t>
      </w:r>
      <w:proofErr w:type="gramEnd"/>
      <w:r w:rsidRPr="0029086C">
        <w:rPr>
          <w:lang w:val="es-AR"/>
        </w:rPr>
        <w:t>1,0,2)</w:t>
      </w:r>
    </w:p>
    <w:p w14:paraId="3C0E8A89"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OISarma12</w:t>
      </w:r>
    </w:p>
    <w:p w14:paraId="14E5852F"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resOISarma12, </w:t>
      </w:r>
      <w:proofErr w:type="spellStart"/>
      <w:r w:rsidRPr="0029086C">
        <w:rPr>
          <w:lang w:val="es-AR"/>
        </w:rPr>
        <w:t>residuals</w:t>
      </w:r>
      <w:proofErr w:type="spellEnd"/>
    </w:p>
    <w:p w14:paraId="443326A1"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resOISarma12</w:t>
      </w:r>
    </w:p>
    <w:p w14:paraId="795DBE0F"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s-AR"/>
        </w:rPr>
        <w:t xml:space="preserve">            </w:t>
      </w:r>
      <w:r w:rsidRPr="001D2F1F">
        <w:rPr>
          <w:color w:val="4F6228" w:themeColor="accent3" w:themeShade="80"/>
          <w:lang w:val="en-US"/>
        </w:rPr>
        <w:t>*******       Here is the summary of ARMA filter for OIS SPREAD     *********</w:t>
      </w:r>
    </w:p>
    <w:p w14:paraId="1C5141E8"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w:t>
      </w:r>
      <w:proofErr w:type="spellStart"/>
      <w:r w:rsidRPr="0029086C">
        <w:rPr>
          <w:lang w:val="es-AR"/>
        </w:rPr>
        <w:t>stats</w:t>
      </w:r>
      <w:proofErr w:type="spellEnd"/>
      <w:r w:rsidRPr="0029086C">
        <w:rPr>
          <w:lang w:val="es-AR"/>
        </w:rPr>
        <w:t xml:space="preserve"> OISarma00 OISarma01 OISarma02 OISarma10 OISarma11 OISarma12 OISarma20 OISarma21 OISarma22</w:t>
      </w:r>
    </w:p>
    <w:p w14:paraId="745A2FE1"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w:t>
      </w:r>
    </w:p>
    <w:p w14:paraId="42EBB955"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TEDarma00</w:t>
      </w:r>
    </w:p>
    <w:p w14:paraId="6831CF9D"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resTEDarma00, </w:t>
      </w:r>
      <w:proofErr w:type="spellStart"/>
      <w:r w:rsidRPr="0029086C">
        <w:rPr>
          <w:lang w:val="es-AR"/>
        </w:rPr>
        <w:t>residuals</w:t>
      </w:r>
      <w:proofErr w:type="spellEnd"/>
    </w:p>
    <w:p w14:paraId="59F69CCA"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resTEDarma00</w:t>
      </w:r>
    </w:p>
    <w:p w14:paraId="64E9DAA8"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0,0,1)</w:t>
      </w:r>
    </w:p>
    <w:p w14:paraId="7A7640BC"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TEDarma01</w:t>
      </w:r>
    </w:p>
    <w:p w14:paraId="259E671B"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resTEDarma01, </w:t>
      </w:r>
      <w:proofErr w:type="spellStart"/>
      <w:r w:rsidRPr="0029086C">
        <w:rPr>
          <w:lang w:val="es-AR"/>
        </w:rPr>
        <w:t>residuals</w:t>
      </w:r>
      <w:proofErr w:type="spellEnd"/>
    </w:p>
    <w:p w14:paraId="48E6458F"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resTEDarma01</w:t>
      </w:r>
    </w:p>
    <w:p w14:paraId="4507551E"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1,0,0)</w:t>
      </w:r>
    </w:p>
    <w:p w14:paraId="45593564"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TEDarma10</w:t>
      </w:r>
    </w:p>
    <w:p w14:paraId="0A6220D6"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resTEDarma10, </w:t>
      </w:r>
      <w:proofErr w:type="spellStart"/>
      <w:r w:rsidRPr="0029086C">
        <w:rPr>
          <w:lang w:val="es-AR"/>
        </w:rPr>
        <w:t>residuals</w:t>
      </w:r>
      <w:proofErr w:type="spellEnd"/>
    </w:p>
    <w:p w14:paraId="71926D9B"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resTEDarma10</w:t>
      </w:r>
    </w:p>
    <w:p w14:paraId="1983D889"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1,0,1)</w:t>
      </w:r>
    </w:p>
    <w:p w14:paraId="7216B1BE"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TEDarma11</w:t>
      </w:r>
    </w:p>
    <w:p w14:paraId="6BADCC25"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resTEDarma11, </w:t>
      </w:r>
      <w:proofErr w:type="spellStart"/>
      <w:r w:rsidRPr="0029086C">
        <w:rPr>
          <w:lang w:val="es-AR"/>
        </w:rPr>
        <w:t>residuals</w:t>
      </w:r>
      <w:proofErr w:type="spellEnd"/>
    </w:p>
    <w:p w14:paraId="057D86AE"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resTEDarma11</w:t>
      </w:r>
    </w:p>
    <w:p w14:paraId="3BA46F98"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2,0,0)</w:t>
      </w:r>
    </w:p>
    <w:p w14:paraId="2E59DE68"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TEDarma20</w:t>
      </w:r>
    </w:p>
    <w:p w14:paraId="48B5FA7F"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resTEDarma20, </w:t>
      </w:r>
      <w:proofErr w:type="spellStart"/>
      <w:r w:rsidRPr="0029086C">
        <w:rPr>
          <w:lang w:val="es-AR"/>
        </w:rPr>
        <w:t>residuals</w:t>
      </w:r>
      <w:proofErr w:type="spellEnd"/>
    </w:p>
    <w:p w14:paraId="0857B541"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resTEDarma20</w:t>
      </w:r>
    </w:p>
    <w:p w14:paraId="27D12D4C"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2,0,1)</w:t>
      </w:r>
    </w:p>
    <w:p w14:paraId="1EC3764E"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TEDarma21</w:t>
      </w:r>
    </w:p>
    <w:p w14:paraId="4B9E62EE"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resTEDarma21, </w:t>
      </w:r>
      <w:proofErr w:type="spellStart"/>
      <w:r w:rsidRPr="0029086C">
        <w:rPr>
          <w:lang w:val="es-AR"/>
        </w:rPr>
        <w:t>residuals</w:t>
      </w:r>
      <w:proofErr w:type="spellEnd"/>
    </w:p>
    <w:p w14:paraId="16462113"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resTEDarma21</w:t>
      </w:r>
    </w:p>
    <w:p w14:paraId="1B6F9CDD"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2,0,2)</w:t>
      </w:r>
    </w:p>
    <w:p w14:paraId="23E17E4A"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TEDarma22</w:t>
      </w:r>
    </w:p>
    <w:p w14:paraId="1CB6929C"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resTEDarma22, </w:t>
      </w:r>
      <w:proofErr w:type="spellStart"/>
      <w:r w:rsidRPr="0029086C">
        <w:rPr>
          <w:lang w:val="es-AR"/>
        </w:rPr>
        <w:t>residuals</w:t>
      </w:r>
      <w:proofErr w:type="spellEnd"/>
    </w:p>
    <w:p w14:paraId="23232737"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resTEDarma22</w:t>
      </w:r>
    </w:p>
    <w:p w14:paraId="16A439D5"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0,0,2)</w:t>
      </w:r>
    </w:p>
    <w:p w14:paraId="354B537B" w14:textId="77777777" w:rsidR="0029086C" w:rsidRPr="0029086C" w:rsidRDefault="0029086C" w:rsidP="000519C3">
      <w:pPr>
        <w:pStyle w:val="NoSpacing"/>
        <w:rPr>
          <w:lang w:val="es-AR"/>
        </w:rPr>
      </w:pPr>
      <w:proofErr w:type="spellStart"/>
      <w:r w:rsidRPr="0029086C">
        <w:rPr>
          <w:lang w:val="es-AR"/>
        </w:rPr>
        <w:lastRenderedPageBreak/>
        <w:t>estimates</w:t>
      </w:r>
      <w:proofErr w:type="spellEnd"/>
      <w:r w:rsidRPr="0029086C">
        <w:rPr>
          <w:lang w:val="es-AR"/>
        </w:rPr>
        <w:t xml:space="preserve"> store TEDarma02</w:t>
      </w:r>
    </w:p>
    <w:p w14:paraId="25CE6AE1"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resTEDarma02, </w:t>
      </w:r>
      <w:proofErr w:type="spellStart"/>
      <w:r w:rsidRPr="0029086C">
        <w:rPr>
          <w:lang w:val="es-AR"/>
        </w:rPr>
        <w:t>residuals</w:t>
      </w:r>
      <w:proofErr w:type="spellEnd"/>
    </w:p>
    <w:p w14:paraId="7AE7015E" w14:textId="77777777" w:rsidR="0029086C" w:rsidRPr="0029086C" w:rsidRDefault="0029086C" w:rsidP="000519C3">
      <w:pPr>
        <w:pStyle w:val="NoSpacing"/>
        <w:rPr>
          <w:lang w:val="es-AR"/>
        </w:rPr>
      </w:pPr>
      <w:proofErr w:type="spellStart"/>
      <w:r w:rsidRPr="0029086C">
        <w:rPr>
          <w:lang w:val="es-AR"/>
        </w:rPr>
        <w:t>wntestq</w:t>
      </w:r>
      <w:proofErr w:type="spellEnd"/>
      <w:r w:rsidRPr="0029086C">
        <w:rPr>
          <w:lang w:val="es-AR"/>
        </w:rPr>
        <w:t xml:space="preserve"> resTEDarma02</w:t>
      </w:r>
    </w:p>
    <w:p w14:paraId="0B2C65DE" w14:textId="77777777" w:rsidR="0029086C" w:rsidRPr="0029086C" w:rsidRDefault="0029086C" w:rsidP="000519C3">
      <w:pPr>
        <w:pStyle w:val="NoSpacing"/>
        <w:rPr>
          <w:lang w:val="es-AR"/>
        </w:rPr>
      </w:pPr>
      <w:proofErr w:type="spellStart"/>
      <w:r w:rsidRPr="0029086C">
        <w:rPr>
          <w:lang w:val="es-AR"/>
        </w:rPr>
        <w:t>arima</w:t>
      </w:r>
      <w:proofErr w:type="spellEnd"/>
      <w:r w:rsidRPr="0029086C">
        <w:rPr>
          <w:lang w:val="es-AR"/>
        </w:rPr>
        <w:t xml:space="preserve"> TED, </w:t>
      </w:r>
      <w:proofErr w:type="spellStart"/>
      <w:proofErr w:type="gramStart"/>
      <w:r w:rsidRPr="0029086C">
        <w:rPr>
          <w:lang w:val="es-AR"/>
        </w:rPr>
        <w:t>arima</w:t>
      </w:r>
      <w:proofErr w:type="spellEnd"/>
      <w:r w:rsidRPr="0029086C">
        <w:rPr>
          <w:lang w:val="es-AR"/>
        </w:rPr>
        <w:t>(</w:t>
      </w:r>
      <w:proofErr w:type="gramEnd"/>
      <w:r w:rsidRPr="0029086C">
        <w:rPr>
          <w:lang w:val="es-AR"/>
        </w:rPr>
        <w:t>1,0,2)</w:t>
      </w:r>
    </w:p>
    <w:p w14:paraId="414CACB9"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store TEDarma12</w:t>
      </w:r>
    </w:p>
    <w:p w14:paraId="358AFC17" w14:textId="77777777" w:rsidR="0029086C" w:rsidRPr="0029086C" w:rsidRDefault="0029086C" w:rsidP="000519C3">
      <w:pPr>
        <w:pStyle w:val="NoSpacing"/>
        <w:rPr>
          <w:lang w:val="es-AR"/>
        </w:rPr>
      </w:pPr>
      <w:proofErr w:type="spellStart"/>
      <w:r w:rsidRPr="0029086C">
        <w:rPr>
          <w:lang w:val="es-AR"/>
        </w:rPr>
        <w:t>predict</w:t>
      </w:r>
      <w:proofErr w:type="spellEnd"/>
      <w:r w:rsidRPr="0029086C">
        <w:rPr>
          <w:lang w:val="es-AR"/>
        </w:rPr>
        <w:t xml:space="preserve"> resTEDarma12, </w:t>
      </w:r>
      <w:proofErr w:type="spellStart"/>
      <w:r w:rsidRPr="0029086C">
        <w:rPr>
          <w:lang w:val="es-AR"/>
        </w:rPr>
        <w:t>residuals</w:t>
      </w:r>
      <w:proofErr w:type="spellEnd"/>
    </w:p>
    <w:p w14:paraId="2FF5D1C1" w14:textId="77777777" w:rsidR="0029086C" w:rsidRPr="001D2F1F" w:rsidRDefault="0029086C" w:rsidP="000519C3">
      <w:pPr>
        <w:pStyle w:val="NoSpacing"/>
        <w:rPr>
          <w:color w:val="4F6228" w:themeColor="accent3" w:themeShade="80"/>
          <w:lang w:val="es-AR"/>
        </w:rPr>
      </w:pPr>
      <w:proofErr w:type="spellStart"/>
      <w:r w:rsidRPr="0029086C">
        <w:rPr>
          <w:lang w:val="es-AR"/>
        </w:rPr>
        <w:t>wntestq</w:t>
      </w:r>
      <w:proofErr w:type="spellEnd"/>
      <w:r w:rsidRPr="0029086C">
        <w:rPr>
          <w:lang w:val="es-AR"/>
        </w:rPr>
        <w:t xml:space="preserve"> resTEDarma12</w:t>
      </w:r>
    </w:p>
    <w:p w14:paraId="047C92F6"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s-AR"/>
        </w:rPr>
        <w:t xml:space="preserve">            </w:t>
      </w:r>
      <w:r w:rsidRPr="001D2F1F">
        <w:rPr>
          <w:color w:val="4F6228" w:themeColor="accent3" w:themeShade="80"/>
          <w:lang w:val="en-US"/>
        </w:rPr>
        <w:t>*******       Here is the summary of ARMA filter for TED SPREAD     *********</w:t>
      </w:r>
    </w:p>
    <w:p w14:paraId="3A1EA389" w14:textId="77777777" w:rsidR="0029086C" w:rsidRPr="0029086C" w:rsidRDefault="0029086C" w:rsidP="000519C3">
      <w:pPr>
        <w:pStyle w:val="NoSpacing"/>
        <w:rPr>
          <w:lang w:val="es-AR"/>
        </w:rPr>
      </w:pPr>
      <w:proofErr w:type="spellStart"/>
      <w:r w:rsidRPr="0029086C">
        <w:rPr>
          <w:lang w:val="es-AR"/>
        </w:rPr>
        <w:t>estimates</w:t>
      </w:r>
      <w:proofErr w:type="spellEnd"/>
      <w:r w:rsidRPr="0029086C">
        <w:rPr>
          <w:lang w:val="es-AR"/>
        </w:rPr>
        <w:t xml:space="preserve"> </w:t>
      </w:r>
      <w:proofErr w:type="spellStart"/>
      <w:r w:rsidRPr="0029086C">
        <w:rPr>
          <w:lang w:val="es-AR"/>
        </w:rPr>
        <w:t>stats</w:t>
      </w:r>
      <w:proofErr w:type="spellEnd"/>
      <w:r w:rsidRPr="0029086C">
        <w:rPr>
          <w:lang w:val="es-AR"/>
        </w:rPr>
        <w:t xml:space="preserve"> TEDarma00 TEDarma01 TEDarma02 TEDarma10 TEDarma11 TEDarma12 TEDarma20 TEDarma21 TEDarma22</w:t>
      </w:r>
    </w:p>
    <w:p w14:paraId="313F8FE3" w14:textId="77777777" w:rsidR="000519C3" w:rsidRDefault="000519C3" w:rsidP="0029086C">
      <w:pPr>
        <w:rPr>
          <w:color w:val="4F6228" w:themeColor="accent3" w:themeShade="80"/>
          <w:lang w:val="es-AR"/>
        </w:rPr>
      </w:pPr>
    </w:p>
    <w:p w14:paraId="26FB48FC" w14:textId="112BA4DF" w:rsidR="00DE5D41" w:rsidRPr="004A2492" w:rsidRDefault="00DE5D41" w:rsidP="0029086C">
      <w:pPr>
        <w:rPr>
          <w:b/>
          <w:color w:val="548DD4" w:themeColor="text2" w:themeTint="99"/>
        </w:rPr>
      </w:pPr>
      <w:r w:rsidRPr="004A2492">
        <w:rPr>
          <w:b/>
          <w:color w:val="548DD4" w:themeColor="text2" w:themeTint="99"/>
        </w:rPr>
        <w:t>GARCH FILTER</w:t>
      </w:r>
    </w:p>
    <w:p w14:paraId="3A4650CF" w14:textId="181A3230" w:rsidR="001D2F1F" w:rsidRPr="004A2492" w:rsidRDefault="001D2F1F" w:rsidP="0029086C">
      <w:pPr>
        <w:rPr>
          <w:color w:val="4F6228" w:themeColor="accent3" w:themeShade="80"/>
        </w:rPr>
      </w:pPr>
      <w:r w:rsidRPr="004A2492">
        <w:rPr>
          <w:color w:val="4F6228" w:themeColor="accent3" w:themeShade="80"/>
        </w:rPr>
        <w:t>******GARCH Filter******</w:t>
      </w:r>
    </w:p>
    <w:p w14:paraId="44749324" w14:textId="1B6949C3" w:rsidR="0029086C" w:rsidRPr="001D2F1F" w:rsidRDefault="0029086C" w:rsidP="000519C3">
      <w:pPr>
        <w:pStyle w:val="NoSpacing"/>
        <w:rPr>
          <w:color w:val="4F6228" w:themeColor="accent3" w:themeShade="80"/>
          <w:lang w:val="en-US"/>
        </w:rPr>
      </w:pPr>
      <w:r w:rsidRPr="001D2F1F">
        <w:rPr>
          <w:color w:val="4F6228" w:themeColor="accent3" w:themeShade="80"/>
          <w:lang w:val="en-US"/>
        </w:rPr>
        <w:t xml:space="preserve">***** the </w:t>
      </w:r>
      <w:proofErr w:type="spellStart"/>
      <w:r w:rsidRPr="001D2F1F">
        <w:rPr>
          <w:color w:val="4F6228" w:themeColor="accent3" w:themeShade="80"/>
          <w:lang w:val="en-US"/>
        </w:rPr>
        <w:t>arma</w:t>
      </w:r>
      <w:proofErr w:type="spellEnd"/>
      <w:r w:rsidRPr="001D2F1F">
        <w:rPr>
          <w:color w:val="4F6228" w:themeColor="accent3" w:themeShade="80"/>
          <w:lang w:val="en-US"/>
        </w:rPr>
        <w:t xml:space="preserve"> model we selected for </w:t>
      </w:r>
      <w:proofErr w:type="spellStart"/>
      <w:r w:rsidRPr="001D2F1F">
        <w:rPr>
          <w:color w:val="4F6228" w:themeColor="accent3" w:themeShade="80"/>
          <w:lang w:val="en-US"/>
        </w:rPr>
        <w:t>garch</w:t>
      </w:r>
      <w:proofErr w:type="spellEnd"/>
      <w:r w:rsidRPr="001D2F1F">
        <w:rPr>
          <w:color w:val="4F6228" w:themeColor="accent3" w:themeShade="80"/>
          <w:lang w:val="en-US"/>
        </w:rPr>
        <w:t>: SP ((2,0) ABCP (2,0) OIS (2,1) TED (2,2) *********</w:t>
      </w:r>
    </w:p>
    <w:p w14:paraId="473D93C9"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GARCH with ARMA20 ******</w:t>
      </w:r>
    </w:p>
    <w:p w14:paraId="205B5958" w14:textId="77777777" w:rsidR="0029086C" w:rsidRPr="0029086C" w:rsidRDefault="0029086C" w:rsidP="000519C3">
      <w:pPr>
        <w:pStyle w:val="NoSpacing"/>
        <w:rPr>
          <w:lang w:val="en-US"/>
        </w:rPr>
      </w:pPr>
      <w:r w:rsidRPr="0029086C">
        <w:rPr>
          <w:lang w:val="en-US"/>
        </w:rPr>
        <w:t xml:space="preserve">arch SPRT,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6B7F37D8" w14:textId="77777777" w:rsidR="0029086C" w:rsidRPr="0029086C" w:rsidRDefault="0029086C" w:rsidP="000519C3">
      <w:pPr>
        <w:pStyle w:val="NoSpacing"/>
        <w:rPr>
          <w:lang w:val="en-US"/>
        </w:rPr>
      </w:pPr>
      <w:r w:rsidRPr="0029086C">
        <w:rPr>
          <w:lang w:val="en-US"/>
        </w:rPr>
        <w:t>estimates store SPgarch11</w:t>
      </w:r>
    </w:p>
    <w:p w14:paraId="0A8E4020" w14:textId="77777777" w:rsidR="0029086C" w:rsidRPr="0029086C" w:rsidRDefault="0029086C" w:rsidP="000519C3">
      <w:pPr>
        <w:pStyle w:val="NoSpacing"/>
        <w:rPr>
          <w:lang w:val="en-US"/>
        </w:rPr>
      </w:pPr>
      <w:r w:rsidRPr="0029086C">
        <w:rPr>
          <w:lang w:val="en-US"/>
        </w:rPr>
        <w:t xml:space="preserve">arch SPRT,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0E3EB969" w14:textId="77777777" w:rsidR="0029086C" w:rsidRPr="0029086C" w:rsidRDefault="0029086C" w:rsidP="000519C3">
      <w:pPr>
        <w:pStyle w:val="NoSpacing"/>
        <w:rPr>
          <w:lang w:val="en-US"/>
        </w:rPr>
      </w:pPr>
      <w:r w:rsidRPr="0029086C">
        <w:rPr>
          <w:lang w:val="en-US"/>
        </w:rPr>
        <w:t>estimates store SPgarch12</w:t>
      </w:r>
    </w:p>
    <w:p w14:paraId="175BA3F3" w14:textId="77777777" w:rsidR="0029086C" w:rsidRPr="0029086C" w:rsidRDefault="0029086C" w:rsidP="000519C3">
      <w:pPr>
        <w:pStyle w:val="NoSpacing"/>
        <w:rPr>
          <w:lang w:val="en-US"/>
        </w:rPr>
      </w:pPr>
      <w:r w:rsidRPr="0029086C">
        <w:rPr>
          <w:lang w:val="en-US"/>
        </w:rPr>
        <w:t xml:space="preserve">arch SPRT,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31AD5A99" w14:textId="77777777" w:rsidR="0029086C" w:rsidRPr="0029086C" w:rsidRDefault="0029086C" w:rsidP="000519C3">
      <w:pPr>
        <w:pStyle w:val="NoSpacing"/>
        <w:rPr>
          <w:lang w:val="en-US"/>
        </w:rPr>
      </w:pPr>
      <w:r w:rsidRPr="0029086C">
        <w:rPr>
          <w:lang w:val="en-US"/>
        </w:rPr>
        <w:t>estimates store SPgarch22</w:t>
      </w:r>
    </w:p>
    <w:p w14:paraId="627977B2" w14:textId="77777777" w:rsidR="0029086C" w:rsidRPr="0029086C" w:rsidRDefault="0029086C" w:rsidP="000519C3">
      <w:pPr>
        <w:pStyle w:val="NoSpacing"/>
        <w:rPr>
          <w:lang w:val="en-US"/>
        </w:rPr>
      </w:pPr>
      <w:r w:rsidRPr="0029086C">
        <w:rPr>
          <w:lang w:val="en-US"/>
        </w:rPr>
        <w:t xml:space="preserve">arch SPRT,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68F1D8E1" w14:textId="77777777" w:rsidR="0029086C" w:rsidRPr="0029086C" w:rsidRDefault="0029086C" w:rsidP="000519C3">
      <w:pPr>
        <w:pStyle w:val="NoSpacing"/>
        <w:rPr>
          <w:lang w:val="en-US"/>
        </w:rPr>
      </w:pPr>
      <w:r w:rsidRPr="0029086C">
        <w:rPr>
          <w:lang w:val="en-US"/>
        </w:rPr>
        <w:t>estimates store SPgarch21</w:t>
      </w:r>
    </w:p>
    <w:p w14:paraId="211A1B30" w14:textId="77777777" w:rsidR="0029086C" w:rsidRPr="0029086C" w:rsidRDefault="0029086C" w:rsidP="000519C3">
      <w:pPr>
        <w:pStyle w:val="NoSpacing"/>
        <w:rPr>
          <w:lang w:val="en-US"/>
        </w:rPr>
      </w:pPr>
      <w:r w:rsidRPr="0029086C">
        <w:rPr>
          <w:lang w:val="en-US"/>
        </w:rPr>
        <w:t xml:space="preserve">estimates stats SPgarch11 SPgarch12 SPgarch22 SPgarch21 </w:t>
      </w:r>
    </w:p>
    <w:p w14:paraId="0191C60D" w14:textId="77777777" w:rsidR="0029086C" w:rsidRPr="0029086C" w:rsidRDefault="0029086C" w:rsidP="000519C3">
      <w:pPr>
        <w:pStyle w:val="NoSpacing"/>
        <w:rPr>
          <w:lang w:val="en-US"/>
        </w:rPr>
      </w:pPr>
      <w:r w:rsidRPr="0029086C">
        <w:rPr>
          <w:lang w:val="en-US"/>
        </w:rPr>
        <w:t>estimates store table1</w:t>
      </w:r>
    </w:p>
    <w:p w14:paraId="50678A62"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ABCP   ***</w:t>
      </w:r>
    </w:p>
    <w:p w14:paraId="2F34AB25"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GARCH with ARMA20 ******</w:t>
      </w:r>
    </w:p>
    <w:p w14:paraId="12966BB5" w14:textId="77777777" w:rsidR="0029086C" w:rsidRPr="0029086C" w:rsidRDefault="0029086C" w:rsidP="000519C3">
      <w:pPr>
        <w:pStyle w:val="NoSpacing"/>
        <w:rPr>
          <w:lang w:val="en-US"/>
        </w:rPr>
      </w:pPr>
      <w:r w:rsidRPr="0029086C">
        <w:rPr>
          <w:lang w:val="en-US"/>
        </w:rPr>
        <w:t xml:space="preserve">arch ABCP,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2FAEBA40" w14:textId="77777777" w:rsidR="0029086C" w:rsidRPr="0029086C" w:rsidRDefault="0029086C" w:rsidP="000519C3">
      <w:pPr>
        <w:pStyle w:val="NoSpacing"/>
        <w:rPr>
          <w:lang w:val="en-US"/>
        </w:rPr>
      </w:pPr>
      <w:r w:rsidRPr="0029086C">
        <w:rPr>
          <w:lang w:val="en-US"/>
        </w:rPr>
        <w:t>estimates store ABCPgarch11</w:t>
      </w:r>
    </w:p>
    <w:p w14:paraId="5D2BE544" w14:textId="77777777" w:rsidR="0029086C" w:rsidRPr="0029086C" w:rsidRDefault="0029086C" w:rsidP="000519C3">
      <w:pPr>
        <w:pStyle w:val="NoSpacing"/>
        <w:rPr>
          <w:lang w:val="en-US"/>
        </w:rPr>
      </w:pPr>
      <w:r w:rsidRPr="0029086C">
        <w:rPr>
          <w:lang w:val="en-US"/>
        </w:rPr>
        <w:t xml:space="preserve">arch ABCP,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78074E7F" w14:textId="77777777" w:rsidR="0029086C" w:rsidRPr="0029086C" w:rsidRDefault="0029086C" w:rsidP="000519C3">
      <w:pPr>
        <w:pStyle w:val="NoSpacing"/>
        <w:rPr>
          <w:lang w:val="en-US"/>
        </w:rPr>
      </w:pPr>
      <w:r w:rsidRPr="0029086C">
        <w:rPr>
          <w:lang w:val="en-US"/>
        </w:rPr>
        <w:t>estimates store ABCPgarch12</w:t>
      </w:r>
    </w:p>
    <w:p w14:paraId="4B5B5473" w14:textId="77777777" w:rsidR="0029086C" w:rsidRPr="0029086C" w:rsidRDefault="0029086C" w:rsidP="000519C3">
      <w:pPr>
        <w:pStyle w:val="NoSpacing"/>
        <w:rPr>
          <w:lang w:val="en-US"/>
        </w:rPr>
      </w:pPr>
      <w:r w:rsidRPr="0029086C">
        <w:rPr>
          <w:lang w:val="en-US"/>
        </w:rPr>
        <w:t xml:space="preserve">arch ABCP,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09C3926D" w14:textId="77777777" w:rsidR="0029086C" w:rsidRPr="0029086C" w:rsidRDefault="0029086C" w:rsidP="000519C3">
      <w:pPr>
        <w:pStyle w:val="NoSpacing"/>
        <w:rPr>
          <w:lang w:val="en-US"/>
        </w:rPr>
      </w:pPr>
      <w:r w:rsidRPr="0029086C">
        <w:rPr>
          <w:lang w:val="en-US"/>
        </w:rPr>
        <w:t>estimates store ABCPgarch22</w:t>
      </w:r>
    </w:p>
    <w:p w14:paraId="2ED5207D" w14:textId="77777777" w:rsidR="0029086C" w:rsidRPr="0029086C" w:rsidRDefault="0029086C" w:rsidP="000519C3">
      <w:pPr>
        <w:pStyle w:val="NoSpacing"/>
        <w:rPr>
          <w:lang w:val="en-US"/>
        </w:rPr>
      </w:pPr>
      <w:r w:rsidRPr="0029086C">
        <w:rPr>
          <w:lang w:val="en-US"/>
        </w:rPr>
        <w:t xml:space="preserve">arch ABCP,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(2,0,0) </w:t>
      </w:r>
      <w:proofErr w:type="spellStart"/>
      <w:r w:rsidRPr="0029086C">
        <w:rPr>
          <w:lang w:val="en-US"/>
        </w:rPr>
        <w:t>nolog</w:t>
      </w:r>
      <w:proofErr w:type="spellEnd"/>
    </w:p>
    <w:p w14:paraId="414C1A6D" w14:textId="77777777" w:rsidR="0029086C" w:rsidRPr="0029086C" w:rsidRDefault="0029086C" w:rsidP="000519C3">
      <w:pPr>
        <w:pStyle w:val="NoSpacing"/>
        <w:rPr>
          <w:lang w:val="en-US"/>
        </w:rPr>
      </w:pPr>
      <w:r w:rsidRPr="0029086C">
        <w:rPr>
          <w:lang w:val="en-US"/>
        </w:rPr>
        <w:t>estimates store ABCPgarch21</w:t>
      </w:r>
    </w:p>
    <w:p w14:paraId="1F9E9839" w14:textId="77777777" w:rsidR="0029086C" w:rsidRPr="0029086C" w:rsidRDefault="0029086C" w:rsidP="000519C3">
      <w:pPr>
        <w:pStyle w:val="NoSpacing"/>
        <w:rPr>
          <w:lang w:val="en-US"/>
        </w:rPr>
      </w:pPr>
      <w:r w:rsidRPr="0029086C">
        <w:rPr>
          <w:lang w:val="en-US"/>
        </w:rPr>
        <w:t>estimates stats ABCPgarch11 ABCPgarch12 ABCPgarch22 ABCPgarch21</w:t>
      </w:r>
    </w:p>
    <w:p w14:paraId="22428745" w14:textId="77777777" w:rsidR="0029086C" w:rsidRPr="0029086C" w:rsidRDefault="0029086C" w:rsidP="000519C3">
      <w:pPr>
        <w:pStyle w:val="NoSpacing"/>
        <w:rPr>
          <w:lang w:val="en-US"/>
        </w:rPr>
      </w:pPr>
      <w:r w:rsidRPr="0029086C">
        <w:rPr>
          <w:lang w:val="en-US"/>
        </w:rPr>
        <w:t>estimates store table2</w:t>
      </w:r>
    </w:p>
    <w:p w14:paraId="6D4C1D42"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xml:space="preserve">***** </w:t>
      </w:r>
      <w:proofErr w:type="gramStart"/>
      <w:r w:rsidRPr="001D2F1F">
        <w:rPr>
          <w:color w:val="4F6228" w:themeColor="accent3" w:themeShade="80"/>
          <w:lang w:val="en-US"/>
        </w:rPr>
        <w:t>OIS  *</w:t>
      </w:r>
      <w:proofErr w:type="gramEnd"/>
      <w:r w:rsidRPr="001D2F1F">
        <w:rPr>
          <w:color w:val="4F6228" w:themeColor="accent3" w:themeShade="80"/>
          <w:lang w:val="en-US"/>
        </w:rPr>
        <w:t>******</w:t>
      </w:r>
    </w:p>
    <w:p w14:paraId="1C0B59DA"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GARCH with ARMA21 ******</w:t>
      </w:r>
    </w:p>
    <w:p w14:paraId="7A82B0D2" w14:textId="77777777" w:rsidR="0029086C" w:rsidRPr="0029086C" w:rsidRDefault="0029086C" w:rsidP="000519C3">
      <w:pPr>
        <w:pStyle w:val="NoSpacing"/>
        <w:rPr>
          <w:lang w:val="en-US"/>
        </w:rPr>
      </w:pPr>
      <w:r w:rsidRPr="0029086C">
        <w:rPr>
          <w:lang w:val="en-US"/>
        </w:rPr>
        <w:t xml:space="preserve">arch OIS,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(2,0,1)</w:t>
      </w:r>
    </w:p>
    <w:p w14:paraId="02C66413" w14:textId="77777777" w:rsidR="0029086C" w:rsidRPr="0029086C" w:rsidRDefault="0029086C" w:rsidP="000519C3">
      <w:pPr>
        <w:pStyle w:val="NoSpacing"/>
        <w:rPr>
          <w:lang w:val="en-US"/>
        </w:rPr>
      </w:pPr>
      <w:r w:rsidRPr="0029086C">
        <w:rPr>
          <w:lang w:val="en-US"/>
        </w:rPr>
        <w:t>estimates store OISgarch11</w:t>
      </w:r>
    </w:p>
    <w:p w14:paraId="0FF9E314" w14:textId="77777777" w:rsidR="0029086C" w:rsidRPr="0029086C" w:rsidRDefault="0029086C" w:rsidP="000519C3">
      <w:pPr>
        <w:pStyle w:val="NoSpacing"/>
        <w:rPr>
          <w:lang w:val="en-US"/>
        </w:rPr>
      </w:pPr>
      <w:r w:rsidRPr="0029086C">
        <w:rPr>
          <w:lang w:val="en-US"/>
        </w:rPr>
        <w:t xml:space="preserve">arch OIS,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(2,0,1)</w:t>
      </w:r>
    </w:p>
    <w:p w14:paraId="00893643" w14:textId="77777777" w:rsidR="0029086C" w:rsidRPr="0029086C" w:rsidRDefault="0029086C" w:rsidP="000519C3">
      <w:pPr>
        <w:pStyle w:val="NoSpacing"/>
        <w:rPr>
          <w:lang w:val="en-US"/>
        </w:rPr>
      </w:pPr>
      <w:r w:rsidRPr="0029086C">
        <w:rPr>
          <w:lang w:val="en-US"/>
        </w:rPr>
        <w:t>estimates store OISgarch12</w:t>
      </w:r>
    </w:p>
    <w:p w14:paraId="2AF3511A" w14:textId="77777777" w:rsidR="0029086C" w:rsidRPr="0029086C" w:rsidRDefault="0029086C" w:rsidP="000519C3">
      <w:pPr>
        <w:pStyle w:val="NoSpacing"/>
        <w:rPr>
          <w:lang w:val="en-US"/>
        </w:rPr>
      </w:pPr>
      <w:r w:rsidRPr="0029086C">
        <w:rPr>
          <w:lang w:val="en-US"/>
        </w:rPr>
        <w:t xml:space="preserve">arch OIS,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(2,0,1)</w:t>
      </w:r>
    </w:p>
    <w:p w14:paraId="537B2517" w14:textId="77777777" w:rsidR="0029086C" w:rsidRPr="0029086C" w:rsidRDefault="0029086C" w:rsidP="000519C3">
      <w:pPr>
        <w:pStyle w:val="NoSpacing"/>
        <w:rPr>
          <w:lang w:val="en-US"/>
        </w:rPr>
      </w:pPr>
      <w:r w:rsidRPr="0029086C">
        <w:rPr>
          <w:lang w:val="en-US"/>
        </w:rPr>
        <w:t>estimates store OISgarch22</w:t>
      </w:r>
    </w:p>
    <w:p w14:paraId="364AD61C" w14:textId="77777777" w:rsidR="0029086C" w:rsidRPr="0029086C" w:rsidRDefault="0029086C" w:rsidP="000519C3">
      <w:pPr>
        <w:pStyle w:val="NoSpacing"/>
        <w:rPr>
          <w:lang w:val="en-US"/>
        </w:rPr>
      </w:pPr>
      <w:r w:rsidRPr="0029086C">
        <w:rPr>
          <w:lang w:val="en-US"/>
        </w:rPr>
        <w:t xml:space="preserve">arch OIS,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(2,0,1)</w:t>
      </w:r>
    </w:p>
    <w:p w14:paraId="7004BDCC" w14:textId="77777777" w:rsidR="0029086C" w:rsidRPr="0029086C" w:rsidRDefault="0029086C" w:rsidP="000519C3">
      <w:pPr>
        <w:pStyle w:val="NoSpacing"/>
        <w:rPr>
          <w:lang w:val="en-US"/>
        </w:rPr>
      </w:pPr>
      <w:r w:rsidRPr="0029086C">
        <w:rPr>
          <w:lang w:val="en-US"/>
        </w:rPr>
        <w:t>estimates store OISgarch21</w:t>
      </w:r>
    </w:p>
    <w:p w14:paraId="00F21BD9" w14:textId="77777777" w:rsidR="0029086C" w:rsidRPr="0029086C" w:rsidRDefault="0029086C" w:rsidP="000519C3">
      <w:pPr>
        <w:pStyle w:val="NoSpacing"/>
        <w:rPr>
          <w:lang w:val="en-US"/>
        </w:rPr>
      </w:pPr>
      <w:r w:rsidRPr="0029086C">
        <w:rPr>
          <w:lang w:val="en-US"/>
        </w:rPr>
        <w:t>estimates stats OISgarch11 OISgarch12 OISgarch22 OISgarch21</w:t>
      </w:r>
    </w:p>
    <w:p w14:paraId="6322F420" w14:textId="77777777" w:rsidR="0029086C" w:rsidRPr="0029086C" w:rsidRDefault="0029086C" w:rsidP="000519C3">
      <w:pPr>
        <w:pStyle w:val="NoSpacing"/>
        <w:rPr>
          <w:lang w:val="en-US"/>
        </w:rPr>
      </w:pPr>
      <w:r w:rsidRPr="0029086C">
        <w:rPr>
          <w:lang w:val="en-US"/>
        </w:rPr>
        <w:t>estimates store table3</w:t>
      </w:r>
    </w:p>
    <w:p w14:paraId="4EFC547B"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lastRenderedPageBreak/>
        <w:t>********** TED *******</w:t>
      </w:r>
    </w:p>
    <w:p w14:paraId="4141C45B" w14:textId="77777777" w:rsidR="0029086C" w:rsidRPr="001D2F1F" w:rsidRDefault="0029086C" w:rsidP="000519C3">
      <w:pPr>
        <w:pStyle w:val="NoSpacing"/>
        <w:rPr>
          <w:color w:val="4F6228" w:themeColor="accent3" w:themeShade="80"/>
          <w:lang w:val="en-US"/>
        </w:rPr>
      </w:pPr>
      <w:r w:rsidRPr="001D2F1F">
        <w:rPr>
          <w:color w:val="4F6228" w:themeColor="accent3" w:themeShade="80"/>
          <w:lang w:val="en-US"/>
        </w:rPr>
        <w:t>******** GARCH with ARMA22 ******</w:t>
      </w:r>
    </w:p>
    <w:p w14:paraId="1316B073" w14:textId="77777777" w:rsidR="0029086C" w:rsidRPr="0029086C" w:rsidRDefault="0029086C" w:rsidP="000519C3">
      <w:pPr>
        <w:pStyle w:val="NoSpacing"/>
        <w:rPr>
          <w:lang w:val="en-US"/>
        </w:rPr>
      </w:pPr>
      <w:r w:rsidRPr="0029086C">
        <w:rPr>
          <w:lang w:val="en-US"/>
        </w:rPr>
        <w:t xml:space="preserve">arch TED,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(2,0,2) </w:t>
      </w:r>
      <w:proofErr w:type="spellStart"/>
      <w:r w:rsidRPr="0029086C">
        <w:rPr>
          <w:lang w:val="en-US"/>
        </w:rPr>
        <w:t>nolog</w:t>
      </w:r>
      <w:proofErr w:type="spellEnd"/>
    </w:p>
    <w:p w14:paraId="687BFA00" w14:textId="77777777" w:rsidR="0029086C" w:rsidRPr="0029086C" w:rsidRDefault="0029086C" w:rsidP="000519C3">
      <w:pPr>
        <w:pStyle w:val="NoSpacing"/>
        <w:rPr>
          <w:lang w:val="en-US"/>
        </w:rPr>
      </w:pPr>
      <w:r w:rsidRPr="0029086C">
        <w:rPr>
          <w:lang w:val="en-US"/>
        </w:rPr>
        <w:t>estimates store TEDgarch11</w:t>
      </w:r>
    </w:p>
    <w:p w14:paraId="7732C41D" w14:textId="77777777" w:rsidR="0029086C" w:rsidRPr="0029086C" w:rsidRDefault="0029086C" w:rsidP="000519C3">
      <w:pPr>
        <w:pStyle w:val="NoSpacing"/>
        <w:rPr>
          <w:lang w:val="en-US"/>
        </w:rPr>
      </w:pPr>
      <w:r w:rsidRPr="0029086C">
        <w:rPr>
          <w:lang w:val="en-US"/>
        </w:rPr>
        <w:t xml:space="preserve">arch TED, </w:t>
      </w:r>
      <w:proofErr w:type="gramStart"/>
      <w:r w:rsidRPr="0029086C">
        <w:rPr>
          <w:lang w:val="en-US"/>
        </w:rPr>
        <w:t>arch(</w:t>
      </w:r>
      <w:proofErr w:type="gramEnd"/>
      <w:r w:rsidRPr="0029086C">
        <w:rPr>
          <w:lang w:val="en-US"/>
        </w:rPr>
        <w:t xml:space="preserve">1/1)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(2,0,2) </w:t>
      </w:r>
      <w:proofErr w:type="spellStart"/>
      <w:r w:rsidRPr="0029086C">
        <w:rPr>
          <w:lang w:val="en-US"/>
        </w:rPr>
        <w:t>nolog</w:t>
      </w:r>
      <w:proofErr w:type="spellEnd"/>
      <w:r w:rsidRPr="0029086C">
        <w:rPr>
          <w:lang w:val="en-US"/>
        </w:rPr>
        <w:t xml:space="preserve"> </w:t>
      </w:r>
    </w:p>
    <w:p w14:paraId="719A7EDF" w14:textId="77777777" w:rsidR="0029086C" w:rsidRPr="0029086C" w:rsidRDefault="0029086C" w:rsidP="000519C3">
      <w:pPr>
        <w:pStyle w:val="NoSpacing"/>
        <w:rPr>
          <w:lang w:val="en-US"/>
        </w:rPr>
      </w:pPr>
      <w:r w:rsidRPr="0029086C">
        <w:rPr>
          <w:lang w:val="en-US"/>
        </w:rPr>
        <w:t>estimates store TEDgarch12</w:t>
      </w:r>
    </w:p>
    <w:p w14:paraId="4F023868" w14:textId="77777777" w:rsidR="0029086C" w:rsidRPr="0029086C" w:rsidRDefault="0029086C" w:rsidP="000519C3">
      <w:pPr>
        <w:pStyle w:val="NoSpacing"/>
        <w:rPr>
          <w:lang w:val="en-US"/>
        </w:rPr>
      </w:pPr>
      <w:r w:rsidRPr="0029086C">
        <w:rPr>
          <w:lang w:val="en-US"/>
        </w:rPr>
        <w:t xml:space="preserve">arch TED,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(1/2) </w:t>
      </w:r>
      <w:proofErr w:type="spellStart"/>
      <w:r w:rsidRPr="0029086C">
        <w:rPr>
          <w:lang w:val="en-US"/>
        </w:rPr>
        <w:t>arima</w:t>
      </w:r>
      <w:proofErr w:type="spellEnd"/>
      <w:r w:rsidRPr="0029086C">
        <w:rPr>
          <w:lang w:val="en-US"/>
        </w:rPr>
        <w:t xml:space="preserve">(2,0,2) </w:t>
      </w:r>
      <w:proofErr w:type="spellStart"/>
      <w:r w:rsidRPr="0029086C">
        <w:rPr>
          <w:lang w:val="en-US"/>
        </w:rPr>
        <w:t>nolog</w:t>
      </w:r>
      <w:proofErr w:type="spellEnd"/>
    </w:p>
    <w:p w14:paraId="233AD050" w14:textId="77777777" w:rsidR="0029086C" w:rsidRPr="0029086C" w:rsidRDefault="0029086C" w:rsidP="000519C3">
      <w:pPr>
        <w:pStyle w:val="NoSpacing"/>
        <w:rPr>
          <w:lang w:val="en-US"/>
        </w:rPr>
      </w:pPr>
      <w:r w:rsidRPr="0029086C">
        <w:rPr>
          <w:lang w:val="en-US"/>
        </w:rPr>
        <w:t>estimates store TEDgarch22</w:t>
      </w:r>
    </w:p>
    <w:p w14:paraId="2256616F" w14:textId="77777777" w:rsidR="0029086C" w:rsidRPr="0029086C" w:rsidRDefault="0029086C" w:rsidP="000519C3">
      <w:pPr>
        <w:pStyle w:val="NoSpacing"/>
        <w:rPr>
          <w:lang w:val="en-US"/>
        </w:rPr>
      </w:pPr>
      <w:r w:rsidRPr="0029086C">
        <w:rPr>
          <w:lang w:val="en-US"/>
        </w:rPr>
        <w:t xml:space="preserve">arch TED, </w:t>
      </w:r>
      <w:proofErr w:type="gramStart"/>
      <w:r w:rsidRPr="0029086C">
        <w:rPr>
          <w:lang w:val="en-US"/>
        </w:rPr>
        <w:t>arch(</w:t>
      </w:r>
      <w:proofErr w:type="gramEnd"/>
      <w:r w:rsidRPr="0029086C">
        <w:rPr>
          <w:lang w:val="en-US"/>
        </w:rPr>
        <w:t xml:space="preserve">1/2) </w:t>
      </w:r>
      <w:proofErr w:type="spellStart"/>
      <w:r w:rsidRPr="0029086C">
        <w:rPr>
          <w:lang w:val="en-US"/>
        </w:rPr>
        <w:t>garch</w:t>
      </w:r>
      <w:proofErr w:type="spellEnd"/>
      <w:r w:rsidRPr="0029086C">
        <w:rPr>
          <w:lang w:val="en-US"/>
        </w:rPr>
        <w:t xml:space="preserve">(1/1) </w:t>
      </w:r>
      <w:proofErr w:type="spellStart"/>
      <w:r w:rsidRPr="0029086C">
        <w:rPr>
          <w:lang w:val="en-US"/>
        </w:rPr>
        <w:t>arima</w:t>
      </w:r>
      <w:proofErr w:type="spellEnd"/>
      <w:r w:rsidRPr="0029086C">
        <w:rPr>
          <w:lang w:val="en-US"/>
        </w:rPr>
        <w:t xml:space="preserve">(2,0,2) </w:t>
      </w:r>
      <w:proofErr w:type="spellStart"/>
      <w:r w:rsidRPr="0029086C">
        <w:rPr>
          <w:lang w:val="en-US"/>
        </w:rPr>
        <w:t>nolog</w:t>
      </w:r>
      <w:proofErr w:type="spellEnd"/>
    </w:p>
    <w:p w14:paraId="66E4A707" w14:textId="77777777" w:rsidR="0029086C" w:rsidRPr="0029086C" w:rsidRDefault="0029086C" w:rsidP="000519C3">
      <w:pPr>
        <w:pStyle w:val="NoSpacing"/>
        <w:rPr>
          <w:lang w:val="en-US"/>
        </w:rPr>
      </w:pPr>
      <w:r w:rsidRPr="0029086C">
        <w:rPr>
          <w:lang w:val="en-US"/>
        </w:rPr>
        <w:t>estimates store TEDgarch21</w:t>
      </w:r>
    </w:p>
    <w:p w14:paraId="6CE8B139" w14:textId="77777777" w:rsidR="0029086C" w:rsidRPr="0029086C" w:rsidRDefault="0029086C" w:rsidP="000519C3">
      <w:pPr>
        <w:pStyle w:val="NoSpacing"/>
        <w:rPr>
          <w:lang w:val="en-US"/>
        </w:rPr>
      </w:pPr>
      <w:r w:rsidRPr="0029086C">
        <w:rPr>
          <w:lang w:val="en-US"/>
        </w:rPr>
        <w:t>estimates stats TEDgarch11 TEDgarch12 TEDgarch22 TEDgarch21</w:t>
      </w:r>
    </w:p>
    <w:p w14:paraId="35E3D750" w14:textId="77777777" w:rsidR="0029086C" w:rsidRPr="0029086C" w:rsidRDefault="0029086C" w:rsidP="000519C3">
      <w:pPr>
        <w:pStyle w:val="NoSpacing"/>
        <w:rPr>
          <w:lang w:val="en-US"/>
        </w:rPr>
      </w:pPr>
      <w:r w:rsidRPr="0029086C">
        <w:rPr>
          <w:lang w:val="en-US"/>
        </w:rPr>
        <w:t>estimates store table4</w:t>
      </w:r>
    </w:p>
    <w:p w14:paraId="37F515DD" w14:textId="77777777" w:rsidR="000519C3" w:rsidRPr="00DE5D41" w:rsidRDefault="000519C3" w:rsidP="000519C3">
      <w:pPr>
        <w:pStyle w:val="NoSpacing"/>
        <w:rPr>
          <w:b/>
          <w:color w:val="548DD4" w:themeColor="text2" w:themeTint="99"/>
          <w:lang w:val="en-US"/>
        </w:rPr>
      </w:pPr>
    </w:p>
    <w:p w14:paraId="5260B0C3" w14:textId="626A1A0E" w:rsidR="00DE5D41" w:rsidRPr="00DE5D41" w:rsidRDefault="00DE5D41" w:rsidP="000519C3">
      <w:pPr>
        <w:pStyle w:val="NoSpacing"/>
        <w:rPr>
          <w:b/>
          <w:color w:val="548DD4" w:themeColor="text2" w:themeTint="99"/>
          <w:lang w:val="en-US"/>
        </w:rPr>
      </w:pPr>
      <w:r w:rsidRPr="00DE5D41">
        <w:rPr>
          <w:b/>
          <w:color w:val="548DD4" w:themeColor="text2" w:themeTint="99"/>
          <w:lang w:val="en-US"/>
        </w:rPr>
        <w:t>DCC</w:t>
      </w:r>
    </w:p>
    <w:p w14:paraId="6F5B8359" w14:textId="1372A749" w:rsidR="00037AC3" w:rsidRPr="00037AC3" w:rsidRDefault="00037AC3" w:rsidP="000519C3">
      <w:pPr>
        <w:pStyle w:val="NoSpacing"/>
        <w:rPr>
          <w:color w:val="4F6228" w:themeColor="accent3" w:themeShade="80"/>
          <w:lang w:val="en-US"/>
        </w:rPr>
      </w:pPr>
      <w:r w:rsidRPr="00037AC3">
        <w:rPr>
          <w:color w:val="4F6228" w:themeColor="accent3" w:themeShade="80"/>
          <w:lang w:val="en-US"/>
        </w:rPr>
        <w:t>*****Dynamic Conditional Correlation (DCC)*****</w:t>
      </w:r>
    </w:p>
    <w:p w14:paraId="00C7D86E" w14:textId="6E7FCD55" w:rsidR="0029086C" w:rsidRPr="00037AC3" w:rsidRDefault="0029086C" w:rsidP="000519C3">
      <w:pPr>
        <w:pStyle w:val="NoSpacing"/>
        <w:rPr>
          <w:color w:val="4F6228" w:themeColor="accent3" w:themeShade="80"/>
          <w:lang w:val="en-US"/>
        </w:rPr>
      </w:pPr>
      <w:r w:rsidRPr="00037AC3">
        <w:rPr>
          <w:color w:val="4F6228" w:themeColor="accent3" w:themeShade="80"/>
          <w:lang w:val="en-US"/>
        </w:rPr>
        <w:t xml:space="preserve">***** The </w:t>
      </w:r>
      <w:proofErr w:type="spellStart"/>
      <w:r w:rsidRPr="00037AC3">
        <w:rPr>
          <w:color w:val="4F6228" w:themeColor="accent3" w:themeShade="80"/>
          <w:lang w:val="en-US"/>
        </w:rPr>
        <w:t>Garch</w:t>
      </w:r>
      <w:proofErr w:type="spellEnd"/>
      <w:r w:rsidRPr="00037AC3">
        <w:rPr>
          <w:color w:val="4F6228" w:themeColor="accent3" w:themeShade="80"/>
          <w:lang w:val="en-US"/>
        </w:rPr>
        <w:t xml:space="preserve"> selection from the above results for DCC-MGARCH ******</w:t>
      </w:r>
    </w:p>
    <w:p w14:paraId="0DC6A890" w14:textId="77777777" w:rsidR="0029086C" w:rsidRPr="0029086C" w:rsidRDefault="0029086C" w:rsidP="000519C3">
      <w:pPr>
        <w:pStyle w:val="NoSpacing"/>
        <w:rPr>
          <w:lang w:val="en-US"/>
        </w:rPr>
      </w:pPr>
      <w:proofErr w:type="spellStart"/>
      <w:r w:rsidRPr="0029086C">
        <w:rPr>
          <w:lang w:val="en-US"/>
        </w:rPr>
        <w:t>mgarch</w:t>
      </w:r>
      <w:proofErr w:type="spellEnd"/>
      <w:r w:rsidRPr="0029086C">
        <w:rPr>
          <w:lang w:val="en-US"/>
        </w:rPr>
        <w:t xml:space="preserve"> dcc (SPRT = </w:t>
      </w:r>
      <w:proofErr w:type="gramStart"/>
      <w:r w:rsidRPr="0029086C">
        <w:rPr>
          <w:lang w:val="en-US"/>
        </w:rPr>
        <w:t>L.SPRT</w:t>
      </w:r>
      <w:proofErr w:type="gramEnd"/>
      <w:r w:rsidRPr="0029086C">
        <w:rPr>
          <w:lang w:val="en-US"/>
        </w:rPr>
        <w:t xml:space="preserve"> L.ABCP L.OIS L.TED, arch(1/2) </w:t>
      </w:r>
      <w:proofErr w:type="spellStart"/>
      <w:r w:rsidRPr="0029086C">
        <w:rPr>
          <w:lang w:val="en-US"/>
        </w:rPr>
        <w:t>garch</w:t>
      </w:r>
      <w:proofErr w:type="spellEnd"/>
      <w:r w:rsidRPr="0029086C">
        <w:rPr>
          <w:lang w:val="en-US"/>
        </w:rPr>
        <w:t xml:space="preserve">(1/1)) (ABCP = L.SPRT L.ABCP L.OIS L.TED, arch(1/2) </w:t>
      </w:r>
      <w:proofErr w:type="spellStart"/>
      <w:r w:rsidRPr="0029086C">
        <w:rPr>
          <w:lang w:val="en-US"/>
        </w:rPr>
        <w:t>garch</w:t>
      </w:r>
      <w:proofErr w:type="spellEnd"/>
      <w:r w:rsidRPr="0029086C">
        <w:rPr>
          <w:lang w:val="en-US"/>
        </w:rPr>
        <w:t xml:space="preserve">(1/2)) (OIS = L.SPRT L.ABCP L.OIS L.TED, arch(1/2) </w:t>
      </w:r>
      <w:proofErr w:type="spellStart"/>
      <w:r w:rsidRPr="0029086C">
        <w:rPr>
          <w:lang w:val="en-US"/>
        </w:rPr>
        <w:t>garch</w:t>
      </w:r>
      <w:proofErr w:type="spellEnd"/>
      <w:r w:rsidRPr="0029086C">
        <w:rPr>
          <w:lang w:val="en-US"/>
        </w:rPr>
        <w:t xml:space="preserve">(1/1)) (TED = L.SPRT L.ABCP L.OIS L.TED, arch(1/2) </w:t>
      </w:r>
      <w:proofErr w:type="spellStart"/>
      <w:r w:rsidRPr="0029086C">
        <w:rPr>
          <w:lang w:val="en-US"/>
        </w:rPr>
        <w:t>garch</w:t>
      </w:r>
      <w:proofErr w:type="spellEnd"/>
      <w:r w:rsidRPr="0029086C">
        <w:rPr>
          <w:lang w:val="en-US"/>
        </w:rPr>
        <w:t xml:space="preserve">(1/1)), </w:t>
      </w:r>
      <w:proofErr w:type="spellStart"/>
      <w:r w:rsidRPr="0029086C">
        <w:rPr>
          <w:lang w:val="en-US"/>
        </w:rPr>
        <w:t>nolog</w:t>
      </w:r>
      <w:proofErr w:type="spellEnd"/>
    </w:p>
    <w:p w14:paraId="193D636C" w14:textId="77777777" w:rsidR="0029086C" w:rsidRPr="0029086C" w:rsidRDefault="0029086C" w:rsidP="000519C3">
      <w:pPr>
        <w:pStyle w:val="NoSpacing"/>
        <w:rPr>
          <w:lang w:val="en-US"/>
        </w:rPr>
      </w:pPr>
      <w:r w:rsidRPr="0029086C">
        <w:rPr>
          <w:lang w:val="en-US"/>
        </w:rPr>
        <w:t xml:space="preserve">predict </w:t>
      </w:r>
      <w:proofErr w:type="spellStart"/>
      <w:r w:rsidRPr="0029086C">
        <w:rPr>
          <w:lang w:val="en-US"/>
        </w:rPr>
        <w:t>corr</w:t>
      </w:r>
      <w:proofErr w:type="spellEnd"/>
      <w:r w:rsidRPr="0029086C">
        <w:rPr>
          <w:lang w:val="en-US"/>
        </w:rPr>
        <w:t>*, correlation</w:t>
      </w:r>
    </w:p>
    <w:p w14:paraId="631BF3AC"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corr_ABCP_SPRT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ABCPSPRTpre</w:t>
      </w:r>
      <w:proofErr w:type="spellEnd"/>
      <w:r w:rsidRPr="0029086C">
        <w:rPr>
          <w:lang w:val="en-US"/>
        </w:rPr>
        <w:t>)</w:t>
      </w:r>
    </w:p>
    <w:p w14:paraId="425FEFFA"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OISSPRTpre</w:t>
      </w:r>
      <w:proofErr w:type="spellEnd"/>
      <w:r w:rsidRPr="0029086C">
        <w:rPr>
          <w:lang w:val="en-US"/>
        </w:rPr>
        <w:t>)</w:t>
      </w:r>
    </w:p>
    <w:p w14:paraId="75862DEC"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TEDSPRTpre</w:t>
      </w:r>
      <w:proofErr w:type="spellEnd"/>
      <w:r w:rsidRPr="0029086C">
        <w:rPr>
          <w:lang w:val="en-US"/>
        </w:rPr>
        <w:t>)</w:t>
      </w:r>
    </w:p>
    <w:p w14:paraId="379CAA59"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OISABCPpre</w:t>
      </w:r>
      <w:proofErr w:type="spellEnd"/>
      <w:r w:rsidRPr="0029086C">
        <w:rPr>
          <w:lang w:val="en-US"/>
        </w:rPr>
        <w:t>)</w:t>
      </w:r>
    </w:p>
    <w:p w14:paraId="103FFCAA"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TEDABCPpre</w:t>
      </w:r>
      <w:proofErr w:type="spellEnd"/>
      <w:r w:rsidRPr="0029086C">
        <w:rPr>
          <w:lang w:val="en-US"/>
        </w:rPr>
        <w:t>)</w:t>
      </w:r>
    </w:p>
    <w:p w14:paraId="01CCC18E"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corr_TED_OIS</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td(05jan2005))&amp;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td(01jun2007)), name(</w:t>
      </w:r>
      <w:proofErr w:type="spellStart"/>
      <w:r w:rsidRPr="0029086C">
        <w:rPr>
          <w:lang w:val="en-US"/>
        </w:rPr>
        <w:t>TEDOISpre</w:t>
      </w:r>
      <w:proofErr w:type="spellEnd"/>
      <w:r w:rsidRPr="0029086C">
        <w:rPr>
          <w:lang w:val="en-US"/>
        </w:rPr>
        <w:t>)</w:t>
      </w:r>
    </w:p>
    <w:p w14:paraId="272A161E" w14:textId="77777777" w:rsidR="0029086C" w:rsidRPr="0029086C" w:rsidRDefault="0029086C" w:rsidP="000519C3">
      <w:pPr>
        <w:pStyle w:val="NoSpacing"/>
        <w:rPr>
          <w:lang w:val="en-US"/>
        </w:rPr>
      </w:pPr>
      <w:r w:rsidRPr="0029086C">
        <w:rPr>
          <w:lang w:val="en-US"/>
        </w:rPr>
        <w:t xml:space="preserve">graph combine </w:t>
      </w:r>
      <w:proofErr w:type="spellStart"/>
      <w:r w:rsidRPr="0029086C">
        <w:rPr>
          <w:lang w:val="en-US"/>
        </w:rPr>
        <w:t>ABCPSPRTpre</w:t>
      </w:r>
      <w:proofErr w:type="spellEnd"/>
      <w:r w:rsidRPr="0029086C">
        <w:rPr>
          <w:lang w:val="en-US"/>
        </w:rPr>
        <w:t xml:space="preserve"> </w:t>
      </w:r>
      <w:proofErr w:type="spellStart"/>
      <w:r w:rsidRPr="0029086C">
        <w:rPr>
          <w:lang w:val="en-US"/>
        </w:rPr>
        <w:t>OISSPRTpre</w:t>
      </w:r>
      <w:proofErr w:type="spellEnd"/>
      <w:r w:rsidRPr="0029086C">
        <w:rPr>
          <w:lang w:val="en-US"/>
        </w:rPr>
        <w:t xml:space="preserve"> </w:t>
      </w:r>
      <w:proofErr w:type="spellStart"/>
      <w:r w:rsidRPr="0029086C">
        <w:rPr>
          <w:lang w:val="en-US"/>
        </w:rPr>
        <w:t>TEDSPRTpre</w:t>
      </w:r>
      <w:proofErr w:type="spellEnd"/>
      <w:r w:rsidRPr="0029086C">
        <w:rPr>
          <w:lang w:val="en-US"/>
        </w:rPr>
        <w:t xml:space="preserve"> </w:t>
      </w:r>
      <w:proofErr w:type="spellStart"/>
      <w:r w:rsidRPr="0029086C">
        <w:rPr>
          <w:lang w:val="en-US"/>
        </w:rPr>
        <w:t>OISABCPpre</w:t>
      </w:r>
      <w:proofErr w:type="spellEnd"/>
      <w:r w:rsidRPr="0029086C">
        <w:rPr>
          <w:lang w:val="en-US"/>
        </w:rPr>
        <w:t xml:space="preserve"> </w:t>
      </w:r>
      <w:proofErr w:type="spellStart"/>
      <w:r w:rsidRPr="0029086C">
        <w:rPr>
          <w:lang w:val="en-US"/>
        </w:rPr>
        <w:t>TEDABCPpre</w:t>
      </w:r>
      <w:proofErr w:type="spellEnd"/>
      <w:r w:rsidRPr="0029086C">
        <w:rPr>
          <w:lang w:val="en-US"/>
        </w:rPr>
        <w:t xml:space="preserve"> </w:t>
      </w:r>
      <w:proofErr w:type="spellStart"/>
      <w:r w:rsidRPr="0029086C">
        <w:rPr>
          <w:lang w:val="en-US"/>
        </w:rPr>
        <w:t>TEDOISpre</w:t>
      </w:r>
      <w:proofErr w:type="spellEnd"/>
    </w:p>
    <w:p w14:paraId="149F32DA"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corr_ABCP_SPRT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ABCPSPRTdur</w:t>
      </w:r>
      <w:proofErr w:type="spellEnd"/>
      <w:r w:rsidRPr="0029086C">
        <w:rPr>
          <w:lang w:val="en-US"/>
        </w:rPr>
        <w:t>)</w:t>
      </w:r>
    </w:p>
    <w:p w14:paraId="3A6E9748"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OISSPRTdur</w:t>
      </w:r>
      <w:proofErr w:type="spellEnd"/>
      <w:r w:rsidRPr="0029086C">
        <w:rPr>
          <w:lang w:val="en-US"/>
        </w:rPr>
        <w:t>)</w:t>
      </w:r>
    </w:p>
    <w:p w14:paraId="3FAE86F0"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TEDSPRTdur</w:t>
      </w:r>
      <w:proofErr w:type="spellEnd"/>
      <w:r w:rsidRPr="0029086C">
        <w:rPr>
          <w:lang w:val="en-US"/>
        </w:rPr>
        <w:t>)</w:t>
      </w:r>
    </w:p>
    <w:p w14:paraId="257B809A"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OISABCPdur</w:t>
      </w:r>
      <w:proofErr w:type="spellEnd"/>
      <w:r w:rsidRPr="0029086C">
        <w:rPr>
          <w:lang w:val="en-US"/>
        </w:rPr>
        <w:t>)</w:t>
      </w:r>
    </w:p>
    <w:p w14:paraId="0E015E81"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TEDABCPdur</w:t>
      </w:r>
      <w:proofErr w:type="spellEnd"/>
      <w:r w:rsidRPr="0029086C">
        <w:rPr>
          <w:lang w:val="en-US"/>
        </w:rPr>
        <w:t>)</w:t>
      </w:r>
    </w:p>
    <w:p w14:paraId="65932412"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corr_TED_OIS</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td(04jun2007))&amp;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td(09mar2009)), name(</w:t>
      </w:r>
      <w:proofErr w:type="spellStart"/>
      <w:r w:rsidRPr="0029086C">
        <w:rPr>
          <w:lang w:val="en-US"/>
        </w:rPr>
        <w:t>TEDOISdur</w:t>
      </w:r>
      <w:proofErr w:type="spellEnd"/>
      <w:r w:rsidRPr="0029086C">
        <w:rPr>
          <w:lang w:val="en-US"/>
        </w:rPr>
        <w:t>)</w:t>
      </w:r>
    </w:p>
    <w:p w14:paraId="58DBC2FE" w14:textId="77777777" w:rsidR="0029086C" w:rsidRPr="0029086C" w:rsidRDefault="0029086C" w:rsidP="000519C3">
      <w:pPr>
        <w:pStyle w:val="NoSpacing"/>
        <w:rPr>
          <w:lang w:val="en-US"/>
        </w:rPr>
      </w:pPr>
      <w:r w:rsidRPr="0029086C">
        <w:rPr>
          <w:lang w:val="en-US"/>
        </w:rPr>
        <w:t xml:space="preserve">graph combine </w:t>
      </w:r>
      <w:proofErr w:type="spellStart"/>
      <w:r w:rsidRPr="0029086C">
        <w:rPr>
          <w:lang w:val="en-US"/>
        </w:rPr>
        <w:t>ABCPSPRTdur</w:t>
      </w:r>
      <w:proofErr w:type="spellEnd"/>
      <w:r w:rsidRPr="0029086C">
        <w:rPr>
          <w:lang w:val="en-US"/>
        </w:rPr>
        <w:t xml:space="preserve"> </w:t>
      </w:r>
      <w:proofErr w:type="spellStart"/>
      <w:r w:rsidRPr="0029086C">
        <w:rPr>
          <w:lang w:val="en-US"/>
        </w:rPr>
        <w:t>OISSPRTdur</w:t>
      </w:r>
      <w:proofErr w:type="spellEnd"/>
      <w:r w:rsidRPr="0029086C">
        <w:rPr>
          <w:lang w:val="en-US"/>
        </w:rPr>
        <w:t xml:space="preserve"> </w:t>
      </w:r>
      <w:proofErr w:type="spellStart"/>
      <w:r w:rsidRPr="0029086C">
        <w:rPr>
          <w:lang w:val="en-US"/>
        </w:rPr>
        <w:t>TEDSPRTdur</w:t>
      </w:r>
      <w:proofErr w:type="spellEnd"/>
      <w:r w:rsidRPr="0029086C">
        <w:rPr>
          <w:lang w:val="en-US"/>
        </w:rPr>
        <w:t xml:space="preserve"> </w:t>
      </w:r>
      <w:proofErr w:type="spellStart"/>
      <w:r w:rsidRPr="0029086C">
        <w:rPr>
          <w:lang w:val="en-US"/>
        </w:rPr>
        <w:t>OISABCPdur</w:t>
      </w:r>
      <w:proofErr w:type="spellEnd"/>
      <w:r w:rsidRPr="0029086C">
        <w:rPr>
          <w:lang w:val="en-US"/>
        </w:rPr>
        <w:t xml:space="preserve"> </w:t>
      </w:r>
      <w:proofErr w:type="spellStart"/>
      <w:r w:rsidRPr="0029086C">
        <w:rPr>
          <w:lang w:val="en-US"/>
        </w:rPr>
        <w:t>TEDABCPdur</w:t>
      </w:r>
      <w:proofErr w:type="spellEnd"/>
      <w:r w:rsidRPr="0029086C">
        <w:rPr>
          <w:lang w:val="en-US"/>
        </w:rPr>
        <w:t xml:space="preserve"> </w:t>
      </w:r>
      <w:proofErr w:type="spellStart"/>
      <w:r w:rsidRPr="0029086C">
        <w:rPr>
          <w:lang w:val="en-US"/>
        </w:rPr>
        <w:t>TEDOISdur</w:t>
      </w:r>
      <w:proofErr w:type="spellEnd"/>
    </w:p>
    <w:p w14:paraId="01D47F2A"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corr_ABCP_SPRT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ABCPSPRTpost</w:t>
      </w:r>
      <w:proofErr w:type="spellEnd"/>
      <w:r w:rsidRPr="0029086C">
        <w:rPr>
          <w:lang w:val="en-US"/>
        </w:rPr>
        <w:t>)</w:t>
      </w:r>
    </w:p>
    <w:p w14:paraId="501F2F85"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OISSPRTpost</w:t>
      </w:r>
      <w:proofErr w:type="spellEnd"/>
      <w:r w:rsidRPr="0029086C">
        <w:rPr>
          <w:lang w:val="en-US"/>
        </w:rPr>
        <w:t>)</w:t>
      </w:r>
    </w:p>
    <w:p w14:paraId="576EE32D" w14:textId="77777777" w:rsidR="0029086C" w:rsidRPr="0029086C" w:rsidRDefault="0029086C" w:rsidP="000519C3">
      <w:pPr>
        <w:pStyle w:val="NoSpacing"/>
        <w:rPr>
          <w:lang w:val="en-US"/>
        </w:rPr>
      </w:pPr>
      <w:proofErr w:type="spellStart"/>
      <w:r w:rsidRPr="0029086C">
        <w:rPr>
          <w:lang w:val="en-US"/>
        </w:rPr>
        <w:lastRenderedPageBreak/>
        <w:t>tsline</w:t>
      </w:r>
      <w:proofErr w:type="spellEnd"/>
      <w:r w:rsidRPr="0029086C">
        <w:rPr>
          <w:lang w:val="en-US"/>
        </w:rPr>
        <w:t xml:space="preserve"> </w:t>
      </w:r>
      <w:proofErr w:type="spellStart"/>
      <w:r w:rsidRPr="0029086C">
        <w:rPr>
          <w:lang w:val="en-US"/>
        </w:rPr>
        <w:t>corr_TED_SPRT</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TEDSPRTpost</w:t>
      </w:r>
      <w:proofErr w:type="spellEnd"/>
      <w:r w:rsidRPr="0029086C">
        <w:rPr>
          <w:lang w:val="en-US"/>
        </w:rPr>
        <w:t>)</w:t>
      </w:r>
    </w:p>
    <w:p w14:paraId="540E085E"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corr_OIS_ABCP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OISABCPpost</w:t>
      </w:r>
      <w:proofErr w:type="spellEnd"/>
      <w:r w:rsidRPr="0029086C">
        <w:rPr>
          <w:lang w:val="en-US"/>
        </w:rPr>
        <w:t>)</w:t>
      </w:r>
    </w:p>
    <w:p w14:paraId="3963E1E1"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corr_TED_ABCP</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TEDABCPpost</w:t>
      </w:r>
      <w:proofErr w:type="spellEnd"/>
      <w:r w:rsidRPr="0029086C">
        <w:rPr>
          <w:lang w:val="en-US"/>
        </w:rPr>
        <w:t>)</w:t>
      </w:r>
    </w:p>
    <w:p w14:paraId="47DD4583" w14:textId="77777777" w:rsidR="0029086C" w:rsidRPr="0029086C" w:rsidRDefault="0029086C" w:rsidP="000519C3">
      <w:pPr>
        <w:pStyle w:val="NoSpacing"/>
        <w:rPr>
          <w:lang w:val="en-US"/>
        </w:rPr>
      </w:pPr>
      <w:proofErr w:type="spellStart"/>
      <w:r w:rsidRPr="0029086C">
        <w:rPr>
          <w:lang w:val="en-US"/>
        </w:rPr>
        <w:t>tsline</w:t>
      </w:r>
      <w:proofErr w:type="spellEnd"/>
      <w:r w:rsidRPr="0029086C">
        <w:rPr>
          <w:lang w:val="en-US"/>
        </w:rPr>
        <w:t xml:space="preserve"> </w:t>
      </w:r>
      <w:proofErr w:type="spellStart"/>
      <w:r w:rsidRPr="0029086C">
        <w:rPr>
          <w:lang w:val="en-US"/>
        </w:rPr>
        <w:t>corr_TED_OIS</w:t>
      </w:r>
      <w:proofErr w:type="spellEnd"/>
      <w:r w:rsidRPr="0029086C">
        <w:rPr>
          <w:lang w:val="en-US"/>
        </w:rPr>
        <w:t xml:space="preserve"> if </w:t>
      </w:r>
      <w:proofErr w:type="spellStart"/>
      <w:r w:rsidRPr="0029086C">
        <w:rPr>
          <w:lang w:val="en-US"/>
        </w:rPr>
        <w:t>bcdate</w:t>
      </w:r>
      <w:proofErr w:type="spellEnd"/>
      <w:r w:rsidRPr="0029086C">
        <w:rPr>
          <w:lang w:val="en-US"/>
        </w:rPr>
        <w:t xml:space="preserve">&gt;= </w:t>
      </w:r>
      <w:proofErr w:type="spellStart"/>
      <w:proofErr w:type="gramStart"/>
      <w:r w:rsidRPr="0029086C">
        <w:rPr>
          <w:lang w:val="en-US"/>
        </w:rPr>
        <w:t>bofd</w:t>
      </w:r>
      <w:proofErr w:type="spellEnd"/>
      <w:r w:rsidRPr="0029086C">
        <w:rPr>
          <w:lang w:val="en-US"/>
        </w:rPr>
        <w:t>(</w:t>
      </w:r>
      <w:proofErr w:type="gramEnd"/>
      <w:r w:rsidRPr="0029086C">
        <w:rPr>
          <w:lang w:val="en-US"/>
        </w:rPr>
        <w:t>"raw1", td(10mar2009))&amp;</w:t>
      </w:r>
      <w:proofErr w:type="spellStart"/>
      <w:r w:rsidRPr="0029086C">
        <w:rPr>
          <w:lang w:val="en-US"/>
        </w:rPr>
        <w:t>bcdate</w:t>
      </w:r>
      <w:proofErr w:type="spellEnd"/>
      <w:r w:rsidRPr="0029086C">
        <w:rPr>
          <w:lang w:val="en-US"/>
        </w:rPr>
        <w:t xml:space="preserve">&lt;= </w:t>
      </w:r>
      <w:proofErr w:type="spellStart"/>
      <w:r w:rsidRPr="0029086C">
        <w:rPr>
          <w:lang w:val="en-US"/>
        </w:rPr>
        <w:t>bofd</w:t>
      </w:r>
      <w:proofErr w:type="spellEnd"/>
      <w:r w:rsidRPr="0029086C">
        <w:rPr>
          <w:lang w:val="en-US"/>
        </w:rPr>
        <w:t>("raw1", td(23dec2015)), name(</w:t>
      </w:r>
      <w:proofErr w:type="spellStart"/>
      <w:r w:rsidRPr="0029086C">
        <w:rPr>
          <w:lang w:val="en-US"/>
        </w:rPr>
        <w:t>TEDOISpost</w:t>
      </w:r>
      <w:proofErr w:type="spellEnd"/>
      <w:r w:rsidRPr="0029086C">
        <w:rPr>
          <w:lang w:val="en-US"/>
        </w:rPr>
        <w:t>)</w:t>
      </w:r>
    </w:p>
    <w:p w14:paraId="0EC08517" w14:textId="77777777" w:rsidR="0029086C" w:rsidRPr="0029086C" w:rsidRDefault="0029086C" w:rsidP="000519C3">
      <w:pPr>
        <w:pStyle w:val="NoSpacing"/>
        <w:rPr>
          <w:lang w:val="en-US"/>
        </w:rPr>
      </w:pPr>
      <w:r w:rsidRPr="0029086C">
        <w:rPr>
          <w:lang w:val="en-US"/>
        </w:rPr>
        <w:t xml:space="preserve">graph combine </w:t>
      </w:r>
      <w:proofErr w:type="spellStart"/>
      <w:r w:rsidRPr="0029086C">
        <w:rPr>
          <w:lang w:val="en-US"/>
        </w:rPr>
        <w:t>ABCPSPRTpost</w:t>
      </w:r>
      <w:proofErr w:type="spellEnd"/>
      <w:r w:rsidRPr="0029086C">
        <w:rPr>
          <w:lang w:val="en-US"/>
        </w:rPr>
        <w:t xml:space="preserve"> </w:t>
      </w:r>
      <w:proofErr w:type="spellStart"/>
      <w:r w:rsidRPr="0029086C">
        <w:rPr>
          <w:lang w:val="en-US"/>
        </w:rPr>
        <w:t>OISSPRTpost</w:t>
      </w:r>
      <w:proofErr w:type="spellEnd"/>
      <w:r w:rsidRPr="0029086C">
        <w:rPr>
          <w:lang w:val="en-US"/>
        </w:rPr>
        <w:t xml:space="preserve"> </w:t>
      </w:r>
      <w:proofErr w:type="spellStart"/>
      <w:r w:rsidRPr="0029086C">
        <w:rPr>
          <w:lang w:val="en-US"/>
        </w:rPr>
        <w:t>TEDSPRTpost</w:t>
      </w:r>
      <w:proofErr w:type="spellEnd"/>
      <w:r w:rsidRPr="0029086C">
        <w:rPr>
          <w:lang w:val="en-US"/>
        </w:rPr>
        <w:t xml:space="preserve"> </w:t>
      </w:r>
      <w:proofErr w:type="spellStart"/>
      <w:r w:rsidRPr="0029086C">
        <w:rPr>
          <w:lang w:val="en-US"/>
        </w:rPr>
        <w:t>OISABCPpost</w:t>
      </w:r>
      <w:proofErr w:type="spellEnd"/>
      <w:r w:rsidRPr="0029086C">
        <w:rPr>
          <w:lang w:val="en-US"/>
        </w:rPr>
        <w:t xml:space="preserve"> </w:t>
      </w:r>
      <w:proofErr w:type="spellStart"/>
      <w:r w:rsidRPr="0029086C">
        <w:rPr>
          <w:lang w:val="en-US"/>
        </w:rPr>
        <w:t>TEDABCPpost</w:t>
      </w:r>
      <w:proofErr w:type="spellEnd"/>
      <w:r w:rsidRPr="0029086C">
        <w:rPr>
          <w:lang w:val="en-US"/>
        </w:rPr>
        <w:t xml:space="preserve"> </w:t>
      </w:r>
      <w:proofErr w:type="spellStart"/>
      <w:r w:rsidRPr="0029086C">
        <w:rPr>
          <w:lang w:val="en-US"/>
        </w:rPr>
        <w:t>TEDOISpost</w:t>
      </w:r>
      <w:proofErr w:type="spellEnd"/>
    </w:p>
    <w:p w14:paraId="0ABE764F" w14:textId="77777777" w:rsidR="0029086C" w:rsidRPr="0029086C" w:rsidRDefault="0029086C" w:rsidP="000519C3">
      <w:pPr>
        <w:pStyle w:val="NoSpacing"/>
        <w:rPr>
          <w:lang w:val="en-US"/>
        </w:rPr>
      </w:pPr>
      <w:r w:rsidRPr="0029086C">
        <w:rPr>
          <w:lang w:val="en-US"/>
        </w:rPr>
        <w:t xml:space="preserve">graph combine </w:t>
      </w:r>
      <w:proofErr w:type="spellStart"/>
      <w:r w:rsidRPr="0029086C">
        <w:rPr>
          <w:lang w:val="en-US"/>
        </w:rPr>
        <w:t>ABCPSPRTpre</w:t>
      </w:r>
      <w:proofErr w:type="spellEnd"/>
      <w:r w:rsidRPr="0029086C">
        <w:rPr>
          <w:lang w:val="en-US"/>
        </w:rPr>
        <w:t xml:space="preserve"> </w:t>
      </w:r>
      <w:proofErr w:type="spellStart"/>
      <w:r w:rsidRPr="0029086C">
        <w:rPr>
          <w:lang w:val="en-US"/>
        </w:rPr>
        <w:t>ABCPSPRTdur</w:t>
      </w:r>
      <w:proofErr w:type="spellEnd"/>
      <w:r w:rsidRPr="0029086C">
        <w:rPr>
          <w:lang w:val="en-US"/>
        </w:rPr>
        <w:t xml:space="preserve"> </w:t>
      </w:r>
      <w:proofErr w:type="spellStart"/>
      <w:r w:rsidRPr="0029086C">
        <w:rPr>
          <w:lang w:val="en-US"/>
        </w:rPr>
        <w:t>ABCPSPRTpost</w:t>
      </w:r>
      <w:proofErr w:type="spellEnd"/>
    </w:p>
    <w:p w14:paraId="47CD7BF5" w14:textId="77777777" w:rsidR="0029086C" w:rsidRPr="0029086C" w:rsidRDefault="0029086C" w:rsidP="000519C3">
      <w:pPr>
        <w:pStyle w:val="NoSpacing"/>
        <w:rPr>
          <w:lang w:val="en-US"/>
        </w:rPr>
      </w:pPr>
      <w:r w:rsidRPr="0029086C">
        <w:rPr>
          <w:lang w:val="en-US"/>
        </w:rPr>
        <w:t>graph save Graph "F:\FinalWork\copy of continue\RES5 work\Combine(</w:t>
      </w:r>
      <w:proofErr w:type="spellStart"/>
      <w:r w:rsidRPr="0029086C">
        <w:rPr>
          <w:lang w:val="en-US"/>
        </w:rPr>
        <w:t>pretopost</w:t>
      </w:r>
      <w:proofErr w:type="spellEnd"/>
      <w:r w:rsidRPr="0029086C">
        <w:rPr>
          <w:lang w:val="en-US"/>
        </w:rPr>
        <w:t>)</w:t>
      </w:r>
      <w:proofErr w:type="spellStart"/>
      <w:r w:rsidRPr="0029086C">
        <w:rPr>
          <w:lang w:val="en-US"/>
        </w:rPr>
        <w:t>ABCPSPRT.gph</w:t>
      </w:r>
      <w:proofErr w:type="spellEnd"/>
      <w:r w:rsidRPr="0029086C">
        <w:rPr>
          <w:lang w:val="en-US"/>
        </w:rPr>
        <w:t>"</w:t>
      </w:r>
    </w:p>
    <w:p w14:paraId="311935E1" w14:textId="77777777" w:rsidR="0029086C" w:rsidRPr="0029086C" w:rsidRDefault="0029086C" w:rsidP="000519C3">
      <w:pPr>
        <w:pStyle w:val="NoSpacing"/>
        <w:rPr>
          <w:lang w:val="en-US"/>
        </w:rPr>
      </w:pPr>
      <w:r w:rsidRPr="0029086C">
        <w:rPr>
          <w:lang w:val="en-US"/>
        </w:rPr>
        <w:t>predict H*, variance</w:t>
      </w:r>
    </w:p>
    <w:p w14:paraId="2F34C458" w14:textId="77777777" w:rsidR="0029086C" w:rsidRPr="0029086C" w:rsidRDefault="0029086C" w:rsidP="000519C3">
      <w:pPr>
        <w:pStyle w:val="NoSpacing"/>
        <w:rPr>
          <w:lang w:val="en-US"/>
        </w:rPr>
      </w:pPr>
      <w:r w:rsidRPr="0029086C">
        <w:rPr>
          <w:lang w:val="en-US"/>
        </w:rPr>
        <w:t>estimates store Vol</w:t>
      </w:r>
    </w:p>
    <w:p w14:paraId="165D2203" w14:textId="77777777" w:rsidR="0029086C" w:rsidRPr="0029086C" w:rsidRDefault="0029086C" w:rsidP="000519C3">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H_SPRT_SPRT), </w:t>
      </w:r>
      <w:proofErr w:type="gramStart"/>
      <w:r w:rsidRPr="0029086C">
        <w:rPr>
          <w:lang w:val="en-US"/>
        </w:rPr>
        <w:t>title(</w:t>
      </w:r>
      <w:proofErr w:type="gramEnd"/>
      <w:r w:rsidRPr="0029086C">
        <w:rPr>
          <w:lang w:val="en-US"/>
        </w:rPr>
        <w:t>"VARIANCE SPRT ") name(HSPRT)</w:t>
      </w:r>
    </w:p>
    <w:p w14:paraId="0DEE8FDB" w14:textId="77777777" w:rsidR="0029086C" w:rsidRPr="0029086C" w:rsidRDefault="0029086C" w:rsidP="000519C3">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H_ABCP_ABCP), </w:t>
      </w:r>
      <w:proofErr w:type="gramStart"/>
      <w:r w:rsidRPr="0029086C">
        <w:rPr>
          <w:lang w:val="en-US"/>
        </w:rPr>
        <w:t>title(</w:t>
      </w:r>
      <w:proofErr w:type="gramEnd"/>
      <w:r w:rsidRPr="0029086C">
        <w:rPr>
          <w:lang w:val="en-US"/>
        </w:rPr>
        <w:t>"VARIANCE ABCP ") name(HABCP)</w:t>
      </w:r>
    </w:p>
    <w:p w14:paraId="141171F8" w14:textId="77777777" w:rsidR="0029086C" w:rsidRPr="0029086C" w:rsidRDefault="0029086C" w:rsidP="000519C3">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H_OIS_OIS), </w:t>
      </w:r>
      <w:proofErr w:type="gramStart"/>
      <w:r w:rsidRPr="0029086C">
        <w:rPr>
          <w:lang w:val="en-US"/>
        </w:rPr>
        <w:t>title(</w:t>
      </w:r>
      <w:proofErr w:type="gramEnd"/>
      <w:r w:rsidRPr="0029086C">
        <w:rPr>
          <w:lang w:val="en-US"/>
        </w:rPr>
        <w:t>"VARIANCE OIS ") name(HOIS)</w:t>
      </w:r>
    </w:p>
    <w:p w14:paraId="7C4DED6A" w14:textId="77777777" w:rsidR="0029086C" w:rsidRPr="0029086C" w:rsidRDefault="0029086C" w:rsidP="000519C3">
      <w:pPr>
        <w:pStyle w:val="NoSpacing"/>
        <w:rPr>
          <w:lang w:val="en-US"/>
        </w:rPr>
      </w:pPr>
      <w:proofErr w:type="spellStart"/>
      <w:r w:rsidRPr="0029086C">
        <w:rPr>
          <w:lang w:val="en-US"/>
        </w:rPr>
        <w:t>twoway</w:t>
      </w:r>
      <w:proofErr w:type="spellEnd"/>
      <w:r w:rsidRPr="0029086C">
        <w:rPr>
          <w:lang w:val="en-US"/>
        </w:rPr>
        <w:t xml:space="preserve"> (</w:t>
      </w:r>
      <w:proofErr w:type="spellStart"/>
      <w:r w:rsidRPr="0029086C">
        <w:rPr>
          <w:lang w:val="en-US"/>
        </w:rPr>
        <w:t>tsline</w:t>
      </w:r>
      <w:proofErr w:type="spellEnd"/>
      <w:r w:rsidRPr="0029086C">
        <w:rPr>
          <w:lang w:val="en-US"/>
        </w:rPr>
        <w:t xml:space="preserve"> H_TED_TED), </w:t>
      </w:r>
      <w:proofErr w:type="gramStart"/>
      <w:r w:rsidRPr="0029086C">
        <w:rPr>
          <w:lang w:val="en-US"/>
        </w:rPr>
        <w:t>title(</w:t>
      </w:r>
      <w:proofErr w:type="gramEnd"/>
      <w:r w:rsidRPr="0029086C">
        <w:rPr>
          <w:lang w:val="en-US"/>
        </w:rPr>
        <w:t>"VARIANCE TED ") name(HTED)</w:t>
      </w:r>
    </w:p>
    <w:p w14:paraId="5499EFCC" w14:textId="77777777" w:rsidR="0029086C" w:rsidRPr="0029086C" w:rsidRDefault="0029086C" w:rsidP="000519C3">
      <w:pPr>
        <w:pStyle w:val="NoSpacing"/>
        <w:rPr>
          <w:lang w:val="en-US"/>
        </w:rPr>
      </w:pPr>
      <w:r w:rsidRPr="0029086C">
        <w:rPr>
          <w:lang w:val="en-US"/>
        </w:rPr>
        <w:t>graph combine HSPRT HABCP HOIS HTED</w:t>
      </w:r>
    </w:p>
    <w:p w14:paraId="30913B5A" w14:textId="77777777" w:rsidR="0029086C" w:rsidRPr="0029086C" w:rsidRDefault="0029086C" w:rsidP="000519C3">
      <w:pPr>
        <w:pStyle w:val="NoSpacing"/>
        <w:rPr>
          <w:lang w:val="en-US"/>
        </w:rPr>
      </w:pPr>
      <w:r w:rsidRPr="0029086C">
        <w:rPr>
          <w:lang w:val="en-US"/>
        </w:rPr>
        <w:t>log close</w:t>
      </w:r>
    </w:p>
    <w:p w14:paraId="2FE3BEEF" w14:textId="56868B9E" w:rsidR="0029086C" w:rsidRDefault="0029086C" w:rsidP="000519C3">
      <w:pPr>
        <w:pStyle w:val="NoSpacing"/>
        <w:rPr>
          <w:lang w:val="en-US"/>
        </w:rPr>
      </w:pPr>
      <w:r w:rsidRPr="0029086C">
        <w:rPr>
          <w:lang w:val="en-US"/>
        </w:rPr>
        <w:t>save "F:\FinalWork\copy of continue\RES5 work\RES5workoutput.dta"</w:t>
      </w:r>
    </w:p>
    <w:p w14:paraId="02A6FE00" w14:textId="75CCA37D" w:rsidR="007B399B" w:rsidRDefault="007B399B" w:rsidP="0029086C">
      <w:pPr>
        <w:rPr>
          <w:lang w:val="en-US"/>
        </w:rPr>
      </w:pPr>
    </w:p>
    <w:p w14:paraId="46A8DF35" w14:textId="50548CFC" w:rsidR="007B399B" w:rsidRDefault="007B399B" w:rsidP="0029086C">
      <w:pPr>
        <w:rPr>
          <w:lang w:val="en-US"/>
        </w:rPr>
      </w:pPr>
    </w:p>
    <w:p w14:paraId="30884EEC" w14:textId="77777777" w:rsidR="00037AC3" w:rsidRDefault="00037AC3" w:rsidP="0029086C">
      <w:pPr>
        <w:rPr>
          <w:lang w:val="en-US"/>
        </w:rPr>
      </w:pPr>
    </w:p>
    <w:p w14:paraId="78487E6F" w14:textId="77777777" w:rsidR="00037AC3" w:rsidRDefault="00037AC3" w:rsidP="0029086C">
      <w:pPr>
        <w:rPr>
          <w:lang w:val="en-US"/>
        </w:rPr>
      </w:pPr>
    </w:p>
    <w:p w14:paraId="10276C34" w14:textId="77777777" w:rsidR="00037AC3" w:rsidRDefault="00037AC3" w:rsidP="0029086C">
      <w:pPr>
        <w:rPr>
          <w:lang w:val="en-US"/>
        </w:rPr>
      </w:pPr>
    </w:p>
    <w:p w14:paraId="536EAE61" w14:textId="77777777" w:rsidR="00037AC3" w:rsidRDefault="00037AC3" w:rsidP="0029086C">
      <w:pPr>
        <w:rPr>
          <w:lang w:val="en-US"/>
        </w:rPr>
      </w:pPr>
    </w:p>
    <w:p w14:paraId="58248E83" w14:textId="77777777" w:rsidR="00037AC3" w:rsidRDefault="00037AC3" w:rsidP="0029086C">
      <w:pPr>
        <w:rPr>
          <w:lang w:val="en-US"/>
        </w:rPr>
      </w:pPr>
    </w:p>
    <w:p w14:paraId="0D7C182D" w14:textId="77777777" w:rsidR="00037AC3" w:rsidRDefault="00037AC3" w:rsidP="0029086C">
      <w:pPr>
        <w:rPr>
          <w:lang w:val="en-US"/>
        </w:rPr>
      </w:pPr>
    </w:p>
    <w:p w14:paraId="6CB82EFE" w14:textId="77777777" w:rsidR="00037AC3" w:rsidRDefault="00037AC3" w:rsidP="0029086C">
      <w:pPr>
        <w:rPr>
          <w:lang w:val="en-US"/>
        </w:rPr>
      </w:pPr>
    </w:p>
    <w:p w14:paraId="70EFAC66" w14:textId="77777777" w:rsidR="00037AC3" w:rsidRDefault="00037AC3" w:rsidP="0029086C">
      <w:pPr>
        <w:rPr>
          <w:lang w:val="en-US"/>
        </w:rPr>
      </w:pPr>
    </w:p>
    <w:p w14:paraId="35B5B513" w14:textId="77777777" w:rsidR="00037AC3" w:rsidRDefault="00037AC3" w:rsidP="0029086C">
      <w:pPr>
        <w:rPr>
          <w:lang w:val="en-US"/>
        </w:rPr>
      </w:pPr>
    </w:p>
    <w:p w14:paraId="16F062A9" w14:textId="77777777" w:rsidR="00037AC3" w:rsidRDefault="00037AC3" w:rsidP="0029086C">
      <w:pPr>
        <w:rPr>
          <w:lang w:val="en-US"/>
        </w:rPr>
      </w:pPr>
    </w:p>
    <w:p w14:paraId="1F05AF2F" w14:textId="77777777" w:rsidR="00037AC3" w:rsidRDefault="00037AC3" w:rsidP="0029086C">
      <w:pPr>
        <w:rPr>
          <w:lang w:val="en-US"/>
        </w:rPr>
      </w:pPr>
    </w:p>
    <w:p w14:paraId="381E63FC" w14:textId="77777777" w:rsidR="00037AC3" w:rsidRDefault="00037AC3" w:rsidP="0029086C">
      <w:pPr>
        <w:rPr>
          <w:lang w:val="en-US"/>
        </w:rPr>
      </w:pPr>
    </w:p>
    <w:p w14:paraId="00EE8016" w14:textId="77777777" w:rsidR="00037AC3" w:rsidRDefault="00037AC3" w:rsidP="0029086C">
      <w:pPr>
        <w:rPr>
          <w:lang w:val="en-US"/>
        </w:rPr>
      </w:pPr>
    </w:p>
    <w:p w14:paraId="58B46EAF" w14:textId="77777777" w:rsidR="00037AC3" w:rsidRDefault="00037AC3" w:rsidP="0029086C">
      <w:pPr>
        <w:rPr>
          <w:lang w:val="en-US"/>
        </w:rPr>
      </w:pPr>
    </w:p>
    <w:p w14:paraId="1D070D3D" w14:textId="77777777" w:rsidR="00037AC3" w:rsidRDefault="00037AC3" w:rsidP="0029086C">
      <w:pPr>
        <w:rPr>
          <w:lang w:val="en-US"/>
        </w:rPr>
      </w:pPr>
    </w:p>
    <w:p w14:paraId="32939E0D" w14:textId="77777777" w:rsidR="00037AC3" w:rsidRDefault="00037AC3" w:rsidP="0029086C">
      <w:pPr>
        <w:rPr>
          <w:lang w:val="en-US"/>
        </w:rPr>
      </w:pPr>
    </w:p>
    <w:p w14:paraId="111CE42C" w14:textId="77777777" w:rsidR="007540FD" w:rsidRPr="00DE5D41" w:rsidRDefault="007540FD" w:rsidP="007540FD">
      <w:pPr>
        <w:autoSpaceDE w:val="0"/>
        <w:autoSpaceDN w:val="0"/>
        <w:adjustRightInd w:val="0"/>
        <w:spacing w:after="0" w:line="240" w:lineRule="auto"/>
        <w:rPr>
          <w:rFonts w:ascii="Courier New" w:hAnsi="Courier New" w:cs="Courier New"/>
          <w:b/>
          <w:color w:val="548DD4" w:themeColor="text2" w:themeTint="99"/>
          <w:sz w:val="20"/>
          <w:szCs w:val="20"/>
        </w:rPr>
      </w:pPr>
      <w:r w:rsidRPr="00DE5D41">
        <w:rPr>
          <w:rFonts w:ascii="Courier New" w:hAnsi="Courier New" w:cs="Courier New"/>
          <w:b/>
          <w:color w:val="548DD4" w:themeColor="text2" w:themeTint="99"/>
          <w:sz w:val="20"/>
          <w:szCs w:val="20"/>
        </w:rPr>
        <w:t xml:space="preserve">DCC Inference </w:t>
      </w:r>
    </w:p>
    <w:p w14:paraId="1C6A260E" w14:textId="77777777" w:rsidR="007540FD" w:rsidRDefault="007540FD" w:rsidP="007540FD">
      <w:pPr>
        <w:autoSpaceDE w:val="0"/>
        <w:autoSpaceDN w:val="0"/>
        <w:adjustRightInd w:val="0"/>
        <w:spacing w:after="0" w:line="240" w:lineRule="auto"/>
        <w:rPr>
          <w:rFonts w:ascii="Courier New" w:hAnsi="Courier New" w:cs="Courier New"/>
          <w:color w:val="000000"/>
          <w:sz w:val="20"/>
          <w:szCs w:val="20"/>
        </w:rPr>
      </w:pPr>
    </w:p>
    <w:p w14:paraId="2F42B82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k,~</w:t>
      </w:r>
      <w:proofErr w:type="gramEnd"/>
      <w:r>
        <w:rPr>
          <w:rFonts w:ascii="Courier New" w:hAnsi="Courier New" w:cs="Courier New"/>
          <w:color w:val="000000"/>
          <w:sz w:val="20"/>
          <w:szCs w:val="20"/>
        </w:rPr>
        <w:t>,T</w:t>
      </w:r>
      <w:proofErr w:type="spellEnd"/>
      <w:r>
        <w:rPr>
          <w:rFonts w:ascii="Courier New" w:hAnsi="Courier New" w:cs="Courier New"/>
          <w:color w:val="000000"/>
          <w:sz w:val="20"/>
          <w:szCs w:val="20"/>
        </w:rPr>
        <w:t>] = size(data);</w:t>
      </w:r>
    </w:p>
    <w:p w14:paraId="2D9FC4E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Parse parameters</w:t>
      </w:r>
    </w:p>
    <w:p w14:paraId="65519AB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count = 0;</w:t>
      </w:r>
    </w:p>
    <w:p w14:paraId="06AA8082"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1:k</w:t>
      </w:r>
      <w:proofErr w:type="gramEnd"/>
    </w:p>
    <w:p w14:paraId="5610BD03"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 = univariate{</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5B30085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count = count + </w:t>
      </w:r>
      <w:proofErr w:type="gramStart"/>
      <w:r>
        <w:rPr>
          <w:rFonts w:ascii="Courier New" w:hAnsi="Courier New" w:cs="Courier New"/>
          <w:color w:val="000000"/>
          <w:sz w:val="20"/>
          <w:szCs w:val="20"/>
        </w:rPr>
        <w:t>u.p</w:t>
      </w:r>
      <w:proofErr w:type="gramEnd"/>
      <w:r>
        <w:rPr>
          <w:rFonts w:ascii="Courier New" w:hAnsi="Courier New" w:cs="Courier New"/>
          <w:color w:val="000000"/>
          <w:sz w:val="20"/>
          <w:szCs w:val="20"/>
        </w:rPr>
        <w:t>+u.o+u.q+1;</w:t>
      </w:r>
    </w:p>
    <w:p w14:paraId="5CBD9D5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71491BD7"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garchParameters</w:t>
      </w:r>
      <w:proofErr w:type="spellEnd"/>
      <w:r>
        <w:rPr>
          <w:rFonts w:ascii="Courier New" w:hAnsi="Courier New" w:cs="Courier New"/>
          <w:color w:val="000000"/>
          <w:sz w:val="20"/>
          <w:szCs w:val="20"/>
        </w:rPr>
        <w:t xml:space="preserve"> = parameters(</w:t>
      </w:r>
      <w:proofErr w:type="gramStart"/>
      <w:r>
        <w:rPr>
          <w:rFonts w:ascii="Courier New" w:hAnsi="Courier New" w:cs="Courier New"/>
          <w:color w:val="000000"/>
          <w:sz w:val="20"/>
          <w:szCs w:val="20"/>
        </w:rPr>
        <w:t>1:count</w:t>
      </w:r>
      <w:proofErr w:type="gramEnd"/>
      <w:r>
        <w:rPr>
          <w:rFonts w:ascii="Courier New" w:hAnsi="Courier New" w:cs="Courier New"/>
          <w:color w:val="000000"/>
          <w:sz w:val="20"/>
          <w:szCs w:val="20"/>
        </w:rPr>
        <w:t>);</w:t>
      </w:r>
    </w:p>
    <w:p w14:paraId="1CBE0B22"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offset = count;</w:t>
      </w:r>
    </w:p>
    <w:p w14:paraId="41BDCCE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 is next</w:t>
      </w:r>
    </w:p>
    <w:p w14:paraId="296B751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count = k*(k-1)/2;</w:t>
      </w:r>
    </w:p>
    <w:p w14:paraId="1A76E64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R = </w:t>
      </w:r>
      <w:proofErr w:type="spellStart"/>
      <w:r>
        <w:rPr>
          <w:rFonts w:ascii="Courier New" w:hAnsi="Courier New" w:cs="Courier New"/>
          <w:color w:val="000000"/>
          <w:sz w:val="20"/>
          <w:szCs w:val="20"/>
        </w:rPr>
        <w:t>corr_</w:t>
      </w:r>
      <w:proofErr w:type="gramStart"/>
      <w:r>
        <w:rPr>
          <w:rFonts w:ascii="Courier New" w:hAnsi="Courier New" w:cs="Courier New"/>
          <w:color w:val="000000"/>
          <w:sz w:val="20"/>
          <w:szCs w:val="20"/>
        </w:rPr>
        <w:t>ivech</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parameters(offset + (1:count)));</w:t>
      </w:r>
    </w:p>
    <w:p w14:paraId="5E6C976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offset = offset + count;</w:t>
      </w:r>
    </w:p>
    <w:p w14:paraId="06F9C01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l&gt;0</w:t>
      </w:r>
    </w:p>
    <w:p w14:paraId="364BBCA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count = k*(k+1)/2;</w:t>
      </w:r>
    </w:p>
    <w:p w14:paraId="12911B4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 = </w:t>
      </w:r>
      <w:proofErr w:type="spellStart"/>
      <w:r>
        <w:rPr>
          <w:rFonts w:ascii="Courier New" w:hAnsi="Courier New" w:cs="Courier New"/>
          <w:color w:val="000000"/>
          <w:sz w:val="20"/>
          <w:szCs w:val="20"/>
        </w:rPr>
        <w:t>ivech</w:t>
      </w:r>
      <w:proofErr w:type="spellEnd"/>
      <w:r>
        <w:rPr>
          <w:rFonts w:ascii="Courier New" w:hAnsi="Courier New" w:cs="Courier New"/>
          <w:color w:val="000000"/>
          <w:sz w:val="20"/>
          <w:szCs w:val="20"/>
        </w:rPr>
        <w:t>(parameters(offset+(</w:t>
      </w:r>
      <w:proofErr w:type="gramStart"/>
      <w:r>
        <w:rPr>
          <w:rFonts w:ascii="Courier New" w:hAnsi="Courier New" w:cs="Courier New"/>
          <w:color w:val="000000"/>
          <w:sz w:val="20"/>
          <w:szCs w:val="20"/>
        </w:rPr>
        <w:t>1:count</w:t>
      </w:r>
      <w:proofErr w:type="gramEnd"/>
      <w:r>
        <w:rPr>
          <w:rFonts w:ascii="Courier New" w:hAnsi="Courier New" w:cs="Courier New"/>
          <w:color w:val="000000"/>
          <w:sz w:val="20"/>
          <w:szCs w:val="20"/>
        </w:rPr>
        <w:t>)));</w:t>
      </w:r>
    </w:p>
    <w:p w14:paraId="63D026A4"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4367561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6E5E9B80"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H = </w:t>
      </w:r>
      <w:proofErr w:type="spellStart"/>
      <w:r>
        <w:rPr>
          <w:rFonts w:ascii="Courier New" w:hAnsi="Courier New" w:cs="Courier New"/>
          <w:color w:val="000000"/>
          <w:sz w:val="20"/>
          <w:szCs w:val="20"/>
        </w:rPr>
        <w:t>dcc_reconstruct_variance</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garchParameters,univariate</w:t>
      </w:r>
      <w:proofErr w:type="spellEnd"/>
      <w:proofErr w:type="gramEnd"/>
      <w:r>
        <w:rPr>
          <w:rFonts w:ascii="Courier New" w:hAnsi="Courier New" w:cs="Courier New"/>
          <w:color w:val="000000"/>
          <w:sz w:val="20"/>
          <w:szCs w:val="20"/>
        </w:rPr>
        <w:t>);</w:t>
      </w:r>
    </w:p>
    <w:p w14:paraId="3E8073F6"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stdData</w:t>
      </w:r>
      <w:proofErr w:type="spellEnd"/>
      <w:r>
        <w:rPr>
          <w:rFonts w:ascii="Courier New" w:hAnsi="Courier New" w:cs="Courier New"/>
          <w:color w:val="000000"/>
          <w:sz w:val="20"/>
          <w:szCs w:val="20"/>
        </w:rPr>
        <w:t xml:space="preserve"> = zeros(</w:t>
      </w:r>
      <w:proofErr w:type="spellStart"/>
      <w:proofErr w:type="gramStart"/>
      <w:r>
        <w:rPr>
          <w:rFonts w:ascii="Courier New" w:hAnsi="Courier New" w:cs="Courier New"/>
          <w:color w:val="000000"/>
          <w:sz w:val="20"/>
          <w:szCs w:val="20"/>
        </w:rPr>
        <w:t>k,k</w:t>
      </w:r>
      <w:proofErr w:type="gramEnd"/>
      <w:r>
        <w:rPr>
          <w:rFonts w:ascii="Courier New" w:hAnsi="Courier New" w:cs="Courier New"/>
          <w:color w:val="000000"/>
          <w:sz w:val="20"/>
          <w:szCs w:val="20"/>
        </w:rPr>
        <w:t>,T</w:t>
      </w:r>
      <w:proofErr w:type="spellEnd"/>
      <w:r>
        <w:rPr>
          <w:rFonts w:ascii="Courier New" w:hAnsi="Courier New" w:cs="Courier New"/>
          <w:color w:val="000000"/>
          <w:sz w:val="20"/>
          <w:szCs w:val="20"/>
        </w:rPr>
        <w:t>);</w:t>
      </w:r>
    </w:p>
    <w:p w14:paraId="60ED84F3"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stdDataAsym</w:t>
      </w:r>
      <w:proofErr w:type="spellEnd"/>
      <w:r>
        <w:rPr>
          <w:rFonts w:ascii="Courier New" w:hAnsi="Courier New" w:cs="Courier New"/>
          <w:color w:val="000000"/>
          <w:sz w:val="20"/>
          <w:szCs w:val="20"/>
        </w:rPr>
        <w:t xml:space="preserve"> = zeros(</w:t>
      </w:r>
      <w:proofErr w:type="spellStart"/>
      <w:proofErr w:type="gramStart"/>
      <w:r>
        <w:rPr>
          <w:rFonts w:ascii="Courier New" w:hAnsi="Courier New" w:cs="Courier New"/>
          <w:color w:val="000000"/>
          <w:sz w:val="20"/>
          <w:szCs w:val="20"/>
        </w:rPr>
        <w:t>k,k</w:t>
      </w:r>
      <w:proofErr w:type="gramEnd"/>
      <w:r>
        <w:rPr>
          <w:rFonts w:ascii="Courier New" w:hAnsi="Courier New" w:cs="Courier New"/>
          <w:color w:val="000000"/>
          <w:sz w:val="20"/>
          <w:szCs w:val="20"/>
        </w:rPr>
        <w:t>,T</w:t>
      </w:r>
      <w:proofErr w:type="spellEnd"/>
      <w:r>
        <w:rPr>
          <w:rFonts w:ascii="Courier New" w:hAnsi="Courier New" w:cs="Courier New"/>
          <w:color w:val="000000"/>
          <w:sz w:val="20"/>
          <w:szCs w:val="20"/>
        </w:rPr>
        <w:t>);</w:t>
      </w:r>
    </w:p>
    <w:p w14:paraId="13123D4A"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t=</w:t>
      </w:r>
      <w:proofErr w:type="gramStart"/>
      <w:r>
        <w:rPr>
          <w:rFonts w:ascii="Courier New" w:hAnsi="Courier New" w:cs="Courier New"/>
          <w:color w:val="000000"/>
          <w:sz w:val="20"/>
          <w:szCs w:val="20"/>
        </w:rPr>
        <w:t>1:T</w:t>
      </w:r>
      <w:proofErr w:type="gramEnd"/>
    </w:p>
    <w:p w14:paraId="3DC5FFA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h = </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H(t,:));</w:t>
      </w:r>
    </w:p>
    <w:p w14:paraId="6FED4CE2"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stdData</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t) = data(:,:,t)./(h'*h);</w:t>
      </w:r>
    </w:p>
    <w:p w14:paraId="7DAB622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stdDataAsym</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 = </w:t>
      </w:r>
      <w:proofErr w:type="spellStart"/>
      <w:r>
        <w:rPr>
          <w:rFonts w:ascii="Courier New" w:hAnsi="Courier New" w:cs="Courier New"/>
          <w:color w:val="000000"/>
          <w:sz w:val="20"/>
          <w:szCs w:val="20"/>
        </w:rPr>
        <w:t>dataAsym</w:t>
      </w:r>
      <w:proofErr w:type="spellEnd"/>
      <w:r>
        <w:rPr>
          <w:rFonts w:ascii="Courier New" w:hAnsi="Courier New" w:cs="Courier New"/>
          <w:color w:val="000000"/>
          <w:sz w:val="20"/>
          <w:szCs w:val="20"/>
        </w:rPr>
        <w:t>(:,:,t)./(h'*h);</w:t>
      </w:r>
    </w:p>
    <w:p w14:paraId="32E23DBA"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2C66D94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00A9F79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scales = </w:t>
      </w:r>
      <w:proofErr w:type="spellStart"/>
      <w:r>
        <w:rPr>
          <w:rFonts w:ascii="Courier New" w:hAnsi="Courier New" w:cs="Courier New"/>
          <w:color w:val="000000"/>
          <w:sz w:val="20"/>
          <w:szCs w:val="20"/>
        </w:rPr>
        <w:t>diag</w:t>
      </w:r>
      <w:proofErr w:type="spellEnd"/>
      <w:r>
        <w:rPr>
          <w:rFonts w:ascii="Courier New" w:hAnsi="Courier New" w:cs="Courier New"/>
          <w:color w:val="000000"/>
          <w:sz w:val="20"/>
          <w:szCs w:val="20"/>
        </w:rPr>
        <w:t>(mean(stdData,3));</w:t>
      </w:r>
    </w:p>
    <w:p w14:paraId="138C5FA8"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 xml:space="preserve"> = zeros(T,1);</w:t>
      </w:r>
    </w:p>
    <w:p w14:paraId="0B3E76E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j=</w:t>
      </w:r>
      <w:proofErr w:type="gramStart"/>
      <w:r>
        <w:rPr>
          <w:rFonts w:ascii="Courier New" w:hAnsi="Courier New" w:cs="Courier New"/>
          <w:color w:val="000000"/>
          <w:sz w:val="20"/>
          <w:szCs w:val="20"/>
        </w:rPr>
        <w:t>1:k</w:t>
      </w:r>
      <w:proofErr w:type="gramEnd"/>
      <w:r>
        <w:rPr>
          <w:rFonts w:ascii="Courier New" w:hAnsi="Courier New" w:cs="Courier New"/>
          <w:color w:val="000000"/>
          <w:sz w:val="20"/>
          <w:szCs w:val="20"/>
        </w:rPr>
        <w:t xml:space="preserve">-1 </w:t>
      </w:r>
      <w:r>
        <w:rPr>
          <w:rFonts w:ascii="Courier New" w:hAnsi="Courier New" w:cs="Courier New"/>
          <w:color w:val="228B22"/>
          <w:sz w:val="20"/>
          <w:szCs w:val="20"/>
        </w:rPr>
        <w:t>% Cols</w:t>
      </w:r>
    </w:p>
    <w:p w14:paraId="7664CDE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=j+</w:t>
      </w:r>
      <w:proofErr w:type="gramStart"/>
      <w:r>
        <w:rPr>
          <w:rFonts w:ascii="Courier New" w:hAnsi="Courier New" w:cs="Courier New"/>
          <w:color w:val="000000"/>
          <w:sz w:val="20"/>
          <w:szCs w:val="20"/>
        </w:rPr>
        <w:t>1:k</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Rows</w:t>
      </w:r>
    </w:p>
    <w:p w14:paraId="143C05C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scale = sqrt(scales(</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)*scales(j));</w:t>
      </w:r>
    </w:p>
    <w:p w14:paraId="5DB65FE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errors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stdData</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i,j</w:t>
      </w:r>
      <w:proofErr w:type="spellEnd"/>
      <w:r>
        <w:rPr>
          <w:rFonts w:ascii="Courier New" w:hAnsi="Courier New" w:cs="Courier New"/>
          <w:color w:val="000000"/>
          <w:sz w:val="20"/>
          <w:szCs w:val="20"/>
        </w:rPr>
        <w:t>,:))/scale - R(</w:t>
      </w:r>
      <w:proofErr w:type="spellStart"/>
      <w:r>
        <w:rPr>
          <w:rFonts w:ascii="Courier New" w:hAnsi="Courier New" w:cs="Courier New"/>
          <w:color w:val="000000"/>
          <w:sz w:val="20"/>
          <w:szCs w:val="20"/>
        </w:rPr>
        <w:t>i,j</w:t>
      </w:r>
      <w:proofErr w:type="spellEnd"/>
      <w:r>
        <w:rPr>
          <w:rFonts w:ascii="Courier New" w:hAnsi="Courier New" w:cs="Courier New"/>
          <w:color w:val="000000"/>
          <w:sz w:val="20"/>
          <w:szCs w:val="20"/>
        </w:rPr>
        <w:t>);</w:t>
      </w:r>
    </w:p>
    <w:p w14:paraId="388A457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 xml:space="preserve"> + 0.5*(</w:t>
      </w:r>
      <w:proofErr w:type="gramStart"/>
      <w:r>
        <w:rPr>
          <w:rFonts w:ascii="Courier New" w:hAnsi="Courier New" w:cs="Courier New"/>
          <w:color w:val="000000"/>
          <w:sz w:val="20"/>
          <w:szCs w:val="20"/>
        </w:rPr>
        <w:t>errors.^</w:t>
      </w:r>
      <w:proofErr w:type="gramEnd"/>
      <w:r>
        <w:rPr>
          <w:rFonts w:ascii="Courier New" w:hAnsi="Courier New" w:cs="Courier New"/>
          <w:color w:val="000000"/>
          <w:sz w:val="20"/>
          <w:szCs w:val="20"/>
        </w:rPr>
        <w:t>2);</w:t>
      </w:r>
    </w:p>
    <w:p w14:paraId="2B97953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71440E2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5AE10B8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0684D80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l&gt;0</w:t>
      </w:r>
    </w:p>
    <w:p w14:paraId="31610433"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w:t>
      </w:r>
      <w:proofErr w:type="gramStart"/>
      <w:r>
        <w:rPr>
          <w:rFonts w:ascii="Courier New" w:hAnsi="Courier New" w:cs="Courier New"/>
          <w:color w:val="000000"/>
          <w:sz w:val="20"/>
          <w:szCs w:val="20"/>
        </w:rPr>
        <w:t>1:k</w:t>
      </w:r>
      <w:proofErr w:type="gramEnd"/>
    </w:p>
    <w:p w14:paraId="71EAE913"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j:k</w:t>
      </w:r>
      <w:proofErr w:type="gramEnd"/>
    </w:p>
    <w:p w14:paraId="5BFC61D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errors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stdDataAsym</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i,j</w:t>
      </w:r>
      <w:proofErr w:type="spellEnd"/>
      <w:r>
        <w:rPr>
          <w:rFonts w:ascii="Courier New" w:hAnsi="Courier New" w:cs="Courier New"/>
          <w:color w:val="000000"/>
          <w:sz w:val="20"/>
          <w:szCs w:val="20"/>
        </w:rPr>
        <w:t>,:)) - N(</w:t>
      </w:r>
      <w:proofErr w:type="spellStart"/>
      <w:r>
        <w:rPr>
          <w:rFonts w:ascii="Courier New" w:hAnsi="Courier New" w:cs="Courier New"/>
          <w:color w:val="000000"/>
          <w:sz w:val="20"/>
          <w:szCs w:val="20"/>
        </w:rPr>
        <w:t>i,j</w:t>
      </w:r>
      <w:proofErr w:type="spellEnd"/>
      <w:r>
        <w:rPr>
          <w:rFonts w:ascii="Courier New" w:hAnsi="Courier New" w:cs="Courier New"/>
          <w:color w:val="000000"/>
          <w:sz w:val="20"/>
          <w:szCs w:val="20"/>
        </w:rPr>
        <w:t>);</w:t>
      </w:r>
    </w:p>
    <w:p w14:paraId="7C42F462"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 xml:space="preserve"> + 0.5*(</w:t>
      </w:r>
      <w:proofErr w:type="gramStart"/>
      <w:r>
        <w:rPr>
          <w:rFonts w:ascii="Courier New" w:hAnsi="Courier New" w:cs="Courier New"/>
          <w:color w:val="000000"/>
          <w:sz w:val="20"/>
          <w:szCs w:val="20"/>
        </w:rPr>
        <w:t>errors.^</w:t>
      </w:r>
      <w:proofErr w:type="gramEnd"/>
      <w:r>
        <w:rPr>
          <w:rFonts w:ascii="Courier New" w:hAnsi="Courier New" w:cs="Courier New"/>
          <w:color w:val="000000"/>
          <w:sz w:val="20"/>
          <w:szCs w:val="20"/>
        </w:rPr>
        <w:t>2);</w:t>
      </w:r>
    </w:p>
    <w:p w14:paraId="2FA64E0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A0C819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6CD555C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4F4882C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2BCE74F2"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obj</w:t>
      </w:r>
      <w:proofErr w:type="spellEnd"/>
      <w:r>
        <w:rPr>
          <w:rFonts w:ascii="Courier New" w:hAnsi="Courier New" w:cs="Courier New"/>
          <w:color w:val="000000"/>
          <w:sz w:val="20"/>
          <w:szCs w:val="20"/>
        </w:rPr>
        <w:t xml:space="preserve"> = sum(</w:t>
      </w:r>
      <w:proofErr w:type="spellStart"/>
      <w:r>
        <w:rPr>
          <w:rFonts w:ascii="Courier New" w:hAnsi="Courier New" w:cs="Courier New"/>
          <w:color w:val="000000"/>
          <w:sz w:val="20"/>
          <w:szCs w:val="20"/>
        </w:rPr>
        <w:t>objs</w:t>
      </w:r>
      <w:proofErr w:type="spellEnd"/>
      <w:r>
        <w:rPr>
          <w:rFonts w:ascii="Courier New" w:hAnsi="Courier New" w:cs="Courier New"/>
          <w:color w:val="000000"/>
          <w:sz w:val="20"/>
          <w:szCs w:val="20"/>
        </w:rPr>
        <w:t>);</w:t>
      </w:r>
    </w:p>
    <w:p w14:paraId="2A69418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303BB2D" w14:textId="77777777" w:rsidR="007540FD" w:rsidRDefault="007540FD" w:rsidP="007540FD">
      <w:pPr>
        <w:autoSpaceDE w:val="0"/>
        <w:autoSpaceDN w:val="0"/>
        <w:adjustRightInd w:val="0"/>
        <w:spacing w:after="0" w:line="240" w:lineRule="auto"/>
        <w:rPr>
          <w:rFonts w:ascii="Courier New" w:hAnsi="Courier New" w:cs="Courier New"/>
          <w:sz w:val="24"/>
          <w:szCs w:val="24"/>
        </w:rPr>
      </w:pPr>
    </w:p>
    <w:p w14:paraId="61306CB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Auto-generated by MATLAB on 30-Jul-2021 03:15:52</w:t>
      </w:r>
    </w:p>
    <w:p w14:paraId="19C85BC4"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14:paraId="36751E2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Import the file</w:t>
      </w:r>
    </w:p>
    <w:p w14:paraId="4612C7F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newData1 = </w:t>
      </w:r>
      <w:proofErr w:type="gramStart"/>
      <w:r>
        <w:rPr>
          <w:rFonts w:ascii="Courier New" w:hAnsi="Courier New" w:cs="Courier New"/>
          <w:color w:val="000000"/>
          <w:sz w:val="20"/>
          <w:szCs w:val="20"/>
        </w:rPr>
        <w:t>load(</w:t>
      </w:r>
      <w:proofErr w:type="gramEnd"/>
      <w:r>
        <w:rPr>
          <w:rFonts w:ascii="Courier New" w:hAnsi="Courier New" w:cs="Courier New"/>
          <w:color w:val="A020F0"/>
          <w:sz w:val="20"/>
          <w:szCs w:val="20"/>
        </w:rPr>
        <w:t>'-mat'</w:t>
      </w:r>
      <w:r>
        <w:rPr>
          <w:rFonts w:ascii="Courier New" w:hAnsi="Courier New" w:cs="Courier New"/>
          <w:color w:val="000000"/>
          <w:sz w:val="20"/>
          <w:szCs w:val="20"/>
        </w:rPr>
        <w:t>, fileToRead1);</w:t>
      </w:r>
    </w:p>
    <w:p w14:paraId="598E03A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382E1A7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Create new variables in the base workspace from those fields.</w:t>
      </w:r>
    </w:p>
    <w:p w14:paraId="5BBA456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vars = fieldnames(newData1);</w:t>
      </w:r>
    </w:p>
    <w:p w14:paraId="1405A27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1:length</w:t>
      </w:r>
      <w:proofErr w:type="gramEnd"/>
      <w:r>
        <w:rPr>
          <w:rFonts w:ascii="Courier New" w:hAnsi="Courier New" w:cs="Courier New"/>
          <w:color w:val="000000"/>
          <w:sz w:val="20"/>
          <w:szCs w:val="20"/>
        </w:rPr>
        <w:t>(vars)</w:t>
      </w:r>
    </w:p>
    <w:p w14:paraId="37376AF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assignin</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'base'</w:t>
      </w:r>
      <w:r>
        <w:rPr>
          <w:rFonts w:ascii="Courier New" w:hAnsi="Courier New" w:cs="Courier New"/>
          <w:color w:val="000000"/>
          <w:sz w:val="20"/>
          <w:szCs w:val="20"/>
        </w:rPr>
        <w:t>, vars{</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newData1.(vars{</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640FE34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508F925B" w14:textId="77777777" w:rsidR="007540FD" w:rsidRDefault="007540FD" w:rsidP="007540FD">
      <w:pPr>
        <w:autoSpaceDE w:val="0"/>
        <w:autoSpaceDN w:val="0"/>
        <w:adjustRightInd w:val="0"/>
        <w:spacing w:after="0" w:line="240" w:lineRule="auto"/>
        <w:rPr>
          <w:rFonts w:ascii="Courier New" w:hAnsi="Courier New" w:cs="Courier New"/>
          <w:color w:val="000000"/>
          <w:sz w:val="20"/>
          <w:szCs w:val="20"/>
        </w:rPr>
      </w:pPr>
    </w:p>
    <w:p w14:paraId="2EEE8C4B" w14:textId="77777777" w:rsidR="007540FD" w:rsidRPr="00DE5D41" w:rsidRDefault="007540FD" w:rsidP="007540FD">
      <w:pPr>
        <w:autoSpaceDE w:val="0"/>
        <w:autoSpaceDN w:val="0"/>
        <w:adjustRightInd w:val="0"/>
        <w:spacing w:after="0" w:line="240" w:lineRule="auto"/>
        <w:rPr>
          <w:rFonts w:ascii="Courier New" w:hAnsi="Courier New" w:cs="Courier New"/>
          <w:b/>
          <w:color w:val="548DD4" w:themeColor="text2" w:themeTint="99"/>
          <w:sz w:val="20"/>
          <w:szCs w:val="20"/>
        </w:rPr>
      </w:pPr>
    </w:p>
    <w:p w14:paraId="1088EDEB" w14:textId="1B767689" w:rsidR="007540FD" w:rsidRPr="00DE5D41" w:rsidRDefault="00DE5D41" w:rsidP="007540FD">
      <w:pPr>
        <w:autoSpaceDE w:val="0"/>
        <w:autoSpaceDN w:val="0"/>
        <w:adjustRightInd w:val="0"/>
        <w:spacing w:after="0" w:line="240" w:lineRule="auto"/>
        <w:rPr>
          <w:rFonts w:ascii="Courier New" w:hAnsi="Courier New" w:cs="Courier New"/>
          <w:b/>
          <w:color w:val="548DD4" w:themeColor="text2" w:themeTint="99"/>
          <w:sz w:val="20"/>
          <w:szCs w:val="20"/>
        </w:rPr>
      </w:pPr>
      <w:r w:rsidRPr="00DE5D41">
        <w:rPr>
          <w:rFonts w:ascii="Courier New" w:hAnsi="Courier New" w:cs="Courier New"/>
          <w:b/>
          <w:color w:val="548DD4" w:themeColor="text2" w:themeTint="99"/>
          <w:sz w:val="20"/>
          <w:szCs w:val="20"/>
        </w:rPr>
        <w:t>BEKK</w:t>
      </w:r>
    </w:p>
    <w:p w14:paraId="701C0D96" w14:textId="77777777" w:rsidR="007540FD" w:rsidRDefault="007540FD" w:rsidP="007540FD">
      <w:pPr>
        <w:autoSpaceDE w:val="0"/>
        <w:autoSpaceDN w:val="0"/>
        <w:adjustRightInd w:val="0"/>
        <w:spacing w:after="0" w:line="240" w:lineRule="auto"/>
        <w:rPr>
          <w:rFonts w:ascii="Courier New" w:hAnsi="Courier New" w:cs="Courier New"/>
          <w:color w:val="000000"/>
          <w:sz w:val="20"/>
          <w:szCs w:val="20"/>
        </w:rPr>
      </w:pPr>
    </w:p>
    <w:p w14:paraId="7F421CB0" w14:textId="77777777" w:rsidR="007540FD" w:rsidRDefault="007540FD" w:rsidP="007540FD">
      <w:pPr>
        <w:autoSpaceDE w:val="0"/>
        <w:autoSpaceDN w:val="0"/>
        <w:adjustRightInd w:val="0"/>
        <w:spacing w:after="0" w:line="240" w:lineRule="auto"/>
        <w:rPr>
          <w:rFonts w:ascii="Courier New" w:hAnsi="Courier New" w:cs="Courier New"/>
          <w:color w:val="000000"/>
          <w:sz w:val="20"/>
          <w:szCs w:val="20"/>
        </w:rPr>
      </w:pPr>
    </w:p>
    <w:p w14:paraId="26538D0A" w14:textId="77777777" w:rsidR="007540FD" w:rsidRDefault="007540FD" w:rsidP="007540FD">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BEKK </w:t>
      </w:r>
    </w:p>
    <w:p w14:paraId="6E56914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load(</w:t>
      </w:r>
      <w:r>
        <w:rPr>
          <w:rFonts w:ascii="Courier New" w:hAnsi="Courier New" w:cs="Courier New"/>
          <w:color w:val="A020F0"/>
          <w:sz w:val="20"/>
          <w:szCs w:val="20"/>
        </w:rPr>
        <w:t>'</w:t>
      </w:r>
      <w:proofErr w:type="spellStart"/>
      <w:r>
        <w:rPr>
          <w:rFonts w:ascii="Courier New" w:hAnsi="Courier New" w:cs="Courier New"/>
          <w:color w:val="A020F0"/>
          <w:sz w:val="20"/>
          <w:szCs w:val="20"/>
        </w:rPr>
        <w:t>threeperiodsresiduals.mat</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14:paraId="0A0FFFB4"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2D144C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%BEKK full</w:t>
      </w:r>
    </w:p>
    <w:p w14:paraId="51485C7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[parameters, </w:t>
      </w:r>
      <w:proofErr w:type="spellStart"/>
      <w:r>
        <w:rPr>
          <w:rFonts w:ascii="Courier New" w:hAnsi="Courier New" w:cs="Courier New"/>
          <w:color w:val="000000"/>
          <w:sz w:val="20"/>
          <w:szCs w:val="20"/>
        </w:rPr>
        <w:t>ll</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w:t>
      </w:r>
      <w:proofErr w:type="spellEnd"/>
      <w:r>
        <w:rPr>
          <w:rFonts w:ascii="Courier New" w:hAnsi="Courier New" w:cs="Courier New"/>
          <w:color w:val="000000"/>
          <w:sz w:val="20"/>
          <w:szCs w:val="20"/>
        </w:rPr>
        <w:t xml:space="preserve">, VCV, scores] = </w:t>
      </w:r>
      <w:proofErr w:type="spellStart"/>
      <w:proofErr w:type="gramStart"/>
      <w:r>
        <w:rPr>
          <w:rFonts w:ascii="Courier New" w:hAnsi="Courier New" w:cs="Courier New"/>
          <w:color w:val="000000"/>
          <w:sz w:val="20"/>
          <w:szCs w:val="20"/>
        </w:rPr>
        <w:t>bekk</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Durdata</w:t>
      </w:r>
      <w:proofErr w:type="spellEnd"/>
      <w:r>
        <w:rPr>
          <w:rFonts w:ascii="Courier New" w:hAnsi="Courier New" w:cs="Courier New"/>
          <w:color w:val="000000"/>
          <w:sz w:val="20"/>
          <w:szCs w:val="20"/>
        </w:rPr>
        <w:t>,[],1,0,1,</w:t>
      </w:r>
      <w:r>
        <w:rPr>
          <w:rFonts w:ascii="Courier New" w:hAnsi="Courier New" w:cs="Courier New"/>
          <w:color w:val="A020F0"/>
          <w:sz w:val="20"/>
          <w:szCs w:val="20"/>
        </w:rPr>
        <w:t>'Full'</w:t>
      </w:r>
      <w:r>
        <w:rPr>
          <w:rFonts w:ascii="Courier New" w:hAnsi="Courier New" w:cs="Courier New"/>
          <w:color w:val="000000"/>
          <w:sz w:val="20"/>
          <w:szCs w:val="20"/>
        </w:rPr>
        <w:t>);</w:t>
      </w:r>
    </w:p>
    <w:p w14:paraId="600FF05C"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5E84DCE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transform </w:t>
      </w:r>
      <w:proofErr w:type="spellStart"/>
      <w:r>
        <w:rPr>
          <w:rFonts w:ascii="Courier New" w:hAnsi="Courier New" w:cs="Courier New"/>
          <w:color w:val="228B22"/>
          <w:sz w:val="20"/>
          <w:szCs w:val="20"/>
        </w:rPr>
        <w:t>Bekk</w:t>
      </w:r>
      <w:proofErr w:type="spellEnd"/>
      <w:r>
        <w:rPr>
          <w:rFonts w:ascii="Courier New" w:hAnsi="Courier New" w:cs="Courier New"/>
          <w:color w:val="228B22"/>
          <w:sz w:val="20"/>
          <w:szCs w:val="20"/>
        </w:rPr>
        <w:t xml:space="preserve"> parameters</w:t>
      </w:r>
    </w:p>
    <w:p w14:paraId="2A1C525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gramStart"/>
      <w:r>
        <w:rPr>
          <w:rFonts w:ascii="Courier New" w:hAnsi="Courier New" w:cs="Courier New"/>
          <w:color w:val="000000"/>
          <w:sz w:val="20"/>
          <w:szCs w:val="20"/>
        </w:rPr>
        <w:t>C,A</w:t>
      </w:r>
      <w:proofErr w:type="gramEnd"/>
      <w:r>
        <w:rPr>
          <w:rFonts w:ascii="Courier New" w:hAnsi="Courier New" w:cs="Courier New"/>
          <w:color w:val="000000"/>
          <w:sz w:val="20"/>
          <w:szCs w:val="20"/>
        </w:rPr>
        <w:t xml:space="preserve">,B] = </w:t>
      </w:r>
      <w:proofErr w:type="spellStart"/>
      <w:r>
        <w:rPr>
          <w:rFonts w:ascii="Courier New" w:hAnsi="Courier New" w:cs="Courier New"/>
          <w:color w:val="000000"/>
          <w:sz w:val="20"/>
          <w:szCs w:val="20"/>
        </w:rPr>
        <w:t>bekk_parameter_transform</w:t>
      </w:r>
      <w:proofErr w:type="spellEnd"/>
      <w:r>
        <w:rPr>
          <w:rFonts w:ascii="Courier New" w:hAnsi="Courier New" w:cs="Courier New"/>
          <w:color w:val="000000"/>
          <w:sz w:val="20"/>
          <w:szCs w:val="20"/>
        </w:rPr>
        <w:t>(parameters,1,0,1,4,</w:t>
      </w:r>
      <w:r>
        <w:rPr>
          <w:rFonts w:ascii="Courier New" w:hAnsi="Courier New" w:cs="Courier New"/>
          <w:color w:val="A020F0"/>
          <w:sz w:val="20"/>
          <w:szCs w:val="20"/>
        </w:rPr>
        <w:t>'Full'</w:t>
      </w:r>
      <w:r>
        <w:rPr>
          <w:rFonts w:ascii="Courier New" w:hAnsi="Courier New" w:cs="Courier New"/>
          <w:color w:val="000000"/>
          <w:sz w:val="20"/>
          <w:szCs w:val="20"/>
        </w:rPr>
        <w:t>);</w:t>
      </w:r>
    </w:p>
    <w:p w14:paraId="1B8F3F6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617F1E10"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BEKK simulation</w:t>
      </w:r>
    </w:p>
    <w:p w14:paraId="64B143F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ii = [0,0,0,0];</w:t>
      </w:r>
    </w:p>
    <w:p w14:paraId="7F8A74F6"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ii(</w:t>
      </w:r>
      <w:proofErr w:type="gramEnd"/>
      <w:r>
        <w:rPr>
          <w:rFonts w:ascii="Courier New" w:hAnsi="Courier New" w:cs="Courier New"/>
          <w:color w:val="000000"/>
          <w:sz w:val="20"/>
          <w:szCs w:val="20"/>
        </w:rPr>
        <w:t>1,1) = 1;</w:t>
      </w:r>
    </w:p>
    <w:p w14:paraId="7DB5EDB6"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ii(</w:t>
      </w:r>
      <w:proofErr w:type="gramEnd"/>
      <w:r>
        <w:rPr>
          <w:rFonts w:ascii="Courier New" w:hAnsi="Courier New" w:cs="Courier New"/>
          <w:color w:val="000000"/>
          <w:sz w:val="20"/>
          <w:szCs w:val="20"/>
        </w:rPr>
        <w:t>1,2) = 2;</w:t>
      </w:r>
    </w:p>
    <w:p w14:paraId="476D5222"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ii(</w:t>
      </w:r>
      <w:proofErr w:type="gramEnd"/>
      <w:r>
        <w:rPr>
          <w:rFonts w:ascii="Courier New" w:hAnsi="Courier New" w:cs="Courier New"/>
          <w:color w:val="000000"/>
          <w:sz w:val="20"/>
          <w:szCs w:val="20"/>
        </w:rPr>
        <w:t>1,3) = 3;</w:t>
      </w:r>
    </w:p>
    <w:p w14:paraId="47F4B54C"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ii(</w:t>
      </w:r>
      <w:proofErr w:type="gramEnd"/>
      <w:r>
        <w:rPr>
          <w:rFonts w:ascii="Courier New" w:hAnsi="Courier New" w:cs="Courier New"/>
          <w:color w:val="000000"/>
          <w:sz w:val="20"/>
          <w:szCs w:val="20"/>
        </w:rPr>
        <w:t>1,4) = 4;</w:t>
      </w:r>
    </w:p>
    <w:p w14:paraId="11DC0160"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[data, </w:t>
      </w:r>
      <w:proofErr w:type="spellStart"/>
      <w:r>
        <w:rPr>
          <w:rFonts w:ascii="Courier New" w:hAnsi="Courier New" w:cs="Courier New"/>
          <w:color w:val="000000"/>
          <w:sz w:val="20"/>
          <w:szCs w:val="20"/>
        </w:rPr>
        <w:t>Ht</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bekk_simulate</w:t>
      </w:r>
      <w:proofErr w:type="spellEnd"/>
      <w:r>
        <w:rPr>
          <w:rFonts w:ascii="Courier New" w:hAnsi="Courier New" w:cs="Courier New"/>
          <w:color w:val="000000"/>
          <w:sz w:val="20"/>
          <w:szCs w:val="20"/>
        </w:rPr>
        <w:t>(433,</w:t>
      </w:r>
      <w:proofErr w:type="gramStart"/>
      <w:r>
        <w:rPr>
          <w:rFonts w:ascii="Courier New" w:hAnsi="Courier New" w:cs="Courier New"/>
          <w:color w:val="000000"/>
          <w:sz w:val="20"/>
          <w:szCs w:val="20"/>
        </w:rPr>
        <w:t>4,parameters</w:t>
      </w:r>
      <w:proofErr w:type="gramEnd"/>
      <w:r>
        <w:rPr>
          <w:rFonts w:ascii="Courier New" w:hAnsi="Courier New" w:cs="Courier New"/>
          <w:color w:val="000000"/>
          <w:sz w:val="20"/>
          <w:szCs w:val="20"/>
        </w:rPr>
        <w:t>,1,0,1,</w:t>
      </w:r>
      <w:r>
        <w:rPr>
          <w:rFonts w:ascii="Courier New" w:hAnsi="Courier New" w:cs="Courier New"/>
          <w:color w:val="A020F0"/>
          <w:sz w:val="20"/>
          <w:szCs w:val="20"/>
        </w:rPr>
        <w:t>'Full'</w:t>
      </w:r>
      <w:r>
        <w:rPr>
          <w:rFonts w:ascii="Courier New" w:hAnsi="Courier New" w:cs="Courier New"/>
          <w:color w:val="000000"/>
          <w:sz w:val="20"/>
          <w:szCs w:val="20"/>
        </w:rPr>
        <w:t>);</w:t>
      </w:r>
    </w:p>
    <w:p w14:paraId="402D6E6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T,k</w:t>
      </w:r>
      <w:proofErr w:type="spellEnd"/>
      <w:proofErr w:type="gramEnd"/>
      <w:r>
        <w:rPr>
          <w:rFonts w:ascii="Courier New" w:hAnsi="Courier New" w:cs="Courier New"/>
          <w:color w:val="000000"/>
          <w:sz w:val="20"/>
          <w:szCs w:val="20"/>
        </w:rPr>
        <w:t>]=size(</w:t>
      </w:r>
      <w:proofErr w:type="spellStart"/>
      <w:r>
        <w:rPr>
          <w:rFonts w:ascii="Courier New" w:hAnsi="Courier New" w:cs="Courier New"/>
          <w:color w:val="000000"/>
          <w:sz w:val="20"/>
          <w:szCs w:val="20"/>
        </w:rPr>
        <w:t>Durdata</w:t>
      </w:r>
      <w:proofErr w:type="spellEnd"/>
      <w:r>
        <w:rPr>
          <w:rFonts w:ascii="Courier New" w:hAnsi="Courier New" w:cs="Courier New"/>
          <w:color w:val="000000"/>
          <w:sz w:val="20"/>
          <w:szCs w:val="20"/>
        </w:rPr>
        <w:t>);</w:t>
      </w:r>
    </w:p>
    <w:p w14:paraId="29F15DE8"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Ht</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Ht</w:t>
      </w:r>
      <w:proofErr w:type="spellEnd"/>
      <w:r>
        <w:rPr>
          <w:rFonts w:ascii="Courier New" w:hAnsi="Courier New" w:cs="Courier New"/>
          <w:color w:val="000000"/>
          <w:sz w:val="20"/>
          <w:szCs w:val="20"/>
        </w:rPr>
        <w:t>;</w:t>
      </w:r>
    </w:p>
    <w:p w14:paraId="2BAC43C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var1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 xml:space="preserve">(1,1,:));  </w:t>
      </w:r>
      <w:r>
        <w:rPr>
          <w:rFonts w:ascii="Courier New" w:hAnsi="Courier New" w:cs="Courier New"/>
          <w:color w:val="228B22"/>
          <w:sz w:val="20"/>
          <w:szCs w:val="20"/>
        </w:rPr>
        <w:t>% this is a column vector of variances</w:t>
      </w:r>
    </w:p>
    <w:p w14:paraId="0AB01EF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var2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(2,2,:));</w:t>
      </w:r>
    </w:p>
    <w:p w14:paraId="21A12AD3"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var3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(3,3,:));</w:t>
      </w:r>
    </w:p>
    <w:p w14:paraId="3EF49780"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var4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(4,4,:));</w:t>
      </w:r>
    </w:p>
    <w:p w14:paraId="4864E1D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cov12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(1,2,:));</w:t>
      </w:r>
    </w:p>
    <w:p w14:paraId="6138D4D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cov13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(1,3,:));</w:t>
      </w:r>
    </w:p>
    <w:p w14:paraId="5C4B015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cov14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(1,4,:));</w:t>
      </w:r>
    </w:p>
    <w:p w14:paraId="4480603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cov23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(2,3,:));</w:t>
      </w:r>
    </w:p>
    <w:p w14:paraId="0BF9165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cov24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(2,4,:));</w:t>
      </w:r>
    </w:p>
    <w:p w14:paraId="6DDB166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cov34 = </w:t>
      </w:r>
      <w:proofErr w:type="gramStart"/>
      <w:r>
        <w:rPr>
          <w:rFonts w:ascii="Courier New" w:hAnsi="Courier New" w:cs="Courier New"/>
          <w:color w:val="000000"/>
          <w:sz w:val="20"/>
          <w:szCs w:val="20"/>
        </w:rPr>
        <w:t>squeeze(</w:t>
      </w:r>
      <w:proofErr w:type="spellStart"/>
      <w:proofErr w:type="gramEnd"/>
      <w:r>
        <w:rPr>
          <w:rFonts w:ascii="Courier New" w:hAnsi="Courier New" w:cs="Courier New"/>
          <w:color w:val="000000"/>
          <w:sz w:val="20"/>
          <w:szCs w:val="20"/>
        </w:rPr>
        <w:t>Ht</w:t>
      </w:r>
      <w:proofErr w:type="spellEnd"/>
      <w:r>
        <w:rPr>
          <w:rFonts w:ascii="Courier New" w:hAnsi="Courier New" w:cs="Courier New"/>
          <w:color w:val="000000"/>
          <w:sz w:val="20"/>
          <w:szCs w:val="20"/>
        </w:rPr>
        <w:t>(3,4,:));</w:t>
      </w:r>
    </w:p>
    <w:p w14:paraId="08F7E8A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corr12 = cov</w:t>
      </w:r>
      <w:proofErr w:type="gramStart"/>
      <w:r>
        <w:rPr>
          <w:rFonts w:ascii="Courier New" w:hAnsi="Courier New" w:cs="Courier New"/>
          <w:color w:val="000000"/>
          <w:sz w:val="20"/>
          <w:szCs w:val="20"/>
        </w:rPr>
        <w:t>12./</w:t>
      </w:r>
      <w:proofErr w:type="gramEnd"/>
      <w:r>
        <w:rPr>
          <w:rFonts w:ascii="Courier New" w:hAnsi="Courier New" w:cs="Courier New"/>
          <w:color w:val="000000"/>
          <w:sz w:val="20"/>
          <w:szCs w:val="20"/>
        </w:rPr>
        <w:t>sqrt(var1.*var2);</w:t>
      </w:r>
    </w:p>
    <w:p w14:paraId="29A52A28"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corr13 = cov</w:t>
      </w:r>
      <w:proofErr w:type="gramStart"/>
      <w:r>
        <w:rPr>
          <w:rFonts w:ascii="Courier New" w:hAnsi="Courier New" w:cs="Courier New"/>
          <w:color w:val="000000"/>
          <w:sz w:val="20"/>
          <w:szCs w:val="20"/>
        </w:rPr>
        <w:t>13./</w:t>
      </w:r>
      <w:proofErr w:type="gramEnd"/>
      <w:r>
        <w:rPr>
          <w:rFonts w:ascii="Courier New" w:hAnsi="Courier New" w:cs="Courier New"/>
          <w:color w:val="000000"/>
          <w:sz w:val="20"/>
          <w:szCs w:val="20"/>
        </w:rPr>
        <w:t>sqrt(var1.*var3);</w:t>
      </w:r>
    </w:p>
    <w:p w14:paraId="404F120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corr14 = cov</w:t>
      </w:r>
      <w:proofErr w:type="gramStart"/>
      <w:r>
        <w:rPr>
          <w:rFonts w:ascii="Courier New" w:hAnsi="Courier New" w:cs="Courier New"/>
          <w:color w:val="000000"/>
          <w:sz w:val="20"/>
          <w:szCs w:val="20"/>
        </w:rPr>
        <w:t>14./</w:t>
      </w:r>
      <w:proofErr w:type="gramEnd"/>
      <w:r>
        <w:rPr>
          <w:rFonts w:ascii="Courier New" w:hAnsi="Courier New" w:cs="Courier New"/>
          <w:color w:val="000000"/>
          <w:sz w:val="20"/>
          <w:szCs w:val="20"/>
        </w:rPr>
        <w:t>sqrt(var1.*var4);</w:t>
      </w:r>
    </w:p>
    <w:p w14:paraId="34746E8A"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corr23 = cov</w:t>
      </w:r>
      <w:proofErr w:type="gramStart"/>
      <w:r>
        <w:rPr>
          <w:rFonts w:ascii="Courier New" w:hAnsi="Courier New" w:cs="Courier New"/>
          <w:color w:val="000000"/>
          <w:sz w:val="20"/>
          <w:szCs w:val="20"/>
        </w:rPr>
        <w:t>23./</w:t>
      </w:r>
      <w:proofErr w:type="gramEnd"/>
      <w:r>
        <w:rPr>
          <w:rFonts w:ascii="Courier New" w:hAnsi="Courier New" w:cs="Courier New"/>
          <w:color w:val="000000"/>
          <w:sz w:val="20"/>
          <w:szCs w:val="20"/>
        </w:rPr>
        <w:t>sqrt(var2.*var3);</w:t>
      </w:r>
    </w:p>
    <w:p w14:paraId="71C17A99"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corr24 = cov</w:t>
      </w:r>
      <w:proofErr w:type="gramStart"/>
      <w:r>
        <w:rPr>
          <w:rFonts w:ascii="Courier New" w:hAnsi="Courier New" w:cs="Courier New"/>
          <w:color w:val="000000"/>
          <w:sz w:val="20"/>
          <w:szCs w:val="20"/>
        </w:rPr>
        <w:t>24./</w:t>
      </w:r>
      <w:proofErr w:type="gramEnd"/>
      <w:r>
        <w:rPr>
          <w:rFonts w:ascii="Courier New" w:hAnsi="Courier New" w:cs="Courier New"/>
          <w:color w:val="000000"/>
          <w:sz w:val="20"/>
          <w:szCs w:val="20"/>
        </w:rPr>
        <w:t>sqrt(var2.*var4);</w:t>
      </w:r>
    </w:p>
    <w:p w14:paraId="268930F3"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corr34 = cov</w:t>
      </w:r>
      <w:proofErr w:type="gramStart"/>
      <w:r>
        <w:rPr>
          <w:rFonts w:ascii="Courier New" w:hAnsi="Courier New" w:cs="Courier New"/>
          <w:color w:val="000000"/>
          <w:sz w:val="20"/>
          <w:szCs w:val="20"/>
        </w:rPr>
        <w:t>34./</w:t>
      </w:r>
      <w:proofErr w:type="gramEnd"/>
      <w:r>
        <w:rPr>
          <w:rFonts w:ascii="Courier New" w:hAnsi="Courier New" w:cs="Courier New"/>
          <w:color w:val="000000"/>
          <w:sz w:val="20"/>
          <w:szCs w:val="20"/>
        </w:rPr>
        <w:t>sqrt(var3.*var4);</w:t>
      </w:r>
    </w:p>
    <w:p w14:paraId="7827AD5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5330036"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 xml:space="preserve"> = ones(T,4);</w:t>
      </w:r>
    </w:p>
    <w:p w14:paraId="309BE44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step = 140;</w:t>
      </w:r>
    </w:p>
    <w:p w14:paraId="6790FDE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steps = 1;</w:t>
      </w:r>
    </w:p>
    <w:p w14:paraId="406AB5F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Tt = 1;</w:t>
      </w:r>
    </w:p>
    <w:p w14:paraId="58D43732"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steps = steps + step;</w:t>
      </w:r>
    </w:p>
    <w:p w14:paraId="6056714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uncondcorr12 = </w:t>
      </w:r>
      <w:proofErr w:type="spellStart"/>
      <w:r>
        <w:rPr>
          <w:rFonts w:ascii="Courier New" w:hAnsi="Courier New" w:cs="Courier New"/>
          <w:color w:val="000000"/>
          <w:sz w:val="20"/>
          <w:szCs w:val="20"/>
        </w:rPr>
        <w:t>corrcoef</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data(</w:t>
      </w:r>
      <w:proofErr w:type="spellStart"/>
      <w:proofErr w:type="gramEnd"/>
      <w:r>
        <w:rPr>
          <w:rFonts w:ascii="Courier New" w:hAnsi="Courier New" w:cs="Courier New"/>
          <w:color w:val="000000"/>
          <w:sz w:val="20"/>
          <w:szCs w:val="20"/>
        </w:rPr>
        <w:t>Tt:steps,ii</w:t>
      </w:r>
      <w:proofErr w:type="spellEnd"/>
      <w:r>
        <w:rPr>
          <w:rFonts w:ascii="Courier New" w:hAnsi="Courier New" w:cs="Courier New"/>
          <w:color w:val="000000"/>
          <w:sz w:val="20"/>
          <w:szCs w:val="20"/>
        </w:rPr>
        <w:t>));</w:t>
      </w:r>
    </w:p>
    <w:p w14:paraId="6F446AC9"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Tt,1) = uncondcorr12(1,2);</w:t>
      </w:r>
    </w:p>
    <w:p w14:paraId="2EC1917D"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Tt,2) = uncondcorr12(1,3);</w:t>
      </w:r>
    </w:p>
    <w:p w14:paraId="52F7349D"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Tt,3) = uncondcorr12(1,4);</w:t>
      </w:r>
    </w:p>
    <w:p w14:paraId="70AA3A75"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Tt,4) = uncondcorr12(2,3);</w:t>
      </w:r>
    </w:p>
    <w:p w14:paraId="4D918906"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Tt,5) = uncondcorr12(2,4);</w:t>
      </w:r>
    </w:p>
    <w:p w14:paraId="63428205" w14:textId="77777777" w:rsidR="007540FD" w:rsidRDefault="007540FD" w:rsidP="007540F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Tt,6) = uncondcorr12(3,4);</w:t>
      </w:r>
    </w:p>
    <w:p w14:paraId="0982E7AA"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Tt = Tt + 1;</w:t>
      </w:r>
    </w:p>
    <w:p w14:paraId="7DFE232B"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while</w:t>
      </w:r>
      <w:r>
        <w:rPr>
          <w:rFonts w:ascii="Courier New" w:hAnsi="Courier New" w:cs="Courier New"/>
          <w:color w:val="000000"/>
          <w:sz w:val="20"/>
          <w:szCs w:val="20"/>
        </w:rPr>
        <w:t xml:space="preserve"> Tt &lt;= T</w:t>
      </w:r>
    </w:p>
    <w:p w14:paraId="1998349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Tt,1)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(Tt-1,1);</w:t>
      </w:r>
    </w:p>
    <w:p w14:paraId="7F264404"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Tt,2)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(Tt-1,2);</w:t>
      </w:r>
    </w:p>
    <w:p w14:paraId="7A0C525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Tt,3)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(Tt-1,3);</w:t>
      </w:r>
    </w:p>
    <w:p w14:paraId="45C10FB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Tt,4)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(Tt-1,4);</w:t>
      </w:r>
    </w:p>
    <w:p w14:paraId="1A845CB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Tt,5)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(Tt-1,5);</w:t>
      </w:r>
    </w:p>
    <w:p w14:paraId="62E5704E"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Tt,6) = </w:t>
      </w:r>
      <w:proofErr w:type="spellStart"/>
      <w:r>
        <w:rPr>
          <w:rFonts w:ascii="Courier New" w:hAnsi="Courier New" w:cs="Courier New"/>
          <w:color w:val="000000"/>
          <w:sz w:val="20"/>
          <w:szCs w:val="20"/>
        </w:rPr>
        <w:t>truecorr</w:t>
      </w:r>
      <w:proofErr w:type="spellEnd"/>
      <w:r>
        <w:rPr>
          <w:rFonts w:ascii="Courier New" w:hAnsi="Courier New" w:cs="Courier New"/>
          <w:color w:val="000000"/>
          <w:sz w:val="20"/>
          <w:szCs w:val="20"/>
        </w:rPr>
        <w:t>(Tt-1,6);</w:t>
      </w:r>
    </w:p>
    <w:p w14:paraId="1712576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Tt == steps</w:t>
      </w:r>
    </w:p>
    <w:p w14:paraId="35AFAF95"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steps = steps + step;</w:t>
      </w:r>
    </w:p>
    <w:p w14:paraId="2FEFC49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uncondcorr12 = </w:t>
      </w:r>
      <w:proofErr w:type="spellStart"/>
      <w:r>
        <w:rPr>
          <w:rFonts w:ascii="Courier New" w:hAnsi="Courier New" w:cs="Courier New"/>
          <w:color w:val="000000"/>
          <w:sz w:val="20"/>
          <w:szCs w:val="20"/>
        </w:rPr>
        <w:t>corrcoef</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data(</w:t>
      </w:r>
      <w:proofErr w:type="spellStart"/>
      <w:proofErr w:type="gramEnd"/>
      <w:r>
        <w:rPr>
          <w:rFonts w:ascii="Courier New" w:hAnsi="Courier New" w:cs="Courier New"/>
          <w:color w:val="000000"/>
          <w:sz w:val="20"/>
          <w:szCs w:val="20"/>
        </w:rPr>
        <w:t>Tt:min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steps,T</w:t>
      </w:r>
      <w:proofErr w:type="spellEnd"/>
      <w:r>
        <w:rPr>
          <w:rFonts w:ascii="Courier New" w:hAnsi="Courier New" w:cs="Courier New"/>
          <w:color w:val="000000"/>
          <w:sz w:val="20"/>
          <w:szCs w:val="20"/>
        </w:rPr>
        <w:t>),ii));</w:t>
      </w:r>
    </w:p>
    <w:p w14:paraId="1C54B58F"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Tt,1) = uncondcorr12(1,2);</w:t>
      </w:r>
    </w:p>
    <w:p w14:paraId="78C60257"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Tt,2) = uncondcorr12(1,3);</w:t>
      </w:r>
    </w:p>
    <w:p w14:paraId="5F54CA2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Tt,3) = uncondcorr12(1,4);</w:t>
      </w:r>
    </w:p>
    <w:p w14:paraId="52DD02E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Tt,4) = uncondcorr12(2,3);</w:t>
      </w:r>
    </w:p>
    <w:p w14:paraId="03C4461D"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Tt,5) = uncondcorr12(2,4);</w:t>
      </w:r>
    </w:p>
    <w:p w14:paraId="1BC267E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truecorr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Tt,6) = uncondcorr12(3,4);</w:t>
      </w:r>
    </w:p>
    <w:p w14:paraId="0C17F610"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0E4776B1"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Tt = Tt + 1;</w:t>
      </w:r>
    </w:p>
    <w:p w14:paraId="66A12496" w14:textId="77777777" w:rsidR="007540FD" w:rsidRDefault="007540FD" w:rsidP="007540F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4F0588D9" w14:textId="77777777" w:rsidR="007540FD" w:rsidRDefault="007540FD" w:rsidP="007540FD">
      <w:pPr>
        <w:autoSpaceDE w:val="0"/>
        <w:autoSpaceDN w:val="0"/>
        <w:adjustRightInd w:val="0"/>
        <w:spacing w:after="0" w:line="240" w:lineRule="auto"/>
        <w:rPr>
          <w:rFonts w:ascii="Courier New" w:hAnsi="Courier New" w:cs="Courier New"/>
          <w:sz w:val="24"/>
          <w:szCs w:val="24"/>
        </w:rPr>
      </w:pPr>
    </w:p>
    <w:p w14:paraId="225FDE6D" w14:textId="77777777" w:rsidR="007540FD" w:rsidRDefault="007540FD" w:rsidP="007540FD"/>
    <w:p w14:paraId="6F0AEC6C" w14:textId="3A85CD3D" w:rsidR="007540FD" w:rsidRDefault="007540FD" w:rsidP="0029086C">
      <w:pPr>
        <w:rPr>
          <w:lang w:val="en-US"/>
        </w:rPr>
      </w:pPr>
    </w:p>
    <w:p w14:paraId="3A1F6518" w14:textId="61760B94" w:rsidR="007540FD" w:rsidRDefault="007540FD" w:rsidP="0029086C">
      <w:pPr>
        <w:rPr>
          <w:lang w:val="en-US"/>
        </w:rPr>
      </w:pPr>
    </w:p>
    <w:p w14:paraId="08A72002" w14:textId="0E83AE24" w:rsidR="007540FD" w:rsidRDefault="007540FD" w:rsidP="0029086C">
      <w:pPr>
        <w:rPr>
          <w:lang w:val="en-US"/>
        </w:rPr>
      </w:pPr>
    </w:p>
    <w:p w14:paraId="6CBC6481" w14:textId="1268A95E" w:rsidR="007540FD" w:rsidRDefault="007540FD" w:rsidP="0029086C">
      <w:pPr>
        <w:rPr>
          <w:lang w:val="en-US"/>
        </w:rPr>
      </w:pPr>
    </w:p>
    <w:p w14:paraId="54364268" w14:textId="409E5FA8" w:rsidR="007540FD" w:rsidRDefault="007540FD" w:rsidP="0029086C">
      <w:pPr>
        <w:rPr>
          <w:lang w:val="en-US"/>
        </w:rPr>
      </w:pPr>
    </w:p>
    <w:p w14:paraId="16C87BA3" w14:textId="243BDA42" w:rsidR="007540FD" w:rsidRDefault="007540FD" w:rsidP="0029086C">
      <w:pPr>
        <w:rPr>
          <w:lang w:val="en-US"/>
        </w:rPr>
      </w:pPr>
    </w:p>
    <w:p w14:paraId="2730D8BD" w14:textId="17F79E6F" w:rsidR="007540FD" w:rsidRDefault="007540FD" w:rsidP="0029086C">
      <w:pPr>
        <w:rPr>
          <w:lang w:val="en-US"/>
        </w:rPr>
      </w:pPr>
    </w:p>
    <w:p w14:paraId="1185BEA7" w14:textId="52EFB43B" w:rsidR="007540FD" w:rsidRDefault="007540FD" w:rsidP="0029086C">
      <w:pPr>
        <w:rPr>
          <w:lang w:val="en-US"/>
        </w:rPr>
      </w:pPr>
    </w:p>
    <w:p w14:paraId="50E211AD" w14:textId="0BCCF650" w:rsidR="007540FD" w:rsidRDefault="007540FD" w:rsidP="0029086C">
      <w:pPr>
        <w:rPr>
          <w:lang w:val="en-US"/>
        </w:rPr>
      </w:pPr>
    </w:p>
    <w:p w14:paraId="51121415" w14:textId="3D994C3C" w:rsidR="007540FD" w:rsidRDefault="007540FD" w:rsidP="0029086C">
      <w:pPr>
        <w:rPr>
          <w:lang w:val="en-US"/>
        </w:rPr>
      </w:pPr>
    </w:p>
    <w:p w14:paraId="3D0E7523" w14:textId="6EB0834C" w:rsidR="007540FD" w:rsidRDefault="007540FD" w:rsidP="0029086C">
      <w:pPr>
        <w:rPr>
          <w:lang w:val="en-US"/>
        </w:rPr>
      </w:pPr>
    </w:p>
    <w:p w14:paraId="04A9F4AC" w14:textId="071C19EB" w:rsidR="007540FD" w:rsidRDefault="007540FD" w:rsidP="0029086C">
      <w:pPr>
        <w:rPr>
          <w:lang w:val="en-US"/>
        </w:rPr>
      </w:pPr>
    </w:p>
    <w:p w14:paraId="5C1AFF05" w14:textId="12B65AEE" w:rsidR="007540FD" w:rsidRDefault="007540FD" w:rsidP="0029086C">
      <w:pPr>
        <w:rPr>
          <w:lang w:val="en-US"/>
        </w:rPr>
      </w:pPr>
    </w:p>
    <w:p w14:paraId="78CB1674" w14:textId="2229509C" w:rsidR="007540FD" w:rsidRDefault="007540FD" w:rsidP="0029086C">
      <w:pPr>
        <w:rPr>
          <w:lang w:val="en-US"/>
        </w:rPr>
      </w:pPr>
    </w:p>
    <w:p w14:paraId="26063CE0" w14:textId="585A2CCC" w:rsidR="007540FD" w:rsidRDefault="007540FD" w:rsidP="0029086C">
      <w:pPr>
        <w:rPr>
          <w:lang w:val="en-US"/>
        </w:rPr>
      </w:pPr>
    </w:p>
    <w:p w14:paraId="16757CA2" w14:textId="343B0342" w:rsidR="007540FD" w:rsidRDefault="007540FD" w:rsidP="0029086C">
      <w:pPr>
        <w:rPr>
          <w:lang w:val="en-US"/>
        </w:rPr>
      </w:pPr>
    </w:p>
    <w:p w14:paraId="56F8BB7D" w14:textId="77777777" w:rsidR="007540FD" w:rsidRDefault="007540FD" w:rsidP="0029086C">
      <w:pPr>
        <w:rPr>
          <w:lang w:val="en-US"/>
        </w:rPr>
      </w:pPr>
    </w:p>
    <w:p w14:paraId="1E8A7861" w14:textId="4138E832" w:rsidR="000519C3" w:rsidRDefault="000519C3" w:rsidP="0029086C">
      <w:pPr>
        <w:rPr>
          <w:lang w:val="en-US"/>
        </w:rPr>
      </w:pPr>
    </w:p>
    <w:p w14:paraId="3F30A087" w14:textId="77777777" w:rsidR="000519C3" w:rsidRDefault="000519C3" w:rsidP="0029086C">
      <w:pPr>
        <w:rPr>
          <w:lang w:val="en-US"/>
        </w:rPr>
      </w:pPr>
    </w:p>
    <w:p w14:paraId="5E9F0CDC" w14:textId="18A6075D" w:rsidR="007B399B" w:rsidRDefault="007B399B" w:rsidP="007B399B">
      <w:pPr>
        <w:pStyle w:val="Heading1"/>
      </w:pPr>
      <w:bookmarkStart w:id="240" w:name="_Toc90500045"/>
      <w:r>
        <w:lastRenderedPageBreak/>
        <w:t>Appendix 3</w:t>
      </w:r>
      <w:r w:rsidR="00491FBD">
        <w:t>.1</w:t>
      </w:r>
      <w:r>
        <w:t xml:space="preserve"> (Part 3 Results output)</w:t>
      </w:r>
      <w:bookmarkEnd w:id="240"/>
    </w:p>
    <w:p w14:paraId="16BD4956" w14:textId="77777777" w:rsidR="007B399B" w:rsidRDefault="007B399B" w:rsidP="007B399B">
      <w:pPr>
        <w:rPr>
          <w:rFonts w:ascii="Times New Roman" w:hAnsi="Times New Roman" w:cs="Times New Roman"/>
          <w:sz w:val="24"/>
          <w:szCs w:val="24"/>
        </w:rPr>
      </w:pPr>
    </w:p>
    <w:p w14:paraId="76B333EB" w14:textId="72234102" w:rsidR="007B399B" w:rsidRPr="00E74989" w:rsidRDefault="00037AC3" w:rsidP="00037AC3">
      <w:pPr>
        <w:pStyle w:val="Heading2"/>
        <w:rPr>
          <w:lang w:val="en-US"/>
        </w:rPr>
      </w:pPr>
      <w:bookmarkStart w:id="241" w:name="_Toc90500046"/>
      <w:r>
        <w:rPr>
          <w:lang w:val="en-US"/>
        </w:rPr>
        <w:t>Descriptive statistics (</w:t>
      </w:r>
      <w:r w:rsidR="007B399B" w:rsidRPr="00E74989">
        <w:rPr>
          <w:lang w:val="en-US"/>
        </w:rPr>
        <w:t>1990-1991</w:t>
      </w:r>
      <w:r>
        <w:rPr>
          <w:lang w:val="en-US"/>
        </w:rPr>
        <w:t>)</w:t>
      </w:r>
      <w:bookmarkEnd w:id="241"/>
    </w:p>
    <w:p w14:paraId="53DBA9BE" w14:textId="77777777" w:rsidR="007B399B" w:rsidRDefault="007B399B" w:rsidP="007B399B">
      <w:pPr>
        <w:rPr>
          <w:noProof/>
          <w:lang w:val="en-US"/>
        </w:rPr>
      </w:pPr>
      <w:r w:rsidRPr="00131901">
        <w:rPr>
          <w:noProof/>
          <w:lang w:eastAsia="en-GB"/>
        </w:rPr>
        <w:drawing>
          <wp:inline distT="0" distB="0" distL="0" distR="0" wp14:anchorId="7990C178" wp14:editId="415B1653">
            <wp:extent cx="5990969" cy="933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1">
                      <a:extLst>
                        <a:ext uri="{28A0092B-C50C-407E-A947-70E740481C1C}">
                          <a14:useLocalDpi xmlns:a14="http://schemas.microsoft.com/office/drawing/2010/main" val="0"/>
                        </a:ext>
                      </a:extLst>
                    </a:blip>
                    <a:srcRect t="-10094" r="41835" b="-1"/>
                    <a:stretch/>
                  </pic:blipFill>
                  <pic:spPr bwMode="auto">
                    <a:xfrm>
                      <a:off x="0" y="0"/>
                      <a:ext cx="6000575" cy="934947"/>
                    </a:xfrm>
                    <a:prstGeom prst="rect">
                      <a:avLst/>
                    </a:prstGeom>
                    <a:noFill/>
                    <a:ln>
                      <a:noFill/>
                    </a:ln>
                    <a:extLst>
                      <a:ext uri="{53640926-AAD7-44D8-BBD7-CCE9431645EC}">
                        <a14:shadowObscured xmlns:a14="http://schemas.microsoft.com/office/drawing/2010/main"/>
                      </a:ext>
                    </a:extLst>
                  </pic:spPr>
                </pic:pic>
              </a:graphicData>
            </a:graphic>
          </wp:inline>
        </w:drawing>
      </w:r>
    </w:p>
    <w:p w14:paraId="50B4738E" w14:textId="77777777" w:rsidR="00037AC3" w:rsidRDefault="00037AC3" w:rsidP="00037AC3">
      <w:pPr>
        <w:pStyle w:val="Heading2"/>
        <w:rPr>
          <w:lang w:val="en-US"/>
        </w:rPr>
      </w:pPr>
      <w:bookmarkStart w:id="242" w:name="_Toc90500047"/>
      <w:r>
        <w:rPr>
          <w:noProof/>
          <w:lang w:val="en-US"/>
        </w:rPr>
        <w:t xml:space="preserve">GARCH models </w:t>
      </w:r>
      <w:r>
        <w:rPr>
          <w:lang w:val="en-US"/>
        </w:rPr>
        <w:t>(</w:t>
      </w:r>
      <w:r w:rsidRPr="00E74989">
        <w:rPr>
          <w:lang w:val="en-US"/>
        </w:rPr>
        <w:t>1990-1991</w:t>
      </w:r>
      <w:r>
        <w:rPr>
          <w:lang w:val="en-US"/>
        </w:rPr>
        <w:t>)</w:t>
      </w:r>
      <w:bookmarkEnd w:id="242"/>
    </w:p>
    <w:p w14:paraId="2D0BC31A" w14:textId="36121456" w:rsidR="007B399B" w:rsidRDefault="00037AC3" w:rsidP="00037AC3">
      <w:pPr>
        <w:pStyle w:val="Heading3"/>
        <w:rPr>
          <w:noProof/>
          <w:lang w:val="en-US"/>
        </w:rPr>
      </w:pPr>
      <w:bookmarkStart w:id="243" w:name="_Toc90500048"/>
      <w:r>
        <w:rPr>
          <w:lang w:val="en-US"/>
        </w:rPr>
        <w:t>Historic returns</w:t>
      </w:r>
      <w:bookmarkEnd w:id="243"/>
    </w:p>
    <w:p w14:paraId="3748978F" w14:textId="77777777" w:rsidR="007B399B" w:rsidRDefault="007B399B" w:rsidP="007B399B">
      <w:pPr>
        <w:rPr>
          <w:noProof/>
          <w:lang w:val="en-US"/>
        </w:rPr>
      </w:pPr>
      <w:r w:rsidRPr="00131901">
        <w:rPr>
          <w:noProof/>
          <w:lang w:eastAsia="en-GB"/>
        </w:rPr>
        <w:drawing>
          <wp:inline distT="0" distB="0" distL="0" distR="0" wp14:anchorId="5E744033" wp14:editId="20DE3CE5">
            <wp:extent cx="5857240" cy="4019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9">
                      <a:extLst>
                        <a:ext uri="{28A0092B-C50C-407E-A947-70E740481C1C}">
                          <a14:useLocalDpi xmlns:a14="http://schemas.microsoft.com/office/drawing/2010/main" val="0"/>
                        </a:ext>
                      </a:extLst>
                    </a:blip>
                    <a:srcRect r="47153"/>
                    <a:stretch/>
                  </pic:blipFill>
                  <pic:spPr bwMode="auto">
                    <a:xfrm>
                      <a:off x="0" y="0"/>
                      <a:ext cx="5871768" cy="4029520"/>
                    </a:xfrm>
                    <a:prstGeom prst="rect">
                      <a:avLst/>
                    </a:prstGeom>
                    <a:noFill/>
                    <a:ln>
                      <a:noFill/>
                    </a:ln>
                    <a:extLst>
                      <a:ext uri="{53640926-AAD7-44D8-BBD7-CCE9431645EC}">
                        <a14:shadowObscured xmlns:a14="http://schemas.microsoft.com/office/drawing/2010/main"/>
                      </a:ext>
                    </a:extLst>
                  </pic:spPr>
                </pic:pic>
              </a:graphicData>
            </a:graphic>
          </wp:inline>
        </w:drawing>
      </w:r>
    </w:p>
    <w:p w14:paraId="76EB1DFD" w14:textId="6EA2EEA5" w:rsidR="00037AC3" w:rsidRDefault="007B399B" w:rsidP="007B399B">
      <w:pPr>
        <w:rPr>
          <w:lang w:val="en-US"/>
        </w:rPr>
      </w:pPr>
      <w:r w:rsidRPr="00131901">
        <w:rPr>
          <w:noProof/>
          <w:lang w:eastAsia="en-GB"/>
        </w:rPr>
        <w:drawing>
          <wp:inline distT="0" distB="0" distL="0" distR="0" wp14:anchorId="382E94AD" wp14:editId="6E0A7E79">
            <wp:extent cx="5909087" cy="1562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0">
                      <a:extLst>
                        <a:ext uri="{28A0092B-C50C-407E-A947-70E740481C1C}">
                          <a14:useLocalDpi xmlns:a14="http://schemas.microsoft.com/office/drawing/2010/main" val="0"/>
                        </a:ext>
                      </a:extLst>
                    </a:blip>
                    <a:srcRect r="37680"/>
                    <a:stretch/>
                  </pic:blipFill>
                  <pic:spPr bwMode="auto">
                    <a:xfrm>
                      <a:off x="0" y="0"/>
                      <a:ext cx="5920511" cy="1565120"/>
                    </a:xfrm>
                    <a:prstGeom prst="rect">
                      <a:avLst/>
                    </a:prstGeom>
                    <a:noFill/>
                    <a:ln>
                      <a:noFill/>
                    </a:ln>
                    <a:extLst>
                      <a:ext uri="{53640926-AAD7-44D8-BBD7-CCE9431645EC}">
                        <a14:shadowObscured xmlns:a14="http://schemas.microsoft.com/office/drawing/2010/main"/>
                      </a:ext>
                    </a:extLst>
                  </pic:spPr>
                </pic:pic>
              </a:graphicData>
            </a:graphic>
          </wp:inline>
        </w:drawing>
      </w:r>
    </w:p>
    <w:p w14:paraId="7BAA341D" w14:textId="77777777" w:rsidR="007B399B" w:rsidRDefault="007B399B" w:rsidP="00037AC3">
      <w:pPr>
        <w:rPr>
          <w:lang w:val="en-US"/>
        </w:rPr>
      </w:pPr>
    </w:p>
    <w:p w14:paraId="6C57805A" w14:textId="77777777" w:rsidR="00037AC3" w:rsidRDefault="00037AC3" w:rsidP="00037AC3">
      <w:pPr>
        <w:rPr>
          <w:lang w:val="en-US"/>
        </w:rPr>
      </w:pPr>
    </w:p>
    <w:p w14:paraId="73E3DD80" w14:textId="31CB2791" w:rsidR="00037AC3" w:rsidRPr="00037AC3" w:rsidRDefault="00037AC3" w:rsidP="00037AC3">
      <w:pPr>
        <w:pStyle w:val="Heading3"/>
        <w:rPr>
          <w:lang w:val="en-US"/>
        </w:rPr>
      </w:pPr>
      <w:bookmarkStart w:id="244" w:name="_Toc90500049"/>
      <w:r>
        <w:rPr>
          <w:lang w:val="en-US"/>
        </w:rPr>
        <w:lastRenderedPageBreak/>
        <w:t>GARCH</w:t>
      </w:r>
      <w:bookmarkEnd w:id="244"/>
      <w:r>
        <w:rPr>
          <w:lang w:val="en-US"/>
        </w:rPr>
        <w:t xml:space="preserve"> </w:t>
      </w:r>
    </w:p>
    <w:p w14:paraId="34EA7955" w14:textId="77777777" w:rsidR="007B399B" w:rsidRDefault="007B399B" w:rsidP="007B399B">
      <w:pPr>
        <w:rPr>
          <w:lang w:val="en-US"/>
        </w:rPr>
      </w:pPr>
      <w:r w:rsidRPr="00131901">
        <w:rPr>
          <w:noProof/>
          <w:lang w:eastAsia="en-GB"/>
        </w:rPr>
        <w:drawing>
          <wp:inline distT="0" distB="0" distL="0" distR="0" wp14:anchorId="23A2C8B1" wp14:editId="228A90AB">
            <wp:extent cx="5562193" cy="367665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1">
                      <a:extLst>
                        <a:ext uri="{28A0092B-C50C-407E-A947-70E740481C1C}">
                          <a14:useLocalDpi xmlns:a14="http://schemas.microsoft.com/office/drawing/2010/main" val="0"/>
                        </a:ext>
                      </a:extLst>
                    </a:blip>
                    <a:srcRect r="47319"/>
                    <a:stretch/>
                  </pic:blipFill>
                  <pic:spPr bwMode="auto">
                    <a:xfrm>
                      <a:off x="0" y="0"/>
                      <a:ext cx="5568661" cy="3680926"/>
                    </a:xfrm>
                    <a:prstGeom prst="rect">
                      <a:avLst/>
                    </a:prstGeom>
                    <a:noFill/>
                    <a:ln>
                      <a:noFill/>
                    </a:ln>
                    <a:extLst>
                      <a:ext uri="{53640926-AAD7-44D8-BBD7-CCE9431645EC}">
                        <a14:shadowObscured xmlns:a14="http://schemas.microsoft.com/office/drawing/2010/main"/>
                      </a:ext>
                    </a:extLst>
                  </pic:spPr>
                </pic:pic>
              </a:graphicData>
            </a:graphic>
          </wp:inline>
        </w:drawing>
      </w:r>
    </w:p>
    <w:p w14:paraId="223D86A0" w14:textId="77777777" w:rsidR="007B399B" w:rsidRDefault="007B399B" w:rsidP="007B399B">
      <w:pPr>
        <w:rPr>
          <w:lang w:val="en-US"/>
        </w:rPr>
      </w:pPr>
    </w:p>
    <w:p w14:paraId="2D626C50" w14:textId="77777777" w:rsidR="007B399B" w:rsidRDefault="007B399B" w:rsidP="007B399B">
      <w:pPr>
        <w:rPr>
          <w:lang w:val="en-US"/>
        </w:rPr>
      </w:pPr>
      <w:r w:rsidRPr="00131901">
        <w:rPr>
          <w:noProof/>
          <w:lang w:eastAsia="en-GB"/>
        </w:rPr>
        <w:drawing>
          <wp:inline distT="0" distB="0" distL="0" distR="0" wp14:anchorId="2E373FDC" wp14:editId="6AD32716">
            <wp:extent cx="5702935" cy="15144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2">
                      <a:extLst>
                        <a:ext uri="{28A0092B-C50C-407E-A947-70E740481C1C}">
                          <a14:useLocalDpi xmlns:a14="http://schemas.microsoft.com/office/drawing/2010/main" val="0"/>
                        </a:ext>
                      </a:extLst>
                    </a:blip>
                    <a:srcRect r="38345"/>
                    <a:stretch/>
                  </pic:blipFill>
                  <pic:spPr bwMode="auto">
                    <a:xfrm>
                      <a:off x="0" y="0"/>
                      <a:ext cx="5711419" cy="1516728"/>
                    </a:xfrm>
                    <a:prstGeom prst="rect">
                      <a:avLst/>
                    </a:prstGeom>
                    <a:noFill/>
                    <a:ln>
                      <a:noFill/>
                    </a:ln>
                    <a:extLst>
                      <a:ext uri="{53640926-AAD7-44D8-BBD7-CCE9431645EC}">
                        <a14:shadowObscured xmlns:a14="http://schemas.microsoft.com/office/drawing/2010/main"/>
                      </a:ext>
                    </a:extLst>
                  </pic:spPr>
                </pic:pic>
              </a:graphicData>
            </a:graphic>
          </wp:inline>
        </w:drawing>
      </w:r>
    </w:p>
    <w:p w14:paraId="33E1F7C7" w14:textId="77777777" w:rsidR="007B399B" w:rsidRDefault="007B399B" w:rsidP="007B399B">
      <w:pPr>
        <w:rPr>
          <w:lang w:val="en-US"/>
        </w:rPr>
      </w:pPr>
    </w:p>
    <w:p w14:paraId="7EEB6867" w14:textId="0B7D832F" w:rsidR="007B399B" w:rsidRDefault="007B399B" w:rsidP="007B399B">
      <w:pPr>
        <w:rPr>
          <w:lang w:val="en-US"/>
        </w:rPr>
      </w:pPr>
    </w:p>
    <w:p w14:paraId="11002F32" w14:textId="77777777" w:rsidR="00037AC3" w:rsidRDefault="00037AC3" w:rsidP="007B399B">
      <w:pPr>
        <w:rPr>
          <w:lang w:val="en-US"/>
        </w:rPr>
      </w:pPr>
    </w:p>
    <w:p w14:paraId="02BAC217" w14:textId="77777777" w:rsidR="00037AC3" w:rsidRDefault="00037AC3" w:rsidP="007B399B">
      <w:pPr>
        <w:rPr>
          <w:lang w:val="en-US"/>
        </w:rPr>
      </w:pPr>
    </w:p>
    <w:p w14:paraId="51B4A5E7" w14:textId="77777777" w:rsidR="00037AC3" w:rsidRDefault="00037AC3" w:rsidP="007B399B">
      <w:pPr>
        <w:rPr>
          <w:lang w:val="en-US"/>
        </w:rPr>
      </w:pPr>
    </w:p>
    <w:p w14:paraId="1A4D6114" w14:textId="77777777" w:rsidR="00037AC3" w:rsidRDefault="00037AC3" w:rsidP="007B399B">
      <w:pPr>
        <w:rPr>
          <w:lang w:val="en-US"/>
        </w:rPr>
      </w:pPr>
    </w:p>
    <w:p w14:paraId="2591F271" w14:textId="77777777" w:rsidR="00037AC3" w:rsidRDefault="00037AC3" w:rsidP="007B399B">
      <w:pPr>
        <w:rPr>
          <w:lang w:val="en-US"/>
        </w:rPr>
      </w:pPr>
    </w:p>
    <w:p w14:paraId="6B0E990A" w14:textId="77777777" w:rsidR="00037AC3" w:rsidRDefault="00037AC3" w:rsidP="007B399B">
      <w:pPr>
        <w:rPr>
          <w:lang w:val="en-US"/>
        </w:rPr>
      </w:pPr>
    </w:p>
    <w:p w14:paraId="2A11F31E" w14:textId="77777777" w:rsidR="00037AC3" w:rsidRDefault="00037AC3" w:rsidP="007B399B">
      <w:pPr>
        <w:rPr>
          <w:lang w:val="en-US"/>
        </w:rPr>
      </w:pPr>
    </w:p>
    <w:p w14:paraId="194FA3F9" w14:textId="419F6E8C" w:rsidR="00037AC3" w:rsidRDefault="00037AC3" w:rsidP="00037AC3">
      <w:pPr>
        <w:pStyle w:val="Heading3"/>
        <w:rPr>
          <w:lang w:val="en-US"/>
        </w:rPr>
      </w:pPr>
      <w:bookmarkStart w:id="245" w:name="_Toc90500050"/>
      <w:r>
        <w:rPr>
          <w:lang w:val="en-US"/>
        </w:rPr>
        <w:lastRenderedPageBreak/>
        <w:t>IFBM GARCH</w:t>
      </w:r>
      <w:bookmarkEnd w:id="245"/>
      <w:r>
        <w:rPr>
          <w:lang w:val="en-US"/>
        </w:rPr>
        <w:t xml:space="preserve"> </w:t>
      </w:r>
    </w:p>
    <w:p w14:paraId="281132D4" w14:textId="77777777" w:rsidR="007B399B" w:rsidRDefault="007B399B" w:rsidP="007B399B">
      <w:pPr>
        <w:rPr>
          <w:lang w:val="en-US"/>
        </w:rPr>
      </w:pPr>
      <w:r w:rsidRPr="00131901">
        <w:rPr>
          <w:noProof/>
          <w:lang w:eastAsia="en-GB"/>
        </w:rPr>
        <w:drawing>
          <wp:inline distT="0" distB="0" distL="0" distR="0" wp14:anchorId="58C75065" wp14:editId="34341B0B">
            <wp:extent cx="5647996" cy="37147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a:extLst>
                        <a:ext uri="{28A0092B-C50C-407E-A947-70E740481C1C}">
                          <a14:useLocalDpi xmlns:a14="http://schemas.microsoft.com/office/drawing/2010/main" val="0"/>
                        </a:ext>
                      </a:extLst>
                    </a:blip>
                    <a:srcRect r="46322"/>
                    <a:stretch/>
                  </pic:blipFill>
                  <pic:spPr bwMode="auto">
                    <a:xfrm>
                      <a:off x="0" y="0"/>
                      <a:ext cx="5656238" cy="3720171"/>
                    </a:xfrm>
                    <a:prstGeom prst="rect">
                      <a:avLst/>
                    </a:prstGeom>
                    <a:noFill/>
                    <a:ln>
                      <a:noFill/>
                    </a:ln>
                    <a:extLst>
                      <a:ext uri="{53640926-AAD7-44D8-BBD7-CCE9431645EC}">
                        <a14:shadowObscured xmlns:a14="http://schemas.microsoft.com/office/drawing/2010/main"/>
                      </a:ext>
                    </a:extLst>
                  </pic:spPr>
                </pic:pic>
              </a:graphicData>
            </a:graphic>
          </wp:inline>
        </w:drawing>
      </w:r>
    </w:p>
    <w:p w14:paraId="2CFC3AC1" w14:textId="77777777" w:rsidR="00037AC3" w:rsidRDefault="00037AC3" w:rsidP="007B399B">
      <w:pPr>
        <w:rPr>
          <w:b/>
          <w:bCs/>
          <w:lang w:val="en-US"/>
        </w:rPr>
      </w:pPr>
    </w:p>
    <w:p w14:paraId="6366CC56" w14:textId="2C0C310B" w:rsidR="00037AC3" w:rsidRDefault="00037AC3" w:rsidP="007B399B">
      <w:pPr>
        <w:rPr>
          <w:b/>
          <w:bCs/>
          <w:lang w:val="en-US"/>
        </w:rPr>
      </w:pPr>
      <w:r w:rsidRPr="00131901">
        <w:rPr>
          <w:noProof/>
          <w:lang w:eastAsia="en-GB"/>
        </w:rPr>
        <w:drawing>
          <wp:inline distT="0" distB="0" distL="0" distR="0" wp14:anchorId="6AC24B42" wp14:editId="3ACE2221">
            <wp:extent cx="5637269" cy="151447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3">
                      <a:extLst>
                        <a:ext uri="{28A0092B-C50C-407E-A947-70E740481C1C}">
                          <a14:useLocalDpi xmlns:a14="http://schemas.microsoft.com/office/drawing/2010/main" val="0"/>
                        </a:ext>
                      </a:extLst>
                    </a:blip>
                    <a:srcRect r="38677"/>
                    <a:stretch/>
                  </pic:blipFill>
                  <pic:spPr bwMode="auto">
                    <a:xfrm>
                      <a:off x="0" y="0"/>
                      <a:ext cx="5642044" cy="1515758"/>
                    </a:xfrm>
                    <a:prstGeom prst="rect">
                      <a:avLst/>
                    </a:prstGeom>
                    <a:noFill/>
                    <a:ln>
                      <a:noFill/>
                    </a:ln>
                    <a:extLst>
                      <a:ext uri="{53640926-AAD7-44D8-BBD7-CCE9431645EC}">
                        <a14:shadowObscured xmlns:a14="http://schemas.microsoft.com/office/drawing/2010/main"/>
                      </a:ext>
                    </a:extLst>
                  </pic:spPr>
                </pic:pic>
              </a:graphicData>
            </a:graphic>
          </wp:inline>
        </w:drawing>
      </w:r>
    </w:p>
    <w:p w14:paraId="0ECD8417" w14:textId="77777777" w:rsidR="00037AC3" w:rsidRDefault="00037AC3" w:rsidP="007B399B">
      <w:pPr>
        <w:rPr>
          <w:b/>
          <w:bCs/>
          <w:lang w:val="en-US"/>
        </w:rPr>
      </w:pPr>
    </w:p>
    <w:p w14:paraId="7D512285" w14:textId="77777777" w:rsidR="00037AC3" w:rsidRDefault="00037AC3" w:rsidP="007B399B">
      <w:pPr>
        <w:rPr>
          <w:b/>
          <w:bCs/>
          <w:lang w:val="en-US"/>
        </w:rPr>
      </w:pPr>
    </w:p>
    <w:p w14:paraId="2F83DFCC" w14:textId="77777777" w:rsidR="007B399B" w:rsidRPr="00025C7D" w:rsidRDefault="007B399B" w:rsidP="00025C7D">
      <w:pPr>
        <w:rPr>
          <w:color w:val="548DD4" w:themeColor="text2" w:themeTint="99"/>
          <w:sz w:val="26"/>
          <w:szCs w:val="26"/>
          <w:lang w:val="en-US"/>
        </w:rPr>
      </w:pPr>
      <w:r w:rsidRPr="00025C7D">
        <w:rPr>
          <w:color w:val="548DD4" w:themeColor="text2" w:themeTint="99"/>
          <w:sz w:val="26"/>
          <w:szCs w:val="26"/>
          <w:lang w:val="en-US"/>
        </w:rPr>
        <w:t>1992-1993</w:t>
      </w:r>
    </w:p>
    <w:p w14:paraId="6A4518A0" w14:textId="77CEA85C" w:rsidR="00025C7D" w:rsidRPr="00025C7D" w:rsidRDefault="00025C7D" w:rsidP="00025C7D">
      <w:pPr>
        <w:rPr>
          <w:color w:val="548DD4" w:themeColor="text2" w:themeTint="99"/>
          <w:sz w:val="26"/>
          <w:szCs w:val="26"/>
          <w:lang w:val="en-US"/>
        </w:rPr>
      </w:pPr>
      <w:r w:rsidRPr="00025C7D">
        <w:rPr>
          <w:color w:val="548DD4" w:themeColor="text2" w:themeTint="99"/>
          <w:sz w:val="26"/>
          <w:szCs w:val="26"/>
          <w:lang w:val="en-US"/>
        </w:rPr>
        <w:t xml:space="preserve">Descriptive Statistics </w:t>
      </w:r>
    </w:p>
    <w:p w14:paraId="712D5386" w14:textId="5E33E62C" w:rsidR="00025C7D" w:rsidRDefault="007B399B" w:rsidP="007B399B">
      <w:pPr>
        <w:rPr>
          <w:noProof/>
          <w:lang w:val="en-US"/>
        </w:rPr>
      </w:pPr>
      <w:r w:rsidRPr="00131901">
        <w:rPr>
          <w:noProof/>
          <w:lang w:eastAsia="en-GB"/>
        </w:rPr>
        <w:drawing>
          <wp:inline distT="0" distB="0" distL="0" distR="0" wp14:anchorId="4B4EC7C9" wp14:editId="28534A9B">
            <wp:extent cx="5896051" cy="84693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3">
                      <a:extLst>
                        <a:ext uri="{28A0092B-C50C-407E-A947-70E740481C1C}">
                          <a14:useLocalDpi xmlns:a14="http://schemas.microsoft.com/office/drawing/2010/main" val="0"/>
                        </a:ext>
                      </a:extLst>
                    </a:blip>
                    <a:srcRect r="42693"/>
                    <a:stretch/>
                  </pic:blipFill>
                  <pic:spPr bwMode="auto">
                    <a:xfrm>
                      <a:off x="0" y="0"/>
                      <a:ext cx="5953830" cy="855237"/>
                    </a:xfrm>
                    <a:prstGeom prst="rect">
                      <a:avLst/>
                    </a:prstGeom>
                    <a:noFill/>
                    <a:ln>
                      <a:noFill/>
                    </a:ln>
                    <a:extLst>
                      <a:ext uri="{53640926-AAD7-44D8-BBD7-CCE9431645EC}">
                        <a14:shadowObscured xmlns:a14="http://schemas.microsoft.com/office/drawing/2010/main"/>
                      </a:ext>
                    </a:extLst>
                  </pic:spPr>
                </pic:pic>
              </a:graphicData>
            </a:graphic>
          </wp:inline>
        </w:drawing>
      </w:r>
    </w:p>
    <w:p w14:paraId="08121329" w14:textId="77777777" w:rsidR="007B399B" w:rsidRDefault="007B399B" w:rsidP="00025C7D">
      <w:pPr>
        <w:rPr>
          <w:lang w:val="en-US"/>
        </w:rPr>
      </w:pPr>
    </w:p>
    <w:p w14:paraId="4EED1C29" w14:textId="77777777" w:rsidR="00025C7D" w:rsidRDefault="00025C7D" w:rsidP="00025C7D">
      <w:pPr>
        <w:rPr>
          <w:lang w:val="en-US"/>
        </w:rPr>
      </w:pPr>
    </w:p>
    <w:p w14:paraId="2CF91BB4" w14:textId="6BA88CF3" w:rsidR="00025C7D" w:rsidRPr="00025C7D" w:rsidRDefault="00025C7D" w:rsidP="00025C7D">
      <w:pPr>
        <w:rPr>
          <w:color w:val="548DD4" w:themeColor="text2" w:themeTint="99"/>
          <w:sz w:val="26"/>
          <w:szCs w:val="26"/>
          <w:lang w:val="en-US"/>
        </w:rPr>
      </w:pPr>
      <w:proofErr w:type="spellStart"/>
      <w:r w:rsidRPr="00025C7D">
        <w:rPr>
          <w:color w:val="548DD4" w:themeColor="text2" w:themeTint="99"/>
          <w:sz w:val="26"/>
          <w:szCs w:val="26"/>
          <w:lang w:val="en-US"/>
        </w:rPr>
        <w:t>Historics</w:t>
      </w:r>
      <w:proofErr w:type="spellEnd"/>
      <w:r w:rsidRPr="00025C7D">
        <w:rPr>
          <w:color w:val="548DD4" w:themeColor="text2" w:themeTint="99"/>
          <w:sz w:val="26"/>
          <w:szCs w:val="26"/>
          <w:lang w:val="en-US"/>
        </w:rPr>
        <w:t xml:space="preserve"> returns</w:t>
      </w:r>
    </w:p>
    <w:p w14:paraId="72EA2148" w14:textId="77777777" w:rsidR="007B399B" w:rsidRDefault="007B399B" w:rsidP="007B399B">
      <w:pPr>
        <w:rPr>
          <w:noProof/>
          <w:lang w:val="en-US"/>
        </w:rPr>
      </w:pPr>
      <w:r w:rsidRPr="00131901">
        <w:rPr>
          <w:noProof/>
          <w:lang w:eastAsia="en-GB"/>
        </w:rPr>
        <w:drawing>
          <wp:inline distT="0" distB="0" distL="0" distR="0" wp14:anchorId="1E61D4F5" wp14:editId="5F2F8C8A">
            <wp:extent cx="5873532" cy="3448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4">
                      <a:extLst>
                        <a:ext uri="{28A0092B-C50C-407E-A947-70E740481C1C}">
                          <a14:useLocalDpi xmlns:a14="http://schemas.microsoft.com/office/drawing/2010/main" val="0"/>
                        </a:ext>
                      </a:extLst>
                    </a:blip>
                    <a:srcRect r="45246"/>
                    <a:stretch/>
                  </pic:blipFill>
                  <pic:spPr bwMode="auto">
                    <a:xfrm>
                      <a:off x="0" y="0"/>
                      <a:ext cx="5888250" cy="3456690"/>
                    </a:xfrm>
                    <a:prstGeom prst="rect">
                      <a:avLst/>
                    </a:prstGeom>
                    <a:noFill/>
                    <a:ln>
                      <a:noFill/>
                    </a:ln>
                    <a:extLst>
                      <a:ext uri="{53640926-AAD7-44D8-BBD7-CCE9431645EC}">
                        <a14:shadowObscured xmlns:a14="http://schemas.microsoft.com/office/drawing/2010/main"/>
                      </a:ext>
                    </a:extLst>
                  </pic:spPr>
                </pic:pic>
              </a:graphicData>
            </a:graphic>
          </wp:inline>
        </w:drawing>
      </w:r>
    </w:p>
    <w:p w14:paraId="1B0BACB0" w14:textId="77777777" w:rsidR="007B399B" w:rsidRDefault="007B399B" w:rsidP="007B399B">
      <w:pPr>
        <w:rPr>
          <w:lang w:val="en-US"/>
        </w:rPr>
      </w:pPr>
      <w:r w:rsidRPr="00131901">
        <w:rPr>
          <w:noProof/>
          <w:lang w:eastAsia="en-GB"/>
        </w:rPr>
        <w:drawing>
          <wp:inline distT="0" distB="0" distL="0" distR="0" wp14:anchorId="13F9A126" wp14:editId="6AA7F084">
            <wp:extent cx="5501030" cy="147012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5">
                      <a:extLst>
                        <a:ext uri="{28A0092B-C50C-407E-A947-70E740481C1C}">
                          <a14:useLocalDpi xmlns:a14="http://schemas.microsoft.com/office/drawing/2010/main" val="0"/>
                        </a:ext>
                      </a:extLst>
                    </a:blip>
                    <a:srcRect r="38354"/>
                    <a:stretch/>
                  </pic:blipFill>
                  <pic:spPr bwMode="auto">
                    <a:xfrm>
                      <a:off x="0" y="0"/>
                      <a:ext cx="5534481" cy="1479069"/>
                    </a:xfrm>
                    <a:prstGeom prst="rect">
                      <a:avLst/>
                    </a:prstGeom>
                    <a:noFill/>
                    <a:ln>
                      <a:noFill/>
                    </a:ln>
                    <a:extLst>
                      <a:ext uri="{53640926-AAD7-44D8-BBD7-CCE9431645EC}">
                        <a14:shadowObscured xmlns:a14="http://schemas.microsoft.com/office/drawing/2010/main"/>
                      </a:ext>
                    </a:extLst>
                  </pic:spPr>
                </pic:pic>
              </a:graphicData>
            </a:graphic>
          </wp:inline>
        </w:drawing>
      </w:r>
    </w:p>
    <w:p w14:paraId="29EC9436" w14:textId="77777777" w:rsidR="007B399B" w:rsidRDefault="007B399B" w:rsidP="007B399B">
      <w:pPr>
        <w:rPr>
          <w:lang w:val="en-US"/>
        </w:rPr>
      </w:pPr>
    </w:p>
    <w:p w14:paraId="16762D1D" w14:textId="77777777" w:rsidR="00025C7D" w:rsidRDefault="00025C7D" w:rsidP="007B399B">
      <w:pPr>
        <w:rPr>
          <w:lang w:val="en-US"/>
        </w:rPr>
      </w:pPr>
    </w:p>
    <w:p w14:paraId="4EAD6E87" w14:textId="77777777" w:rsidR="00025C7D" w:rsidRDefault="00025C7D" w:rsidP="007B399B">
      <w:pPr>
        <w:rPr>
          <w:lang w:val="en-US"/>
        </w:rPr>
      </w:pPr>
    </w:p>
    <w:p w14:paraId="6E761C56" w14:textId="77777777" w:rsidR="00025C7D" w:rsidRDefault="00025C7D" w:rsidP="007B399B">
      <w:pPr>
        <w:rPr>
          <w:lang w:val="en-US"/>
        </w:rPr>
      </w:pPr>
    </w:p>
    <w:p w14:paraId="442A13A4" w14:textId="77777777" w:rsidR="00025C7D" w:rsidRDefault="00025C7D" w:rsidP="007B399B">
      <w:pPr>
        <w:rPr>
          <w:lang w:val="en-US"/>
        </w:rPr>
      </w:pPr>
    </w:p>
    <w:p w14:paraId="1D4052EC" w14:textId="77777777" w:rsidR="00025C7D" w:rsidRDefault="00025C7D" w:rsidP="007B399B">
      <w:pPr>
        <w:rPr>
          <w:lang w:val="en-US"/>
        </w:rPr>
      </w:pPr>
    </w:p>
    <w:p w14:paraId="47B9E121" w14:textId="77777777" w:rsidR="00025C7D" w:rsidRDefault="00025C7D" w:rsidP="007B399B">
      <w:pPr>
        <w:rPr>
          <w:lang w:val="en-US"/>
        </w:rPr>
      </w:pPr>
    </w:p>
    <w:p w14:paraId="40FE8E13" w14:textId="77777777" w:rsidR="00025C7D" w:rsidRDefault="00025C7D" w:rsidP="007B399B">
      <w:pPr>
        <w:rPr>
          <w:lang w:val="en-US"/>
        </w:rPr>
      </w:pPr>
    </w:p>
    <w:p w14:paraId="009D35A4" w14:textId="77777777" w:rsidR="00025C7D" w:rsidRDefault="00025C7D" w:rsidP="007B399B">
      <w:pPr>
        <w:rPr>
          <w:lang w:val="en-US"/>
        </w:rPr>
      </w:pPr>
    </w:p>
    <w:p w14:paraId="2A1F73AD" w14:textId="77777777" w:rsidR="00025C7D" w:rsidRDefault="00025C7D" w:rsidP="007B399B">
      <w:pPr>
        <w:rPr>
          <w:lang w:val="en-US"/>
        </w:rPr>
      </w:pPr>
    </w:p>
    <w:p w14:paraId="13A575F0" w14:textId="4DAA3F1B" w:rsidR="00025C7D" w:rsidRPr="00025C7D" w:rsidRDefault="00025C7D" w:rsidP="007B399B">
      <w:pPr>
        <w:rPr>
          <w:color w:val="548DD4" w:themeColor="text2" w:themeTint="99"/>
          <w:sz w:val="26"/>
          <w:szCs w:val="26"/>
          <w:lang w:val="en-US"/>
        </w:rPr>
      </w:pPr>
      <w:r w:rsidRPr="00025C7D">
        <w:rPr>
          <w:color w:val="548DD4" w:themeColor="text2" w:themeTint="99"/>
          <w:sz w:val="26"/>
          <w:szCs w:val="26"/>
          <w:lang w:val="en-US"/>
        </w:rPr>
        <w:t>GARCH</w:t>
      </w:r>
    </w:p>
    <w:p w14:paraId="73FE9EE6" w14:textId="77777777" w:rsidR="007B399B" w:rsidRDefault="007B399B" w:rsidP="007B399B">
      <w:pPr>
        <w:rPr>
          <w:noProof/>
          <w:lang w:val="en-US"/>
        </w:rPr>
      </w:pPr>
      <w:r w:rsidRPr="00B6013E">
        <w:rPr>
          <w:noProof/>
          <w:lang w:eastAsia="en-GB"/>
        </w:rPr>
        <w:drawing>
          <wp:inline distT="0" distB="0" distL="0" distR="0" wp14:anchorId="47C2DD42" wp14:editId="1C5E840B">
            <wp:extent cx="5551805" cy="31908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6">
                      <a:extLst>
                        <a:ext uri="{28A0092B-C50C-407E-A947-70E740481C1C}">
                          <a14:useLocalDpi xmlns:a14="http://schemas.microsoft.com/office/drawing/2010/main" val="0"/>
                        </a:ext>
                      </a:extLst>
                    </a:blip>
                    <a:srcRect r="55712"/>
                    <a:stretch/>
                  </pic:blipFill>
                  <pic:spPr bwMode="auto">
                    <a:xfrm>
                      <a:off x="0" y="0"/>
                      <a:ext cx="5558531" cy="3194741"/>
                    </a:xfrm>
                    <a:prstGeom prst="rect">
                      <a:avLst/>
                    </a:prstGeom>
                    <a:noFill/>
                    <a:ln>
                      <a:noFill/>
                    </a:ln>
                    <a:extLst>
                      <a:ext uri="{53640926-AAD7-44D8-BBD7-CCE9431645EC}">
                        <a14:shadowObscured xmlns:a14="http://schemas.microsoft.com/office/drawing/2010/main"/>
                      </a:ext>
                    </a:extLst>
                  </pic:spPr>
                </pic:pic>
              </a:graphicData>
            </a:graphic>
          </wp:inline>
        </w:drawing>
      </w:r>
    </w:p>
    <w:p w14:paraId="0A22E21B" w14:textId="77777777" w:rsidR="007B399B" w:rsidRDefault="007B399B" w:rsidP="007B399B">
      <w:pPr>
        <w:rPr>
          <w:lang w:val="en-US"/>
        </w:rPr>
      </w:pPr>
    </w:p>
    <w:p w14:paraId="7748E5B8" w14:textId="77777777" w:rsidR="007B399B" w:rsidRDefault="007B399B" w:rsidP="007B399B">
      <w:pPr>
        <w:rPr>
          <w:lang w:val="en-US"/>
        </w:rPr>
      </w:pPr>
      <w:r w:rsidRPr="00B6013E">
        <w:rPr>
          <w:noProof/>
          <w:lang w:eastAsia="en-GB"/>
        </w:rPr>
        <w:drawing>
          <wp:inline distT="0" distB="0" distL="0" distR="0" wp14:anchorId="68386D88" wp14:editId="671C64EC">
            <wp:extent cx="5396137" cy="16478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7">
                      <a:extLst>
                        <a:ext uri="{28A0092B-C50C-407E-A947-70E740481C1C}">
                          <a14:useLocalDpi xmlns:a14="http://schemas.microsoft.com/office/drawing/2010/main" val="0"/>
                        </a:ext>
                      </a:extLst>
                    </a:blip>
                    <a:srcRect r="37971"/>
                    <a:stretch/>
                  </pic:blipFill>
                  <pic:spPr bwMode="auto">
                    <a:xfrm>
                      <a:off x="0" y="0"/>
                      <a:ext cx="5440746" cy="1661447"/>
                    </a:xfrm>
                    <a:prstGeom prst="rect">
                      <a:avLst/>
                    </a:prstGeom>
                    <a:noFill/>
                    <a:ln>
                      <a:noFill/>
                    </a:ln>
                    <a:extLst>
                      <a:ext uri="{53640926-AAD7-44D8-BBD7-CCE9431645EC}">
                        <a14:shadowObscured xmlns:a14="http://schemas.microsoft.com/office/drawing/2010/main"/>
                      </a:ext>
                    </a:extLst>
                  </pic:spPr>
                </pic:pic>
              </a:graphicData>
            </a:graphic>
          </wp:inline>
        </w:drawing>
      </w:r>
    </w:p>
    <w:p w14:paraId="42A1C1B9" w14:textId="77777777" w:rsidR="007B399B" w:rsidRDefault="007B399B" w:rsidP="007B399B">
      <w:pPr>
        <w:rPr>
          <w:lang w:val="en-US"/>
        </w:rPr>
      </w:pPr>
    </w:p>
    <w:p w14:paraId="5291B60A" w14:textId="77777777" w:rsidR="007B399B" w:rsidRDefault="007B399B" w:rsidP="007B399B">
      <w:pPr>
        <w:rPr>
          <w:lang w:val="en-US"/>
        </w:rPr>
      </w:pPr>
    </w:p>
    <w:p w14:paraId="1743D8DF" w14:textId="77777777" w:rsidR="00025C7D" w:rsidRDefault="00025C7D" w:rsidP="007B399B">
      <w:pPr>
        <w:rPr>
          <w:lang w:val="en-US"/>
        </w:rPr>
      </w:pPr>
    </w:p>
    <w:p w14:paraId="20E3ADF1" w14:textId="77777777" w:rsidR="00025C7D" w:rsidRDefault="00025C7D" w:rsidP="007B399B">
      <w:pPr>
        <w:rPr>
          <w:lang w:val="en-US"/>
        </w:rPr>
      </w:pPr>
    </w:p>
    <w:p w14:paraId="5994C29A" w14:textId="77777777" w:rsidR="00025C7D" w:rsidRDefault="00025C7D" w:rsidP="007B399B">
      <w:pPr>
        <w:rPr>
          <w:lang w:val="en-US"/>
        </w:rPr>
      </w:pPr>
    </w:p>
    <w:p w14:paraId="3AFA75CC" w14:textId="77777777" w:rsidR="00025C7D" w:rsidRDefault="00025C7D" w:rsidP="007B399B">
      <w:pPr>
        <w:rPr>
          <w:lang w:val="en-US"/>
        </w:rPr>
      </w:pPr>
    </w:p>
    <w:p w14:paraId="3585E382" w14:textId="77777777" w:rsidR="00025C7D" w:rsidRDefault="00025C7D" w:rsidP="007B399B">
      <w:pPr>
        <w:rPr>
          <w:lang w:val="en-US"/>
        </w:rPr>
      </w:pPr>
    </w:p>
    <w:p w14:paraId="6C75C83E" w14:textId="77777777" w:rsidR="00025C7D" w:rsidRDefault="00025C7D" w:rsidP="007B399B">
      <w:pPr>
        <w:rPr>
          <w:lang w:val="en-US"/>
        </w:rPr>
      </w:pPr>
    </w:p>
    <w:p w14:paraId="7D8FE071" w14:textId="77777777" w:rsidR="00025C7D" w:rsidRDefault="00025C7D" w:rsidP="007B399B">
      <w:pPr>
        <w:rPr>
          <w:lang w:val="en-US"/>
        </w:rPr>
      </w:pPr>
    </w:p>
    <w:p w14:paraId="13A23AE0" w14:textId="51B96589" w:rsidR="00025C7D" w:rsidRPr="00025C7D" w:rsidRDefault="00025C7D" w:rsidP="007B399B">
      <w:pPr>
        <w:rPr>
          <w:color w:val="548DD4" w:themeColor="text2" w:themeTint="99"/>
          <w:sz w:val="26"/>
          <w:szCs w:val="26"/>
          <w:lang w:val="en-US"/>
        </w:rPr>
      </w:pPr>
      <w:r w:rsidRPr="00025C7D">
        <w:rPr>
          <w:color w:val="548DD4" w:themeColor="text2" w:themeTint="99"/>
          <w:sz w:val="26"/>
          <w:szCs w:val="26"/>
          <w:lang w:val="en-US"/>
        </w:rPr>
        <w:t>IFBM GARCH</w:t>
      </w:r>
    </w:p>
    <w:p w14:paraId="3B0183B0" w14:textId="77777777" w:rsidR="007B399B" w:rsidRDefault="007B399B" w:rsidP="007B399B">
      <w:pPr>
        <w:rPr>
          <w:noProof/>
          <w:lang w:val="en-US"/>
        </w:rPr>
      </w:pPr>
      <w:r w:rsidRPr="00B6013E">
        <w:rPr>
          <w:noProof/>
          <w:lang w:eastAsia="en-GB"/>
        </w:rPr>
        <w:drawing>
          <wp:inline distT="0" distB="0" distL="0" distR="0" wp14:anchorId="35CAF9E3" wp14:editId="33BD0CDD">
            <wp:extent cx="5697855" cy="42195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8">
                      <a:extLst>
                        <a:ext uri="{28A0092B-C50C-407E-A947-70E740481C1C}">
                          <a14:useLocalDpi xmlns:a14="http://schemas.microsoft.com/office/drawing/2010/main" val="0"/>
                        </a:ext>
                      </a:extLst>
                    </a:blip>
                    <a:srcRect r="45246"/>
                    <a:stretch/>
                  </pic:blipFill>
                  <pic:spPr bwMode="auto">
                    <a:xfrm>
                      <a:off x="0" y="0"/>
                      <a:ext cx="5708417" cy="4227397"/>
                    </a:xfrm>
                    <a:prstGeom prst="rect">
                      <a:avLst/>
                    </a:prstGeom>
                    <a:noFill/>
                    <a:ln>
                      <a:noFill/>
                    </a:ln>
                    <a:extLst>
                      <a:ext uri="{53640926-AAD7-44D8-BBD7-CCE9431645EC}">
                        <a14:shadowObscured xmlns:a14="http://schemas.microsoft.com/office/drawing/2010/main"/>
                      </a:ext>
                    </a:extLst>
                  </pic:spPr>
                </pic:pic>
              </a:graphicData>
            </a:graphic>
          </wp:inline>
        </w:drawing>
      </w:r>
    </w:p>
    <w:p w14:paraId="4425B98C" w14:textId="77777777" w:rsidR="007B399B" w:rsidRDefault="007B399B" w:rsidP="007B399B">
      <w:pPr>
        <w:rPr>
          <w:lang w:val="en-US"/>
        </w:rPr>
      </w:pPr>
      <w:r w:rsidRPr="00B6013E">
        <w:rPr>
          <w:noProof/>
          <w:lang w:eastAsia="en-GB"/>
        </w:rPr>
        <w:drawing>
          <wp:inline distT="0" distB="0" distL="0" distR="0" wp14:anchorId="4A2C4CB4" wp14:editId="2087614C">
            <wp:extent cx="5508346" cy="160979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9">
                      <a:extLst>
                        <a:ext uri="{28A0092B-C50C-407E-A947-70E740481C1C}">
                          <a14:useLocalDpi xmlns:a14="http://schemas.microsoft.com/office/drawing/2010/main" val="0"/>
                        </a:ext>
                      </a:extLst>
                    </a:blip>
                    <a:srcRect r="37979"/>
                    <a:stretch/>
                  </pic:blipFill>
                  <pic:spPr bwMode="auto">
                    <a:xfrm>
                      <a:off x="0" y="0"/>
                      <a:ext cx="5546335" cy="1620901"/>
                    </a:xfrm>
                    <a:prstGeom prst="rect">
                      <a:avLst/>
                    </a:prstGeom>
                    <a:noFill/>
                    <a:ln>
                      <a:noFill/>
                    </a:ln>
                    <a:extLst>
                      <a:ext uri="{53640926-AAD7-44D8-BBD7-CCE9431645EC}">
                        <a14:shadowObscured xmlns:a14="http://schemas.microsoft.com/office/drawing/2010/main"/>
                      </a:ext>
                    </a:extLst>
                  </pic:spPr>
                </pic:pic>
              </a:graphicData>
            </a:graphic>
          </wp:inline>
        </w:drawing>
      </w:r>
    </w:p>
    <w:p w14:paraId="6A63C620" w14:textId="77777777" w:rsidR="007B399B" w:rsidRDefault="007B399B" w:rsidP="007B399B">
      <w:pPr>
        <w:rPr>
          <w:b/>
          <w:bCs/>
          <w:color w:val="548DD4" w:themeColor="text2" w:themeTint="99"/>
          <w:sz w:val="26"/>
          <w:szCs w:val="26"/>
          <w:lang w:val="en-US"/>
        </w:rPr>
      </w:pPr>
      <w:r w:rsidRPr="00025C7D">
        <w:rPr>
          <w:b/>
          <w:bCs/>
          <w:color w:val="548DD4" w:themeColor="text2" w:themeTint="99"/>
          <w:sz w:val="26"/>
          <w:szCs w:val="26"/>
          <w:lang w:val="en-US"/>
        </w:rPr>
        <w:t>1994-1995</w:t>
      </w:r>
    </w:p>
    <w:p w14:paraId="0EC1A59A" w14:textId="7230AE7C" w:rsidR="00025C7D" w:rsidRPr="00025C7D" w:rsidRDefault="00025C7D" w:rsidP="007B399B">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10B4BC01" w14:textId="77777777" w:rsidR="007B399B" w:rsidRDefault="007B399B" w:rsidP="007B399B">
      <w:pPr>
        <w:rPr>
          <w:lang w:val="en-US"/>
        </w:rPr>
      </w:pPr>
      <w:r w:rsidRPr="00B6013E">
        <w:rPr>
          <w:noProof/>
          <w:lang w:eastAsia="en-GB"/>
        </w:rPr>
        <w:drawing>
          <wp:inline distT="0" distB="0" distL="0" distR="0" wp14:anchorId="04AC542A" wp14:editId="62258188">
            <wp:extent cx="5876116" cy="1002182"/>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0">
                      <a:extLst>
                        <a:ext uri="{28A0092B-C50C-407E-A947-70E740481C1C}">
                          <a14:useLocalDpi xmlns:a14="http://schemas.microsoft.com/office/drawing/2010/main" val="0"/>
                        </a:ext>
                      </a:extLst>
                    </a:blip>
                    <a:srcRect r="42055"/>
                    <a:stretch/>
                  </pic:blipFill>
                  <pic:spPr bwMode="auto">
                    <a:xfrm>
                      <a:off x="0" y="0"/>
                      <a:ext cx="5914403" cy="1008712"/>
                    </a:xfrm>
                    <a:prstGeom prst="rect">
                      <a:avLst/>
                    </a:prstGeom>
                    <a:noFill/>
                    <a:ln>
                      <a:noFill/>
                    </a:ln>
                    <a:extLst>
                      <a:ext uri="{53640926-AAD7-44D8-BBD7-CCE9431645EC}">
                        <a14:shadowObscured xmlns:a14="http://schemas.microsoft.com/office/drawing/2010/main"/>
                      </a:ext>
                    </a:extLst>
                  </pic:spPr>
                </pic:pic>
              </a:graphicData>
            </a:graphic>
          </wp:inline>
        </w:drawing>
      </w:r>
    </w:p>
    <w:p w14:paraId="50A2C1CF" w14:textId="73CF23C5" w:rsidR="00025C7D" w:rsidRPr="00025C7D" w:rsidRDefault="00025C7D" w:rsidP="007B399B">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009D27F1" w14:textId="77777777" w:rsidR="007B399B" w:rsidRDefault="007B399B" w:rsidP="007B399B">
      <w:pPr>
        <w:rPr>
          <w:lang w:val="en-US"/>
        </w:rPr>
      </w:pPr>
      <w:r w:rsidRPr="00B6013E">
        <w:rPr>
          <w:noProof/>
          <w:lang w:eastAsia="en-GB"/>
        </w:rPr>
        <w:drawing>
          <wp:inline distT="0" distB="0" distL="0" distR="0" wp14:anchorId="53E73A09" wp14:editId="087DF031">
            <wp:extent cx="5616575" cy="3276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1">
                      <a:extLst>
                        <a:ext uri="{28A0092B-C50C-407E-A947-70E740481C1C}">
                          <a14:useLocalDpi xmlns:a14="http://schemas.microsoft.com/office/drawing/2010/main" val="0"/>
                        </a:ext>
                      </a:extLst>
                    </a:blip>
                    <a:srcRect r="46778"/>
                    <a:stretch/>
                  </pic:blipFill>
                  <pic:spPr bwMode="auto">
                    <a:xfrm>
                      <a:off x="0" y="0"/>
                      <a:ext cx="5632899" cy="3286123"/>
                    </a:xfrm>
                    <a:prstGeom prst="rect">
                      <a:avLst/>
                    </a:prstGeom>
                    <a:noFill/>
                    <a:ln>
                      <a:noFill/>
                    </a:ln>
                    <a:extLst>
                      <a:ext uri="{53640926-AAD7-44D8-BBD7-CCE9431645EC}">
                        <a14:shadowObscured xmlns:a14="http://schemas.microsoft.com/office/drawing/2010/main"/>
                      </a:ext>
                    </a:extLst>
                  </pic:spPr>
                </pic:pic>
              </a:graphicData>
            </a:graphic>
          </wp:inline>
        </w:drawing>
      </w:r>
    </w:p>
    <w:p w14:paraId="2811F728" w14:textId="77777777" w:rsidR="007B399B" w:rsidRDefault="007B399B" w:rsidP="007B399B">
      <w:pPr>
        <w:rPr>
          <w:lang w:val="en-US"/>
        </w:rPr>
      </w:pPr>
      <w:r w:rsidRPr="00B6013E">
        <w:rPr>
          <w:noProof/>
          <w:lang w:eastAsia="en-GB"/>
        </w:rPr>
        <w:drawing>
          <wp:inline distT="0" distB="0" distL="0" distR="0" wp14:anchorId="6B3AA607" wp14:editId="44003847">
            <wp:extent cx="5347411" cy="1411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2">
                      <a:extLst>
                        <a:ext uri="{28A0092B-C50C-407E-A947-70E740481C1C}">
                          <a14:useLocalDpi xmlns:a14="http://schemas.microsoft.com/office/drawing/2010/main" val="0"/>
                        </a:ext>
                      </a:extLst>
                    </a:blip>
                    <a:srcRect r="37588"/>
                    <a:stretch/>
                  </pic:blipFill>
                  <pic:spPr bwMode="auto">
                    <a:xfrm>
                      <a:off x="0" y="0"/>
                      <a:ext cx="5372443" cy="1418148"/>
                    </a:xfrm>
                    <a:prstGeom prst="rect">
                      <a:avLst/>
                    </a:prstGeom>
                    <a:noFill/>
                    <a:ln>
                      <a:noFill/>
                    </a:ln>
                    <a:extLst>
                      <a:ext uri="{53640926-AAD7-44D8-BBD7-CCE9431645EC}">
                        <a14:shadowObscured xmlns:a14="http://schemas.microsoft.com/office/drawing/2010/main"/>
                      </a:ext>
                    </a:extLst>
                  </pic:spPr>
                </pic:pic>
              </a:graphicData>
            </a:graphic>
          </wp:inline>
        </w:drawing>
      </w:r>
    </w:p>
    <w:p w14:paraId="6C9C2431" w14:textId="3D254DBC" w:rsidR="00025C7D" w:rsidRPr="00025C7D" w:rsidRDefault="00025C7D" w:rsidP="007B399B">
      <w:pPr>
        <w:rPr>
          <w:color w:val="548DD4" w:themeColor="text2" w:themeTint="99"/>
          <w:sz w:val="26"/>
          <w:szCs w:val="26"/>
          <w:lang w:val="en-US"/>
        </w:rPr>
      </w:pPr>
      <w:r w:rsidRPr="00025C7D">
        <w:rPr>
          <w:color w:val="548DD4" w:themeColor="text2" w:themeTint="99"/>
          <w:sz w:val="26"/>
          <w:szCs w:val="26"/>
          <w:lang w:val="en-US"/>
        </w:rPr>
        <w:t>GARCH</w:t>
      </w:r>
    </w:p>
    <w:p w14:paraId="5443929F" w14:textId="77777777" w:rsidR="007B399B" w:rsidRDefault="007B399B" w:rsidP="007B399B">
      <w:pPr>
        <w:rPr>
          <w:lang w:val="en-US"/>
        </w:rPr>
      </w:pPr>
      <w:r w:rsidRPr="00B6013E">
        <w:rPr>
          <w:noProof/>
          <w:lang w:eastAsia="en-GB"/>
        </w:rPr>
        <w:drawing>
          <wp:inline distT="0" distB="0" distL="0" distR="0" wp14:anchorId="577BDE9F" wp14:editId="2A794F21">
            <wp:extent cx="5339715" cy="2997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3">
                      <a:extLst>
                        <a:ext uri="{28A0092B-C50C-407E-A947-70E740481C1C}">
                          <a14:useLocalDpi xmlns:a14="http://schemas.microsoft.com/office/drawing/2010/main" val="0"/>
                        </a:ext>
                      </a:extLst>
                    </a:blip>
                    <a:srcRect r="45629"/>
                    <a:stretch/>
                  </pic:blipFill>
                  <pic:spPr bwMode="auto">
                    <a:xfrm>
                      <a:off x="0" y="0"/>
                      <a:ext cx="5345567" cy="3000485"/>
                    </a:xfrm>
                    <a:prstGeom prst="rect">
                      <a:avLst/>
                    </a:prstGeom>
                    <a:noFill/>
                    <a:ln>
                      <a:noFill/>
                    </a:ln>
                    <a:extLst>
                      <a:ext uri="{53640926-AAD7-44D8-BBD7-CCE9431645EC}">
                        <a14:shadowObscured xmlns:a14="http://schemas.microsoft.com/office/drawing/2010/main"/>
                      </a:ext>
                    </a:extLst>
                  </pic:spPr>
                </pic:pic>
              </a:graphicData>
            </a:graphic>
          </wp:inline>
        </w:drawing>
      </w:r>
    </w:p>
    <w:p w14:paraId="3F5CC1FB" w14:textId="77777777" w:rsidR="007B399B" w:rsidRDefault="007B399B" w:rsidP="007B399B">
      <w:pPr>
        <w:rPr>
          <w:lang w:val="en-US"/>
        </w:rPr>
      </w:pPr>
      <w:r w:rsidRPr="00B6013E">
        <w:rPr>
          <w:noProof/>
          <w:lang w:eastAsia="en-GB"/>
        </w:rPr>
        <w:lastRenderedPageBreak/>
        <w:drawing>
          <wp:inline distT="0" distB="0" distL="0" distR="0" wp14:anchorId="31A785F3" wp14:editId="02CA901A">
            <wp:extent cx="5221181" cy="135331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4">
                      <a:extLst>
                        <a:ext uri="{28A0092B-C50C-407E-A947-70E740481C1C}">
                          <a14:useLocalDpi xmlns:a14="http://schemas.microsoft.com/office/drawing/2010/main" val="0"/>
                        </a:ext>
                      </a:extLst>
                    </a:blip>
                    <a:srcRect r="36439"/>
                    <a:stretch/>
                  </pic:blipFill>
                  <pic:spPr bwMode="auto">
                    <a:xfrm>
                      <a:off x="0" y="0"/>
                      <a:ext cx="5230210" cy="1355652"/>
                    </a:xfrm>
                    <a:prstGeom prst="rect">
                      <a:avLst/>
                    </a:prstGeom>
                    <a:noFill/>
                    <a:ln>
                      <a:noFill/>
                    </a:ln>
                    <a:extLst>
                      <a:ext uri="{53640926-AAD7-44D8-BBD7-CCE9431645EC}">
                        <a14:shadowObscured xmlns:a14="http://schemas.microsoft.com/office/drawing/2010/main"/>
                      </a:ext>
                    </a:extLst>
                  </pic:spPr>
                </pic:pic>
              </a:graphicData>
            </a:graphic>
          </wp:inline>
        </w:drawing>
      </w:r>
    </w:p>
    <w:p w14:paraId="648A7EAB" w14:textId="692D182D" w:rsidR="007B399B" w:rsidRPr="00025C7D" w:rsidRDefault="00025C7D" w:rsidP="007B399B">
      <w:pPr>
        <w:rPr>
          <w:color w:val="548DD4" w:themeColor="text2" w:themeTint="99"/>
          <w:sz w:val="26"/>
          <w:szCs w:val="26"/>
          <w:lang w:val="en-US"/>
        </w:rPr>
      </w:pPr>
      <w:r w:rsidRPr="00025C7D">
        <w:rPr>
          <w:color w:val="548DD4" w:themeColor="text2" w:themeTint="99"/>
          <w:sz w:val="26"/>
          <w:szCs w:val="26"/>
          <w:lang w:val="en-US"/>
        </w:rPr>
        <w:t>IFBM GARCH</w:t>
      </w:r>
    </w:p>
    <w:p w14:paraId="302A40B6" w14:textId="77777777" w:rsidR="007B399B" w:rsidRDefault="007B399B" w:rsidP="007B399B">
      <w:pPr>
        <w:rPr>
          <w:lang w:val="en-US"/>
        </w:rPr>
      </w:pPr>
      <w:r w:rsidRPr="00B6013E">
        <w:rPr>
          <w:noProof/>
          <w:lang w:eastAsia="en-GB"/>
        </w:rPr>
        <w:drawing>
          <wp:inline distT="0" distB="0" distL="0" distR="0" wp14:anchorId="3006DA3D" wp14:editId="4A80BC53">
            <wp:extent cx="5544674" cy="31527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5">
                      <a:extLst>
                        <a:ext uri="{28A0092B-C50C-407E-A947-70E740481C1C}">
                          <a14:useLocalDpi xmlns:a14="http://schemas.microsoft.com/office/drawing/2010/main" val="0"/>
                        </a:ext>
                      </a:extLst>
                    </a:blip>
                    <a:srcRect r="56095"/>
                    <a:stretch/>
                  </pic:blipFill>
                  <pic:spPr bwMode="auto">
                    <a:xfrm>
                      <a:off x="0" y="0"/>
                      <a:ext cx="5555424" cy="3158888"/>
                    </a:xfrm>
                    <a:prstGeom prst="rect">
                      <a:avLst/>
                    </a:prstGeom>
                    <a:noFill/>
                    <a:ln>
                      <a:noFill/>
                    </a:ln>
                    <a:extLst>
                      <a:ext uri="{53640926-AAD7-44D8-BBD7-CCE9431645EC}">
                        <a14:shadowObscured xmlns:a14="http://schemas.microsoft.com/office/drawing/2010/main"/>
                      </a:ext>
                    </a:extLst>
                  </pic:spPr>
                </pic:pic>
              </a:graphicData>
            </a:graphic>
          </wp:inline>
        </w:drawing>
      </w:r>
    </w:p>
    <w:p w14:paraId="600150BE" w14:textId="77777777" w:rsidR="007B399B" w:rsidRDefault="007B399B" w:rsidP="007B399B">
      <w:pPr>
        <w:rPr>
          <w:lang w:val="en-US"/>
        </w:rPr>
      </w:pPr>
      <w:r w:rsidRPr="00B6013E">
        <w:rPr>
          <w:noProof/>
          <w:lang w:eastAsia="en-GB"/>
        </w:rPr>
        <w:drawing>
          <wp:inline distT="0" distB="0" distL="0" distR="0" wp14:anchorId="1B62AE9B" wp14:editId="33D138C4">
            <wp:extent cx="5351530" cy="12582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6">
                      <a:extLst>
                        <a:ext uri="{28A0092B-C50C-407E-A947-70E740481C1C}">
                          <a14:useLocalDpi xmlns:a14="http://schemas.microsoft.com/office/drawing/2010/main" val="0"/>
                        </a:ext>
                      </a:extLst>
                    </a:blip>
                    <a:srcRect r="36950"/>
                    <a:stretch/>
                  </pic:blipFill>
                  <pic:spPr bwMode="auto">
                    <a:xfrm>
                      <a:off x="0" y="0"/>
                      <a:ext cx="5380867" cy="1265113"/>
                    </a:xfrm>
                    <a:prstGeom prst="rect">
                      <a:avLst/>
                    </a:prstGeom>
                    <a:noFill/>
                    <a:ln>
                      <a:noFill/>
                    </a:ln>
                    <a:extLst>
                      <a:ext uri="{53640926-AAD7-44D8-BBD7-CCE9431645EC}">
                        <a14:shadowObscured xmlns:a14="http://schemas.microsoft.com/office/drawing/2010/main"/>
                      </a:ext>
                    </a:extLst>
                  </pic:spPr>
                </pic:pic>
              </a:graphicData>
            </a:graphic>
          </wp:inline>
        </w:drawing>
      </w:r>
    </w:p>
    <w:p w14:paraId="02ECB961" w14:textId="16A0C892" w:rsidR="00832B93" w:rsidRPr="00A5499D" w:rsidRDefault="007B399B" w:rsidP="007B399B">
      <w:pPr>
        <w:rPr>
          <w:b/>
          <w:bCs/>
          <w:color w:val="548DD4" w:themeColor="text2" w:themeTint="99"/>
          <w:lang w:val="en-US"/>
        </w:rPr>
      </w:pPr>
      <w:r w:rsidRPr="00A5499D">
        <w:rPr>
          <w:b/>
          <w:bCs/>
          <w:color w:val="548DD4" w:themeColor="text2" w:themeTint="99"/>
          <w:lang w:val="en-US"/>
        </w:rPr>
        <w:t>1996-1997</w:t>
      </w:r>
    </w:p>
    <w:p w14:paraId="0D23F578"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313B4D60" w14:textId="77777777" w:rsidR="00832B93" w:rsidRPr="00832B93" w:rsidRDefault="00832B93" w:rsidP="007B399B">
      <w:pPr>
        <w:rPr>
          <w:b/>
          <w:bCs/>
          <w:lang w:val="en-US"/>
        </w:rPr>
      </w:pPr>
    </w:p>
    <w:p w14:paraId="3EA470D0" w14:textId="77777777" w:rsidR="007B399B" w:rsidRDefault="007B399B" w:rsidP="007B399B">
      <w:pPr>
        <w:rPr>
          <w:lang w:val="en-US"/>
        </w:rPr>
      </w:pPr>
      <w:r w:rsidRPr="00B6013E">
        <w:rPr>
          <w:noProof/>
          <w:lang w:eastAsia="en-GB"/>
        </w:rPr>
        <w:drawing>
          <wp:inline distT="0" distB="0" distL="0" distR="0" wp14:anchorId="7C7B837A" wp14:editId="296FDC14">
            <wp:extent cx="5726583" cy="8046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7">
                      <a:extLst>
                        <a:ext uri="{28A0092B-C50C-407E-A947-70E740481C1C}">
                          <a14:useLocalDpi xmlns:a14="http://schemas.microsoft.com/office/drawing/2010/main" val="0"/>
                        </a:ext>
                      </a:extLst>
                    </a:blip>
                    <a:srcRect r="41417"/>
                    <a:stretch/>
                  </pic:blipFill>
                  <pic:spPr bwMode="auto">
                    <a:xfrm>
                      <a:off x="0" y="0"/>
                      <a:ext cx="5829257" cy="819099"/>
                    </a:xfrm>
                    <a:prstGeom prst="rect">
                      <a:avLst/>
                    </a:prstGeom>
                    <a:noFill/>
                    <a:ln>
                      <a:noFill/>
                    </a:ln>
                    <a:extLst>
                      <a:ext uri="{53640926-AAD7-44D8-BBD7-CCE9431645EC}">
                        <a14:shadowObscured xmlns:a14="http://schemas.microsoft.com/office/drawing/2010/main"/>
                      </a:ext>
                    </a:extLst>
                  </pic:spPr>
                </pic:pic>
              </a:graphicData>
            </a:graphic>
          </wp:inline>
        </w:drawing>
      </w:r>
    </w:p>
    <w:p w14:paraId="378CBD2F" w14:textId="77777777" w:rsidR="00A5499D" w:rsidRDefault="00A5499D" w:rsidP="007B399B">
      <w:pPr>
        <w:rPr>
          <w:lang w:val="en-US"/>
        </w:rPr>
      </w:pPr>
    </w:p>
    <w:p w14:paraId="6AD877DF"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26C117D2" w14:textId="77777777" w:rsidR="007B399B" w:rsidRDefault="007B399B" w:rsidP="007B399B">
      <w:pPr>
        <w:rPr>
          <w:lang w:val="en-US"/>
        </w:rPr>
      </w:pPr>
      <w:r w:rsidRPr="00B6013E">
        <w:rPr>
          <w:noProof/>
          <w:lang w:eastAsia="en-GB"/>
        </w:rPr>
        <w:drawing>
          <wp:inline distT="0" distB="0" distL="0" distR="0" wp14:anchorId="435AAF60" wp14:editId="00F1D3F7">
            <wp:extent cx="5281295" cy="37052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8">
                      <a:extLst>
                        <a:ext uri="{28A0092B-C50C-407E-A947-70E740481C1C}">
                          <a14:useLocalDpi xmlns:a14="http://schemas.microsoft.com/office/drawing/2010/main" val="0"/>
                        </a:ext>
                      </a:extLst>
                    </a:blip>
                    <a:srcRect r="46778"/>
                    <a:stretch/>
                  </pic:blipFill>
                  <pic:spPr bwMode="auto">
                    <a:xfrm>
                      <a:off x="0" y="0"/>
                      <a:ext cx="5285939" cy="3708483"/>
                    </a:xfrm>
                    <a:prstGeom prst="rect">
                      <a:avLst/>
                    </a:prstGeom>
                    <a:noFill/>
                    <a:ln>
                      <a:noFill/>
                    </a:ln>
                    <a:extLst>
                      <a:ext uri="{53640926-AAD7-44D8-BBD7-CCE9431645EC}">
                        <a14:shadowObscured xmlns:a14="http://schemas.microsoft.com/office/drawing/2010/main"/>
                      </a:ext>
                    </a:extLst>
                  </pic:spPr>
                </pic:pic>
              </a:graphicData>
            </a:graphic>
          </wp:inline>
        </w:drawing>
      </w:r>
    </w:p>
    <w:p w14:paraId="58BB881D" w14:textId="77777777" w:rsidR="007B399B" w:rsidRDefault="007B399B" w:rsidP="007B399B">
      <w:pPr>
        <w:rPr>
          <w:lang w:val="en-US"/>
        </w:rPr>
      </w:pPr>
    </w:p>
    <w:p w14:paraId="2D619C8C" w14:textId="77777777" w:rsidR="007B399B" w:rsidRDefault="007B399B" w:rsidP="007B399B">
      <w:pPr>
        <w:rPr>
          <w:noProof/>
          <w:lang w:val="en-US"/>
        </w:rPr>
      </w:pPr>
      <w:r w:rsidRPr="00B6013E">
        <w:rPr>
          <w:noProof/>
          <w:lang w:eastAsia="en-GB"/>
        </w:rPr>
        <w:drawing>
          <wp:inline distT="0" distB="0" distL="0" distR="0" wp14:anchorId="65FF49C7" wp14:editId="7610CD13">
            <wp:extent cx="5328042" cy="1562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9">
                      <a:extLst>
                        <a:ext uri="{28A0092B-C50C-407E-A947-70E740481C1C}">
                          <a14:useLocalDpi xmlns:a14="http://schemas.microsoft.com/office/drawing/2010/main" val="0"/>
                        </a:ext>
                      </a:extLst>
                    </a:blip>
                    <a:srcRect r="36822"/>
                    <a:stretch/>
                  </pic:blipFill>
                  <pic:spPr bwMode="auto">
                    <a:xfrm>
                      <a:off x="0" y="0"/>
                      <a:ext cx="5341308" cy="1565989"/>
                    </a:xfrm>
                    <a:prstGeom prst="rect">
                      <a:avLst/>
                    </a:prstGeom>
                    <a:noFill/>
                    <a:ln>
                      <a:noFill/>
                    </a:ln>
                    <a:extLst>
                      <a:ext uri="{53640926-AAD7-44D8-BBD7-CCE9431645EC}">
                        <a14:shadowObscured xmlns:a14="http://schemas.microsoft.com/office/drawing/2010/main"/>
                      </a:ext>
                    </a:extLst>
                  </pic:spPr>
                </pic:pic>
              </a:graphicData>
            </a:graphic>
          </wp:inline>
        </w:drawing>
      </w:r>
    </w:p>
    <w:p w14:paraId="0D7B8F70" w14:textId="77777777" w:rsidR="00A5499D" w:rsidRDefault="00A5499D" w:rsidP="007B399B">
      <w:pPr>
        <w:rPr>
          <w:noProof/>
          <w:lang w:val="en-US"/>
        </w:rPr>
      </w:pPr>
    </w:p>
    <w:p w14:paraId="14BF82CD" w14:textId="5BAAC701" w:rsidR="007B399B" w:rsidRDefault="007B399B" w:rsidP="007B399B">
      <w:pPr>
        <w:rPr>
          <w:noProof/>
          <w:lang w:val="en-US"/>
        </w:rPr>
      </w:pPr>
    </w:p>
    <w:p w14:paraId="033D038A" w14:textId="77777777" w:rsidR="00A5499D" w:rsidRDefault="00A5499D" w:rsidP="007B399B">
      <w:pPr>
        <w:rPr>
          <w:noProof/>
          <w:lang w:val="en-US"/>
        </w:rPr>
      </w:pPr>
    </w:p>
    <w:p w14:paraId="56BD64C0" w14:textId="77777777" w:rsidR="00A5499D" w:rsidRDefault="00A5499D" w:rsidP="007B399B">
      <w:pPr>
        <w:rPr>
          <w:noProof/>
          <w:lang w:val="en-US"/>
        </w:rPr>
      </w:pPr>
    </w:p>
    <w:p w14:paraId="3ACF0C9E" w14:textId="77777777" w:rsidR="00A5499D" w:rsidRDefault="00A5499D" w:rsidP="007B399B">
      <w:pPr>
        <w:rPr>
          <w:noProof/>
          <w:lang w:val="en-US"/>
        </w:rPr>
      </w:pPr>
    </w:p>
    <w:p w14:paraId="3423E556" w14:textId="77777777" w:rsidR="00A5499D" w:rsidRDefault="00A5499D" w:rsidP="007B399B">
      <w:pPr>
        <w:rPr>
          <w:noProof/>
          <w:lang w:val="en-US"/>
        </w:rPr>
      </w:pPr>
    </w:p>
    <w:p w14:paraId="6021E936" w14:textId="77777777" w:rsidR="00A5499D" w:rsidRDefault="00A5499D" w:rsidP="007B399B">
      <w:pPr>
        <w:rPr>
          <w:noProof/>
          <w:lang w:val="en-US"/>
        </w:rPr>
      </w:pPr>
    </w:p>
    <w:p w14:paraId="0FFC95B6" w14:textId="77777777" w:rsidR="00A5499D" w:rsidRDefault="00A5499D" w:rsidP="007B399B">
      <w:pPr>
        <w:rPr>
          <w:noProof/>
          <w:lang w:val="en-US"/>
        </w:rPr>
      </w:pPr>
    </w:p>
    <w:p w14:paraId="591B71DB"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1209A115" w14:textId="1590D6F3" w:rsidR="007B399B" w:rsidRDefault="007B399B" w:rsidP="007B399B">
      <w:pPr>
        <w:rPr>
          <w:noProof/>
          <w:lang w:val="en-US"/>
        </w:rPr>
      </w:pPr>
      <w:r w:rsidRPr="00B6013E">
        <w:rPr>
          <w:noProof/>
          <w:lang w:eastAsia="en-GB"/>
        </w:rPr>
        <w:drawing>
          <wp:inline distT="0" distB="0" distL="0" distR="0" wp14:anchorId="59691DBB" wp14:editId="0102206E">
            <wp:extent cx="5420360" cy="3429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0">
                      <a:extLst>
                        <a:ext uri="{28A0092B-C50C-407E-A947-70E740481C1C}">
                          <a14:useLocalDpi xmlns:a14="http://schemas.microsoft.com/office/drawing/2010/main" val="0"/>
                        </a:ext>
                      </a:extLst>
                    </a:blip>
                    <a:srcRect r="46267"/>
                    <a:stretch/>
                  </pic:blipFill>
                  <pic:spPr bwMode="auto">
                    <a:xfrm>
                      <a:off x="0" y="0"/>
                      <a:ext cx="5427102" cy="3433265"/>
                    </a:xfrm>
                    <a:prstGeom prst="rect">
                      <a:avLst/>
                    </a:prstGeom>
                    <a:noFill/>
                    <a:ln>
                      <a:noFill/>
                    </a:ln>
                    <a:extLst>
                      <a:ext uri="{53640926-AAD7-44D8-BBD7-CCE9431645EC}">
                        <a14:shadowObscured xmlns:a14="http://schemas.microsoft.com/office/drawing/2010/main"/>
                      </a:ext>
                    </a:extLst>
                  </pic:spPr>
                </pic:pic>
              </a:graphicData>
            </a:graphic>
          </wp:inline>
        </w:drawing>
      </w:r>
    </w:p>
    <w:p w14:paraId="1675555C" w14:textId="1E908026" w:rsidR="007B399B" w:rsidRDefault="007B399B" w:rsidP="007B399B">
      <w:pPr>
        <w:rPr>
          <w:lang w:val="en-US"/>
        </w:rPr>
      </w:pPr>
    </w:p>
    <w:p w14:paraId="583A850B" w14:textId="41A146DB" w:rsidR="00A5499D" w:rsidRDefault="00A5499D" w:rsidP="007B399B">
      <w:pPr>
        <w:rPr>
          <w:lang w:val="en-US"/>
        </w:rPr>
      </w:pPr>
      <w:r w:rsidRPr="00B6013E">
        <w:rPr>
          <w:noProof/>
          <w:lang w:eastAsia="en-GB"/>
        </w:rPr>
        <w:drawing>
          <wp:inline distT="0" distB="0" distL="0" distR="0" wp14:anchorId="63282310" wp14:editId="15D5FF0C">
            <wp:extent cx="5497921" cy="143377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1">
                      <a:extLst>
                        <a:ext uri="{28A0092B-C50C-407E-A947-70E740481C1C}">
                          <a14:useLocalDpi xmlns:a14="http://schemas.microsoft.com/office/drawing/2010/main" val="0"/>
                        </a:ext>
                      </a:extLst>
                    </a:blip>
                    <a:srcRect r="36827"/>
                    <a:stretch/>
                  </pic:blipFill>
                  <pic:spPr bwMode="auto">
                    <a:xfrm>
                      <a:off x="0" y="0"/>
                      <a:ext cx="5526934" cy="1441345"/>
                    </a:xfrm>
                    <a:prstGeom prst="rect">
                      <a:avLst/>
                    </a:prstGeom>
                    <a:noFill/>
                    <a:ln>
                      <a:noFill/>
                    </a:ln>
                    <a:extLst>
                      <a:ext uri="{53640926-AAD7-44D8-BBD7-CCE9431645EC}">
                        <a14:shadowObscured xmlns:a14="http://schemas.microsoft.com/office/drawing/2010/main"/>
                      </a:ext>
                    </a:extLst>
                  </pic:spPr>
                </pic:pic>
              </a:graphicData>
            </a:graphic>
          </wp:inline>
        </w:drawing>
      </w:r>
    </w:p>
    <w:p w14:paraId="7D159B91" w14:textId="77777777" w:rsidR="00A5499D" w:rsidRDefault="00A5499D" w:rsidP="007B399B">
      <w:pPr>
        <w:rPr>
          <w:lang w:val="en-US"/>
        </w:rPr>
      </w:pPr>
    </w:p>
    <w:p w14:paraId="580ECA2A" w14:textId="77777777" w:rsidR="00A5499D" w:rsidRDefault="00A5499D" w:rsidP="007B399B">
      <w:pPr>
        <w:rPr>
          <w:lang w:val="en-US"/>
        </w:rPr>
      </w:pPr>
    </w:p>
    <w:p w14:paraId="4A6E9EEC" w14:textId="77777777" w:rsidR="00A5499D" w:rsidRDefault="00A5499D" w:rsidP="007B399B">
      <w:pPr>
        <w:rPr>
          <w:lang w:val="en-US"/>
        </w:rPr>
      </w:pPr>
    </w:p>
    <w:p w14:paraId="10D3B2A2" w14:textId="77777777" w:rsidR="00A5499D" w:rsidRDefault="00A5499D" w:rsidP="007B399B">
      <w:pPr>
        <w:rPr>
          <w:lang w:val="en-US"/>
        </w:rPr>
      </w:pPr>
    </w:p>
    <w:p w14:paraId="24789DBC" w14:textId="77777777" w:rsidR="00A5499D" w:rsidRDefault="00A5499D" w:rsidP="007B399B">
      <w:pPr>
        <w:rPr>
          <w:lang w:val="en-US"/>
        </w:rPr>
      </w:pPr>
    </w:p>
    <w:p w14:paraId="42480791" w14:textId="77777777" w:rsidR="00A5499D" w:rsidRDefault="00A5499D" w:rsidP="007B399B">
      <w:pPr>
        <w:rPr>
          <w:lang w:val="en-US"/>
        </w:rPr>
      </w:pPr>
    </w:p>
    <w:p w14:paraId="0CEBCD88" w14:textId="77777777" w:rsidR="00A5499D" w:rsidRDefault="00A5499D" w:rsidP="007B399B">
      <w:pPr>
        <w:rPr>
          <w:lang w:val="en-US"/>
        </w:rPr>
      </w:pPr>
    </w:p>
    <w:p w14:paraId="4D388E42" w14:textId="77777777" w:rsidR="00A5499D" w:rsidRDefault="00A5499D" w:rsidP="007B399B">
      <w:pPr>
        <w:rPr>
          <w:lang w:val="en-US"/>
        </w:rPr>
      </w:pPr>
    </w:p>
    <w:p w14:paraId="0DB64821" w14:textId="77777777" w:rsidR="00A5499D" w:rsidRDefault="00A5499D" w:rsidP="007B399B">
      <w:pPr>
        <w:rPr>
          <w:lang w:val="en-US"/>
        </w:rPr>
      </w:pPr>
    </w:p>
    <w:p w14:paraId="6AFA470C"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2E585CC6" w14:textId="77777777" w:rsidR="007B399B" w:rsidRDefault="007B399B" w:rsidP="007B399B">
      <w:pPr>
        <w:rPr>
          <w:lang w:val="en-US"/>
        </w:rPr>
      </w:pPr>
      <w:r w:rsidRPr="00B6013E">
        <w:rPr>
          <w:noProof/>
          <w:lang w:eastAsia="en-GB"/>
        </w:rPr>
        <w:drawing>
          <wp:inline distT="0" distB="0" distL="0" distR="0" wp14:anchorId="12963130" wp14:editId="6DB19E29">
            <wp:extent cx="5646901" cy="37242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2">
                      <a:extLst>
                        <a:ext uri="{28A0092B-C50C-407E-A947-70E740481C1C}">
                          <a14:useLocalDpi xmlns:a14="http://schemas.microsoft.com/office/drawing/2010/main" val="0"/>
                        </a:ext>
                      </a:extLst>
                    </a:blip>
                    <a:srcRect r="45629"/>
                    <a:stretch/>
                  </pic:blipFill>
                  <pic:spPr bwMode="auto">
                    <a:xfrm>
                      <a:off x="0" y="0"/>
                      <a:ext cx="5658494" cy="3731921"/>
                    </a:xfrm>
                    <a:prstGeom prst="rect">
                      <a:avLst/>
                    </a:prstGeom>
                    <a:noFill/>
                    <a:ln>
                      <a:noFill/>
                    </a:ln>
                    <a:extLst>
                      <a:ext uri="{53640926-AAD7-44D8-BBD7-CCE9431645EC}">
                        <a14:shadowObscured xmlns:a14="http://schemas.microsoft.com/office/drawing/2010/main"/>
                      </a:ext>
                    </a:extLst>
                  </pic:spPr>
                </pic:pic>
              </a:graphicData>
            </a:graphic>
          </wp:inline>
        </w:drawing>
      </w:r>
    </w:p>
    <w:p w14:paraId="0EEBF42B" w14:textId="77777777" w:rsidR="007B399B" w:rsidRDefault="007B399B" w:rsidP="007B399B">
      <w:pPr>
        <w:rPr>
          <w:lang w:val="en-US"/>
        </w:rPr>
      </w:pPr>
      <w:r w:rsidRPr="00B6013E">
        <w:rPr>
          <w:noProof/>
          <w:lang w:eastAsia="en-GB"/>
        </w:rPr>
        <w:drawing>
          <wp:inline distT="0" distB="0" distL="0" distR="0" wp14:anchorId="6F60C3E9" wp14:editId="6E48A3A6">
            <wp:extent cx="5624692" cy="117043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3">
                      <a:extLst>
                        <a:ext uri="{28A0092B-C50C-407E-A947-70E740481C1C}">
                          <a14:useLocalDpi xmlns:a14="http://schemas.microsoft.com/office/drawing/2010/main" val="0"/>
                        </a:ext>
                      </a:extLst>
                    </a:blip>
                    <a:srcRect r="36695"/>
                    <a:stretch/>
                  </pic:blipFill>
                  <pic:spPr bwMode="auto">
                    <a:xfrm>
                      <a:off x="0" y="0"/>
                      <a:ext cx="5645719" cy="1174807"/>
                    </a:xfrm>
                    <a:prstGeom prst="rect">
                      <a:avLst/>
                    </a:prstGeom>
                    <a:noFill/>
                    <a:ln>
                      <a:noFill/>
                    </a:ln>
                    <a:extLst>
                      <a:ext uri="{53640926-AAD7-44D8-BBD7-CCE9431645EC}">
                        <a14:shadowObscured xmlns:a14="http://schemas.microsoft.com/office/drawing/2010/main"/>
                      </a:ext>
                    </a:extLst>
                  </pic:spPr>
                </pic:pic>
              </a:graphicData>
            </a:graphic>
          </wp:inline>
        </w:drawing>
      </w:r>
    </w:p>
    <w:p w14:paraId="0D02E01A" w14:textId="77777777" w:rsidR="007B399B" w:rsidRPr="00A5499D" w:rsidRDefault="007B399B" w:rsidP="007B399B">
      <w:pPr>
        <w:rPr>
          <w:color w:val="548DD4" w:themeColor="text2" w:themeTint="99"/>
          <w:lang w:val="en-US"/>
        </w:rPr>
      </w:pPr>
      <w:r w:rsidRPr="00A5499D">
        <w:rPr>
          <w:color w:val="548DD4" w:themeColor="text2" w:themeTint="99"/>
          <w:lang w:val="en-US"/>
        </w:rPr>
        <w:t>1998-1999</w:t>
      </w:r>
    </w:p>
    <w:p w14:paraId="5F724429"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425C0E0D" w14:textId="77777777" w:rsidR="007B399B" w:rsidRDefault="007B399B" w:rsidP="007B399B">
      <w:pPr>
        <w:rPr>
          <w:lang w:val="en-US"/>
        </w:rPr>
      </w:pPr>
    </w:p>
    <w:p w14:paraId="6093E2EF" w14:textId="77777777" w:rsidR="007B399B" w:rsidRDefault="007B399B" w:rsidP="007B399B">
      <w:pPr>
        <w:rPr>
          <w:lang w:val="en-US"/>
        </w:rPr>
      </w:pPr>
      <w:r w:rsidRPr="00B6013E">
        <w:rPr>
          <w:noProof/>
          <w:lang w:eastAsia="en-GB"/>
        </w:rPr>
        <w:drawing>
          <wp:inline distT="0" distB="0" distL="0" distR="0" wp14:anchorId="73BB079F" wp14:editId="69204363">
            <wp:extent cx="5442457" cy="76809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4">
                      <a:extLst>
                        <a:ext uri="{28A0092B-C50C-407E-A947-70E740481C1C}">
                          <a14:useLocalDpi xmlns:a14="http://schemas.microsoft.com/office/drawing/2010/main" val="0"/>
                        </a:ext>
                      </a:extLst>
                    </a:blip>
                    <a:srcRect r="41673"/>
                    <a:stretch/>
                  </pic:blipFill>
                  <pic:spPr bwMode="auto">
                    <a:xfrm>
                      <a:off x="0" y="0"/>
                      <a:ext cx="5500539" cy="776293"/>
                    </a:xfrm>
                    <a:prstGeom prst="rect">
                      <a:avLst/>
                    </a:prstGeom>
                    <a:noFill/>
                    <a:ln>
                      <a:noFill/>
                    </a:ln>
                    <a:extLst>
                      <a:ext uri="{53640926-AAD7-44D8-BBD7-CCE9431645EC}">
                        <a14:shadowObscured xmlns:a14="http://schemas.microsoft.com/office/drawing/2010/main"/>
                      </a:ext>
                    </a:extLst>
                  </pic:spPr>
                </pic:pic>
              </a:graphicData>
            </a:graphic>
          </wp:inline>
        </w:drawing>
      </w:r>
    </w:p>
    <w:p w14:paraId="2475DF57" w14:textId="77777777" w:rsidR="007B399B" w:rsidRDefault="007B399B" w:rsidP="007B399B">
      <w:pPr>
        <w:rPr>
          <w:lang w:val="en-US"/>
        </w:rPr>
      </w:pPr>
    </w:p>
    <w:p w14:paraId="4FFB9670" w14:textId="77777777" w:rsidR="00A5499D" w:rsidRDefault="00A5499D" w:rsidP="007B399B">
      <w:pPr>
        <w:rPr>
          <w:lang w:val="en-US"/>
        </w:rPr>
      </w:pPr>
    </w:p>
    <w:p w14:paraId="01C71A9C" w14:textId="77777777" w:rsidR="00A5499D" w:rsidRDefault="00A5499D" w:rsidP="007B399B">
      <w:pPr>
        <w:rPr>
          <w:lang w:val="en-US"/>
        </w:rPr>
      </w:pPr>
    </w:p>
    <w:p w14:paraId="4E5496EE" w14:textId="77777777" w:rsidR="00A5499D" w:rsidRDefault="00A5499D" w:rsidP="007B399B">
      <w:pPr>
        <w:rPr>
          <w:lang w:val="en-US"/>
        </w:rPr>
      </w:pPr>
    </w:p>
    <w:p w14:paraId="262C3010"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5905D163" w14:textId="77777777" w:rsidR="007B399B" w:rsidRDefault="007B399B" w:rsidP="007B399B">
      <w:pPr>
        <w:rPr>
          <w:noProof/>
          <w:lang w:val="en-US"/>
        </w:rPr>
      </w:pPr>
      <w:r w:rsidRPr="00B6013E">
        <w:rPr>
          <w:noProof/>
          <w:lang w:eastAsia="en-GB"/>
        </w:rPr>
        <w:drawing>
          <wp:inline distT="0" distB="0" distL="0" distR="0" wp14:anchorId="15C62B12" wp14:editId="0A2A0EF0">
            <wp:extent cx="5376121" cy="3810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5">
                      <a:extLst>
                        <a:ext uri="{28A0092B-C50C-407E-A947-70E740481C1C}">
                          <a14:useLocalDpi xmlns:a14="http://schemas.microsoft.com/office/drawing/2010/main" val="0"/>
                        </a:ext>
                      </a:extLst>
                    </a:blip>
                    <a:srcRect r="46386"/>
                    <a:stretch/>
                  </pic:blipFill>
                  <pic:spPr bwMode="auto">
                    <a:xfrm>
                      <a:off x="0" y="0"/>
                      <a:ext cx="5387349" cy="3817957"/>
                    </a:xfrm>
                    <a:prstGeom prst="rect">
                      <a:avLst/>
                    </a:prstGeom>
                    <a:noFill/>
                    <a:ln>
                      <a:noFill/>
                    </a:ln>
                    <a:extLst>
                      <a:ext uri="{53640926-AAD7-44D8-BBD7-CCE9431645EC}">
                        <a14:shadowObscured xmlns:a14="http://schemas.microsoft.com/office/drawing/2010/main"/>
                      </a:ext>
                    </a:extLst>
                  </pic:spPr>
                </pic:pic>
              </a:graphicData>
            </a:graphic>
          </wp:inline>
        </w:drawing>
      </w:r>
    </w:p>
    <w:p w14:paraId="4F3EB96D" w14:textId="77777777" w:rsidR="007B399B" w:rsidRDefault="007B399B" w:rsidP="007B399B">
      <w:pPr>
        <w:rPr>
          <w:lang w:val="en-US"/>
        </w:rPr>
      </w:pPr>
      <w:r w:rsidRPr="00B6013E">
        <w:rPr>
          <w:noProof/>
          <w:lang w:eastAsia="en-GB"/>
        </w:rPr>
        <w:drawing>
          <wp:inline distT="0" distB="0" distL="0" distR="0" wp14:anchorId="38282DB3" wp14:editId="786DEFD6">
            <wp:extent cx="5331695" cy="140451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6">
                      <a:extLst>
                        <a:ext uri="{28A0092B-C50C-407E-A947-70E740481C1C}">
                          <a14:useLocalDpi xmlns:a14="http://schemas.microsoft.com/office/drawing/2010/main" val="0"/>
                        </a:ext>
                      </a:extLst>
                    </a:blip>
                    <a:srcRect r="37461"/>
                    <a:stretch/>
                  </pic:blipFill>
                  <pic:spPr bwMode="auto">
                    <a:xfrm>
                      <a:off x="0" y="0"/>
                      <a:ext cx="5345146" cy="1408062"/>
                    </a:xfrm>
                    <a:prstGeom prst="rect">
                      <a:avLst/>
                    </a:prstGeom>
                    <a:noFill/>
                    <a:ln>
                      <a:noFill/>
                    </a:ln>
                    <a:extLst>
                      <a:ext uri="{53640926-AAD7-44D8-BBD7-CCE9431645EC}">
                        <a14:shadowObscured xmlns:a14="http://schemas.microsoft.com/office/drawing/2010/main"/>
                      </a:ext>
                    </a:extLst>
                  </pic:spPr>
                </pic:pic>
              </a:graphicData>
            </a:graphic>
          </wp:inline>
        </w:drawing>
      </w:r>
    </w:p>
    <w:p w14:paraId="345C6B1B" w14:textId="77777777" w:rsidR="007B399B" w:rsidRDefault="007B399B" w:rsidP="007B399B">
      <w:pPr>
        <w:rPr>
          <w:lang w:val="en-US"/>
        </w:rPr>
      </w:pPr>
    </w:p>
    <w:p w14:paraId="083C8CD0" w14:textId="77777777" w:rsidR="00A5499D" w:rsidRDefault="00A5499D" w:rsidP="007B399B">
      <w:pPr>
        <w:rPr>
          <w:lang w:val="en-US"/>
        </w:rPr>
      </w:pPr>
    </w:p>
    <w:p w14:paraId="15F2C77B" w14:textId="77777777" w:rsidR="00A5499D" w:rsidRDefault="00A5499D" w:rsidP="007B399B">
      <w:pPr>
        <w:rPr>
          <w:lang w:val="en-US"/>
        </w:rPr>
      </w:pPr>
    </w:p>
    <w:p w14:paraId="1DDB6AD7" w14:textId="77777777" w:rsidR="00A5499D" w:rsidRDefault="00A5499D" w:rsidP="007B399B">
      <w:pPr>
        <w:rPr>
          <w:lang w:val="en-US"/>
        </w:rPr>
      </w:pPr>
    </w:p>
    <w:p w14:paraId="059E7394" w14:textId="77777777" w:rsidR="00A5499D" w:rsidRDefault="00A5499D" w:rsidP="007B399B">
      <w:pPr>
        <w:rPr>
          <w:lang w:val="en-US"/>
        </w:rPr>
      </w:pPr>
    </w:p>
    <w:p w14:paraId="2AC4B475" w14:textId="77777777" w:rsidR="00A5499D" w:rsidRDefault="00A5499D" w:rsidP="007B399B">
      <w:pPr>
        <w:rPr>
          <w:lang w:val="en-US"/>
        </w:rPr>
      </w:pPr>
    </w:p>
    <w:p w14:paraId="574BAF1D" w14:textId="77777777" w:rsidR="00A5499D" w:rsidRDefault="00A5499D" w:rsidP="007B399B">
      <w:pPr>
        <w:rPr>
          <w:lang w:val="en-US"/>
        </w:rPr>
      </w:pPr>
    </w:p>
    <w:p w14:paraId="0D89D7BC" w14:textId="77777777" w:rsidR="00A5499D" w:rsidRDefault="00A5499D" w:rsidP="007B399B">
      <w:pPr>
        <w:rPr>
          <w:lang w:val="en-US"/>
        </w:rPr>
      </w:pPr>
    </w:p>
    <w:p w14:paraId="59BBBC76" w14:textId="77777777" w:rsidR="00A5499D" w:rsidRDefault="00A5499D" w:rsidP="007B399B">
      <w:pPr>
        <w:rPr>
          <w:lang w:val="en-US"/>
        </w:rPr>
      </w:pPr>
    </w:p>
    <w:p w14:paraId="502BEF38"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5885C2D9" w14:textId="77777777" w:rsidR="007B399B" w:rsidRDefault="007B399B" w:rsidP="007B399B">
      <w:pPr>
        <w:rPr>
          <w:noProof/>
          <w:lang w:val="en-US"/>
        </w:rPr>
      </w:pPr>
      <w:r w:rsidRPr="00B6013E">
        <w:rPr>
          <w:noProof/>
          <w:lang w:eastAsia="en-GB"/>
        </w:rPr>
        <w:drawing>
          <wp:inline distT="0" distB="0" distL="0" distR="0" wp14:anchorId="2C96CD58" wp14:editId="0D5822DA">
            <wp:extent cx="5281009" cy="37623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7">
                      <a:extLst>
                        <a:ext uri="{28A0092B-C50C-407E-A947-70E740481C1C}">
                          <a14:useLocalDpi xmlns:a14="http://schemas.microsoft.com/office/drawing/2010/main" val="0"/>
                        </a:ext>
                      </a:extLst>
                    </a:blip>
                    <a:srcRect r="44353"/>
                    <a:stretch/>
                  </pic:blipFill>
                  <pic:spPr bwMode="auto">
                    <a:xfrm>
                      <a:off x="0" y="0"/>
                      <a:ext cx="5290385" cy="3769055"/>
                    </a:xfrm>
                    <a:prstGeom prst="rect">
                      <a:avLst/>
                    </a:prstGeom>
                    <a:noFill/>
                    <a:ln>
                      <a:noFill/>
                    </a:ln>
                    <a:extLst>
                      <a:ext uri="{53640926-AAD7-44D8-BBD7-CCE9431645EC}">
                        <a14:shadowObscured xmlns:a14="http://schemas.microsoft.com/office/drawing/2010/main"/>
                      </a:ext>
                    </a:extLst>
                  </pic:spPr>
                </pic:pic>
              </a:graphicData>
            </a:graphic>
          </wp:inline>
        </w:drawing>
      </w:r>
    </w:p>
    <w:p w14:paraId="1E90E915" w14:textId="77777777" w:rsidR="007B399B" w:rsidRDefault="007B399B" w:rsidP="007B399B">
      <w:pPr>
        <w:rPr>
          <w:noProof/>
          <w:lang w:val="en-US"/>
        </w:rPr>
      </w:pPr>
      <w:r w:rsidRPr="00B6013E">
        <w:rPr>
          <w:noProof/>
          <w:lang w:eastAsia="en-GB"/>
        </w:rPr>
        <w:drawing>
          <wp:inline distT="0" distB="0" distL="0" distR="0" wp14:anchorId="193EAD53" wp14:editId="148C1475">
            <wp:extent cx="5168761" cy="135331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8">
                      <a:extLst>
                        <a:ext uri="{28A0092B-C50C-407E-A947-70E740481C1C}">
                          <a14:useLocalDpi xmlns:a14="http://schemas.microsoft.com/office/drawing/2010/main" val="0"/>
                        </a:ext>
                      </a:extLst>
                    </a:blip>
                    <a:srcRect r="37078"/>
                    <a:stretch/>
                  </pic:blipFill>
                  <pic:spPr bwMode="auto">
                    <a:xfrm>
                      <a:off x="0" y="0"/>
                      <a:ext cx="5178727" cy="1355921"/>
                    </a:xfrm>
                    <a:prstGeom prst="rect">
                      <a:avLst/>
                    </a:prstGeom>
                    <a:noFill/>
                    <a:ln>
                      <a:noFill/>
                    </a:ln>
                    <a:extLst>
                      <a:ext uri="{53640926-AAD7-44D8-BBD7-CCE9431645EC}">
                        <a14:shadowObscured xmlns:a14="http://schemas.microsoft.com/office/drawing/2010/main"/>
                      </a:ext>
                    </a:extLst>
                  </pic:spPr>
                </pic:pic>
              </a:graphicData>
            </a:graphic>
          </wp:inline>
        </w:drawing>
      </w:r>
    </w:p>
    <w:p w14:paraId="384A93D6" w14:textId="504D5814" w:rsidR="007B399B" w:rsidRDefault="007B399B" w:rsidP="007B399B">
      <w:pPr>
        <w:rPr>
          <w:noProof/>
          <w:lang w:val="en-US"/>
        </w:rPr>
      </w:pPr>
    </w:p>
    <w:p w14:paraId="2CF6B83F" w14:textId="77777777" w:rsidR="00A5499D" w:rsidRDefault="00A5499D" w:rsidP="007B399B">
      <w:pPr>
        <w:rPr>
          <w:noProof/>
          <w:lang w:val="en-US"/>
        </w:rPr>
      </w:pPr>
    </w:p>
    <w:p w14:paraId="682B1AC5" w14:textId="77777777" w:rsidR="00A5499D" w:rsidRDefault="00A5499D" w:rsidP="007B399B">
      <w:pPr>
        <w:rPr>
          <w:noProof/>
          <w:lang w:val="en-US"/>
        </w:rPr>
      </w:pPr>
    </w:p>
    <w:p w14:paraId="58AEE5C9" w14:textId="77777777" w:rsidR="00A5499D" w:rsidRDefault="00A5499D" w:rsidP="007B399B">
      <w:pPr>
        <w:rPr>
          <w:noProof/>
          <w:lang w:val="en-US"/>
        </w:rPr>
      </w:pPr>
    </w:p>
    <w:p w14:paraId="48B23147" w14:textId="77777777" w:rsidR="00A5499D" w:rsidRDefault="00A5499D" w:rsidP="007B399B">
      <w:pPr>
        <w:rPr>
          <w:noProof/>
          <w:lang w:val="en-US"/>
        </w:rPr>
      </w:pPr>
    </w:p>
    <w:p w14:paraId="771941CA" w14:textId="77777777" w:rsidR="00A5499D" w:rsidRDefault="00A5499D" w:rsidP="007B399B">
      <w:pPr>
        <w:rPr>
          <w:noProof/>
          <w:lang w:val="en-US"/>
        </w:rPr>
      </w:pPr>
    </w:p>
    <w:p w14:paraId="1EFDC9C9" w14:textId="77777777" w:rsidR="00A5499D" w:rsidRDefault="00A5499D" w:rsidP="007B399B">
      <w:pPr>
        <w:rPr>
          <w:noProof/>
          <w:lang w:val="en-US"/>
        </w:rPr>
      </w:pPr>
    </w:p>
    <w:p w14:paraId="0932F0F9" w14:textId="77777777" w:rsidR="00A5499D" w:rsidRDefault="00A5499D" w:rsidP="007B399B">
      <w:pPr>
        <w:rPr>
          <w:noProof/>
          <w:lang w:val="en-US"/>
        </w:rPr>
      </w:pPr>
    </w:p>
    <w:p w14:paraId="025348D8" w14:textId="77777777" w:rsidR="00A5499D" w:rsidRDefault="00A5499D" w:rsidP="007B399B">
      <w:pPr>
        <w:rPr>
          <w:noProof/>
          <w:lang w:val="en-US"/>
        </w:rPr>
      </w:pPr>
    </w:p>
    <w:p w14:paraId="501E256A" w14:textId="77777777" w:rsidR="00A5499D" w:rsidRDefault="00A5499D" w:rsidP="007B399B">
      <w:pPr>
        <w:rPr>
          <w:noProof/>
          <w:lang w:val="en-US"/>
        </w:rPr>
      </w:pPr>
    </w:p>
    <w:p w14:paraId="3FDC74AC"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20163DFA" w14:textId="410B4E2E" w:rsidR="007B399B" w:rsidRDefault="007B399B" w:rsidP="007B399B">
      <w:pPr>
        <w:rPr>
          <w:lang w:val="en-US"/>
        </w:rPr>
      </w:pPr>
      <w:r w:rsidRPr="00B6013E">
        <w:rPr>
          <w:noProof/>
          <w:lang w:eastAsia="en-GB"/>
        </w:rPr>
        <w:drawing>
          <wp:inline distT="0" distB="0" distL="0" distR="0" wp14:anchorId="5CF99508" wp14:editId="23717108">
            <wp:extent cx="5647055" cy="400872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9">
                      <a:extLst>
                        <a:ext uri="{28A0092B-C50C-407E-A947-70E740481C1C}">
                          <a14:useLocalDpi xmlns:a14="http://schemas.microsoft.com/office/drawing/2010/main" val="0"/>
                        </a:ext>
                      </a:extLst>
                    </a:blip>
                    <a:srcRect r="45757"/>
                    <a:stretch/>
                  </pic:blipFill>
                  <pic:spPr bwMode="auto">
                    <a:xfrm>
                      <a:off x="0" y="0"/>
                      <a:ext cx="5661393" cy="4018907"/>
                    </a:xfrm>
                    <a:prstGeom prst="rect">
                      <a:avLst/>
                    </a:prstGeom>
                    <a:noFill/>
                    <a:ln>
                      <a:noFill/>
                    </a:ln>
                    <a:extLst>
                      <a:ext uri="{53640926-AAD7-44D8-BBD7-CCE9431645EC}">
                        <a14:shadowObscured xmlns:a14="http://schemas.microsoft.com/office/drawing/2010/main"/>
                      </a:ext>
                    </a:extLst>
                  </pic:spPr>
                </pic:pic>
              </a:graphicData>
            </a:graphic>
          </wp:inline>
        </w:drawing>
      </w:r>
    </w:p>
    <w:p w14:paraId="4238E57C" w14:textId="3A588DE5" w:rsidR="00A5499D" w:rsidRDefault="00A5499D" w:rsidP="007B399B">
      <w:pPr>
        <w:rPr>
          <w:b/>
          <w:bCs/>
          <w:lang w:val="en-US"/>
        </w:rPr>
      </w:pPr>
      <w:r w:rsidRPr="005E1023">
        <w:rPr>
          <w:noProof/>
          <w:lang w:eastAsia="en-GB"/>
        </w:rPr>
        <w:drawing>
          <wp:inline distT="0" distB="0" distL="0" distR="0" wp14:anchorId="724864B4" wp14:editId="5E4C376A">
            <wp:extent cx="5475186" cy="1419149"/>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0">
                      <a:extLst>
                        <a:ext uri="{28A0092B-C50C-407E-A947-70E740481C1C}">
                          <a14:useLocalDpi xmlns:a14="http://schemas.microsoft.com/office/drawing/2010/main" val="0"/>
                        </a:ext>
                      </a:extLst>
                    </a:blip>
                    <a:srcRect r="36439"/>
                    <a:stretch/>
                  </pic:blipFill>
                  <pic:spPr bwMode="auto">
                    <a:xfrm>
                      <a:off x="0" y="0"/>
                      <a:ext cx="5486830" cy="1422167"/>
                    </a:xfrm>
                    <a:prstGeom prst="rect">
                      <a:avLst/>
                    </a:prstGeom>
                    <a:noFill/>
                    <a:ln>
                      <a:noFill/>
                    </a:ln>
                    <a:extLst>
                      <a:ext uri="{53640926-AAD7-44D8-BBD7-CCE9431645EC}">
                        <a14:shadowObscured xmlns:a14="http://schemas.microsoft.com/office/drawing/2010/main"/>
                      </a:ext>
                    </a:extLst>
                  </pic:spPr>
                </pic:pic>
              </a:graphicData>
            </a:graphic>
          </wp:inline>
        </w:drawing>
      </w:r>
    </w:p>
    <w:p w14:paraId="06C491BB" w14:textId="77777777" w:rsidR="007B399B" w:rsidRDefault="007B399B" w:rsidP="007B399B">
      <w:pPr>
        <w:rPr>
          <w:b/>
          <w:bCs/>
          <w:color w:val="548DD4" w:themeColor="text2" w:themeTint="99"/>
          <w:lang w:val="en-US"/>
        </w:rPr>
      </w:pPr>
      <w:r w:rsidRPr="00A5499D">
        <w:rPr>
          <w:b/>
          <w:bCs/>
          <w:color w:val="548DD4" w:themeColor="text2" w:themeTint="99"/>
          <w:lang w:val="en-US"/>
        </w:rPr>
        <w:t>2000-2001</w:t>
      </w:r>
    </w:p>
    <w:p w14:paraId="7C5C28A4"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3E1778B1" w14:textId="77777777" w:rsidR="007B399B" w:rsidRDefault="007B399B" w:rsidP="007B399B">
      <w:pPr>
        <w:rPr>
          <w:lang w:val="en-US"/>
        </w:rPr>
      </w:pPr>
      <w:r w:rsidRPr="005E1023">
        <w:rPr>
          <w:noProof/>
          <w:lang w:eastAsia="en-GB"/>
        </w:rPr>
        <w:drawing>
          <wp:inline distT="0" distB="0" distL="0" distR="0" wp14:anchorId="35F5EE1F" wp14:editId="36BCE8D0">
            <wp:extent cx="5643518" cy="95829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1">
                      <a:extLst>
                        <a:ext uri="{28A0092B-C50C-407E-A947-70E740481C1C}">
                          <a14:useLocalDpi xmlns:a14="http://schemas.microsoft.com/office/drawing/2010/main" val="0"/>
                        </a:ext>
                      </a:extLst>
                    </a:blip>
                    <a:srcRect r="41800"/>
                    <a:stretch/>
                  </pic:blipFill>
                  <pic:spPr bwMode="auto">
                    <a:xfrm>
                      <a:off x="0" y="0"/>
                      <a:ext cx="5682831" cy="964967"/>
                    </a:xfrm>
                    <a:prstGeom prst="rect">
                      <a:avLst/>
                    </a:prstGeom>
                    <a:noFill/>
                    <a:ln>
                      <a:noFill/>
                    </a:ln>
                    <a:extLst>
                      <a:ext uri="{53640926-AAD7-44D8-BBD7-CCE9431645EC}">
                        <a14:shadowObscured xmlns:a14="http://schemas.microsoft.com/office/drawing/2010/main"/>
                      </a:ext>
                    </a:extLst>
                  </pic:spPr>
                </pic:pic>
              </a:graphicData>
            </a:graphic>
          </wp:inline>
        </w:drawing>
      </w:r>
    </w:p>
    <w:p w14:paraId="257DFC43" w14:textId="77777777" w:rsidR="007B399B" w:rsidRDefault="007B399B" w:rsidP="007B399B">
      <w:pPr>
        <w:rPr>
          <w:lang w:val="en-US"/>
        </w:rPr>
      </w:pPr>
    </w:p>
    <w:p w14:paraId="6D4367A2" w14:textId="77777777" w:rsidR="007B399B" w:rsidRDefault="007B399B" w:rsidP="007B399B">
      <w:pPr>
        <w:rPr>
          <w:lang w:val="en-US"/>
        </w:rPr>
      </w:pPr>
    </w:p>
    <w:p w14:paraId="7690047A" w14:textId="77777777" w:rsidR="00A5499D" w:rsidRDefault="00A5499D" w:rsidP="007B399B">
      <w:pPr>
        <w:rPr>
          <w:lang w:val="en-US"/>
        </w:rPr>
      </w:pPr>
    </w:p>
    <w:p w14:paraId="65093B43"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4DEBB520" w14:textId="77777777" w:rsidR="007B399B" w:rsidRDefault="007B399B" w:rsidP="007B399B">
      <w:pPr>
        <w:rPr>
          <w:lang w:val="en-US"/>
        </w:rPr>
      </w:pPr>
      <w:r w:rsidRPr="005E1023">
        <w:rPr>
          <w:noProof/>
          <w:lang w:eastAsia="en-GB"/>
        </w:rPr>
        <w:drawing>
          <wp:inline distT="0" distB="0" distL="0" distR="0" wp14:anchorId="083C4D55" wp14:editId="15390C5D">
            <wp:extent cx="5595620" cy="3162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2">
                      <a:extLst>
                        <a:ext uri="{28A0092B-C50C-407E-A947-70E740481C1C}">
                          <a14:useLocalDpi xmlns:a14="http://schemas.microsoft.com/office/drawing/2010/main" val="0"/>
                        </a:ext>
                      </a:extLst>
                    </a:blip>
                    <a:srcRect r="46012"/>
                    <a:stretch/>
                  </pic:blipFill>
                  <pic:spPr bwMode="auto">
                    <a:xfrm>
                      <a:off x="0" y="0"/>
                      <a:ext cx="5605607" cy="3167944"/>
                    </a:xfrm>
                    <a:prstGeom prst="rect">
                      <a:avLst/>
                    </a:prstGeom>
                    <a:noFill/>
                    <a:ln>
                      <a:noFill/>
                    </a:ln>
                    <a:extLst>
                      <a:ext uri="{53640926-AAD7-44D8-BBD7-CCE9431645EC}">
                        <a14:shadowObscured xmlns:a14="http://schemas.microsoft.com/office/drawing/2010/main"/>
                      </a:ext>
                    </a:extLst>
                  </pic:spPr>
                </pic:pic>
              </a:graphicData>
            </a:graphic>
          </wp:inline>
        </w:drawing>
      </w:r>
    </w:p>
    <w:p w14:paraId="3AE6CC42" w14:textId="77777777" w:rsidR="007B399B" w:rsidRDefault="007B399B" w:rsidP="007B399B">
      <w:pPr>
        <w:rPr>
          <w:lang w:val="en-US"/>
        </w:rPr>
      </w:pPr>
      <w:r w:rsidRPr="005E1023">
        <w:rPr>
          <w:noProof/>
          <w:lang w:eastAsia="en-GB"/>
        </w:rPr>
        <w:drawing>
          <wp:inline distT="0" distB="0" distL="0" distR="0" wp14:anchorId="26E4F3DB" wp14:editId="386BE669">
            <wp:extent cx="5830214" cy="15389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33">
                      <a:extLst>
                        <a:ext uri="{28A0092B-C50C-407E-A947-70E740481C1C}">
                          <a14:useLocalDpi xmlns:a14="http://schemas.microsoft.com/office/drawing/2010/main" val="0"/>
                        </a:ext>
                      </a:extLst>
                    </a:blip>
                    <a:srcRect r="37588"/>
                    <a:stretch/>
                  </pic:blipFill>
                  <pic:spPr bwMode="auto">
                    <a:xfrm>
                      <a:off x="0" y="0"/>
                      <a:ext cx="5858149" cy="1546358"/>
                    </a:xfrm>
                    <a:prstGeom prst="rect">
                      <a:avLst/>
                    </a:prstGeom>
                    <a:noFill/>
                    <a:ln>
                      <a:noFill/>
                    </a:ln>
                    <a:extLst>
                      <a:ext uri="{53640926-AAD7-44D8-BBD7-CCE9431645EC}">
                        <a14:shadowObscured xmlns:a14="http://schemas.microsoft.com/office/drawing/2010/main"/>
                      </a:ext>
                    </a:extLst>
                  </pic:spPr>
                </pic:pic>
              </a:graphicData>
            </a:graphic>
          </wp:inline>
        </w:drawing>
      </w:r>
    </w:p>
    <w:p w14:paraId="4336CB21" w14:textId="77777777" w:rsidR="007B399B" w:rsidRDefault="007B399B" w:rsidP="007B399B">
      <w:pPr>
        <w:rPr>
          <w:lang w:val="en-US"/>
        </w:rPr>
      </w:pPr>
    </w:p>
    <w:p w14:paraId="2E335534" w14:textId="77777777" w:rsidR="00A5499D" w:rsidRDefault="00A5499D" w:rsidP="007B399B">
      <w:pPr>
        <w:rPr>
          <w:lang w:val="en-US"/>
        </w:rPr>
      </w:pPr>
    </w:p>
    <w:p w14:paraId="0258855C" w14:textId="77777777" w:rsidR="00A5499D" w:rsidRDefault="00A5499D" w:rsidP="007B399B">
      <w:pPr>
        <w:rPr>
          <w:lang w:val="en-US"/>
        </w:rPr>
      </w:pPr>
    </w:p>
    <w:p w14:paraId="1900C941" w14:textId="77777777" w:rsidR="00A5499D" w:rsidRDefault="00A5499D" w:rsidP="007B399B">
      <w:pPr>
        <w:rPr>
          <w:lang w:val="en-US"/>
        </w:rPr>
      </w:pPr>
    </w:p>
    <w:p w14:paraId="4E358A3F" w14:textId="77777777" w:rsidR="00A5499D" w:rsidRDefault="00A5499D" w:rsidP="007B399B">
      <w:pPr>
        <w:rPr>
          <w:lang w:val="en-US"/>
        </w:rPr>
      </w:pPr>
    </w:p>
    <w:p w14:paraId="7705763D" w14:textId="77777777" w:rsidR="00A5499D" w:rsidRDefault="00A5499D" w:rsidP="007B399B">
      <w:pPr>
        <w:rPr>
          <w:lang w:val="en-US"/>
        </w:rPr>
      </w:pPr>
    </w:p>
    <w:p w14:paraId="2795FCD2" w14:textId="77777777" w:rsidR="00A5499D" w:rsidRDefault="00A5499D" w:rsidP="007B399B">
      <w:pPr>
        <w:rPr>
          <w:lang w:val="en-US"/>
        </w:rPr>
      </w:pPr>
    </w:p>
    <w:p w14:paraId="4010C51A" w14:textId="77777777" w:rsidR="00A5499D" w:rsidRDefault="00A5499D" w:rsidP="007B399B">
      <w:pPr>
        <w:rPr>
          <w:lang w:val="en-US"/>
        </w:rPr>
      </w:pPr>
    </w:p>
    <w:p w14:paraId="5E6654DA" w14:textId="77777777" w:rsidR="00A5499D" w:rsidRDefault="00A5499D" w:rsidP="007B399B">
      <w:pPr>
        <w:rPr>
          <w:lang w:val="en-US"/>
        </w:rPr>
      </w:pPr>
    </w:p>
    <w:p w14:paraId="16D22A4E" w14:textId="77777777" w:rsidR="00A5499D" w:rsidRDefault="00A5499D" w:rsidP="007B399B">
      <w:pPr>
        <w:rPr>
          <w:lang w:val="en-US"/>
        </w:rPr>
      </w:pPr>
    </w:p>
    <w:p w14:paraId="17ADB686" w14:textId="77777777" w:rsidR="00A5499D" w:rsidRDefault="00A5499D" w:rsidP="007B399B">
      <w:pPr>
        <w:rPr>
          <w:lang w:val="en-US"/>
        </w:rPr>
      </w:pPr>
    </w:p>
    <w:p w14:paraId="3AEAF8DF"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281B91F3" w14:textId="77777777" w:rsidR="007B399B" w:rsidRDefault="007B399B" w:rsidP="007B399B">
      <w:pPr>
        <w:rPr>
          <w:lang w:val="en-US"/>
        </w:rPr>
      </w:pPr>
      <w:r w:rsidRPr="005E1023">
        <w:rPr>
          <w:noProof/>
          <w:lang w:eastAsia="en-GB"/>
        </w:rPr>
        <w:drawing>
          <wp:inline distT="0" distB="0" distL="0" distR="0" wp14:anchorId="1E73196C" wp14:editId="6860CAD9">
            <wp:extent cx="5347335" cy="39052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4">
                      <a:extLst>
                        <a:ext uri="{28A0092B-C50C-407E-A947-70E740481C1C}">
                          <a14:useLocalDpi xmlns:a14="http://schemas.microsoft.com/office/drawing/2010/main" val="0"/>
                        </a:ext>
                      </a:extLst>
                    </a:blip>
                    <a:srcRect r="46395"/>
                    <a:stretch/>
                  </pic:blipFill>
                  <pic:spPr bwMode="auto">
                    <a:xfrm>
                      <a:off x="0" y="0"/>
                      <a:ext cx="5354247" cy="3910298"/>
                    </a:xfrm>
                    <a:prstGeom prst="rect">
                      <a:avLst/>
                    </a:prstGeom>
                    <a:noFill/>
                    <a:ln>
                      <a:noFill/>
                    </a:ln>
                    <a:extLst>
                      <a:ext uri="{53640926-AAD7-44D8-BBD7-CCE9431645EC}">
                        <a14:shadowObscured xmlns:a14="http://schemas.microsoft.com/office/drawing/2010/main"/>
                      </a:ext>
                    </a:extLst>
                  </pic:spPr>
                </pic:pic>
              </a:graphicData>
            </a:graphic>
          </wp:inline>
        </w:drawing>
      </w:r>
    </w:p>
    <w:p w14:paraId="4D405CF1" w14:textId="77777777" w:rsidR="007B399B" w:rsidRDefault="007B399B" w:rsidP="007B399B">
      <w:pPr>
        <w:rPr>
          <w:lang w:val="en-US"/>
        </w:rPr>
      </w:pPr>
    </w:p>
    <w:p w14:paraId="393A5501" w14:textId="77777777" w:rsidR="007B399B" w:rsidRDefault="007B399B" w:rsidP="007B399B">
      <w:pPr>
        <w:rPr>
          <w:lang w:val="en-US"/>
        </w:rPr>
      </w:pPr>
      <w:r w:rsidRPr="005E1023">
        <w:rPr>
          <w:noProof/>
          <w:lang w:eastAsia="en-GB"/>
        </w:rPr>
        <w:drawing>
          <wp:inline distT="0" distB="0" distL="0" distR="0" wp14:anchorId="48088726" wp14:editId="0A35A2F0">
            <wp:extent cx="5767158" cy="1506931"/>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5">
                      <a:extLst>
                        <a:ext uri="{28A0092B-C50C-407E-A947-70E740481C1C}">
                          <a14:useLocalDpi xmlns:a14="http://schemas.microsoft.com/office/drawing/2010/main" val="0"/>
                        </a:ext>
                      </a:extLst>
                    </a:blip>
                    <a:srcRect r="36950"/>
                    <a:stretch/>
                  </pic:blipFill>
                  <pic:spPr bwMode="auto">
                    <a:xfrm>
                      <a:off x="0" y="0"/>
                      <a:ext cx="5774434" cy="1508832"/>
                    </a:xfrm>
                    <a:prstGeom prst="rect">
                      <a:avLst/>
                    </a:prstGeom>
                    <a:noFill/>
                    <a:ln>
                      <a:noFill/>
                    </a:ln>
                    <a:extLst>
                      <a:ext uri="{53640926-AAD7-44D8-BBD7-CCE9431645EC}">
                        <a14:shadowObscured xmlns:a14="http://schemas.microsoft.com/office/drawing/2010/main"/>
                      </a:ext>
                    </a:extLst>
                  </pic:spPr>
                </pic:pic>
              </a:graphicData>
            </a:graphic>
          </wp:inline>
        </w:drawing>
      </w:r>
    </w:p>
    <w:p w14:paraId="0DDBDDD5" w14:textId="77777777" w:rsidR="007B399B" w:rsidRDefault="007B399B" w:rsidP="007B399B">
      <w:pPr>
        <w:rPr>
          <w:lang w:val="en-US"/>
        </w:rPr>
      </w:pPr>
    </w:p>
    <w:p w14:paraId="635A5E92" w14:textId="77777777" w:rsidR="00A5499D" w:rsidRDefault="00A5499D" w:rsidP="007B399B">
      <w:pPr>
        <w:rPr>
          <w:lang w:val="en-US"/>
        </w:rPr>
      </w:pPr>
    </w:p>
    <w:p w14:paraId="1CEB05E5" w14:textId="77777777" w:rsidR="00A5499D" w:rsidRDefault="00A5499D" w:rsidP="007B399B">
      <w:pPr>
        <w:rPr>
          <w:lang w:val="en-US"/>
        </w:rPr>
      </w:pPr>
    </w:p>
    <w:p w14:paraId="7F4DE985" w14:textId="77777777" w:rsidR="00A5499D" w:rsidRDefault="00A5499D" w:rsidP="007B399B">
      <w:pPr>
        <w:rPr>
          <w:lang w:val="en-US"/>
        </w:rPr>
      </w:pPr>
    </w:p>
    <w:p w14:paraId="6B049085" w14:textId="77777777" w:rsidR="00A5499D" w:rsidRDefault="00A5499D" w:rsidP="007B399B">
      <w:pPr>
        <w:rPr>
          <w:lang w:val="en-US"/>
        </w:rPr>
      </w:pPr>
    </w:p>
    <w:p w14:paraId="29292C3D" w14:textId="77777777" w:rsidR="00A5499D" w:rsidRDefault="00A5499D" w:rsidP="007B399B">
      <w:pPr>
        <w:rPr>
          <w:lang w:val="en-US"/>
        </w:rPr>
      </w:pPr>
    </w:p>
    <w:p w14:paraId="2B92E59F" w14:textId="77777777" w:rsidR="00A5499D" w:rsidRDefault="00A5499D" w:rsidP="007B399B">
      <w:pPr>
        <w:rPr>
          <w:lang w:val="en-US"/>
        </w:rPr>
      </w:pPr>
    </w:p>
    <w:p w14:paraId="3D7FC6D9" w14:textId="77777777" w:rsidR="00A5499D" w:rsidRDefault="00A5499D" w:rsidP="007B399B">
      <w:pPr>
        <w:rPr>
          <w:lang w:val="en-US"/>
        </w:rPr>
      </w:pPr>
    </w:p>
    <w:p w14:paraId="0B039456"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69FC549C" w14:textId="77777777" w:rsidR="00A5499D" w:rsidRDefault="00A5499D" w:rsidP="007B399B">
      <w:pPr>
        <w:rPr>
          <w:lang w:val="en-US"/>
        </w:rPr>
      </w:pPr>
    </w:p>
    <w:p w14:paraId="46D9FF62" w14:textId="77777777" w:rsidR="007B399B" w:rsidRDefault="007B399B" w:rsidP="007B399B">
      <w:pPr>
        <w:rPr>
          <w:lang w:val="en-US"/>
        </w:rPr>
      </w:pPr>
      <w:r w:rsidRPr="005E1023">
        <w:rPr>
          <w:noProof/>
          <w:lang w:eastAsia="en-GB"/>
        </w:rPr>
        <w:drawing>
          <wp:inline distT="0" distB="0" distL="0" distR="0" wp14:anchorId="46B87467" wp14:editId="45B7D4E4">
            <wp:extent cx="5551799" cy="3171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6">
                      <a:extLst>
                        <a:ext uri="{28A0092B-C50C-407E-A947-70E740481C1C}">
                          <a14:useLocalDpi xmlns:a14="http://schemas.microsoft.com/office/drawing/2010/main" val="0"/>
                        </a:ext>
                      </a:extLst>
                    </a:blip>
                    <a:srcRect r="44097"/>
                    <a:stretch/>
                  </pic:blipFill>
                  <pic:spPr bwMode="auto">
                    <a:xfrm>
                      <a:off x="0" y="0"/>
                      <a:ext cx="5565566" cy="3179690"/>
                    </a:xfrm>
                    <a:prstGeom prst="rect">
                      <a:avLst/>
                    </a:prstGeom>
                    <a:noFill/>
                    <a:ln>
                      <a:noFill/>
                    </a:ln>
                    <a:extLst>
                      <a:ext uri="{53640926-AAD7-44D8-BBD7-CCE9431645EC}">
                        <a14:shadowObscured xmlns:a14="http://schemas.microsoft.com/office/drawing/2010/main"/>
                      </a:ext>
                    </a:extLst>
                  </pic:spPr>
                </pic:pic>
              </a:graphicData>
            </a:graphic>
          </wp:inline>
        </w:drawing>
      </w:r>
    </w:p>
    <w:p w14:paraId="342725A0" w14:textId="77777777" w:rsidR="007B399B" w:rsidRDefault="007B399B" w:rsidP="007B399B">
      <w:pPr>
        <w:rPr>
          <w:noProof/>
          <w:lang w:val="en-US"/>
        </w:rPr>
      </w:pPr>
      <w:r w:rsidRPr="005E1023">
        <w:rPr>
          <w:noProof/>
          <w:lang w:eastAsia="en-GB"/>
        </w:rPr>
        <w:drawing>
          <wp:inline distT="0" distB="0" distL="0" distR="0" wp14:anchorId="69CC7613" wp14:editId="63DAA6EB">
            <wp:extent cx="5223053" cy="148053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7">
                      <a:extLst>
                        <a:ext uri="{28A0092B-C50C-407E-A947-70E740481C1C}">
                          <a14:useLocalDpi xmlns:a14="http://schemas.microsoft.com/office/drawing/2010/main" val="0"/>
                        </a:ext>
                      </a:extLst>
                    </a:blip>
                    <a:srcRect r="36057"/>
                    <a:stretch/>
                  </pic:blipFill>
                  <pic:spPr bwMode="auto">
                    <a:xfrm>
                      <a:off x="0" y="0"/>
                      <a:ext cx="5252715" cy="1488939"/>
                    </a:xfrm>
                    <a:prstGeom prst="rect">
                      <a:avLst/>
                    </a:prstGeom>
                    <a:noFill/>
                    <a:ln>
                      <a:noFill/>
                    </a:ln>
                    <a:extLst>
                      <a:ext uri="{53640926-AAD7-44D8-BBD7-CCE9431645EC}">
                        <a14:shadowObscured xmlns:a14="http://schemas.microsoft.com/office/drawing/2010/main"/>
                      </a:ext>
                    </a:extLst>
                  </pic:spPr>
                </pic:pic>
              </a:graphicData>
            </a:graphic>
          </wp:inline>
        </w:drawing>
      </w:r>
    </w:p>
    <w:p w14:paraId="5EAD3A8B" w14:textId="77777777" w:rsidR="007B399B" w:rsidRDefault="007B399B" w:rsidP="007B399B">
      <w:pPr>
        <w:rPr>
          <w:b/>
          <w:bCs/>
          <w:color w:val="548DD4" w:themeColor="text2" w:themeTint="99"/>
          <w:lang w:val="en-US"/>
        </w:rPr>
      </w:pPr>
      <w:r w:rsidRPr="00A5499D">
        <w:rPr>
          <w:b/>
          <w:bCs/>
          <w:color w:val="548DD4" w:themeColor="text2" w:themeTint="99"/>
          <w:lang w:val="en-US"/>
        </w:rPr>
        <w:t>2002-2003</w:t>
      </w:r>
    </w:p>
    <w:p w14:paraId="077CF453"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36ABDF5B" w14:textId="30063B9A" w:rsidR="00A5499D" w:rsidRDefault="007B399B" w:rsidP="007B399B">
      <w:pPr>
        <w:rPr>
          <w:lang w:val="en-US"/>
        </w:rPr>
      </w:pPr>
      <w:r w:rsidRPr="005E1023">
        <w:rPr>
          <w:noProof/>
          <w:lang w:eastAsia="en-GB"/>
        </w:rPr>
        <w:drawing>
          <wp:inline distT="0" distB="0" distL="0" distR="0" wp14:anchorId="5642746A" wp14:editId="42436F00">
            <wp:extent cx="5461000" cy="84124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8">
                      <a:extLst>
                        <a:ext uri="{28A0092B-C50C-407E-A947-70E740481C1C}">
                          <a14:useLocalDpi xmlns:a14="http://schemas.microsoft.com/office/drawing/2010/main" val="0"/>
                        </a:ext>
                      </a:extLst>
                    </a:blip>
                    <a:srcRect r="40907"/>
                    <a:stretch/>
                  </pic:blipFill>
                  <pic:spPr bwMode="auto">
                    <a:xfrm>
                      <a:off x="0" y="0"/>
                      <a:ext cx="5493354" cy="846232"/>
                    </a:xfrm>
                    <a:prstGeom prst="rect">
                      <a:avLst/>
                    </a:prstGeom>
                    <a:noFill/>
                    <a:ln>
                      <a:noFill/>
                    </a:ln>
                    <a:extLst>
                      <a:ext uri="{53640926-AAD7-44D8-BBD7-CCE9431645EC}">
                        <a14:shadowObscured xmlns:a14="http://schemas.microsoft.com/office/drawing/2010/main"/>
                      </a:ext>
                    </a:extLst>
                  </pic:spPr>
                </pic:pic>
              </a:graphicData>
            </a:graphic>
          </wp:inline>
        </w:drawing>
      </w:r>
    </w:p>
    <w:p w14:paraId="7A294C4C" w14:textId="0061AC67" w:rsidR="00A5499D" w:rsidRDefault="00A5499D" w:rsidP="00A5499D">
      <w:pPr>
        <w:rPr>
          <w:lang w:val="en-US"/>
        </w:rPr>
      </w:pPr>
    </w:p>
    <w:p w14:paraId="3E1F9813" w14:textId="77777777" w:rsidR="007B399B" w:rsidRDefault="007B399B" w:rsidP="00A5499D">
      <w:pPr>
        <w:rPr>
          <w:lang w:val="en-US"/>
        </w:rPr>
      </w:pPr>
    </w:p>
    <w:p w14:paraId="5D19F4A2" w14:textId="77777777" w:rsidR="00A5499D" w:rsidRDefault="00A5499D" w:rsidP="00A5499D">
      <w:pPr>
        <w:rPr>
          <w:lang w:val="en-US"/>
        </w:rPr>
      </w:pPr>
    </w:p>
    <w:p w14:paraId="47CACA03" w14:textId="77777777" w:rsidR="00A5499D" w:rsidRDefault="00A5499D" w:rsidP="00A5499D">
      <w:pPr>
        <w:rPr>
          <w:lang w:val="en-US"/>
        </w:rPr>
      </w:pPr>
    </w:p>
    <w:p w14:paraId="49B4A2CA" w14:textId="77777777" w:rsidR="00A5499D" w:rsidRDefault="00A5499D" w:rsidP="00A5499D">
      <w:pPr>
        <w:rPr>
          <w:lang w:val="en-US"/>
        </w:rPr>
      </w:pPr>
    </w:p>
    <w:p w14:paraId="7230975F"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7AA47F5F" w14:textId="074635E8" w:rsidR="007B399B" w:rsidRDefault="007B399B" w:rsidP="007B399B">
      <w:pPr>
        <w:rPr>
          <w:lang w:val="en-US"/>
        </w:rPr>
      </w:pPr>
      <w:r w:rsidRPr="005E1023">
        <w:rPr>
          <w:noProof/>
          <w:lang w:eastAsia="en-GB"/>
        </w:rPr>
        <w:drawing>
          <wp:inline distT="0" distB="0" distL="0" distR="0" wp14:anchorId="0F5D3B55" wp14:editId="5A5F3056">
            <wp:extent cx="5229860" cy="34820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39">
                      <a:extLst>
                        <a:ext uri="{28A0092B-C50C-407E-A947-70E740481C1C}">
                          <a14:useLocalDpi xmlns:a14="http://schemas.microsoft.com/office/drawing/2010/main" val="0"/>
                        </a:ext>
                      </a:extLst>
                    </a:blip>
                    <a:srcRect r="46522"/>
                    <a:stretch/>
                  </pic:blipFill>
                  <pic:spPr bwMode="auto">
                    <a:xfrm>
                      <a:off x="0" y="0"/>
                      <a:ext cx="5239616" cy="3488531"/>
                    </a:xfrm>
                    <a:prstGeom prst="rect">
                      <a:avLst/>
                    </a:prstGeom>
                    <a:noFill/>
                    <a:ln>
                      <a:noFill/>
                    </a:ln>
                    <a:extLst>
                      <a:ext uri="{53640926-AAD7-44D8-BBD7-CCE9431645EC}">
                        <a14:shadowObscured xmlns:a14="http://schemas.microsoft.com/office/drawing/2010/main"/>
                      </a:ext>
                    </a:extLst>
                  </pic:spPr>
                </pic:pic>
              </a:graphicData>
            </a:graphic>
          </wp:inline>
        </w:drawing>
      </w:r>
    </w:p>
    <w:p w14:paraId="13B74D23" w14:textId="5529CF34" w:rsidR="007B399B" w:rsidRDefault="007B399B" w:rsidP="007B399B">
      <w:pPr>
        <w:rPr>
          <w:noProof/>
          <w:lang w:val="en-US"/>
        </w:rPr>
      </w:pPr>
    </w:p>
    <w:p w14:paraId="112E17D8" w14:textId="77777777" w:rsidR="00A5499D" w:rsidRDefault="00A5499D" w:rsidP="007B399B">
      <w:pPr>
        <w:rPr>
          <w:noProof/>
          <w:lang w:val="en-US"/>
        </w:rPr>
      </w:pPr>
    </w:p>
    <w:p w14:paraId="688B537A" w14:textId="1FD4E2A6" w:rsidR="00A5499D" w:rsidRDefault="00A5499D" w:rsidP="007B399B">
      <w:pPr>
        <w:rPr>
          <w:noProof/>
          <w:lang w:val="en-US"/>
        </w:rPr>
      </w:pPr>
      <w:r w:rsidRPr="005E1023">
        <w:rPr>
          <w:noProof/>
          <w:lang w:eastAsia="en-GB"/>
        </w:rPr>
        <w:drawing>
          <wp:inline distT="0" distB="0" distL="0" distR="0" wp14:anchorId="4507AB3C" wp14:editId="5240E7B9">
            <wp:extent cx="5720486" cy="165119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0">
                      <a:extLst>
                        <a:ext uri="{28A0092B-C50C-407E-A947-70E740481C1C}">
                          <a14:useLocalDpi xmlns:a14="http://schemas.microsoft.com/office/drawing/2010/main" val="0"/>
                        </a:ext>
                      </a:extLst>
                    </a:blip>
                    <a:srcRect r="37206"/>
                    <a:stretch/>
                  </pic:blipFill>
                  <pic:spPr bwMode="auto">
                    <a:xfrm>
                      <a:off x="0" y="0"/>
                      <a:ext cx="5734079" cy="1655119"/>
                    </a:xfrm>
                    <a:prstGeom prst="rect">
                      <a:avLst/>
                    </a:prstGeom>
                    <a:noFill/>
                    <a:ln>
                      <a:noFill/>
                    </a:ln>
                    <a:extLst>
                      <a:ext uri="{53640926-AAD7-44D8-BBD7-CCE9431645EC}">
                        <a14:shadowObscured xmlns:a14="http://schemas.microsoft.com/office/drawing/2010/main"/>
                      </a:ext>
                    </a:extLst>
                  </pic:spPr>
                </pic:pic>
              </a:graphicData>
            </a:graphic>
          </wp:inline>
        </w:drawing>
      </w:r>
    </w:p>
    <w:p w14:paraId="440E5DC4" w14:textId="77777777" w:rsidR="00A5499D" w:rsidRDefault="00A5499D" w:rsidP="007B399B">
      <w:pPr>
        <w:rPr>
          <w:noProof/>
          <w:lang w:val="en-US"/>
        </w:rPr>
      </w:pPr>
    </w:p>
    <w:p w14:paraId="762FF800" w14:textId="77777777" w:rsidR="00A5499D" w:rsidRDefault="00A5499D" w:rsidP="007B399B">
      <w:pPr>
        <w:rPr>
          <w:noProof/>
          <w:lang w:val="en-US"/>
        </w:rPr>
      </w:pPr>
    </w:p>
    <w:p w14:paraId="294A0300" w14:textId="77777777" w:rsidR="00A5499D" w:rsidRDefault="00A5499D" w:rsidP="007B399B">
      <w:pPr>
        <w:rPr>
          <w:noProof/>
          <w:lang w:val="en-US"/>
        </w:rPr>
      </w:pPr>
    </w:p>
    <w:p w14:paraId="1761D92A" w14:textId="77777777" w:rsidR="00A5499D" w:rsidRDefault="00A5499D" w:rsidP="007B399B">
      <w:pPr>
        <w:rPr>
          <w:noProof/>
          <w:lang w:val="en-US"/>
        </w:rPr>
      </w:pPr>
    </w:p>
    <w:p w14:paraId="4D2C183D" w14:textId="77777777" w:rsidR="00A5499D" w:rsidRDefault="00A5499D" w:rsidP="007B399B">
      <w:pPr>
        <w:rPr>
          <w:noProof/>
          <w:lang w:val="en-US"/>
        </w:rPr>
      </w:pPr>
    </w:p>
    <w:p w14:paraId="2FAAB866" w14:textId="77777777" w:rsidR="00A5499D" w:rsidRDefault="00A5499D" w:rsidP="007B399B">
      <w:pPr>
        <w:rPr>
          <w:noProof/>
          <w:lang w:val="en-US"/>
        </w:rPr>
      </w:pPr>
    </w:p>
    <w:p w14:paraId="4370EB89" w14:textId="77777777" w:rsidR="00A5499D" w:rsidRDefault="00A5499D" w:rsidP="007B399B">
      <w:pPr>
        <w:rPr>
          <w:noProof/>
          <w:lang w:val="en-US"/>
        </w:rPr>
      </w:pPr>
    </w:p>
    <w:p w14:paraId="4E07D081"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7A16E14C" w14:textId="77777777" w:rsidR="007B399B" w:rsidRDefault="007B399B" w:rsidP="007B399B">
      <w:pPr>
        <w:rPr>
          <w:noProof/>
          <w:lang w:val="en-US"/>
        </w:rPr>
      </w:pPr>
      <w:r w:rsidRPr="005E1023">
        <w:rPr>
          <w:noProof/>
          <w:lang w:eastAsia="en-GB"/>
        </w:rPr>
        <w:drawing>
          <wp:inline distT="0" distB="0" distL="0" distR="0" wp14:anchorId="14A8A03C" wp14:editId="009A9781">
            <wp:extent cx="5515323" cy="347662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41">
                      <a:extLst>
                        <a:ext uri="{28A0092B-C50C-407E-A947-70E740481C1C}">
                          <a14:useLocalDpi xmlns:a14="http://schemas.microsoft.com/office/drawing/2010/main" val="0"/>
                        </a:ext>
                      </a:extLst>
                    </a:blip>
                    <a:srcRect r="45246"/>
                    <a:stretch/>
                  </pic:blipFill>
                  <pic:spPr bwMode="auto">
                    <a:xfrm>
                      <a:off x="0" y="0"/>
                      <a:ext cx="5531702" cy="3486950"/>
                    </a:xfrm>
                    <a:prstGeom prst="rect">
                      <a:avLst/>
                    </a:prstGeom>
                    <a:noFill/>
                    <a:ln>
                      <a:noFill/>
                    </a:ln>
                    <a:extLst>
                      <a:ext uri="{53640926-AAD7-44D8-BBD7-CCE9431645EC}">
                        <a14:shadowObscured xmlns:a14="http://schemas.microsoft.com/office/drawing/2010/main"/>
                      </a:ext>
                    </a:extLst>
                  </pic:spPr>
                </pic:pic>
              </a:graphicData>
            </a:graphic>
          </wp:inline>
        </w:drawing>
      </w:r>
    </w:p>
    <w:p w14:paraId="5ACE198B" w14:textId="77777777" w:rsidR="007B399B" w:rsidRDefault="007B399B" w:rsidP="007B399B">
      <w:pPr>
        <w:rPr>
          <w:lang w:val="en-US"/>
        </w:rPr>
      </w:pPr>
      <w:r w:rsidRPr="005E1023">
        <w:rPr>
          <w:noProof/>
          <w:lang w:eastAsia="en-GB"/>
        </w:rPr>
        <w:drawing>
          <wp:inline distT="0" distB="0" distL="0" distR="0" wp14:anchorId="40963E2C" wp14:editId="5EDBEC95">
            <wp:extent cx="5040173" cy="132252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42">
                      <a:extLst>
                        <a:ext uri="{28A0092B-C50C-407E-A947-70E740481C1C}">
                          <a14:useLocalDpi xmlns:a14="http://schemas.microsoft.com/office/drawing/2010/main" val="0"/>
                        </a:ext>
                      </a:extLst>
                    </a:blip>
                    <a:srcRect r="37214"/>
                    <a:stretch/>
                  </pic:blipFill>
                  <pic:spPr bwMode="auto">
                    <a:xfrm>
                      <a:off x="0" y="0"/>
                      <a:ext cx="5062128" cy="1328284"/>
                    </a:xfrm>
                    <a:prstGeom prst="rect">
                      <a:avLst/>
                    </a:prstGeom>
                    <a:noFill/>
                    <a:ln>
                      <a:noFill/>
                    </a:ln>
                    <a:extLst>
                      <a:ext uri="{53640926-AAD7-44D8-BBD7-CCE9431645EC}">
                        <a14:shadowObscured xmlns:a14="http://schemas.microsoft.com/office/drawing/2010/main"/>
                      </a:ext>
                    </a:extLst>
                  </pic:spPr>
                </pic:pic>
              </a:graphicData>
            </a:graphic>
          </wp:inline>
        </w:drawing>
      </w:r>
    </w:p>
    <w:p w14:paraId="2FB6C9EE" w14:textId="77777777" w:rsidR="007B399B" w:rsidRDefault="007B399B" w:rsidP="007B399B">
      <w:pPr>
        <w:rPr>
          <w:lang w:val="en-US"/>
        </w:rPr>
      </w:pPr>
    </w:p>
    <w:p w14:paraId="1CD6D003" w14:textId="77777777" w:rsidR="00A5499D" w:rsidRDefault="00A5499D" w:rsidP="007B399B">
      <w:pPr>
        <w:rPr>
          <w:lang w:val="en-US"/>
        </w:rPr>
      </w:pPr>
    </w:p>
    <w:p w14:paraId="77F6D32F" w14:textId="77777777" w:rsidR="00A5499D" w:rsidRDefault="00A5499D" w:rsidP="007B399B">
      <w:pPr>
        <w:rPr>
          <w:lang w:val="en-US"/>
        </w:rPr>
      </w:pPr>
    </w:p>
    <w:p w14:paraId="5310B8F2" w14:textId="77777777" w:rsidR="00A5499D" w:rsidRDefault="00A5499D" w:rsidP="007B399B">
      <w:pPr>
        <w:rPr>
          <w:lang w:val="en-US"/>
        </w:rPr>
      </w:pPr>
    </w:p>
    <w:p w14:paraId="4393F3F4" w14:textId="77777777" w:rsidR="00A5499D" w:rsidRDefault="00A5499D" w:rsidP="007B399B">
      <w:pPr>
        <w:rPr>
          <w:lang w:val="en-US"/>
        </w:rPr>
      </w:pPr>
    </w:p>
    <w:p w14:paraId="1E02C1E4" w14:textId="77777777" w:rsidR="00A5499D" w:rsidRDefault="00A5499D" w:rsidP="007B399B">
      <w:pPr>
        <w:rPr>
          <w:lang w:val="en-US"/>
        </w:rPr>
      </w:pPr>
    </w:p>
    <w:p w14:paraId="6AD51108" w14:textId="77777777" w:rsidR="00A5499D" w:rsidRDefault="00A5499D" w:rsidP="007B399B">
      <w:pPr>
        <w:rPr>
          <w:lang w:val="en-US"/>
        </w:rPr>
      </w:pPr>
    </w:p>
    <w:p w14:paraId="0AFB4B82" w14:textId="77777777" w:rsidR="00A5499D" w:rsidRDefault="00A5499D" w:rsidP="007B399B">
      <w:pPr>
        <w:rPr>
          <w:lang w:val="en-US"/>
        </w:rPr>
      </w:pPr>
    </w:p>
    <w:p w14:paraId="658C6768" w14:textId="77777777" w:rsidR="00A5499D" w:rsidRDefault="00A5499D" w:rsidP="007B399B">
      <w:pPr>
        <w:rPr>
          <w:lang w:val="en-US"/>
        </w:rPr>
      </w:pPr>
    </w:p>
    <w:p w14:paraId="5667EEED" w14:textId="77777777" w:rsidR="00A5499D" w:rsidRDefault="00A5499D" w:rsidP="007B399B">
      <w:pPr>
        <w:rPr>
          <w:lang w:val="en-US"/>
        </w:rPr>
      </w:pPr>
    </w:p>
    <w:p w14:paraId="03B7C082"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126D8089" w14:textId="77777777" w:rsidR="007B399B" w:rsidRDefault="007B399B" w:rsidP="007B399B">
      <w:pPr>
        <w:rPr>
          <w:noProof/>
          <w:lang w:val="en-US"/>
        </w:rPr>
      </w:pPr>
      <w:r w:rsidRPr="005E1023">
        <w:rPr>
          <w:noProof/>
          <w:lang w:eastAsia="en-GB"/>
        </w:rPr>
        <w:drawing>
          <wp:inline distT="0" distB="0" distL="0" distR="0" wp14:anchorId="360FFEB9" wp14:editId="28D876FE">
            <wp:extent cx="5815176" cy="3895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3">
                      <a:extLst>
                        <a:ext uri="{28A0092B-C50C-407E-A947-70E740481C1C}">
                          <a14:useLocalDpi xmlns:a14="http://schemas.microsoft.com/office/drawing/2010/main" val="0"/>
                        </a:ext>
                      </a:extLst>
                    </a:blip>
                    <a:srcRect r="45246"/>
                    <a:stretch/>
                  </pic:blipFill>
                  <pic:spPr bwMode="auto">
                    <a:xfrm>
                      <a:off x="0" y="0"/>
                      <a:ext cx="5826597" cy="3903376"/>
                    </a:xfrm>
                    <a:prstGeom prst="rect">
                      <a:avLst/>
                    </a:prstGeom>
                    <a:noFill/>
                    <a:ln>
                      <a:noFill/>
                    </a:ln>
                    <a:extLst>
                      <a:ext uri="{53640926-AAD7-44D8-BBD7-CCE9431645EC}">
                        <a14:shadowObscured xmlns:a14="http://schemas.microsoft.com/office/drawing/2010/main"/>
                      </a:ext>
                    </a:extLst>
                  </pic:spPr>
                </pic:pic>
              </a:graphicData>
            </a:graphic>
          </wp:inline>
        </w:drawing>
      </w:r>
    </w:p>
    <w:p w14:paraId="0DE8CFC7" w14:textId="77777777" w:rsidR="007B399B" w:rsidRDefault="007B399B" w:rsidP="007B399B">
      <w:pPr>
        <w:rPr>
          <w:noProof/>
          <w:lang w:val="en-US"/>
        </w:rPr>
      </w:pPr>
    </w:p>
    <w:p w14:paraId="3777CE20" w14:textId="77777777" w:rsidR="007B399B" w:rsidRDefault="007B399B" w:rsidP="007B399B">
      <w:pPr>
        <w:rPr>
          <w:lang w:val="en-US"/>
        </w:rPr>
      </w:pPr>
      <w:r w:rsidRPr="005E1023">
        <w:rPr>
          <w:noProof/>
          <w:lang w:eastAsia="en-GB"/>
        </w:rPr>
        <w:drawing>
          <wp:inline distT="0" distB="0" distL="0" distR="0" wp14:anchorId="4247EC4E" wp14:editId="5C41559C">
            <wp:extent cx="5730293" cy="120700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44">
                      <a:extLst>
                        <a:ext uri="{28A0092B-C50C-407E-A947-70E740481C1C}">
                          <a14:useLocalDpi xmlns:a14="http://schemas.microsoft.com/office/drawing/2010/main" val="0"/>
                        </a:ext>
                      </a:extLst>
                    </a:blip>
                    <a:srcRect r="37461"/>
                    <a:stretch/>
                  </pic:blipFill>
                  <pic:spPr bwMode="auto">
                    <a:xfrm>
                      <a:off x="0" y="0"/>
                      <a:ext cx="5757512" cy="1212741"/>
                    </a:xfrm>
                    <a:prstGeom prst="rect">
                      <a:avLst/>
                    </a:prstGeom>
                    <a:noFill/>
                    <a:ln>
                      <a:noFill/>
                    </a:ln>
                    <a:extLst>
                      <a:ext uri="{53640926-AAD7-44D8-BBD7-CCE9431645EC}">
                        <a14:shadowObscured xmlns:a14="http://schemas.microsoft.com/office/drawing/2010/main"/>
                      </a:ext>
                    </a:extLst>
                  </pic:spPr>
                </pic:pic>
              </a:graphicData>
            </a:graphic>
          </wp:inline>
        </w:drawing>
      </w:r>
    </w:p>
    <w:p w14:paraId="0A2B6A62" w14:textId="77777777" w:rsidR="007B399B" w:rsidRDefault="007B399B" w:rsidP="007B399B">
      <w:pPr>
        <w:rPr>
          <w:lang w:val="en-US"/>
        </w:rPr>
      </w:pPr>
    </w:p>
    <w:p w14:paraId="68992EB1" w14:textId="77777777" w:rsidR="007B399B" w:rsidRDefault="007B399B" w:rsidP="007B399B">
      <w:pPr>
        <w:rPr>
          <w:b/>
          <w:bCs/>
          <w:color w:val="548DD4" w:themeColor="text2" w:themeTint="99"/>
          <w:lang w:val="en-US"/>
        </w:rPr>
      </w:pPr>
      <w:r w:rsidRPr="00A5499D">
        <w:rPr>
          <w:b/>
          <w:bCs/>
          <w:color w:val="548DD4" w:themeColor="text2" w:themeTint="99"/>
          <w:lang w:val="en-US"/>
        </w:rPr>
        <w:t>2004-2005</w:t>
      </w:r>
    </w:p>
    <w:p w14:paraId="39043B9C"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57A12BB8" w14:textId="77777777" w:rsidR="007B399B" w:rsidRDefault="007B399B" w:rsidP="007B399B">
      <w:pPr>
        <w:rPr>
          <w:lang w:val="en-US"/>
        </w:rPr>
      </w:pPr>
      <w:r w:rsidRPr="005E1023">
        <w:rPr>
          <w:noProof/>
          <w:lang w:eastAsia="en-GB"/>
        </w:rPr>
        <w:drawing>
          <wp:inline distT="0" distB="0" distL="0" distR="0" wp14:anchorId="517E2361" wp14:editId="6F2014AE">
            <wp:extent cx="5424921" cy="106801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45">
                      <a:extLst>
                        <a:ext uri="{28A0092B-C50C-407E-A947-70E740481C1C}">
                          <a14:useLocalDpi xmlns:a14="http://schemas.microsoft.com/office/drawing/2010/main" val="0"/>
                        </a:ext>
                      </a:extLst>
                    </a:blip>
                    <a:srcRect r="41417"/>
                    <a:stretch/>
                  </pic:blipFill>
                  <pic:spPr bwMode="auto">
                    <a:xfrm>
                      <a:off x="0" y="0"/>
                      <a:ext cx="5454743" cy="1073890"/>
                    </a:xfrm>
                    <a:prstGeom prst="rect">
                      <a:avLst/>
                    </a:prstGeom>
                    <a:noFill/>
                    <a:ln>
                      <a:noFill/>
                    </a:ln>
                    <a:extLst>
                      <a:ext uri="{53640926-AAD7-44D8-BBD7-CCE9431645EC}">
                        <a14:shadowObscured xmlns:a14="http://schemas.microsoft.com/office/drawing/2010/main"/>
                      </a:ext>
                    </a:extLst>
                  </pic:spPr>
                </pic:pic>
              </a:graphicData>
            </a:graphic>
          </wp:inline>
        </w:drawing>
      </w:r>
    </w:p>
    <w:p w14:paraId="7F9A25E6" w14:textId="77777777" w:rsidR="00A5499D" w:rsidRDefault="00A5499D" w:rsidP="007B399B">
      <w:pPr>
        <w:rPr>
          <w:lang w:val="en-US"/>
        </w:rPr>
      </w:pPr>
    </w:p>
    <w:p w14:paraId="57ACEBD4" w14:textId="77777777" w:rsidR="00A5499D" w:rsidRDefault="00A5499D" w:rsidP="007B399B">
      <w:pPr>
        <w:rPr>
          <w:lang w:val="en-US"/>
        </w:rPr>
      </w:pPr>
    </w:p>
    <w:p w14:paraId="19842FB5"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5D170F81" w14:textId="77777777" w:rsidR="007B399B" w:rsidRDefault="007B399B" w:rsidP="007B399B">
      <w:pPr>
        <w:rPr>
          <w:lang w:val="en-US"/>
        </w:rPr>
      </w:pPr>
      <w:r w:rsidRPr="005E1023">
        <w:rPr>
          <w:noProof/>
          <w:lang w:eastAsia="en-GB"/>
        </w:rPr>
        <w:drawing>
          <wp:inline distT="0" distB="0" distL="0" distR="0" wp14:anchorId="3CC64C40" wp14:editId="502935AC">
            <wp:extent cx="5310464" cy="3429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46">
                      <a:extLst>
                        <a:ext uri="{28A0092B-C50C-407E-A947-70E740481C1C}">
                          <a14:useLocalDpi xmlns:a14="http://schemas.microsoft.com/office/drawing/2010/main" val="0"/>
                        </a:ext>
                      </a:extLst>
                    </a:blip>
                    <a:srcRect r="44863"/>
                    <a:stretch/>
                  </pic:blipFill>
                  <pic:spPr bwMode="auto">
                    <a:xfrm>
                      <a:off x="0" y="0"/>
                      <a:ext cx="5326690" cy="3439477"/>
                    </a:xfrm>
                    <a:prstGeom prst="rect">
                      <a:avLst/>
                    </a:prstGeom>
                    <a:noFill/>
                    <a:ln>
                      <a:noFill/>
                    </a:ln>
                    <a:extLst>
                      <a:ext uri="{53640926-AAD7-44D8-BBD7-CCE9431645EC}">
                        <a14:shadowObscured xmlns:a14="http://schemas.microsoft.com/office/drawing/2010/main"/>
                      </a:ext>
                    </a:extLst>
                  </pic:spPr>
                </pic:pic>
              </a:graphicData>
            </a:graphic>
          </wp:inline>
        </w:drawing>
      </w:r>
    </w:p>
    <w:p w14:paraId="0B2504B4" w14:textId="77777777" w:rsidR="007B399B" w:rsidRDefault="007B399B" w:rsidP="007B399B">
      <w:pPr>
        <w:rPr>
          <w:noProof/>
          <w:lang w:val="en-US"/>
        </w:rPr>
      </w:pPr>
      <w:r w:rsidRPr="005E1023">
        <w:rPr>
          <w:noProof/>
          <w:lang w:eastAsia="en-GB"/>
        </w:rPr>
        <w:drawing>
          <wp:inline distT="0" distB="0" distL="0" distR="0" wp14:anchorId="17388F23" wp14:editId="308C4D52">
            <wp:extent cx="5152806" cy="1314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47">
                      <a:extLst>
                        <a:ext uri="{28A0092B-C50C-407E-A947-70E740481C1C}">
                          <a14:useLocalDpi xmlns:a14="http://schemas.microsoft.com/office/drawing/2010/main" val="0"/>
                        </a:ext>
                      </a:extLst>
                    </a:blip>
                    <a:srcRect r="37588"/>
                    <a:stretch/>
                  </pic:blipFill>
                  <pic:spPr bwMode="auto">
                    <a:xfrm>
                      <a:off x="0" y="0"/>
                      <a:ext cx="5172239" cy="1319407"/>
                    </a:xfrm>
                    <a:prstGeom prst="rect">
                      <a:avLst/>
                    </a:prstGeom>
                    <a:noFill/>
                    <a:ln>
                      <a:noFill/>
                    </a:ln>
                    <a:extLst>
                      <a:ext uri="{53640926-AAD7-44D8-BBD7-CCE9431645EC}">
                        <a14:shadowObscured xmlns:a14="http://schemas.microsoft.com/office/drawing/2010/main"/>
                      </a:ext>
                    </a:extLst>
                  </pic:spPr>
                </pic:pic>
              </a:graphicData>
            </a:graphic>
          </wp:inline>
        </w:drawing>
      </w:r>
    </w:p>
    <w:p w14:paraId="119D7FA5" w14:textId="77777777" w:rsidR="00A5499D" w:rsidRDefault="00A5499D" w:rsidP="007B399B">
      <w:pPr>
        <w:rPr>
          <w:noProof/>
          <w:lang w:val="en-US"/>
        </w:rPr>
      </w:pPr>
    </w:p>
    <w:p w14:paraId="6236936A" w14:textId="77777777" w:rsidR="00A5499D" w:rsidRDefault="00A5499D" w:rsidP="007B399B">
      <w:pPr>
        <w:rPr>
          <w:noProof/>
          <w:lang w:val="en-US"/>
        </w:rPr>
      </w:pPr>
    </w:p>
    <w:p w14:paraId="62C2255E" w14:textId="77777777" w:rsidR="00A5499D" w:rsidRDefault="00A5499D" w:rsidP="007B399B">
      <w:pPr>
        <w:rPr>
          <w:noProof/>
          <w:lang w:val="en-US"/>
        </w:rPr>
      </w:pPr>
    </w:p>
    <w:p w14:paraId="4D207B83" w14:textId="77777777" w:rsidR="00A5499D" w:rsidRDefault="00A5499D" w:rsidP="007B399B">
      <w:pPr>
        <w:rPr>
          <w:noProof/>
          <w:lang w:val="en-US"/>
        </w:rPr>
      </w:pPr>
    </w:p>
    <w:p w14:paraId="722F2DCC" w14:textId="77777777" w:rsidR="00A5499D" w:rsidRDefault="00A5499D" w:rsidP="007B399B">
      <w:pPr>
        <w:rPr>
          <w:noProof/>
          <w:lang w:val="en-US"/>
        </w:rPr>
      </w:pPr>
    </w:p>
    <w:p w14:paraId="16FCE9D1" w14:textId="77777777" w:rsidR="00A5499D" w:rsidRDefault="00A5499D" w:rsidP="007B399B">
      <w:pPr>
        <w:rPr>
          <w:noProof/>
          <w:lang w:val="en-US"/>
        </w:rPr>
      </w:pPr>
    </w:p>
    <w:p w14:paraId="7FA2B064" w14:textId="77777777" w:rsidR="00A5499D" w:rsidRDefault="00A5499D" w:rsidP="007B399B">
      <w:pPr>
        <w:rPr>
          <w:noProof/>
          <w:lang w:val="en-US"/>
        </w:rPr>
      </w:pPr>
    </w:p>
    <w:p w14:paraId="1F55F8BF" w14:textId="77777777" w:rsidR="00A5499D" w:rsidRDefault="00A5499D" w:rsidP="007B399B">
      <w:pPr>
        <w:rPr>
          <w:noProof/>
          <w:lang w:val="en-US"/>
        </w:rPr>
      </w:pPr>
    </w:p>
    <w:p w14:paraId="40347A26" w14:textId="77777777" w:rsidR="00A5499D" w:rsidRDefault="00A5499D" w:rsidP="007B399B">
      <w:pPr>
        <w:rPr>
          <w:noProof/>
          <w:lang w:val="en-US"/>
        </w:rPr>
      </w:pPr>
    </w:p>
    <w:p w14:paraId="383ED793" w14:textId="77777777" w:rsidR="00A5499D" w:rsidRDefault="00A5499D" w:rsidP="007B399B">
      <w:pPr>
        <w:rPr>
          <w:noProof/>
          <w:lang w:val="en-US"/>
        </w:rPr>
      </w:pPr>
    </w:p>
    <w:p w14:paraId="5DE0FF16" w14:textId="77777777" w:rsidR="00A5499D" w:rsidRDefault="00A5499D" w:rsidP="007B399B">
      <w:pPr>
        <w:rPr>
          <w:noProof/>
          <w:lang w:val="en-US"/>
        </w:rPr>
      </w:pPr>
    </w:p>
    <w:p w14:paraId="3D108084"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2632285C" w14:textId="77777777" w:rsidR="007B399B" w:rsidRDefault="007B399B" w:rsidP="007B399B">
      <w:pPr>
        <w:rPr>
          <w:lang w:val="en-US"/>
        </w:rPr>
      </w:pPr>
      <w:r w:rsidRPr="005E1023">
        <w:rPr>
          <w:noProof/>
          <w:lang w:eastAsia="en-GB"/>
        </w:rPr>
        <w:drawing>
          <wp:inline distT="0" distB="0" distL="0" distR="0" wp14:anchorId="48A898A9" wp14:editId="1A3D25A6">
            <wp:extent cx="5310463" cy="33813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48">
                      <a:extLst>
                        <a:ext uri="{28A0092B-C50C-407E-A947-70E740481C1C}">
                          <a14:useLocalDpi xmlns:a14="http://schemas.microsoft.com/office/drawing/2010/main" val="0"/>
                        </a:ext>
                      </a:extLst>
                    </a:blip>
                    <a:srcRect r="45374"/>
                    <a:stretch/>
                  </pic:blipFill>
                  <pic:spPr bwMode="auto">
                    <a:xfrm>
                      <a:off x="0" y="0"/>
                      <a:ext cx="5317397" cy="3385790"/>
                    </a:xfrm>
                    <a:prstGeom prst="rect">
                      <a:avLst/>
                    </a:prstGeom>
                    <a:noFill/>
                    <a:ln>
                      <a:noFill/>
                    </a:ln>
                    <a:extLst>
                      <a:ext uri="{53640926-AAD7-44D8-BBD7-CCE9431645EC}">
                        <a14:shadowObscured xmlns:a14="http://schemas.microsoft.com/office/drawing/2010/main"/>
                      </a:ext>
                    </a:extLst>
                  </pic:spPr>
                </pic:pic>
              </a:graphicData>
            </a:graphic>
          </wp:inline>
        </w:drawing>
      </w:r>
    </w:p>
    <w:p w14:paraId="6D432963" w14:textId="77777777" w:rsidR="007B399B" w:rsidRDefault="007B399B" w:rsidP="007B399B">
      <w:pPr>
        <w:rPr>
          <w:lang w:val="en-US"/>
        </w:rPr>
      </w:pPr>
      <w:r w:rsidRPr="005E1023">
        <w:rPr>
          <w:noProof/>
          <w:lang w:eastAsia="en-GB"/>
        </w:rPr>
        <w:drawing>
          <wp:inline distT="0" distB="0" distL="0" distR="0" wp14:anchorId="12026066" wp14:editId="0038E9DF">
            <wp:extent cx="5449188" cy="155082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49">
                      <a:extLst>
                        <a:ext uri="{28A0092B-C50C-407E-A947-70E740481C1C}">
                          <a14:useLocalDpi xmlns:a14="http://schemas.microsoft.com/office/drawing/2010/main" val="0"/>
                        </a:ext>
                      </a:extLst>
                    </a:blip>
                    <a:srcRect r="36312"/>
                    <a:stretch/>
                  </pic:blipFill>
                  <pic:spPr bwMode="auto">
                    <a:xfrm>
                      <a:off x="0" y="0"/>
                      <a:ext cx="5463462" cy="1554884"/>
                    </a:xfrm>
                    <a:prstGeom prst="rect">
                      <a:avLst/>
                    </a:prstGeom>
                    <a:noFill/>
                    <a:ln>
                      <a:noFill/>
                    </a:ln>
                    <a:extLst>
                      <a:ext uri="{53640926-AAD7-44D8-BBD7-CCE9431645EC}">
                        <a14:shadowObscured xmlns:a14="http://schemas.microsoft.com/office/drawing/2010/main"/>
                      </a:ext>
                    </a:extLst>
                  </pic:spPr>
                </pic:pic>
              </a:graphicData>
            </a:graphic>
          </wp:inline>
        </w:drawing>
      </w:r>
    </w:p>
    <w:p w14:paraId="399563F4" w14:textId="77777777" w:rsidR="00A5499D" w:rsidRDefault="00A5499D" w:rsidP="00A5499D">
      <w:pPr>
        <w:rPr>
          <w:color w:val="548DD4" w:themeColor="text2" w:themeTint="99"/>
          <w:sz w:val="26"/>
          <w:szCs w:val="26"/>
          <w:lang w:val="en-US"/>
        </w:rPr>
      </w:pPr>
    </w:p>
    <w:p w14:paraId="33284C0D" w14:textId="77777777" w:rsidR="00A5499D" w:rsidRDefault="00A5499D" w:rsidP="00A5499D">
      <w:pPr>
        <w:rPr>
          <w:color w:val="548DD4" w:themeColor="text2" w:themeTint="99"/>
          <w:sz w:val="26"/>
          <w:szCs w:val="26"/>
          <w:lang w:val="en-US"/>
        </w:rPr>
      </w:pPr>
    </w:p>
    <w:p w14:paraId="2BFA6258" w14:textId="77777777" w:rsidR="00A5499D" w:rsidRDefault="00A5499D" w:rsidP="00A5499D">
      <w:pPr>
        <w:rPr>
          <w:color w:val="548DD4" w:themeColor="text2" w:themeTint="99"/>
          <w:sz w:val="26"/>
          <w:szCs w:val="26"/>
          <w:lang w:val="en-US"/>
        </w:rPr>
      </w:pPr>
    </w:p>
    <w:p w14:paraId="3F9B98B8" w14:textId="77777777" w:rsidR="00A5499D" w:rsidRDefault="00A5499D" w:rsidP="00A5499D">
      <w:pPr>
        <w:rPr>
          <w:color w:val="548DD4" w:themeColor="text2" w:themeTint="99"/>
          <w:sz w:val="26"/>
          <w:szCs w:val="26"/>
          <w:lang w:val="en-US"/>
        </w:rPr>
      </w:pPr>
    </w:p>
    <w:p w14:paraId="4F3EA103" w14:textId="77777777" w:rsidR="00A5499D" w:rsidRDefault="00A5499D" w:rsidP="00A5499D">
      <w:pPr>
        <w:rPr>
          <w:color w:val="548DD4" w:themeColor="text2" w:themeTint="99"/>
          <w:sz w:val="26"/>
          <w:szCs w:val="26"/>
          <w:lang w:val="en-US"/>
        </w:rPr>
      </w:pPr>
    </w:p>
    <w:p w14:paraId="30B3C596" w14:textId="77777777" w:rsidR="00A5499D" w:rsidRDefault="00A5499D" w:rsidP="00A5499D">
      <w:pPr>
        <w:rPr>
          <w:color w:val="548DD4" w:themeColor="text2" w:themeTint="99"/>
          <w:sz w:val="26"/>
          <w:szCs w:val="26"/>
          <w:lang w:val="en-US"/>
        </w:rPr>
      </w:pPr>
    </w:p>
    <w:p w14:paraId="7BAFC8A1" w14:textId="77777777" w:rsidR="00A5499D" w:rsidRDefault="00A5499D" w:rsidP="00A5499D">
      <w:pPr>
        <w:rPr>
          <w:color w:val="548DD4" w:themeColor="text2" w:themeTint="99"/>
          <w:sz w:val="26"/>
          <w:szCs w:val="26"/>
          <w:lang w:val="en-US"/>
        </w:rPr>
      </w:pPr>
    </w:p>
    <w:p w14:paraId="21B0D116" w14:textId="77777777" w:rsidR="00A5499D" w:rsidRDefault="00A5499D" w:rsidP="00A5499D">
      <w:pPr>
        <w:rPr>
          <w:color w:val="548DD4" w:themeColor="text2" w:themeTint="99"/>
          <w:sz w:val="26"/>
          <w:szCs w:val="26"/>
          <w:lang w:val="en-US"/>
        </w:rPr>
      </w:pPr>
    </w:p>
    <w:p w14:paraId="1751F191" w14:textId="77777777" w:rsidR="00A5499D" w:rsidRDefault="00A5499D" w:rsidP="00A5499D">
      <w:pPr>
        <w:rPr>
          <w:color w:val="548DD4" w:themeColor="text2" w:themeTint="99"/>
          <w:sz w:val="26"/>
          <w:szCs w:val="26"/>
          <w:lang w:val="en-US"/>
        </w:rPr>
      </w:pPr>
    </w:p>
    <w:p w14:paraId="6F3AB096"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079EA44B" w14:textId="77777777" w:rsidR="007B399B" w:rsidRDefault="007B399B" w:rsidP="007B399B">
      <w:pPr>
        <w:rPr>
          <w:noProof/>
          <w:lang w:val="en-US"/>
        </w:rPr>
      </w:pPr>
      <w:r w:rsidRPr="005E1023">
        <w:rPr>
          <w:noProof/>
          <w:lang w:eastAsia="en-GB"/>
        </w:rPr>
        <w:drawing>
          <wp:inline distT="0" distB="0" distL="0" distR="0" wp14:anchorId="2270C80F" wp14:editId="22766698">
            <wp:extent cx="5646901" cy="29241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0">
                      <a:extLst>
                        <a:ext uri="{28A0092B-C50C-407E-A947-70E740481C1C}">
                          <a14:useLocalDpi xmlns:a14="http://schemas.microsoft.com/office/drawing/2010/main" val="0"/>
                        </a:ext>
                      </a:extLst>
                    </a:blip>
                    <a:srcRect r="56095"/>
                    <a:stretch/>
                  </pic:blipFill>
                  <pic:spPr bwMode="auto">
                    <a:xfrm>
                      <a:off x="0" y="0"/>
                      <a:ext cx="5658422" cy="2930141"/>
                    </a:xfrm>
                    <a:prstGeom prst="rect">
                      <a:avLst/>
                    </a:prstGeom>
                    <a:noFill/>
                    <a:ln>
                      <a:noFill/>
                    </a:ln>
                    <a:extLst>
                      <a:ext uri="{53640926-AAD7-44D8-BBD7-CCE9431645EC}">
                        <a14:shadowObscured xmlns:a14="http://schemas.microsoft.com/office/drawing/2010/main"/>
                      </a:ext>
                    </a:extLst>
                  </pic:spPr>
                </pic:pic>
              </a:graphicData>
            </a:graphic>
          </wp:inline>
        </w:drawing>
      </w:r>
    </w:p>
    <w:p w14:paraId="6C1176B5" w14:textId="77777777" w:rsidR="007B399B" w:rsidRDefault="007B399B" w:rsidP="007B399B">
      <w:pPr>
        <w:rPr>
          <w:lang w:val="en-US"/>
        </w:rPr>
      </w:pPr>
      <w:r w:rsidRPr="005E1023">
        <w:rPr>
          <w:noProof/>
          <w:lang w:eastAsia="en-GB"/>
        </w:rPr>
        <w:drawing>
          <wp:inline distT="0" distB="0" distL="0" distR="0" wp14:anchorId="32BB9CBC" wp14:editId="6278B894">
            <wp:extent cx="5558834" cy="147035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1">
                      <a:extLst>
                        <a:ext uri="{28A0092B-C50C-407E-A947-70E740481C1C}">
                          <a14:useLocalDpi xmlns:a14="http://schemas.microsoft.com/office/drawing/2010/main" val="0"/>
                        </a:ext>
                      </a:extLst>
                    </a:blip>
                    <a:srcRect r="37716"/>
                    <a:stretch/>
                  </pic:blipFill>
                  <pic:spPr bwMode="auto">
                    <a:xfrm>
                      <a:off x="0" y="0"/>
                      <a:ext cx="5574028" cy="1474374"/>
                    </a:xfrm>
                    <a:prstGeom prst="rect">
                      <a:avLst/>
                    </a:prstGeom>
                    <a:noFill/>
                    <a:ln>
                      <a:noFill/>
                    </a:ln>
                    <a:extLst>
                      <a:ext uri="{53640926-AAD7-44D8-BBD7-CCE9431645EC}">
                        <a14:shadowObscured xmlns:a14="http://schemas.microsoft.com/office/drawing/2010/main"/>
                      </a:ext>
                    </a:extLst>
                  </pic:spPr>
                </pic:pic>
              </a:graphicData>
            </a:graphic>
          </wp:inline>
        </w:drawing>
      </w:r>
    </w:p>
    <w:p w14:paraId="7503F70F" w14:textId="77777777" w:rsidR="007B399B" w:rsidRDefault="007B399B" w:rsidP="007B399B">
      <w:pPr>
        <w:rPr>
          <w:lang w:val="en-US"/>
        </w:rPr>
      </w:pPr>
    </w:p>
    <w:p w14:paraId="3429FDA6" w14:textId="77777777" w:rsidR="007B399B" w:rsidRDefault="007B399B" w:rsidP="007B399B">
      <w:pPr>
        <w:rPr>
          <w:b/>
          <w:bCs/>
          <w:color w:val="548DD4" w:themeColor="text2" w:themeTint="99"/>
          <w:lang w:val="en-US"/>
        </w:rPr>
      </w:pPr>
      <w:r w:rsidRPr="00A5499D">
        <w:rPr>
          <w:b/>
          <w:bCs/>
          <w:color w:val="548DD4" w:themeColor="text2" w:themeTint="99"/>
          <w:lang w:val="en-US"/>
        </w:rPr>
        <w:t>2006-2007</w:t>
      </w:r>
    </w:p>
    <w:p w14:paraId="32B1E7BC"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30F7EFA9" w14:textId="77777777" w:rsidR="00A5499D" w:rsidRPr="00A5499D" w:rsidRDefault="00A5499D" w:rsidP="007B399B">
      <w:pPr>
        <w:rPr>
          <w:b/>
          <w:bCs/>
          <w:color w:val="548DD4" w:themeColor="text2" w:themeTint="99"/>
          <w:lang w:val="en-US"/>
        </w:rPr>
      </w:pPr>
    </w:p>
    <w:p w14:paraId="49F4A53E" w14:textId="77777777" w:rsidR="007B399B" w:rsidRDefault="007B399B" w:rsidP="007B399B">
      <w:pPr>
        <w:rPr>
          <w:noProof/>
          <w:lang w:val="en-US"/>
        </w:rPr>
      </w:pPr>
      <w:r w:rsidRPr="005E1023">
        <w:rPr>
          <w:noProof/>
          <w:lang w:eastAsia="en-GB"/>
        </w:rPr>
        <w:drawing>
          <wp:inline distT="0" distB="0" distL="0" distR="0" wp14:anchorId="4C4DEF44" wp14:editId="64E0D3F3">
            <wp:extent cx="5621096" cy="76809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2">
                      <a:extLst>
                        <a:ext uri="{28A0092B-C50C-407E-A947-70E740481C1C}">
                          <a14:useLocalDpi xmlns:a14="http://schemas.microsoft.com/office/drawing/2010/main" val="0"/>
                        </a:ext>
                      </a:extLst>
                    </a:blip>
                    <a:srcRect r="39758"/>
                    <a:stretch/>
                  </pic:blipFill>
                  <pic:spPr bwMode="auto">
                    <a:xfrm>
                      <a:off x="0" y="0"/>
                      <a:ext cx="5643830" cy="771203"/>
                    </a:xfrm>
                    <a:prstGeom prst="rect">
                      <a:avLst/>
                    </a:prstGeom>
                    <a:noFill/>
                    <a:ln>
                      <a:noFill/>
                    </a:ln>
                    <a:extLst>
                      <a:ext uri="{53640926-AAD7-44D8-BBD7-CCE9431645EC}">
                        <a14:shadowObscured xmlns:a14="http://schemas.microsoft.com/office/drawing/2010/main"/>
                      </a:ext>
                    </a:extLst>
                  </pic:spPr>
                </pic:pic>
              </a:graphicData>
            </a:graphic>
          </wp:inline>
        </w:drawing>
      </w:r>
    </w:p>
    <w:p w14:paraId="4974107E" w14:textId="77777777" w:rsidR="007B399B" w:rsidRDefault="007B399B" w:rsidP="007B399B">
      <w:pPr>
        <w:rPr>
          <w:noProof/>
          <w:lang w:val="en-US"/>
        </w:rPr>
      </w:pPr>
    </w:p>
    <w:p w14:paraId="0A95C5BD" w14:textId="77777777" w:rsidR="00A5499D" w:rsidRDefault="00A5499D" w:rsidP="007B399B">
      <w:pPr>
        <w:rPr>
          <w:noProof/>
          <w:lang w:val="en-US"/>
        </w:rPr>
      </w:pPr>
    </w:p>
    <w:p w14:paraId="2ECFAA9E" w14:textId="77777777" w:rsidR="00A5499D" w:rsidRDefault="00A5499D" w:rsidP="007B399B">
      <w:pPr>
        <w:rPr>
          <w:noProof/>
          <w:lang w:val="en-US"/>
        </w:rPr>
      </w:pPr>
    </w:p>
    <w:p w14:paraId="6FD149C2" w14:textId="77777777" w:rsidR="00A5499D" w:rsidRDefault="00A5499D" w:rsidP="007B399B">
      <w:pPr>
        <w:rPr>
          <w:noProof/>
          <w:lang w:val="en-US"/>
        </w:rPr>
      </w:pPr>
    </w:p>
    <w:p w14:paraId="4B0799ED" w14:textId="77777777" w:rsidR="00A5499D" w:rsidRDefault="00A5499D" w:rsidP="007B399B">
      <w:pPr>
        <w:rPr>
          <w:noProof/>
          <w:lang w:val="en-US"/>
        </w:rPr>
      </w:pPr>
    </w:p>
    <w:p w14:paraId="3974F1F9"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04A98ADE" w14:textId="77777777" w:rsidR="007B399B" w:rsidRDefault="007B399B" w:rsidP="007B399B">
      <w:pPr>
        <w:rPr>
          <w:lang w:val="en-US"/>
        </w:rPr>
      </w:pPr>
      <w:r w:rsidRPr="005E1023">
        <w:rPr>
          <w:noProof/>
          <w:lang w:eastAsia="en-GB"/>
        </w:rPr>
        <w:drawing>
          <wp:inline distT="0" distB="0" distL="0" distR="0" wp14:anchorId="202FFFB9" wp14:editId="5F438E49">
            <wp:extent cx="5778500" cy="3581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53">
                      <a:extLst>
                        <a:ext uri="{28A0092B-C50C-407E-A947-70E740481C1C}">
                          <a14:useLocalDpi xmlns:a14="http://schemas.microsoft.com/office/drawing/2010/main" val="0"/>
                        </a:ext>
                      </a:extLst>
                    </a:blip>
                    <a:srcRect r="46012"/>
                    <a:stretch/>
                  </pic:blipFill>
                  <pic:spPr bwMode="auto">
                    <a:xfrm>
                      <a:off x="0" y="0"/>
                      <a:ext cx="5790072" cy="3588572"/>
                    </a:xfrm>
                    <a:prstGeom prst="rect">
                      <a:avLst/>
                    </a:prstGeom>
                    <a:noFill/>
                    <a:ln>
                      <a:noFill/>
                    </a:ln>
                    <a:extLst>
                      <a:ext uri="{53640926-AAD7-44D8-BBD7-CCE9431645EC}">
                        <a14:shadowObscured xmlns:a14="http://schemas.microsoft.com/office/drawing/2010/main"/>
                      </a:ext>
                    </a:extLst>
                  </pic:spPr>
                </pic:pic>
              </a:graphicData>
            </a:graphic>
          </wp:inline>
        </w:drawing>
      </w:r>
    </w:p>
    <w:p w14:paraId="774118FF" w14:textId="77777777" w:rsidR="007B399B" w:rsidRDefault="007B399B" w:rsidP="007B399B">
      <w:pPr>
        <w:rPr>
          <w:noProof/>
          <w:lang w:val="en-US"/>
        </w:rPr>
      </w:pPr>
      <w:r w:rsidRPr="005E1023">
        <w:rPr>
          <w:noProof/>
          <w:lang w:eastAsia="en-GB"/>
        </w:rPr>
        <w:drawing>
          <wp:inline distT="0" distB="0" distL="0" distR="0" wp14:anchorId="730F0D5C" wp14:editId="23806AF3">
            <wp:extent cx="5638854" cy="14557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54">
                      <a:extLst>
                        <a:ext uri="{28A0092B-C50C-407E-A947-70E740481C1C}">
                          <a14:useLocalDpi xmlns:a14="http://schemas.microsoft.com/office/drawing/2010/main" val="0"/>
                        </a:ext>
                      </a:extLst>
                    </a:blip>
                    <a:srcRect r="36185"/>
                    <a:stretch/>
                  </pic:blipFill>
                  <pic:spPr bwMode="auto">
                    <a:xfrm>
                      <a:off x="0" y="0"/>
                      <a:ext cx="5652449" cy="1459235"/>
                    </a:xfrm>
                    <a:prstGeom prst="rect">
                      <a:avLst/>
                    </a:prstGeom>
                    <a:noFill/>
                    <a:ln>
                      <a:noFill/>
                    </a:ln>
                    <a:extLst>
                      <a:ext uri="{53640926-AAD7-44D8-BBD7-CCE9431645EC}">
                        <a14:shadowObscured xmlns:a14="http://schemas.microsoft.com/office/drawing/2010/main"/>
                      </a:ext>
                    </a:extLst>
                  </pic:spPr>
                </pic:pic>
              </a:graphicData>
            </a:graphic>
          </wp:inline>
        </w:drawing>
      </w:r>
    </w:p>
    <w:p w14:paraId="1768F13D" w14:textId="77777777" w:rsidR="007B399B" w:rsidRDefault="007B399B" w:rsidP="007B399B">
      <w:pPr>
        <w:rPr>
          <w:noProof/>
          <w:lang w:val="en-US"/>
        </w:rPr>
      </w:pPr>
    </w:p>
    <w:p w14:paraId="2FA7D7A7" w14:textId="77777777" w:rsidR="00A5499D" w:rsidRDefault="00A5499D" w:rsidP="007B399B">
      <w:pPr>
        <w:rPr>
          <w:noProof/>
          <w:lang w:val="en-US"/>
        </w:rPr>
      </w:pPr>
    </w:p>
    <w:p w14:paraId="5508FFC7" w14:textId="77777777" w:rsidR="00A5499D" w:rsidRDefault="00A5499D" w:rsidP="007B399B">
      <w:pPr>
        <w:rPr>
          <w:noProof/>
          <w:lang w:val="en-US"/>
        </w:rPr>
      </w:pPr>
    </w:p>
    <w:p w14:paraId="55495487" w14:textId="77777777" w:rsidR="00A5499D" w:rsidRDefault="00A5499D" w:rsidP="007B399B">
      <w:pPr>
        <w:rPr>
          <w:noProof/>
          <w:lang w:val="en-US"/>
        </w:rPr>
      </w:pPr>
    </w:p>
    <w:p w14:paraId="793C93B5" w14:textId="77777777" w:rsidR="00A5499D" w:rsidRDefault="00A5499D" w:rsidP="007B399B">
      <w:pPr>
        <w:rPr>
          <w:noProof/>
          <w:lang w:val="en-US"/>
        </w:rPr>
      </w:pPr>
    </w:p>
    <w:p w14:paraId="23FB90B3" w14:textId="77777777" w:rsidR="00A5499D" w:rsidRDefault="00A5499D" w:rsidP="007B399B">
      <w:pPr>
        <w:rPr>
          <w:noProof/>
          <w:lang w:val="en-US"/>
        </w:rPr>
      </w:pPr>
    </w:p>
    <w:p w14:paraId="04EAE5F1" w14:textId="77777777" w:rsidR="00A5499D" w:rsidRDefault="00A5499D" w:rsidP="007B399B">
      <w:pPr>
        <w:rPr>
          <w:noProof/>
          <w:lang w:val="en-US"/>
        </w:rPr>
      </w:pPr>
    </w:p>
    <w:p w14:paraId="428409E5" w14:textId="77777777" w:rsidR="00A5499D" w:rsidRDefault="00A5499D" w:rsidP="007B399B">
      <w:pPr>
        <w:rPr>
          <w:noProof/>
          <w:lang w:val="en-US"/>
        </w:rPr>
      </w:pPr>
    </w:p>
    <w:p w14:paraId="5E7C6AA2" w14:textId="77777777" w:rsidR="00A5499D" w:rsidRDefault="00A5499D" w:rsidP="007B399B">
      <w:pPr>
        <w:rPr>
          <w:noProof/>
          <w:lang w:val="en-US"/>
        </w:rPr>
      </w:pPr>
    </w:p>
    <w:p w14:paraId="6613BDE3" w14:textId="77777777" w:rsidR="00A5499D" w:rsidRDefault="00A5499D" w:rsidP="007B399B">
      <w:pPr>
        <w:rPr>
          <w:noProof/>
          <w:lang w:val="en-US"/>
        </w:rPr>
      </w:pPr>
    </w:p>
    <w:p w14:paraId="2F431D29"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2FFB7BB7" w14:textId="77777777" w:rsidR="007B399B" w:rsidRDefault="007B399B" w:rsidP="007B399B">
      <w:pPr>
        <w:rPr>
          <w:noProof/>
          <w:lang w:val="en-US"/>
        </w:rPr>
      </w:pPr>
      <w:r w:rsidRPr="00E74989">
        <w:rPr>
          <w:noProof/>
          <w:lang w:eastAsia="en-GB"/>
        </w:rPr>
        <w:drawing>
          <wp:inline distT="0" distB="0" distL="0" distR="0" wp14:anchorId="1093AEBE" wp14:editId="4BB900C6">
            <wp:extent cx="5624830" cy="3124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55">
                      <a:extLst>
                        <a:ext uri="{28A0092B-C50C-407E-A947-70E740481C1C}">
                          <a14:useLocalDpi xmlns:a14="http://schemas.microsoft.com/office/drawing/2010/main" val="0"/>
                        </a:ext>
                      </a:extLst>
                    </a:blip>
                    <a:srcRect r="54819"/>
                    <a:stretch/>
                  </pic:blipFill>
                  <pic:spPr bwMode="auto">
                    <a:xfrm>
                      <a:off x="0" y="0"/>
                      <a:ext cx="5631879" cy="3128115"/>
                    </a:xfrm>
                    <a:prstGeom prst="rect">
                      <a:avLst/>
                    </a:prstGeom>
                    <a:noFill/>
                    <a:ln>
                      <a:noFill/>
                    </a:ln>
                    <a:extLst>
                      <a:ext uri="{53640926-AAD7-44D8-BBD7-CCE9431645EC}">
                        <a14:shadowObscured xmlns:a14="http://schemas.microsoft.com/office/drawing/2010/main"/>
                      </a:ext>
                    </a:extLst>
                  </pic:spPr>
                </pic:pic>
              </a:graphicData>
            </a:graphic>
          </wp:inline>
        </w:drawing>
      </w:r>
    </w:p>
    <w:p w14:paraId="5DC5EB0E" w14:textId="77777777" w:rsidR="007B399B" w:rsidRDefault="007B399B" w:rsidP="007B399B">
      <w:pPr>
        <w:rPr>
          <w:lang w:val="en-US"/>
        </w:rPr>
      </w:pPr>
      <w:r w:rsidRPr="00E74989">
        <w:rPr>
          <w:noProof/>
          <w:lang w:eastAsia="en-GB"/>
        </w:rPr>
        <w:drawing>
          <wp:inline distT="0" distB="0" distL="0" distR="0" wp14:anchorId="73B0328A" wp14:editId="498FCAEC">
            <wp:extent cx="5334073" cy="1382573"/>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56">
                      <a:extLst>
                        <a:ext uri="{28A0092B-C50C-407E-A947-70E740481C1C}">
                          <a14:useLocalDpi xmlns:a14="http://schemas.microsoft.com/office/drawing/2010/main" val="0"/>
                        </a:ext>
                      </a:extLst>
                    </a:blip>
                    <a:srcRect r="36439"/>
                    <a:stretch/>
                  </pic:blipFill>
                  <pic:spPr bwMode="auto">
                    <a:xfrm>
                      <a:off x="0" y="0"/>
                      <a:ext cx="5355511" cy="1388130"/>
                    </a:xfrm>
                    <a:prstGeom prst="rect">
                      <a:avLst/>
                    </a:prstGeom>
                    <a:noFill/>
                    <a:ln>
                      <a:noFill/>
                    </a:ln>
                    <a:extLst>
                      <a:ext uri="{53640926-AAD7-44D8-BBD7-CCE9431645EC}">
                        <a14:shadowObscured xmlns:a14="http://schemas.microsoft.com/office/drawing/2010/main"/>
                      </a:ext>
                    </a:extLst>
                  </pic:spPr>
                </pic:pic>
              </a:graphicData>
            </a:graphic>
          </wp:inline>
        </w:drawing>
      </w:r>
    </w:p>
    <w:p w14:paraId="0CD74E2F" w14:textId="77777777" w:rsidR="007B399B" w:rsidRDefault="007B399B" w:rsidP="007B399B">
      <w:pPr>
        <w:rPr>
          <w:lang w:val="en-US"/>
        </w:rPr>
      </w:pPr>
    </w:p>
    <w:p w14:paraId="3CC26AA9" w14:textId="77777777" w:rsidR="00A5499D" w:rsidRDefault="00A5499D" w:rsidP="007B399B">
      <w:pPr>
        <w:rPr>
          <w:lang w:val="en-US"/>
        </w:rPr>
      </w:pPr>
    </w:p>
    <w:p w14:paraId="0982BB27" w14:textId="77777777" w:rsidR="00A5499D" w:rsidRDefault="00A5499D" w:rsidP="007B399B">
      <w:pPr>
        <w:rPr>
          <w:lang w:val="en-US"/>
        </w:rPr>
      </w:pPr>
    </w:p>
    <w:p w14:paraId="77526DE7" w14:textId="77777777" w:rsidR="00A5499D" w:rsidRDefault="00A5499D" w:rsidP="007B399B">
      <w:pPr>
        <w:rPr>
          <w:lang w:val="en-US"/>
        </w:rPr>
      </w:pPr>
    </w:p>
    <w:p w14:paraId="304F339A" w14:textId="77777777" w:rsidR="00A5499D" w:rsidRDefault="00A5499D" w:rsidP="007B399B">
      <w:pPr>
        <w:rPr>
          <w:lang w:val="en-US"/>
        </w:rPr>
      </w:pPr>
    </w:p>
    <w:p w14:paraId="697B5802" w14:textId="77777777" w:rsidR="00A5499D" w:rsidRDefault="00A5499D" w:rsidP="007B399B">
      <w:pPr>
        <w:rPr>
          <w:lang w:val="en-US"/>
        </w:rPr>
      </w:pPr>
    </w:p>
    <w:p w14:paraId="3BEC465A" w14:textId="77777777" w:rsidR="00A5499D" w:rsidRDefault="00A5499D" w:rsidP="007B399B">
      <w:pPr>
        <w:rPr>
          <w:lang w:val="en-US"/>
        </w:rPr>
      </w:pPr>
    </w:p>
    <w:p w14:paraId="7253CDAC" w14:textId="77777777" w:rsidR="00A5499D" w:rsidRDefault="00A5499D" w:rsidP="007B399B">
      <w:pPr>
        <w:rPr>
          <w:lang w:val="en-US"/>
        </w:rPr>
      </w:pPr>
    </w:p>
    <w:p w14:paraId="14063DAB" w14:textId="77777777" w:rsidR="00A5499D" w:rsidRDefault="00A5499D" w:rsidP="007B399B">
      <w:pPr>
        <w:rPr>
          <w:lang w:val="en-US"/>
        </w:rPr>
      </w:pPr>
    </w:p>
    <w:p w14:paraId="4E78781A" w14:textId="77777777" w:rsidR="00A5499D" w:rsidRDefault="00A5499D" w:rsidP="007B399B">
      <w:pPr>
        <w:rPr>
          <w:lang w:val="en-US"/>
        </w:rPr>
      </w:pPr>
    </w:p>
    <w:p w14:paraId="7EA45303" w14:textId="77777777" w:rsidR="00A5499D" w:rsidRDefault="00A5499D" w:rsidP="007B399B">
      <w:pPr>
        <w:rPr>
          <w:lang w:val="en-US"/>
        </w:rPr>
      </w:pPr>
    </w:p>
    <w:p w14:paraId="7DB471A7"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4BD25317" w14:textId="77777777" w:rsidR="007B399B" w:rsidRDefault="007B399B" w:rsidP="007B399B">
      <w:pPr>
        <w:rPr>
          <w:lang w:val="en-US"/>
        </w:rPr>
      </w:pPr>
      <w:r w:rsidRPr="00E74989">
        <w:rPr>
          <w:noProof/>
          <w:lang w:eastAsia="en-GB"/>
        </w:rPr>
        <w:drawing>
          <wp:inline distT="0" distB="0" distL="0" distR="0" wp14:anchorId="2C68A411" wp14:editId="2F65EB45">
            <wp:extent cx="5448300" cy="37719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57">
                      <a:extLst>
                        <a:ext uri="{28A0092B-C50C-407E-A947-70E740481C1C}">
                          <a14:useLocalDpi xmlns:a14="http://schemas.microsoft.com/office/drawing/2010/main" val="0"/>
                        </a:ext>
                      </a:extLst>
                    </a:blip>
                    <a:srcRect r="45246"/>
                    <a:stretch/>
                  </pic:blipFill>
                  <pic:spPr bwMode="auto">
                    <a:xfrm>
                      <a:off x="0" y="0"/>
                      <a:ext cx="5461387" cy="3780960"/>
                    </a:xfrm>
                    <a:prstGeom prst="rect">
                      <a:avLst/>
                    </a:prstGeom>
                    <a:noFill/>
                    <a:ln>
                      <a:noFill/>
                    </a:ln>
                    <a:extLst>
                      <a:ext uri="{53640926-AAD7-44D8-BBD7-CCE9431645EC}">
                        <a14:shadowObscured xmlns:a14="http://schemas.microsoft.com/office/drawing/2010/main"/>
                      </a:ext>
                    </a:extLst>
                  </pic:spPr>
                </pic:pic>
              </a:graphicData>
            </a:graphic>
          </wp:inline>
        </w:drawing>
      </w:r>
    </w:p>
    <w:p w14:paraId="5ECA7BBC" w14:textId="77777777" w:rsidR="007B399B" w:rsidRDefault="007B399B" w:rsidP="007B399B">
      <w:pPr>
        <w:rPr>
          <w:lang w:val="en-US"/>
        </w:rPr>
      </w:pPr>
      <w:r w:rsidRPr="00E74989">
        <w:rPr>
          <w:noProof/>
          <w:lang w:eastAsia="en-GB"/>
        </w:rPr>
        <w:drawing>
          <wp:inline distT="0" distB="0" distL="0" distR="0" wp14:anchorId="2F8590FC" wp14:editId="3217EFDC">
            <wp:extent cx="5616299" cy="14557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58">
                      <a:extLst>
                        <a:ext uri="{28A0092B-C50C-407E-A947-70E740481C1C}">
                          <a14:useLocalDpi xmlns:a14="http://schemas.microsoft.com/office/drawing/2010/main" val="0"/>
                        </a:ext>
                      </a:extLst>
                    </a:blip>
                    <a:srcRect r="36439"/>
                    <a:stretch/>
                  </pic:blipFill>
                  <pic:spPr bwMode="auto">
                    <a:xfrm>
                      <a:off x="0" y="0"/>
                      <a:ext cx="5640977" cy="1462121"/>
                    </a:xfrm>
                    <a:prstGeom prst="rect">
                      <a:avLst/>
                    </a:prstGeom>
                    <a:noFill/>
                    <a:ln>
                      <a:noFill/>
                    </a:ln>
                    <a:extLst>
                      <a:ext uri="{53640926-AAD7-44D8-BBD7-CCE9431645EC}">
                        <a14:shadowObscured xmlns:a14="http://schemas.microsoft.com/office/drawing/2010/main"/>
                      </a:ext>
                    </a:extLst>
                  </pic:spPr>
                </pic:pic>
              </a:graphicData>
            </a:graphic>
          </wp:inline>
        </w:drawing>
      </w:r>
    </w:p>
    <w:p w14:paraId="1C5242B2" w14:textId="77777777" w:rsidR="007B399B" w:rsidRDefault="007B399B" w:rsidP="007B399B">
      <w:pPr>
        <w:rPr>
          <w:lang w:val="en-US"/>
        </w:rPr>
      </w:pPr>
    </w:p>
    <w:p w14:paraId="06E71DA2" w14:textId="77777777" w:rsidR="007B399B" w:rsidRDefault="007B399B" w:rsidP="007B399B">
      <w:pPr>
        <w:rPr>
          <w:b/>
          <w:bCs/>
          <w:color w:val="548DD4" w:themeColor="text2" w:themeTint="99"/>
          <w:lang w:val="en-US"/>
        </w:rPr>
      </w:pPr>
      <w:r w:rsidRPr="00A5499D">
        <w:rPr>
          <w:b/>
          <w:bCs/>
          <w:color w:val="548DD4" w:themeColor="text2" w:themeTint="99"/>
          <w:lang w:val="en-US"/>
        </w:rPr>
        <w:t>2008-2009</w:t>
      </w:r>
    </w:p>
    <w:p w14:paraId="4D2EAB7F"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53F3DB3E" w14:textId="77777777" w:rsidR="00A5499D" w:rsidRPr="00A5499D" w:rsidRDefault="00A5499D" w:rsidP="007B399B">
      <w:pPr>
        <w:rPr>
          <w:b/>
          <w:bCs/>
          <w:color w:val="548DD4" w:themeColor="text2" w:themeTint="99"/>
          <w:lang w:val="en-US"/>
        </w:rPr>
      </w:pPr>
    </w:p>
    <w:p w14:paraId="6B6879BC" w14:textId="77777777" w:rsidR="007B399B" w:rsidRDefault="007B399B" w:rsidP="007B399B">
      <w:pPr>
        <w:rPr>
          <w:lang w:val="en-US"/>
        </w:rPr>
      </w:pPr>
      <w:r w:rsidRPr="00E74989">
        <w:rPr>
          <w:noProof/>
          <w:lang w:eastAsia="en-GB"/>
        </w:rPr>
        <w:drawing>
          <wp:inline distT="0" distB="0" distL="0" distR="0" wp14:anchorId="5B599C5E" wp14:editId="17D0AD00">
            <wp:extent cx="5176380" cy="72420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59">
                      <a:extLst>
                        <a:ext uri="{28A0092B-C50C-407E-A947-70E740481C1C}">
                          <a14:useLocalDpi xmlns:a14="http://schemas.microsoft.com/office/drawing/2010/main" val="0"/>
                        </a:ext>
                      </a:extLst>
                    </a:blip>
                    <a:srcRect r="41162"/>
                    <a:stretch/>
                  </pic:blipFill>
                  <pic:spPr bwMode="auto">
                    <a:xfrm>
                      <a:off x="0" y="0"/>
                      <a:ext cx="5198912" cy="727357"/>
                    </a:xfrm>
                    <a:prstGeom prst="rect">
                      <a:avLst/>
                    </a:prstGeom>
                    <a:noFill/>
                    <a:ln>
                      <a:noFill/>
                    </a:ln>
                    <a:extLst>
                      <a:ext uri="{53640926-AAD7-44D8-BBD7-CCE9431645EC}">
                        <a14:shadowObscured xmlns:a14="http://schemas.microsoft.com/office/drawing/2010/main"/>
                      </a:ext>
                    </a:extLst>
                  </pic:spPr>
                </pic:pic>
              </a:graphicData>
            </a:graphic>
          </wp:inline>
        </w:drawing>
      </w:r>
    </w:p>
    <w:p w14:paraId="07C6D2E2" w14:textId="77777777" w:rsidR="00A5499D" w:rsidRDefault="00A5499D" w:rsidP="007B399B">
      <w:pPr>
        <w:rPr>
          <w:lang w:val="en-US"/>
        </w:rPr>
      </w:pPr>
    </w:p>
    <w:p w14:paraId="7194DCEC" w14:textId="77777777" w:rsidR="00A5499D" w:rsidRDefault="00A5499D" w:rsidP="007B399B">
      <w:pPr>
        <w:rPr>
          <w:lang w:val="en-US"/>
        </w:rPr>
      </w:pPr>
    </w:p>
    <w:p w14:paraId="7FFAC936"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504FBBF9" w14:textId="77777777" w:rsidR="007B399B" w:rsidRDefault="007B399B" w:rsidP="007B399B">
      <w:pPr>
        <w:rPr>
          <w:lang w:val="en-US"/>
        </w:rPr>
      </w:pPr>
      <w:r w:rsidRPr="00E74989">
        <w:rPr>
          <w:noProof/>
          <w:lang w:eastAsia="en-GB"/>
        </w:rPr>
        <w:drawing>
          <wp:inline distT="0" distB="0" distL="0" distR="0" wp14:anchorId="3B898D3A" wp14:editId="404E1519">
            <wp:extent cx="5610225" cy="33242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60">
                      <a:extLst>
                        <a:ext uri="{28A0092B-C50C-407E-A947-70E740481C1C}">
                          <a14:useLocalDpi xmlns:a14="http://schemas.microsoft.com/office/drawing/2010/main" val="0"/>
                        </a:ext>
                      </a:extLst>
                    </a:blip>
                    <a:srcRect r="44736"/>
                    <a:stretch/>
                  </pic:blipFill>
                  <pic:spPr bwMode="auto">
                    <a:xfrm>
                      <a:off x="0" y="0"/>
                      <a:ext cx="5619001" cy="3329425"/>
                    </a:xfrm>
                    <a:prstGeom prst="rect">
                      <a:avLst/>
                    </a:prstGeom>
                    <a:noFill/>
                    <a:ln>
                      <a:noFill/>
                    </a:ln>
                    <a:extLst>
                      <a:ext uri="{53640926-AAD7-44D8-BBD7-CCE9431645EC}">
                        <a14:shadowObscured xmlns:a14="http://schemas.microsoft.com/office/drawing/2010/main"/>
                      </a:ext>
                    </a:extLst>
                  </pic:spPr>
                </pic:pic>
              </a:graphicData>
            </a:graphic>
          </wp:inline>
        </w:drawing>
      </w:r>
    </w:p>
    <w:p w14:paraId="1DEB1208" w14:textId="77777777" w:rsidR="007B399B" w:rsidRDefault="007B399B" w:rsidP="007B399B">
      <w:pPr>
        <w:rPr>
          <w:lang w:val="en-US"/>
        </w:rPr>
      </w:pPr>
      <w:r w:rsidRPr="00E74989">
        <w:rPr>
          <w:noProof/>
          <w:lang w:eastAsia="en-GB"/>
        </w:rPr>
        <w:drawing>
          <wp:inline distT="0" distB="0" distL="0" distR="0" wp14:anchorId="21500D92" wp14:editId="17256C03">
            <wp:extent cx="5757408" cy="1492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61">
                      <a:extLst>
                        <a:ext uri="{28A0092B-C50C-407E-A947-70E740481C1C}">
                          <a14:useLocalDpi xmlns:a14="http://schemas.microsoft.com/office/drawing/2010/main" val="0"/>
                        </a:ext>
                      </a:extLst>
                    </a:blip>
                    <a:srcRect r="36439"/>
                    <a:stretch/>
                  </pic:blipFill>
                  <pic:spPr bwMode="auto">
                    <a:xfrm>
                      <a:off x="0" y="0"/>
                      <a:ext cx="5772147" cy="1496120"/>
                    </a:xfrm>
                    <a:prstGeom prst="rect">
                      <a:avLst/>
                    </a:prstGeom>
                    <a:noFill/>
                    <a:ln>
                      <a:noFill/>
                    </a:ln>
                    <a:extLst>
                      <a:ext uri="{53640926-AAD7-44D8-BBD7-CCE9431645EC}">
                        <a14:shadowObscured xmlns:a14="http://schemas.microsoft.com/office/drawing/2010/main"/>
                      </a:ext>
                    </a:extLst>
                  </pic:spPr>
                </pic:pic>
              </a:graphicData>
            </a:graphic>
          </wp:inline>
        </w:drawing>
      </w:r>
    </w:p>
    <w:p w14:paraId="5E1F76D3" w14:textId="77777777" w:rsidR="007B399B" w:rsidRDefault="007B399B" w:rsidP="007B399B">
      <w:pPr>
        <w:rPr>
          <w:lang w:val="en-US"/>
        </w:rPr>
      </w:pPr>
    </w:p>
    <w:p w14:paraId="5306230A" w14:textId="77777777" w:rsidR="00A5499D" w:rsidRDefault="00A5499D" w:rsidP="007B399B">
      <w:pPr>
        <w:rPr>
          <w:lang w:val="en-US"/>
        </w:rPr>
      </w:pPr>
    </w:p>
    <w:p w14:paraId="2D7B0B61" w14:textId="77777777" w:rsidR="00A5499D" w:rsidRDefault="00A5499D" w:rsidP="007B399B">
      <w:pPr>
        <w:rPr>
          <w:lang w:val="en-US"/>
        </w:rPr>
      </w:pPr>
    </w:p>
    <w:p w14:paraId="64704C6C" w14:textId="77777777" w:rsidR="00A5499D" w:rsidRDefault="00A5499D" w:rsidP="007B399B">
      <w:pPr>
        <w:rPr>
          <w:lang w:val="en-US"/>
        </w:rPr>
      </w:pPr>
    </w:p>
    <w:p w14:paraId="4330B050" w14:textId="77777777" w:rsidR="00A5499D" w:rsidRDefault="00A5499D" w:rsidP="007B399B">
      <w:pPr>
        <w:rPr>
          <w:lang w:val="en-US"/>
        </w:rPr>
      </w:pPr>
    </w:p>
    <w:p w14:paraId="3DE8C82D" w14:textId="77777777" w:rsidR="00A5499D" w:rsidRDefault="00A5499D" w:rsidP="007B399B">
      <w:pPr>
        <w:rPr>
          <w:lang w:val="en-US"/>
        </w:rPr>
      </w:pPr>
    </w:p>
    <w:p w14:paraId="26543B65" w14:textId="77777777" w:rsidR="00A5499D" w:rsidRDefault="00A5499D" w:rsidP="007B399B">
      <w:pPr>
        <w:rPr>
          <w:lang w:val="en-US"/>
        </w:rPr>
      </w:pPr>
    </w:p>
    <w:p w14:paraId="08774B64" w14:textId="77777777" w:rsidR="00A5499D" w:rsidRDefault="00A5499D" w:rsidP="007B399B">
      <w:pPr>
        <w:rPr>
          <w:lang w:val="en-US"/>
        </w:rPr>
      </w:pPr>
    </w:p>
    <w:p w14:paraId="6393E98F" w14:textId="77777777" w:rsidR="00A5499D" w:rsidRDefault="00A5499D" w:rsidP="007B399B">
      <w:pPr>
        <w:rPr>
          <w:lang w:val="en-US"/>
        </w:rPr>
      </w:pPr>
    </w:p>
    <w:p w14:paraId="3C73EF90" w14:textId="77777777" w:rsidR="00A5499D" w:rsidRDefault="00A5499D" w:rsidP="007B399B">
      <w:pPr>
        <w:rPr>
          <w:lang w:val="en-US"/>
        </w:rPr>
      </w:pPr>
    </w:p>
    <w:p w14:paraId="31F4430D"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781E6626" w14:textId="77777777" w:rsidR="007B399B" w:rsidRDefault="007B399B" w:rsidP="007B399B">
      <w:pPr>
        <w:rPr>
          <w:lang w:val="en-US"/>
        </w:rPr>
      </w:pPr>
      <w:r w:rsidRPr="00E74989">
        <w:rPr>
          <w:noProof/>
          <w:lang w:eastAsia="en-GB"/>
        </w:rPr>
        <w:drawing>
          <wp:inline distT="0" distB="0" distL="0" distR="0" wp14:anchorId="11AD7DFE" wp14:editId="47C73704">
            <wp:extent cx="5508346" cy="568723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62">
                      <a:extLst>
                        <a:ext uri="{28A0092B-C50C-407E-A947-70E740481C1C}">
                          <a14:useLocalDpi xmlns:a14="http://schemas.microsoft.com/office/drawing/2010/main" val="0"/>
                        </a:ext>
                      </a:extLst>
                    </a:blip>
                    <a:srcRect r="45757"/>
                    <a:stretch/>
                  </pic:blipFill>
                  <pic:spPr bwMode="auto">
                    <a:xfrm>
                      <a:off x="0" y="0"/>
                      <a:ext cx="5512283" cy="5691297"/>
                    </a:xfrm>
                    <a:prstGeom prst="rect">
                      <a:avLst/>
                    </a:prstGeom>
                    <a:noFill/>
                    <a:ln>
                      <a:noFill/>
                    </a:ln>
                    <a:extLst>
                      <a:ext uri="{53640926-AAD7-44D8-BBD7-CCE9431645EC}">
                        <a14:shadowObscured xmlns:a14="http://schemas.microsoft.com/office/drawing/2010/main"/>
                      </a:ext>
                    </a:extLst>
                  </pic:spPr>
                </pic:pic>
              </a:graphicData>
            </a:graphic>
          </wp:inline>
        </w:drawing>
      </w:r>
    </w:p>
    <w:p w14:paraId="4141B66B" w14:textId="02BD0658" w:rsidR="00A5499D" w:rsidRDefault="007B399B" w:rsidP="007B399B">
      <w:pPr>
        <w:rPr>
          <w:noProof/>
          <w:lang w:val="en-US"/>
        </w:rPr>
      </w:pPr>
      <w:r w:rsidRPr="00E74989">
        <w:rPr>
          <w:noProof/>
          <w:lang w:eastAsia="en-GB"/>
        </w:rPr>
        <w:drawing>
          <wp:inline distT="0" distB="0" distL="0" distR="0" wp14:anchorId="409661B4" wp14:editId="67EFDD30">
            <wp:extent cx="5565635" cy="144841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63">
                      <a:extLst>
                        <a:ext uri="{28A0092B-C50C-407E-A947-70E740481C1C}">
                          <a14:useLocalDpi xmlns:a14="http://schemas.microsoft.com/office/drawing/2010/main" val="0"/>
                        </a:ext>
                      </a:extLst>
                    </a:blip>
                    <a:srcRect r="36695"/>
                    <a:stretch/>
                  </pic:blipFill>
                  <pic:spPr bwMode="auto">
                    <a:xfrm>
                      <a:off x="0" y="0"/>
                      <a:ext cx="5602685" cy="1458052"/>
                    </a:xfrm>
                    <a:prstGeom prst="rect">
                      <a:avLst/>
                    </a:prstGeom>
                    <a:noFill/>
                    <a:ln>
                      <a:noFill/>
                    </a:ln>
                    <a:extLst>
                      <a:ext uri="{53640926-AAD7-44D8-BBD7-CCE9431645EC}">
                        <a14:shadowObscured xmlns:a14="http://schemas.microsoft.com/office/drawing/2010/main"/>
                      </a:ext>
                    </a:extLst>
                  </pic:spPr>
                </pic:pic>
              </a:graphicData>
            </a:graphic>
          </wp:inline>
        </w:drawing>
      </w:r>
    </w:p>
    <w:p w14:paraId="28A90F6C" w14:textId="7B1D901B" w:rsidR="00A5499D" w:rsidRDefault="00A5499D" w:rsidP="00A5499D">
      <w:pPr>
        <w:rPr>
          <w:lang w:val="en-US"/>
        </w:rPr>
      </w:pPr>
    </w:p>
    <w:p w14:paraId="382E5D36" w14:textId="77777777" w:rsidR="007B399B" w:rsidRDefault="007B399B" w:rsidP="00A5499D">
      <w:pPr>
        <w:rPr>
          <w:lang w:val="en-US"/>
        </w:rPr>
      </w:pPr>
    </w:p>
    <w:p w14:paraId="65BAAEC4" w14:textId="77777777" w:rsidR="00A5499D" w:rsidRDefault="00A5499D" w:rsidP="00A5499D">
      <w:pPr>
        <w:rPr>
          <w:lang w:val="en-US"/>
        </w:rPr>
      </w:pPr>
    </w:p>
    <w:p w14:paraId="5C6C6841"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10FFEF08" w14:textId="77777777" w:rsidR="007B399B" w:rsidRDefault="007B399B" w:rsidP="007B399B">
      <w:pPr>
        <w:rPr>
          <w:lang w:val="en-US"/>
        </w:rPr>
      </w:pPr>
      <w:r w:rsidRPr="00E74989">
        <w:rPr>
          <w:noProof/>
          <w:lang w:eastAsia="en-GB"/>
        </w:rPr>
        <w:drawing>
          <wp:inline distT="0" distB="0" distL="0" distR="0" wp14:anchorId="7E1E0720" wp14:editId="337E114D">
            <wp:extent cx="5639435" cy="31337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64">
                      <a:extLst>
                        <a:ext uri="{28A0092B-C50C-407E-A947-70E740481C1C}">
                          <a14:useLocalDpi xmlns:a14="http://schemas.microsoft.com/office/drawing/2010/main" val="0"/>
                        </a:ext>
                      </a:extLst>
                    </a:blip>
                    <a:srcRect r="46140"/>
                    <a:stretch/>
                  </pic:blipFill>
                  <pic:spPr bwMode="auto">
                    <a:xfrm>
                      <a:off x="0" y="0"/>
                      <a:ext cx="5647603" cy="3138264"/>
                    </a:xfrm>
                    <a:prstGeom prst="rect">
                      <a:avLst/>
                    </a:prstGeom>
                    <a:noFill/>
                    <a:ln>
                      <a:noFill/>
                    </a:ln>
                    <a:extLst>
                      <a:ext uri="{53640926-AAD7-44D8-BBD7-CCE9431645EC}">
                        <a14:shadowObscured xmlns:a14="http://schemas.microsoft.com/office/drawing/2010/main"/>
                      </a:ext>
                    </a:extLst>
                  </pic:spPr>
                </pic:pic>
              </a:graphicData>
            </a:graphic>
          </wp:inline>
        </w:drawing>
      </w:r>
    </w:p>
    <w:p w14:paraId="4581B64F" w14:textId="77777777" w:rsidR="007B399B" w:rsidRDefault="007B399B" w:rsidP="007B399B">
      <w:pPr>
        <w:rPr>
          <w:noProof/>
          <w:lang w:val="en-US"/>
        </w:rPr>
      </w:pPr>
      <w:r w:rsidRPr="00E74989">
        <w:rPr>
          <w:noProof/>
          <w:lang w:eastAsia="en-GB"/>
        </w:rPr>
        <w:drawing>
          <wp:inline distT="0" distB="0" distL="0" distR="0" wp14:anchorId="7ED730EF" wp14:editId="207D3C29">
            <wp:extent cx="5564956" cy="14337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65">
                      <a:extLst>
                        <a:ext uri="{28A0092B-C50C-407E-A947-70E740481C1C}">
                          <a14:useLocalDpi xmlns:a14="http://schemas.microsoft.com/office/drawing/2010/main" val="0"/>
                        </a:ext>
                      </a:extLst>
                    </a:blip>
                    <a:srcRect r="36057"/>
                    <a:stretch/>
                  </pic:blipFill>
                  <pic:spPr bwMode="auto">
                    <a:xfrm>
                      <a:off x="0" y="0"/>
                      <a:ext cx="5579567" cy="1437545"/>
                    </a:xfrm>
                    <a:prstGeom prst="rect">
                      <a:avLst/>
                    </a:prstGeom>
                    <a:noFill/>
                    <a:ln>
                      <a:noFill/>
                    </a:ln>
                    <a:extLst>
                      <a:ext uri="{53640926-AAD7-44D8-BBD7-CCE9431645EC}">
                        <a14:shadowObscured xmlns:a14="http://schemas.microsoft.com/office/drawing/2010/main"/>
                      </a:ext>
                    </a:extLst>
                  </pic:spPr>
                </pic:pic>
              </a:graphicData>
            </a:graphic>
          </wp:inline>
        </w:drawing>
      </w:r>
    </w:p>
    <w:p w14:paraId="0DB4FC7D" w14:textId="77777777" w:rsidR="007B399B" w:rsidRDefault="007B399B" w:rsidP="007B399B">
      <w:pPr>
        <w:rPr>
          <w:b/>
          <w:bCs/>
          <w:color w:val="548DD4" w:themeColor="text2" w:themeTint="99"/>
          <w:lang w:val="en-US"/>
        </w:rPr>
      </w:pPr>
      <w:r w:rsidRPr="00A5499D">
        <w:rPr>
          <w:b/>
          <w:bCs/>
          <w:color w:val="548DD4" w:themeColor="text2" w:themeTint="99"/>
          <w:lang w:val="en-US"/>
        </w:rPr>
        <w:t>2010-2011</w:t>
      </w:r>
    </w:p>
    <w:p w14:paraId="351DA7F8"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375E3B81" w14:textId="77777777" w:rsidR="00A5499D" w:rsidRPr="00A5499D" w:rsidRDefault="00A5499D" w:rsidP="007B399B">
      <w:pPr>
        <w:rPr>
          <w:b/>
          <w:bCs/>
          <w:color w:val="548DD4" w:themeColor="text2" w:themeTint="99"/>
          <w:lang w:val="en-US"/>
        </w:rPr>
      </w:pPr>
    </w:p>
    <w:p w14:paraId="7346EE98" w14:textId="77777777" w:rsidR="007B399B" w:rsidRDefault="007B399B" w:rsidP="007B399B">
      <w:pPr>
        <w:rPr>
          <w:lang w:val="en-US"/>
        </w:rPr>
      </w:pPr>
      <w:r w:rsidRPr="00E74989">
        <w:rPr>
          <w:noProof/>
          <w:lang w:eastAsia="en-GB"/>
        </w:rPr>
        <w:drawing>
          <wp:inline distT="0" distB="0" distL="0" distR="0" wp14:anchorId="7F79A3C4" wp14:editId="788CA337">
            <wp:extent cx="5531194" cy="929031"/>
            <wp:effectExtent l="0" t="0" r="0" b="44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66">
                      <a:extLst>
                        <a:ext uri="{28A0092B-C50C-407E-A947-70E740481C1C}">
                          <a14:useLocalDpi xmlns:a14="http://schemas.microsoft.com/office/drawing/2010/main" val="0"/>
                        </a:ext>
                      </a:extLst>
                    </a:blip>
                    <a:srcRect r="41162"/>
                    <a:stretch/>
                  </pic:blipFill>
                  <pic:spPr bwMode="auto">
                    <a:xfrm>
                      <a:off x="0" y="0"/>
                      <a:ext cx="5557310" cy="933417"/>
                    </a:xfrm>
                    <a:prstGeom prst="rect">
                      <a:avLst/>
                    </a:prstGeom>
                    <a:noFill/>
                    <a:ln>
                      <a:noFill/>
                    </a:ln>
                    <a:extLst>
                      <a:ext uri="{53640926-AAD7-44D8-BBD7-CCE9431645EC}">
                        <a14:shadowObscured xmlns:a14="http://schemas.microsoft.com/office/drawing/2010/main"/>
                      </a:ext>
                    </a:extLst>
                  </pic:spPr>
                </pic:pic>
              </a:graphicData>
            </a:graphic>
          </wp:inline>
        </w:drawing>
      </w:r>
    </w:p>
    <w:p w14:paraId="033C3D5A" w14:textId="77777777" w:rsidR="007B399B" w:rsidRDefault="007B399B" w:rsidP="007B399B">
      <w:pPr>
        <w:rPr>
          <w:lang w:val="en-US"/>
        </w:rPr>
      </w:pPr>
    </w:p>
    <w:p w14:paraId="390A4A30" w14:textId="77777777" w:rsidR="007B399B" w:rsidRDefault="007B399B" w:rsidP="007B399B">
      <w:pPr>
        <w:rPr>
          <w:lang w:val="en-US"/>
        </w:rPr>
      </w:pPr>
    </w:p>
    <w:p w14:paraId="5ACCD886" w14:textId="77777777" w:rsidR="007B399B" w:rsidRDefault="007B399B" w:rsidP="007B399B">
      <w:pPr>
        <w:rPr>
          <w:lang w:val="en-US"/>
        </w:rPr>
      </w:pPr>
    </w:p>
    <w:p w14:paraId="4DC1A258" w14:textId="77777777" w:rsidR="00A5499D" w:rsidRDefault="00A5499D" w:rsidP="007B399B">
      <w:pPr>
        <w:rPr>
          <w:lang w:val="en-US"/>
        </w:rPr>
      </w:pPr>
    </w:p>
    <w:p w14:paraId="187DEE3A" w14:textId="77777777" w:rsidR="00A5499D" w:rsidRDefault="00A5499D" w:rsidP="007B399B">
      <w:pPr>
        <w:rPr>
          <w:lang w:val="en-US"/>
        </w:rPr>
      </w:pPr>
    </w:p>
    <w:p w14:paraId="6CA8F2D3"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7F9B694A" w14:textId="77777777" w:rsidR="007B399B" w:rsidRDefault="007B399B" w:rsidP="007B399B">
      <w:pPr>
        <w:rPr>
          <w:lang w:val="en-US"/>
        </w:rPr>
      </w:pPr>
      <w:r w:rsidRPr="00E74989">
        <w:rPr>
          <w:noProof/>
          <w:lang w:eastAsia="en-GB"/>
        </w:rPr>
        <w:drawing>
          <wp:inline distT="0" distB="0" distL="0" distR="0" wp14:anchorId="465E6F7D" wp14:editId="2FE7E7A7">
            <wp:extent cx="5464454" cy="560236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67">
                      <a:extLst>
                        <a:ext uri="{28A0092B-C50C-407E-A947-70E740481C1C}">
                          <a14:useLocalDpi xmlns:a14="http://schemas.microsoft.com/office/drawing/2010/main" val="0"/>
                        </a:ext>
                      </a:extLst>
                    </a:blip>
                    <a:srcRect r="45374"/>
                    <a:stretch/>
                  </pic:blipFill>
                  <pic:spPr bwMode="auto">
                    <a:xfrm>
                      <a:off x="0" y="0"/>
                      <a:ext cx="5470347" cy="5608409"/>
                    </a:xfrm>
                    <a:prstGeom prst="rect">
                      <a:avLst/>
                    </a:prstGeom>
                    <a:noFill/>
                    <a:ln>
                      <a:noFill/>
                    </a:ln>
                    <a:extLst>
                      <a:ext uri="{53640926-AAD7-44D8-BBD7-CCE9431645EC}">
                        <a14:shadowObscured xmlns:a14="http://schemas.microsoft.com/office/drawing/2010/main"/>
                      </a:ext>
                    </a:extLst>
                  </pic:spPr>
                </pic:pic>
              </a:graphicData>
            </a:graphic>
          </wp:inline>
        </w:drawing>
      </w:r>
    </w:p>
    <w:p w14:paraId="08232935" w14:textId="77777777" w:rsidR="007B399B" w:rsidRDefault="007B399B" w:rsidP="007B399B">
      <w:pPr>
        <w:rPr>
          <w:lang w:val="en-US"/>
        </w:rPr>
      </w:pPr>
    </w:p>
    <w:p w14:paraId="47F08A54" w14:textId="77777777" w:rsidR="007B399B" w:rsidRDefault="007B399B" w:rsidP="007B399B">
      <w:pPr>
        <w:rPr>
          <w:lang w:val="en-US"/>
        </w:rPr>
      </w:pPr>
      <w:r w:rsidRPr="00E74989">
        <w:rPr>
          <w:noProof/>
          <w:lang w:eastAsia="en-GB"/>
        </w:rPr>
        <w:drawing>
          <wp:inline distT="0" distB="0" distL="0" distR="0" wp14:anchorId="6EAEB1F4" wp14:editId="031B3041">
            <wp:extent cx="5827174" cy="1675181"/>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68">
                      <a:extLst>
                        <a:ext uri="{28A0092B-C50C-407E-A947-70E740481C1C}">
                          <a14:useLocalDpi xmlns:a14="http://schemas.microsoft.com/office/drawing/2010/main" val="0"/>
                        </a:ext>
                      </a:extLst>
                    </a:blip>
                    <a:srcRect r="36950"/>
                    <a:stretch/>
                  </pic:blipFill>
                  <pic:spPr bwMode="auto">
                    <a:xfrm>
                      <a:off x="0" y="0"/>
                      <a:ext cx="5832607" cy="1676743"/>
                    </a:xfrm>
                    <a:prstGeom prst="rect">
                      <a:avLst/>
                    </a:prstGeom>
                    <a:noFill/>
                    <a:ln>
                      <a:noFill/>
                    </a:ln>
                    <a:extLst>
                      <a:ext uri="{53640926-AAD7-44D8-BBD7-CCE9431645EC}">
                        <a14:shadowObscured xmlns:a14="http://schemas.microsoft.com/office/drawing/2010/main"/>
                      </a:ext>
                    </a:extLst>
                  </pic:spPr>
                </pic:pic>
              </a:graphicData>
            </a:graphic>
          </wp:inline>
        </w:drawing>
      </w:r>
    </w:p>
    <w:p w14:paraId="71F79B91" w14:textId="77777777" w:rsidR="007B399B" w:rsidRDefault="007B399B" w:rsidP="007B399B">
      <w:pPr>
        <w:rPr>
          <w:lang w:val="en-US"/>
        </w:rPr>
      </w:pPr>
    </w:p>
    <w:p w14:paraId="287883FC" w14:textId="77777777" w:rsidR="00A5499D" w:rsidRDefault="00A5499D" w:rsidP="007B399B">
      <w:pPr>
        <w:rPr>
          <w:lang w:val="en-US"/>
        </w:rPr>
      </w:pPr>
    </w:p>
    <w:p w14:paraId="126E17FD"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43180ED3" w14:textId="77777777" w:rsidR="007B399B" w:rsidRDefault="007B399B" w:rsidP="007B399B">
      <w:pPr>
        <w:rPr>
          <w:lang w:val="en-US"/>
        </w:rPr>
      </w:pPr>
      <w:r w:rsidRPr="00E74989">
        <w:rPr>
          <w:noProof/>
          <w:lang w:eastAsia="en-GB"/>
        </w:rPr>
        <w:drawing>
          <wp:inline distT="0" distB="0" distL="0" distR="0" wp14:anchorId="4584434E" wp14:editId="02E612CF">
            <wp:extent cx="5551805" cy="3886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69">
                      <a:extLst>
                        <a:ext uri="{28A0092B-C50C-407E-A947-70E740481C1C}">
                          <a14:useLocalDpi xmlns:a14="http://schemas.microsoft.com/office/drawing/2010/main" val="0"/>
                        </a:ext>
                      </a:extLst>
                    </a:blip>
                    <a:srcRect r="45882"/>
                    <a:stretch/>
                  </pic:blipFill>
                  <pic:spPr bwMode="auto">
                    <a:xfrm>
                      <a:off x="0" y="0"/>
                      <a:ext cx="5557381" cy="3890103"/>
                    </a:xfrm>
                    <a:prstGeom prst="rect">
                      <a:avLst/>
                    </a:prstGeom>
                    <a:noFill/>
                    <a:ln>
                      <a:noFill/>
                    </a:ln>
                    <a:extLst>
                      <a:ext uri="{53640926-AAD7-44D8-BBD7-CCE9431645EC}">
                        <a14:shadowObscured xmlns:a14="http://schemas.microsoft.com/office/drawing/2010/main"/>
                      </a:ext>
                    </a:extLst>
                  </pic:spPr>
                </pic:pic>
              </a:graphicData>
            </a:graphic>
          </wp:inline>
        </w:drawing>
      </w:r>
    </w:p>
    <w:p w14:paraId="0CFD85F4" w14:textId="77777777" w:rsidR="007B399B" w:rsidRDefault="007B399B" w:rsidP="007B399B">
      <w:pPr>
        <w:rPr>
          <w:lang w:val="en-US"/>
        </w:rPr>
      </w:pPr>
    </w:p>
    <w:p w14:paraId="7508982F" w14:textId="77777777" w:rsidR="007B399B" w:rsidRDefault="007B399B" w:rsidP="007B399B">
      <w:pPr>
        <w:rPr>
          <w:lang w:val="en-US"/>
        </w:rPr>
      </w:pPr>
      <w:r w:rsidRPr="00E74989">
        <w:rPr>
          <w:noProof/>
          <w:lang w:eastAsia="en-GB"/>
        </w:rPr>
        <w:drawing>
          <wp:inline distT="0" distB="0" distL="0" distR="0" wp14:anchorId="4C314AE5" wp14:editId="1A13058A">
            <wp:extent cx="5618074" cy="163158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70">
                      <a:extLst>
                        <a:ext uri="{28A0092B-C50C-407E-A947-70E740481C1C}">
                          <a14:useLocalDpi xmlns:a14="http://schemas.microsoft.com/office/drawing/2010/main" val="0"/>
                        </a:ext>
                      </a:extLst>
                    </a:blip>
                    <a:srcRect r="37588"/>
                    <a:stretch/>
                  </pic:blipFill>
                  <pic:spPr bwMode="auto">
                    <a:xfrm>
                      <a:off x="0" y="0"/>
                      <a:ext cx="5630944" cy="1635321"/>
                    </a:xfrm>
                    <a:prstGeom prst="rect">
                      <a:avLst/>
                    </a:prstGeom>
                    <a:noFill/>
                    <a:ln>
                      <a:noFill/>
                    </a:ln>
                    <a:extLst>
                      <a:ext uri="{53640926-AAD7-44D8-BBD7-CCE9431645EC}">
                        <a14:shadowObscured xmlns:a14="http://schemas.microsoft.com/office/drawing/2010/main"/>
                      </a:ext>
                    </a:extLst>
                  </pic:spPr>
                </pic:pic>
              </a:graphicData>
            </a:graphic>
          </wp:inline>
        </w:drawing>
      </w:r>
    </w:p>
    <w:p w14:paraId="65C34C44" w14:textId="5B4445B0" w:rsidR="007B399B" w:rsidRDefault="007B399B" w:rsidP="007B399B">
      <w:pPr>
        <w:rPr>
          <w:lang w:val="en-US"/>
        </w:rPr>
      </w:pPr>
    </w:p>
    <w:p w14:paraId="6B5F7B4B" w14:textId="77777777" w:rsidR="00A5499D" w:rsidRDefault="00A5499D" w:rsidP="007B399B">
      <w:pPr>
        <w:rPr>
          <w:lang w:val="en-US"/>
        </w:rPr>
      </w:pPr>
    </w:p>
    <w:p w14:paraId="26CDAA15" w14:textId="77777777" w:rsidR="00A5499D" w:rsidRDefault="00A5499D" w:rsidP="007B399B">
      <w:pPr>
        <w:rPr>
          <w:lang w:val="en-US"/>
        </w:rPr>
      </w:pPr>
    </w:p>
    <w:p w14:paraId="04BC1ED4" w14:textId="77777777" w:rsidR="00A5499D" w:rsidRDefault="00A5499D" w:rsidP="007B399B">
      <w:pPr>
        <w:rPr>
          <w:lang w:val="en-US"/>
        </w:rPr>
      </w:pPr>
    </w:p>
    <w:p w14:paraId="3FF764EF" w14:textId="77777777" w:rsidR="00A5499D" w:rsidRDefault="00A5499D" w:rsidP="007B399B">
      <w:pPr>
        <w:rPr>
          <w:lang w:val="en-US"/>
        </w:rPr>
      </w:pPr>
    </w:p>
    <w:p w14:paraId="10E80E54" w14:textId="77777777" w:rsidR="00A5499D" w:rsidRDefault="00A5499D" w:rsidP="007B399B">
      <w:pPr>
        <w:rPr>
          <w:lang w:val="en-US"/>
        </w:rPr>
      </w:pPr>
    </w:p>
    <w:p w14:paraId="4909E4E1" w14:textId="77777777" w:rsidR="00A5499D" w:rsidRDefault="00A5499D" w:rsidP="007B399B">
      <w:pPr>
        <w:rPr>
          <w:lang w:val="en-US"/>
        </w:rPr>
      </w:pPr>
    </w:p>
    <w:p w14:paraId="293B12F4"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1051BD06" w14:textId="77777777" w:rsidR="007B399B" w:rsidRDefault="007B399B" w:rsidP="007B399B">
      <w:pPr>
        <w:rPr>
          <w:lang w:val="en-US"/>
        </w:rPr>
      </w:pPr>
      <w:r w:rsidRPr="00E74989">
        <w:rPr>
          <w:noProof/>
          <w:lang w:eastAsia="en-GB"/>
        </w:rPr>
        <w:drawing>
          <wp:inline distT="0" distB="0" distL="0" distR="0" wp14:anchorId="66C84A82" wp14:editId="532ECB34">
            <wp:extent cx="5464042" cy="32861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71">
                      <a:extLst>
                        <a:ext uri="{28A0092B-C50C-407E-A947-70E740481C1C}">
                          <a14:useLocalDpi xmlns:a14="http://schemas.microsoft.com/office/drawing/2010/main" val="0"/>
                        </a:ext>
                      </a:extLst>
                    </a:blip>
                    <a:srcRect r="46395"/>
                    <a:stretch/>
                  </pic:blipFill>
                  <pic:spPr bwMode="auto">
                    <a:xfrm>
                      <a:off x="0" y="0"/>
                      <a:ext cx="5474157" cy="3292208"/>
                    </a:xfrm>
                    <a:prstGeom prst="rect">
                      <a:avLst/>
                    </a:prstGeom>
                    <a:noFill/>
                    <a:ln>
                      <a:noFill/>
                    </a:ln>
                    <a:extLst>
                      <a:ext uri="{53640926-AAD7-44D8-BBD7-CCE9431645EC}">
                        <a14:shadowObscured xmlns:a14="http://schemas.microsoft.com/office/drawing/2010/main"/>
                      </a:ext>
                    </a:extLst>
                  </pic:spPr>
                </pic:pic>
              </a:graphicData>
            </a:graphic>
          </wp:inline>
        </w:drawing>
      </w:r>
    </w:p>
    <w:p w14:paraId="653256EA" w14:textId="618E3068" w:rsidR="00A5499D" w:rsidRDefault="00A5499D" w:rsidP="007B399B">
      <w:pPr>
        <w:rPr>
          <w:b/>
          <w:bCs/>
          <w:lang w:val="en-US"/>
        </w:rPr>
      </w:pPr>
      <w:r w:rsidRPr="00E74989">
        <w:rPr>
          <w:noProof/>
          <w:lang w:eastAsia="en-GB"/>
        </w:rPr>
        <w:drawing>
          <wp:inline distT="0" distB="0" distL="0" distR="0" wp14:anchorId="26E3EA56" wp14:editId="10A1B5F1">
            <wp:extent cx="5702208" cy="16459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72">
                      <a:extLst>
                        <a:ext uri="{28A0092B-C50C-407E-A947-70E740481C1C}">
                          <a14:useLocalDpi xmlns:a14="http://schemas.microsoft.com/office/drawing/2010/main" val="0"/>
                        </a:ext>
                      </a:extLst>
                    </a:blip>
                    <a:srcRect r="37206"/>
                    <a:stretch/>
                  </pic:blipFill>
                  <pic:spPr bwMode="auto">
                    <a:xfrm>
                      <a:off x="0" y="0"/>
                      <a:ext cx="5712046" cy="1648760"/>
                    </a:xfrm>
                    <a:prstGeom prst="rect">
                      <a:avLst/>
                    </a:prstGeom>
                    <a:noFill/>
                    <a:ln>
                      <a:noFill/>
                    </a:ln>
                    <a:extLst>
                      <a:ext uri="{53640926-AAD7-44D8-BBD7-CCE9431645EC}">
                        <a14:shadowObscured xmlns:a14="http://schemas.microsoft.com/office/drawing/2010/main"/>
                      </a:ext>
                    </a:extLst>
                  </pic:spPr>
                </pic:pic>
              </a:graphicData>
            </a:graphic>
          </wp:inline>
        </w:drawing>
      </w:r>
    </w:p>
    <w:p w14:paraId="573D3103" w14:textId="77777777" w:rsidR="00A5499D" w:rsidRDefault="00A5499D" w:rsidP="007B399B">
      <w:pPr>
        <w:rPr>
          <w:b/>
          <w:bCs/>
          <w:lang w:val="en-US"/>
        </w:rPr>
      </w:pPr>
    </w:p>
    <w:p w14:paraId="17E11126" w14:textId="77777777" w:rsidR="007B399B" w:rsidRDefault="007B399B" w:rsidP="007B399B">
      <w:pPr>
        <w:rPr>
          <w:b/>
          <w:bCs/>
          <w:color w:val="548DD4" w:themeColor="text2" w:themeTint="99"/>
          <w:lang w:val="en-US"/>
        </w:rPr>
      </w:pPr>
      <w:r w:rsidRPr="00A5499D">
        <w:rPr>
          <w:b/>
          <w:bCs/>
          <w:color w:val="548DD4" w:themeColor="text2" w:themeTint="99"/>
          <w:lang w:val="en-US"/>
        </w:rPr>
        <w:t>2012-2013</w:t>
      </w:r>
    </w:p>
    <w:p w14:paraId="48C1719B" w14:textId="77777777" w:rsidR="00A5499D" w:rsidRPr="00025C7D" w:rsidRDefault="00A5499D" w:rsidP="00A5499D">
      <w:pPr>
        <w:rPr>
          <w:b/>
          <w:bCs/>
          <w:color w:val="548DD4" w:themeColor="text2" w:themeTint="99"/>
          <w:sz w:val="26"/>
          <w:szCs w:val="26"/>
          <w:lang w:val="en-US"/>
        </w:rPr>
      </w:pPr>
      <w:r w:rsidRPr="00025C7D">
        <w:rPr>
          <w:color w:val="548DD4" w:themeColor="text2" w:themeTint="99"/>
          <w:sz w:val="26"/>
          <w:szCs w:val="26"/>
          <w:lang w:val="en-US"/>
        </w:rPr>
        <w:t xml:space="preserve">Descriptive Statistics </w:t>
      </w:r>
    </w:p>
    <w:p w14:paraId="79157F4C" w14:textId="77777777" w:rsidR="00A5499D" w:rsidRPr="00A5499D" w:rsidRDefault="00A5499D" w:rsidP="007B399B">
      <w:pPr>
        <w:rPr>
          <w:b/>
          <w:bCs/>
          <w:color w:val="548DD4" w:themeColor="text2" w:themeTint="99"/>
          <w:lang w:val="en-US"/>
        </w:rPr>
      </w:pPr>
    </w:p>
    <w:p w14:paraId="305B95E1" w14:textId="77777777" w:rsidR="007B399B" w:rsidRDefault="007B399B" w:rsidP="007B399B">
      <w:pPr>
        <w:rPr>
          <w:lang w:val="en-US"/>
        </w:rPr>
      </w:pPr>
      <w:r w:rsidRPr="00E74989">
        <w:rPr>
          <w:noProof/>
          <w:lang w:eastAsia="en-GB"/>
        </w:rPr>
        <w:drawing>
          <wp:inline distT="0" distB="0" distL="0" distR="0" wp14:anchorId="1A0EC2C5" wp14:editId="4352BE95">
            <wp:extent cx="5520800" cy="943661"/>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73">
                      <a:extLst>
                        <a:ext uri="{28A0092B-C50C-407E-A947-70E740481C1C}">
                          <a14:useLocalDpi xmlns:a14="http://schemas.microsoft.com/office/drawing/2010/main" val="0"/>
                        </a:ext>
                      </a:extLst>
                    </a:blip>
                    <a:srcRect r="42183"/>
                    <a:stretch/>
                  </pic:blipFill>
                  <pic:spPr bwMode="auto">
                    <a:xfrm>
                      <a:off x="0" y="0"/>
                      <a:ext cx="5535784" cy="946222"/>
                    </a:xfrm>
                    <a:prstGeom prst="rect">
                      <a:avLst/>
                    </a:prstGeom>
                    <a:noFill/>
                    <a:ln>
                      <a:noFill/>
                    </a:ln>
                    <a:extLst>
                      <a:ext uri="{53640926-AAD7-44D8-BBD7-CCE9431645EC}">
                        <a14:shadowObscured xmlns:a14="http://schemas.microsoft.com/office/drawing/2010/main"/>
                      </a:ext>
                    </a:extLst>
                  </pic:spPr>
                </pic:pic>
              </a:graphicData>
            </a:graphic>
          </wp:inline>
        </w:drawing>
      </w:r>
    </w:p>
    <w:p w14:paraId="44919F9F" w14:textId="77777777" w:rsidR="007B399B" w:rsidRDefault="007B399B" w:rsidP="007B399B">
      <w:pPr>
        <w:rPr>
          <w:lang w:val="en-US"/>
        </w:rPr>
      </w:pPr>
    </w:p>
    <w:p w14:paraId="40302FD5" w14:textId="77777777" w:rsidR="00A5499D" w:rsidRDefault="00A5499D" w:rsidP="007B399B">
      <w:pPr>
        <w:rPr>
          <w:lang w:val="en-US"/>
        </w:rPr>
      </w:pPr>
    </w:p>
    <w:p w14:paraId="13A7E722" w14:textId="77777777" w:rsidR="00A5499D" w:rsidRDefault="00A5499D" w:rsidP="007B399B">
      <w:pPr>
        <w:rPr>
          <w:lang w:val="en-US"/>
        </w:rPr>
      </w:pPr>
    </w:p>
    <w:p w14:paraId="3E61C6D9"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 xml:space="preserve">Historic returns </w:t>
      </w:r>
    </w:p>
    <w:p w14:paraId="21A56A29" w14:textId="77777777" w:rsidR="007B399B" w:rsidRDefault="007B399B" w:rsidP="007B399B">
      <w:pPr>
        <w:rPr>
          <w:lang w:val="en-US"/>
        </w:rPr>
      </w:pPr>
      <w:r w:rsidRPr="00E74989">
        <w:rPr>
          <w:noProof/>
          <w:lang w:eastAsia="en-GB"/>
        </w:rPr>
        <w:drawing>
          <wp:inline distT="0" distB="0" distL="0" distR="0" wp14:anchorId="58662AC0" wp14:editId="6E19BEBE">
            <wp:extent cx="5449570" cy="3409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74">
                      <a:extLst>
                        <a:ext uri="{28A0092B-C50C-407E-A947-70E740481C1C}">
                          <a14:useLocalDpi xmlns:a14="http://schemas.microsoft.com/office/drawing/2010/main" val="0"/>
                        </a:ext>
                      </a:extLst>
                    </a:blip>
                    <a:srcRect r="46522"/>
                    <a:stretch/>
                  </pic:blipFill>
                  <pic:spPr bwMode="auto">
                    <a:xfrm>
                      <a:off x="0" y="0"/>
                      <a:ext cx="5453518" cy="3412420"/>
                    </a:xfrm>
                    <a:prstGeom prst="rect">
                      <a:avLst/>
                    </a:prstGeom>
                    <a:noFill/>
                    <a:ln>
                      <a:noFill/>
                    </a:ln>
                    <a:extLst>
                      <a:ext uri="{53640926-AAD7-44D8-BBD7-CCE9431645EC}">
                        <a14:shadowObscured xmlns:a14="http://schemas.microsoft.com/office/drawing/2010/main"/>
                      </a:ext>
                    </a:extLst>
                  </pic:spPr>
                </pic:pic>
              </a:graphicData>
            </a:graphic>
          </wp:inline>
        </w:drawing>
      </w:r>
    </w:p>
    <w:p w14:paraId="61E660BD" w14:textId="77777777" w:rsidR="007B399B" w:rsidRDefault="007B399B" w:rsidP="007B399B">
      <w:pPr>
        <w:rPr>
          <w:lang w:val="en-US"/>
        </w:rPr>
      </w:pPr>
    </w:p>
    <w:p w14:paraId="5E1A1530" w14:textId="64CE6C22" w:rsidR="00A5499D" w:rsidRDefault="007B399B" w:rsidP="007B399B">
      <w:pPr>
        <w:rPr>
          <w:lang w:val="en-US"/>
        </w:rPr>
      </w:pPr>
      <w:r w:rsidRPr="00E74989">
        <w:rPr>
          <w:noProof/>
          <w:lang w:eastAsia="en-GB"/>
        </w:rPr>
        <w:drawing>
          <wp:inline distT="0" distB="0" distL="0" distR="0" wp14:anchorId="54A4920A" wp14:editId="48837681">
            <wp:extent cx="5800954" cy="16609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75">
                      <a:extLst>
                        <a:ext uri="{28A0092B-C50C-407E-A947-70E740481C1C}">
                          <a14:useLocalDpi xmlns:a14="http://schemas.microsoft.com/office/drawing/2010/main" val="0"/>
                        </a:ext>
                      </a:extLst>
                    </a:blip>
                    <a:srcRect r="36695"/>
                    <a:stretch/>
                  </pic:blipFill>
                  <pic:spPr bwMode="auto">
                    <a:xfrm>
                      <a:off x="0" y="0"/>
                      <a:ext cx="5822131" cy="1666983"/>
                    </a:xfrm>
                    <a:prstGeom prst="rect">
                      <a:avLst/>
                    </a:prstGeom>
                    <a:noFill/>
                    <a:ln>
                      <a:noFill/>
                    </a:ln>
                    <a:extLst>
                      <a:ext uri="{53640926-AAD7-44D8-BBD7-CCE9431645EC}">
                        <a14:shadowObscured xmlns:a14="http://schemas.microsoft.com/office/drawing/2010/main"/>
                      </a:ext>
                    </a:extLst>
                  </pic:spPr>
                </pic:pic>
              </a:graphicData>
            </a:graphic>
          </wp:inline>
        </w:drawing>
      </w:r>
    </w:p>
    <w:p w14:paraId="1F5DDCB6" w14:textId="77777777" w:rsidR="00A5499D" w:rsidRPr="00A5499D" w:rsidRDefault="00A5499D" w:rsidP="00A5499D">
      <w:pPr>
        <w:rPr>
          <w:lang w:val="en-US"/>
        </w:rPr>
      </w:pPr>
    </w:p>
    <w:p w14:paraId="7988CC33" w14:textId="77777777" w:rsidR="00A5499D" w:rsidRPr="00A5499D" w:rsidRDefault="00A5499D" w:rsidP="00A5499D">
      <w:pPr>
        <w:rPr>
          <w:lang w:val="en-US"/>
        </w:rPr>
      </w:pPr>
    </w:p>
    <w:p w14:paraId="5E173921" w14:textId="100EB019" w:rsidR="00A5499D" w:rsidRDefault="00A5499D" w:rsidP="00A5499D">
      <w:pPr>
        <w:rPr>
          <w:lang w:val="en-US"/>
        </w:rPr>
      </w:pPr>
    </w:p>
    <w:p w14:paraId="1E867465" w14:textId="77777777" w:rsidR="007B399B" w:rsidRDefault="007B399B" w:rsidP="00A5499D">
      <w:pPr>
        <w:rPr>
          <w:lang w:val="en-US"/>
        </w:rPr>
      </w:pPr>
    </w:p>
    <w:p w14:paraId="272BFAD8" w14:textId="77777777" w:rsidR="00A5499D" w:rsidRDefault="00A5499D" w:rsidP="00A5499D">
      <w:pPr>
        <w:rPr>
          <w:lang w:val="en-US"/>
        </w:rPr>
      </w:pPr>
    </w:p>
    <w:p w14:paraId="5D42F421" w14:textId="77777777" w:rsidR="00A5499D" w:rsidRDefault="00A5499D" w:rsidP="00A5499D">
      <w:pPr>
        <w:rPr>
          <w:lang w:val="en-US"/>
        </w:rPr>
      </w:pPr>
    </w:p>
    <w:p w14:paraId="6C9C70A6" w14:textId="77777777" w:rsidR="00A5499D" w:rsidRDefault="00A5499D" w:rsidP="00A5499D">
      <w:pPr>
        <w:rPr>
          <w:lang w:val="en-US"/>
        </w:rPr>
      </w:pPr>
    </w:p>
    <w:p w14:paraId="489A8844" w14:textId="77777777" w:rsidR="00A5499D" w:rsidRDefault="00A5499D" w:rsidP="00A5499D">
      <w:pPr>
        <w:rPr>
          <w:lang w:val="en-US"/>
        </w:rPr>
      </w:pPr>
    </w:p>
    <w:p w14:paraId="6B6A6B32" w14:textId="77777777" w:rsidR="00A5499D" w:rsidRDefault="00A5499D" w:rsidP="00A5499D">
      <w:pPr>
        <w:rPr>
          <w:lang w:val="en-US"/>
        </w:rPr>
      </w:pPr>
    </w:p>
    <w:p w14:paraId="3BA22CE3"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GARCH</w:t>
      </w:r>
    </w:p>
    <w:p w14:paraId="29ABCD2C" w14:textId="77777777" w:rsidR="007B399B" w:rsidRDefault="007B399B" w:rsidP="007B399B">
      <w:pPr>
        <w:rPr>
          <w:noProof/>
          <w:lang w:val="en-US"/>
        </w:rPr>
      </w:pPr>
      <w:r w:rsidRPr="00E74989">
        <w:rPr>
          <w:noProof/>
          <w:lang w:eastAsia="en-GB"/>
        </w:rPr>
        <w:drawing>
          <wp:inline distT="0" distB="0" distL="0" distR="0" wp14:anchorId="766609C7" wp14:editId="51B6C1D3">
            <wp:extent cx="5698468" cy="4019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76">
                      <a:extLst>
                        <a:ext uri="{28A0092B-C50C-407E-A947-70E740481C1C}">
                          <a14:useLocalDpi xmlns:a14="http://schemas.microsoft.com/office/drawing/2010/main" val="0"/>
                        </a:ext>
                      </a:extLst>
                    </a:blip>
                    <a:srcRect r="45502"/>
                    <a:stretch/>
                  </pic:blipFill>
                  <pic:spPr bwMode="auto">
                    <a:xfrm>
                      <a:off x="0" y="0"/>
                      <a:ext cx="5711149" cy="4028495"/>
                    </a:xfrm>
                    <a:prstGeom prst="rect">
                      <a:avLst/>
                    </a:prstGeom>
                    <a:noFill/>
                    <a:ln>
                      <a:noFill/>
                    </a:ln>
                    <a:extLst>
                      <a:ext uri="{53640926-AAD7-44D8-BBD7-CCE9431645EC}">
                        <a14:shadowObscured xmlns:a14="http://schemas.microsoft.com/office/drawing/2010/main"/>
                      </a:ext>
                    </a:extLst>
                  </pic:spPr>
                </pic:pic>
              </a:graphicData>
            </a:graphic>
          </wp:inline>
        </w:drawing>
      </w:r>
    </w:p>
    <w:p w14:paraId="3EEAD8B1" w14:textId="77777777" w:rsidR="007B399B" w:rsidRDefault="007B399B" w:rsidP="007B399B">
      <w:pPr>
        <w:rPr>
          <w:lang w:val="en-US"/>
        </w:rPr>
      </w:pPr>
      <w:r w:rsidRPr="00E74989">
        <w:rPr>
          <w:noProof/>
          <w:lang w:eastAsia="en-GB"/>
        </w:rPr>
        <w:drawing>
          <wp:inline distT="0" distB="0" distL="0" distR="0" wp14:anchorId="54E7488A" wp14:editId="47D6C314">
            <wp:extent cx="5743007" cy="166786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77">
                      <a:extLst>
                        <a:ext uri="{28A0092B-C50C-407E-A947-70E740481C1C}">
                          <a14:useLocalDpi xmlns:a14="http://schemas.microsoft.com/office/drawing/2010/main" val="0"/>
                        </a:ext>
                      </a:extLst>
                    </a:blip>
                    <a:srcRect r="37588"/>
                    <a:stretch/>
                  </pic:blipFill>
                  <pic:spPr bwMode="auto">
                    <a:xfrm>
                      <a:off x="0" y="0"/>
                      <a:ext cx="5750284" cy="1669979"/>
                    </a:xfrm>
                    <a:prstGeom prst="rect">
                      <a:avLst/>
                    </a:prstGeom>
                    <a:noFill/>
                    <a:ln>
                      <a:noFill/>
                    </a:ln>
                    <a:extLst>
                      <a:ext uri="{53640926-AAD7-44D8-BBD7-CCE9431645EC}">
                        <a14:shadowObscured xmlns:a14="http://schemas.microsoft.com/office/drawing/2010/main"/>
                      </a:ext>
                    </a:extLst>
                  </pic:spPr>
                </pic:pic>
              </a:graphicData>
            </a:graphic>
          </wp:inline>
        </w:drawing>
      </w:r>
    </w:p>
    <w:p w14:paraId="5287D19F" w14:textId="77777777" w:rsidR="007B399B" w:rsidRDefault="007B399B" w:rsidP="007B399B">
      <w:pPr>
        <w:rPr>
          <w:lang w:val="en-US"/>
        </w:rPr>
      </w:pPr>
    </w:p>
    <w:p w14:paraId="57A0E0BF" w14:textId="77777777" w:rsidR="00A5499D" w:rsidRDefault="00A5499D" w:rsidP="007B399B">
      <w:pPr>
        <w:rPr>
          <w:lang w:val="en-US"/>
        </w:rPr>
      </w:pPr>
    </w:p>
    <w:p w14:paraId="51DAE8E3" w14:textId="77777777" w:rsidR="00A5499D" w:rsidRDefault="00A5499D" w:rsidP="007B399B">
      <w:pPr>
        <w:rPr>
          <w:lang w:val="en-US"/>
        </w:rPr>
      </w:pPr>
    </w:p>
    <w:p w14:paraId="56251CB6" w14:textId="77777777" w:rsidR="00A5499D" w:rsidRDefault="00A5499D" w:rsidP="007B399B">
      <w:pPr>
        <w:rPr>
          <w:lang w:val="en-US"/>
        </w:rPr>
      </w:pPr>
    </w:p>
    <w:p w14:paraId="68CB608F" w14:textId="77777777" w:rsidR="00A5499D" w:rsidRDefault="00A5499D" w:rsidP="007B399B">
      <w:pPr>
        <w:rPr>
          <w:lang w:val="en-US"/>
        </w:rPr>
      </w:pPr>
    </w:p>
    <w:p w14:paraId="5D44441C" w14:textId="77777777" w:rsidR="00A5499D" w:rsidRDefault="00A5499D" w:rsidP="007B399B">
      <w:pPr>
        <w:rPr>
          <w:lang w:val="en-US"/>
        </w:rPr>
      </w:pPr>
    </w:p>
    <w:p w14:paraId="1EF5D12C" w14:textId="77777777" w:rsidR="00A5499D" w:rsidRDefault="00A5499D" w:rsidP="007B399B">
      <w:pPr>
        <w:rPr>
          <w:lang w:val="en-US"/>
        </w:rPr>
      </w:pPr>
    </w:p>
    <w:p w14:paraId="57664725" w14:textId="77777777" w:rsidR="00A5499D" w:rsidRDefault="00A5499D" w:rsidP="007B399B">
      <w:pPr>
        <w:rPr>
          <w:lang w:val="en-US"/>
        </w:rPr>
      </w:pPr>
    </w:p>
    <w:p w14:paraId="0864C55C" w14:textId="77777777" w:rsidR="00A5499D" w:rsidRPr="00025C7D" w:rsidRDefault="00A5499D" w:rsidP="00A5499D">
      <w:pPr>
        <w:rPr>
          <w:color w:val="548DD4" w:themeColor="text2" w:themeTint="99"/>
          <w:sz w:val="26"/>
          <w:szCs w:val="26"/>
          <w:lang w:val="en-US"/>
        </w:rPr>
      </w:pPr>
      <w:r w:rsidRPr="00025C7D">
        <w:rPr>
          <w:color w:val="548DD4" w:themeColor="text2" w:themeTint="99"/>
          <w:sz w:val="26"/>
          <w:szCs w:val="26"/>
          <w:lang w:val="en-US"/>
        </w:rPr>
        <w:lastRenderedPageBreak/>
        <w:t>IFBM GARCH</w:t>
      </w:r>
    </w:p>
    <w:p w14:paraId="3F819A00" w14:textId="77777777" w:rsidR="007B399B" w:rsidRDefault="007B399B" w:rsidP="007B399B">
      <w:pPr>
        <w:rPr>
          <w:lang w:val="en-US"/>
        </w:rPr>
      </w:pPr>
      <w:r w:rsidRPr="00E74989">
        <w:rPr>
          <w:noProof/>
          <w:lang w:eastAsia="en-GB"/>
        </w:rPr>
        <w:drawing>
          <wp:inline distT="0" distB="0" distL="0" distR="0" wp14:anchorId="1506B427" wp14:editId="519F0DC1">
            <wp:extent cx="5478780" cy="45339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78">
                      <a:extLst>
                        <a:ext uri="{28A0092B-C50C-407E-A947-70E740481C1C}">
                          <a14:useLocalDpi xmlns:a14="http://schemas.microsoft.com/office/drawing/2010/main" val="0"/>
                        </a:ext>
                      </a:extLst>
                    </a:blip>
                    <a:srcRect r="46140"/>
                    <a:stretch/>
                  </pic:blipFill>
                  <pic:spPr bwMode="auto">
                    <a:xfrm>
                      <a:off x="0" y="0"/>
                      <a:ext cx="5487374" cy="4541012"/>
                    </a:xfrm>
                    <a:prstGeom prst="rect">
                      <a:avLst/>
                    </a:prstGeom>
                    <a:noFill/>
                    <a:ln>
                      <a:noFill/>
                    </a:ln>
                    <a:extLst>
                      <a:ext uri="{53640926-AAD7-44D8-BBD7-CCE9431645EC}">
                        <a14:shadowObscured xmlns:a14="http://schemas.microsoft.com/office/drawing/2010/main"/>
                      </a:ext>
                    </a:extLst>
                  </pic:spPr>
                </pic:pic>
              </a:graphicData>
            </a:graphic>
          </wp:inline>
        </w:drawing>
      </w:r>
    </w:p>
    <w:p w14:paraId="69FDD8A6" w14:textId="77777777" w:rsidR="007B399B" w:rsidRDefault="007B399B" w:rsidP="007B399B">
      <w:pPr>
        <w:rPr>
          <w:noProof/>
          <w:lang w:val="en-US"/>
        </w:rPr>
      </w:pPr>
      <w:r w:rsidRPr="00E74989">
        <w:rPr>
          <w:noProof/>
          <w:lang w:eastAsia="en-GB"/>
        </w:rPr>
        <w:drawing>
          <wp:inline distT="0" distB="0" distL="0" distR="0" wp14:anchorId="7618172A" wp14:editId="153DAF14">
            <wp:extent cx="5926915" cy="155813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79">
                      <a:extLst>
                        <a:ext uri="{28A0092B-C50C-407E-A947-70E740481C1C}">
                          <a14:useLocalDpi xmlns:a14="http://schemas.microsoft.com/office/drawing/2010/main" val="0"/>
                        </a:ext>
                      </a:extLst>
                    </a:blip>
                    <a:srcRect r="37333"/>
                    <a:stretch/>
                  </pic:blipFill>
                  <pic:spPr bwMode="auto">
                    <a:xfrm>
                      <a:off x="0" y="0"/>
                      <a:ext cx="5939300" cy="1561394"/>
                    </a:xfrm>
                    <a:prstGeom prst="rect">
                      <a:avLst/>
                    </a:prstGeom>
                    <a:noFill/>
                    <a:ln>
                      <a:noFill/>
                    </a:ln>
                    <a:extLst>
                      <a:ext uri="{53640926-AAD7-44D8-BBD7-CCE9431645EC}">
                        <a14:shadowObscured xmlns:a14="http://schemas.microsoft.com/office/drawing/2010/main"/>
                      </a:ext>
                    </a:extLst>
                  </pic:spPr>
                </pic:pic>
              </a:graphicData>
            </a:graphic>
          </wp:inline>
        </w:drawing>
      </w:r>
    </w:p>
    <w:p w14:paraId="4A6D52AA" w14:textId="77777777" w:rsidR="007B399B" w:rsidRDefault="007B399B" w:rsidP="007B399B">
      <w:pPr>
        <w:rPr>
          <w:noProof/>
          <w:lang w:val="en-US"/>
        </w:rPr>
      </w:pPr>
    </w:p>
    <w:p w14:paraId="5F090EFC" w14:textId="77777777" w:rsidR="007B399B" w:rsidRPr="00A23BA4" w:rsidRDefault="007B399B" w:rsidP="007B399B">
      <w:pPr>
        <w:rPr>
          <w:lang w:val="en-US"/>
        </w:rPr>
      </w:pPr>
    </w:p>
    <w:p w14:paraId="4E815732" w14:textId="77777777" w:rsidR="007B399B" w:rsidRPr="007B399B" w:rsidRDefault="007B399B" w:rsidP="007B399B">
      <w:pPr>
        <w:rPr>
          <w:lang w:val="en-US"/>
        </w:rPr>
      </w:pPr>
    </w:p>
    <w:sectPr w:rsidR="007B399B" w:rsidRPr="007B399B">
      <w:footerReference w:type="default" r:id="rId2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8460" w14:textId="77777777" w:rsidR="00D94FFE" w:rsidRDefault="00D94FFE" w:rsidP="00AE0D3A">
      <w:pPr>
        <w:spacing w:after="0" w:line="240" w:lineRule="auto"/>
      </w:pPr>
      <w:r>
        <w:separator/>
      </w:r>
    </w:p>
  </w:endnote>
  <w:endnote w:type="continuationSeparator" w:id="0">
    <w:p w14:paraId="69BBFCF3" w14:textId="77777777" w:rsidR="00D94FFE" w:rsidRDefault="00D94FFE" w:rsidP="00AE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OneGulliverA">
    <w:altName w:val="Arial Unicode MS"/>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525887"/>
      <w:docPartObj>
        <w:docPartGallery w:val="Page Numbers (Bottom of Page)"/>
        <w:docPartUnique/>
      </w:docPartObj>
    </w:sdtPr>
    <w:sdtEndPr>
      <w:rPr>
        <w:noProof/>
      </w:rPr>
    </w:sdtEndPr>
    <w:sdtContent>
      <w:p w14:paraId="51770D07" w14:textId="77777777" w:rsidR="00D94FFE" w:rsidRDefault="00D94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B9830" w14:textId="77777777" w:rsidR="00D94FFE" w:rsidRDefault="00D94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622604"/>
      <w:docPartObj>
        <w:docPartGallery w:val="Page Numbers (Bottom of Page)"/>
        <w:docPartUnique/>
      </w:docPartObj>
    </w:sdtPr>
    <w:sdtEndPr>
      <w:rPr>
        <w:noProof/>
      </w:rPr>
    </w:sdtEndPr>
    <w:sdtContent>
      <w:p w14:paraId="76C5E9CD" w14:textId="29073288" w:rsidR="00D94FFE" w:rsidRDefault="00D94FFE">
        <w:pPr>
          <w:pStyle w:val="Footer"/>
          <w:jc w:val="right"/>
        </w:pPr>
        <w:r>
          <w:fldChar w:fldCharType="begin"/>
        </w:r>
        <w:r>
          <w:instrText xml:space="preserve"> PAGE   \* MERGEFORMAT </w:instrText>
        </w:r>
        <w:r>
          <w:fldChar w:fldCharType="separate"/>
        </w:r>
        <w:r>
          <w:rPr>
            <w:noProof/>
          </w:rPr>
          <w:t>307</w:t>
        </w:r>
        <w:r>
          <w:rPr>
            <w:noProof/>
          </w:rPr>
          <w:fldChar w:fldCharType="end"/>
        </w:r>
      </w:p>
    </w:sdtContent>
  </w:sdt>
  <w:p w14:paraId="207780BF" w14:textId="77777777" w:rsidR="00D94FFE" w:rsidRDefault="00D94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F128A" w14:textId="77777777" w:rsidR="00D94FFE" w:rsidRDefault="00D94FFE" w:rsidP="00AE0D3A">
      <w:pPr>
        <w:spacing w:after="0" w:line="240" w:lineRule="auto"/>
      </w:pPr>
      <w:r>
        <w:separator/>
      </w:r>
    </w:p>
  </w:footnote>
  <w:footnote w:type="continuationSeparator" w:id="0">
    <w:p w14:paraId="36CE2084" w14:textId="77777777" w:rsidR="00D94FFE" w:rsidRDefault="00D94FFE" w:rsidP="00AE0D3A">
      <w:pPr>
        <w:spacing w:after="0" w:line="240" w:lineRule="auto"/>
      </w:pPr>
      <w:r>
        <w:continuationSeparator/>
      </w:r>
    </w:p>
  </w:footnote>
  <w:footnote w:id="1">
    <w:p w14:paraId="323CEAFA" w14:textId="77777777" w:rsidR="00D94FFE" w:rsidRPr="00B44D0D" w:rsidRDefault="00D94FFE" w:rsidP="00F12273">
      <w:pPr>
        <w:pStyle w:val="FootnoteText"/>
        <w:jc w:val="left"/>
        <w:rPr>
          <w:color w:val="000000" w:themeColor="text1"/>
        </w:rPr>
      </w:pPr>
      <w:r w:rsidRPr="00B44D0D">
        <w:rPr>
          <w:rStyle w:val="FootnoteReference"/>
          <w:color w:val="000000" w:themeColor="text1"/>
        </w:rPr>
        <w:footnoteRef/>
      </w:r>
      <w:r w:rsidRPr="00B44D0D">
        <w:rPr>
          <w:color w:val="000000" w:themeColor="text1"/>
        </w:rPr>
        <w:t xml:space="preserve"> Repurchase agreement is an arrangement whereby the Fed, or another party, purchases securities with the understanding that the seller will repurchase them in a short period of time, usually less than a week, defines Mishkin (2010, p.383)</w:t>
      </w:r>
    </w:p>
  </w:footnote>
  <w:footnote w:id="2">
    <w:p w14:paraId="660F41E0" w14:textId="77777777" w:rsidR="00D94FFE" w:rsidRPr="00B44D0D" w:rsidRDefault="00D94FFE" w:rsidP="00F12273">
      <w:pPr>
        <w:rPr>
          <w:color w:val="000000" w:themeColor="text1"/>
          <w:sz w:val="20"/>
          <w:szCs w:val="20"/>
          <w:lang w:val="en-US"/>
        </w:rPr>
      </w:pPr>
      <w:r w:rsidRPr="00B44D0D">
        <w:rPr>
          <w:rStyle w:val="FootnoteReference"/>
          <w:color w:val="000000" w:themeColor="text1"/>
          <w:sz w:val="20"/>
          <w:szCs w:val="20"/>
        </w:rPr>
        <w:footnoteRef/>
      </w:r>
      <w:r w:rsidRPr="00B44D0D">
        <w:rPr>
          <w:color w:val="000000" w:themeColor="text1"/>
          <w:sz w:val="20"/>
          <w:szCs w:val="20"/>
        </w:rPr>
        <w:t xml:space="preserve"> </w:t>
      </w:r>
      <w:r w:rsidRPr="00B44D0D">
        <w:rPr>
          <w:rFonts w:ascii="Times New Roman" w:hAnsi="Times New Roman" w:cs="Times New Roman"/>
          <w:color w:val="000000" w:themeColor="text1"/>
          <w:sz w:val="20"/>
          <w:szCs w:val="20"/>
        </w:rPr>
        <w:t xml:space="preserve">Gorton (2009) uses the “securitized banking” term to make reference to restructure and reselling loan to raise funds by repo agreements to the operation with “investment banks”. </w:t>
      </w:r>
      <w:r w:rsidRPr="00B44D0D">
        <w:rPr>
          <w:color w:val="000000" w:themeColor="text1"/>
          <w:sz w:val="20"/>
          <w:szCs w:val="20"/>
        </w:rPr>
        <w:t xml:space="preserve"> </w:t>
      </w:r>
    </w:p>
  </w:footnote>
  <w:footnote w:id="3">
    <w:p w14:paraId="725F0C08" w14:textId="77777777" w:rsidR="00D94FFE" w:rsidRPr="006352FF" w:rsidRDefault="00D94FFE" w:rsidP="00F12273">
      <w:pPr>
        <w:pStyle w:val="FootnoteText"/>
        <w:jc w:val="left"/>
        <w:rPr>
          <w:lang w:val="en-US"/>
        </w:rPr>
      </w:pPr>
      <w:r w:rsidRPr="00B44D0D">
        <w:rPr>
          <w:rStyle w:val="FootnoteReference"/>
          <w:color w:val="000000" w:themeColor="text1"/>
        </w:rPr>
        <w:footnoteRef/>
      </w:r>
      <w:r w:rsidRPr="00B44D0D">
        <w:rPr>
          <w:color w:val="000000" w:themeColor="text1"/>
        </w:rPr>
        <w:t xml:space="preserve"> It is an index is composed of the 20 most liquid CDS (credit default swap) on U.S. home equity ABS. The ABX.HE index is the key trading tool for banks and asset managers that want to hedge asset-backed exposure or take a position in this asset class. Retrieved in June 20th, 2012 from http://www.markit.com/en/products/data/indices/structured-finance-indices/structured-finance-indices.page</w:t>
      </w:r>
    </w:p>
  </w:footnote>
  <w:footnote w:id="4">
    <w:p w14:paraId="435D910F" w14:textId="18B641AF" w:rsidR="00D94FFE" w:rsidRPr="00CC0C49" w:rsidRDefault="00D94FFE" w:rsidP="00F12273">
      <w:pPr>
        <w:pStyle w:val="FootnoteText"/>
        <w:jc w:val="left"/>
        <w:rPr>
          <w:lang w:val="en-US"/>
        </w:rPr>
      </w:pPr>
      <w:r w:rsidRPr="00CC0C49">
        <w:rPr>
          <w:rStyle w:val="FootnoteReference"/>
        </w:rPr>
        <w:footnoteRef/>
      </w:r>
      <w:r w:rsidRPr="00CC0C49">
        <w:t xml:space="preserve"> CDO are securities that paid out cash flows from subprime mortgaged-backed securities in different tranches, with the highest </w:t>
      </w:r>
      <w:proofErr w:type="spellStart"/>
      <w:r w:rsidRPr="00CC0C49">
        <w:t>tranch</w:t>
      </w:r>
      <w:proofErr w:type="spellEnd"/>
      <w:r w:rsidRPr="00CC0C49">
        <w:t xml:space="preserve"> paying out first, while lower ones paid out less If there were losses. (Mishkin, 2010, p.208)</w:t>
      </w:r>
      <w:r>
        <w:t>.</w:t>
      </w:r>
    </w:p>
  </w:footnote>
  <w:footnote w:id="5">
    <w:p w14:paraId="7792B38E" w14:textId="77777777" w:rsidR="00D94FFE" w:rsidRPr="006352FF" w:rsidRDefault="00D94FFE" w:rsidP="00F12273">
      <w:pPr>
        <w:pStyle w:val="FootnoteText"/>
        <w:jc w:val="left"/>
        <w:rPr>
          <w:lang w:val="en-US"/>
        </w:rPr>
      </w:pPr>
      <w:r w:rsidRPr="00CC0C49">
        <w:rPr>
          <w:rStyle w:val="FootnoteReference"/>
        </w:rPr>
        <w:footnoteRef/>
      </w:r>
      <w:r w:rsidRPr="00CC0C49">
        <w:t xml:space="preserve"> This time is different syndrome is that “old rules of valuation no longer apply”.</w:t>
      </w:r>
    </w:p>
  </w:footnote>
  <w:footnote w:id="6">
    <w:p w14:paraId="51FF36E3" w14:textId="24FF9E61" w:rsidR="00D94FFE" w:rsidRPr="00F12273" w:rsidRDefault="00D94FFE" w:rsidP="00931EC4">
      <w:pPr>
        <w:rPr>
          <w:rFonts w:ascii="Times New Roman" w:hAnsi="Times New Roman" w:cs="Times New Roman"/>
          <w:color w:val="000000" w:themeColor="text1"/>
          <w:sz w:val="20"/>
          <w:szCs w:val="20"/>
        </w:rPr>
      </w:pPr>
      <w:r w:rsidRPr="00F12273">
        <w:rPr>
          <w:rStyle w:val="FootnoteReference"/>
          <w:rFonts w:ascii="Times New Roman" w:hAnsi="Times New Roman" w:cs="Times New Roman"/>
          <w:color w:val="000000" w:themeColor="text1"/>
          <w:sz w:val="20"/>
          <w:szCs w:val="20"/>
        </w:rPr>
        <w:footnoteRef/>
      </w:r>
      <w:r w:rsidRPr="00F12273">
        <w:rPr>
          <w:rFonts w:ascii="Times New Roman" w:hAnsi="Times New Roman" w:cs="Times New Roman"/>
          <w:color w:val="000000" w:themeColor="text1"/>
          <w:sz w:val="20"/>
          <w:szCs w:val="20"/>
        </w:rPr>
        <w:t xml:space="preserve"> According to Mishkin (2010), originate-to-distribute model is a business model in which the mortgage is originated by a separate party, typically a mortgage broker, and then distributed to an investor as an underlying asset in a security. (p.208)</w:t>
      </w:r>
      <w:r>
        <w:rPr>
          <w:rFonts w:ascii="Times New Roman" w:hAnsi="Times New Roman" w:cs="Times New Roman"/>
          <w:color w:val="000000" w:themeColor="text1"/>
          <w:sz w:val="20"/>
          <w:szCs w:val="20"/>
        </w:rPr>
        <w:t>.</w:t>
      </w:r>
    </w:p>
    <w:p w14:paraId="46E9764F" w14:textId="77777777" w:rsidR="00D94FFE" w:rsidRPr="00931EC4" w:rsidRDefault="00D94FFE">
      <w:pPr>
        <w:pStyle w:val="FootnoteText"/>
        <w:rPr>
          <w:lang w:val="en-US"/>
        </w:rPr>
      </w:pPr>
    </w:p>
  </w:footnote>
  <w:footnote w:id="7">
    <w:p w14:paraId="056C985C" w14:textId="1D3402BF" w:rsidR="00D94FFE" w:rsidRPr="00931EC4" w:rsidRDefault="00D94FFE">
      <w:pPr>
        <w:pStyle w:val="FootnoteText"/>
        <w:rPr>
          <w:color w:val="000000" w:themeColor="text1"/>
          <w:lang w:val="en-US"/>
        </w:rPr>
      </w:pPr>
      <w:r>
        <w:rPr>
          <w:rStyle w:val="FootnoteReference"/>
        </w:rPr>
        <w:footnoteRef/>
      </w:r>
      <w:r>
        <w:t xml:space="preserve"> </w:t>
      </w:r>
      <w:proofErr w:type="spellStart"/>
      <w:r w:rsidRPr="00931EC4">
        <w:rPr>
          <w:color w:val="000000" w:themeColor="text1"/>
        </w:rPr>
        <w:t>Hördahl</w:t>
      </w:r>
      <w:proofErr w:type="spellEnd"/>
      <w:r w:rsidRPr="00931EC4">
        <w:rPr>
          <w:color w:val="000000" w:themeColor="text1"/>
        </w:rPr>
        <w:t xml:space="preserve"> &amp; King (2008) explain: If the “counterparty credit risk” becomes effective, the collateral is legally property of the cash provider, who can sell it in the event that the security lender defaults on the loan. To address the “market risk”, repos feature haircut (initial margin). And to address the “operational risk” related to transfer and management the collateral, the security provider can make a delivery the next day at the unchanged invoice price. If it is an operational risk related to who holds the collateral, it will depend on the type of repo (bilateral, triparty and hold-in-custody repo). These risks are mirrored in the interest rate at which a repo transaction is agreed. ... During the crisis, the U.S. repo market was under stress, while EA and U.K. market signalled calmer conditions. When the repo market dried up, the parties were interested only in the highest-quality collateral, repos in corporate or structured products were no longer possible. </w:t>
      </w:r>
    </w:p>
  </w:footnote>
  <w:footnote w:id="8">
    <w:p w14:paraId="321DA4DD" w14:textId="77777777" w:rsidR="00D94FFE" w:rsidRPr="00931EC4" w:rsidRDefault="00D94FFE" w:rsidP="00931EC4">
      <w:pPr>
        <w:rPr>
          <w:rFonts w:ascii="Times New Roman" w:hAnsi="Times New Roman" w:cs="Times New Roman"/>
          <w:color w:val="000000" w:themeColor="text1"/>
          <w:sz w:val="20"/>
          <w:szCs w:val="20"/>
        </w:rPr>
      </w:pPr>
      <w:r w:rsidRPr="00931EC4">
        <w:rPr>
          <w:rStyle w:val="FootnoteReference"/>
          <w:color w:val="000000" w:themeColor="text1"/>
          <w:sz w:val="20"/>
          <w:szCs w:val="20"/>
        </w:rPr>
        <w:footnoteRef/>
      </w:r>
      <w:r w:rsidRPr="00931EC4">
        <w:rPr>
          <w:color w:val="000000" w:themeColor="text1"/>
          <w:sz w:val="20"/>
          <w:szCs w:val="20"/>
        </w:rPr>
        <w:t xml:space="preserve"> </w:t>
      </w:r>
      <w:r w:rsidRPr="00931EC4">
        <w:rPr>
          <w:rFonts w:ascii="Times New Roman" w:hAnsi="Times New Roman" w:cs="Times New Roman"/>
          <w:color w:val="000000" w:themeColor="text1"/>
          <w:sz w:val="20"/>
          <w:szCs w:val="20"/>
        </w:rPr>
        <w:t xml:space="preserve">According to Gorton &amp; </w:t>
      </w:r>
      <w:proofErr w:type="spellStart"/>
      <w:r w:rsidRPr="00931EC4">
        <w:rPr>
          <w:rFonts w:ascii="Times New Roman" w:hAnsi="Times New Roman" w:cs="Times New Roman"/>
          <w:color w:val="000000" w:themeColor="text1"/>
          <w:sz w:val="20"/>
          <w:szCs w:val="20"/>
        </w:rPr>
        <w:t>Metrick</w:t>
      </w:r>
      <w:proofErr w:type="spellEnd"/>
      <w:r w:rsidRPr="00931EC4">
        <w:rPr>
          <w:rFonts w:ascii="Times New Roman" w:hAnsi="Times New Roman" w:cs="Times New Roman"/>
          <w:color w:val="000000" w:themeColor="text1"/>
          <w:sz w:val="20"/>
          <w:szCs w:val="20"/>
        </w:rPr>
        <w:t xml:space="preserve"> (2010b), there is just information from financial firms. </w:t>
      </w:r>
    </w:p>
    <w:p w14:paraId="364A88E7" w14:textId="77777777" w:rsidR="00D94FFE" w:rsidRPr="00931EC4" w:rsidRDefault="00D94FFE">
      <w:pPr>
        <w:pStyle w:val="FootnoteText"/>
      </w:pPr>
    </w:p>
  </w:footnote>
  <w:footnote w:id="9">
    <w:p w14:paraId="6472DEDB" w14:textId="12B4439D" w:rsidR="00D94FFE" w:rsidRPr="00F12273" w:rsidRDefault="00D94FFE" w:rsidP="00B8315B">
      <w:pPr>
        <w:spacing w:after="0" w:line="360" w:lineRule="auto"/>
        <w:rPr>
          <w:rFonts w:ascii="Times New Roman" w:hAnsi="Times New Roman" w:cs="Times New Roman"/>
          <w:sz w:val="20"/>
          <w:szCs w:val="20"/>
          <w:lang w:val="en-US"/>
        </w:rPr>
      </w:pPr>
      <w:r w:rsidRPr="00F12273">
        <w:rPr>
          <w:rStyle w:val="FootnoteReference"/>
          <w:rFonts w:ascii="Times New Roman" w:hAnsi="Times New Roman" w:cs="Times New Roman"/>
          <w:color w:val="000000" w:themeColor="text1"/>
          <w:sz w:val="20"/>
          <w:szCs w:val="20"/>
        </w:rPr>
        <w:footnoteRef/>
      </w:r>
      <w:r w:rsidRPr="00F12273">
        <w:rPr>
          <w:rFonts w:ascii="Times New Roman" w:hAnsi="Times New Roman" w:cs="Times New Roman"/>
          <w:sz w:val="20"/>
          <w:szCs w:val="20"/>
        </w:rPr>
        <w:t xml:space="preserve"> Gorton &amp; </w:t>
      </w:r>
      <w:proofErr w:type="spellStart"/>
      <w:r w:rsidRPr="00F12273">
        <w:rPr>
          <w:rFonts w:ascii="Times New Roman" w:hAnsi="Times New Roman" w:cs="Times New Roman"/>
          <w:sz w:val="20"/>
          <w:szCs w:val="20"/>
        </w:rPr>
        <w:t>Metrick</w:t>
      </w:r>
      <w:proofErr w:type="spellEnd"/>
      <w:r w:rsidRPr="00F12273">
        <w:rPr>
          <w:rFonts w:ascii="Times New Roman" w:hAnsi="Times New Roman" w:cs="Times New Roman"/>
          <w:sz w:val="20"/>
          <w:szCs w:val="20"/>
        </w:rPr>
        <w:t xml:space="preserve"> (2010b) affirm that at the same time, the repo rate and risk rate spread reflect the default probability that a repo’s lender/depositor would have, but also reveal the collateral value and transaction cost for selling it (collateral). For these reasons the LIBOR-OIS (bank-counterparty risk measure) may be relevant to lenders, because this measure makes them sensible to the uncertainty about collateral values, and in case of default ask higher rates and/or higher haircuts. Higher rates would occur because the loans are no longer risk free; higher haircuts could occur to adjust for the uncertain value of the collateral, since each dollar of collateral may worth much less by the time it can be sold. (p.25) </w:t>
      </w:r>
    </w:p>
  </w:footnote>
  <w:footnote w:id="10">
    <w:p w14:paraId="25DC68B4" w14:textId="3688F54F" w:rsidR="00D94FFE" w:rsidRPr="00931EC4" w:rsidRDefault="00D94FFE" w:rsidP="00F12273">
      <w:pPr>
        <w:pStyle w:val="FootnoteText"/>
        <w:jc w:val="left"/>
        <w:rPr>
          <w:lang w:val="en-US"/>
        </w:rPr>
      </w:pPr>
      <w:r w:rsidRPr="00B17D8B">
        <w:rPr>
          <w:rStyle w:val="FootnoteReference"/>
          <w:color w:val="000000" w:themeColor="text1"/>
        </w:rPr>
        <w:footnoteRef/>
      </w:r>
      <w:r w:rsidRPr="00B17D8B">
        <w:rPr>
          <w:color w:val="000000" w:themeColor="text1"/>
        </w:rPr>
        <w:t xml:space="preserve"> According to the results, the ABX climbed steadily, beginning with 153 in 2007, reaching 6721 bps in 2008. The LIBOR-OIS showed two jumps, in August 2007 and September 2008. Both indicators showed stressed moments during the crisis, related with subprime mortgages and interbank market, respectively. However, their behaviour does not look correlated. In contrast, change in LIBOR-OIS is positively correlated with the 75 percent of the industrials, which are significantly. Also confirm that among the rating categories eligible for repo, the AAA collateral was likely to be the most widely used. Notwithstanding, collateral pricing can be uncertain and the secondary market volatile. (Gorton &amp; </w:t>
      </w:r>
      <w:proofErr w:type="spellStart"/>
      <w:r w:rsidRPr="00B17D8B">
        <w:rPr>
          <w:color w:val="000000" w:themeColor="text1"/>
        </w:rPr>
        <w:t>Metrick</w:t>
      </w:r>
      <w:proofErr w:type="spellEnd"/>
      <w:r w:rsidRPr="00B17D8B">
        <w:rPr>
          <w:color w:val="000000" w:themeColor="text1"/>
        </w:rPr>
        <w:t>, 2009) 38 Reinhart &amp; Rogoff (2009) call it “fire sale prices”. (p.144)</w:t>
      </w:r>
      <w:r>
        <w:rPr>
          <w:color w:val="000000" w:themeColor="text1"/>
        </w:rPr>
        <w:t>.</w:t>
      </w:r>
    </w:p>
  </w:footnote>
  <w:footnote w:id="11">
    <w:p w14:paraId="13A97F82"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According to Copeland, Martin &amp; Walker (2011): “in the United States, a tri-party repo is a form of repo for which a third party, called the clearing bank, provides clearing and settlement services to the cash investor and the collateral provider.” Also, affirm that “tri-party repos are popular in part because of the efficiency gains associated with the services provided by the clearing bank (the third party).” (p.3)</w:t>
      </w:r>
    </w:p>
  </w:footnote>
  <w:footnote w:id="12">
    <w:p w14:paraId="688D67F4"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They diverge about the dependence of haircut terms on counterparty.</w:t>
      </w:r>
    </w:p>
  </w:footnote>
  <w:footnote w:id="13">
    <w:p w14:paraId="13D9F1A8" w14:textId="77777777" w:rsidR="00D94FFE" w:rsidRPr="00AB51CA" w:rsidRDefault="00D94FFE">
      <w:pPr>
        <w:pStyle w:val="FootnoteText"/>
        <w:rPr>
          <w:lang w:val="en-US"/>
        </w:rPr>
      </w:pPr>
      <w:r w:rsidRPr="00B17D8B">
        <w:rPr>
          <w:rStyle w:val="FootnoteReference"/>
          <w:color w:val="000000" w:themeColor="text1"/>
        </w:rPr>
        <w:footnoteRef/>
      </w:r>
      <w:r w:rsidRPr="00B17D8B">
        <w:rPr>
          <w:color w:val="000000" w:themeColor="text1"/>
        </w:rPr>
        <w:t xml:space="preserve"> For more information about the rationale for excluding inter-(shadow) bank repo, which is analogous to similar considerations about interbank deposits in the calculation of the money stock M2, see Krishnamurthy, Nagel &amp; </w:t>
      </w:r>
      <w:proofErr w:type="spellStart"/>
      <w:r w:rsidRPr="00B17D8B">
        <w:rPr>
          <w:color w:val="000000" w:themeColor="text1"/>
        </w:rPr>
        <w:t>Orlov</w:t>
      </w:r>
      <w:proofErr w:type="spellEnd"/>
      <w:r w:rsidRPr="00B17D8B">
        <w:rPr>
          <w:color w:val="000000" w:themeColor="text1"/>
        </w:rPr>
        <w:t xml:space="preserve"> (2011). 42 They justify that “the run-up in both repo and ABCP is also consistent with the increased “money demand" argument of Gorton &amp; </w:t>
      </w:r>
      <w:proofErr w:type="spellStart"/>
      <w:r w:rsidRPr="00B17D8B">
        <w:rPr>
          <w:color w:val="000000" w:themeColor="text1"/>
        </w:rPr>
        <w:t>Metrick</w:t>
      </w:r>
      <w:proofErr w:type="spellEnd"/>
      <w:r w:rsidRPr="00B17D8B">
        <w:rPr>
          <w:color w:val="000000" w:themeColor="text1"/>
        </w:rPr>
        <w:t xml:space="preserve">, or the global imbalances of Caballero and Krishnamurthy (2009)” (Krishnamurthy, Nagel &amp; </w:t>
      </w:r>
      <w:proofErr w:type="spellStart"/>
      <w:r w:rsidRPr="00B17D8B">
        <w:rPr>
          <w:color w:val="000000" w:themeColor="text1"/>
        </w:rPr>
        <w:t>Orlov</w:t>
      </w:r>
      <w:proofErr w:type="spellEnd"/>
      <w:r w:rsidRPr="00B17D8B">
        <w:rPr>
          <w:color w:val="000000" w:themeColor="text1"/>
        </w:rPr>
        <w:t>, 2011, p.5).</w:t>
      </w:r>
    </w:p>
  </w:footnote>
  <w:footnote w:id="14">
    <w:p w14:paraId="2B1870BB"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Richard </w:t>
      </w:r>
      <w:proofErr w:type="spellStart"/>
      <w:r w:rsidRPr="00B17D8B">
        <w:rPr>
          <w:color w:val="000000" w:themeColor="text1"/>
        </w:rPr>
        <w:t>Comotto</w:t>
      </w:r>
      <w:proofErr w:type="spellEnd"/>
      <w:r w:rsidRPr="00B17D8B">
        <w:rPr>
          <w:color w:val="000000" w:themeColor="text1"/>
        </w:rPr>
        <w:t xml:space="preserve"> is a senior visiting fellow at International Capital Market Association (ICMA) </w:t>
      </w:r>
      <w:proofErr w:type="spellStart"/>
      <w:r w:rsidRPr="00B17D8B">
        <w:rPr>
          <w:color w:val="000000" w:themeColor="text1"/>
        </w:rPr>
        <w:t>Center</w:t>
      </w:r>
      <w:proofErr w:type="spellEnd"/>
      <w:r w:rsidRPr="00B17D8B">
        <w:rPr>
          <w:color w:val="000000" w:themeColor="text1"/>
        </w:rPr>
        <w:t>.</w:t>
      </w:r>
    </w:p>
  </w:footnote>
  <w:footnote w:id="15">
    <w:p w14:paraId="63A98056"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See </w:t>
      </w:r>
      <w:proofErr w:type="spellStart"/>
      <w:r w:rsidRPr="00B17D8B">
        <w:rPr>
          <w:color w:val="000000" w:themeColor="text1"/>
        </w:rPr>
        <w:t>Comotto</w:t>
      </w:r>
      <w:proofErr w:type="spellEnd"/>
      <w:r w:rsidRPr="00B17D8B">
        <w:rPr>
          <w:color w:val="000000" w:themeColor="text1"/>
        </w:rPr>
        <w:t>, R. compiler. (2012). Initial margins and haircuts in the repo market. ICMA.</w:t>
      </w:r>
    </w:p>
  </w:footnote>
  <w:footnote w:id="16">
    <w:p w14:paraId="78AD4B3D"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Financial institutions as money market mutual funds (MMMFs), hedge funds, off-balance sheet vehicles including asset-backed commercial paper (ABCP) conduits, and structures investment vehicles (SIV’s).</w:t>
      </w:r>
    </w:p>
  </w:footnote>
  <w:footnote w:id="17">
    <w:p w14:paraId="2B2C67DC"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There is no doubt that the argument that the recent run happened on the short-term debt, as the tri-party repo market’s studies affirm (through the analysis of this type of financial</w:t>
      </w:r>
      <w:r w:rsidRPr="00B17D8B">
        <w:rPr>
          <w:color w:val="000000" w:themeColor="text1"/>
          <w:sz w:val="24"/>
          <w:szCs w:val="24"/>
        </w:rPr>
        <w:t xml:space="preserve"> </w:t>
      </w:r>
      <w:r w:rsidRPr="00B17D8B">
        <w:rPr>
          <w:color w:val="000000" w:themeColor="text1"/>
        </w:rPr>
        <w:t>intermediary related with the commercial papers), theoretically, provides a new scope to infer the behaviour and losses of the SBS.</w:t>
      </w:r>
    </w:p>
  </w:footnote>
  <w:footnote w:id="18">
    <w:p w14:paraId="619930C5" w14:textId="52EBE8D9" w:rsidR="00D94FFE" w:rsidRPr="00B17D8B" w:rsidRDefault="00D94FFE" w:rsidP="00BA5742">
      <w:pPr>
        <w:spacing w:after="0" w:line="360" w:lineRule="auto"/>
        <w:rPr>
          <w:color w:val="000000" w:themeColor="text1"/>
          <w:sz w:val="20"/>
          <w:szCs w:val="20"/>
        </w:rPr>
      </w:pPr>
      <w:r w:rsidRPr="00B17D8B">
        <w:rPr>
          <w:rStyle w:val="FootnoteReference"/>
          <w:color w:val="000000" w:themeColor="text1"/>
          <w:sz w:val="20"/>
          <w:szCs w:val="20"/>
        </w:rPr>
        <w:footnoteRef/>
      </w:r>
      <w:r w:rsidRPr="00B17D8B">
        <w:rPr>
          <w:color w:val="000000" w:themeColor="text1"/>
          <w:sz w:val="20"/>
          <w:szCs w:val="20"/>
        </w:rPr>
        <w:t xml:space="preserve"> </w:t>
      </w:r>
      <w:r w:rsidRPr="00B17D8B">
        <w:rPr>
          <w:rFonts w:ascii="Times New Roman" w:hAnsi="Times New Roman" w:cs="Times New Roman"/>
          <w:color w:val="000000" w:themeColor="text1"/>
          <w:sz w:val="20"/>
          <w:szCs w:val="20"/>
        </w:rPr>
        <w:t xml:space="preserve">Bengtsson (2011) presents that the MMFs, as cash manager of services (historically safe until this crisis) with high levels of liquidity, stability in principal value and competitive market-base yields, have grown into a €1.3 billion industry dominated by France, Luxembourg and Ireland; from which, many of them are managed elsewhere, such U.K. or Germany. </w:t>
      </w:r>
    </w:p>
  </w:footnote>
  <w:footnote w:id="19">
    <w:p w14:paraId="4CF0EB34"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In spite of the sponsor to the MMFs month after the Lehman Brothers bankruptcy, and because of the </w:t>
      </w:r>
      <w:proofErr w:type="spellStart"/>
      <w:r w:rsidRPr="00B17D8B">
        <w:rPr>
          <w:color w:val="000000" w:themeColor="text1"/>
        </w:rPr>
        <w:t>spillover</w:t>
      </w:r>
      <w:proofErr w:type="spellEnd"/>
      <w:r w:rsidRPr="00B17D8B">
        <w:rPr>
          <w:color w:val="000000" w:themeColor="text1"/>
        </w:rPr>
        <w:t xml:space="preserve"> effect on other European countries due to the unilateral actions, the authorities began their liquidity assistance to secure the liquidity of money market funds. The authorities lowered the interest rates and broad the scope of eligible collateral for banks in October 2008. Also, the Irish Central Bank required the review of any discrepancies between the accounting value and market price of MMF assets residual maturity of less than 3 months. (Bengtsson, 2011, p.7)</w:t>
      </w:r>
    </w:p>
  </w:footnote>
  <w:footnote w:id="20">
    <w:p w14:paraId="517C0A79" w14:textId="77777777" w:rsidR="00D94FFE" w:rsidRPr="00406E75" w:rsidRDefault="00D94FFE">
      <w:pPr>
        <w:pStyle w:val="FootnoteText"/>
        <w:rPr>
          <w:lang w:val="en-US"/>
        </w:rPr>
      </w:pPr>
      <w:r w:rsidRPr="00B17D8B">
        <w:rPr>
          <w:rStyle w:val="FootnoteReference"/>
          <w:color w:val="000000" w:themeColor="text1"/>
        </w:rPr>
        <w:footnoteRef/>
      </w:r>
      <w:r w:rsidRPr="00B17D8B">
        <w:rPr>
          <w:color w:val="000000" w:themeColor="text1"/>
        </w:rPr>
        <w:t xml:space="preserve"> Aggregated results using the ECB’s euro area data broadly accord with $4.8 trillion in 2010.</w:t>
      </w:r>
    </w:p>
  </w:footnote>
  <w:footnote w:id="21">
    <w:p w14:paraId="1EAAA2F8" w14:textId="77777777" w:rsidR="00D94FFE" w:rsidRPr="00B17D8B" w:rsidRDefault="00D94FFE" w:rsidP="00BA5742">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Merrill Lynch, Goldman Sachs, Morgan Stanley, Citigroup, BNP Paribas, Société </w:t>
      </w:r>
      <w:proofErr w:type="spellStart"/>
      <w:r w:rsidRPr="00B17D8B">
        <w:rPr>
          <w:color w:val="000000" w:themeColor="text1"/>
        </w:rPr>
        <w:t>Général</w:t>
      </w:r>
      <w:proofErr w:type="spellEnd"/>
      <w:r w:rsidRPr="00B17D8B">
        <w:rPr>
          <w:color w:val="000000" w:themeColor="text1"/>
        </w:rPr>
        <w:t>, Wachovia Bank N.A., etc.</w:t>
      </w:r>
    </w:p>
  </w:footnote>
  <w:footnote w:id="22">
    <w:p w14:paraId="133AC3DC" w14:textId="77777777" w:rsidR="00D94FFE" w:rsidRPr="00B17D8B" w:rsidRDefault="00D94FFE" w:rsidP="00BA5742">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According to Krishnamurthy, Nagel &amp; </w:t>
      </w:r>
      <w:proofErr w:type="spellStart"/>
      <w:r w:rsidRPr="00B17D8B">
        <w:rPr>
          <w:color w:val="000000" w:themeColor="text1"/>
        </w:rPr>
        <w:t>Orlov</w:t>
      </w:r>
      <w:proofErr w:type="spellEnd"/>
      <w:r w:rsidRPr="00B17D8B">
        <w:rPr>
          <w:color w:val="000000" w:themeColor="text1"/>
        </w:rPr>
        <w:t xml:space="preserve"> (2011), the financial intermediation entities have the knowledge or capability to assess and handle collateral. It means to mediate between cash lender and borrowers, which is the motivation of a tri-party arrangement. For instance: they know if the counterparty is giving the required collateral.</w:t>
      </w:r>
    </w:p>
  </w:footnote>
  <w:footnote w:id="23">
    <w:p w14:paraId="50789880" w14:textId="77777777" w:rsidR="00D94FFE" w:rsidRPr="00B17D8B" w:rsidRDefault="00D94FFE" w:rsidP="00BA5742">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According to Mishkin F.S. &amp; Eakins, S. G. (2012), money market mutual funds (MMMF) are funds that accumulate investment dollars from a large group of people and then invest in short-term securities such as Treasury bills and commercial paper. (p.299)</w:t>
      </w:r>
    </w:p>
  </w:footnote>
  <w:footnote w:id="24">
    <w:p w14:paraId="3D7F4E93" w14:textId="3283365E" w:rsidR="00D94FFE" w:rsidRDefault="00D94FFE" w:rsidP="00BA5742">
      <w:pPr>
        <w:spacing w:line="360" w:lineRule="auto"/>
        <w:rPr>
          <w:rFonts w:ascii="Times New Roman" w:hAnsi="Times New Roman" w:cs="Times New Roman"/>
          <w:color w:val="000000" w:themeColor="text1"/>
          <w:sz w:val="20"/>
          <w:szCs w:val="20"/>
        </w:rPr>
      </w:pPr>
      <w:r w:rsidRPr="00B17D8B">
        <w:rPr>
          <w:rStyle w:val="FootnoteReference"/>
          <w:color w:val="000000" w:themeColor="text1"/>
          <w:sz w:val="20"/>
          <w:szCs w:val="20"/>
        </w:rPr>
        <w:footnoteRef/>
      </w:r>
      <w:r w:rsidRPr="00B17D8B">
        <w:rPr>
          <w:color w:val="000000" w:themeColor="text1"/>
          <w:sz w:val="20"/>
          <w:szCs w:val="20"/>
        </w:rPr>
        <w:t xml:space="preserve"> </w:t>
      </w:r>
      <w:r w:rsidRPr="00B17D8B">
        <w:rPr>
          <w:rFonts w:ascii="Times New Roman" w:hAnsi="Times New Roman" w:cs="Times New Roman"/>
          <w:color w:val="000000" w:themeColor="text1"/>
          <w:sz w:val="20"/>
          <w:szCs w:val="20"/>
        </w:rPr>
        <w:t xml:space="preserve">He affirms that the financial turbulence caused by run on ABCP expanded to other financial markets such as the ones for repo, ABS and mortgage-backed securities, leading eventually to the collapse of Lehman Brothers in September 2008. </w:t>
      </w:r>
    </w:p>
    <w:p w14:paraId="6EC976E8" w14:textId="77777777" w:rsidR="006E1E2F" w:rsidRPr="00B17D8B" w:rsidRDefault="006E1E2F" w:rsidP="00BA5742">
      <w:pPr>
        <w:spacing w:line="360" w:lineRule="auto"/>
        <w:rPr>
          <w:rFonts w:ascii="Times New Roman" w:hAnsi="Times New Roman" w:cs="Times New Roman"/>
          <w:color w:val="000000" w:themeColor="text1"/>
          <w:sz w:val="20"/>
          <w:szCs w:val="20"/>
        </w:rPr>
      </w:pPr>
    </w:p>
    <w:p w14:paraId="57F642B4" w14:textId="77777777" w:rsidR="00D94FFE" w:rsidRPr="00406E75" w:rsidRDefault="00D94FFE">
      <w:pPr>
        <w:pStyle w:val="FootnoteText"/>
      </w:pPr>
    </w:p>
  </w:footnote>
  <w:footnote w:id="25">
    <w:p w14:paraId="1D69E369" w14:textId="77777777" w:rsidR="00D94FFE" w:rsidRPr="00B17D8B" w:rsidRDefault="00D94FFE" w:rsidP="00406E75">
      <w:pPr>
        <w:rPr>
          <w:rFonts w:ascii="Times New Roman" w:hAnsi="Times New Roman" w:cs="Times New Roman"/>
          <w:color w:val="000000" w:themeColor="text1"/>
          <w:sz w:val="20"/>
          <w:szCs w:val="20"/>
        </w:rPr>
      </w:pPr>
      <w:r w:rsidRPr="00B17D8B">
        <w:rPr>
          <w:rStyle w:val="FootnoteReference"/>
          <w:color w:val="000000" w:themeColor="text1"/>
          <w:sz w:val="20"/>
          <w:szCs w:val="20"/>
        </w:rPr>
        <w:footnoteRef/>
      </w:r>
      <w:r w:rsidRPr="00B17D8B">
        <w:rPr>
          <w:color w:val="000000" w:themeColor="text1"/>
          <w:sz w:val="20"/>
          <w:szCs w:val="20"/>
        </w:rPr>
        <w:t xml:space="preserve"> </w:t>
      </w:r>
      <w:r w:rsidRPr="00B17D8B">
        <w:rPr>
          <w:rFonts w:ascii="Times New Roman" w:hAnsi="Times New Roman" w:cs="Times New Roman"/>
          <w:color w:val="000000" w:themeColor="text1"/>
          <w:sz w:val="20"/>
          <w:szCs w:val="20"/>
        </w:rPr>
        <w:t xml:space="preserve">According to Gorton &amp; </w:t>
      </w:r>
      <w:proofErr w:type="spellStart"/>
      <w:r w:rsidRPr="00B17D8B">
        <w:rPr>
          <w:rFonts w:ascii="Times New Roman" w:hAnsi="Times New Roman" w:cs="Times New Roman"/>
          <w:color w:val="000000" w:themeColor="text1"/>
          <w:sz w:val="20"/>
          <w:szCs w:val="20"/>
        </w:rPr>
        <w:t>Metrick</w:t>
      </w:r>
      <w:proofErr w:type="spellEnd"/>
      <w:r w:rsidRPr="00B17D8B">
        <w:rPr>
          <w:rFonts w:ascii="Times New Roman" w:hAnsi="Times New Roman" w:cs="Times New Roman"/>
          <w:color w:val="000000" w:themeColor="text1"/>
          <w:sz w:val="20"/>
          <w:szCs w:val="20"/>
        </w:rPr>
        <w:t xml:space="preserve"> (2010a), the ratio of off-balance sheet loan funding to on-balance sheet loan funding grew from zero to over 60 percent. (p. 10) </w:t>
      </w:r>
    </w:p>
    <w:p w14:paraId="0245FBD4" w14:textId="77777777" w:rsidR="00D94FFE" w:rsidRPr="00406E75" w:rsidRDefault="00D94FFE">
      <w:pPr>
        <w:pStyle w:val="FootnoteText"/>
        <w:rPr>
          <w:lang w:val="en-US"/>
        </w:rPr>
      </w:pPr>
    </w:p>
  </w:footnote>
  <w:footnote w:id="26">
    <w:p w14:paraId="51DAAED5" w14:textId="77777777" w:rsidR="00D94FFE" w:rsidRPr="00B17D8B" w:rsidRDefault="00D94FFE">
      <w:pPr>
        <w:pStyle w:val="FootnoteText"/>
        <w:rPr>
          <w:lang w:val="en-US"/>
        </w:rPr>
      </w:pPr>
      <w:r w:rsidRPr="00B17D8B">
        <w:rPr>
          <w:rStyle w:val="FootnoteReference"/>
          <w:color w:val="000000" w:themeColor="text1"/>
        </w:rPr>
        <w:footnoteRef/>
      </w:r>
      <w:r w:rsidRPr="00B17D8B">
        <w:rPr>
          <w:color w:val="000000" w:themeColor="text1"/>
        </w:rPr>
        <w:t xml:space="preserve"> The 140 percent cap on the debit balance reduces each successive round of re-hypothecation.</w:t>
      </w:r>
    </w:p>
  </w:footnote>
  <w:footnote w:id="27">
    <w:p w14:paraId="4D7211C6" w14:textId="77777777" w:rsidR="00D94FFE" w:rsidRPr="00B17D8B" w:rsidRDefault="00D94FFE">
      <w:pPr>
        <w:pStyle w:val="FootnoteText"/>
        <w:rPr>
          <w:color w:val="000000" w:themeColor="text1"/>
          <w:lang w:val="en-US"/>
        </w:rPr>
      </w:pPr>
      <w:r>
        <w:rPr>
          <w:rStyle w:val="FootnoteReference"/>
        </w:rPr>
        <w:footnoteRef/>
      </w:r>
      <w:r>
        <w:t xml:space="preserve"> </w:t>
      </w:r>
      <w:r w:rsidRPr="00B17D8B">
        <w:rPr>
          <w:color w:val="000000" w:themeColor="text1"/>
        </w:rPr>
        <w:t xml:space="preserve">According to </w:t>
      </w:r>
      <w:proofErr w:type="spellStart"/>
      <w:r w:rsidRPr="00B17D8B">
        <w:rPr>
          <w:color w:val="000000" w:themeColor="text1"/>
        </w:rPr>
        <w:t>Pozsar</w:t>
      </w:r>
      <w:proofErr w:type="spellEnd"/>
      <w:r w:rsidRPr="00B17D8B">
        <w:rPr>
          <w:color w:val="000000" w:themeColor="text1"/>
        </w:rPr>
        <w:t xml:space="preserve"> &amp; Singh (2011), “the term re-pledged is a legal term and means that the dealer receiving the collateral has the right to re-use it in its own name (re-hypothecation is a term used in the context of re-use of hedge funds’ collateral).” (p. 10).</w:t>
      </w:r>
    </w:p>
  </w:footnote>
  <w:footnote w:id="28">
    <w:p w14:paraId="2C20B518" w14:textId="77777777" w:rsidR="00D94FFE" w:rsidRPr="00B17D8B" w:rsidRDefault="00D94FFE">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w:t>
      </w:r>
      <w:proofErr w:type="spellStart"/>
      <w:r w:rsidRPr="00B17D8B">
        <w:rPr>
          <w:color w:val="000000" w:themeColor="text1"/>
        </w:rPr>
        <w:t>Hördahl</w:t>
      </w:r>
      <w:proofErr w:type="spellEnd"/>
      <w:r w:rsidRPr="00B17D8B">
        <w:rPr>
          <w:color w:val="000000" w:themeColor="text1"/>
        </w:rPr>
        <w:t xml:space="preserve"> &amp; King (2008) describe the composition of the euro area’s collateral: Two thirds of the collateral is central government bonds from euro area countries, 16% from other euro area entities and 12% from other OECD countries. In terms of country of issuance, German collateral makes up one quarter of the market, followed by Italian at 13%, French at 11% and another euro area at 15%. Whereas there are more than 7,500 banking participants, activity is highly concentrated, with the top 20 banks accounting for 80% of activity. Two thirds of repos have a maturity of one month or shorter, with the rest up to one year. Around half of euro repos are transacted directly between counterparties, while the remainder are brokered using either voice brokers or an electronic trading platform. (p.4)</w:t>
      </w:r>
    </w:p>
  </w:footnote>
  <w:footnote w:id="29">
    <w:p w14:paraId="7DD01D3A" w14:textId="77777777" w:rsidR="00D94FFE" w:rsidRPr="00B17D8B" w:rsidRDefault="00D94FFE" w:rsidP="0072733A">
      <w:pPr>
        <w:pStyle w:val="FootnoteText"/>
        <w:rPr>
          <w:lang w:val="en-US"/>
        </w:rPr>
      </w:pPr>
      <w:r w:rsidRPr="00B17D8B">
        <w:rPr>
          <w:rStyle w:val="FootnoteReference"/>
          <w:color w:val="000000" w:themeColor="text1"/>
        </w:rPr>
        <w:footnoteRef/>
      </w:r>
      <w:r w:rsidRPr="00B17D8B">
        <w:rPr>
          <w:color w:val="000000" w:themeColor="text1"/>
        </w:rPr>
        <w:t xml:space="preserve"> Mishkin (2010) defines M2 as a measure of money that adds to M1: money market deposit accounts, money market mutual fund shares, small-denominations time deposits, savings deposits, overnight repurchase agreements, and overnight Eurodollar. (p.62) M1 includes currency, </w:t>
      </w:r>
      <w:proofErr w:type="spellStart"/>
      <w:r w:rsidRPr="00B17D8B">
        <w:rPr>
          <w:color w:val="000000" w:themeColor="text1"/>
        </w:rPr>
        <w:t>traveler’s</w:t>
      </w:r>
      <w:proofErr w:type="spellEnd"/>
      <w:r w:rsidRPr="00B17D8B">
        <w:rPr>
          <w:color w:val="000000" w:themeColor="text1"/>
        </w:rPr>
        <w:t xml:space="preserve"> checks, and checkable deposits.</w:t>
      </w:r>
    </w:p>
  </w:footnote>
  <w:footnote w:id="30">
    <w:p w14:paraId="33FE2D29" w14:textId="16BB0214" w:rsidR="00D94FFE" w:rsidRPr="00B17D8B" w:rsidRDefault="00D94FFE" w:rsidP="0072733A">
      <w:pPr>
        <w:spacing w:line="360" w:lineRule="auto"/>
        <w:rPr>
          <w:color w:val="000000" w:themeColor="text1"/>
          <w:sz w:val="20"/>
          <w:szCs w:val="20"/>
          <w:lang w:val="en-US"/>
        </w:rPr>
      </w:pPr>
      <w:r w:rsidRPr="00B17D8B">
        <w:rPr>
          <w:rStyle w:val="FootnoteReference"/>
          <w:color w:val="000000" w:themeColor="text1"/>
          <w:sz w:val="20"/>
          <w:szCs w:val="20"/>
        </w:rPr>
        <w:footnoteRef/>
      </w:r>
      <w:r w:rsidRPr="00B17D8B">
        <w:rPr>
          <w:color w:val="000000" w:themeColor="text1"/>
          <w:sz w:val="20"/>
          <w:szCs w:val="20"/>
        </w:rPr>
        <w:t xml:space="preserve"> </w:t>
      </w:r>
      <w:r w:rsidRPr="00B17D8B">
        <w:rPr>
          <w:rFonts w:ascii="Times New Roman" w:hAnsi="Times New Roman" w:cs="Times New Roman"/>
          <w:color w:val="000000" w:themeColor="text1"/>
          <w:sz w:val="20"/>
          <w:szCs w:val="20"/>
        </w:rPr>
        <w:t xml:space="preserve">Instead of M2-types of money, asset managers prefer alternatives such as short-term publicly guaranteed debt (such as Treasury bills and agency discount notes) and privately guaranteed wholesale funding instruments (such as repurchase agreements, asset-backed commercial paper and other asset-backed paper) issued by the shadow banking system. </w:t>
      </w:r>
    </w:p>
  </w:footnote>
  <w:footnote w:id="31">
    <w:p w14:paraId="391757BC" w14:textId="77777777" w:rsidR="00D94FFE" w:rsidRPr="00B17D8B" w:rsidRDefault="00D94FFE" w:rsidP="0072733A">
      <w:pPr>
        <w:pStyle w:val="FootnoteText"/>
        <w:rPr>
          <w:color w:val="000000" w:themeColor="text1"/>
          <w:lang w:val="en-US"/>
        </w:rPr>
      </w:pPr>
      <w:r w:rsidRPr="00B17D8B">
        <w:rPr>
          <w:rStyle w:val="FootnoteReference"/>
          <w:color w:val="000000" w:themeColor="text1"/>
        </w:rPr>
        <w:footnoteRef/>
      </w:r>
      <w:r w:rsidRPr="00B17D8B">
        <w:rPr>
          <w:color w:val="000000" w:themeColor="text1"/>
        </w:rPr>
        <w:t xml:space="preserve"> The authors coin this term, in order to simplify the complex process of “looking for deposits of collateral (exploitation) and unearthing of passive securities so they can be re-use as collateral for various purposes in the SBS (extraction)” (</w:t>
      </w:r>
      <w:proofErr w:type="spellStart"/>
      <w:r w:rsidRPr="00B17D8B">
        <w:rPr>
          <w:color w:val="000000" w:themeColor="text1"/>
        </w:rPr>
        <w:t>Pozsar</w:t>
      </w:r>
      <w:proofErr w:type="spellEnd"/>
      <w:r w:rsidRPr="00B17D8B">
        <w:rPr>
          <w:color w:val="000000" w:themeColor="text1"/>
        </w:rPr>
        <w:t xml:space="preserve"> &amp; Singh, 2011, p.5).</w:t>
      </w:r>
    </w:p>
  </w:footnote>
  <w:footnote w:id="32">
    <w:p w14:paraId="4F8D98F8" w14:textId="77777777" w:rsidR="00D94FFE" w:rsidRPr="00B17D8B" w:rsidRDefault="00D94FFE" w:rsidP="0072733A">
      <w:pPr>
        <w:spacing w:line="360" w:lineRule="auto"/>
        <w:rPr>
          <w:rFonts w:ascii="Times New Roman" w:hAnsi="Times New Roman" w:cs="Times New Roman"/>
          <w:color w:val="000000" w:themeColor="text1"/>
          <w:sz w:val="20"/>
          <w:szCs w:val="20"/>
        </w:rPr>
      </w:pPr>
      <w:r w:rsidRPr="00B17D8B">
        <w:rPr>
          <w:rStyle w:val="FootnoteReference"/>
          <w:color w:val="000000" w:themeColor="text1"/>
          <w:sz w:val="20"/>
          <w:szCs w:val="20"/>
        </w:rPr>
        <w:footnoteRef/>
      </w:r>
      <w:r w:rsidRPr="00B17D8B">
        <w:rPr>
          <w:color w:val="000000" w:themeColor="text1"/>
          <w:sz w:val="20"/>
          <w:szCs w:val="20"/>
        </w:rPr>
        <w:t xml:space="preserve"> </w:t>
      </w:r>
      <w:r w:rsidRPr="00B17D8B">
        <w:rPr>
          <w:rFonts w:ascii="Times New Roman" w:hAnsi="Times New Roman" w:cs="Times New Roman"/>
          <w:color w:val="000000" w:themeColor="text1"/>
          <w:sz w:val="20"/>
          <w:szCs w:val="20"/>
        </w:rPr>
        <w:t>Dealers obtain (or “mine”) collateral from asset managers through the levered and unlevered account. From the levered (or hedge fund) accounts they mine collateral through the provision of funding via repo against collateral, and the prime-brokerage related borrowings via margin loans against collateral. From the unlevered (or real money) accounts, dealers mine collateral directly from their custodians; in these transactions, unlevered accounts and custodians act as principal and agent securities lenders, respectively. However, the distinction between levered and unlevered accounts is increasingly blurred as the latter seek higher risk to cover their underfunded status (e.g., defined benefit pension funds). (</w:t>
      </w:r>
      <w:proofErr w:type="spellStart"/>
      <w:r w:rsidRPr="00B17D8B">
        <w:rPr>
          <w:rFonts w:ascii="Times New Roman" w:hAnsi="Times New Roman" w:cs="Times New Roman"/>
          <w:color w:val="000000" w:themeColor="text1"/>
          <w:sz w:val="20"/>
          <w:szCs w:val="20"/>
        </w:rPr>
        <w:t>Pozsar</w:t>
      </w:r>
      <w:proofErr w:type="spellEnd"/>
      <w:r w:rsidRPr="00B17D8B">
        <w:rPr>
          <w:rFonts w:ascii="Times New Roman" w:hAnsi="Times New Roman" w:cs="Times New Roman"/>
          <w:color w:val="000000" w:themeColor="text1"/>
          <w:sz w:val="20"/>
          <w:szCs w:val="20"/>
        </w:rPr>
        <w:t xml:space="preserve"> &amp; Singh, 2011, p.9).</w:t>
      </w:r>
    </w:p>
    <w:p w14:paraId="06323B7D" w14:textId="77777777" w:rsidR="00D94FFE" w:rsidRPr="00B17D8B" w:rsidRDefault="00D94FFE">
      <w:pPr>
        <w:pStyle w:val="FootnoteText"/>
        <w:rPr>
          <w:lang w:val="en-US"/>
        </w:rPr>
      </w:pPr>
    </w:p>
  </w:footnote>
  <w:footnote w:id="33">
    <w:p w14:paraId="01E16493" w14:textId="77777777" w:rsidR="00D94FFE" w:rsidRPr="00160EF7" w:rsidRDefault="00D94FFE" w:rsidP="009340A8">
      <w:pPr>
        <w:pStyle w:val="FootnoteText"/>
        <w:rPr>
          <w:lang w:val="en-US"/>
        </w:rPr>
      </w:pPr>
      <w:r>
        <w:rPr>
          <w:rStyle w:val="FootnoteReference"/>
        </w:rPr>
        <w:footnoteRef/>
      </w:r>
      <w:r>
        <w:t xml:space="preserve"> It can be easily understood that we do not take into account the first value of each log return subset when dividing the whole set into 11 boxes, in order to have the same number of data points, however, number of observations is different for each subset. This is obviously far from a drastic assumption!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A66"/>
    <w:multiLevelType w:val="hybridMultilevel"/>
    <w:tmpl w:val="C932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86A0B"/>
    <w:multiLevelType w:val="hybridMultilevel"/>
    <w:tmpl w:val="DC0AE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8A73D0"/>
    <w:multiLevelType w:val="hybridMultilevel"/>
    <w:tmpl w:val="763C4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641F5"/>
    <w:multiLevelType w:val="multilevel"/>
    <w:tmpl w:val="2262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BB2929"/>
    <w:multiLevelType w:val="hybridMultilevel"/>
    <w:tmpl w:val="31A0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80EEF"/>
    <w:multiLevelType w:val="hybridMultilevel"/>
    <w:tmpl w:val="45F6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71A0A"/>
    <w:multiLevelType w:val="hybridMultilevel"/>
    <w:tmpl w:val="525A9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544457"/>
    <w:multiLevelType w:val="hybridMultilevel"/>
    <w:tmpl w:val="F91A26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DE2CB3"/>
    <w:multiLevelType w:val="hybridMultilevel"/>
    <w:tmpl w:val="128C0BC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9" w15:restartNumberingAfterBreak="0">
    <w:nsid w:val="451B6926"/>
    <w:multiLevelType w:val="hybridMultilevel"/>
    <w:tmpl w:val="43462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042CDD"/>
    <w:multiLevelType w:val="hybridMultilevel"/>
    <w:tmpl w:val="F372DC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90F1A"/>
    <w:multiLevelType w:val="hybridMultilevel"/>
    <w:tmpl w:val="F372DC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36B15B6"/>
    <w:multiLevelType w:val="hybridMultilevel"/>
    <w:tmpl w:val="54441BA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7C547988"/>
    <w:multiLevelType w:val="hybridMultilevel"/>
    <w:tmpl w:val="39C0D9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3"/>
  </w:num>
  <w:num w:numId="2">
    <w:abstractNumId w:val="4"/>
  </w:num>
  <w:num w:numId="3">
    <w:abstractNumId w:val="5"/>
  </w:num>
  <w:num w:numId="4">
    <w:abstractNumId w:val="2"/>
  </w:num>
  <w:num w:numId="5">
    <w:abstractNumId w:val="11"/>
  </w:num>
  <w:num w:numId="6">
    <w:abstractNumId w:val="7"/>
  </w:num>
  <w:num w:numId="7">
    <w:abstractNumId w:val="8"/>
  </w:num>
  <w:num w:numId="8">
    <w:abstractNumId w:val="12"/>
  </w:num>
  <w:num w:numId="9">
    <w:abstractNumId w:val="0"/>
  </w:num>
  <w:num w:numId="10">
    <w:abstractNumId w:val="6"/>
  </w:num>
  <w:num w:numId="11">
    <w:abstractNumId w:val="9"/>
  </w:num>
  <w:num w:numId="12">
    <w:abstractNumId w:val="10"/>
  </w:num>
  <w:num w:numId="13">
    <w:abstractNumId w:val="1"/>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904"/>
    <w:rsid w:val="000162D2"/>
    <w:rsid w:val="000216CC"/>
    <w:rsid w:val="00025C7D"/>
    <w:rsid w:val="0002798F"/>
    <w:rsid w:val="0003351B"/>
    <w:rsid w:val="000345B9"/>
    <w:rsid w:val="00034A52"/>
    <w:rsid w:val="00037AC3"/>
    <w:rsid w:val="000460E1"/>
    <w:rsid w:val="000478CA"/>
    <w:rsid w:val="000519C3"/>
    <w:rsid w:val="00053A69"/>
    <w:rsid w:val="00056A8D"/>
    <w:rsid w:val="00061E35"/>
    <w:rsid w:val="00062751"/>
    <w:rsid w:val="0006558D"/>
    <w:rsid w:val="00075A19"/>
    <w:rsid w:val="00077725"/>
    <w:rsid w:val="00084D3F"/>
    <w:rsid w:val="000966BE"/>
    <w:rsid w:val="00096FDA"/>
    <w:rsid w:val="000A4876"/>
    <w:rsid w:val="000A5FE4"/>
    <w:rsid w:val="000C4890"/>
    <w:rsid w:val="000D006E"/>
    <w:rsid w:val="000D388A"/>
    <w:rsid w:val="000F4F31"/>
    <w:rsid w:val="000F5605"/>
    <w:rsid w:val="000F74A9"/>
    <w:rsid w:val="00102C47"/>
    <w:rsid w:val="001050FB"/>
    <w:rsid w:val="00132481"/>
    <w:rsid w:val="001345B1"/>
    <w:rsid w:val="00145A72"/>
    <w:rsid w:val="00145E03"/>
    <w:rsid w:val="00156BCD"/>
    <w:rsid w:val="0016570D"/>
    <w:rsid w:val="00165BC4"/>
    <w:rsid w:val="0016681D"/>
    <w:rsid w:val="001668E0"/>
    <w:rsid w:val="00173345"/>
    <w:rsid w:val="00177885"/>
    <w:rsid w:val="00181137"/>
    <w:rsid w:val="0019236A"/>
    <w:rsid w:val="0019687D"/>
    <w:rsid w:val="001A2C4B"/>
    <w:rsid w:val="001A6071"/>
    <w:rsid w:val="001B3418"/>
    <w:rsid w:val="001B36DE"/>
    <w:rsid w:val="001C0BBF"/>
    <w:rsid w:val="001C42ED"/>
    <w:rsid w:val="001C758D"/>
    <w:rsid w:val="001D2F1F"/>
    <w:rsid w:val="001D3817"/>
    <w:rsid w:val="001E0D12"/>
    <w:rsid w:val="001E2983"/>
    <w:rsid w:val="001E59EE"/>
    <w:rsid w:val="001E5EB2"/>
    <w:rsid w:val="001F58D2"/>
    <w:rsid w:val="001F6F0C"/>
    <w:rsid w:val="002105FA"/>
    <w:rsid w:val="002149D9"/>
    <w:rsid w:val="00216053"/>
    <w:rsid w:val="00221745"/>
    <w:rsid w:val="0022256D"/>
    <w:rsid w:val="00222CC4"/>
    <w:rsid w:val="002268C9"/>
    <w:rsid w:val="00232801"/>
    <w:rsid w:val="00235D4D"/>
    <w:rsid w:val="0024332D"/>
    <w:rsid w:val="002477E6"/>
    <w:rsid w:val="00261B0A"/>
    <w:rsid w:val="00265387"/>
    <w:rsid w:val="002815F4"/>
    <w:rsid w:val="00286D2A"/>
    <w:rsid w:val="0029086C"/>
    <w:rsid w:val="00295E00"/>
    <w:rsid w:val="00295EE4"/>
    <w:rsid w:val="00296F78"/>
    <w:rsid w:val="002A319D"/>
    <w:rsid w:val="002B3935"/>
    <w:rsid w:val="002C6D5C"/>
    <w:rsid w:val="002D1BB4"/>
    <w:rsid w:val="002D4BDF"/>
    <w:rsid w:val="002E143B"/>
    <w:rsid w:val="002E153E"/>
    <w:rsid w:val="002E217F"/>
    <w:rsid w:val="002E2681"/>
    <w:rsid w:val="002E70DA"/>
    <w:rsid w:val="002E765A"/>
    <w:rsid w:val="002E76DD"/>
    <w:rsid w:val="00310DE2"/>
    <w:rsid w:val="00312F8A"/>
    <w:rsid w:val="00343760"/>
    <w:rsid w:val="00347141"/>
    <w:rsid w:val="00350F0A"/>
    <w:rsid w:val="00357ECB"/>
    <w:rsid w:val="00362262"/>
    <w:rsid w:val="003651FD"/>
    <w:rsid w:val="0036768D"/>
    <w:rsid w:val="003720DE"/>
    <w:rsid w:val="00373A01"/>
    <w:rsid w:val="003753A6"/>
    <w:rsid w:val="00377F27"/>
    <w:rsid w:val="00387EE5"/>
    <w:rsid w:val="0039273F"/>
    <w:rsid w:val="003B3784"/>
    <w:rsid w:val="003B50C9"/>
    <w:rsid w:val="003C5374"/>
    <w:rsid w:val="003D12EC"/>
    <w:rsid w:val="003D416C"/>
    <w:rsid w:val="003E1E66"/>
    <w:rsid w:val="003E3636"/>
    <w:rsid w:val="003F6C0D"/>
    <w:rsid w:val="003F6FA8"/>
    <w:rsid w:val="00400407"/>
    <w:rsid w:val="00406E75"/>
    <w:rsid w:val="004072F6"/>
    <w:rsid w:val="00420D34"/>
    <w:rsid w:val="00425DA0"/>
    <w:rsid w:val="00426109"/>
    <w:rsid w:val="00431692"/>
    <w:rsid w:val="00453354"/>
    <w:rsid w:val="00453B04"/>
    <w:rsid w:val="00454904"/>
    <w:rsid w:val="00456374"/>
    <w:rsid w:val="004613E5"/>
    <w:rsid w:val="00473FBB"/>
    <w:rsid w:val="00474477"/>
    <w:rsid w:val="004749C3"/>
    <w:rsid w:val="00476D4A"/>
    <w:rsid w:val="004808F2"/>
    <w:rsid w:val="00480DF2"/>
    <w:rsid w:val="00481BEB"/>
    <w:rsid w:val="0048613C"/>
    <w:rsid w:val="00487F5B"/>
    <w:rsid w:val="00491FBD"/>
    <w:rsid w:val="0049426D"/>
    <w:rsid w:val="0049607F"/>
    <w:rsid w:val="004A2492"/>
    <w:rsid w:val="004A492A"/>
    <w:rsid w:val="004B15D5"/>
    <w:rsid w:val="004B301A"/>
    <w:rsid w:val="004D7C43"/>
    <w:rsid w:val="004F205C"/>
    <w:rsid w:val="005005F6"/>
    <w:rsid w:val="00506C0A"/>
    <w:rsid w:val="00506FB8"/>
    <w:rsid w:val="005116BA"/>
    <w:rsid w:val="0051308C"/>
    <w:rsid w:val="00520E3B"/>
    <w:rsid w:val="0053234D"/>
    <w:rsid w:val="00533263"/>
    <w:rsid w:val="00533B6A"/>
    <w:rsid w:val="005342F6"/>
    <w:rsid w:val="00534F90"/>
    <w:rsid w:val="00537E32"/>
    <w:rsid w:val="0054033F"/>
    <w:rsid w:val="005563C9"/>
    <w:rsid w:val="00561654"/>
    <w:rsid w:val="00564FF7"/>
    <w:rsid w:val="00566C6F"/>
    <w:rsid w:val="00577FFE"/>
    <w:rsid w:val="005A23A9"/>
    <w:rsid w:val="005A4160"/>
    <w:rsid w:val="005A4EF9"/>
    <w:rsid w:val="005A7FA0"/>
    <w:rsid w:val="005B0919"/>
    <w:rsid w:val="005B1793"/>
    <w:rsid w:val="005C29E1"/>
    <w:rsid w:val="005C6D97"/>
    <w:rsid w:val="005C73C8"/>
    <w:rsid w:val="005D7B8E"/>
    <w:rsid w:val="005E22D8"/>
    <w:rsid w:val="005E672E"/>
    <w:rsid w:val="00602C2A"/>
    <w:rsid w:val="00605BD2"/>
    <w:rsid w:val="00606A67"/>
    <w:rsid w:val="00613F13"/>
    <w:rsid w:val="00614948"/>
    <w:rsid w:val="00614C4F"/>
    <w:rsid w:val="00630AE8"/>
    <w:rsid w:val="006352FF"/>
    <w:rsid w:val="00642BEB"/>
    <w:rsid w:val="00644B9B"/>
    <w:rsid w:val="00645577"/>
    <w:rsid w:val="0065342C"/>
    <w:rsid w:val="006545C7"/>
    <w:rsid w:val="0065539B"/>
    <w:rsid w:val="00665791"/>
    <w:rsid w:val="006672DE"/>
    <w:rsid w:val="006679AF"/>
    <w:rsid w:val="00667B90"/>
    <w:rsid w:val="00681FB0"/>
    <w:rsid w:val="006830DF"/>
    <w:rsid w:val="00690FFF"/>
    <w:rsid w:val="006947F1"/>
    <w:rsid w:val="006957FC"/>
    <w:rsid w:val="006A4660"/>
    <w:rsid w:val="006B4F6C"/>
    <w:rsid w:val="006C0F17"/>
    <w:rsid w:val="006C6F9C"/>
    <w:rsid w:val="006E1E2F"/>
    <w:rsid w:val="006E2D67"/>
    <w:rsid w:val="006E460A"/>
    <w:rsid w:val="006E53D6"/>
    <w:rsid w:val="006F0FF8"/>
    <w:rsid w:val="00702945"/>
    <w:rsid w:val="00715125"/>
    <w:rsid w:val="00723C4E"/>
    <w:rsid w:val="0072733A"/>
    <w:rsid w:val="00730E73"/>
    <w:rsid w:val="007344C9"/>
    <w:rsid w:val="0074308F"/>
    <w:rsid w:val="007454EB"/>
    <w:rsid w:val="007532E2"/>
    <w:rsid w:val="0075381A"/>
    <w:rsid w:val="007540FD"/>
    <w:rsid w:val="00757676"/>
    <w:rsid w:val="00757B24"/>
    <w:rsid w:val="007672D0"/>
    <w:rsid w:val="00794627"/>
    <w:rsid w:val="007A6B65"/>
    <w:rsid w:val="007B06D2"/>
    <w:rsid w:val="007B0E2A"/>
    <w:rsid w:val="007B2860"/>
    <w:rsid w:val="007B399B"/>
    <w:rsid w:val="007B3C20"/>
    <w:rsid w:val="007B6067"/>
    <w:rsid w:val="007B76F9"/>
    <w:rsid w:val="007C04F0"/>
    <w:rsid w:val="007C10A4"/>
    <w:rsid w:val="007C6747"/>
    <w:rsid w:val="007E47B7"/>
    <w:rsid w:val="007F0C39"/>
    <w:rsid w:val="007F19E5"/>
    <w:rsid w:val="007F5AE0"/>
    <w:rsid w:val="0080322F"/>
    <w:rsid w:val="008074E9"/>
    <w:rsid w:val="008128CD"/>
    <w:rsid w:val="00814FD0"/>
    <w:rsid w:val="00826B59"/>
    <w:rsid w:val="008313C1"/>
    <w:rsid w:val="00831FCE"/>
    <w:rsid w:val="008329B9"/>
    <w:rsid w:val="00832B93"/>
    <w:rsid w:val="00833AEB"/>
    <w:rsid w:val="008401B8"/>
    <w:rsid w:val="0084314D"/>
    <w:rsid w:val="008477F0"/>
    <w:rsid w:val="008555E4"/>
    <w:rsid w:val="008645BA"/>
    <w:rsid w:val="008709E8"/>
    <w:rsid w:val="00882027"/>
    <w:rsid w:val="00884440"/>
    <w:rsid w:val="0088768E"/>
    <w:rsid w:val="00891587"/>
    <w:rsid w:val="008966FB"/>
    <w:rsid w:val="008A1E55"/>
    <w:rsid w:val="008A5BA1"/>
    <w:rsid w:val="008B13EE"/>
    <w:rsid w:val="008B2804"/>
    <w:rsid w:val="008B6FA0"/>
    <w:rsid w:val="008D0BD1"/>
    <w:rsid w:val="008D347B"/>
    <w:rsid w:val="008E01BD"/>
    <w:rsid w:val="008E49AD"/>
    <w:rsid w:val="008F2D60"/>
    <w:rsid w:val="008F2D70"/>
    <w:rsid w:val="009057D9"/>
    <w:rsid w:val="009104F6"/>
    <w:rsid w:val="009129A8"/>
    <w:rsid w:val="00913F26"/>
    <w:rsid w:val="00914C57"/>
    <w:rsid w:val="00930364"/>
    <w:rsid w:val="00931EC4"/>
    <w:rsid w:val="0093263B"/>
    <w:rsid w:val="009340A8"/>
    <w:rsid w:val="00940F7A"/>
    <w:rsid w:val="00943658"/>
    <w:rsid w:val="00946E9A"/>
    <w:rsid w:val="00951489"/>
    <w:rsid w:val="009546FD"/>
    <w:rsid w:val="009658E5"/>
    <w:rsid w:val="00965B5F"/>
    <w:rsid w:val="00966714"/>
    <w:rsid w:val="009673F2"/>
    <w:rsid w:val="009730F8"/>
    <w:rsid w:val="00973EDE"/>
    <w:rsid w:val="009843BF"/>
    <w:rsid w:val="00984D4E"/>
    <w:rsid w:val="00990265"/>
    <w:rsid w:val="009923CE"/>
    <w:rsid w:val="0099454F"/>
    <w:rsid w:val="009A3D7B"/>
    <w:rsid w:val="009B3E92"/>
    <w:rsid w:val="009C44BB"/>
    <w:rsid w:val="009C5B5A"/>
    <w:rsid w:val="009C5EB6"/>
    <w:rsid w:val="009D2246"/>
    <w:rsid w:val="009E6C64"/>
    <w:rsid w:val="009E72D1"/>
    <w:rsid w:val="009E76E0"/>
    <w:rsid w:val="00A1158E"/>
    <w:rsid w:val="00A14C79"/>
    <w:rsid w:val="00A22695"/>
    <w:rsid w:val="00A24CE7"/>
    <w:rsid w:val="00A25968"/>
    <w:rsid w:val="00A27ECC"/>
    <w:rsid w:val="00A342F9"/>
    <w:rsid w:val="00A43035"/>
    <w:rsid w:val="00A5499D"/>
    <w:rsid w:val="00A63E9B"/>
    <w:rsid w:val="00A74C22"/>
    <w:rsid w:val="00A81D55"/>
    <w:rsid w:val="00AA01EF"/>
    <w:rsid w:val="00AA6A82"/>
    <w:rsid w:val="00AA7711"/>
    <w:rsid w:val="00AA7A4C"/>
    <w:rsid w:val="00AB3D99"/>
    <w:rsid w:val="00AB51CA"/>
    <w:rsid w:val="00AC4E4E"/>
    <w:rsid w:val="00AC5877"/>
    <w:rsid w:val="00AC5F6E"/>
    <w:rsid w:val="00AC7F68"/>
    <w:rsid w:val="00AD4AC5"/>
    <w:rsid w:val="00AE0D3A"/>
    <w:rsid w:val="00AE1F37"/>
    <w:rsid w:val="00AE5717"/>
    <w:rsid w:val="00AE6839"/>
    <w:rsid w:val="00AF20FB"/>
    <w:rsid w:val="00AF3422"/>
    <w:rsid w:val="00AF5BE1"/>
    <w:rsid w:val="00AF7FD4"/>
    <w:rsid w:val="00B036F1"/>
    <w:rsid w:val="00B06DC4"/>
    <w:rsid w:val="00B11F1D"/>
    <w:rsid w:val="00B17D8B"/>
    <w:rsid w:val="00B24E8B"/>
    <w:rsid w:val="00B36A9E"/>
    <w:rsid w:val="00B40466"/>
    <w:rsid w:val="00B41143"/>
    <w:rsid w:val="00B4412B"/>
    <w:rsid w:val="00B44D0D"/>
    <w:rsid w:val="00B47399"/>
    <w:rsid w:val="00B565B0"/>
    <w:rsid w:val="00B63F17"/>
    <w:rsid w:val="00B640D7"/>
    <w:rsid w:val="00B64433"/>
    <w:rsid w:val="00B70363"/>
    <w:rsid w:val="00B70D87"/>
    <w:rsid w:val="00B74FA6"/>
    <w:rsid w:val="00B7541C"/>
    <w:rsid w:val="00B75A64"/>
    <w:rsid w:val="00B75F8C"/>
    <w:rsid w:val="00B80FB4"/>
    <w:rsid w:val="00B8315B"/>
    <w:rsid w:val="00B83BB4"/>
    <w:rsid w:val="00B85AE7"/>
    <w:rsid w:val="00B97006"/>
    <w:rsid w:val="00B97CDB"/>
    <w:rsid w:val="00BA27A7"/>
    <w:rsid w:val="00BA4513"/>
    <w:rsid w:val="00BA5742"/>
    <w:rsid w:val="00BB6269"/>
    <w:rsid w:val="00BB66FB"/>
    <w:rsid w:val="00BC0CA4"/>
    <w:rsid w:val="00BC76B8"/>
    <w:rsid w:val="00BD375E"/>
    <w:rsid w:val="00BD5988"/>
    <w:rsid w:val="00BD67D2"/>
    <w:rsid w:val="00BD6AF2"/>
    <w:rsid w:val="00BE34E8"/>
    <w:rsid w:val="00BE5D6B"/>
    <w:rsid w:val="00BF3A39"/>
    <w:rsid w:val="00BF5409"/>
    <w:rsid w:val="00C223AB"/>
    <w:rsid w:val="00C31A41"/>
    <w:rsid w:val="00C34D01"/>
    <w:rsid w:val="00C40748"/>
    <w:rsid w:val="00C51D72"/>
    <w:rsid w:val="00C61B05"/>
    <w:rsid w:val="00C63836"/>
    <w:rsid w:val="00C703DC"/>
    <w:rsid w:val="00C72BB2"/>
    <w:rsid w:val="00C7732C"/>
    <w:rsid w:val="00C80279"/>
    <w:rsid w:val="00C83870"/>
    <w:rsid w:val="00C87903"/>
    <w:rsid w:val="00C91A27"/>
    <w:rsid w:val="00C93E59"/>
    <w:rsid w:val="00CA2210"/>
    <w:rsid w:val="00CA2F07"/>
    <w:rsid w:val="00CA7483"/>
    <w:rsid w:val="00CA7AAA"/>
    <w:rsid w:val="00CB0BC0"/>
    <w:rsid w:val="00CB3605"/>
    <w:rsid w:val="00CB415B"/>
    <w:rsid w:val="00CB4C18"/>
    <w:rsid w:val="00CC0C49"/>
    <w:rsid w:val="00CC1752"/>
    <w:rsid w:val="00CC7313"/>
    <w:rsid w:val="00CD12E9"/>
    <w:rsid w:val="00CD195D"/>
    <w:rsid w:val="00CD5905"/>
    <w:rsid w:val="00CD63DC"/>
    <w:rsid w:val="00CD7AD3"/>
    <w:rsid w:val="00CE3868"/>
    <w:rsid w:val="00CF6AE7"/>
    <w:rsid w:val="00D05629"/>
    <w:rsid w:val="00D11816"/>
    <w:rsid w:val="00D238B8"/>
    <w:rsid w:val="00D2472B"/>
    <w:rsid w:val="00D305AE"/>
    <w:rsid w:val="00D42248"/>
    <w:rsid w:val="00D67E1E"/>
    <w:rsid w:val="00D70683"/>
    <w:rsid w:val="00D74862"/>
    <w:rsid w:val="00D83F11"/>
    <w:rsid w:val="00D854FC"/>
    <w:rsid w:val="00D94FFE"/>
    <w:rsid w:val="00DB497D"/>
    <w:rsid w:val="00DB4D4D"/>
    <w:rsid w:val="00DB7BDA"/>
    <w:rsid w:val="00DC722D"/>
    <w:rsid w:val="00DD63CC"/>
    <w:rsid w:val="00DE1D98"/>
    <w:rsid w:val="00DE5D41"/>
    <w:rsid w:val="00E01087"/>
    <w:rsid w:val="00E13183"/>
    <w:rsid w:val="00E24698"/>
    <w:rsid w:val="00E3076A"/>
    <w:rsid w:val="00E46163"/>
    <w:rsid w:val="00E5342E"/>
    <w:rsid w:val="00E57423"/>
    <w:rsid w:val="00E62031"/>
    <w:rsid w:val="00E6304B"/>
    <w:rsid w:val="00E67F8F"/>
    <w:rsid w:val="00E84603"/>
    <w:rsid w:val="00E904AE"/>
    <w:rsid w:val="00E9072D"/>
    <w:rsid w:val="00E91B7D"/>
    <w:rsid w:val="00E95FBA"/>
    <w:rsid w:val="00EA4BDC"/>
    <w:rsid w:val="00EA6D1D"/>
    <w:rsid w:val="00EB7B48"/>
    <w:rsid w:val="00ED584C"/>
    <w:rsid w:val="00EE03C0"/>
    <w:rsid w:val="00EF0502"/>
    <w:rsid w:val="00EF2884"/>
    <w:rsid w:val="00EF3FAD"/>
    <w:rsid w:val="00EF54D9"/>
    <w:rsid w:val="00F06FDF"/>
    <w:rsid w:val="00F12273"/>
    <w:rsid w:val="00F23D74"/>
    <w:rsid w:val="00F25718"/>
    <w:rsid w:val="00F42D4B"/>
    <w:rsid w:val="00F56765"/>
    <w:rsid w:val="00F57796"/>
    <w:rsid w:val="00F67F40"/>
    <w:rsid w:val="00F717E4"/>
    <w:rsid w:val="00F7280F"/>
    <w:rsid w:val="00F91DBB"/>
    <w:rsid w:val="00F942B8"/>
    <w:rsid w:val="00FA55AA"/>
    <w:rsid w:val="00FA623D"/>
    <w:rsid w:val="00FB2473"/>
    <w:rsid w:val="00FB5817"/>
    <w:rsid w:val="00FB5FFD"/>
    <w:rsid w:val="00FC15FE"/>
    <w:rsid w:val="00FD001D"/>
    <w:rsid w:val="00FD07CD"/>
    <w:rsid w:val="00FD6BF6"/>
    <w:rsid w:val="00FF6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3811B98"/>
  <w15:docId w15:val="{664F573D-6485-4EDE-AB3B-686782F47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904"/>
  </w:style>
  <w:style w:type="paragraph" w:styleId="Heading1">
    <w:name w:val="heading 1"/>
    <w:basedOn w:val="Normal"/>
    <w:next w:val="Normal"/>
    <w:link w:val="Heading1Char"/>
    <w:uiPriority w:val="9"/>
    <w:qFormat/>
    <w:rsid w:val="004549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49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4904"/>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454904"/>
    <w:pPr>
      <w:keepNext/>
      <w:keepLines/>
      <w:spacing w:before="200" w:after="0" w:line="360" w:lineRule="auto"/>
      <w:jc w:val="both"/>
      <w:outlineLvl w:val="3"/>
    </w:pPr>
    <w:rPr>
      <w:rFonts w:asciiTheme="majorHAnsi" w:eastAsiaTheme="majorEastAsia" w:hAnsiTheme="majorHAnsi" w:cstheme="majorBidi"/>
      <w:b/>
      <w:bCs/>
      <w:i/>
      <w:iCs/>
      <w:color w:val="4F81BD" w:themeColor="accent1"/>
      <w:sz w:val="24"/>
      <w:szCs w:val="24"/>
      <w:lang w:eastAsia="zh-CN"/>
    </w:rPr>
  </w:style>
  <w:style w:type="paragraph" w:styleId="Heading5">
    <w:name w:val="heading 5"/>
    <w:basedOn w:val="Normal"/>
    <w:next w:val="Normal"/>
    <w:link w:val="Heading5Char"/>
    <w:uiPriority w:val="9"/>
    <w:unhideWhenUsed/>
    <w:qFormat/>
    <w:rsid w:val="008B2804"/>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9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49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490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454904"/>
    <w:rPr>
      <w:rFonts w:asciiTheme="majorHAnsi" w:eastAsiaTheme="majorEastAsia" w:hAnsiTheme="majorHAnsi" w:cstheme="majorBidi"/>
      <w:b/>
      <w:bCs/>
      <w:i/>
      <w:iCs/>
      <w:color w:val="4F81BD" w:themeColor="accent1"/>
      <w:sz w:val="24"/>
      <w:szCs w:val="24"/>
      <w:lang w:eastAsia="zh-CN"/>
    </w:rPr>
  </w:style>
  <w:style w:type="paragraph" w:styleId="ListParagraph">
    <w:name w:val="List Paragraph"/>
    <w:basedOn w:val="Normal"/>
    <w:uiPriority w:val="34"/>
    <w:qFormat/>
    <w:rsid w:val="00454904"/>
    <w:pPr>
      <w:ind w:left="720"/>
      <w:contextualSpacing/>
    </w:pPr>
  </w:style>
  <w:style w:type="paragraph" w:styleId="NoSpacing">
    <w:name w:val="No Spacing"/>
    <w:link w:val="NoSpacingChar"/>
    <w:uiPriority w:val="1"/>
    <w:qFormat/>
    <w:rsid w:val="00454904"/>
    <w:pPr>
      <w:spacing w:after="0" w:line="240" w:lineRule="auto"/>
    </w:pPr>
  </w:style>
  <w:style w:type="character" w:customStyle="1" w:styleId="HeaderChar">
    <w:name w:val="Header Char"/>
    <w:basedOn w:val="DefaultParagraphFont"/>
    <w:link w:val="Header"/>
    <w:uiPriority w:val="99"/>
    <w:rsid w:val="00454904"/>
  </w:style>
  <w:style w:type="paragraph" w:styleId="Header">
    <w:name w:val="header"/>
    <w:basedOn w:val="Normal"/>
    <w:link w:val="HeaderChar"/>
    <w:uiPriority w:val="99"/>
    <w:unhideWhenUsed/>
    <w:rsid w:val="00454904"/>
    <w:pPr>
      <w:tabs>
        <w:tab w:val="center" w:pos="4513"/>
        <w:tab w:val="right" w:pos="9026"/>
      </w:tabs>
      <w:spacing w:after="0" w:line="240" w:lineRule="auto"/>
    </w:pPr>
  </w:style>
  <w:style w:type="character" w:customStyle="1" w:styleId="HeaderChar1">
    <w:name w:val="Header Char1"/>
    <w:basedOn w:val="DefaultParagraphFont"/>
    <w:uiPriority w:val="99"/>
    <w:semiHidden/>
    <w:rsid w:val="00454904"/>
  </w:style>
  <w:style w:type="paragraph" w:styleId="BalloonText">
    <w:name w:val="Balloon Text"/>
    <w:basedOn w:val="Normal"/>
    <w:link w:val="BalloonTextChar"/>
    <w:uiPriority w:val="99"/>
    <w:semiHidden/>
    <w:unhideWhenUsed/>
    <w:rsid w:val="00454904"/>
    <w:pPr>
      <w:spacing w:after="0" w:line="240" w:lineRule="auto"/>
      <w:jc w:val="both"/>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454904"/>
    <w:rPr>
      <w:rFonts w:ascii="Tahoma" w:eastAsia="SimSun" w:hAnsi="Tahoma" w:cs="Tahoma"/>
      <w:sz w:val="16"/>
      <w:szCs w:val="16"/>
      <w:lang w:eastAsia="zh-CN"/>
    </w:rPr>
  </w:style>
  <w:style w:type="numbering" w:customStyle="1" w:styleId="NoList1">
    <w:name w:val="No List1"/>
    <w:next w:val="NoList"/>
    <w:uiPriority w:val="99"/>
    <w:semiHidden/>
    <w:unhideWhenUsed/>
    <w:rsid w:val="00454904"/>
  </w:style>
  <w:style w:type="character" w:styleId="Hyperlink">
    <w:name w:val="Hyperlink"/>
    <w:basedOn w:val="DefaultParagraphFont"/>
    <w:uiPriority w:val="99"/>
    <w:rsid w:val="00454904"/>
    <w:rPr>
      <w:color w:val="0000FF"/>
      <w:u w:val="single"/>
    </w:rPr>
  </w:style>
  <w:style w:type="character" w:customStyle="1" w:styleId="texhtml">
    <w:name w:val="texhtml"/>
    <w:basedOn w:val="DefaultParagraphFont"/>
    <w:rsid w:val="00454904"/>
  </w:style>
  <w:style w:type="paragraph" w:styleId="FootnoteText">
    <w:name w:val="footnote text"/>
    <w:basedOn w:val="Normal"/>
    <w:link w:val="FootnoteTextChar"/>
    <w:uiPriority w:val="99"/>
    <w:rsid w:val="00454904"/>
    <w:pPr>
      <w:spacing w:after="0" w:line="360" w:lineRule="auto"/>
      <w:jc w:val="both"/>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rsid w:val="00454904"/>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454904"/>
    <w:rPr>
      <w:vertAlign w:val="superscript"/>
    </w:rPr>
  </w:style>
  <w:style w:type="paragraph" w:styleId="Footer">
    <w:name w:val="footer"/>
    <w:basedOn w:val="Normal"/>
    <w:link w:val="FooterChar"/>
    <w:uiPriority w:val="99"/>
    <w:unhideWhenUsed/>
    <w:rsid w:val="00454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04"/>
  </w:style>
  <w:style w:type="character" w:styleId="SubtleEmphasis">
    <w:name w:val="Subtle Emphasis"/>
    <w:basedOn w:val="DefaultParagraphFont"/>
    <w:uiPriority w:val="19"/>
    <w:qFormat/>
    <w:rsid w:val="00454904"/>
    <w:rPr>
      <w:i/>
      <w:iCs/>
      <w:color w:val="808080" w:themeColor="text1" w:themeTint="7F"/>
    </w:rPr>
  </w:style>
  <w:style w:type="character" w:styleId="PlaceholderText">
    <w:name w:val="Placeholder Text"/>
    <w:basedOn w:val="DefaultParagraphFont"/>
    <w:uiPriority w:val="99"/>
    <w:semiHidden/>
    <w:rsid w:val="00454904"/>
    <w:rPr>
      <w:color w:val="808080"/>
    </w:rPr>
  </w:style>
  <w:style w:type="table" w:styleId="TableGrid">
    <w:name w:val="Table Grid"/>
    <w:basedOn w:val="TableNormal"/>
    <w:uiPriority w:val="59"/>
    <w:rsid w:val="00454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904"/>
    <w:pPr>
      <w:outlineLvl w:val="9"/>
    </w:pPr>
    <w:rPr>
      <w:lang w:val="en-US" w:eastAsia="ja-JP"/>
    </w:rPr>
  </w:style>
  <w:style w:type="paragraph" w:styleId="TOC1">
    <w:name w:val="toc 1"/>
    <w:basedOn w:val="Normal"/>
    <w:next w:val="Normal"/>
    <w:autoRedefine/>
    <w:uiPriority w:val="39"/>
    <w:unhideWhenUsed/>
    <w:rsid w:val="00454904"/>
    <w:pPr>
      <w:spacing w:after="100" w:line="360" w:lineRule="auto"/>
      <w:jc w:val="both"/>
    </w:pPr>
    <w:rPr>
      <w:rFonts w:ascii="Times New Roman" w:eastAsia="SimSun" w:hAnsi="Times New Roman" w:cs="Times New Roman"/>
      <w:sz w:val="24"/>
      <w:szCs w:val="24"/>
      <w:lang w:eastAsia="zh-CN"/>
    </w:rPr>
  </w:style>
  <w:style w:type="paragraph" w:styleId="TOC2">
    <w:name w:val="toc 2"/>
    <w:basedOn w:val="Normal"/>
    <w:next w:val="Normal"/>
    <w:autoRedefine/>
    <w:uiPriority w:val="39"/>
    <w:unhideWhenUsed/>
    <w:rsid w:val="00454904"/>
    <w:pPr>
      <w:spacing w:after="100" w:line="360" w:lineRule="auto"/>
      <w:ind w:left="240"/>
      <w:jc w:val="both"/>
    </w:pPr>
    <w:rPr>
      <w:rFonts w:ascii="Times New Roman" w:eastAsia="SimSun" w:hAnsi="Times New Roman" w:cs="Times New Roman"/>
      <w:sz w:val="24"/>
      <w:szCs w:val="24"/>
      <w:lang w:eastAsia="zh-CN"/>
    </w:rPr>
  </w:style>
  <w:style w:type="paragraph" w:styleId="TOC3">
    <w:name w:val="toc 3"/>
    <w:basedOn w:val="Normal"/>
    <w:next w:val="Normal"/>
    <w:autoRedefine/>
    <w:uiPriority w:val="39"/>
    <w:unhideWhenUsed/>
    <w:rsid w:val="00454904"/>
    <w:pPr>
      <w:spacing w:after="100" w:line="360" w:lineRule="auto"/>
      <w:ind w:left="480"/>
      <w:jc w:val="both"/>
    </w:pPr>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4549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454904"/>
    <w:pPr>
      <w:pBdr>
        <w:top w:val="none" w:sz="0" w:space="0" w:color="000000"/>
        <w:left w:val="none" w:sz="0" w:space="0" w:color="000000"/>
        <w:bottom w:val="none" w:sz="0" w:space="0" w:color="000000"/>
        <w:right w:val="none" w:sz="0" w:space="0" w:color="000000"/>
      </w:pBdr>
      <w:spacing w:before="240" w:after="60" w:line="240" w:lineRule="auto"/>
      <w:jc w:val="center"/>
      <w:outlineLvl w:val="0"/>
    </w:pPr>
    <w:rPr>
      <w:rFonts w:ascii="Cambria" w:eastAsia="Times New Roman" w:hAnsi="Cambria" w:cs="Times New Roman"/>
      <w:b/>
      <w:bCs/>
      <w:noProof/>
      <w:kern w:val="28"/>
      <w:sz w:val="32"/>
      <w:szCs w:val="32"/>
      <w:lang w:val="x-none" w:eastAsia="x-none"/>
    </w:rPr>
  </w:style>
  <w:style w:type="character" w:customStyle="1" w:styleId="TitleChar">
    <w:name w:val="Title Char"/>
    <w:basedOn w:val="DefaultParagraphFont"/>
    <w:link w:val="Title"/>
    <w:uiPriority w:val="10"/>
    <w:rsid w:val="00454904"/>
    <w:rPr>
      <w:rFonts w:ascii="Cambria" w:eastAsia="Times New Roman" w:hAnsi="Cambria" w:cs="Times New Roman"/>
      <w:b/>
      <w:bCs/>
      <w:noProof/>
      <w:kern w:val="28"/>
      <w:sz w:val="32"/>
      <w:szCs w:val="32"/>
      <w:lang w:val="x-none" w:eastAsia="x-none"/>
    </w:rPr>
  </w:style>
  <w:style w:type="paragraph" w:customStyle="1" w:styleId="a">
    <w:name w:val="列出段落"/>
    <w:basedOn w:val="Normal"/>
    <w:uiPriority w:val="99"/>
    <w:qFormat/>
    <w:rsid w:val="00454904"/>
    <w:pPr>
      <w:ind w:left="720"/>
      <w:contextualSpacing/>
    </w:pPr>
    <w:rPr>
      <w:rFonts w:ascii="Arial" w:eastAsia="PMingLiU" w:hAnsi="Arial" w:cs="Times New Roman"/>
      <w:sz w:val="24"/>
    </w:rPr>
  </w:style>
  <w:style w:type="character" w:customStyle="1" w:styleId="apple-converted-space">
    <w:name w:val="apple-converted-space"/>
    <w:basedOn w:val="DefaultParagraphFont"/>
    <w:rsid w:val="00454904"/>
  </w:style>
  <w:style w:type="character" w:styleId="Emphasis">
    <w:name w:val="Emphasis"/>
    <w:basedOn w:val="DefaultParagraphFont"/>
    <w:uiPriority w:val="20"/>
    <w:qFormat/>
    <w:rsid w:val="00454904"/>
    <w:rPr>
      <w:i/>
      <w:iCs/>
    </w:rPr>
  </w:style>
  <w:style w:type="paragraph" w:customStyle="1" w:styleId="Title1">
    <w:name w:val="Title1"/>
    <w:basedOn w:val="Normal"/>
    <w:rsid w:val="004549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te">
    <w:name w:val="note"/>
    <w:basedOn w:val="Normal"/>
    <w:rsid w:val="004549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506C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6C0A"/>
    <w:rPr>
      <w:sz w:val="20"/>
      <w:szCs w:val="20"/>
    </w:rPr>
  </w:style>
  <w:style w:type="character" w:styleId="EndnoteReference">
    <w:name w:val="endnote reference"/>
    <w:basedOn w:val="DefaultParagraphFont"/>
    <w:uiPriority w:val="99"/>
    <w:semiHidden/>
    <w:unhideWhenUsed/>
    <w:rsid w:val="00506C0A"/>
    <w:rPr>
      <w:vertAlign w:val="superscript"/>
    </w:rPr>
  </w:style>
  <w:style w:type="paragraph" w:styleId="BodyText">
    <w:name w:val="Body Text"/>
    <w:basedOn w:val="Normal"/>
    <w:link w:val="BodyTextChar"/>
    <w:uiPriority w:val="1"/>
    <w:qFormat/>
    <w:rsid w:val="00940F7A"/>
    <w:pPr>
      <w:widowControl w:val="0"/>
      <w:spacing w:after="0" w:line="240" w:lineRule="auto"/>
      <w:ind w:left="114" w:firstLine="239"/>
    </w:pPr>
    <w:rPr>
      <w:rFonts w:ascii="Bookman Old Style" w:eastAsia="Bookman Old Style" w:hAnsi="Bookman Old Style" w:cs="Times New Roman"/>
      <w:sz w:val="16"/>
      <w:szCs w:val="16"/>
      <w:lang w:val="en-US"/>
    </w:rPr>
  </w:style>
  <w:style w:type="character" w:customStyle="1" w:styleId="BodyTextChar">
    <w:name w:val="Body Text Char"/>
    <w:basedOn w:val="DefaultParagraphFont"/>
    <w:link w:val="BodyText"/>
    <w:uiPriority w:val="1"/>
    <w:rsid w:val="00940F7A"/>
    <w:rPr>
      <w:rFonts w:ascii="Bookman Old Style" w:eastAsia="Bookman Old Style" w:hAnsi="Bookman Old Style" w:cs="Times New Roman"/>
      <w:sz w:val="16"/>
      <w:szCs w:val="16"/>
      <w:lang w:val="en-US"/>
    </w:rPr>
  </w:style>
  <w:style w:type="character" w:customStyle="1" w:styleId="Heading5Char">
    <w:name w:val="Heading 5 Char"/>
    <w:basedOn w:val="DefaultParagraphFont"/>
    <w:link w:val="Heading5"/>
    <w:uiPriority w:val="9"/>
    <w:rsid w:val="008B2804"/>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8B2804"/>
    <w:rPr>
      <w:sz w:val="16"/>
      <w:szCs w:val="16"/>
    </w:rPr>
  </w:style>
  <w:style w:type="paragraph" w:styleId="CommentText">
    <w:name w:val="annotation text"/>
    <w:basedOn w:val="Normal"/>
    <w:link w:val="CommentTextChar"/>
    <w:uiPriority w:val="99"/>
    <w:semiHidden/>
    <w:unhideWhenUsed/>
    <w:rsid w:val="008B2804"/>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B2804"/>
    <w:rPr>
      <w:sz w:val="20"/>
      <w:szCs w:val="20"/>
    </w:rPr>
  </w:style>
  <w:style w:type="paragraph" w:styleId="CommentSubject">
    <w:name w:val="annotation subject"/>
    <w:basedOn w:val="CommentText"/>
    <w:next w:val="CommentText"/>
    <w:link w:val="CommentSubjectChar"/>
    <w:uiPriority w:val="99"/>
    <w:semiHidden/>
    <w:unhideWhenUsed/>
    <w:rsid w:val="008B2804"/>
    <w:rPr>
      <w:b/>
      <w:bCs/>
    </w:rPr>
  </w:style>
  <w:style w:type="character" w:customStyle="1" w:styleId="CommentSubjectChar">
    <w:name w:val="Comment Subject Char"/>
    <w:basedOn w:val="CommentTextChar"/>
    <w:link w:val="CommentSubject"/>
    <w:uiPriority w:val="99"/>
    <w:semiHidden/>
    <w:rsid w:val="008B2804"/>
    <w:rPr>
      <w:b/>
      <w:bCs/>
      <w:sz w:val="20"/>
      <w:szCs w:val="20"/>
    </w:rPr>
  </w:style>
  <w:style w:type="paragraph" w:styleId="Caption">
    <w:name w:val="caption"/>
    <w:basedOn w:val="Normal"/>
    <w:next w:val="Normal"/>
    <w:uiPriority w:val="35"/>
    <w:unhideWhenUsed/>
    <w:qFormat/>
    <w:rsid w:val="007B399B"/>
    <w:pPr>
      <w:spacing w:line="240" w:lineRule="auto"/>
    </w:pPr>
    <w:rPr>
      <w:rFonts w:ascii="Calibri" w:eastAsia="Calibri" w:hAnsi="Calibri" w:cs="Arial"/>
      <w:b/>
      <w:bCs/>
      <w:color w:val="4F81BD" w:themeColor="accent1"/>
      <w:sz w:val="18"/>
      <w:szCs w:val="18"/>
      <w:lang w:eastAsia="en-GB"/>
    </w:rPr>
  </w:style>
  <w:style w:type="character" w:customStyle="1" w:styleId="NoSpacingChar">
    <w:name w:val="No Spacing Char"/>
    <w:basedOn w:val="DefaultParagraphFont"/>
    <w:link w:val="NoSpacing"/>
    <w:uiPriority w:val="1"/>
    <w:rsid w:val="007B399B"/>
  </w:style>
  <w:style w:type="paragraph" w:styleId="PlainText">
    <w:name w:val="Plain Text"/>
    <w:basedOn w:val="Normal"/>
    <w:link w:val="PlainTextChar"/>
    <w:uiPriority w:val="99"/>
    <w:unhideWhenUsed/>
    <w:rsid w:val="007B399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B399B"/>
    <w:rPr>
      <w:rFonts w:ascii="Consolas" w:hAnsi="Consolas"/>
      <w:sz w:val="21"/>
      <w:szCs w:val="21"/>
    </w:rPr>
  </w:style>
  <w:style w:type="character" w:customStyle="1" w:styleId="PlaceholderText1">
    <w:name w:val="Placeholder Text1"/>
    <w:uiPriority w:val="99"/>
    <w:semiHidden/>
    <w:rsid w:val="007B399B"/>
    <w:rPr>
      <w:color w:val="808080"/>
    </w:rPr>
  </w:style>
  <w:style w:type="paragraph" w:customStyle="1" w:styleId="MediumGrid1-Accent21">
    <w:name w:val="Medium Grid 1 - Accent 21"/>
    <w:basedOn w:val="Normal"/>
    <w:uiPriority w:val="34"/>
    <w:qFormat/>
    <w:rsid w:val="007B399B"/>
    <w:pPr>
      <w:ind w:left="720"/>
      <w:contextualSpacing/>
    </w:pPr>
    <w:rPr>
      <w:rFonts w:ascii="Arial" w:eastAsia="Calibri" w:hAnsi="Arial" w:cs="Times New Roman"/>
      <w:sz w:val="24"/>
    </w:rPr>
  </w:style>
  <w:style w:type="character" w:customStyle="1" w:styleId="st">
    <w:name w:val="st"/>
    <w:basedOn w:val="DefaultParagraphFont"/>
    <w:rsid w:val="007B399B"/>
  </w:style>
  <w:style w:type="paragraph" w:styleId="HTMLPreformatted">
    <w:name w:val="HTML Preformatted"/>
    <w:basedOn w:val="Normal"/>
    <w:link w:val="HTMLPreformattedChar"/>
    <w:uiPriority w:val="99"/>
    <w:unhideWhenUsed/>
    <w:rsid w:val="007B3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libri" w:hAnsi="Courier" w:cs="Times New Roman"/>
      <w:sz w:val="20"/>
      <w:szCs w:val="20"/>
      <w:lang w:val="en-US"/>
    </w:rPr>
  </w:style>
  <w:style w:type="character" w:customStyle="1" w:styleId="HTMLPreformattedChar">
    <w:name w:val="HTML Preformatted Char"/>
    <w:basedOn w:val="DefaultParagraphFont"/>
    <w:link w:val="HTMLPreformatted"/>
    <w:uiPriority w:val="99"/>
    <w:rsid w:val="007B399B"/>
    <w:rPr>
      <w:rFonts w:ascii="Courier" w:eastAsia="Calibri" w:hAnsi="Courier" w:cs="Times New Roman"/>
      <w:sz w:val="20"/>
      <w:szCs w:val="20"/>
      <w:lang w:val="en-US"/>
    </w:rPr>
  </w:style>
  <w:style w:type="character" w:customStyle="1" w:styleId="arxivid">
    <w:name w:val="arxivid"/>
    <w:rsid w:val="007B399B"/>
  </w:style>
  <w:style w:type="paragraph" w:customStyle="1" w:styleId="Default">
    <w:name w:val="Default"/>
    <w:rsid w:val="007B399B"/>
    <w:pPr>
      <w:widowControl w:val="0"/>
      <w:autoSpaceDE w:val="0"/>
      <w:autoSpaceDN w:val="0"/>
      <w:adjustRightInd w:val="0"/>
      <w:spacing w:after="0" w:line="240" w:lineRule="auto"/>
    </w:pPr>
    <w:rPr>
      <w:rFonts w:ascii="Sabon-Roman" w:eastAsia="Calibri" w:hAnsi="Sabon-Roman" w:cs="Sabon-Roman"/>
      <w:color w:val="000000"/>
      <w:sz w:val="24"/>
      <w:szCs w:val="24"/>
      <w:lang w:val="en-US"/>
    </w:rPr>
  </w:style>
  <w:style w:type="character" w:styleId="HTMLCite">
    <w:name w:val="HTML Cite"/>
    <w:basedOn w:val="DefaultParagraphFont"/>
    <w:uiPriority w:val="99"/>
    <w:semiHidden/>
    <w:unhideWhenUsed/>
    <w:rsid w:val="007B399B"/>
    <w:rPr>
      <w:i/>
      <w:iCs/>
    </w:rPr>
  </w:style>
  <w:style w:type="paragraph" w:styleId="TableofFigures">
    <w:name w:val="table of figures"/>
    <w:basedOn w:val="Normal"/>
    <w:next w:val="Normal"/>
    <w:uiPriority w:val="99"/>
    <w:unhideWhenUsed/>
    <w:rsid w:val="007B399B"/>
    <w:pPr>
      <w:spacing w:after="0" w:line="240" w:lineRule="auto"/>
    </w:pPr>
    <w:rPr>
      <w:rFonts w:ascii="Calibri" w:eastAsia="Calibri" w:hAnsi="Calibri" w:cs="Arial"/>
      <w:sz w:val="20"/>
      <w:szCs w:val="20"/>
      <w:lang w:eastAsia="en-GB"/>
    </w:rPr>
  </w:style>
  <w:style w:type="paragraph" w:styleId="TOC4">
    <w:name w:val="toc 4"/>
    <w:basedOn w:val="Normal"/>
    <w:next w:val="Normal"/>
    <w:autoRedefine/>
    <w:uiPriority w:val="39"/>
    <w:unhideWhenUsed/>
    <w:rsid w:val="007B399B"/>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7B399B"/>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7B399B"/>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7B399B"/>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7B399B"/>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7B399B"/>
    <w:pPr>
      <w:spacing w:after="100" w:line="259" w:lineRule="auto"/>
      <w:ind w:left="1760"/>
    </w:pPr>
    <w:rPr>
      <w:rFonts w:eastAsiaTheme="minorEastAsia"/>
      <w:lang w:eastAsia="en-GB"/>
    </w:rPr>
  </w:style>
  <w:style w:type="paragraph" w:customStyle="1" w:styleId="MTDisplayEquation">
    <w:name w:val="MTDisplayEquation"/>
    <w:basedOn w:val="Normal"/>
    <w:next w:val="Normal"/>
    <w:uiPriority w:val="99"/>
    <w:rsid w:val="007B399B"/>
    <w:pPr>
      <w:tabs>
        <w:tab w:val="center" w:pos="2520"/>
        <w:tab w:val="right" w:pos="5040"/>
      </w:tabs>
      <w:spacing w:after="0" w:line="240" w:lineRule="auto"/>
      <w:jc w:val="both"/>
    </w:pPr>
    <w:rPr>
      <w:rFonts w:ascii="Times New Roman" w:eastAsiaTheme="minorEastAsia" w:hAnsi="Times New Roman" w:cs="Times New Roman"/>
      <w:sz w:val="20"/>
      <w:szCs w:val="20"/>
      <w:lang w:val="en-US" w:eastAsia="zh-CN"/>
    </w:rPr>
  </w:style>
  <w:style w:type="paragraph" w:customStyle="1" w:styleId="msonormal0">
    <w:name w:val="msonormal"/>
    <w:basedOn w:val="Normal"/>
    <w:rsid w:val="007B39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70363"/>
    <w:rPr>
      <w:color w:val="605E5C"/>
      <w:shd w:val="clear" w:color="auto" w:fill="E1DFDD"/>
    </w:rPr>
  </w:style>
  <w:style w:type="character" w:styleId="Strong">
    <w:name w:val="Strong"/>
    <w:basedOn w:val="DefaultParagraphFont"/>
    <w:uiPriority w:val="22"/>
    <w:qFormat/>
    <w:rsid w:val="00B41143"/>
    <w:rPr>
      <w:b/>
      <w:bCs/>
    </w:rPr>
  </w:style>
  <w:style w:type="character" w:customStyle="1" w:styleId="landing-page-changedtext-0-2-17">
    <w:name w:val="landing-page-changedtext-0-2-17"/>
    <w:basedOn w:val="DefaultParagraphFont"/>
    <w:rsid w:val="007344C9"/>
  </w:style>
  <w:style w:type="character" w:customStyle="1" w:styleId="UnresolvedMention2">
    <w:name w:val="Unresolved Mention2"/>
    <w:basedOn w:val="DefaultParagraphFont"/>
    <w:uiPriority w:val="99"/>
    <w:semiHidden/>
    <w:unhideWhenUsed/>
    <w:rsid w:val="008A5BA1"/>
    <w:rPr>
      <w:color w:val="605E5C"/>
      <w:shd w:val="clear" w:color="auto" w:fill="E1DFDD"/>
    </w:rPr>
  </w:style>
  <w:style w:type="character" w:styleId="UnresolvedMention">
    <w:name w:val="Unresolved Mention"/>
    <w:basedOn w:val="DefaultParagraphFont"/>
    <w:uiPriority w:val="99"/>
    <w:semiHidden/>
    <w:unhideWhenUsed/>
    <w:rsid w:val="001C0BBF"/>
    <w:rPr>
      <w:color w:val="605E5C"/>
      <w:shd w:val="clear" w:color="auto" w:fill="E1DFDD"/>
    </w:rPr>
  </w:style>
  <w:style w:type="character" w:customStyle="1" w:styleId="italica">
    <w:name w:val="italica"/>
    <w:basedOn w:val="DefaultParagraphFont"/>
    <w:rsid w:val="00372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06239">
      <w:bodyDiv w:val="1"/>
      <w:marLeft w:val="0"/>
      <w:marRight w:val="0"/>
      <w:marTop w:val="0"/>
      <w:marBottom w:val="0"/>
      <w:divBdr>
        <w:top w:val="none" w:sz="0" w:space="0" w:color="auto"/>
        <w:left w:val="none" w:sz="0" w:space="0" w:color="auto"/>
        <w:bottom w:val="none" w:sz="0" w:space="0" w:color="auto"/>
        <w:right w:val="none" w:sz="0" w:space="0" w:color="auto"/>
      </w:divBdr>
      <w:divsChild>
        <w:div w:id="1338996223">
          <w:marLeft w:val="0"/>
          <w:marRight w:val="0"/>
          <w:marTop w:val="0"/>
          <w:marBottom w:val="0"/>
          <w:divBdr>
            <w:top w:val="none" w:sz="0" w:space="0" w:color="auto"/>
            <w:left w:val="none" w:sz="0" w:space="0" w:color="auto"/>
            <w:bottom w:val="none" w:sz="0" w:space="0" w:color="auto"/>
            <w:right w:val="none" w:sz="0" w:space="0" w:color="auto"/>
          </w:divBdr>
        </w:div>
        <w:div w:id="1834685168">
          <w:marLeft w:val="0"/>
          <w:marRight w:val="0"/>
          <w:marTop w:val="0"/>
          <w:marBottom w:val="0"/>
          <w:divBdr>
            <w:top w:val="none" w:sz="0" w:space="0" w:color="auto"/>
            <w:left w:val="none" w:sz="0" w:space="0" w:color="auto"/>
            <w:bottom w:val="none" w:sz="0" w:space="0" w:color="auto"/>
            <w:right w:val="none" w:sz="0" w:space="0" w:color="auto"/>
          </w:divBdr>
        </w:div>
        <w:div w:id="185098697">
          <w:marLeft w:val="0"/>
          <w:marRight w:val="0"/>
          <w:marTop w:val="0"/>
          <w:marBottom w:val="0"/>
          <w:divBdr>
            <w:top w:val="none" w:sz="0" w:space="0" w:color="auto"/>
            <w:left w:val="none" w:sz="0" w:space="0" w:color="auto"/>
            <w:bottom w:val="none" w:sz="0" w:space="0" w:color="auto"/>
            <w:right w:val="none" w:sz="0" w:space="0" w:color="auto"/>
          </w:divBdr>
        </w:div>
        <w:div w:id="291063451">
          <w:marLeft w:val="0"/>
          <w:marRight w:val="0"/>
          <w:marTop w:val="0"/>
          <w:marBottom w:val="0"/>
          <w:divBdr>
            <w:top w:val="none" w:sz="0" w:space="0" w:color="auto"/>
            <w:left w:val="none" w:sz="0" w:space="0" w:color="auto"/>
            <w:bottom w:val="none" w:sz="0" w:space="0" w:color="auto"/>
            <w:right w:val="none" w:sz="0" w:space="0" w:color="auto"/>
          </w:divBdr>
        </w:div>
        <w:div w:id="990252672">
          <w:marLeft w:val="0"/>
          <w:marRight w:val="0"/>
          <w:marTop w:val="0"/>
          <w:marBottom w:val="0"/>
          <w:divBdr>
            <w:top w:val="none" w:sz="0" w:space="0" w:color="auto"/>
            <w:left w:val="none" w:sz="0" w:space="0" w:color="auto"/>
            <w:bottom w:val="none" w:sz="0" w:space="0" w:color="auto"/>
            <w:right w:val="none" w:sz="0" w:space="0" w:color="auto"/>
          </w:divBdr>
        </w:div>
        <w:div w:id="1619139326">
          <w:marLeft w:val="0"/>
          <w:marRight w:val="0"/>
          <w:marTop w:val="0"/>
          <w:marBottom w:val="0"/>
          <w:divBdr>
            <w:top w:val="none" w:sz="0" w:space="0" w:color="auto"/>
            <w:left w:val="none" w:sz="0" w:space="0" w:color="auto"/>
            <w:bottom w:val="none" w:sz="0" w:space="0" w:color="auto"/>
            <w:right w:val="none" w:sz="0" w:space="0" w:color="auto"/>
          </w:divBdr>
        </w:div>
        <w:div w:id="68626305">
          <w:marLeft w:val="0"/>
          <w:marRight w:val="0"/>
          <w:marTop w:val="0"/>
          <w:marBottom w:val="0"/>
          <w:divBdr>
            <w:top w:val="none" w:sz="0" w:space="0" w:color="auto"/>
            <w:left w:val="none" w:sz="0" w:space="0" w:color="auto"/>
            <w:bottom w:val="none" w:sz="0" w:space="0" w:color="auto"/>
            <w:right w:val="none" w:sz="0" w:space="0" w:color="auto"/>
          </w:divBdr>
        </w:div>
      </w:divsChild>
    </w:div>
    <w:div w:id="579096702">
      <w:bodyDiv w:val="1"/>
      <w:marLeft w:val="0"/>
      <w:marRight w:val="0"/>
      <w:marTop w:val="0"/>
      <w:marBottom w:val="0"/>
      <w:divBdr>
        <w:top w:val="none" w:sz="0" w:space="0" w:color="auto"/>
        <w:left w:val="none" w:sz="0" w:space="0" w:color="auto"/>
        <w:bottom w:val="none" w:sz="0" w:space="0" w:color="auto"/>
        <w:right w:val="none" w:sz="0" w:space="0" w:color="auto"/>
      </w:divBdr>
    </w:div>
    <w:div w:id="1024284426">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
    <w:div w:id="1598515015">
      <w:bodyDiv w:val="1"/>
      <w:marLeft w:val="0"/>
      <w:marRight w:val="0"/>
      <w:marTop w:val="0"/>
      <w:marBottom w:val="0"/>
      <w:divBdr>
        <w:top w:val="none" w:sz="0" w:space="0" w:color="auto"/>
        <w:left w:val="none" w:sz="0" w:space="0" w:color="auto"/>
        <w:bottom w:val="none" w:sz="0" w:space="0" w:color="auto"/>
        <w:right w:val="none" w:sz="0" w:space="0" w:color="auto"/>
      </w:divBdr>
    </w:div>
    <w:div w:id="1780564581">
      <w:bodyDiv w:val="1"/>
      <w:marLeft w:val="0"/>
      <w:marRight w:val="0"/>
      <w:marTop w:val="0"/>
      <w:marBottom w:val="0"/>
      <w:divBdr>
        <w:top w:val="none" w:sz="0" w:space="0" w:color="auto"/>
        <w:left w:val="none" w:sz="0" w:space="0" w:color="auto"/>
        <w:bottom w:val="none" w:sz="0" w:space="0" w:color="auto"/>
        <w:right w:val="none" w:sz="0" w:space="0" w:color="auto"/>
      </w:divBdr>
    </w:div>
    <w:div w:id="2075001641">
      <w:bodyDiv w:val="1"/>
      <w:marLeft w:val="0"/>
      <w:marRight w:val="0"/>
      <w:marTop w:val="0"/>
      <w:marBottom w:val="0"/>
      <w:divBdr>
        <w:top w:val="none" w:sz="0" w:space="0" w:color="auto"/>
        <w:left w:val="none" w:sz="0" w:space="0" w:color="auto"/>
        <w:bottom w:val="none" w:sz="0" w:space="0" w:color="auto"/>
        <w:right w:val="none" w:sz="0" w:space="0" w:color="auto"/>
      </w:divBdr>
    </w:div>
    <w:div w:id="213988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1" Type="http://schemas.openxmlformats.org/officeDocument/2006/relationships/image" Target="media/image13.png"/><Relationship Id="rId42" Type="http://schemas.openxmlformats.org/officeDocument/2006/relationships/oleObject" Target="embeddings/oleObject9.bin"/><Relationship Id="rId63" Type="http://schemas.openxmlformats.org/officeDocument/2006/relationships/image" Target="media/image40.emf"/><Relationship Id="rId84" Type="http://schemas.openxmlformats.org/officeDocument/2006/relationships/image" Target="media/image59.png"/><Relationship Id="rId138" Type="http://schemas.openxmlformats.org/officeDocument/2006/relationships/oleObject" Target="embeddings/oleObject41.bin"/><Relationship Id="rId159" Type="http://schemas.openxmlformats.org/officeDocument/2006/relationships/image" Target="media/image100.emf"/><Relationship Id="rId170" Type="http://schemas.openxmlformats.org/officeDocument/2006/relationships/image" Target="media/image111.emf"/><Relationship Id="rId191" Type="http://schemas.openxmlformats.org/officeDocument/2006/relationships/image" Target="media/image132.emf"/><Relationship Id="rId205" Type="http://schemas.openxmlformats.org/officeDocument/2006/relationships/image" Target="media/image146.emf"/><Relationship Id="rId226" Type="http://schemas.openxmlformats.org/officeDocument/2006/relationships/image" Target="media/image167.emf"/><Relationship Id="rId247" Type="http://schemas.openxmlformats.org/officeDocument/2006/relationships/image" Target="media/image188.emf"/><Relationship Id="rId107" Type="http://schemas.openxmlformats.org/officeDocument/2006/relationships/image" Target="media/image75.wmf"/><Relationship Id="rId268" Type="http://schemas.openxmlformats.org/officeDocument/2006/relationships/image" Target="media/image209.emf"/><Relationship Id="rId11" Type="http://schemas.openxmlformats.org/officeDocument/2006/relationships/image" Target="media/image3.jpeg"/><Relationship Id="rId32" Type="http://schemas.openxmlformats.org/officeDocument/2006/relationships/image" Target="media/image20.emf"/><Relationship Id="rId53" Type="http://schemas.openxmlformats.org/officeDocument/2006/relationships/image" Target="media/image31.wmf"/><Relationship Id="rId74" Type="http://schemas.openxmlformats.org/officeDocument/2006/relationships/image" Target="media/image51.emf"/><Relationship Id="rId128" Type="http://schemas.openxmlformats.org/officeDocument/2006/relationships/image" Target="media/image84.wmf"/><Relationship Id="rId149" Type="http://schemas.openxmlformats.org/officeDocument/2006/relationships/hyperlink" Target="https://www-sciencedirect-com.proxy.library.dmu.ac.uk/topics/economics-econometrics-and-finance/capital-market-returns" TargetMode="External"/><Relationship Id="rId5" Type="http://schemas.openxmlformats.org/officeDocument/2006/relationships/webSettings" Target="webSettings.xml"/><Relationship Id="rId95" Type="http://schemas.openxmlformats.org/officeDocument/2006/relationships/image" Target="media/image69.wmf"/><Relationship Id="rId160" Type="http://schemas.openxmlformats.org/officeDocument/2006/relationships/image" Target="media/image101.emf"/><Relationship Id="rId181" Type="http://schemas.openxmlformats.org/officeDocument/2006/relationships/image" Target="media/image122.emf"/><Relationship Id="rId216" Type="http://schemas.openxmlformats.org/officeDocument/2006/relationships/image" Target="media/image157.emf"/><Relationship Id="rId237" Type="http://schemas.openxmlformats.org/officeDocument/2006/relationships/image" Target="media/image178.emf"/><Relationship Id="rId258" Type="http://schemas.openxmlformats.org/officeDocument/2006/relationships/image" Target="media/image199.emf"/><Relationship Id="rId279" Type="http://schemas.openxmlformats.org/officeDocument/2006/relationships/image" Target="media/image220.emf"/><Relationship Id="rId22" Type="http://schemas.openxmlformats.org/officeDocument/2006/relationships/image" Target="media/image14.png"/><Relationship Id="rId43" Type="http://schemas.openxmlformats.org/officeDocument/2006/relationships/image" Target="media/image26.emf"/><Relationship Id="rId64" Type="http://schemas.openxmlformats.org/officeDocument/2006/relationships/image" Target="media/image41.emf"/><Relationship Id="rId118" Type="http://schemas.openxmlformats.org/officeDocument/2006/relationships/image" Target="media/image80.emf"/><Relationship Id="rId139" Type="http://schemas.openxmlformats.org/officeDocument/2006/relationships/image" Target="media/image89.wmf"/><Relationship Id="rId85" Type="http://schemas.openxmlformats.org/officeDocument/2006/relationships/image" Target="media/image60.png"/><Relationship Id="rId150" Type="http://schemas.openxmlformats.org/officeDocument/2006/relationships/hyperlink" Target="http://en.wikipedia.org/wiki/Econometrica" TargetMode="External"/><Relationship Id="rId171" Type="http://schemas.openxmlformats.org/officeDocument/2006/relationships/image" Target="media/image112.emf"/><Relationship Id="rId192" Type="http://schemas.openxmlformats.org/officeDocument/2006/relationships/image" Target="media/image133.emf"/><Relationship Id="rId206" Type="http://schemas.openxmlformats.org/officeDocument/2006/relationships/image" Target="media/image147.emf"/><Relationship Id="rId227" Type="http://schemas.openxmlformats.org/officeDocument/2006/relationships/image" Target="media/image168.emf"/><Relationship Id="rId248" Type="http://schemas.openxmlformats.org/officeDocument/2006/relationships/image" Target="media/image189.emf"/><Relationship Id="rId269" Type="http://schemas.openxmlformats.org/officeDocument/2006/relationships/image" Target="media/image210.emf"/><Relationship Id="rId12" Type="http://schemas.openxmlformats.org/officeDocument/2006/relationships/image" Target="media/image4.jpeg"/><Relationship Id="rId33" Type="http://schemas.openxmlformats.org/officeDocument/2006/relationships/oleObject" Target="embeddings/oleObject5.bin"/><Relationship Id="rId108" Type="http://schemas.openxmlformats.org/officeDocument/2006/relationships/oleObject" Target="embeddings/oleObject24.bin"/><Relationship Id="rId129" Type="http://schemas.openxmlformats.org/officeDocument/2006/relationships/oleObject" Target="embeddings/oleObject36.bin"/><Relationship Id="rId280" Type="http://schemas.openxmlformats.org/officeDocument/2006/relationships/footer" Target="footer2.xml"/><Relationship Id="rId54" Type="http://schemas.openxmlformats.org/officeDocument/2006/relationships/oleObject" Target="embeddings/oleObject15.bin"/><Relationship Id="rId75" Type="http://schemas.openxmlformats.org/officeDocument/2006/relationships/image" Target="media/image52.emf"/><Relationship Id="rId96" Type="http://schemas.openxmlformats.org/officeDocument/2006/relationships/oleObject" Target="embeddings/oleObject18.bin"/><Relationship Id="rId140" Type="http://schemas.openxmlformats.org/officeDocument/2006/relationships/oleObject" Target="embeddings/oleObject42.bin"/><Relationship Id="rId161" Type="http://schemas.openxmlformats.org/officeDocument/2006/relationships/image" Target="media/image102.emf"/><Relationship Id="rId182" Type="http://schemas.openxmlformats.org/officeDocument/2006/relationships/image" Target="media/image123.emf"/><Relationship Id="rId217" Type="http://schemas.openxmlformats.org/officeDocument/2006/relationships/image" Target="media/image158.emf"/><Relationship Id="rId6" Type="http://schemas.openxmlformats.org/officeDocument/2006/relationships/footnotes" Target="footnotes.xml"/><Relationship Id="rId238" Type="http://schemas.openxmlformats.org/officeDocument/2006/relationships/image" Target="media/image179.emf"/><Relationship Id="rId259" Type="http://schemas.openxmlformats.org/officeDocument/2006/relationships/image" Target="media/image200.emf"/><Relationship Id="rId23" Type="http://schemas.openxmlformats.org/officeDocument/2006/relationships/image" Target="media/image15.png"/><Relationship Id="rId119" Type="http://schemas.openxmlformats.org/officeDocument/2006/relationships/oleObject" Target="embeddings/oleObject30.bin"/><Relationship Id="rId270" Type="http://schemas.openxmlformats.org/officeDocument/2006/relationships/image" Target="media/image211.emf"/><Relationship Id="rId44" Type="http://schemas.openxmlformats.org/officeDocument/2006/relationships/oleObject" Target="embeddings/oleObject10.bin"/><Relationship Id="rId65" Type="http://schemas.openxmlformats.org/officeDocument/2006/relationships/image" Target="media/image42.emf"/><Relationship Id="rId86" Type="http://schemas.openxmlformats.org/officeDocument/2006/relationships/image" Target="media/image61.png"/><Relationship Id="rId130" Type="http://schemas.openxmlformats.org/officeDocument/2006/relationships/oleObject" Target="embeddings/oleObject37.bin"/><Relationship Id="rId151" Type="http://schemas.openxmlformats.org/officeDocument/2006/relationships/hyperlink" Target="http://stat.math.uregina.ca/~kozdron/Research/UgradTalks/BM_and_Heat/heat_and_BM.pdf" TargetMode="External"/><Relationship Id="rId172" Type="http://schemas.openxmlformats.org/officeDocument/2006/relationships/image" Target="media/image113.emf"/><Relationship Id="rId193" Type="http://schemas.openxmlformats.org/officeDocument/2006/relationships/image" Target="media/image134.emf"/><Relationship Id="rId202" Type="http://schemas.openxmlformats.org/officeDocument/2006/relationships/image" Target="media/image143.emf"/><Relationship Id="rId207" Type="http://schemas.openxmlformats.org/officeDocument/2006/relationships/image" Target="media/image148.emf"/><Relationship Id="rId223" Type="http://schemas.openxmlformats.org/officeDocument/2006/relationships/image" Target="media/image164.emf"/><Relationship Id="rId228" Type="http://schemas.openxmlformats.org/officeDocument/2006/relationships/image" Target="media/image169.emf"/><Relationship Id="rId244" Type="http://schemas.openxmlformats.org/officeDocument/2006/relationships/image" Target="media/image185.emf"/><Relationship Id="rId249" Type="http://schemas.openxmlformats.org/officeDocument/2006/relationships/image" Target="media/image190.em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4.wmf"/><Relationship Id="rId109" Type="http://schemas.openxmlformats.org/officeDocument/2006/relationships/image" Target="media/image76.wmf"/><Relationship Id="rId260" Type="http://schemas.openxmlformats.org/officeDocument/2006/relationships/image" Target="media/image201.emf"/><Relationship Id="rId265" Type="http://schemas.openxmlformats.org/officeDocument/2006/relationships/image" Target="media/image206.emf"/><Relationship Id="rId281"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oleObject" Target="embeddings/oleObject13.bin"/><Relationship Id="rId55" Type="http://schemas.openxmlformats.org/officeDocument/2006/relationships/image" Target="media/image32.wmf"/><Relationship Id="rId76" Type="http://schemas.openxmlformats.org/officeDocument/2006/relationships/image" Target="media/image53.emf"/><Relationship Id="rId97" Type="http://schemas.openxmlformats.org/officeDocument/2006/relationships/image" Target="media/image70.wmf"/><Relationship Id="rId104" Type="http://schemas.openxmlformats.org/officeDocument/2006/relationships/oleObject" Target="embeddings/oleObject22.bin"/><Relationship Id="rId120" Type="http://schemas.openxmlformats.org/officeDocument/2006/relationships/image" Target="media/image81.wmf"/><Relationship Id="rId125" Type="http://schemas.openxmlformats.org/officeDocument/2006/relationships/image" Target="media/image83.wmf"/><Relationship Id="rId141" Type="http://schemas.openxmlformats.org/officeDocument/2006/relationships/image" Target="media/image90.emf"/><Relationship Id="rId146" Type="http://schemas.openxmlformats.org/officeDocument/2006/relationships/image" Target="media/image95.emf"/><Relationship Id="rId167" Type="http://schemas.openxmlformats.org/officeDocument/2006/relationships/image" Target="media/image108.emf"/><Relationship Id="rId188" Type="http://schemas.openxmlformats.org/officeDocument/2006/relationships/image" Target="media/image129.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7.png"/><Relationship Id="rId162" Type="http://schemas.openxmlformats.org/officeDocument/2006/relationships/image" Target="media/image103.emf"/><Relationship Id="rId183" Type="http://schemas.openxmlformats.org/officeDocument/2006/relationships/image" Target="media/image124.emf"/><Relationship Id="rId213" Type="http://schemas.openxmlformats.org/officeDocument/2006/relationships/image" Target="media/image154.emf"/><Relationship Id="rId218" Type="http://schemas.openxmlformats.org/officeDocument/2006/relationships/image" Target="media/image159.emf"/><Relationship Id="rId234" Type="http://schemas.openxmlformats.org/officeDocument/2006/relationships/image" Target="media/image175.emf"/><Relationship Id="rId239" Type="http://schemas.openxmlformats.org/officeDocument/2006/relationships/image" Target="media/image180.emf"/><Relationship Id="rId2" Type="http://schemas.openxmlformats.org/officeDocument/2006/relationships/numbering" Target="numbering.xml"/><Relationship Id="rId29" Type="http://schemas.openxmlformats.org/officeDocument/2006/relationships/oleObject" Target="embeddings/oleObject3.bin"/><Relationship Id="rId250" Type="http://schemas.openxmlformats.org/officeDocument/2006/relationships/image" Target="media/image191.emf"/><Relationship Id="rId255" Type="http://schemas.openxmlformats.org/officeDocument/2006/relationships/image" Target="media/image196.emf"/><Relationship Id="rId271" Type="http://schemas.openxmlformats.org/officeDocument/2006/relationships/image" Target="media/image212.emf"/><Relationship Id="rId276" Type="http://schemas.openxmlformats.org/officeDocument/2006/relationships/image" Target="media/image217.emf"/><Relationship Id="rId24"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7.wmf"/><Relationship Id="rId66" Type="http://schemas.openxmlformats.org/officeDocument/2006/relationships/image" Target="media/image43.emf"/><Relationship Id="rId87" Type="http://schemas.openxmlformats.org/officeDocument/2006/relationships/image" Target="media/image62.png"/><Relationship Id="rId110" Type="http://schemas.openxmlformats.org/officeDocument/2006/relationships/oleObject" Target="embeddings/oleObject25.bin"/><Relationship Id="rId115" Type="http://schemas.openxmlformats.org/officeDocument/2006/relationships/image" Target="media/image79.jpeg"/><Relationship Id="rId131" Type="http://schemas.openxmlformats.org/officeDocument/2006/relationships/image" Target="media/image85.wmf"/><Relationship Id="rId136" Type="http://schemas.openxmlformats.org/officeDocument/2006/relationships/oleObject" Target="embeddings/oleObject40.bin"/><Relationship Id="rId157" Type="http://schemas.openxmlformats.org/officeDocument/2006/relationships/image" Target="media/image98.emf"/><Relationship Id="rId178" Type="http://schemas.openxmlformats.org/officeDocument/2006/relationships/image" Target="media/image119.emf"/><Relationship Id="rId61" Type="http://schemas.openxmlformats.org/officeDocument/2006/relationships/image" Target="media/image38.emf"/><Relationship Id="rId82" Type="http://schemas.openxmlformats.org/officeDocument/2006/relationships/image" Target="media/image57.emf"/><Relationship Id="rId152" Type="http://schemas.openxmlformats.org/officeDocument/2006/relationships/hyperlink" Target="http://www.math.princeton.edu/_nelson/books.html" TargetMode="External"/><Relationship Id="rId173" Type="http://schemas.openxmlformats.org/officeDocument/2006/relationships/image" Target="media/image114.emf"/><Relationship Id="rId194" Type="http://schemas.openxmlformats.org/officeDocument/2006/relationships/image" Target="media/image135.emf"/><Relationship Id="rId199" Type="http://schemas.openxmlformats.org/officeDocument/2006/relationships/image" Target="media/image140.emf"/><Relationship Id="rId203" Type="http://schemas.openxmlformats.org/officeDocument/2006/relationships/image" Target="media/image144.emf"/><Relationship Id="rId208" Type="http://schemas.openxmlformats.org/officeDocument/2006/relationships/image" Target="media/image149.emf"/><Relationship Id="rId229" Type="http://schemas.openxmlformats.org/officeDocument/2006/relationships/image" Target="media/image170.emf"/><Relationship Id="rId19" Type="http://schemas.openxmlformats.org/officeDocument/2006/relationships/image" Target="media/image11.png"/><Relationship Id="rId224" Type="http://schemas.openxmlformats.org/officeDocument/2006/relationships/image" Target="media/image165.emf"/><Relationship Id="rId240" Type="http://schemas.openxmlformats.org/officeDocument/2006/relationships/image" Target="media/image181.emf"/><Relationship Id="rId245" Type="http://schemas.openxmlformats.org/officeDocument/2006/relationships/image" Target="media/image186.emf"/><Relationship Id="rId261" Type="http://schemas.openxmlformats.org/officeDocument/2006/relationships/image" Target="media/image202.emf"/><Relationship Id="rId266" Type="http://schemas.openxmlformats.org/officeDocument/2006/relationships/image" Target="media/image207.emf"/><Relationship Id="rId14" Type="http://schemas.openxmlformats.org/officeDocument/2006/relationships/image" Target="media/image6.jpeg"/><Relationship Id="rId30" Type="http://schemas.openxmlformats.org/officeDocument/2006/relationships/image" Target="media/image19.wmf"/><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image" Target="media/image54.emf"/><Relationship Id="rId100" Type="http://schemas.openxmlformats.org/officeDocument/2006/relationships/oleObject" Target="embeddings/oleObject20.bin"/><Relationship Id="rId105" Type="http://schemas.openxmlformats.org/officeDocument/2006/relationships/image" Target="media/image74.wmf"/><Relationship Id="rId126" Type="http://schemas.openxmlformats.org/officeDocument/2006/relationships/oleObject" Target="embeddings/oleObject34.bin"/><Relationship Id="rId147" Type="http://schemas.openxmlformats.org/officeDocument/2006/relationships/image" Target="media/image96.emf"/><Relationship Id="rId168" Type="http://schemas.openxmlformats.org/officeDocument/2006/relationships/image" Target="media/image109.emf"/><Relationship Id="rId282"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wmf"/><Relationship Id="rId72" Type="http://schemas.openxmlformats.org/officeDocument/2006/relationships/image" Target="media/image49.emf"/><Relationship Id="rId93" Type="http://schemas.openxmlformats.org/officeDocument/2006/relationships/image" Target="media/image68.wmf"/><Relationship Id="rId98" Type="http://schemas.openxmlformats.org/officeDocument/2006/relationships/oleObject" Target="embeddings/oleObject19.bin"/><Relationship Id="rId121" Type="http://schemas.openxmlformats.org/officeDocument/2006/relationships/oleObject" Target="embeddings/oleObject31.bin"/><Relationship Id="rId142" Type="http://schemas.openxmlformats.org/officeDocument/2006/relationships/image" Target="media/image91.emf"/><Relationship Id="rId163" Type="http://schemas.openxmlformats.org/officeDocument/2006/relationships/image" Target="media/image104.emf"/><Relationship Id="rId184" Type="http://schemas.openxmlformats.org/officeDocument/2006/relationships/image" Target="media/image125.emf"/><Relationship Id="rId189" Type="http://schemas.openxmlformats.org/officeDocument/2006/relationships/image" Target="media/image130.emf"/><Relationship Id="rId219" Type="http://schemas.openxmlformats.org/officeDocument/2006/relationships/image" Target="media/image160.emf"/><Relationship Id="rId3" Type="http://schemas.openxmlformats.org/officeDocument/2006/relationships/styles" Target="styles.xml"/><Relationship Id="rId214" Type="http://schemas.openxmlformats.org/officeDocument/2006/relationships/image" Target="media/image155.emf"/><Relationship Id="rId230" Type="http://schemas.openxmlformats.org/officeDocument/2006/relationships/image" Target="media/image171.emf"/><Relationship Id="rId235" Type="http://schemas.openxmlformats.org/officeDocument/2006/relationships/image" Target="media/image176.emf"/><Relationship Id="rId251" Type="http://schemas.openxmlformats.org/officeDocument/2006/relationships/image" Target="media/image192.emf"/><Relationship Id="rId256" Type="http://schemas.openxmlformats.org/officeDocument/2006/relationships/image" Target="media/image197.emf"/><Relationship Id="rId277" Type="http://schemas.openxmlformats.org/officeDocument/2006/relationships/image" Target="media/image218.emf"/><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44.emf"/><Relationship Id="rId116" Type="http://schemas.openxmlformats.org/officeDocument/2006/relationships/oleObject" Target="embeddings/oleObject28.bin"/><Relationship Id="rId137" Type="http://schemas.openxmlformats.org/officeDocument/2006/relationships/image" Target="media/image88.wmf"/><Relationship Id="rId158" Type="http://schemas.openxmlformats.org/officeDocument/2006/relationships/image" Target="media/image99.emf"/><Relationship Id="rId272" Type="http://schemas.openxmlformats.org/officeDocument/2006/relationships/image" Target="media/image213.emf"/><Relationship Id="rId20" Type="http://schemas.openxmlformats.org/officeDocument/2006/relationships/image" Target="media/image12.png"/><Relationship Id="rId41" Type="http://schemas.openxmlformats.org/officeDocument/2006/relationships/image" Target="media/image25.wmf"/><Relationship Id="rId62" Type="http://schemas.openxmlformats.org/officeDocument/2006/relationships/image" Target="media/image39.emf"/><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77.wmf"/><Relationship Id="rId132" Type="http://schemas.openxmlformats.org/officeDocument/2006/relationships/oleObject" Target="embeddings/oleObject38.bin"/><Relationship Id="rId153" Type="http://schemas.openxmlformats.org/officeDocument/2006/relationships/hyperlink" Target="http://en.wikipedia.org/wiki/Econometrica" TargetMode="External"/><Relationship Id="rId174" Type="http://schemas.openxmlformats.org/officeDocument/2006/relationships/image" Target="media/image115.emf"/><Relationship Id="rId179" Type="http://schemas.openxmlformats.org/officeDocument/2006/relationships/image" Target="media/image120.emf"/><Relationship Id="rId195" Type="http://schemas.openxmlformats.org/officeDocument/2006/relationships/image" Target="media/image136.emf"/><Relationship Id="rId209" Type="http://schemas.openxmlformats.org/officeDocument/2006/relationships/image" Target="media/image150.emf"/><Relationship Id="rId190" Type="http://schemas.openxmlformats.org/officeDocument/2006/relationships/image" Target="media/image131.emf"/><Relationship Id="rId204" Type="http://schemas.openxmlformats.org/officeDocument/2006/relationships/image" Target="media/image145.emf"/><Relationship Id="rId220" Type="http://schemas.openxmlformats.org/officeDocument/2006/relationships/image" Target="media/image161.emf"/><Relationship Id="rId225" Type="http://schemas.openxmlformats.org/officeDocument/2006/relationships/image" Target="media/image166.emf"/><Relationship Id="rId241" Type="http://schemas.openxmlformats.org/officeDocument/2006/relationships/image" Target="media/image182.emf"/><Relationship Id="rId246" Type="http://schemas.openxmlformats.org/officeDocument/2006/relationships/image" Target="media/image187.emf"/><Relationship Id="rId267" Type="http://schemas.openxmlformats.org/officeDocument/2006/relationships/image" Target="media/image208.emf"/><Relationship Id="rId15" Type="http://schemas.openxmlformats.org/officeDocument/2006/relationships/image" Target="media/image7.jpeg"/><Relationship Id="rId36" Type="http://schemas.openxmlformats.org/officeDocument/2006/relationships/oleObject" Target="embeddings/oleObject6.bin"/><Relationship Id="rId57" Type="http://schemas.openxmlformats.org/officeDocument/2006/relationships/image" Target="media/image34.wmf"/><Relationship Id="rId106" Type="http://schemas.openxmlformats.org/officeDocument/2006/relationships/oleObject" Target="embeddings/oleObject23.bin"/><Relationship Id="rId127" Type="http://schemas.openxmlformats.org/officeDocument/2006/relationships/oleObject" Target="embeddings/oleObject35.bin"/><Relationship Id="rId262" Type="http://schemas.openxmlformats.org/officeDocument/2006/relationships/image" Target="media/image203.emf"/><Relationship Id="rId10" Type="http://schemas.openxmlformats.org/officeDocument/2006/relationships/image" Target="media/image2.png"/><Relationship Id="rId31" Type="http://schemas.openxmlformats.org/officeDocument/2006/relationships/oleObject" Target="embeddings/oleObject4.bin"/><Relationship Id="rId52" Type="http://schemas.openxmlformats.org/officeDocument/2006/relationships/oleObject" Target="embeddings/oleObject14.bin"/><Relationship Id="rId73" Type="http://schemas.openxmlformats.org/officeDocument/2006/relationships/image" Target="media/image50.emf"/><Relationship Id="rId78" Type="http://schemas.openxmlformats.org/officeDocument/2006/relationships/image" Target="media/image55.wmf"/><Relationship Id="rId94" Type="http://schemas.openxmlformats.org/officeDocument/2006/relationships/oleObject" Target="embeddings/oleObject17.bin"/><Relationship Id="rId99" Type="http://schemas.openxmlformats.org/officeDocument/2006/relationships/image" Target="media/image71.wmf"/><Relationship Id="rId101" Type="http://schemas.openxmlformats.org/officeDocument/2006/relationships/image" Target="media/image72.wmf"/><Relationship Id="rId122" Type="http://schemas.openxmlformats.org/officeDocument/2006/relationships/oleObject" Target="embeddings/oleObject32.bin"/><Relationship Id="rId143" Type="http://schemas.openxmlformats.org/officeDocument/2006/relationships/image" Target="media/image92.emf"/><Relationship Id="rId148" Type="http://schemas.openxmlformats.org/officeDocument/2006/relationships/hyperlink" Target="https://www-sciencedirect-com.proxy.library.dmu.ac.uk/topics/economics-econometrics-and-finance/kurtosis" TargetMode="External"/><Relationship Id="rId164" Type="http://schemas.openxmlformats.org/officeDocument/2006/relationships/image" Target="media/image105.emf"/><Relationship Id="rId169" Type="http://schemas.openxmlformats.org/officeDocument/2006/relationships/image" Target="media/image110.emf"/><Relationship Id="rId185" Type="http://schemas.openxmlformats.org/officeDocument/2006/relationships/image" Target="media/image126.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1.emf"/><Relationship Id="rId210" Type="http://schemas.openxmlformats.org/officeDocument/2006/relationships/image" Target="media/image151.emf"/><Relationship Id="rId215" Type="http://schemas.openxmlformats.org/officeDocument/2006/relationships/image" Target="media/image156.emf"/><Relationship Id="rId236" Type="http://schemas.openxmlformats.org/officeDocument/2006/relationships/image" Target="media/image177.emf"/><Relationship Id="rId257" Type="http://schemas.openxmlformats.org/officeDocument/2006/relationships/image" Target="media/image198.emf"/><Relationship Id="rId278" Type="http://schemas.openxmlformats.org/officeDocument/2006/relationships/image" Target="media/image219.emf"/><Relationship Id="rId26" Type="http://schemas.openxmlformats.org/officeDocument/2006/relationships/image" Target="media/image17.wmf"/><Relationship Id="rId231" Type="http://schemas.openxmlformats.org/officeDocument/2006/relationships/image" Target="media/image172.emf"/><Relationship Id="rId252" Type="http://schemas.openxmlformats.org/officeDocument/2006/relationships/image" Target="media/image193.emf"/><Relationship Id="rId273" Type="http://schemas.openxmlformats.org/officeDocument/2006/relationships/image" Target="media/image214.emf"/><Relationship Id="rId47" Type="http://schemas.openxmlformats.org/officeDocument/2006/relationships/image" Target="media/image28.wmf"/><Relationship Id="rId68" Type="http://schemas.openxmlformats.org/officeDocument/2006/relationships/image" Target="media/image45.emf"/><Relationship Id="rId89" Type="http://schemas.openxmlformats.org/officeDocument/2006/relationships/image" Target="media/image64.png"/><Relationship Id="rId112" Type="http://schemas.openxmlformats.org/officeDocument/2006/relationships/oleObject" Target="embeddings/oleObject26.bin"/><Relationship Id="rId133" Type="http://schemas.openxmlformats.org/officeDocument/2006/relationships/image" Target="media/image86.wmf"/><Relationship Id="rId154" Type="http://schemas.openxmlformats.org/officeDocument/2006/relationships/hyperlink" Target="http://stat.math.uregina.ca/~kozdron/Research/UgradTalks/BM_and_Heat/heat_and_BM.pdf" TargetMode="External"/><Relationship Id="rId175" Type="http://schemas.openxmlformats.org/officeDocument/2006/relationships/image" Target="media/image116.emf"/><Relationship Id="rId196" Type="http://schemas.openxmlformats.org/officeDocument/2006/relationships/image" Target="media/image137.emf"/><Relationship Id="rId200" Type="http://schemas.openxmlformats.org/officeDocument/2006/relationships/image" Target="media/image141.emf"/><Relationship Id="rId16" Type="http://schemas.openxmlformats.org/officeDocument/2006/relationships/image" Target="media/image8.jpeg"/><Relationship Id="rId221" Type="http://schemas.openxmlformats.org/officeDocument/2006/relationships/image" Target="media/image162.emf"/><Relationship Id="rId242" Type="http://schemas.openxmlformats.org/officeDocument/2006/relationships/image" Target="media/image183.emf"/><Relationship Id="rId263" Type="http://schemas.openxmlformats.org/officeDocument/2006/relationships/image" Target="media/image204.emf"/><Relationship Id="rId37" Type="http://schemas.openxmlformats.org/officeDocument/2006/relationships/image" Target="media/image23.wmf"/><Relationship Id="rId58" Type="http://schemas.openxmlformats.org/officeDocument/2006/relationships/image" Target="media/image35.emf"/><Relationship Id="rId79" Type="http://schemas.openxmlformats.org/officeDocument/2006/relationships/oleObject" Target="embeddings/oleObject16.bin"/><Relationship Id="rId102" Type="http://schemas.openxmlformats.org/officeDocument/2006/relationships/oleObject" Target="embeddings/oleObject21.bin"/><Relationship Id="rId123" Type="http://schemas.openxmlformats.org/officeDocument/2006/relationships/image" Target="media/image82.emf"/><Relationship Id="rId144" Type="http://schemas.openxmlformats.org/officeDocument/2006/relationships/image" Target="media/image93.emf"/><Relationship Id="rId90" Type="http://schemas.openxmlformats.org/officeDocument/2006/relationships/image" Target="media/image65.png"/><Relationship Id="rId165" Type="http://schemas.openxmlformats.org/officeDocument/2006/relationships/image" Target="media/image106.emf"/><Relationship Id="rId186" Type="http://schemas.openxmlformats.org/officeDocument/2006/relationships/image" Target="media/image127.emf"/><Relationship Id="rId211" Type="http://schemas.openxmlformats.org/officeDocument/2006/relationships/image" Target="media/image152.emf"/><Relationship Id="rId232" Type="http://schemas.openxmlformats.org/officeDocument/2006/relationships/image" Target="media/image173.emf"/><Relationship Id="rId253" Type="http://schemas.openxmlformats.org/officeDocument/2006/relationships/image" Target="media/image194.emf"/><Relationship Id="rId274" Type="http://schemas.openxmlformats.org/officeDocument/2006/relationships/image" Target="media/image215.emf"/><Relationship Id="rId27" Type="http://schemas.openxmlformats.org/officeDocument/2006/relationships/oleObject" Target="embeddings/oleObject2.bin"/><Relationship Id="rId48" Type="http://schemas.openxmlformats.org/officeDocument/2006/relationships/oleObject" Target="embeddings/oleObject12.bin"/><Relationship Id="rId69" Type="http://schemas.openxmlformats.org/officeDocument/2006/relationships/image" Target="media/image46.emf"/><Relationship Id="rId113" Type="http://schemas.openxmlformats.org/officeDocument/2006/relationships/image" Target="media/image78.wmf"/><Relationship Id="rId134" Type="http://schemas.openxmlformats.org/officeDocument/2006/relationships/oleObject" Target="embeddings/oleObject39.bin"/><Relationship Id="rId80" Type="http://schemas.openxmlformats.org/officeDocument/2006/relationships/hyperlink" Target="https://www-sciencedirect-com.proxy.library.dmu.ac.uk/science/article/pii/S0261560612000435?via%3Dihub" TargetMode="External"/><Relationship Id="rId155" Type="http://schemas.openxmlformats.org/officeDocument/2006/relationships/hyperlink" Target="http://www.math.princeton.edu/_nelson/books.html" TargetMode="External"/><Relationship Id="rId176" Type="http://schemas.openxmlformats.org/officeDocument/2006/relationships/image" Target="media/image117.emf"/><Relationship Id="rId197" Type="http://schemas.openxmlformats.org/officeDocument/2006/relationships/image" Target="media/image138.emf"/><Relationship Id="rId201" Type="http://schemas.openxmlformats.org/officeDocument/2006/relationships/image" Target="media/image142.emf"/><Relationship Id="rId222" Type="http://schemas.openxmlformats.org/officeDocument/2006/relationships/image" Target="media/image163.emf"/><Relationship Id="rId243" Type="http://schemas.openxmlformats.org/officeDocument/2006/relationships/image" Target="media/image184.emf"/><Relationship Id="rId264" Type="http://schemas.openxmlformats.org/officeDocument/2006/relationships/image" Target="media/image205.emf"/><Relationship Id="rId17" Type="http://schemas.openxmlformats.org/officeDocument/2006/relationships/image" Target="media/image9.jpeg"/><Relationship Id="rId38" Type="http://schemas.openxmlformats.org/officeDocument/2006/relationships/oleObject" Target="embeddings/oleObject7.bin"/><Relationship Id="rId59" Type="http://schemas.openxmlformats.org/officeDocument/2006/relationships/image" Target="media/image36.emf"/><Relationship Id="rId103" Type="http://schemas.openxmlformats.org/officeDocument/2006/relationships/image" Target="media/image73.wmf"/><Relationship Id="rId124" Type="http://schemas.openxmlformats.org/officeDocument/2006/relationships/oleObject" Target="embeddings/oleObject33.bin"/><Relationship Id="rId70" Type="http://schemas.openxmlformats.org/officeDocument/2006/relationships/image" Target="media/image47.emf"/><Relationship Id="rId91" Type="http://schemas.openxmlformats.org/officeDocument/2006/relationships/image" Target="media/image66.png"/><Relationship Id="rId145" Type="http://schemas.openxmlformats.org/officeDocument/2006/relationships/image" Target="media/image94.emf"/><Relationship Id="rId166" Type="http://schemas.openxmlformats.org/officeDocument/2006/relationships/image" Target="media/image107.emf"/><Relationship Id="rId187" Type="http://schemas.openxmlformats.org/officeDocument/2006/relationships/image" Target="media/image128.emf"/><Relationship Id="rId1" Type="http://schemas.openxmlformats.org/officeDocument/2006/relationships/customXml" Target="../customXml/item1.xml"/><Relationship Id="rId212" Type="http://schemas.openxmlformats.org/officeDocument/2006/relationships/image" Target="media/image153.emf"/><Relationship Id="rId233" Type="http://schemas.openxmlformats.org/officeDocument/2006/relationships/image" Target="media/image174.emf"/><Relationship Id="rId254" Type="http://schemas.openxmlformats.org/officeDocument/2006/relationships/image" Target="media/image195.emf"/><Relationship Id="rId28" Type="http://schemas.openxmlformats.org/officeDocument/2006/relationships/image" Target="media/image18.wmf"/><Relationship Id="rId49" Type="http://schemas.openxmlformats.org/officeDocument/2006/relationships/image" Target="media/image29.wmf"/><Relationship Id="rId114" Type="http://schemas.openxmlformats.org/officeDocument/2006/relationships/oleObject" Target="embeddings/oleObject27.bin"/><Relationship Id="rId275" Type="http://schemas.openxmlformats.org/officeDocument/2006/relationships/image" Target="media/image216.emf"/><Relationship Id="rId60" Type="http://schemas.openxmlformats.org/officeDocument/2006/relationships/image" Target="media/image37.emf"/><Relationship Id="rId81" Type="http://schemas.openxmlformats.org/officeDocument/2006/relationships/image" Target="media/image56.emf"/><Relationship Id="rId135" Type="http://schemas.openxmlformats.org/officeDocument/2006/relationships/image" Target="media/image87.wmf"/><Relationship Id="rId156" Type="http://schemas.openxmlformats.org/officeDocument/2006/relationships/image" Target="media/image97.emf"/><Relationship Id="rId177" Type="http://schemas.openxmlformats.org/officeDocument/2006/relationships/image" Target="media/image118.emf"/><Relationship Id="rId198" Type="http://schemas.openxmlformats.org/officeDocument/2006/relationships/image" Target="media/image1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38830-F1D0-4873-A1AB-9DC47D8C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316</Pages>
  <Words>82886</Words>
  <Characters>472453</Characters>
  <Application>Microsoft Office Word</Application>
  <DocSecurity>0</DocSecurity>
  <Lines>3937</Lines>
  <Paragraphs>1108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Babar Syed</dc:creator>
  <cp:lastModifiedBy>Babar Syed</cp:lastModifiedBy>
  <cp:revision>3</cp:revision>
  <dcterms:created xsi:type="dcterms:W3CDTF">2022-01-25T01:11:00Z</dcterms:created>
  <dcterms:modified xsi:type="dcterms:W3CDTF">2022-01-25T01:11:00Z</dcterms:modified>
</cp:coreProperties>
</file>