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6BD8D" w14:textId="4DE5E1D0" w:rsidR="0006383E" w:rsidRPr="00AC7608" w:rsidRDefault="002A6BFC" w:rsidP="00D5165E">
      <w:pPr>
        <w:pStyle w:val="SECEDTitle"/>
      </w:pPr>
      <w:bookmarkStart w:id="0" w:name="_Hlk132127988"/>
      <w:r w:rsidRPr="00AC7608">
        <w:t>Observations from the EEFIT-TDMRC mission to Banda Aceh, Indonesia to investigate the recovery from the 2004 Indian Ocean Tsunami</w:t>
      </w:r>
    </w:p>
    <w:bookmarkEnd w:id="0"/>
    <w:p w14:paraId="69326B63" w14:textId="78208874" w:rsidR="00B61638" w:rsidRPr="00AC7608" w:rsidRDefault="002A6BFC" w:rsidP="00B61638">
      <w:pPr>
        <w:pStyle w:val="SECEDAuthors"/>
      </w:pPr>
      <w:r w:rsidRPr="00AC7608">
        <w:t>Marco</w:t>
      </w:r>
      <w:r w:rsidR="00B61638" w:rsidRPr="00AC7608">
        <w:t xml:space="preserve"> </w:t>
      </w:r>
      <w:r w:rsidRPr="00AC7608">
        <w:t>BAIGUERA</w:t>
      </w:r>
      <w:r w:rsidR="00B61638" w:rsidRPr="00AC7608">
        <w:rPr>
          <w:vertAlign w:val="superscript"/>
        </w:rPr>
        <w:footnoteReference w:id="1"/>
      </w:r>
      <w:r w:rsidR="007C6CE9" w:rsidRPr="00AC7608">
        <w:t xml:space="preserve">, </w:t>
      </w:r>
      <w:r w:rsidRPr="00AC7608">
        <w:t>Alison RABY</w:t>
      </w:r>
      <w:r w:rsidR="007C6CE9" w:rsidRPr="00AC7608">
        <w:rPr>
          <w:rStyle w:val="FootnoteReference"/>
        </w:rPr>
        <w:footnoteReference w:id="2"/>
      </w:r>
      <w:r w:rsidRPr="00AC7608">
        <w:t>,</w:t>
      </w:r>
      <w:r w:rsidR="002355EF" w:rsidRPr="00AC7608">
        <w:t xml:space="preserve"> David MCGOVERN</w:t>
      </w:r>
      <w:r w:rsidR="002355EF" w:rsidRPr="00AC7608">
        <w:rPr>
          <w:vertAlign w:val="superscript"/>
        </w:rPr>
        <w:footnoteReference w:id="3"/>
      </w:r>
      <w:r w:rsidR="002355EF" w:rsidRPr="00AC7608">
        <w:t>, Keith ADAMS</w:t>
      </w:r>
      <w:r w:rsidR="002355EF" w:rsidRPr="00AC7608">
        <w:rPr>
          <w:vertAlign w:val="superscript"/>
        </w:rPr>
        <w:footnoteReference w:id="4"/>
      </w:r>
      <w:r w:rsidR="002355EF" w:rsidRPr="00AC7608">
        <w:t xml:space="preserve">, </w:t>
      </w:r>
      <w:r w:rsidRPr="00AC7608">
        <w:t>Ella MEILIANDA</w:t>
      </w:r>
      <w:r w:rsidRPr="00AC7608">
        <w:rPr>
          <w:vertAlign w:val="superscript"/>
        </w:rPr>
        <w:footnoteReference w:id="5"/>
      </w:r>
      <w:r w:rsidRPr="00AC7608">
        <w:t>, Yunita IDRIS</w:t>
      </w:r>
      <w:r w:rsidRPr="00AC7608">
        <w:rPr>
          <w:vertAlign w:val="superscript"/>
        </w:rPr>
        <w:footnoteReference w:id="6"/>
      </w:r>
      <w:r w:rsidRPr="00AC7608">
        <w:t>, VERIYANTI</w:t>
      </w:r>
      <w:r w:rsidRPr="00AC7608">
        <w:rPr>
          <w:vertAlign w:val="superscript"/>
        </w:rPr>
        <w:footnoteReference w:id="7"/>
      </w:r>
      <w:r w:rsidRPr="00AC7608">
        <w:t xml:space="preserve">, </w:t>
      </w:r>
    </w:p>
    <w:p w14:paraId="7BA93245" w14:textId="35CCCCCB" w:rsidR="00EC1DDD" w:rsidRPr="00AC7608" w:rsidRDefault="00EC1DDD" w:rsidP="00405620">
      <w:pPr>
        <w:pStyle w:val="SECEDAbstract"/>
        <w:rPr>
          <w:b/>
        </w:rPr>
      </w:pPr>
      <w:r w:rsidRPr="00AC7608">
        <w:rPr>
          <w:b/>
          <w:i w:val="0"/>
        </w:rPr>
        <w:t>Abstract</w:t>
      </w:r>
      <w:r w:rsidR="000038D9" w:rsidRPr="00AC7608">
        <w:rPr>
          <w:i w:val="0"/>
        </w:rPr>
        <w:t>:</w:t>
      </w:r>
      <w:r w:rsidR="000038D9" w:rsidRPr="00AC7608">
        <w:t xml:space="preserve"> </w:t>
      </w:r>
      <w:r w:rsidR="002A6BFC" w:rsidRPr="00AC7608">
        <w:t>On 26th December 2004 a subduction zone earthquake of magnitude Mw 9.3 struck off the coast of Sumatra in Indonesia. A large area of the Indian Ocean seabed was vertically displaced, and as a result a tsunami wave was generated that went on to affect many countries around the world. One of the worst</w:t>
      </w:r>
      <w:r w:rsidR="00431865" w:rsidRPr="00AC7608">
        <w:t xml:space="preserve"> hit</w:t>
      </w:r>
      <w:r w:rsidR="002A6BFC" w:rsidRPr="00AC7608">
        <w:t xml:space="preserve"> places was the Aceh province of Sumatra where the capital city, Banda Aceh, experienced serious ground shaking and significant sea water inundation. </w:t>
      </w:r>
      <w:r w:rsidR="00547D01" w:rsidRPr="00AC7608">
        <w:t>In Indonesia</w:t>
      </w:r>
      <w:r w:rsidR="005130A1" w:rsidRPr="00AC7608">
        <w:t xml:space="preserve"> at least 126,732 people were killed, a further 93,652 people were confirmed missing and 533,770 people were displaced.</w:t>
      </w:r>
      <w:r w:rsidR="002A6BFC" w:rsidRPr="00AC7608">
        <w:t xml:space="preserve"> In 2022, nearly </w:t>
      </w:r>
      <w:r w:rsidR="00E60984" w:rsidRPr="00AC7608">
        <w:t>20</w:t>
      </w:r>
      <w:r w:rsidR="002A6BFC" w:rsidRPr="00AC7608">
        <w:t xml:space="preserve"> years on from the </w:t>
      </w:r>
      <w:r w:rsidR="00CB1EDE" w:rsidRPr="00AC7608">
        <w:t>disaster</w:t>
      </w:r>
      <w:r w:rsidR="002A6BFC" w:rsidRPr="00AC7608">
        <w:t xml:space="preserve">, engineers and scientists from the UK Earthquake Engineering Field Investigation Team (EEFIT) and from the Indonesian Tsunami and Disaster Mitigation Research Centre (TDMRC) conducted a joint long-term recovery mission. </w:t>
      </w:r>
      <w:bookmarkStart w:id="1" w:name="_Hlk133400568"/>
      <w:r w:rsidR="002A6BFC" w:rsidRPr="00AC7608">
        <w:t xml:space="preserve">This paper reflects on how a society rebuilds after such a devastating loss and what lessons can be learnt as a community for future </w:t>
      </w:r>
      <w:r w:rsidR="008935EA" w:rsidRPr="00AC7608">
        <w:t>d</w:t>
      </w:r>
      <w:r w:rsidR="002A6BFC" w:rsidRPr="00AC7608">
        <w:t xml:space="preserve">isaster </w:t>
      </w:r>
      <w:r w:rsidR="008935EA" w:rsidRPr="00AC7608">
        <w:t>r</w:t>
      </w:r>
      <w:r w:rsidR="002A6BFC" w:rsidRPr="00AC7608">
        <w:t xml:space="preserve">isk </w:t>
      </w:r>
      <w:r w:rsidR="008935EA" w:rsidRPr="00AC7608">
        <w:t>r</w:t>
      </w:r>
      <w:r w:rsidR="002A6BFC" w:rsidRPr="00AC7608">
        <w:t xml:space="preserve">eduction. </w:t>
      </w:r>
      <w:bookmarkEnd w:id="1"/>
      <w:r w:rsidR="002A6BFC" w:rsidRPr="00AC7608">
        <w:t>The scope of the paper includes the rapid assessment of post-disaster housing, community infrastructure and preparedness measures.</w:t>
      </w:r>
    </w:p>
    <w:p w14:paraId="7A4E107C" w14:textId="57D1C09B" w:rsidR="005836EF" w:rsidRPr="00AC7608" w:rsidRDefault="002A6BFC" w:rsidP="00405620">
      <w:pPr>
        <w:pStyle w:val="SECEDHeading1"/>
      </w:pPr>
      <w:r w:rsidRPr="00AC7608">
        <w:t>Introduction</w:t>
      </w:r>
    </w:p>
    <w:p w14:paraId="42D4DAE8" w14:textId="559A9261" w:rsidR="004B319E" w:rsidRPr="00AC7608" w:rsidRDefault="004B319E" w:rsidP="00FC1339">
      <w:pPr>
        <w:pStyle w:val="SECEDBodytext"/>
      </w:pPr>
      <w:r w:rsidRPr="00AC7608">
        <w:t>On 26th December 2004 at 7:58:53 AM (local time) a moment magnitude (MW) 9.3 occurred off the west coast of northern Sumatra, Indonesia. The ground shaking was followed by a tsunami that devastated many countries across the Indian Ocean, including Indonesia and Thailand</w:t>
      </w:r>
      <w:r w:rsidR="00DE57A0" w:rsidRPr="00AC7608">
        <w:t xml:space="preserve"> (EEFIT, 2005)</w:t>
      </w:r>
      <w:r w:rsidRPr="00AC7608">
        <w:t>. In Indonesia at least 126,732 people were killed, a further 93,652 people were confirmed missing and 533,770 people were displaced as a result of the disaster (</w:t>
      </w:r>
      <w:r w:rsidR="00B618E5" w:rsidRPr="00AC7608">
        <w:t>UNO</w:t>
      </w:r>
      <w:r w:rsidRPr="00AC7608">
        <w:t xml:space="preserve">CHA, 2005). Banda Aceh was the most severely affected city in the region with about 75,000 out of the 230,000 residents killed (Borrero et al., 2006). (Syamsidik et al., 2023). </w:t>
      </w:r>
    </w:p>
    <w:p w14:paraId="615218D6" w14:textId="63E72DD4" w:rsidR="00FC1339" w:rsidRPr="00AC7608" w:rsidRDefault="00FC1339" w:rsidP="00FC1339">
      <w:pPr>
        <w:pStyle w:val="SECEDBodytext"/>
      </w:pPr>
      <w:r w:rsidRPr="00AC7608">
        <w:t xml:space="preserve">This paper presents </w:t>
      </w:r>
      <w:r w:rsidR="00AF126A" w:rsidRPr="00AC7608">
        <w:t>some preliminary findings of the</w:t>
      </w:r>
      <w:r w:rsidR="00316CAB" w:rsidRPr="00AC7608">
        <w:t xml:space="preserve"> long-term recovery</w:t>
      </w:r>
      <w:r w:rsidRPr="00AC7608">
        <w:t xml:space="preserve"> mission to Banda Aceh,</w:t>
      </w:r>
      <w:r w:rsidR="00630AA6" w:rsidRPr="00AC7608">
        <w:t xml:space="preserve"> </w:t>
      </w:r>
      <w:r w:rsidRPr="00AC7608">
        <w:t xml:space="preserve">which took place in October 2022 and was carried out by a team of engineers and scientists from the UK Earthquake Engineering Field Investigation Team (EEFIT) and from the Indonesian Tsunami and Disaster Mitigation Research Centre (TDMRC). </w:t>
      </w:r>
      <w:r w:rsidR="008223DA" w:rsidRPr="00AC7608">
        <w:t xml:space="preserve">This mission was </w:t>
      </w:r>
      <w:r w:rsidR="009F331B" w:rsidRPr="00AC7608">
        <w:t>funded by the</w:t>
      </w:r>
      <w:r w:rsidR="008223DA" w:rsidRPr="00AC7608">
        <w:t xml:space="preserve"> EPSRC ‘Learning from Earthquakes’ grant (EP/P025641/1), </w:t>
      </w:r>
      <w:r w:rsidR="00804B17" w:rsidRPr="00AC7608">
        <w:t>with the aim of</w:t>
      </w:r>
      <w:r w:rsidR="008223DA" w:rsidRPr="00AC7608">
        <w:t xml:space="preserve"> study</w:t>
      </w:r>
      <w:r w:rsidR="00804B17" w:rsidRPr="00AC7608">
        <w:t>ing</w:t>
      </w:r>
      <w:r w:rsidR="008223DA" w:rsidRPr="00AC7608">
        <w:t xml:space="preserve"> the recovery of cities affected by</w:t>
      </w:r>
      <w:r w:rsidR="00C008E6" w:rsidRPr="00AC7608">
        <w:t xml:space="preserve"> recent</w:t>
      </w:r>
      <w:r w:rsidR="008223DA" w:rsidRPr="00AC7608">
        <w:t xml:space="preserve"> earthquake and tsunami events in the Indian Ocean.</w:t>
      </w:r>
      <w:r w:rsidR="00804B17" w:rsidRPr="00AC7608">
        <w:t xml:space="preserve"> </w:t>
      </w:r>
      <w:r w:rsidR="00B51A65" w:rsidRPr="00AC7608">
        <w:t xml:space="preserve">For this purpose, </w:t>
      </w:r>
      <w:r w:rsidR="00804B17" w:rsidRPr="00AC7608">
        <w:t>t</w:t>
      </w:r>
      <w:r w:rsidR="00630AA6" w:rsidRPr="00AC7608">
        <w:t>wo more</w:t>
      </w:r>
      <w:r w:rsidR="00B51A65" w:rsidRPr="00AC7608">
        <w:t xml:space="preserve"> mission</w:t>
      </w:r>
      <w:r w:rsidR="00630AA6" w:rsidRPr="00AC7608">
        <w:t xml:space="preserve"> </w:t>
      </w:r>
      <w:r w:rsidR="00804B17" w:rsidRPr="00AC7608">
        <w:t>were</w:t>
      </w:r>
      <w:r w:rsidR="00630AA6" w:rsidRPr="00AC7608">
        <w:t xml:space="preserve"> </w:t>
      </w:r>
      <w:r w:rsidR="00804B17" w:rsidRPr="00AC7608">
        <w:t>conducted</w:t>
      </w:r>
      <w:r w:rsidR="00B51A65" w:rsidRPr="00AC7608">
        <w:t xml:space="preserve"> in parallel</w:t>
      </w:r>
      <w:r w:rsidR="00630AA6" w:rsidRPr="00AC7608">
        <w:t>:</w:t>
      </w:r>
      <w:r w:rsidR="00804B17" w:rsidRPr="00AC7608">
        <w:t xml:space="preserve"> </w:t>
      </w:r>
      <w:r w:rsidR="00F559A0" w:rsidRPr="00AC7608">
        <w:t>one in</w:t>
      </w:r>
      <w:r w:rsidR="00D64C80" w:rsidRPr="00AC7608">
        <w:t xml:space="preserve"> the</w:t>
      </w:r>
      <w:r w:rsidR="00F559A0" w:rsidRPr="00AC7608">
        <w:t xml:space="preserve"> Phang Nga province of Thailand</w:t>
      </w:r>
      <w:r w:rsidR="00D64C80" w:rsidRPr="00AC7608">
        <w:t xml:space="preserve"> </w:t>
      </w:r>
      <w:r w:rsidR="00F559A0" w:rsidRPr="00AC7608">
        <w:t>and one in Palu,</w:t>
      </w:r>
      <w:r w:rsidR="00025F6F" w:rsidRPr="00AC7608">
        <w:t xml:space="preserve"> Central Sulawesi</w:t>
      </w:r>
      <w:r w:rsidR="004B656F" w:rsidRPr="00AC7608">
        <w:t>. T</w:t>
      </w:r>
      <w:r w:rsidR="00025F6F" w:rsidRPr="00AC7608">
        <w:t>he latter</w:t>
      </w:r>
      <w:r w:rsidR="00F559A0" w:rsidRPr="00AC7608">
        <w:t xml:space="preserve"> </w:t>
      </w:r>
      <w:r w:rsidR="004B656F" w:rsidRPr="00AC7608">
        <w:t>city was severely</w:t>
      </w:r>
      <w:r w:rsidR="00F559A0" w:rsidRPr="00AC7608">
        <w:t xml:space="preserve"> </w:t>
      </w:r>
      <w:r w:rsidR="004B656F" w:rsidRPr="00AC7608">
        <w:t>hit</w:t>
      </w:r>
      <w:r w:rsidR="00F559A0" w:rsidRPr="00AC7608">
        <w:t xml:space="preserve"> by</w:t>
      </w:r>
      <w:r w:rsidR="00630AA6" w:rsidRPr="00AC7608">
        <w:t xml:space="preserve"> the 2018 Palu earthquake and tsunami</w:t>
      </w:r>
      <w:r w:rsidR="00F559A0" w:rsidRPr="00AC7608">
        <w:t xml:space="preserve"> (EEFIT, 2019)</w:t>
      </w:r>
      <w:r w:rsidR="00630AA6" w:rsidRPr="00AC7608">
        <w:t>.</w:t>
      </w:r>
      <w:r w:rsidR="00007FC9" w:rsidRPr="00AC7608">
        <w:t xml:space="preserve"> </w:t>
      </w:r>
      <w:r w:rsidR="00E43A51" w:rsidRPr="00AC7608">
        <w:t xml:space="preserve">A comprehensive report </w:t>
      </w:r>
      <w:r w:rsidR="00B93875" w:rsidRPr="00AC7608">
        <w:t>for</w:t>
      </w:r>
      <w:r w:rsidR="00E43A51" w:rsidRPr="00AC7608">
        <w:t xml:space="preserve"> all mission</w:t>
      </w:r>
      <w:r w:rsidR="00614D19" w:rsidRPr="00AC7608">
        <w:t>s</w:t>
      </w:r>
      <w:r w:rsidR="00E43A51" w:rsidRPr="00AC7608">
        <w:t xml:space="preserve"> is presented in </w:t>
      </w:r>
      <w:r w:rsidR="00614D19" w:rsidRPr="00AC7608">
        <w:t>EEFIT</w:t>
      </w:r>
      <w:r w:rsidR="007F1ACD" w:rsidRPr="00AC7608">
        <w:t xml:space="preserve"> </w:t>
      </w:r>
      <w:r w:rsidR="00614D19" w:rsidRPr="00AC7608">
        <w:t>(2023)</w:t>
      </w:r>
      <w:r w:rsidR="00E43A51" w:rsidRPr="00AC7608">
        <w:t xml:space="preserve">. </w:t>
      </w:r>
    </w:p>
    <w:p w14:paraId="7F27B29D" w14:textId="26AC1050" w:rsidR="006D2816" w:rsidRDefault="002D54B9" w:rsidP="007200FE">
      <w:pPr>
        <w:pStyle w:val="SECEDBodytext"/>
      </w:pPr>
      <w:r w:rsidRPr="00AC7608">
        <w:t>In-field a</w:t>
      </w:r>
      <w:r w:rsidR="006D2816" w:rsidRPr="00AC7608">
        <w:t>ctivities</w:t>
      </w:r>
      <w:r w:rsidR="006B640C" w:rsidRPr="00AC7608">
        <w:t xml:space="preserve"> in </w:t>
      </w:r>
      <w:r w:rsidR="00156218" w:rsidRPr="00AC7608">
        <w:t>Banda Aceh</w:t>
      </w:r>
      <w:r w:rsidR="006D2816" w:rsidRPr="00AC7608">
        <w:t xml:space="preserve"> included</w:t>
      </w:r>
      <w:r w:rsidR="00604550" w:rsidRPr="00AC7608">
        <w:t xml:space="preserve"> visits</w:t>
      </w:r>
      <w:r w:rsidR="006A7F91" w:rsidRPr="00AC7608">
        <w:t xml:space="preserve"> to</w:t>
      </w:r>
      <w:r w:rsidR="00C17DE0" w:rsidRPr="00AC7608">
        <w:t>: (</w:t>
      </w:r>
      <w:r w:rsidR="00423283" w:rsidRPr="00AC7608">
        <w:t>a</w:t>
      </w:r>
      <w:r w:rsidR="00C17DE0" w:rsidRPr="00AC7608">
        <w:t>)</w:t>
      </w:r>
      <w:r w:rsidR="006D2816" w:rsidRPr="00AC7608">
        <w:t xml:space="preserve"> investigate the reconstruction of buildings</w:t>
      </w:r>
      <w:r w:rsidR="0011727E" w:rsidRPr="00AC7608">
        <w:t xml:space="preserve"> after the 2004 Indian Ocean tsunami (IOT)</w:t>
      </w:r>
      <w:r w:rsidR="00685C81" w:rsidRPr="00AC7608">
        <w:t>,</w:t>
      </w:r>
      <w:r w:rsidR="006D2816" w:rsidRPr="00AC7608">
        <w:t xml:space="preserve"> in terms of compliance to current building codes</w:t>
      </w:r>
      <w:r w:rsidR="004B656F" w:rsidRPr="00AC7608">
        <w:t xml:space="preserve"> and</w:t>
      </w:r>
      <w:r w:rsidR="006D2816" w:rsidRPr="00AC7608">
        <w:t xml:space="preserve"> policies, including any build-back-better projects</w:t>
      </w:r>
      <w:r w:rsidR="004F5B4D" w:rsidRPr="00AC7608">
        <w:t xml:space="preserve">; </w:t>
      </w:r>
      <w:r w:rsidR="00685C81" w:rsidRPr="00AC7608">
        <w:t xml:space="preserve">(b) </w:t>
      </w:r>
      <w:r w:rsidR="00B3616C" w:rsidRPr="00AC7608">
        <w:t>evacuation structures</w:t>
      </w:r>
      <w:r w:rsidR="0032537B" w:rsidRPr="00AC7608">
        <w:t xml:space="preserve"> </w:t>
      </w:r>
      <w:r w:rsidR="00F56717" w:rsidRPr="00AC7608">
        <w:t>along with</w:t>
      </w:r>
      <w:r w:rsidR="00B3616C" w:rsidRPr="00AC7608">
        <w:t xml:space="preserve"> </w:t>
      </w:r>
      <w:r w:rsidR="003B78F7" w:rsidRPr="00AC7608">
        <w:t>participation to activities</w:t>
      </w:r>
      <w:r w:rsidR="00B3616C" w:rsidRPr="00AC7608">
        <w:t xml:space="preserve"> with local communities to understand how disaster response training is being undertaken</w:t>
      </w:r>
      <w:r w:rsidR="00604550" w:rsidRPr="00AC7608">
        <w:t xml:space="preserve">; (c) </w:t>
      </w:r>
      <w:r w:rsidR="00457446" w:rsidRPr="00AC7608">
        <w:t>tsunami nature-based soft defences.</w:t>
      </w:r>
      <w:r w:rsidR="00B3616C" w:rsidRPr="00AC7608">
        <w:t xml:space="preserve"> </w:t>
      </w:r>
      <w:r w:rsidR="000C0D72">
        <w:t>Figure 1</w:t>
      </w:r>
      <w:r w:rsidR="007D25FB">
        <w:t xml:space="preserve"> </w:t>
      </w:r>
      <w:r w:rsidR="000C0D72">
        <w:t xml:space="preserve">illustrates </w:t>
      </w:r>
      <w:r w:rsidR="001F49D2">
        <w:t>the main areas surveyed</w:t>
      </w:r>
      <w:r w:rsidR="000C0D72">
        <w:t xml:space="preserve"> within the city of Banda Aceh</w:t>
      </w:r>
      <w:r w:rsidR="007D25FB">
        <w:t xml:space="preserve"> that are mentioned in this paper. </w:t>
      </w:r>
    </w:p>
    <w:p w14:paraId="0DF360FF" w14:textId="0662AF01" w:rsidR="0094330C" w:rsidRDefault="00810B1E" w:rsidP="0074289A">
      <w:pPr>
        <w:pStyle w:val="SECEDBodytext"/>
        <w:jc w:val="center"/>
      </w:pPr>
      <w:r>
        <w:rPr>
          <w:noProof/>
        </w:rPr>
        <w:lastRenderedPageBreak/>
        <w:drawing>
          <wp:inline distT="0" distB="0" distL="0" distR="0" wp14:anchorId="5BE49E2E" wp14:editId="0000CE7D">
            <wp:extent cx="4767615" cy="350915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215" cy="3521378"/>
                    </a:xfrm>
                    <a:prstGeom prst="rect">
                      <a:avLst/>
                    </a:prstGeom>
                    <a:noFill/>
                  </pic:spPr>
                </pic:pic>
              </a:graphicData>
            </a:graphic>
          </wp:inline>
        </w:drawing>
      </w:r>
    </w:p>
    <w:p w14:paraId="76DC295B" w14:textId="2300D068" w:rsidR="007D25FB" w:rsidRPr="00AC7608" w:rsidRDefault="007D25FB" w:rsidP="007D25FB">
      <w:pPr>
        <w:pStyle w:val="SECEDCaption"/>
      </w:pPr>
      <w:r>
        <w:t>Figure 1</w:t>
      </w:r>
      <w:r w:rsidR="00155CCA">
        <w:t>. Main surveyed areas within Banda Aceh city</w:t>
      </w:r>
      <w:r w:rsidR="00B57221">
        <w:t>.</w:t>
      </w:r>
    </w:p>
    <w:p w14:paraId="71166A80" w14:textId="20897422" w:rsidR="009776B3" w:rsidRPr="00AC7608" w:rsidRDefault="0032537B" w:rsidP="000702D7">
      <w:pPr>
        <w:pStyle w:val="SECEDHeading1"/>
      </w:pPr>
      <w:r w:rsidRPr="00AC7608">
        <w:t xml:space="preserve">Reconstruction </w:t>
      </w:r>
      <w:r w:rsidR="00123CF3" w:rsidRPr="00AC7608">
        <w:t>of buildings</w:t>
      </w:r>
    </w:p>
    <w:p w14:paraId="55D7F7E5" w14:textId="3B3ACA2B" w:rsidR="00B820B9" w:rsidRPr="00AC7608" w:rsidRDefault="00A7695C" w:rsidP="00B820B9">
      <w:pPr>
        <w:pStyle w:val="SECEDBodytext"/>
      </w:pPr>
      <w:r w:rsidRPr="00AC7608">
        <w:t>The EEFIT team visited various residential areas within the city of Banda Aceh, with the aim of capturing the nature and condition of the housing projects that were developed either in the aftermath of the tsunami or more recent</w:t>
      </w:r>
      <w:r w:rsidR="004B656F" w:rsidRPr="00AC7608">
        <w:t>ly</w:t>
      </w:r>
      <w:r w:rsidRPr="00AC7608">
        <w:t xml:space="preserve">. </w:t>
      </w:r>
      <w:r w:rsidR="007F7DFF" w:rsidRPr="00AC7608">
        <w:t>In 2004 m</w:t>
      </w:r>
      <w:r w:rsidR="00B820B9" w:rsidRPr="00AC7608">
        <w:t xml:space="preserve">ost of the buildings within 2km from the coastline were severely damaged or washed </w:t>
      </w:r>
      <w:r w:rsidR="007F7DFF" w:rsidRPr="00AC7608">
        <w:t>by the</w:t>
      </w:r>
      <w:r w:rsidR="00B820B9" w:rsidRPr="00AC7608">
        <w:t xml:space="preserve"> tsunami.</w:t>
      </w:r>
      <w:r w:rsidR="00217550" w:rsidRPr="00AC7608">
        <w:t xml:space="preserve"> </w:t>
      </w:r>
      <w:r w:rsidR="00F10293" w:rsidRPr="00AC7608">
        <w:t xml:space="preserve">According to a recent survey, </w:t>
      </w:r>
      <w:r w:rsidR="00B820B9" w:rsidRPr="00AC7608">
        <w:t>around 88% of the buildings are built with confined masonry, while the rest is mostly built with reinforced concrete (RC) and timber, respectively 11% and 1%</w:t>
      </w:r>
      <w:r w:rsidR="007F7DFF" w:rsidRPr="00AC7608">
        <w:t xml:space="preserve"> (Syamsidik et al., 2023)</w:t>
      </w:r>
      <w:r w:rsidR="00B820B9" w:rsidRPr="00AC7608">
        <w:t xml:space="preserve">. </w:t>
      </w:r>
    </w:p>
    <w:p w14:paraId="29ADA9BC" w14:textId="3E34AF4D" w:rsidR="000E7098" w:rsidRPr="00AC7608" w:rsidRDefault="000E7098" w:rsidP="00B820B9">
      <w:pPr>
        <w:pStyle w:val="SECEDBodytext"/>
        <w:rPr>
          <w:i/>
          <w:iCs/>
        </w:rPr>
      </w:pPr>
      <w:r w:rsidRPr="00AC7608">
        <w:rPr>
          <w:i/>
          <w:iCs/>
        </w:rPr>
        <w:t>Design codes for earthquake and tsunami loading</w:t>
      </w:r>
    </w:p>
    <w:p w14:paraId="12A76755" w14:textId="7D7B08ED" w:rsidR="0056358C" w:rsidRPr="00AC7608" w:rsidRDefault="006F3717" w:rsidP="004D193A">
      <w:pPr>
        <w:pStyle w:val="SECEDBodytext"/>
      </w:pPr>
      <w:r w:rsidRPr="00AC7608">
        <w:t xml:space="preserve">In </w:t>
      </w:r>
      <w:r w:rsidR="004B656F" w:rsidRPr="00AC7608">
        <w:t xml:space="preserve">Indonesia </w:t>
      </w:r>
      <w:r w:rsidRPr="00AC7608">
        <w:t xml:space="preserve">the first seismic design code for buildings was published </w:t>
      </w:r>
      <w:r w:rsidR="004B656F" w:rsidRPr="00AC7608">
        <w:t xml:space="preserve">in 1989 </w:t>
      </w:r>
      <w:r w:rsidRPr="00AC7608">
        <w:t>as SNI</w:t>
      </w:r>
      <w:r w:rsidR="004B656F" w:rsidRPr="00AC7608">
        <w:t xml:space="preserve"> </w:t>
      </w:r>
      <w:r w:rsidRPr="00AC7608">
        <w:t>1726</w:t>
      </w:r>
      <w:r w:rsidR="004B656F" w:rsidRPr="00AC7608">
        <w:t>:</w:t>
      </w:r>
      <w:r w:rsidRPr="00AC7608">
        <w:t>1989</w:t>
      </w:r>
      <w:r w:rsidR="00840908" w:rsidRPr="00AC7608">
        <w:t xml:space="preserve"> (BSN, 1989)</w:t>
      </w:r>
      <w:r w:rsidRPr="00AC7608">
        <w:t xml:space="preserve">. Before then, </w:t>
      </w:r>
      <w:r w:rsidR="003C086E" w:rsidRPr="00AC7608">
        <w:t>the</w:t>
      </w:r>
      <w:r w:rsidR="004B656F" w:rsidRPr="00AC7608">
        <w:t xml:space="preserve"> 1960s</w:t>
      </w:r>
      <w:r w:rsidR="003C086E" w:rsidRPr="00AC7608">
        <w:t xml:space="preserve"> design code</w:t>
      </w:r>
      <w:r w:rsidR="004B656F" w:rsidRPr="00AC7608">
        <w:t>s</w:t>
      </w:r>
      <w:r w:rsidR="003C086E" w:rsidRPr="00AC7608">
        <w:t xml:space="preserve"> included the reference to earthquake loading as </w:t>
      </w:r>
      <w:r w:rsidR="00D13ED3" w:rsidRPr="00AC7608">
        <w:t>live load</w:t>
      </w:r>
      <w:r w:rsidR="004D193A" w:rsidRPr="00AC7608">
        <w:t xml:space="preserve">. </w:t>
      </w:r>
      <w:r w:rsidR="0056358C" w:rsidRPr="00AC7608">
        <w:t xml:space="preserve">The seismic code was </w:t>
      </w:r>
      <w:r w:rsidR="004D193A" w:rsidRPr="00AC7608">
        <w:t>then revised</w:t>
      </w:r>
      <w:r w:rsidR="0056358C" w:rsidRPr="00AC7608">
        <w:t xml:space="preserve"> in the early 2000s through the SNI 1726:2002 (BSN, 2002), which </w:t>
      </w:r>
      <w:r w:rsidR="004B656F" w:rsidRPr="00AC7608">
        <w:t>was</w:t>
      </w:r>
      <w:r w:rsidR="0056358C" w:rsidRPr="00AC7608">
        <w:t xml:space="preserve"> inspired by the American Uniform Building Code 1997 (UBC, 1997). Eight years after the 2004 IOT, stricter seismic design provisions were introduced in the latest version of the design code the SNI 1726:2012 (BSN, 2012), which was made consistent with the American ASCE 7–10 (ASCE, 2010). </w:t>
      </w:r>
      <w:r w:rsidR="00B25073" w:rsidRPr="00AC7608">
        <w:t xml:space="preserve">The 2012 seismic code was initially based on </w:t>
      </w:r>
      <w:r w:rsidR="00227CEA" w:rsidRPr="00AC7608">
        <w:t>a</w:t>
      </w:r>
      <w:r w:rsidR="00B25073" w:rsidRPr="00AC7608">
        <w:t xml:space="preserve"> deterministic seismic hazard analysis.</w:t>
      </w:r>
      <w:r w:rsidR="00FE586B" w:rsidRPr="00AC7608">
        <w:t xml:space="preserve"> T</w:t>
      </w:r>
      <w:r w:rsidR="00B25073" w:rsidRPr="00AC7608">
        <w:t xml:space="preserve">he National Earthquake Hazard Map was updated </w:t>
      </w:r>
      <w:r w:rsidR="00FE586B" w:rsidRPr="00AC7608">
        <w:t>in 2017, following</w:t>
      </w:r>
      <w:r w:rsidR="00B25073" w:rsidRPr="00AC7608">
        <w:t xml:space="preserve"> the Pidie Jaya Earthquake in 2016. The </w:t>
      </w:r>
      <w:r w:rsidR="00227CEA" w:rsidRPr="00AC7608">
        <w:t>most rece</w:t>
      </w:r>
      <w:r w:rsidR="00D551D3" w:rsidRPr="00AC7608">
        <w:t xml:space="preserve">nt </w:t>
      </w:r>
      <w:r w:rsidR="00B25073" w:rsidRPr="00AC7608">
        <w:t>seismic code is</w:t>
      </w:r>
      <w:r w:rsidR="00D551D3" w:rsidRPr="00AC7608">
        <w:t xml:space="preserve"> the</w:t>
      </w:r>
      <w:r w:rsidR="00B25073" w:rsidRPr="00AC7608">
        <w:t xml:space="preserve"> SNI 1726</w:t>
      </w:r>
      <w:r w:rsidR="00D551D3" w:rsidRPr="00AC7608">
        <w:t>:</w:t>
      </w:r>
      <w:r w:rsidR="00B25073" w:rsidRPr="00AC7608">
        <w:t>2019</w:t>
      </w:r>
      <w:r w:rsidR="00D551D3" w:rsidRPr="00AC7608">
        <w:t>, which</w:t>
      </w:r>
      <w:r w:rsidR="00B25073" w:rsidRPr="00AC7608">
        <w:t xml:space="preserve"> refer</w:t>
      </w:r>
      <w:r w:rsidR="00D551D3" w:rsidRPr="00AC7608">
        <w:t>s</w:t>
      </w:r>
      <w:r w:rsidR="00B25073" w:rsidRPr="00AC7608">
        <w:t xml:space="preserve"> to ASCE 7-16</w:t>
      </w:r>
      <w:r w:rsidR="00D551D3" w:rsidRPr="00AC7608">
        <w:t xml:space="preserve"> (ASCE, 2017) and </w:t>
      </w:r>
      <w:r w:rsidR="00B25073" w:rsidRPr="00AC7608">
        <w:t>include</w:t>
      </w:r>
      <w:r w:rsidR="00D551D3" w:rsidRPr="00AC7608">
        <w:t>s</w:t>
      </w:r>
      <w:r w:rsidR="00B25073" w:rsidRPr="00AC7608">
        <w:t xml:space="preserve"> </w:t>
      </w:r>
      <w:r w:rsidR="00FA609F" w:rsidRPr="00AC7608">
        <w:t>tsunami loading</w:t>
      </w:r>
      <w:r w:rsidR="00D551D3" w:rsidRPr="00AC7608">
        <w:t>.</w:t>
      </w:r>
      <w:r w:rsidR="00FA609F" w:rsidRPr="00AC7608">
        <w:t xml:space="preserve"> In fact, tsunami loads and effects were included in the national standard for </w:t>
      </w:r>
      <w:r w:rsidR="00CA55FB" w:rsidRPr="00AC7608">
        <w:t>loading</w:t>
      </w:r>
      <w:r w:rsidR="00FA609F" w:rsidRPr="00AC7608">
        <w:t xml:space="preserve"> SNI 1727:2013, which referred to FEMA P262. Th</w:t>
      </w:r>
      <w:r w:rsidR="00CA55FB" w:rsidRPr="00AC7608">
        <w:t>is</w:t>
      </w:r>
      <w:r w:rsidR="00FA609F" w:rsidRPr="00AC7608">
        <w:t xml:space="preserve"> code was updated</w:t>
      </w:r>
      <w:r w:rsidR="00CA55FB" w:rsidRPr="00AC7608">
        <w:t xml:space="preserve"> recently and is now referred to as</w:t>
      </w:r>
      <w:r w:rsidR="00FA609F" w:rsidRPr="00AC7608">
        <w:t xml:space="preserve"> SNI 1727</w:t>
      </w:r>
      <w:r w:rsidR="00FE586B" w:rsidRPr="00AC7608">
        <w:t>:</w:t>
      </w:r>
      <w:r w:rsidR="00FA609F" w:rsidRPr="00AC7608">
        <w:t xml:space="preserve">2019. </w:t>
      </w:r>
      <w:r w:rsidR="0056358C" w:rsidRPr="00AC7608">
        <w:t xml:space="preserve">It should be noted that any improvement in the design code may not be directly reflected in the construction practice, particularly when it comes to seismic detailing of structural members. </w:t>
      </w:r>
    </w:p>
    <w:p w14:paraId="57BD125E" w14:textId="77777777" w:rsidR="00E4420E" w:rsidRPr="00AC7608" w:rsidRDefault="00E4420E" w:rsidP="00E4420E">
      <w:pPr>
        <w:pStyle w:val="SECEDHeading2"/>
      </w:pPr>
      <w:r w:rsidRPr="00AC7608">
        <w:t>Residential houses</w:t>
      </w:r>
    </w:p>
    <w:p w14:paraId="594E02BA" w14:textId="5E19D502" w:rsidR="00B820B9" w:rsidRPr="00AC7608" w:rsidRDefault="00B820B9" w:rsidP="00B820B9">
      <w:pPr>
        <w:pStyle w:val="SECEDBodytext"/>
      </w:pPr>
      <w:r w:rsidRPr="00AC7608">
        <w:t xml:space="preserve">A large social housing project in Flamboyan, about 2km inland, represents one of the few examples of high-rise residential structures in Banda Aceh (Figure </w:t>
      </w:r>
      <w:r w:rsidR="00BA65DB">
        <w:t>2</w:t>
      </w:r>
      <w:r w:rsidRPr="00AC7608">
        <w:t xml:space="preserve">a). Four RC blocks were built by a partnership between the municipality of Banda Aceh and the national government to house families that cannot afford buying a property. The multi-storey buildings present several openings at the ground level and along the height of the structure. This helps to reduce the tsunami loading acting on the building. However, roofs are double-pitched, hence these buildings may not be used as last-resort refuge for tsunami vertical evacuation. </w:t>
      </w:r>
    </w:p>
    <w:p w14:paraId="20CB810C" w14:textId="77777777" w:rsidR="00B820B9" w:rsidRPr="00AC7608" w:rsidRDefault="00B820B9" w:rsidP="00B820B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8"/>
        <w:gridCol w:w="5630"/>
      </w:tblGrid>
      <w:tr w:rsidR="00AC7608" w:rsidRPr="00AC7608" w14:paraId="501C898E" w14:textId="77777777" w:rsidTr="0045771C">
        <w:tc>
          <w:tcPr>
            <w:tcW w:w="3326" w:type="dxa"/>
          </w:tcPr>
          <w:p w14:paraId="3A227D48" w14:textId="10503495" w:rsidR="00B820B9" w:rsidRPr="00AC7608" w:rsidRDefault="002C1481" w:rsidP="0045771C">
            <w:pPr>
              <w:jc w:val="center"/>
            </w:pPr>
            <w:r w:rsidRPr="00AC7608">
              <w:rPr>
                <w:noProof/>
              </w:rPr>
              <w:drawing>
                <wp:inline distT="0" distB="0" distL="0" distR="0" wp14:anchorId="7453B90B" wp14:editId="257D6C32">
                  <wp:extent cx="1507835" cy="201600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7835" cy="2016000"/>
                          </a:xfrm>
                          <a:prstGeom prst="rect">
                            <a:avLst/>
                          </a:prstGeom>
                          <a:noFill/>
                        </pic:spPr>
                      </pic:pic>
                    </a:graphicData>
                  </a:graphic>
                </wp:inline>
              </w:drawing>
            </w:r>
          </w:p>
        </w:tc>
        <w:tc>
          <w:tcPr>
            <w:tcW w:w="5690" w:type="dxa"/>
          </w:tcPr>
          <w:p w14:paraId="582CF76A" w14:textId="6DE793D8" w:rsidR="00B820B9" w:rsidRPr="00AC7608" w:rsidRDefault="002C1481" w:rsidP="009B60F6">
            <w:pPr>
              <w:jc w:val="center"/>
            </w:pPr>
            <w:r w:rsidRPr="00AC7608">
              <w:rPr>
                <w:noProof/>
              </w:rPr>
              <w:drawing>
                <wp:inline distT="0" distB="0" distL="0" distR="0" wp14:anchorId="45E0BF28" wp14:editId="5E118924">
                  <wp:extent cx="3415537" cy="20160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5537" cy="2016000"/>
                          </a:xfrm>
                          <a:prstGeom prst="rect">
                            <a:avLst/>
                          </a:prstGeom>
                          <a:noFill/>
                        </pic:spPr>
                      </pic:pic>
                    </a:graphicData>
                  </a:graphic>
                </wp:inline>
              </w:drawing>
            </w:r>
          </w:p>
        </w:tc>
      </w:tr>
      <w:tr w:rsidR="00AC7608" w:rsidRPr="00AC7608" w14:paraId="4C6E205C" w14:textId="77777777" w:rsidTr="0045771C">
        <w:tc>
          <w:tcPr>
            <w:tcW w:w="3326" w:type="dxa"/>
          </w:tcPr>
          <w:p w14:paraId="50334FFC" w14:textId="207532F2" w:rsidR="00AA4BBB" w:rsidRPr="001B04E0" w:rsidRDefault="00AA4BBB" w:rsidP="0045771C">
            <w:pPr>
              <w:jc w:val="center"/>
              <w:rPr>
                <w:noProof/>
                <w:sz w:val="16"/>
                <w:szCs w:val="16"/>
              </w:rPr>
            </w:pPr>
            <w:r w:rsidRPr="001B04E0">
              <w:rPr>
                <w:noProof/>
                <w:sz w:val="16"/>
                <w:szCs w:val="16"/>
              </w:rPr>
              <w:t>(a)</w:t>
            </w:r>
          </w:p>
        </w:tc>
        <w:tc>
          <w:tcPr>
            <w:tcW w:w="5690" w:type="dxa"/>
          </w:tcPr>
          <w:p w14:paraId="5B905DDF" w14:textId="391AE8B0" w:rsidR="00AA4BBB" w:rsidRPr="001B04E0" w:rsidRDefault="00AA4BBB" w:rsidP="00AA4BBB">
            <w:pPr>
              <w:jc w:val="center"/>
              <w:rPr>
                <w:noProof/>
                <w:sz w:val="16"/>
                <w:szCs w:val="16"/>
              </w:rPr>
            </w:pPr>
            <w:r w:rsidRPr="001B04E0">
              <w:rPr>
                <w:noProof/>
                <w:sz w:val="16"/>
                <w:szCs w:val="16"/>
              </w:rPr>
              <w:t>(b)</w:t>
            </w:r>
          </w:p>
        </w:tc>
      </w:tr>
      <w:tr w:rsidR="00AC7608" w:rsidRPr="00AC7608" w14:paraId="35887A2F" w14:textId="77777777" w:rsidTr="0045771C">
        <w:tc>
          <w:tcPr>
            <w:tcW w:w="9016" w:type="dxa"/>
            <w:gridSpan w:val="2"/>
          </w:tcPr>
          <w:p w14:paraId="71D5E393" w14:textId="42CE8F12" w:rsidR="00B820B9" w:rsidRPr="00AC7608" w:rsidRDefault="00B820B9" w:rsidP="00F10293">
            <w:pPr>
              <w:pStyle w:val="SECEDCaption"/>
              <w:rPr>
                <w:noProof/>
              </w:rPr>
            </w:pPr>
            <w:r w:rsidRPr="00AC7608">
              <w:rPr>
                <w:noProof/>
              </w:rPr>
              <w:t xml:space="preserve">Figure </w:t>
            </w:r>
            <w:r w:rsidR="00BA65DB">
              <w:rPr>
                <w:noProof/>
              </w:rPr>
              <w:t>2</w:t>
            </w:r>
            <w:r w:rsidRPr="00AC7608">
              <w:rPr>
                <w:noProof/>
              </w:rPr>
              <w:t xml:space="preserve">. </w:t>
            </w:r>
            <w:r w:rsidR="00C25512" w:rsidRPr="00AC7608">
              <w:rPr>
                <w:noProof/>
              </w:rPr>
              <w:t>R</w:t>
            </w:r>
            <w:r w:rsidRPr="00AC7608">
              <w:rPr>
                <w:noProof/>
              </w:rPr>
              <w:t xml:space="preserve">esidential </w:t>
            </w:r>
            <w:r w:rsidR="00C25512" w:rsidRPr="00AC7608">
              <w:rPr>
                <w:noProof/>
              </w:rPr>
              <w:t>buildings: (a)</w:t>
            </w:r>
            <w:r w:rsidRPr="00AC7608">
              <w:rPr>
                <w:noProof/>
              </w:rPr>
              <w:t xml:space="preserve"> Flamboyan</w:t>
            </w:r>
            <w:r w:rsidR="00C25512" w:rsidRPr="00AC7608">
              <w:rPr>
                <w:noProof/>
              </w:rPr>
              <w:t>;</w:t>
            </w:r>
            <w:r w:rsidRPr="00AC7608">
              <w:rPr>
                <w:noProof/>
              </w:rPr>
              <w:t xml:space="preserve"> and (b) </w:t>
            </w:r>
            <w:r w:rsidR="00C25512" w:rsidRPr="00AC7608">
              <w:rPr>
                <w:noProof/>
              </w:rPr>
              <w:t>Lumpuuk</w:t>
            </w:r>
            <w:r w:rsidRPr="00AC7608">
              <w:rPr>
                <w:noProof/>
              </w:rPr>
              <w:t xml:space="preserve">. </w:t>
            </w:r>
          </w:p>
        </w:tc>
      </w:tr>
    </w:tbl>
    <w:p w14:paraId="5FEB50AA" w14:textId="63F13668" w:rsidR="00B820B9" w:rsidRPr="00AC7608" w:rsidRDefault="00B820B9" w:rsidP="009B60F6">
      <w:pPr>
        <w:pStyle w:val="SECEDBodytext"/>
      </w:pPr>
      <w:r w:rsidRPr="00AC7608">
        <w:t xml:space="preserve">Most of the reconstruction housing projects resulted in low-rise single houses, with one or two stories. </w:t>
      </w:r>
      <w:r w:rsidR="00CA5FD3" w:rsidRPr="00AC7608">
        <w:t xml:space="preserve">A </w:t>
      </w:r>
      <w:r w:rsidRPr="00AC7608">
        <w:t xml:space="preserve">substantial </w:t>
      </w:r>
      <w:r w:rsidR="00CA5FD3" w:rsidRPr="00AC7608">
        <w:t>difference</w:t>
      </w:r>
      <w:r w:rsidRPr="00AC7608">
        <w:t xml:space="preserve"> in the quality of construction</w:t>
      </w:r>
      <w:r w:rsidR="00CA5FD3" w:rsidRPr="00AC7608">
        <w:t xml:space="preserve"> was observed</w:t>
      </w:r>
      <w:r w:rsidRPr="00AC7608">
        <w:t>, mostly depend</w:t>
      </w:r>
      <w:r w:rsidR="00FE586B" w:rsidRPr="00AC7608">
        <w:t>e</w:t>
      </w:r>
      <w:r w:rsidR="00CA5FD3" w:rsidRPr="00AC7608">
        <w:t xml:space="preserve">nt </w:t>
      </w:r>
      <w:r w:rsidRPr="00AC7608">
        <w:t xml:space="preserve">on the country or agency that </w:t>
      </w:r>
      <w:r w:rsidR="00CA5FD3" w:rsidRPr="00AC7608">
        <w:t xml:space="preserve">financially </w:t>
      </w:r>
      <w:r w:rsidRPr="00AC7608">
        <w:t xml:space="preserve">supported the </w:t>
      </w:r>
      <w:r w:rsidR="00CA5FD3" w:rsidRPr="00AC7608">
        <w:t>re</w:t>
      </w:r>
      <w:r w:rsidRPr="00AC7608">
        <w:t xml:space="preserve">construction. For </w:t>
      </w:r>
      <w:r w:rsidR="00CA5FD3" w:rsidRPr="00AC7608">
        <w:t>instance</w:t>
      </w:r>
      <w:r w:rsidR="00B13FDC" w:rsidRPr="00AC7608">
        <w:t xml:space="preserve"> the coastal town of </w:t>
      </w:r>
      <w:r w:rsidRPr="00AC7608">
        <w:t>Lampuuk</w:t>
      </w:r>
      <w:r w:rsidR="00CA5FD3" w:rsidRPr="00AC7608">
        <w:t xml:space="preserve">, </w:t>
      </w:r>
      <w:r w:rsidR="00B13FDC" w:rsidRPr="00AC7608">
        <w:t>which</w:t>
      </w:r>
      <w:r w:rsidRPr="00AC7608">
        <w:t xml:space="preserve"> was completely swept away </w:t>
      </w:r>
      <w:r w:rsidR="00FE586B" w:rsidRPr="00AC7608">
        <w:t>by</w:t>
      </w:r>
      <w:r w:rsidRPr="00AC7608">
        <w:t xml:space="preserve"> the tsunami, was reconstructed with the support of the Turkish Government. </w:t>
      </w:r>
      <w:r w:rsidR="003C08CF" w:rsidRPr="00AC7608">
        <w:t xml:space="preserve">Figure </w:t>
      </w:r>
      <w:r w:rsidR="00BA65DB">
        <w:t>2</w:t>
      </w:r>
      <w:r w:rsidR="002A7E38" w:rsidRPr="00AC7608">
        <w:t>b</w:t>
      </w:r>
      <w:r w:rsidR="003C08CF" w:rsidRPr="00AC7608">
        <w:t xml:space="preserve"> shows </w:t>
      </w:r>
      <w:r w:rsidR="00FE586B" w:rsidRPr="00AC7608">
        <w:t>a</w:t>
      </w:r>
      <w:r w:rsidRPr="00AC7608">
        <w:t xml:space="preserve"> typical single-family house made of confined masonry</w:t>
      </w:r>
      <w:r w:rsidR="003C08CF" w:rsidRPr="00AC7608">
        <w:t>. By visual inspection, most of the houses were found in g</w:t>
      </w:r>
      <w:r w:rsidRPr="00AC7608">
        <w:t xml:space="preserve">ood conditions and with apparent little modifications, nearly 15 years after the construction. </w:t>
      </w:r>
    </w:p>
    <w:p w14:paraId="070DF864" w14:textId="12F46055" w:rsidR="00B5338D" w:rsidRDefault="00821F3B" w:rsidP="00B5338D">
      <w:pPr>
        <w:pStyle w:val="SECEDBodytext"/>
      </w:pPr>
      <w:r w:rsidRPr="00AC7608">
        <w:t xml:space="preserve">Post-disaster </w:t>
      </w:r>
      <w:r w:rsidR="00B5338D" w:rsidRPr="00AC7608">
        <w:t xml:space="preserve">construction near the coastline was allowed only for the fishing communities. One notable example is the temporary housing resettlement in Todak, near the Floodway Channel. Typical housing units, shown in Figure </w:t>
      </w:r>
      <w:r w:rsidR="00BA65DB">
        <w:t>3</w:t>
      </w:r>
      <w:r w:rsidR="00B5338D" w:rsidRPr="00AC7608">
        <w:t xml:space="preserve">a, are made of confined masonry with asbestos roofs, and are supported on stilt-like foundations. These </w:t>
      </w:r>
      <w:r w:rsidR="00DE63D4" w:rsidRPr="00AC7608">
        <w:t xml:space="preserve">were deemed a suitable solution to protect houses </w:t>
      </w:r>
      <w:r w:rsidR="00B5338D" w:rsidRPr="00AC7608">
        <w:t xml:space="preserve">from </w:t>
      </w:r>
      <w:r w:rsidR="00DE63D4" w:rsidRPr="00AC7608">
        <w:t xml:space="preserve">the effects of </w:t>
      </w:r>
      <w:r w:rsidR="0090745D" w:rsidRPr="00AC7608">
        <w:t xml:space="preserve">tsunami </w:t>
      </w:r>
      <w:r w:rsidR="00B5338D" w:rsidRPr="00AC7608">
        <w:t>scour effects. Some of units are now being replaced by more permanent structures, whose design follows more traditional practice</w:t>
      </w:r>
      <w:r w:rsidR="0090745D" w:rsidRPr="00AC7608">
        <w:t>.</w:t>
      </w:r>
      <w:r w:rsidR="005D746B">
        <w:t xml:space="preserve"> </w:t>
      </w:r>
      <w:r w:rsidR="00005DF5" w:rsidRPr="00AC7608">
        <w:t xml:space="preserve">Observation from a </w:t>
      </w:r>
      <w:r w:rsidR="00B5338D" w:rsidRPr="00AC7608">
        <w:t>construction site</w:t>
      </w:r>
      <w:r w:rsidR="00694862" w:rsidRPr="00AC7608">
        <w:t xml:space="preserve"> </w:t>
      </w:r>
      <w:r w:rsidR="00D139E9" w:rsidRPr="00AC7608">
        <w:t xml:space="preserve">(Figure </w:t>
      </w:r>
      <w:r w:rsidR="00BA65DB">
        <w:t>3</w:t>
      </w:r>
      <w:r w:rsidR="00D139E9" w:rsidRPr="00AC7608">
        <w:t>b)</w:t>
      </w:r>
      <w:r w:rsidR="00B5338D" w:rsidRPr="00AC7608">
        <w:t xml:space="preserve"> indicate that the structural detailing of the new units is relatively deficient for earthquake resistance, e.g. </w:t>
      </w:r>
      <w:r w:rsidR="00D139E9" w:rsidRPr="00AC7608">
        <w:t xml:space="preserve">still </w:t>
      </w:r>
      <w:r w:rsidR="00B5338D" w:rsidRPr="00AC7608">
        <w:t>us</w:t>
      </w:r>
      <w:r w:rsidR="00D139E9" w:rsidRPr="00AC7608">
        <w:t xml:space="preserve">ing </w:t>
      </w:r>
      <w:r w:rsidR="00B5338D" w:rsidRPr="00AC7608">
        <w:t>smooth bars in relatively slender columns</w:t>
      </w:r>
      <w:r w:rsidR="00D139E9" w:rsidRPr="00AC7608">
        <w:t xml:space="preserve"> and beams</w:t>
      </w:r>
      <w:r w:rsidR="00B5338D" w:rsidRPr="00AC7608">
        <w:t xml:space="preserve"> foundations</w:t>
      </w:r>
      <w:r w:rsidR="00015F77" w:rsidRPr="00AC7608">
        <w:t xml:space="preserve"> directly</w:t>
      </w:r>
      <w:r w:rsidR="00B5338D" w:rsidRPr="00AC7608">
        <w:t xml:space="preserve"> sit</w:t>
      </w:r>
      <w:r w:rsidR="00015F77" w:rsidRPr="00AC7608">
        <w:t>ting</w:t>
      </w:r>
      <w:r w:rsidR="00B5338D" w:rsidRPr="00AC7608">
        <w:t xml:space="preserve"> on the ground.  </w:t>
      </w:r>
    </w:p>
    <w:p w14:paraId="2FEA4FB7" w14:textId="77777777" w:rsidR="003B3467" w:rsidRPr="00AC7608" w:rsidRDefault="003B3467" w:rsidP="00B5338D">
      <w:pPr>
        <w:pStyle w:val="SECED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2"/>
        <w:gridCol w:w="4986"/>
      </w:tblGrid>
      <w:tr w:rsidR="00AC7608" w:rsidRPr="00AC7608" w14:paraId="7A13F7FC" w14:textId="77777777" w:rsidTr="006E1AB9">
        <w:tc>
          <w:tcPr>
            <w:tcW w:w="3544" w:type="dxa"/>
          </w:tcPr>
          <w:p w14:paraId="3DFEC4CF" w14:textId="1D8C157A" w:rsidR="00B5338D" w:rsidRPr="00AC7608" w:rsidRDefault="002C1481" w:rsidP="0045771C">
            <w:pPr>
              <w:jc w:val="center"/>
            </w:pPr>
            <w:r w:rsidRPr="00AC7608">
              <w:rPr>
                <w:noProof/>
              </w:rPr>
              <w:drawing>
                <wp:inline distT="0" distB="0" distL="0" distR="0" wp14:anchorId="52C580DD" wp14:editId="646B9FA0">
                  <wp:extent cx="1704755" cy="226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04755" cy="2268000"/>
                          </a:xfrm>
                          <a:prstGeom prst="rect">
                            <a:avLst/>
                          </a:prstGeom>
                          <a:noFill/>
                          <a:ln>
                            <a:noFill/>
                          </a:ln>
                        </pic:spPr>
                      </pic:pic>
                    </a:graphicData>
                  </a:graphic>
                </wp:inline>
              </w:drawing>
            </w:r>
          </w:p>
        </w:tc>
        <w:tc>
          <w:tcPr>
            <w:tcW w:w="4954" w:type="dxa"/>
          </w:tcPr>
          <w:p w14:paraId="71D100AE" w14:textId="77E2C49C" w:rsidR="00B5338D" w:rsidRPr="00AC7608" w:rsidRDefault="002C1481" w:rsidP="007831F5">
            <w:pPr>
              <w:jc w:val="center"/>
            </w:pPr>
            <w:r w:rsidRPr="00AC7608">
              <w:rPr>
                <w:noProof/>
              </w:rPr>
              <w:drawing>
                <wp:inline distT="0" distB="0" distL="0" distR="0" wp14:anchorId="37370D1A" wp14:editId="165C9E43">
                  <wp:extent cx="3021514" cy="2268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514" cy="2268000"/>
                          </a:xfrm>
                          <a:prstGeom prst="rect">
                            <a:avLst/>
                          </a:prstGeom>
                          <a:noFill/>
                          <a:ln>
                            <a:noFill/>
                          </a:ln>
                        </pic:spPr>
                      </pic:pic>
                    </a:graphicData>
                  </a:graphic>
                </wp:inline>
              </w:drawing>
            </w:r>
          </w:p>
        </w:tc>
      </w:tr>
      <w:tr w:rsidR="007A517B" w:rsidRPr="00AC7608" w14:paraId="584D8E19" w14:textId="77777777" w:rsidTr="006E1AB9">
        <w:tc>
          <w:tcPr>
            <w:tcW w:w="3544" w:type="dxa"/>
          </w:tcPr>
          <w:p w14:paraId="6E62E76D" w14:textId="7A93C431" w:rsidR="007A517B" w:rsidRPr="007A517B" w:rsidRDefault="007A517B" w:rsidP="0045771C">
            <w:pPr>
              <w:jc w:val="center"/>
              <w:rPr>
                <w:noProof/>
                <w:sz w:val="16"/>
                <w:szCs w:val="16"/>
              </w:rPr>
            </w:pPr>
            <w:r w:rsidRPr="007A517B">
              <w:rPr>
                <w:noProof/>
                <w:sz w:val="16"/>
                <w:szCs w:val="16"/>
              </w:rPr>
              <w:t>(a)</w:t>
            </w:r>
          </w:p>
        </w:tc>
        <w:tc>
          <w:tcPr>
            <w:tcW w:w="4954" w:type="dxa"/>
          </w:tcPr>
          <w:p w14:paraId="63553E8D" w14:textId="163BF157" w:rsidR="007A517B" w:rsidRPr="007A517B" w:rsidRDefault="007A517B" w:rsidP="007831F5">
            <w:pPr>
              <w:jc w:val="center"/>
              <w:rPr>
                <w:noProof/>
                <w:sz w:val="16"/>
                <w:szCs w:val="16"/>
              </w:rPr>
            </w:pPr>
            <w:r w:rsidRPr="007A517B">
              <w:rPr>
                <w:noProof/>
                <w:sz w:val="16"/>
                <w:szCs w:val="16"/>
              </w:rPr>
              <w:t>(b)</w:t>
            </w:r>
          </w:p>
        </w:tc>
      </w:tr>
      <w:tr w:rsidR="00AC7608" w:rsidRPr="00AC7608" w14:paraId="675A8910" w14:textId="77777777" w:rsidTr="006E1AB9">
        <w:tc>
          <w:tcPr>
            <w:tcW w:w="8498" w:type="dxa"/>
            <w:gridSpan w:val="2"/>
          </w:tcPr>
          <w:p w14:paraId="6B1D8A96" w14:textId="1FA6ABB6" w:rsidR="00B5338D" w:rsidRPr="00AC7608" w:rsidRDefault="00B5338D" w:rsidP="007831F5">
            <w:pPr>
              <w:pStyle w:val="SECEDCaption"/>
            </w:pPr>
            <w:r w:rsidRPr="00AC7608">
              <w:t xml:space="preserve">Figure </w:t>
            </w:r>
            <w:r w:rsidR="00BA65DB">
              <w:t>3</w:t>
            </w:r>
            <w:r w:rsidR="0065759A">
              <w:t>.</w:t>
            </w:r>
            <w:r w:rsidRPr="00AC7608">
              <w:t xml:space="preserve"> Housing units for fishing communities in Todak. </w:t>
            </w:r>
          </w:p>
        </w:tc>
      </w:tr>
    </w:tbl>
    <w:p w14:paraId="68697F25" w14:textId="1B502325" w:rsidR="00B5338D" w:rsidRPr="00AC7608" w:rsidRDefault="00B5338D" w:rsidP="007831F5">
      <w:pPr>
        <w:pStyle w:val="SECEDBodytext"/>
      </w:pPr>
      <w:r w:rsidRPr="00AC7608">
        <w:t>Stilt houses were</w:t>
      </w:r>
      <w:r w:rsidR="00015F77" w:rsidRPr="00AC7608">
        <w:t xml:space="preserve"> also</w:t>
      </w:r>
      <w:r w:rsidRPr="00AC7608">
        <w:t xml:space="preserve"> built in the area of Ulee Lheue, the former seaport of Banda Aceh </w:t>
      </w:r>
      <w:r w:rsidR="007831F5" w:rsidRPr="00AC7608">
        <w:t>that</w:t>
      </w:r>
      <w:r w:rsidRPr="00AC7608">
        <w:t xml:space="preserve"> was completely destroyed by the tsunami. </w:t>
      </w:r>
      <w:r w:rsidR="00E66992" w:rsidRPr="00AC7608">
        <w:t>B</w:t>
      </w:r>
      <w:r w:rsidRPr="00AC7608">
        <w:t>uilt by the NGO “Uplink – Urban for linkage”</w:t>
      </w:r>
      <w:r w:rsidR="00E66992" w:rsidRPr="00AC7608">
        <w:t xml:space="preserve">, those residential units were </w:t>
      </w:r>
      <w:r w:rsidRPr="00AC7608">
        <w:t xml:space="preserve">donated to fishermen families (Figure </w:t>
      </w:r>
      <w:r w:rsidR="00BA65DB">
        <w:t>4</w:t>
      </w:r>
      <w:r w:rsidRPr="00AC7608">
        <w:t>a). Each unit is made of a two-storey RC frame, with a bare frame at ground floor and masonry infills at the first floor, which houses a single bedroom apartment (36 m</w:t>
      </w:r>
      <w:r w:rsidRPr="00AC7608">
        <w:rPr>
          <w:vertAlign w:val="superscript"/>
        </w:rPr>
        <w:t>2</w:t>
      </w:r>
      <w:r w:rsidRPr="00AC7608">
        <w:t xml:space="preserve">). Corrugated steel sheets sit on a timber roof structure. Interestingly, the land on which they were built used to be a swamp and then was filled with </w:t>
      </w:r>
      <w:r w:rsidRPr="00AC7608">
        <w:lastRenderedPageBreak/>
        <w:t xml:space="preserve">tsunami debris. </w:t>
      </w:r>
      <w:r w:rsidR="00FE586B" w:rsidRPr="00AC7608">
        <w:t>T</w:t>
      </w:r>
      <w:r w:rsidRPr="00AC7608">
        <w:t>he structural typology reminds of the traditional stilt timber housing that local communities had lived for</w:t>
      </w:r>
      <w:r w:rsidR="00FE586B" w:rsidRPr="00AC7608">
        <w:t xml:space="preserve"> centuries</w:t>
      </w:r>
      <w:r w:rsidRPr="00AC7608">
        <w:t xml:space="preserve">. </w:t>
      </w:r>
      <w:r w:rsidR="00FE586B" w:rsidRPr="00AC7608">
        <w:t>However, t</w:t>
      </w:r>
      <w:r w:rsidRPr="00AC7608">
        <w:t xml:space="preserve">he original stilt layout has </w:t>
      </w:r>
      <w:r w:rsidR="00FE586B" w:rsidRPr="00AC7608">
        <w:t xml:space="preserve">often </w:t>
      </w:r>
      <w:r w:rsidRPr="00AC7608">
        <w:t xml:space="preserve">been heavily modified, with extensions and new rooms at the ground level, as shown in Figure </w:t>
      </w:r>
      <w:r w:rsidR="00BA65DB">
        <w:t>4</w:t>
      </w:r>
      <w:r w:rsidRPr="00AC7608">
        <w:t xml:space="preserve">b. This </w:t>
      </w:r>
      <w:r w:rsidR="00FE586B" w:rsidRPr="00AC7608">
        <w:t>occurred as the</w:t>
      </w:r>
      <w:r w:rsidRPr="00AC7608">
        <w:t xml:space="preserve"> original</w:t>
      </w:r>
      <w:r w:rsidR="00FE586B" w:rsidRPr="00AC7608">
        <w:t xml:space="preserve"> </w:t>
      </w:r>
      <w:r w:rsidRPr="00AC7608">
        <w:t xml:space="preserve">space was not sufficient to meet the needs of the local families. </w:t>
      </w:r>
    </w:p>
    <w:p w14:paraId="323FAFD8" w14:textId="77777777" w:rsidR="00B5338D" w:rsidRPr="00AC7608" w:rsidRDefault="00B5338D" w:rsidP="00B5338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812"/>
      </w:tblGrid>
      <w:tr w:rsidR="00AC7608" w:rsidRPr="00AC7608" w14:paraId="74A09010" w14:textId="77777777" w:rsidTr="008D435B">
        <w:tc>
          <w:tcPr>
            <w:tcW w:w="3686" w:type="dxa"/>
          </w:tcPr>
          <w:p w14:paraId="5049BF8B" w14:textId="12400CBE" w:rsidR="00B5338D" w:rsidRPr="00AC7608" w:rsidRDefault="002C1481" w:rsidP="0045771C">
            <w:pPr>
              <w:jc w:val="center"/>
            </w:pPr>
            <w:r w:rsidRPr="00AC7608">
              <w:rPr>
                <w:noProof/>
              </w:rPr>
              <w:drawing>
                <wp:inline distT="0" distB="0" distL="0" distR="0" wp14:anchorId="1C5A0640" wp14:editId="33629320">
                  <wp:extent cx="1506294" cy="201600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6294" cy="2016000"/>
                          </a:xfrm>
                          <a:prstGeom prst="rect">
                            <a:avLst/>
                          </a:prstGeom>
                          <a:noFill/>
                        </pic:spPr>
                      </pic:pic>
                    </a:graphicData>
                  </a:graphic>
                </wp:inline>
              </w:drawing>
            </w:r>
          </w:p>
        </w:tc>
        <w:tc>
          <w:tcPr>
            <w:tcW w:w="4812" w:type="dxa"/>
          </w:tcPr>
          <w:p w14:paraId="38461BAD" w14:textId="311ABB2A" w:rsidR="00B5338D" w:rsidRPr="00AC7608" w:rsidRDefault="002C1481" w:rsidP="008D435B">
            <w:pPr>
              <w:jc w:val="center"/>
            </w:pPr>
            <w:r w:rsidRPr="00AC7608">
              <w:rPr>
                <w:noProof/>
              </w:rPr>
              <w:drawing>
                <wp:inline distT="0" distB="0" distL="0" distR="0" wp14:anchorId="330C78B3" wp14:editId="32F27977">
                  <wp:extent cx="2703448" cy="2016000"/>
                  <wp:effectExtent l="0" t="0" r="190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03448" cy="2016000"/>
                          </a:xfrm>
                          <a:prstGeom prst="rect">
                            <a:avLst/>
                          </a:prstGeom>
                          <a:noFill/>
                        </pic:spPr>
                      </pic:pic>
                    </a:graphicData>
                  </a:graphic>
                </wp:inline>
              </w:drawing>
            </w:r>
          </w:p>
        </w:tc>
      </w:tr>
      <w:tr w:rsidR="00AC7608" w:rsidRPr="00AC7608" w14:paraId="67812622" w14:textId="77777777" w:rsidTr="008D435B">
        <w:tc>
          <w:tcPr>
            <w:tcW w:w="3686" w:type="dxa"/>
          </w:tcPr>
          <w:p w14:paraId="2FD6EABE" w14:textId="09267E05" w:rsidR="008D435B" w:rsidRPr="001B04E0" w:rsidRDefault="008D435B" w:rsidP="0045771C">
            <w:pPr>
              <w:jc w:val="center"/>
              <w:rPr>
                <w:noProof/>
                <w:sz w:val="16"/>
                <w:szCs w:val="16"/>
              </w:rPr>
            </w:pPr>
            <w:r w:rsidRPr="001B04E0">
              <w:rPr>
                <w:noProof/>
                <w:sz w:val="16"/>
                <w:szCs w:val="16"/>
              </w:rPr>
              <w:t>(a)</w:t>
            </w:r>
          </w:p>
        </w:tc>
        <w:tc>
          <w:tcPr>
            <w:tcW w:w="4812" w:type="dxa"/>
          </w:tcPr>
          <w:p w14:paraId="62F837CA" w14:textId="6017CCF0" w:rsidR="008D435B" w:rsidRPr="001B04E0" w:rsidRDefault="008D435B" w:rsidP="008D435B">
            <w:pPr>
              <w:jc w:val="center"/>
              <w:rPr>
                <w:noProof/>
                <w:sz w:val="16"/>
                <w:szCs w:val="16"/>
              </w:rPr>
            </w:pPr>
            <w:r w:rsidRPr="001B04E0">
              <w:rPr>
                <w:noProof/>
                <w:sz w:val="16"/>
                <w:szCs w:val="16"/>
              </w:rPr>
              <w:t>(b)</w:t>
            </w:r>
          </w:p>
        </w:tc>
      </w:tr>
      <w:tr w:rsidR="00AC7608" w:rsidRPr="00AC7608" w14:paraId="461BFE56" w14:textId="77777777" w:rsidTr="008D435B">
        <w:tc>
          <w:tcPr>
            <w:tcW w:w="8498" w:type="dxa"/>
            <w:gridSpan w:val="2"/>
          </w:tcPr>
          <w:p w14:paraId="4EC3BC4F" w14:textId="5EFDA796" w:rsidR="00B5338D" w:rsidRPr="001B04E0" w:rsidRDefault="00B5338D" w:rsidP="00604900">
            <w:pPr>
              <w:pStyle w:val="SECEDCaption"/>
            </w:pPr>
            <w:r w:rsidRPr="001B04E0">
              <w:t xml:space="preserve">Figure </w:t>
            </w:r>
            <w:r w:rsidR="00BA65DB">
              <w:t>4</w:t>
            </w:r>
            <w:r w:rsidRPr="001B04E0">
              <w:t xml:space="preserve">. Housing in </w:t>
            </w:r>
            <w:r w:rsidR="00F713CA">
              <w:t>Ulee Lheue</w:t>
            </w:r>
            <w:r w:rsidRPr="001B04E0">
              <w:t xml:space="preserve">: (a) stilt housing unit; (b) extension and new apartment at the ground floor. </w:t>
            </w:r>
          </w:p>
        </w:tc>
      </w:tr>
    </w:tbl>
    <w:p w14:paraId="7ECFA499" w14:textId="45850674" w:rsidR="00B5338D" w:rsidRPr="00AC7608" w:rsidRDefault="00604900" w:rsidP="00604900">
      <w:pPr>
        <w:pStyle w:val="SECEDBodytext"/>
      </w:pPr>
      <w:r w:rsidRPr="00AC7608">
        <w:t>In fact, a</w:t>
      </w:r>
      <w:r w:rsidR="00E02DD6" w:rsidRPr="00AC7608">
        <w:t xml:space="preserve"> </w:t>
      </w:r>
      <w:r w:rsidR="00B5338D" w:rsidRPr="00AC7608">
        <w:t xml:space="preserve">number of housing projects is currently taking place near the coastline, i.e. within 3km inland. As pointed out in Syamsidik et al. (2023), developers tend to select </w:t>
      </w:r>
      <w:r w:rsidR="007407FE" w:rsidRPr="00AC7608">
        <w:t>such</w:t>
      </w:r>
      <w:r w:rsidR="00B5338D" w:rsidRPr="00AC7608">
        <w:t xml:space="preserve"> areas due to lower land prices so that houses</w:t>
      </w:r>
      <w:r w:rsidR="007407FE" w:rsidRPr="00AC7608">
        <w:t xml:space="preserve"> can be sold</w:t>
      </w:r>
      <w:r w:rsidR="00B5338D" w:rsidRPr="00AC7608">
        <w:t xml:space="preserve"> to low-middle income homebuyers at subsidised rates. An example of this is the brand-new housing development in Jeulingke, about 3 km inland. Figure</w:t>
      </w:r>
      <w:r w:rsidR="00BA65DB">
        <w:t xml:space="preserve"> 5</w:t>
      </w:r>
      <w:r w:rsidR="00B5338D" w:rsidRPr="00AC7608">
        <w:t xml:space="preserve"> shows the typical precast confined masonry houses that have been recently built. </w:t>
      </w:r>
      <w:r w:rsidR="009D26CD" w:rsidRPr="00AC7608">
        <w:t>With road infrastructure now in place for this settlement,</w:t>
      </w:r>
      <w:r w:rsidR="00B5338D" w:rsidRPr="00AC7608">
        <w:t xml:space="preserve"> </w:t>
      </w:r>
      <w:r w:rsidR="00515D23" w:rsidRPr="00AC7608">
        <w:t>more</w:t>
      </w:r>
      <w:r w:rsidR="00B5338D" w:rsidRPr="00AC7608">
        <w:t xml:space="preserve"> </w:t>
      </w:r>
      <w:r w:rsidR="00190E86" w:rsidRPr="00AC7608">
        <w:t>housing is being constructed</w:t>
      </w:r>
      <w:r w:rsidR="00B5338D" w:rsidRPr="00AC7608">
        <w:t xml:space="preserve"> by private developers</w:t>
      </w:r>
      <w:r w:rsidR="00A52FD0" w:rsidRPr="00AC7608">
        <w:t xml:space="preserve">. This confirms an </w:t>
      </w:r>
      <w:r w:rsidR="00B573DB" w:rsidRPr="00AC7608">
        <w:t>increas</w:t>
      </w:r>
      <w:r w:rsidR="00A52FD0" w:rsidRPr="00AC7608">
        <w:t xml:space="preserve">e in </w:t>
      </w:r>
      <w:r w:rsidR="003479FB" w:rsidRPr="00AC7608">
        <w:t>building development</w:t>
      </w:r>
      <w:r w:rsidR="000B5B64" w:rsidRPr="00AC7608">
        <w:t xml:space="preserve"> </w:t>
      </w:r>
      <w:r w:rsidR="00420C0C" w:rsidRPr="00AC7608">
        <w:t>in</w:t>
      </w:r>
      <w:r w:rsidR="000B5B64" w:rsidRPr="00AC7608">
        <w:t xml:space="preserve"> the</w:t>
      </w:r>
      <w:r w:rsidR="00B573DB" w:rsidRPr="00AC7608">
        <w:t xml:space="preserve"> </w:t>
      </w:r>
      <w:r w:rsidR="001C3EBC" w:rsidRPr="00AC7608">
        <w:t xml:space="preserve">coastal </w:t>
      </w:r>
      <w:r w:rsidR="00B573DB" w:rsidRPr="00AC7608">
        <w:t xml:space="preserve">areas </w:t>
      </w:r>
      <w:r w:rsidR="001C3EBC" w:rsidRPr="00AC7608">
        <w:t>of the city</w:t>
      </w:r>
      <w:r w:rsidR="00327F6A" w:rsidRPr="00AC7608">
        <w:t>.</w:t>
      </w:r>
      <w:r w:rsidR="009D26CD" w:rsidRPr="00AC7608">
        <w:t xml:space="preserve"> </w:t>
      </w:r>
    </w:p>
    <w:p w14:paraId="24273798" w14:textId="77777777" w:rsidR="00F47A5C" w:rsidRPr="00AC7608" w:rsidRDefault="00F47A5C" w:rsidP="00604900">
      <w:pPr>
        <w:pStyle w:val="SECED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4244"/>
      </w:tblGrid>
      <w:tr w:rsidR="00AC7608" w:rsidRPr="00AC7608" w14:paraId="4C1C5E97" w14:textId="77777777" w:rsidTr="002D589D">
        <w:tc>
          <w:tcPr>
            <w:tcW w:w="4254" w:type="dxa"/>
          </w:tcPr>
          <w:p w14:paraId="7EEA7F29" w14:textId="215F627F" w:rsidR="00B5338D" w:rsidRPr="00AC7608" w:rsidRDefault="002C1481" w:rsidP="0045771C">
            <w:pPr>
              <w:jc w:val="center"/>
            </w:pPr>
            <w:r w:rsidRPr="00AC7608">
              <w:rPr>
                <w:noProof/>
              </w:rPr>
              <w:drawing>
                <wp:inline distT="0" distB="0" distL="0" distR="0" wp14:anchorId="1645D87A" wp14:editId="44BA4511">
                  <wp:extent cx="2392405" cy="1800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2405" cy="1800000"/>
                          </a:xfrm>
                          <a:prstGeom prst="rect">
                            <a:avLst/>
                          </a:prstGeom>
                          <a:noFill/>
                        </pic:spPr>
                      </pic:pic>
                    </a:graphicData>
                  </a:graphic>
                </wp:inline>
              </w:drawing>
            </w:r>
          </w:p>
        </w:tc>
        <w:tc>
          <w:tcPr>
            <w:tcW w:w="4244" w:type="dxa"/>
          </w:tcPr>
          <w:p w14:paraId="051D3239" w14:textId="1297F3F5" w:rsidR="00B5338D" w:rsidRPr="00AC7608" w:rsidRDefault="002C1481" w:rsidP="0045771C">
            <w:r w:rsidRPr="00AC7608">
              <w:rPr>
                <w:noProof/>
              </w:rPr>
              <w:drawing>
                <wp:inline distT="0" distB="0" distL="0" distR="0" wp14:anchorId="422C79FD" wp14:editId="2546F2F6">
                  <wp:extent cx="2397447" cy="180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447" cy="1800000"/>
                          </a:xfrm>
                          <a:prstGeom prst="rect">
                            <a:avLst/>
                          </a:prstGeom>
                          <a:noFill/>
                        </pic:spPr>
                      </pic:pic>
                    </a:graphicData>
                  </a:graphic>
                </wp:inline>
              </w:drawing>
            </w:r>
          </w:p>
        </w:tc>
      </w:tr>
      <w:tr w:rsidR="00AC7608" w:rsidRPr="00AC7608" w14:paraId="13E91AC6" w14:textId="77777777" w:rsidTr="002D589D">
        <w:tc>
          <w:tcPr>
            <w:tcW w:w="8498" w:type="dxa"/>
            <w:gridSpan w:val="2"/>
          </w:tcPr>
          <w:p w14:paraId="7765B54C" w14:textId="082F807B" w:rsidR="00B5338D" w:rsidRPr="003B3467" w:rsidRDefault="00B5338D" w:rsidP="00F47A5C">
            <w:pPr>
              <w:pStyle w:val="SECEDCaption"/>
              <w:rPr>
                <w:sz w:val="18"/>
                <w:szCs w:val="20"/>
              </w:rPr>
            </w:pPr>
            <w:r w:rsidRPr="001B04E0">
              <w:t xml:space="preserve">Figure </w:t>
            </w:r>
            <w:r w:rsidR="00BA65DB">
              <w:t>5</w:t>
            </w:r>
            <w:r w:rsidRPr="001B04E0">
              <w:t xml:space="preserve">. Recently constructed housing development </w:t>
            </w:r>
            <w:r w:rsidR="009B432C">
              <w:t>in</w:t>
            </w:r>
            <w:r w:rsidR="003E7CD8">
              <w:t xml:space="preserve"> Jeulingke</w:t>
            </w:r>
            <w:r w:rsidRPr="001B04E0">
              <w:t>.</w:t>
            </w:r>
          </w:p>
        </w:tc>
      </w:tr>
    </w:tbl>
    <w:p w14:paraId="21F31B00" w14:textId="5B8ABA23" w:rsidR="002D589D" w:rsidRPr="00AC7608" w:rsidRDefault="002A2005" w:rsidP="002D589D">
      <w:pPr>
        <w:pStyle w:val="SECEDBodytext"/>
      </w:pPr>
      <w:r w:rsidRPr="00AC7608">
        <w:t xml:space="preserve">Away from the coast, </w:t>
      </w:r>
      <w:r w:rsidR="00420C0C" w:rsidRPr="00AC7608">
        <w:t>the team visited o</w:t>
      </w:r>
      <w:r w:rsidR="002D589D" w:rsidRPr="00AC7608">
        <w:t>ne-storey residential houses in the Tanjong area (to the south-west of Banda Aceh)</w:t>
      </w:r>
      <w:r w:rsidR="00420C0C" w:rsidRPr="00AC7608">
        <w:t>, which</w:t>
      </w:r>
      <w:r w:rsidR="002D589D" w:rsidRPr="00AC7608">
        <w:t xml:space="preserve"> were seismically improved by CARE International </w:t>
      </w:r>
      <w:r w:rsidR="008E6D37" w:rsidRPr="00AC7608">
        <w:t>through</w:t>
      </w:r>
      <w:r w:rsidR="002D589D" w:rsidRPr="00AC7608">
        <w:t xml:space="preserve"> the installation of steel cross-braces </w:t>
      </w:r>
      <w:r w:rsidR="00953471" w:rsidRPr="00AC7608">
        <w:t>on</w:t>
      </w:r>
      <w:r w:rsidR="002D589D" w:rsidRPr="00AC7608">
        <w:t xml:space="preserve"> the building</w:t>
      </w:r>
      <w:r w:rsidR="00953471" w:rsidRPr="00AC7608">
        <w:t xml:space="preserve"> facades</w:t>
      </w:r>
      <w:r w:rsidR="002D589D" w:rsidRPr="00AC7608">
        <w:t xml:space="preserve"> (Figure </w:t>
      </w:r>
      <w:r w:rsidR="00BA65DB">
        <w:t>6</w:t>
      </w:r>
      <w:r w:rsidR="002D589D" w:rsidRPr="00AC7608">
        <w:t>a).</w:t>
      </w:r>
      <w:r w:rsidR="00953471" w:rsidRPr="00AC7608">
        <w:t xml:space="preserve"> However, it was observed that some </w:t>
      </w:r>
      <w:r w:rsidR="002D589D" w:rsidRPr="00AC7608">
        <w:t xml:space="preserve">steel tendons </w:t>
      </w:r>
      <w:r w:rsidR="00953471" w:rsidRPr="00AC7608">
        <w:t xml:space="preserve">were missing. </w:t>
      </w:r>
      <w:r w:rsidR="00EF5663" w:rsidRPr="00AC7608">
        <w:t xml:space="preserve">Such </w:t>
      </w:r>
      <w:r w:rsidR="003102D9" w:rsidRPr="00AC7608">
        <w:t>effective but obstructive</w:t>
      </w:r>
      <w:r w:rsidR="00EF5663" w:rsidRPr="00AC7608">
        <w:t xml:space="preserve"> solution might </w:t>
      </w:r>
      <w:r w:rsidR="003102D9" w:rsidRPr="00AC7608">
        <w:t>have been met with little enthusiasm by some r</w:t>
      </w:r>
      <w:r w:rsidR="00953471" w:rsidRPr="00AC7608">
        <w:t>esiden</w:t>
      </w:r>
      <w:r w:rsidR="008E6D37" w:rsidRPr="00AC7608">
        <w:t>t</w:t>
      </w:r>
      <w:r w:rsidR="00953471" w:rsidRPr="00AC7608">
        <w:t>s</w:t>
      </w:r>
      <w:r w:rsidR="003102D9" w:rsidRPr="00AC7608">
        <w:t xml:space="preserve">. </w:t>
      </w:r>
      <w:r w:rsidR="002D589D" w:rsidRPr="00AC7608">
        <w:t xml:space="preserve">In fact, some of these have been reused in a nearby construction site. Apparently, the builder had little clue about how to use them correctly, as they were installed as additional longitudinal reinforcement together with smooth rebars in relatively thin RC columns (Figure </w:t>
      </w:r>
      <w:r w:rsidR="00BA65DB">
        <w:t>6</w:t>
      </w:r>
      <w:r w:rsidR="002D589D" w:rsidRPr="00AC7608">
        <w:t xml:space="preserve">b). This example highlights that, despite the efforts of </w:t>
      </w:r>
      <w:r w:rsidR="00F71085" w:rsidRPr="00AC7608">
        <w:t xml:space="preserve">the </w:t>
      </w:r>
      <w:r w:rsidR="002D589D" w:rsidRPr="00AC7608">
        <w:t xml:space="preserve">NGO, </w:t>
      </w:r>
      <w:r w:rsidR="00F71085" w:rsidRPr="00AC7608">
        <w:t xml:space="preserve">there are challenges in </w:t>
      </w:r>
      <w:r w:rsidR="004F26D9" w:rsidRPr="00AC7608">
        <w:t xml:space="preserve">making sure that these interventions are “absorbed” by the local community, both residents and builders. </w:t>
      </w:r>
    </w:p>
    <w:p w14:paraId="065F98BC" w14:textId="77777777" w:rsidR="002D589D" w:rsidRPr="00AC7608" w:rsidRDefault="002D589D" w:rsidP="002D589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954"/>
      </w:tblGrid>
      <w:tr w:rsidR="00AC7608" w:rsidRPr="00AC7608" w14:paraId="2A112435" w14:textId="77777777" w:rsidTr="002D589D">
        <w:tc>
          <w:tcPr>
            <w:tcW w:w="3544" w:type="dxa"/>
          </w:tcPr>
          <w:p w14:paraId="1C730D96" w14:textId="3F7B9DC6" w:rsidR="002D589D" w:rsidRPr="00AC7608" w:rsidRDefault="002C1481" w:rsidP="0045771C">
            <w:pPr>
              <w:jc w:val="center"/>
            </w:pPr>
            <w:r w:rsidRPr="00AC7608">
              <w:rPr>
                <w:noProof/>
              </w:rPr>
              <w:lastRenderedPageBreak/>
              <w:drawing>
                <wp:inline distT="0" distB="0" distL="0" distR="0" wp14:anchorId="225B1E18" wp14:editId="05CB3B4C">
                  <wp:extent cx="1516098" cy="2016000"/>
                  <wp:effectExtent l="0" t="0" r="8255"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6098" cy="2016000"/>
                          </a:xfrm>
                          <a:prstGeom prst="rect">
                            <a:avLst/>
                          </a:prstGeom>
                          <a:noFill/>
                        </pic:spPr>
                      </pic:pic>
                    </a:graphicData>
                  </a:graphic>
                </wp:inline>
              </w:drawing>
            </w:r>
          </w:p>
        </w:tc>
        <w:tc>
          <w:tcPr>
            <w:tcW w:w="4954" w:type="dxa"/>
          </w:tcPr>
          <w:p w14:paraId="04DCEA32" w14:textId="3B6B4315" w:rsidR="002D589D" w:rsidRPr="00AC7608" w:rsidRDefault="002C1481" w:rsidP="0045771C">
            <w:pPr>
              <w:jc w:val="center"/>
            </w:pPr>
            <w:r w:rsidRPr="00AC7608">
              <w:rPr>
                <w:noProof/>
              </w:rPr>
              <w:drawing>
                <wp:inline distT="0" distB="0" distL="0" distR="0" wp14:anchorId="1A75DA8D" wp14:editId="60EB191E">
                  <wp:extent cx="2674286" cy="201600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4286" cy="2016000"/>
                          </a:xfrm>
                          <a:prstGeom prst="rect">
                            <a:avLst/>
                          </a:prstGeom>
                          <a:noFill/>
                        </pic:spPr>
                      </pic:pic>
                    </a:graphicData>
                  </a:graphic>
                </wp:inline>
              </w:drawing>
            </w:r>
          </w:p>
        </w:tc>
      </w:tr>
      <w:tr w:rsidR="00AC7608" w:rsidRPr="00AC7608" w14:paraId="742E2645" w14:textId="77777777" w:rsidTr="002D589D">
        <w:tc>
          <w:tcPr>
            <w:tcW w:w="3544" w:type="dxa"/>
          </w:tcPr>
          <w:p w14:paraId="7166D990" w14:textId="7C6E70C0" w:rsidR="002D589D" w:rsidRPr="001B04E0" w:rsidRDefault="002D589D" w:rsidP="0045771C">
            <w:pPr>
              <w:jc w:val="center"/>
              <w:rPr>
                <w:noProof/>
                <w:sz w:val="16"/>
                <w:szCs w:val="16"/>
              </w:rPr>
            </w:pPr>
            <w:r w:rsidRPr="001B04E0">
              <w:rPr>
                <w:noProof/>
                <w:sz w:val="16"/>
                <w:szCs w:val="16"/>
              </w:rPr>
              <w:t>(a)</w:t>
            </w:r>
          </w:p>
        </w:tc>
        <w:tc>
          <w:tcPr>
            <w:tcW w:w="4954" w:type="dxa"/>
          </w:tcPr>
          <w:p w14:paraId="11B55297" w14:textId="71BC7EC9" w:rsidR="002D589D" w:rsidRPr="001B04E0" w:rsidRDefault="002D589D" w:rsidP="0045771C">
            <w:pPr>
              <w:jc w:val="center"/>
              <w:rPr>
                <w:noProof/>
                <w:sz w:val="16"/>
                <w:szCs w:val="16"/>
              </w:rPr>
            </w:pPr>
            <w:r w:rsidRPr="001B04E0">
              <w:rPr>
                <w:noProof/>
                <w:sz w:val="16"/>
                <w:szCs w:val="16"/>
              </w:rPr>
              <w:t>(b)</w:t>
            </w:r>
          </w:p>
        </w:tc>
      </w:tr>
      <w:tr w:rsidR="00AC7608" w:rsidRPr="00AC7608" w14:paraId="0F28F72B" w14:textId="77777777" w:rsidTr="002D589D">
        <w:tc>
          <w:tcPr>
            <w:tcW w:w="8498" w:type="dxa"/>
            <w:gridSpan w:val="2"/>
          </w:tcPr>
          <w:p w14:paraId="6EA6C6E3" w14:textId="356321A4" w:rsidR="002D589D" w:rsidRPr="00AC7608" w:rsidRDefault="002D589D" w:rsidP="002D589D">
            <w:pPr>
              <w:pStyle w:val="SECEDCaption"/>
              <w:rPr>
                <w:sz w:val="18"/>
                <w:szCs w:val="18"/>
              </w:rPr>
            </w:pPr>
            <w:r w:rsidRPr="001B04E0">
              <w:rPr>
                <w:szCs w:val="20"/>
              </w:rPr>
              <w:t xml:space="preserve">Figure </w:t>
            </w:r>
            <w:r w:rsidR="00BA65DB">
              <w:rPr>
                <w:szCs w:val="20"/>
              </w:rPr>
              <w:t>6</w:t>
            </w:r>
            <w:r w:rsidR="0065759A">
              <w:rPr>
                <w:szCs w:val="20"/>
              </w:rPr>
              <w:t>.</w:t>
            </w:r>
            <w:r w:rsidRPr="001B04E0">
              <w:rPr>
                <w:szCs w:val="20"/>
              </w:rPr>
              <w:t xml:space="preserve"> Seismically-retrofitted single-family houses in Tanjong: (a) steel cross-bracings; and (b) reuse of the bracing elements within a nearby construction site. </w:t>
            </w:r>
          </w:p>
        </w:tc>
      </w:tr>
    </w:tbl>
    <w:p w14:paraId="4F3CD9FB" w14:textId="1A0AC06F" w:rsidR="003B7553" w:rsidRPr="00AC7608" w:rsidRDefault="003B7553" w:rsidP="003B7553">
      <w:pPr>
        <w:pStyle w:val="SECEDHeading2"/>
      </w:pPr>
      <w:r w:rsidRPr="00AC7608">
        <w:t>Resettlement villages</w:t>
      </w:r>
      <w:r w:rsidR="00FE586B" w:rsidRPr="00AC7608">
        <w:t xml:space="preserve"> for tsunami survivors</w:t>
      </w:r>
    </w:p>
    <w:p w14:paraId="320CD7F5" w14:textId="57FD0BE4" w:rsidR="00190A86" w:rsidRPr="00AC7608" w:rsidRDefault="00B820B9" w:rsidP="004C2A70">
      <w:pPr>
        <w:pStyle w:val="SECEDBodytext"/>
      </w:pPr>
      <w:r w:rsidRPr="00AC7608">
        <w:t xml:space="preserve">Resettlement villages donated by Chinese donors are a notable example of post-disaster housing in Banda Aceh. The team visited one in Panteriek, donated by the Buddhist Tzu Chi Charity Foundation, and </w:t>
      </w:r>
      <w:r w:rsidR="0009538E" w:rsidRPr="00AC7608">
        <w:t>one</w:t>
      </w:r>
      <w:r w:rsidR="00B455C3" w:rsidRPr="00AC7608">
        <w:t xml:space="preserve"> in Perumahan</w:t>
      </w:r>
      <w:r w:rsidR="0009538E" w:rsidRPr="00AC7608">
        <w:t xml:space="preserve">, </w:t>
      </w:r>
      <w:r w:rsidRPr="00AC7608">
        <w:t xml:space="preserve">the so-called Jackie Chan village, named after the Hong-Kong movie star who made a donation. These villages are easily identifiable from satellite images of the city, due to their dense and regular grid of houses along narrow streets (see Figure </w:t>
      </w:r>
      <w:r w:rsidR="000378B0">
        <w:t>7</w:t>
      </w:r>
      <w:r w:rsidRPr="00AC7608">
        <w:t xml:space="preserve">a). Single-family houses were constructed using RC walls, metal roofs and asbestos for the non-structural partitions, and were given for free by </w:t>
      </w:r>
      <w:r w:rsidR="00BC3CF5" w:rsidRPr="00AC7608">
        <w:t>the Agency for the Rehabilitation and Reconstruction of Aceh and Nias (</w:t>
      </w:r>
      <w:r w:rsidR="005E7F82" w:rsidRPr="00AC7608">
        <w:t>Badan Rehabilitasi dan Rekonstruksi, B</w:t>
      </w:r>
      <w:r w:rsidRPr="00AC7608">
        <w:t>RR</w:t>
      </w:r>
      <w:r w:rsidR="00D64220" w:rsidRPr="00AC7608">
        <w:t>, in Indonesian</w:t>
      </w:r>
      <w:r w:rsidR="00BC3CF5" w:rsidRPr="00AC7608">
        <w:t>)</w:t>
      </w:r>
      <w:r w:rsidRPr="00AC7608">
        <w:t xml:space="preserve"> to former homeowners displaced by the tsunami as temporary settlements. However, due to the relatively small size of the units and cheap construction material, some settlers have modified or partly rebuilt their allocated houses (Figure </w:t>
      </w:r>
      <w:r w:rsidR="00BA65DB">
        <w:t>7</w:t>
      </w:r>
      <w:r w:rsidRPr="00AC7608">
        <w:t xml:space="preserve">b). </w:t>
      </w:r>
      <w:r w:rsidR="00C0639A" w:rsidRPr="00AC7608">
        <w:t>Such</w:t>
      </w:r>
      <w:r w:rsidRPr="00AC7608">
        <w:t xml:space="preserve"> process is likely to continue in light of the recent decision made by the government of granting ownership of the land to residents. Th</w:t>
      </w:r>
      <w:r w:rsidR="00FE586B" w:rsidRPr="00AC7608">
        <w:t xml:space="preserve">e </w:t>
      </w:r>
      <w:r w:rsidRPr="00AC7608">
        <w:t xml:space="preserve">move is welcome by the local community as it effectively makes these settlements permanent. </w:t>
      </w:r>
    </w:p>
    <w:p w14:paraId="3E1E2144" w14:textId="6C9FF27C" w:rsidR="004C2A70" w:rsidRPr="00AC7608" w:rsidRDefault="00E131C2" w:rsidP="004C2A70">
      <w:pPr>
        <w:pStyle w:val="SECEDBodytext"/>
      </w:pPr>
      <w:r w:rsidRPr="00AC7608">
        <w:t>On purpose b</w:t>
      </w:r>
      <w:r w:rsidR="004C2A70" w:rsidRPr="00AC7608">
        <w:t>oth villages were built</w:t>
      </w:r>
      <w:r w:rsidR="00FE586B" w:rsidRPr="00AC7608">
        <w:t xml:space="preserve"> on land</w:t>
      </w:r>
      <w:r w:rsidR="004C2A70" w:rsidRPr="00AC7608">
        <w:t xml:space="preserve"> that </w:t>
      </w:r>
      <w:r w:rsidR="00FE586B" w:rsidRPr="00AC7608">
        <w:t>was</w:t>
      </w:r>
      <w:r w:rsidR="004C2A70" w:rsidRPr="00AC7608">
        <w:t xml:space="preserve"> not </w:t>
      </w:r>
      <w:r w:rsidR="00FE586B" w:rsidRPr="00AC7608">
        <w:t>affected</w:t>
      </w:r>
      <w:r w:rsidR="004C2A70" w:rsidRPr="00AC7608">
        <w:t xml:space="preserve"> by the</w:t>
      </w:r>
      <w:r w:rsidR="00FE586B" w:rsidRPr="00AC7608">
        <w:t xml:space="preserve"> </w:t>
      </w:r>
      <w:r w:rsidR="004C2A70" w:rsidRPr="00AC7608">
        <w:t>tsunami</w:t>
      </w:r>
      <w:r w:rsidRPr="00AC7608">
        <w:t xml:space="preserve"> in 2004</w:t>
      </w:r>
      <w:r w:rsidR="004C2A70" w:rsidRPr="00AC7608">
        <w:t xml:space="preserve">. However, their location is far from ideal. The Jackie Chan village is located at 300 metres above the sea level, </w:t>
      </w:r>
      <w:r w:rsidR="00923932" w:rsidRPr="00AC7608">
        <w:t xml:space="preserve">but it </w:t>
      </w:r>
      <w:r w:rsidR="004C2A70" w:rsidRPr="00AC7608">
        <w:t>is quite remote from the city centre</w:t>
      </w:r>
      <w:r w:rsidR="00923932" w:rsidRPr="00AC7608">
        <w:t xml:space="preserve">: </w:t>
      </w:r>
      <w:r w:rsidR="004C2A70" w:rsidRPr="00AC7608">
        <w:t xml:space="preserve">lack of public transport infrastructure </w:t>
      </w:r>
      <w:r w:rsidR="00923932" w:rsidRPr="00AC7608">
        <w:t xml:space="preserve">has </w:t>
      </w:r>
      <w:r w:rsidR="004C2A70" w:rsidRPr="00AC7608">
        <w:t xml:space="preserve">forced many people who were rehoused there to move closer to the city. After seven years from the construction, only half of the 2,400 people were found to be living there (Vale et al., 2014). </w:t>
      </w:r>
      <w:r w:rsidR="00165816" w:rsidRPr="00AC7608">
        <w:t xml:space="preserve">The </w:t>
      </w:r>
      <w:r w:rsidR="004C2A70" w:rsidRPr="00AC7608">
        <w:t>Panteriek</w:t>
      </w:r>
      <w:r w:rsidR="00165816" w:rsidRPr="00AC7608">
        <w:t xml:space="preserve"> site</w:t>
      </w:r>
      <w:r w:rsidR="004C2A70" w:rsidRPr="00AC7608">
        <w:t xml:space="preserve"> is highly prone to pluvial flooding. </w:t>
      </w:r>
      <w:r w:rsidR="00B11627" w:rsidRPr="00AC7608">
        <w:t>A</w:t>
      </w:r>
      <w:r w:rsidR="004C2A70" w:rsidRPr="00AC7608">
        <w:t xml:space="preserve"> pumping station has been constructed to transfer flood waters during heavy rainfall from the reservoir of the oxbow to the adjacent river. The </w:t>
      </w:r>
      <w:r w:rsidR="0098053C" w:rsidRPr="00AC7608">
        <w:t xml:space="preserve">mission </w:t>
      </w:r>
      <w:r w:rsidR="004C2A70" w:rsidRPr="00AC7608">
        <w:t xml:space="preserve">team </w:t>
      </w:r>
      <w:r w:rsidR="00DC4B57" w:rsidRPr="00AC7608">
        <w:t>participated in</w:t>
      </w:r>
      <w:r w:rsidR="004C2A70" w:rsidRPr="00AC7608">
        <w:t xml:space="preserve"> a training session given by TDMRC</w:t>
      </w:r>
      <w:r w:rsidR="0098053C" w:rsidRPr="00AC7608">
        <w:t xml:space="preserve"> to the local community</w:t>
      </w:r>
      <w:r w:rsidR="004C2A70" w:rsidRPr="00AC7608">
        <w:t xml:space="preserve"> on </w:t>
      </w:r>
      <w:r w:rsidR="00DC4B57" w:rsidRPr="00AC7608">
        <w:t>a new</w:t>
      </w:r>
      <w:r w:rsidR="004C2A70" w:rsidRPr="00AC7608">
        <w:t xml:space="preserve"> web-based GIS software system that </w:t>
      </w:r>
      <w:r w:rsidR="000378B0">
        <w:t>provides</w:t>
      </w:r>
      <w:r w:rsidR="004C2A70" w:rsidRPr="00AC7608">
        <w:t xml:space="preserve"> GIS flood prediction maps</w:t>
      </w:r>
      <w:r w:rsidR="00DC4B57" w:rsidRPr="00AC7608">
        <w:t xml:space="preserve"> for the village</w:t>
      </w:r>
      <w:r w:rsidR="004C2A70" w:rsidRPr="00AC7608">
        <w:t>.</w:t>
      </w:r>
    </w:p>
    <w:p w14:paraId="0A4F3DB8" w14:textId="77777777" w:rsidR="00D62A58" w:rsidRPr="00AC7608" w:rsidRDefault="00D62A58" w:rsidP="004C2A70">
      <w:pPr>
        <w:pStyle w:val="SECED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4"/>
        <w:gridCol w:w="4054"/>
      </w:tblGrid>
      <w:tr w:rsidR="00AC7608" w:rsidRPr="00AC7608" w14:paraId="46B9E2AF" w14:textId="77777777" w:rsidTr="00E271C6">
        <w:tc>
          <w:tcPr>
            <w:tcW w:w="4416" w:type="dxa"/>
          </w:tcPr>
          <w:p w14:paraId="386952E8" w14:textId="093F541C" w:rsidR="00B820B9" w:rsidRPr="00AC7608" w:rsidRDefault="00954FEE" w:rsidP="0045771C">
            <w:pPr>
              <w:jc w:val="center"/>
            </w:pPr>
            <w:r w:rsidRPr="00AC7608">
              <w:rPr>
                <w:noProof/>
              </w:rPr>
              <w:drawing>
                <wp:inline distT="0" distB="0" distL="0" distR="0" wp14:anchorId="61504195" wp14:editId="061EFEC5">
                  <wp:extent cx="2682001" cy="1620000"/>
                  <wp:effectExtent l="0" t="0" r="444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2001" cy="1620000"/>
                          </a:xfrm>
                          <a:prstGeom prst="rect">
                            <a:avLst/>
                          </a:prstGeom>
                          <a:noFill/>
                        </pic:spPr>
                      </pic:pic>
                    </a:graphicData>
                  </a:graphic>
                </wp:inline>
              </w:drawing>
            </w:r>
          </w:p>
        </w:tc>
        <w:tc>
          <w:tcPr>
            <w:tcW w:w="4082" w:type="dxa"/>
          </w:tcPr>
          <w:p w14:paraId="3B9E65F3" w14:textId="19DE081C" w:rsidR="00B820B9" w:rsidRPr="00AC7608" w:rsidRDefault="00954FEE" w:rsidP="0045771C">
            <w:pPr>
              <w:jc w:val="center"/>
            </w:pPr>
            <w:r w:rsidRPr="00AC7608">
              <w:rPr>
                <w:noProof/>
              </w:rPr>
              <w:drawing>
                <wp:inline distT="0" distB="0" distL="0" distR="0" wp14:anchorId="07E8F4BF" wp14:editId="5AECE36A">
                  <wp:extent cx="2434424" cy="1620000"/>
                  <wp:effectExtent l="0" t="0" r="444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4424" cy="1620000"/>
                          </a:xfrm>
                          <a:prstGeom prst="rect">
                            <a:avLst/>
                          </a:prstGeom>
                          <a:noFill/>
                        </pic:spPr>
                      </pic:pic>
                    </a:graphicData>
                  </a:graphic>
                </wp:inline>
              </w:drawing>
            </w:r>
          </w:p>
        </w:tc>
      </w:tr>
      <w:tr w:rsidR="00AC7608" w:rsidRPr="00AC7608" w14:paraId="5E078B59" w14:textId="77777777" w:rsidTr="00E271C6">
        <w:tc>
          <w:tcPr>
            <w:tcW w:w="4416" w:type="dxa"/>
          </w:tcPr>
          <w:p w14:paraId="6CED2E88" w14:textId="0D101F2B" w:rsidR="00FE586B" w:rsidRPr="001B04E0" w:rsidRDefault="00FE586B" w:rsidP="0045771C">
            <w:pPr>
              <w:jc w:val="center"/>
              <w:rPr>
                <w:noProof/>
                <w:sz w:val="16"/>
                <w:szCs w:val="16"/>
              </w:rPr>
            </w:pPr>
            <w:r w:rsidRPr="001B04E0">
              <w:rPr>
                <w:noProof/>
                <w:sz w:val="16"/>
                <w:szCs w:val="16"/>
              </w:rPr>
              <w:t>(a)</w:t>
            </w:r>
          </w:p>
        </w:tc>
        <w:tc>
          <w:tcPr>
            <w:tcW w:w="4082" w:type="dxa"/>
          </w:tcPr>
          <w:p w14:paraId="621F18CE" w14:textId="74D5D020" w:rsidR="00FE586B" w:rsidRPr="001B04E0" w:rsidRDefault="00FE586B" w:rsidP="0045771C">
            <w:pPr>
              <w:jc w:val="center"/>
              <w:rPr>
                <w:noProof/>
                <w:sz w:val="16"/>
                <w:szCs w:val="16"/>
              </w:rPr>
            </w:pPr>
            <w:r w:rsidRPr="001B04E0">
              <w:rPr>
                <w:noProof/>
                <w:sz w:val="16"/>
                <w:szCs w:val="16"/>
              </w:rPr>
              <w:t>(b)</w:t>
            </w:r>
          </w:p>
        </w:tc>
      </w:tr>
      <w:tr w:rsidR="00AC7608" w:rsidRPr="00AC7608" w14:paraId="27856654" w14:textId="77777777" w:rsidTr="00E271C6">
        <w:tc>
          <w:tcPr>
            <w:tcW w:w="8498" w:type="dxa"/>
            <w:gridSpan w:val="2"/>
          </w:tcPr>
          <w:p w14:paraId="643A3162" w14:textId="3D88AE64" w:rsidR="00B820B9" w:rsidRPr="00AC7608" w:rsidRDefault="00B820B9" w:rsidP="00F84E25">
            <w:pPr>
              <w:pStyle w:val="SECEDCaption"/>
            </w:pPr>
            <w:r w:rsidRPr="00AC7608">
              <w:t xml:space="preserve">Figure </w:t>
            </w:r>
            <w:r w:rsidR="0065759A">
              <w:t>7.</w:t>
            </w:r>
            <w:r w:rsidRPr="00AC7608">
              <w:t xml:space="preserve"> Panteriek village: (a) satellite view [satellite.pro] and (b) modified housing units.</w:t>
            </w:r>
          </w:p>
        </w:tc>
      </w:tr>
    </w:tbl>
    <w:p w14:paraId="22A370BE" w14:textId="56B8C5E1" w:rsidR="008D7ACF" w:rsidRPr="00AC7608" w:rsidRDefault="008D7ACF" w:rsidP="008D7ACF">
      <w:pPr>
        <w:pStyle w:val="SECEDHeading2"/>
      </w:pPr>
      <w:r w:rsidRPr="00AC7608">
        <w:lastRenderedPageBreak/>
        <w:t>Schools</w:t>
      </w:r>
    </w:p>
    <w:p w14:paraId="588097D2" w14:textId="430D0FEB" w:rsidR="00D47450" w:rsidRPr="00AC7608" w:rsidRDefault="008D7ACF" w:rsidP="008D7ACF">
      <w:pPr>
        <w:pStyle w:val="SECEDBodytext"/>
      </w:pPr>
      <w:r w:rsidRPr="00AC7608">
        <w:t>I</w:t>
      </w:r>
      <w:r w:rsidR="00D47450" w:rsidRPr="00AC7608">
        <w:t>nternational efforts in the aftermath of the disaster focused on providing new school buildings</w:t>
      </w:r>
      <w:r w:rsidR="00062E4C" w:rsidRPr="00AC7608">
        <w:t xml:space="preserve"> </w:t>
      </w:r>
      <w:r w:rsidR="00D47450" w:rsidRPr="00AC7608">
        <w:t xml:space="preserve">on the same land where the original structures had been damaged or even destroyed. Moving such </w:t>
      </w:r>
      <w:r w:rsidR="006A00B8" w:rsidRPr="00AC7608">
        <w:t xml:space="preserve">important community </w:t>
      </w:r>
      <w:r w:rsidR="00D47450" w:rsidRPr="00AC7608">
        <w:t xml:space="preserve">facilities further inland would have proved challenging and counterproductive for the city’s recovery. First, residents of the affected neighbourhoods </w:t>
      </w:r>
      <w:r w:rsidR="006A00B8" w:rsidRPr="00AC7608">
        <w:t>asked for</w:t>
      </w:r>
      <w:r w:rsidR="00D47450" w:rsidRPr="00AC7608">
        <w:t xml:space="preserve"> </w:t>
      </w:r>
      <w:r w:rsidR="006A00B8" w:rsidRPr="00AC7608">
        <w:t>schools</w:t>
      </w:r>
      <w:r w:rsidR="00D47450" w:rsidRPr="00AC7608">
        <w:t xml:space="preserve"> to be available locally. Then, finding public land for constructing new facilities was challenging for the public authorities. </w:t>
      </w:r>
      <w:r w:rsidR="00D62A58" w:rsidRPr="00AC7608">
        <w:t>T</w:t>
      </w:r>
      <w:r w:rsidR="00D47450" w:rsidRPr="00AC7608">
        <w:t>he</w:t>
      </w:r>
      <w:r w:rsidR="00D62A58" w:rsidRPr="00AC7608">
        <w:t xml:space="preserve"> vast</w:t>
      </w:r>
      <w:r w:rsidR="00D47450" w:rsidRPr="00AC7608">
        <w:t xml:space="preserve"> majority of the school buildings</w:t>
      </w:r>
      <w:r w:rsidR="00D62A58" w:rsidRPr="00AC7608">
        <w:t xml:space="preserve"> in Banda Aceh</w:t>
      </w:r>
      <w:r w:rsidR="00D47450" w:rsidRPr="00AC7608">
        <w:t xml:space="preserve"> were rebuilt </w:t>
      </w:r>
      <w:r w:rsidR="00D62A58" w:rsidRPr="00AC7608">
        <w:t>using</w:t>
      </w:r>
      <w:r w:rsidR="00D47450" w:rsidRPr="00AC7608">
        <w:t xml:space="preserve"> </w:t>
      </w:r>
      <w:r w:rsidR="00D62A58" w:rsidRPr="00AC7608">
        <w:t>RC frames</w:t>
      </w:r>
      <w:r w:rsidR="00D47450" w:rsidRPr="00AC7608">
        <w:t xml:space="preserve"> with infills, most of which </w:t>
      </w:r>
      <w:r w:rsidR="00AE082B" w:rsidRPr="00AC7608">
        <w:t>are</w:t>
      </w:r>
      <w:r w:rsidR="00D47450" w:rsidRPr="00AC7608">
        <w:t xml:space="preserve"> two</w:t>
      </w:r>
      <w:r w:rsidR="00AE082B" w:rsidRPr="00AC7608">
        <w:t>-</w:t>
      </w:r>
      <w:r w:rsidR="00D47450" w:rsidRPr="00AC7608">
        <w:t>stor</w:t>
      </w:r>
      <w:r w:rsidR="00AE082B" w:rsidRPr="00AC7608">
        <w:t>y high</w:t>
      </w:r>
      <w:r w:rsidR="00D62A58" w:rsidRPr="00AC7608">
        <w:t xml:space="preserve"> (Gentile et al. (2019)</w:t>
      </w:r>
      <w:r w:rsidR="00D47450" w:rsidRPr="00AC7608">
        <w:t xml:space="preserve">. Approximately, two thirds of the schools were completed between 2005 and 2011, in accordance with the national building code SNI 1762:2002 (BSN, 2002). A smaller share was of more recent construction, hence nominally designed to the latest seismic code SNI 1762:2012 (BSN, 2012). </w:t>
      </w:r>
    </w:p>
    <w:p w14:paraId="45AC3238" w14:textId="374630A8" w:rsidR="00D47450" w:rsidRDefault="00D47450" w:rsidP="00550F8A">
      <w:pPr>
        <w:pStyle w:val="SECEDBodytext"/>
      </w:pPr>
      <w:r w:rsidRPr="00AC7608">
        <w:t xml:space="preserve">The </w:t>
      </w:r>
      <w:r w:rsidR="0063108E">
        <w:t>team visited the</w:t>
      </w:r>
      <w:r w:rsidR="00336E59">
        <w:t xml:space="preserve"> </w:t>
      </w:r>
      <w:r w:rsidR="00336E59" w:rsidRPr="00336E59">
        <w:t>Muhammadiyah 1</w:t>
      </w:r>
      <w:r w:rsidR="0063108E">
        <w:t xml:space="preserve"> </w:t>
      </w:r>
      <w:r w:rsidRPr="00AC7608">
        <w:t xml:space="preserve">primary school </w:t>
      </w:r>
      <w:r w:rsidR="00E36551">
        <w:t xml:space="preserve">in the city centre </w:t>
      </w:r>
      <w:r w:rsidR="00336E59">
        <w:t xml:space="preserve">that </w:t>
      </w:r>
      <w:r w:rsidRPr="00AC7608">
        <w:t>was rebuilt with the support of international NGOs</w:t>
      </w:r>
      <w:r w:rsidR="00901F6A" w:rsidRPr="00AC7608">
        <w:t xml:space="preserve">. It </w:t>
      </w:r>
      <w:r w:rsidRPr="00AC7608">
        <w:t xml:space="preserve">is representative of a typical school compound in Banda Aceh (Figure </w:t>
      </w:r>
      <w:r w:rsidR="00B57221">
        <w:t>8</w:t>
      </w:r>
      <w:r w:rsidR="00FE586B" w:rsidRPr="00AC7608">
        <w:t>a</w:t>
      </w:r>
      <w:r w:rsidRPr="00AC7608">
        <w:t>)</w:t>
      </w:r>
      <w:r w:rsidR="00901F6A" w:rsidRPr="00AC7608">
        <w:t xml:space="preserve">: </w:t>
      </w:r>
      <w:r w:rsidRPr="00AC7608">
        <w:t xml:space="preserve">rectangular in shape, two-storey high, about ten bays in the longitudinal direction and two in the transverse direction. A similar plan can be observed </w:t>
      </w:r>
      <w:r w:rsidR="00901F6A" w:rsidRPr="00AC7608">
        <w:t>in</w:t>
      </w:r>
      <w:r w:rsidRPr="00AC7608">
        <w:t xml:space="preserve"> the main building </w:t>
      </w:r>
      <w:r w:rsidR="00901F6A" w:rsidRPr="00AC7608">
        <w:t>of</w:t>
      </w:r>
      <w:r w:rsidRPr="00AC7608">
        <w:t xml:space="preserve"> the primary school in</w:t>
      </w:r>
      <w:r w:rsidR="00C4250B" w:rsidRPr="00AC7608">
        <w:t xml:space="preserve"> Mon Singet</w:t>
      </w:r>
      <w:r w:rsidR="00B64374" w:rsidRPr="00AC7608">
        <w:t xml:space="preserve"> in Kajhu</w:t>
      </w:r>
      <w:r w:rsidRPr="00AC7608">
        <w:t>.</w:t>
      </w:r>
      <w:r w:rsidR="00C4250B" w:rsidRPr="00AC7608">
        <w:t xml:space="preserve"> </w:t>
      </w:r>
      <w:r w:rsidR="00D62A58" w:rsidRPr="00AC7608">
        <w:t>S</w:t>
      </w:r>
      <w:r w:rsidR="00C4250B" w:rsidRPr="00AC7608">
        <w:t xml:space="preserve">ome issues </w:t>
      </w:r>
      <w:r w:rsidR="00D62A58" w:rsidRPr="00AC7608">
        <w:t>were observed</w:t>
      </w:r>
      <w:r w:rsidR="008A21B5" w:rsidRPr="00AC7608">
        <w:t xml:space="preserve"> by visual inspection</w:t>
      </w:r>
      <w:r w:rsidR="00C4250B" w:rsidRPr="00AC7608">
        <w:t>: s</w:t>
      </w:r>
      <w:r w:rsidRPr="00AC7608">
        <w:t>palling of the concrete cover in</w:t>
      </w:r>
      <w:r w:rsidR="005115A8" w:rsidRPr="00AC7608">
        <w:t xml:space="preserve"> </w:t>
      </w:r>
      <w:r w:rsidR="008A21B5" w:rsidRPr="00AC7608">
        <w:t xml:space="preserve">some </w:t>
      </w:r>
      <w:r w:rsidR="005115A8" w:rsidRPr="00AC7608">
        <w:t xml:space="preserve">corner </w:t>
      </w:r>
      <w:r w:rsidRPr="00AC7608">
        <w:t xml:space="preserve">columns, damage in the ceiling across the building (see Figure </w:t>
      </w:r>
      <w:r w:rsidR="002E7701" w:rsidRPr="00AC7608">
        <w:t>7</w:t>
      </w:r>
      <w:r w:rsidRPr="00AC7608">
        <w:t>a)</w:t>
      </w:r>
      <w:r w:rsidR="00D37D5A" w:rsidRPr="00AC7608">
        <w:t xml:space="preserve">, and </w:t>
      </w:r>
      <w:r w:rsidR="006317EF" w:rsidRPr="00AC7608">
        <w:t xml:space="preserve">lack of connection between the gable and the </w:t>
      </w:r>
      <w:r w:rsidRPr="00AC7608">
        <w:t>tie beam</w:t>
      </w:r>
      <w:r w:rsidR="006317EF" w:rsidRPr="00AC7608">
        <w:t xml:space="preserve"> </w:t>
      </w:r>
      <w:r w:rsidRPr="00AC7608">
        <w:t xml:space="preserve">(Figure </w:t>
      </w:r>
      <w:r w:rsidR="00B57221">
        <w:t>8</w:t>
      </w:r>
      <w:r w:rsidRPr="00AC7608">
        <w:t>b). Th</w:t>
      </w:r>
      <w:r w:rsidR="005115A8" w:rsidRPr="00AC7608">
        <w:t>e latter</w:t>
      </w:r>
      <w:r w:rsidRPr="00AC7608">
        <w:t xml:space="preserve"> is a recurrent failure mode </w:t>
      </w:r>
      <w:r w:rsidR="005115A8" w:rsidRPr="00AC7608">
        <w:t xml:space="preserve">that was </w:t>
      </w:r>
      <w:r w:rsidRPr="00AC7608">
        <w:t xml:space="preserve">observed in the 2018 Palu earthquake. </w:t>
      </w:r>
    </w:p>
    <w:p w14:paraId="2323898F" w14:textId="77777777" w:rsidR="00FF7E7F" w:rsidRPr="00AC7608" w:rsidRDefault="00FF7E7F" w:rsidP="00550F8A">
      <w:pPr>
        <w:pStyle w:val="SECED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0"/>
      </w:tblGrid>
      <w:tr w:rsidR="00AC7608" w:rsidRPr="00AC7608" w14:paraId="6B40EE8D" w14:textId="77777777" w:rsidTr="00FF7E7F">
        <w:tc>
          <w:tcPr>
            <w:tcW w:w="4248" w:type="dxa"/>
          </w:tcPr>
          <w:p w14:paraId="7A0F5EBD" w14:textId="1358F037" w:rsidR="00D47450" w:rsidRPr="00AC7608" w:rsidRDefault="00954FEE" w:rsidP="007C25DF">
            <w:pPr>
              <w:jc w:val="center"/>
              <w:rPr>
                <w:rFonts w:eastAsia="Times New Roman"/>
              </w:rPr>
            </w:pPr>
            <w:r w:rsidRPr="00AC7608">
              <w:rPr>
                <w:rFonts w:eastAsia="Times New Roman"/>
                <w:noProof/>
              </w:rPr>
              <w:drawing>
                <wp:inline distT="0" distB="0" distL="0" distR="0" wp14:anchorId="57CD76B4" wp14:editId="11F0AE95">
                  <wp:extent cx="2157404" cy="1620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57404" cy="1620000"/>
                          </a:xfrm>
                          <a:prstGeom prst="rect">
                            <a:avLst/>
                          </a:prstGeom>
                          <a:noFill/>
                        </pic:spPr>
                      </pic:pic>
                    </a:graphicData>
                  </a:graphic>
                </wp:inline>
              </w:drawing>
            </w:r>
          </w:p>
        </w:tc>
        <w:tc>
          <w:tcPr>
            <w:tcW w:w="4250" w:type="dxa"/>
          </w:tcPr>
          <w:p w14:paraId="3AB2750B" w14:textId="3540E103" w:rsidR="00D47450" w:rsidRPr="00AC7608" w:rsidRDefault="00954FEE" w:rsidP="007C25DF">
            <w:pPr>
              <w:jc w:val="center"/>
              <w:rPr>
                <w:rFonts w:eastAsia="Times New Roman"/>
              </w:rPr>
            </w:pPr>
            <w:r w:rsidRPr="00AC7608">
              <w:rPr>
                <w:rFonts w:eastAsia="Times New Roman"/>
                <w:noProof/>
              </w:rPr>
              <w:drawing>
                <wp:inline distT="0" distB="0" distL="0" distR="0" wp14:anchorId="6800CE4F" wp14:editId="38B9709A">
                  <wp:extent cx="2160000" cy="1620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p>
        </w:tc>
      </w:tr>
      <w:tr w:rsidR="00AC7608" w:rsidRPr="00AC7608" w14:paraId="2E420662" w14:textId="77777777" w:rsidTr="00FF7E7F">
        <w:tc>
          <w:tcPr>
            <w:tcW w:w="4248" w:type="dxa"/>
          </w:tcPr>
          <w:p w14:paraId="54A0A38E" w14:textId="4CA11564" w:rsidR="00FE586B" w:rsidRPr="001B04E0" w:rsidRDefault="00FE586B" w:rsidP="007C25DF">
            <w:pPr>
              <w:jc w:val="center"/>
              <w:rPr>
                <w:noProof/>
                <w:sz w:val="16"/>
                <w:szCs w:val="16"/>
              </w:rPr>
            </w:pPr>
            <w:r w:rsidRPr="001B04E0">
              <w:rPr>
                <w:noProof/>
                <w:sz w:val="16"/>
                <w:szCs w:val="16"/>
              </w:rPr>
              <w:t>(a)</w:t>
            </w:r>
          </w:p>
        </w:tc>
        <w:tc>
          <w:tcPr>
            <w:tcW w:w="4250" w:type="dxa"/>
          </w:tcPr>
          <w:p w14:paraId="31AF544E" w14:textId="14BDEA94" w:rsidR="00FE586B" w:rsidRPr="001B04E0" w:rsidRDefault="00FE586B" w:rsidP="007C25DF">
            <w:pPr>
              <w:jc w:val="center"/>
              <w:rPr>
                <w:noProof/>
                <w:sz w:val="16"/>
                <w:szCs w:val="16"/>
              </w:rPr>
            </w:pPr>
            <w:r w:rsidRPr="001B04E0">
              <w:rPr>
                <w:noProof/>
                <w:sz w:val="16"/>
                <w:szCs w:val="16"/>
              </w:rPr>
              <w:t>(b)</w:t>
            </w:r>
          </w:p>
        </w:tc>
      </w:tr>
      <w:tr w:rsidR="00AC7608" w:rsidRPr="00AC7608" w14:paraId="3C0945BA" w14:textId="77777777" w:rsidTr="00FF7E7F">
        <w:tc>
          <w:tcPr>
            <w:tcW w:w="8498" w:type="dxa"/>
            <w:gridSpan w:val="2"/>
          </w:tcPr>
          <w:p w14:paraId="350C82F8" w14:textId="5EE99874" w:rsidR="00D47450" w:rsidRPr="00AC7608" w:rsidRDefault="00D47450" w:rsidP="003B1E14">
            <w:pPr>
              <w:pStyle w:val="SECEDCaption"/>
              <w:rPr>
                <w:rFonts w:eastAsia="Times New Roman"/>
              </w:rPr>
            </w:pPr>
            <w:r w:rsidRPr="00AC7608">
              <w:rPr>
                <w:noProof/>
              </w:rPr>
              <w:t xml:space="preserve">Figure </w:t>
            </w:r>
            <w:r w:rsidR="00B57221">
              <w:rPr>
                <w:noProof/>
              </w:rPr>
              <w:t>8</w:t>
            </w:r>
            <w:r w:rsidRPr="00AC7608">
              <w:rPr>
                <w:noProof/>
              </w:rPr>
              <w:t xml:space="preserve">. </w:t>
            </w:r>
            <w:r w:rsidR="00FE586B" w:rsidRPr="00AC7608">
              <w:rPr>
                <w:noProof/>
              </w:rPr>
              <w:t>P</w:t>
            </w:r>
            <w:r w:rsidR="003B1E14" w:rsidRPr="00AC7608">
              <w:rPr>
                <w:noProof/>
              </w:rPr>
              <w:t>rimary school</w:t>
            </w:r>
            <w:r w:rsidR="005D4765" w:rsidRPr="00AC7608">
              <w:rPr>
                <w:noProof/>
              </w:rPr>
              <w:t>s</w:t>
            </w:r>
            <w:r w:rsidR="00735476" w:rsidRPr="00AC7608">
              <w:rPr>
                <w:noProof/>
              </w:rPr>
              <w:t>: (a)</w:t>
            </w:r>
            <w:r w:rsidR="00694A3C">
              <w:rPr>
                <w:noProof/>
              </w:rPr>
              <w:t xml:space="preserve"> </w:t>
            </w:r>
            <w:r w:rsidR="00694A3C" w:rsidRPr="00336E59">
              <w:t>Muhammadiyah 1</w:t>
            </w:r>
            <w:r w:rsidR="00735476" w:rsidRPr="00AC7608">
              <w:rPr>
                <w:noProof/>
              </w:rPr>
              <w:t xml:space="preserve">; and </w:t>
            </w:r>
            <w:r w:rsidR="00FE586B" w:rsidRPr="00AC7608">
              <w:rPr>
                <w:noProof/>
              </w:rPr>
              <w:t>(</w:t>
            </w:r>
            <w:r w:rsidR="00735476" w:rsidRPr="00AC7608">
              <w:rPr>
                <w:noProof/>
              </w:rPr>
              <w:t>b</w:t>
            </w:r>
            <w:r w:rsidR="00FE586B" w:rsidRPr="00AC7608">
              <w:rPr>
                <w:noProof/>
              </w:rPr>
              <w:t>) Mon Singet</w:t>
            </w:r>
            <w:r w:rsidR="003B1E14" w:rsidRPr="00AC7608">
              <w:rPr>
                <w:noProof/>
              </w:rPr>
              <w:t>.</w:t>
            </w:r>
          </w:p>
        </w:tc>
      </w:tr>
    </w:tbl>
    <w:p w14:paraId="5AF39A94" w14:textId="361CD654" w:rsidR="00D47450" w:rsidRPr="00AC7608" w:rsidRDefault="00D47450" w:rsidP="00CD5171">
      <w:pPr>
        <w:pStyle w:val="SECEDBodytext"/>
      </w:pPr>
      <w:r w:rsidRPr="00AC7608">
        <w:t xml:space="preserve">The team also visited the primary school in Lampageu, which was built by USAID, i.e. the aid government agency funded by the USA government. The new school building can be seen as an outlier in terms of design and layout. It features two stories, one above the ground floor that is left open, and the second for the classrooms, clearly indicating that tsunami effects were taken in consideration in the design of the school building (Figure </w:t>
      </w:r>
      <w:r w:rsidR="00B57221">
        <w:t>9</w:t>
      </w:r>
      <w:r w:rsidRPr="00AC7608">
        <w:t xml:space="preserve">). The permeable frame at the ground floor aims to reduce the tsunami loading on the structure. There is also a higher portion of the building with three stories, of which the top one appears to be designated as the evacuation area. However, there are some concerns that the building height may not be sufficient to provide a safe refuge </w:t>
      </w:r>
      <w:r w:rsidR="007B0412" w:rsidRPr="00AC7608">
        <w:t>if</w:t>
      </w:r>
      <w:r w:rsidRPr="00AC7608">
        <w:t xml:space="preserve"> tsunami inundation </w:t>
      </w:r>
      <w:r w:rsidR="007B0412" w:rsidRPr="00AC7608">
        <w:t>reache</w:t>
      </w:r>
      <w:r w:rsidR="007F46D2">
        <w:t>s</w:t>
      </w:r>
      <w:r w:rsidRPr="00AC7608">
        <w:t xml:space="preserve"> the second floor (about 6-7m). This scenario</w:t>
      </w:r>
      <w:r w:rsidR="00F45684" w:rsidRPr="00AC7608">
        <w:t xml:space="preserve"> cannot</w:t>
      </w:r>
      <w:r w:rsidRPr="00AC7608">
        <w:t xml:space="preserve"> be excluded as the school </w:t>
      </w:r>
      <w:r w:rsidR="00F45684" w:rsidRPr="00AC7608">
        <w:t xml:space="preserve">site </w:t>
      </w:r>
      <w:r w:rsidRPr="00AC7608">
        <w:t xml:space="preserve">is highly exposed </w:t>
      </w:r>
      <w:r w:rsidR="00F45684" w:rsidRPr="00AC7608">
        <w:t>to future tsunami inundation</w:t>
      </w:r>
      <w:r w:rsidRPr="00AC7608">
        <w:t>.</w:t>
      </w:r>
    </w:p>
    <w:p w14:paraId="149CD239" w14:textId="77777777" w:rsidR="00115E88" w:rsidRPr="00AC7608" w:rsidRDefault="00115E88" w:rsidP="00D47450">
      <w:pPr>
        <w:rPr>
          <w:rFonts w:eastAsia="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250"/>
      </w:tblGrid>
      <w:tr w:rsidR="00AC7608" w:rsidRPr="00AC7608" w14:paraId="535C7442" w14:textId="77777777" w:rsidTr="0045771C">
        <w:tc>
          <w:tcPr>
            <w:tcW w:w="4508" w:type="dxa"/>
          </w:tcPr>
          <w:p w14:paraId="4E7DF5B5" w14:textId="488555F0" w:rsidR="00D47450" w:rsidRPr="00AC7608" w:rsidRDefault="00954FEE" w:rsidP="00D62A58">
            <w:pPr>
              <w:jc w:val="center"/>
              <w:rPr>
                <w:rFonts w:eastAsia="Times New Roman"/>
              </w:rPr>
            </w:pPr>
            <w:r w:rsidRPr="00AC7608">
              <w:rPr>
                <w:rFonts w:eastAsia="Times New Roman"/>
                <w:noProof/>
              </w:rPr>
              <w:drawing>
                <wp:inline distT="0" distB="0" distL="0" distR="0" wp14:anchorId="59FEE3EA" wp14:editId="4D35ECE4">
                  <wp:extent cx="2154757" cy="1620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4757" cy="1620000"/>
                          </a:xfrm>
                          <a:prstGeom prst="rect">
                            <a:avLst/>
                          </a:prstGeom>
                          <a:noFill/>
                        </pic:spPr>
                      </pic:pic>
                    </a:graphicData>
                  </a:graphic>
                </wp:inline>
              </w:drawing>
            </w:r>
          </w:p>
        </w:tc>
        <w:tc>
          <w:tcPr>
            <w:tcW w:w="4508" w:type="dxa"/>
          </w:tcPr>
          <w:p w14:paraId="514807B4" w14:textId="406F3848" w:rsidR="00D47450" w:rsidRPr="00AC7608" w:rsidRDefault="00954FEE" w:rsidP="00D62A58">
            <w:pPr>
              <w:jc w:val="center"/>
              <w:rPr>
                <w:rFonts w:eastAsia="Times New Roman"/>
              </w:rPr>
            </w:pPr>
            <w:r w:rsidRPr="00AC7608">
              <w:rPr>
                <w:rFonts w:eastAsia="Times New Roman"/>
                <w:noProof/>
              </w:rPr>
              <w:drawing>
                <wp:inline distT="0" distB="0" distL="0" distR="0" wp14:anchorId="0C71E8AE" wp14:editId="77EF5718">
                  <wp:extent cx="2160000" cy="1620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p>
        </w:tc>
      </w:tr>
      <w:tr w:rsidR="00AC7608" w:rsidRPr="00AC7608" w14:paraId="14CEB40E" w14:textId="77777777" w:rsidTr="0045771C">
        <w:tc>
          <w:tcPr>
            <w:tcW w:w="9016" w:type="dxa"/>
            <w:gridSpan w:val="2"/>
          </w:tcPr>
          <w:p w14:paraId="1CE4E916" w14:textId="1140ECB2" w:rsidR="00D47450" w:rsidRPr="00AC7608" w:rsidRDefault="00D47450" w:rsidP="00115E88">
            <w:pPr>
              <w:pStyle w:val="SECEDCaption"/>
              <w:rPr>
                <w:rFonts w:eastAsia="Times New Roman"/>
              </w:rPr>
            </w:pPr>
            <w:r w:rsidRPr="00AC7608">
              <w:rPr>
                <w:noProof/>
              </w:rPr>
              <w:t xml:space="preserve">Figure </w:t>
            </w:r>
            <w:r w:rsidR="00B57221">
              <w:rPr>
                <w:noProof/>
              </w:rPr>
              <w:t>9</w:t>
            </w:r>
            <w:r w:rsidRPr="00AC7608">
              <w:rPr>
                <w:noProof/>
              </w:rPr>
              <w:t xml:space="preserve">. </w:t>
            </w:r>
            <w:r w:rsidR="008C0F85" w:rsidRPr="00AC7608">
              <w:rPr>
                <w:noProof/>
              </w:rPr>
              <w:t>Primary school in</w:t>
            </w:r>
            <w:r w:rsidRPr="00AC7608">
              <w:rPr>
                <w:noProof/>
              </w:rPr>
              <w:t xml:space="preserve"> Lamp</w:t>
            </w:r>
            <w:r w:rsidR="008A52AA">
              <w:rPr>
                <w:noProof/>
              </w:rPr>
              <w:t>a</w:t>
            </w:r>
            <w:r w:rsidRPr="00AC7608">
              <w:rPr>
                <w:noProof/>
              </w:rPr>
              <w:t>geu.</w:t>
            </w:r>
          </w:p>
        </w:tc>
      </w:tr>
    </w:tbl>
    <w:p w14:paraId="7BA3F751" w14:textId="1738050F" w:rsidR="00DA1768" w:rsidRPr="00AC7608" w:rsidRDefault="00630B68" w:rsidP="00DA1768">
      <w:pPr>
        <w:pStyle w:val="SECEDHeading1"/>
      </w:pPr>
      <w:r w:rsidRPr="00AC7608">
        <w:lastRenderedPageBreak/>
        <w:t>Evacuation structures</w:t>
      </w:r>
    </w:p>
    <w:p w14:paraId="0A513744" w14:textId="2D78B76D" w:rsidR="00C73831" w:rsidRPr="00AC7608" w:rsidRDefault="00C73831" w:rsidP="002040FD">
      <w:pPr>
        <w:pStyle w:val="SECEDBodytext"/>
      </w:pPr>
      <w:r w:rsidRPr="00AC7608">
        <w:t xml:space="preserve">Banda Aceh lies on a coastal plain and no natural escape options are available to most of the city residents. Following the 2004 IOT, a total of eight tsunami vertical evacuation (TVE) buildings were constructed. </w:t>
      </w:r>
      <w:r w:rsidR="007C0211" w:rsidRPr="00AC7608">
        <w:t>Most</w:t>
      </w:r>
      <w:r w:rsidRPr="00AC7608">
        <w:t xml:space="preserve"> of them are located in the northern sector of the city, where the largest tsunami inundation depths were recorded in 2004 in the range of 10-12 m. TVEs include reinforced concrete structures built with the support of the Japanese government. </w:t>
      </w:r>
      <w:r w:rsidR="002040FD" w:rsidRPr="00AC7608">
        <w:t>O</w:t>
      </w:r>
      <w:r w:rsidRPr="00AC7608">
        <w:t>ther</w:t>
      </w:r>
      <w:r w:rsidR="002040FD" w:rsidRPr="00AC7608">
        <w:t>s</w:t>
      </w:r>
      <w:r w:rsidRPr="00AC7608">
        <w:t xml:space="preserve"> </w:t>
      </w:r>
      <w:r w:rsidR="007B2D7C" w:rsidRPr="00AC7608">
        <w:t>include</w:t>
      </w:r>
      <w:r w:rsidRPr="00AC7608">
        <w:t xml:space="preserve"> the Aceh Tsunami Museum, the TVE built by the Local Disaster Management Agency, and a three-storey steel building at the local firefighter department. </w:t>
      </w:r>
    </w:p>
    <w:p w14:paraId="7CAD2AC3" w14:textId="7F295FC2" w:rsidR="00571A41" w:rsidRPr="00AC7608" w:rsidRDefault="00C73831" w:rsidP="00571A41">
      <w:pPr>
        <w:pStyle w:val="SECEDBodytext"/>
      </w:pPr>
      <w:r w:rsidRPr="00AC7608">
        <w:t>One of the Japanese TVE</w:t>
      </w:r>
      <w:r w:rsidR="007B2D7C" w:rsidRPr="00AC7608">
        <w:t xml:space="preserve"> structures</w:t>
      </w:r>
      <w:r w:rsidRPr="00AC7608">
        <w:t xml:space="preserve"> is located in Ulee Lheue, the area of the former seaport of Banda Aceh. As shown in Figure </w:t>
      </w:r>
      <w:r w:rsidR="00571A41">
        <w:t>10</w:t>
      </w:r>
      <w:r w:rsidR="00D3202C" w:rsidRPr="00AC7608">
        <w:t>a</w:t>
      </w:r>
      <w:r w:rsidRPr="00AC7608">
        <w:t xml:space="preserve">, </w:t>
      </w:r>
      <w:r w:rsidR="00D62A58" w:rsidRPr="00AC7608">
        <w:t xml:space="preserve">the </w:t>
      </w:r>
      <w:r w:rsidRPr="00AC7608">
        <w:t xml:space="preserve">building is a massive reinforced concrete structure, 13m tall, rectangular in plan, with a dense grid of large square columns (75x75 cm in section at the ground floor) and a refuge roof easily accessible via a system of gentle ramps. The building is strategically oriented to have the short side </w:t>
      </w:r>
      <w:r w:rsidR="00E8623A" w:rsidRPr="00AC7608">
        <w:t>to resist</w:t>
      </w:r>
      <w:r w:rsidRPr="00AC7608">
        <w:t xml:space="preserve"> the tsunami wave</w:t>
      </w:r>
      <w:r w:rsidR="00E8623A" w:rsidRPr="00AC7608">
        <w:t xml:space="preserve"> impact</w:t>
      </w:r>
      <w:r w:rsidRPr="00AC7608">
        <w:t xml:space="preserve">. To reduce this further, the front of the building </w:t>
      </w:r>
      <w:r w:rsidR="00E8623A" w:rsidRPr="00AC7608">
        <w:t xml:space="preserve">was designed </w:t>
      </w:r>
      <w:r w:rsidRPr="00AC7608">
        <w:t xml:space="preserve">as the bow of a ship. In the surroundings, new evacuation signage is present </w:t>
      </w:r>
      <w:r w:rsidR="00D3202C" w:rsidRPr="00AC7608">
        <w:t>and</w:t>
      </w:r>
      <w:r w:rsidRPr="00AC7608">
        <w:t xml:space="preserve"> there are </w:t>
      </w:r>
      <w:r w:rsidR="00D3202C" w:rsidRPr="00AC7608">
        <w:t>still</w:t>
      </w:r>
      <w:r w:rsidRPr="00AC7608">
        <w:t xml:space="preserve"> remains of reinforced concrete hospital buildings destroyed by the tsunami in 2004. </w:t>
      </w:r>
      <w:r w:rsidR="00571A41" w:rsidRPr="00AC7608">
        <w:t xml:space="preserve">The rest of the Japanese TVE buildings, as well as the TVE structure built by the local authority </w:t>
      </w:r>
      <w:r w:rsidR="00571A41">
        <w:t>in</w:t>
      </w:r>
      <w:r w:rsidR="00981242">
        <w:t xml:space="preserve"> Lamjamee</w:t>
      </w:r>
      <w:r w:rsidR="00571A41">
        <w:t xml:space="preserve"> </w:t>
      </w:r>
      <w:r w:rsidR="00571A41" w:rsidRPr="00AC7608">
        <w:t xml:space="preserve">(Figure </w:t>
      </w:r>
      <w:r w:rsidR="00981242">
        <w:t>10</w:t>
      </w:r>
      <w:r w:rsidR="00571A41" w:rsidRPr="00AC7608">
        <w:t xml:space="preserve">b), are massive bare RC frames, </w:t>
      </w:r>
      <w:r w:rsidR="00571A41">
        <w:t>built</w:t>
      </w:r>
      <w:r w:rsidR="00571A41" w:rsidRPr="00AC7608">
        <w:t xml:space="preserve"> in the middle of low-rise residential areas. The conditions of the</w:t>
      </w:r>
      <w:r w:rsidR="00571A41">
        <w:t>se</w:t>
      </w:r>
      <w:r w:rsidR="00571A41" w:rsidRPr="00AC7608">
        <w:t xml:space="preserve"> </w:t>
      </w:r>
      <w:r w:rsidR="00571A41">
        <w:t>structures</w:t>
      </w:r>
      <w:r w:rsidR="00571A41" w:rsidRPr="00AC7608">
        <w:t xml:space="preserve"> are still fairly good, but some signs of deterioration were visible since they are exposed to the elements. </w:t>
      </w:r>
    </w:p>
    <w:p w14:paraId="055F89BB" w14:textId="77777777" w:rsidR="00C73831" w:rsidRPr="00AC7608" w:rsidRDefault="00C73831" w:rsidP="00C73831"/>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1"/>
        <w:gridCol w:w="4277"/>
      </w:tblGrid>
      <w:tr w:rsidR="00AC7608" w:rsidRPr="00AC7608" w14:paraId="52BA0330" w14:textId="77777777" w:rsidTr="007E0D11">
        <w:trPr>
          <w:jc w:val="center"/>
        </w:trPr>
        <w:tc>
          <w:tcPr>
            <w:tcW w:w="4221" w:type="dxa"/>
          </w:tcPr>
          <w:p w14:paraId="3D337DCF" w14:textId="28DC2DE8" w:rsidR="00C73831" w:rsidRPr="00AC7608" w:rsidRDefault="00954FEE" w:rsidP="00D62A58">
            <w:pPr>
              <w:jc w:val="center"/>
            </w:pPr>
            <w:r w:rsidRPr="00AC7608">
              <w:rPr>
                <w:noProof/>
              </w:rPr>
              <w:drawing>
                <wp:inline distT="0" distB="0" distL="0" distR="0" wp14:anchorId="7BCBF70C" wp14:editId="5106EBA4">
                  <wp:extent cx="2152800" cy="16200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52800" cy="1620000"/>
                          </a:xfrm>
                          <a:prstGeom prst="rect">
                            <a:avLst/>
                          </a:prstGeom>
                          <a:noFill/>
                        </pic:spPr>
                      </pic:pic>
                    </a:graphicData>
                  </a:graphic>
                </wp:inline>
              </w:drawing>
            </w:r>
          </w:p>
        </w:tc>
        <w:tc>
          <w:tcPr>
            <w:tcW w:w="4277" w:type="dxa"/>
          </w:tcPr>
          <w:p w14:paraId="7B6E54D9" w14:textId="3DBA7460" w:rsidR="00C73831" w:rsidRPr="00AC7608" w:rsidRDefault="00954FEE" w:rsidP="00D62A58">
            <w:pPr>
              <w:jc w:val="center"/>
            </w:pPr>
            <w:r w:rsidRPr="00AC7608">
              <w:rPr>
                <w:noProof/>
              </w:rPr>
              <w:drawing>
                <wp:inline distT="0" distB="0" distL="0" distR="0" wp14:anchorId="3B71BA7F" wp14:editId="13D68D08">
                  <wp:extent cx="2155424" cy="1620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5424" cy="1620000"/>
                          </a:xfrm>
                          <a:prstGeom prst="rect">
                            <a:avLst/>
                          </a:prstGeom>
                          <a:noFill/>
                        </pic:spPr>
                      </pic:pic>
                    </a:graphicData>
                  </a:graphic>
                </wp:inline>
              </w:drawing>
            </w:r>
          </w:p>
        </w:tc>
      </w:tr>
      <w:tr w:rsidR="00571A41" w:rsidRPr="00AC7608" w14:paraId="0E08125B" w14:textId="77777777" w:rsidTr="007E0D11">
        <w:trPr>
          <w:jc w:val="center"/>
        </w:trPr>
        <w:tc>
          <w:tcPr>
            <w:tcW w:w="4221" w:type="dxa"/>
          </w:tcPr>
          <w:p w14:paraId="32AD635C" w14:textId="3BE19D63" w:rsidR="00571A41" w:rsidRPr="00981242" w:rsidRDefault="00571A41" w:rsidP="00D62A58">
            <w:pPr>
              <w:jc w:val="center"/>
              <w:rPr>
                <w:noProof/>
                <w:sz w:val="16"/>
                <w:szCs w:val="16"/>
              </w:rPr>
            </w:pPr>
            <w:r w:rsidRPr="00981242">
              <w:rPr>
                <w:noProof/>
                <w:sz w:val="16"/>
                <w:szCs w:val="16"/>
              </w:rPr>
              <w:t>(a)</w:t>
            </w:r>
          </w:p>
        </w:tc>
        <w:tc>
          <w:tcPr>
            <w:tcW w:w="4277" w:type="dxa"/>
          </w:tcPr>
          <w:p w14:paraId="40C98535" w14:textId="6603FDCC" w:rsidR="00571A41" w:rsidRPr="00981242" w:rsidRDefault="00571A41" w:rsidP="00D62A58">
            <w:pPr>
              <w:jc w:val="center"/>
              <w:rPr>
                <w:noProof/>
                <w:sz w:val="16"/>
                <w:szCs w:val="16"/>
              </w:rPr>
            </w:pPr>
            <w:r w:rsidRPr="00981242">
              <w:rPr>
                <w:noProof/>
                <w:sz w:val="16"/>
                <w:szCs w:val="16"/>
              </w:rPr>
              <w:t>(b)</w:t>
            </w:r>
          </w:p>
        </w:tc>
      </w:tr>
      <w:tr w:rsidR="00AC7608" w:rsidRPr="00AC7608" w14:paraId="4235A938" w14:textId="77777777" w:rsidTr="007E0D11">
        <w:trPr>
          <w:jc w:val="center"/>
        </w:trPr>
        <w:tc>
          <w:tcPr>
            <w:tcW w:w="8498" w:type="dxa"/>
            <w:gridSpan w:val="2"/>
          </w:tcPr>
          <w:p w14:paraId="59FC6182" w14:textId="77B1A61F" w:rsidR="00C73831" w:rsidRPr="00AC7608" w:rsidRDefault="00C73831" w:rsidP="007E0D11">
            <w:pPr>
              <w:pStyle w:val="SECEDCaption"/>
            </w:pPr>
            <w:r w:rsidRPr="00AC7608">
              <w:t xml:space="preserve">Figure </w:t>
            </w:r>
            <w:r w:rsidR="00571A41">
              <w:t>10</w:t>
            </w:r>
            <w:r w:rsidRPr="00AC7608">
              <w:t xml:space="preserve">. </w:t>
            </w:r>
            <w:r w:rsidR="00412176" w:rsidRPr="00AC7608">
              <w:t>Tsunami vertical evacuation structures</w:t>
            </w:r>
            <w:r w:rsidR="008F6BBE" w:rsidRPr="00AC7608">
              <w:t xml:space="preserve">: </w:t>
            </w:r>
            <w:r w:rsidR="00412176" w:rsidRPr="00AC7608">
              <w:t xml:space="preserve">(a) Ulee Lheue; and (b) </w:t>
            </w:r>
            <w:r w:rsidR="00943384">
              <w:t>Lam</w:t>
            </w:r>
            <w:r w:rsidR="00981242">
              <w:t>jamee.</w:t>
            </w:r>
          </w:p>
        </w:tc>
      </w:tr>
    </w:tbl>
    <w:p w14:paraId="49679970" w14:textId="6D04A3D7" w:rsidR="00C73831" w:rsidRPr="00AC7608" w:rsidRDefault="00742F67" w:rsidP="00142F44">
      <w:pPr>
        <w:pStyle w:val="SECEDBodytext"/>
      </w:pPr>
      <w:r w:rsidRPr="00AC7608">
        <w:t>The team found that</w:t>
      </w:r>
      <w:r w:rsidR="00BF3C5B" w:rsidRPr="00AC7608">
        <w:t xml:space="preserve"> </w:t>
      </w:r>
      <w:r w:rsidR="00F6799A" w:rsidRPr="00AC7608">
        <w:t xml:space="preserve">single-purpose </w:t>
      </w:r>
      <w:r w:rsidR="003746A4" w:rsidRPr="00AC7608">
        <w:t xml:space="preserve">TVEs have not been </w:t>
      </w:r>
      <w:r w:rsidR="00142F44" w:rsidRPr="00AC7608">
        <w:t xml:space="preserve">“absorbed” by the local community in which </w:t>
      </w:r>
      <w:r w:rsidR="003746A4" w:rsidRPr="00AC7608">
        <w:t xml:space="preserve">they sit, despite efforts by the government. </w:t>
      </w:r>
      <w:r w:rsidR="009B2052" w:rsidRPr="00AC7608">
        <w:t xml:space="preserve">In the 2012 earthquake, local residents around TVEs </w:t>
      </w:r>
      <w:r w:rsidR="004C0D1B" w:rsidRPr="00AC7608">
        <w:t>completely ignored the TVEs and evacuated using cars and bikes.</w:t>
      </w:r>
      <w:r w:rsidR="009B2052" w:rsidRPr="00AC7608">
        <w:t xml:space="preserve"> </w:t>
      </w:r>
      <w:r w:rsidR="00C73831" w:rsidRPr="00AC7608">
        <w:t xml:space="preserve">The Tsunami Museum (Figure </w:t>
      </w:r>
      <w:r w:rsidR="00FE2950" w:rsidRPr="00AC7608">
        <w:t>1</w:t>
      </w:r>
      <w:r w:rsidR="00981242">
        <w:t>1</w:t>
      </w:r>
      <w:r w:rsidR="00C73831" w:rsidRPr="00AC7608">
        <w:t xml:space="preserve">a) </w:t>
      </w:r>
      <w:r w:rsidR="003746A4" w:rsidRPr="00AC7608">
        <w:t>is good example of multi-purpose</w:t>
      </w:r>
      <w:r w:rsidR="00C73831" w:rsidRPr="00AC7608">
        <w:t xml:space="preserve"> </w:t>
      </w:r>
      <w:r w:rsidR="004C0D1B" w:rsidRPr="00AC7608">
        <w:t xml:space="preserve">TVE in </w:t>
      </w:r>
      <w:r w:rsidR="00C73831" w:rsidRPr="00AC7608">
        <w:t xml:space="preserve">the central area of the city. </w:t>
      </w:r>
      <w:r w:rsidR="004C0D1B" w:rsidRPr="00AC7608">
        <w:t>L</w:t>
      </w:r>
      <w:r w:rsidR="00C73831" w:rsidRPr="00AC7608">
        <w:t>ocal mosques</w:t>
      </w:r>
      <w:r w:rsidR="004C0D1B" w:rsidRPr="00AC7608">
        <w:t xml:space="preserve"> are also seen as </w:t>
      </w:r>
      <w:r w:rsidR="002F4B78" w:rsidRPr="00AC7608">
        <w:t>a safe place to evacuate to, as</w:t>
      </w:r>
      <w:r w:rsidR="00C73831" w:rsidRPr="00AC7608">
        <w:t xml:space="preserve"> local communities are culturally inclined to evacuate </w:t>
      </w:r>
      <w:r w:rsidR="006A30C4" w:rsidRPr="00AC7608">
        <w:t xml:space="preserve">to </w:t>
      </w:r>
      <w:r w:rsidR="002F4B78" w:rsidRPr="00AC7608">
        <w:t>what they perceive as</w:t>
      </w:r>
      <w:r w:rsidR="00C73831" w:rsidRPr="00AC7608">
        <w:t xml:space="preserve"> a safe place.</w:t>
      </w:r>
      <w:r w:rsidR="002F4B78" w:rsidRPr="00AC7608">
        <w:t xml:space="preserve"> However, </w:t>
      </w:r>
      <w:r w:rsidR="00600B36" w:rsidRPr="00AC7608">
        <w:t>in 2004 s</w:t>
      </w:r>
      <w:r w:rsidR="00C73831" w:rsidRPr="00AC7608">
        <w:t>everal mosques, including the one in Lambuuk, did not collapse, probably thanks to their large openings, but they were severely damaged</w:t>
      </w:r>
      <w:r w:rsidR="00383DC9" w:rsidRPr="00AC7608">
        <w:t xml:space="preserve"> (Figure 1</w:t>
      </w:r>
      <w:r w:rsidR="00981242">
        <w:t>1</w:t>
      </w:r>
      <w:r w:rsidR="00383DC9" w:rsidRPr="00AC7608">
        <w:t>b)</w:t>
      </w:r>
      <w:r w:rsidR="00600B36" w:rsidRPr="00AC7608">
        <w:t xml:space="preserve">. </w:t>
      </w:r>
      <w:r w:rsidR="00C73831" w:rsidRPr="00AC7608">
        <w:t>Syamsidik et al. (2023) have recently conducted a survey of the religious buildings in Banda Aceh and found that the overall capacity for vertical evacuation would increase four times than the actual one, were some of these designed to be evacuation centre</w:t>
      </w:r>
      <w:r w:rsidR="001476EB" w:rsidRPr="00AC7608">
        <w:t>s</w:t>
      </w:r>
      <w:r w:rsidR="00C73831" w:rsidRPr="00AC7608">
        <w:t xml:space="preserve">. </w:t>
      </w:r>
    </w:p>
    <w:p w14:paraId="16ED661E" w14:textId="0A2E3219" w:rsidR="00C73831" w:rsidRDefault="00C73831" w:rsidP="00600B36">
      <w:pPr>
        <w:pStyle w:val="SECEDBodytext"/>
      </w:pPr>
      <w:r w:rsidRPr="00AC7608">
        <w:t>For those areas</w:t>
      </w:r>
      <w:r w:rsidR="0048198B" w:rsidRPr="00AC7608">
        <w:t xml:space="preserve"> of the city</w:t>
      </w:r>
      <w:r w:rsidRPr="00AC7608">
        <w:t xml:space="preserve"> without TVEs, the only option is to evacuate to a designated evacuation centre</w:t>
      </w:r>
      <w:r w:rsidR="0048198B" w:rsidRPr="00AC7608">
        <w:t xml:space="preserve"> further inland</w:t>
      </w:r>
      <w:r w:rsidRPr="00AC7608">
        <w:t>. Due to the topography of the city, horizontal evacuation may require people covering a substantial distance</w:t>
      </w:r>
      <w:r w:rsidR="00654154" w:rsidRPr="00AC7608">
        <w:t xml:space="preserve"> in the region of 2-</w:t>
      </w:r>
      <w:r w:rsidR="00DE1404" w:rsidRPr="00AC7608">
        <w:t>3</w:t>
      </w:r>
      <w:r w:rsidR="00654154" w:rsidRPr="00AC7608">
        <w:t>km by car or motorbike</w:t>
      </w:r>
      <w:r w:rsidRPr="00AC7608">
        <w:t xml:space="preserve">. </w:t>
      </w:r>
      <w:r w:rsidR="00B64374" w:rsidRPr="00AC7608">
        <w:t xml:space="preserve">For instance, the village where the primary school Mon Singet is located, </w:t>
      </w:r>
      <w:r w:rsidR="00DB6022" w:rsidRPr="00AC7608">
        <w:t>is in</w:t>
      </w:r>
      <w:r w:rsidRPr="00AC7608">
        <w:t xml:space="preserve"> a flat area at high risk of tsunami inundation. The only way for the local community to escape the next tsunami is via a designated evacuation route to an area near the Masjid Babul Ukhwah mosque in Tanjung Deah, 3km inland. </w:t>
      </w:r>
      <w:r w:rsidR="00032A3C" w:rsidRPr="00AC7608">
        <w:t>As t</w:t>
      </w:r>
      <w:r w:rsidR="0048198B" w:rsidRPr="00AC7608">
        <w:t xml:space="preserve">here </w:t>
      </w:r>
      <w:r w:rsidR="00032A3C" w:rsidRPr="00AC7608">
        <w:t>are some</w:t>
      </w:r>
      <w:r w:rsidR="0048198B" w:rsidRPr="00AC7608">
        <w:t xml:space="preserve"> concern</w:t>
      </w:r>
      <w:r w:rsidR="00032A3C" w:rsidRPr="00AC7608">
        <w:t>s</w:t>
      </w:r>
      <w:r w:rsidR="0048198B" w:rsidRPr="00AC7608">
        <w:t xml:space="preserve"> that</w:t>
      </w:r>
      <w:r w:rsidR="00032A3C" w:rsidRPr="00AC7608">
        <w:t xml:space="preserve"> people</w:t>
      </w:r>
      <w:r w:rsidR="0048198B" w:rsidRPr="00AC7608">
        <w:t xml:space="preserve"> are not familiar with the planned route, the local community has partnered with TDMRC to run a series of initiatives to raise awareness. The team observed one activity targeted at primary school students, who </w:t>
      </w:r>
      <w:r w:rsidR="00B66D30" w:rsidRPr="00AC7608">
        <w:t xml:space="preserve">played </w:t>
      </w:r>
      <w:r w:rsidR="0048198B" w:rsidRPr="00AC7608">
        <w:t>a</w:t>
      </w:r>
      <w:r w:rsidR="00872EC8" w:rsidRPr="00AC7608">
        <w:t xml:space="preserve"> serious</w:t>
      </w:r>
      <w:r w:rsidR="0048198B" w:rsidRPr="00AC7608">
        <w:t xml:space="preserve"> game (SG EvaNami) </w:t>
      </w:r>
      <w:r w:rsidR="00872EC8" w:rsidRPr="00AC7608">
        <w:t xml:space="preserve">to </w:t>
      </w:r>
      <w:r w:rsidR="0048198B" w:rsidRPr="00AC7608">
        <w:t>learn how to evacuate from a tsunami on time</w:t>
      </w:r>
      <w:r w:rsidR="00872EC8" w:rsidRPr="00AC7608">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103"/>
      </w:tblGrid>
      <w:tr w:rsidR="00227FF3" w:rsidRPr="00AC7608" w14:paraId="69C5FC67" w14:textId="77777777" w:rsidTr="0029144D">
        <w:tc>
          <w:tcPr>
            <w:tcW w:w="4395" w:type="dxa"/>
          </w:tcPr>
          <w:p w14:paraId="4CDC4296" w14:textId="77777777" w:rsidR="00227FF3" w:rsidRPr="00AC7608" w:rsidRDefault="00227FF3" w:rsidP="0029144D">
            <w:pPr>
              <w:jc w:val="center"/>
            </w:pPr>
            <w:r w:rsidRPr="00AC7608">
              <w:rPr>
                <w:noProof/>
              </w:rPr>
              <w:lastRenderedPageBreak/>
              <w:drawing>
                <wp:inline distT="0" distB="0" distL="0" distR="0" wp14:anchorId="5EB9B3BC" wp14:editId="15312484">
                  <wp:extent cx="2430000" cy="162000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0000" cy="1620000"/>
                          </a:xfrm>
                          <a:prstGeom prst="rect">
                            <a:avLst/>
                          </a:prstGeom>
                          <a:noFill/>
                        </pic:spPr>
                      </pic:pic>
                    </a:graphicData>
                  </a:graphic>
                </wp:inline>
              </w:drawing>
            </w:r>
          </w:p>
        </w:tc>
        <w:tc>
          <w:tcPr>
            <w:tcW w:w="4103" w:type="dxa"/>
          </w:tcPr>
          <w:p w14:paraId="38F3530D" w14:textId="77777777" w:rsidR="00227FF3" w:rsidRPr="00AC7608" w:rsidRDefault="00227FF3" w:rsidP="0029144D">
            <w:pPr>
              <w:rPr>
                <w:rFonts w:eastAsia="Times New Roman"/>
                <w:noProof/>
                <w:lang w:eastAsia="en-GB"/>
              </w:rPr>
            </w:pPr>
            <w:r w:rsidRPr="00AC7608">
              <w:rPr>
                <w:rFonts w:eastAsia="Times New Roman"/>
                <w:noProof/>
                <w:lang w:eastAsia="en-GB"/>
              </w:rPr>
              <w:drawing>
                <wp:inline distT="0" distB="0" distL="0" distR="0" wp14:anchorId="1952A10A" wp14:editId="11F8C23F">
                  <wp:extent cx="2160000" cy="16200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1620000"/>
                          </a:xfrm>
                          <a:prstGeom prst="rect">
                            <a:avLst/>
                          </a:prstGeom>
                          <a:noFill/>
                        </pic:spPr>
                      </pic:pic>
                    </a:graphicData>
                  </a:graphic>
                </wp:inline>
              </w:drawing>
            </w:r>
          </w:p>
        </w:tc>
      </w:tr>
      <w:tr w:rsidR="00227FF3" w:rsidRPr="00D307C2" w14:paraId="1230756B" w14:textId="77777777" w:rsidTr="0029144D">
        <w:tc>
          <w:tcPr>
            <w:tcW w:w="4395" w:type="dxa"/>
          </w:tcPr>
          <w:p w14:paraId="6B70DDB9" w14:textId="77777777" w:rsidR="00227FF3" w:rsidRPr="00D307C2" w:rsidRDefault="00227FF3" w:rsidP="0029144D">
            <w:pPr>
              <w:jc w:val="center"/>
              <w:rPr>
                <w:noProof/>
                <w:sz w:val="16"/>
                <w:szCs w:val="16"/>
              </w:rPr>
            </w:pPr>
            <w:r w:rsidRPr="00D307C2">
              <w:rPr>
                <w:noProof/>
                <w:sz w:val="16"/>
                <w:szCs w:val="16"/>
              </w:rPr>
              <w:t>(a)</w:t>
            </w:r>
          </w:p>
        </w:tc>
        <w:tc>
          <w:tcPr>
            <w:tcW w:w="4103" w:type="dxa"/>
          </w:tcPr>
          <w:p w14:paraId="63F6E808" w14:textId="77777777" w:rsidR="00227FF3" w:rsidRPr="00D307C2" w:rsidRDefault="00227FF3" w:rsidP="0029144D">
            <w:pPr>
              <w:jc w:val="center"/>
              <w:rPr>
                <w:noProof/>
                <w:sz w:val="16"/>
                <w:szCs w:val="16"/>
              </w:rPr>
            </w:pPr>
            <w:r w:rsidRPr="00D307C2">
              <w:rPr>
                <w:noProof/>
                <w:sz w:val="16"/>
                <w:szCs w:val="16"/>
              </w:rPr>
              <w:t>(b)</w:t>
            </w:r>
          </w:p>
        </w:tc>
      </w:tr>
      <w:tr w:rsidR="00227FF3" w:rsidRPr="00AC7608" w14:paraId="11C5722C" w14:textId="77777777" w:rsidTr="0029144D">
        <w:tc>
          <w:tcPr>
            <w:tcW w:w="8498" w:type="dxa"/>
            <w:gridSpan w:val="2"/>
          </w:tcPr>
          <w:p w14:paraId="68153CAC" w14:textId="77777777" w:rsidR="00227FF3" w:rsidRPr="00AC7608" w:rsidRDefault="00227FF3" w:rsidP="0029144D">
            <w:pPr>
              <w:pStyle w:val="SECEDCaption"/>
            </w:pPr>
            <w:r w:rsidRPr="00AC7608">
              <w:t>Figure 1</w:t>
            </w:r>
            <w:r>
              <w:t>1</w:t>
            </w:r>
            <w:r w:rsidRPr="00AC7608">
              <w:t xml:space="preserve">. Tsunami evacuation buildings: (a) Tsunami Museum; (b) tsunami damage still in display at Lambuuk mosque. </w:t>
            </w:r>
          </w:p>
        </w:tc>
      </w:tr>
    </w:tbl>
    <w:p w14:paraId="7B554FCB" w14:textId="694AFF24" w:rsidR="006F1B89" w:rsidRPr="00AC7608" w:rsidRDefault="00AA2255" w:rsidP="006F1B89">
      <w:pPr>
        <w:pStyle w:val="SECEDHeading1"/>
      </w:pPr>
      <w:r w:rsidRPr="00AC7608">
        <w:t>C</w:t>
      </w:r>
      <w:r w:rsidR="006F1B89" w:rsidRPr="00AC7608">
        <w:t>o</w:t>
      </w:r>
      <w:r w:rsidRPr="00AC7608">
        <w:t>a</w:t>
      </w:r>
      <w:r w:rsidR="006F1B89" w:rsidRPr="00AC7608">
        <w:t>stal defences</w:t>
      </w:r>
    </w:p>
    <w:p w14:paraId="2F62BD52" w14:textId="68075459" w:rsidR="006F1B89" w:rsidRPr="00AC7608" w:rsidRDefault="00AA2255" w:rsidP="00AA2255">
      <w:pPr>
        <w:pStyle w:val="SECEDHeading2"/>
      </w:pPr>
      <w:r w:rsidRPr="00AC7608">
        <w:t>Hard defences</w:t>
      </w:r>
    </w:p>
    <w:p w14:paraId="5525BCC1" w14:textId="77777777" w:rsidR="002A34E7" w:rsidRDefault="00AA2255" w:rsidP="00AA2255">
      <w:pPr>
        <w:pStyle w:val="SECEDBodytext"/>
      </w:pPr>
      <w:r w:rsidRPr="00AC7608">
        <w:t>Coastal structures were built to protect the city along some stretches of coastline. Hard defences are in the form of rubble mound or concrete seawalls. The purpose of constructing the hard defences is primarily to protect the inland area from coastal flooding during spring tides, to protect the revitali</w:t>
      </w:r>
      <w:r w:rsidR="00DF0650" w:rsidRPr="00AC7608">
        <w:t>s</w:t>
      </w:r>
      <w:r w:rsidRPr="00AC7608">
        <w:t>ed aquaculture and to prevent sand deposition over the shoreface and coastal roads. At the Ulee Lheue peninsula, rubble mound seawalls were constructed. Most of the structure is situated in the water, emerging 2 m above the water (Figure 1</w:t>
      </w:r>
      <w:r w:rsidR="00981242">
        <w:t>2</w:t>
      </w:r>
      <w:r w:rsidRPr="00AC7608">
        <w:t>). However, in terms of tsunami protection, this has very limited effect</w:t>
      </w:r>
      <w:r w:rsidR="00981242">
        <w:t xml:space="preserve"> bu</w:t>
      </w:r>
      <w:r w:rsidR="002A34E7">
        <w:t>t it may</w:t>
      </w:r>
      <w:r w:rsidRPr="00AC7608">
        <w:t xml:space="preserve"> protect the coastal road from tides.</w:t>
      </w:r>
    </w:p>
    <w:p w14:paraId="76876899" w14:textId="293E4690" w:rsidR="00AA2255" w:rsidRPr="00AC7608" w:rsidRDefault="00AA2255" w:rsidP="00AA2255">
      <w:pPr>
        <w:pStyle w:val="SECEDBodytext"/>
      </w:pPr>
      <w:r w:rsidRPr="00AC7608">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AC7608" w:rsidRPr="00AC7608" w14:paraId="351BBF37" w14:textId="77777777" w:rsidTr="00421A5E">
        <w:tc>
          <w:tcPr>
            <w:tcW w:w="4244" w:type="dxa"/>
          </w:tcPr>
          <w:p w14:paraId="7F73E6E4" w14:textId="3C4416A9" w:rsidR="00AA2255" w:rsidRPr="00AC7608" w:rsidRDefault="00954FEE" w:rsidP="002A34E7">
            <w:pPr>
              <w:pStyle w:val="SECEDBodytext"/>
              <w:spacing w:after="0"/>
              <w:jc w:val="center"/>
            </w:pPr>
            <w:r w:rsidRPr="00AC7608">
              <w:rPr>
                <w:noProof/>
              </w:rPr>
              <w:drawing>
                <wp:inline distT="0" distB="0" distL="0" distR="0" wp14:anchorId="43C38542" wp14:editId="04F9B06C">
                  <wp:extent cx="2525902" cy="1440000"/>
                  <wp:effectExtent l="0" t="0" r="8255"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5902" cy="1440000"/>
                          </a:xfrm>
                          <a:prstGeom prst="rect">
                            <a:avLst/>
                          </a:prstGeom>
                          <a:noFill/>
                        </pic:spPr>
                      </pic:pic>
                    </a:graphicData>
                  </a:graphic>
                </wp:inline>
              </w:drawing>
            </w:r>
          </w:p>
        </w:tc>
        <w:tc>
          <w:tcPr>
            <w:tcW w:w="4244" w:type="dxa"/>
          </w:tcPr>
          <w:p w14:paraId="1C6DA33B" w14:textId="67EC7D52" w:rsidR="00AA2255" w:rsidRPr="00AC7608" w:rsidRDefault="00954FEE" w:rsidP="002A34E7">
            <w:pPr>
              <w:pStyle w:val="SECEDBodytext"/>
              <w:spacing w:after="0"/>
              <w:jc w:val="center"/>
            </w:pPr>
            <w:r w:rsidRPr="00AC7608">
              <w:rPr>
                <w:noProof/>
              </w:rPr>
              <w:drawing>
                <wp:inline distT="0" distB="0" distL="0" distR="0" wp14:anchorId="5B42AB04" wp14:editId="4F91FFF3">
                  <wp:extent cx="2553813" cy="1440000"/>
                  <wp:effectExtent l="0" t="0" r="0" b="825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3813" cy="1440000"/>
                          </a:xfrm>
                          <a:prstGeom prst="rect">
                            <a:avLst/>
                          </a:prstGeom>
                          <a:noFill/>
                        </pic:spPr>
                      </pic:pic>
                    </a:graphicData>
                  </a:graphic>
                </wp:inline>
              </w:drawing>
            </w:r>
          </w:p>
        </w:tc>
      </w:tr>
      <w:tr w:rsidR="00AC7608" w:rsidRPr="00AC7608" w14:paraId="5785C5DA" w14:textId="77777777" w:rsidTr="00421A5E">
        <w:tc>
          <w:tcPr>
            <w:tcW w:w="4244" w:type="dxa"/>
          </w:tcPr>
          <w:p w14:paraId="04835DFA" w14:textId="77777777" w:rsidR="00AA2255" w:rsidRPr="00D307C2" w:rsidRDefault="00AA2255" w:rsidP="002A34E7">
            <w:pPr>
              <w:pStyle w:val="SECEDBodytext"/>
              <w:spacing w:after="0"/>
              <w:jc w:val="center"/>
              <w:rPr>
                <w:sz w:val="16"/>
                <w:szCs w:val="16"/>
              </w:rPr>
            </w:pPr>
            <w:r w:rsidRPr="00D307C2">
              <w:rPr>
                <w:noProof/>
                <w:sz w:val="16"/>
                <w:szCs w:val="16"/>
              </w:rPr>
              <w:t>(a)</w:t>
            </w:r>
          </w:p>
        </w:tc>
        <w:tc>
          <w:tcPr>
            <w:tcW w:w="4244" w:type="dxa"/>
          </w:tcPr>
          <w:p w14:paraId="3EB8EDC0" w14:textId="77777777" w:rsidR="00AA2255" w:rsidRPr="00D307C2" w:rsidRDefault="00AA2255" w:rsidP="002A34E7">
            <w:pPr>
              <w:pStyle w:val="SECEDBodytext"/>
              <w:spacing w:after="0"/>
              <w:jc w:val="center"/>
              <w:rPr>
                <w:sz w:val="16"/>
                <w:szCs w:val="16"/>
              </w:rPr>
            </w:pPr>
            <w:r w:rsidRPr="00D307C2">
              <w:rPr>
                <w:noProof/>
                <w:sz w:val="16"/>
                <w:szCs w:val="16"/>
              </w:rPr>
              <w:t>(b)</w:t>
            </w:r>
          </w:p>
        </w:tc>
      </w:tr>
      <w:tr w:rsidR="00AC7608" w:rsidRPr="00AC7608" w14:paraId="31722D15" w14:textId="77777777" w:rsidTr="00421A5E">
        <w:tc>
          <w:tcPr>
            <w:tcW w:w="8488" w:type="dxa"/>
            <w:gridSpan w:val="2"/>
          </w:tcPr>
          <w:p w14:paraId="420413A3" w14:textId="430F6514" w:rsidR="00AA2255" w:rsidRPr="00AC7608" w:rsidRDefault="00AA2255" w:rsidP="00421A5E">
            <w:pPr>
              <w:pStyle w:val="SECEDCaption"/>
            </w:pPr>
            <w:r w:rsidRPr="00AC7608">
              <w:t>Figure 1</w:t>
            </w:r>
            <w:r w:rsidR="00981242">
              <w:t>2</w:t>
            </w:r>
            <w:r w:rsidRPr="00AC7608">
              <w:t>. Coastal hard defences: (a) post-tsunami; and (b) today.</w:t>
            </w:r>
          </w:p>
        </w:tc>
      </w:tr>
    </w:tbl>
    <w:p w14:paraId="4B2EC48A" w14:textId="5855DB46" w:rsidR="00AA2255" w:rsidRPr="00AC7608" w:rsidRDefault="00AA2255" w:rsidP="00AA2255">
      <w:pPr>
        <w:pStyle w:val="SECEDHeading2"/>
      </w:pPr>
      <w:r w:rsidRPr="00AC7608">
        <w:t>Soft defences</w:t>
      </w:r>
    </w:p>
    <w:p w14:paraId="37BACFB1" w14:textId="2B1D0F0F" w:rsidR="00DA1768" w:rsidRDefault="006F1B89" w:rsidP="00CC7E1C">
      <w:pPr>
        <w:pStyle w:val="SECEDBodytext"/>
      </w:pPr>
      <w:r w:rsidRPr="00AC7608">
        <w:t>Significant</w:t>
      </w:r>
      <w:r w:rsidR="00CC7E1C" w:rsidRPr="00AC7608">
        <w:t xml:space="preserve"> post</w:t>
      </w:r>
      <w:r w:rsidRPr="00AC7608">
        <w:t>-t</w:t>
      </w:r>
      <w:r w:rsidR="00CC7E1C" w:rsidRPr="00AC7608">
        <w:t xml:space="preserve">sunami </w:t>
      </w:r>
      <w:r w:rsidRPr="00AC7608">
        <w:t>plantation of mangroves</w:t>
      </w:r>
      <w:r w:rsidR="00CC7E1C" w:rsidRPr="00AC7608">
        <w:t xml:space="preserve"> </w:t>
      </w:r>
      <w:r w:rsidR="0078397F" w:rsidRPr="00AC7608">
        <w:t>along the</w:t>
      </w:r>
      <w:r w:rsidR="00CC7E1C" w:rsidRPr="00AC7608">
        <w:t xml:space="preserve"> coastline</w:t>
      </w:r>
      <w:r w:rsidRPr="00AC7608">
        <w:t xml:space="preserve"> was vastly promoted by the international and national agenda during the tsunami disaster recovery</w:t>
      </w:r>
      <w:r w:rsidR="00CC7E1C" w:rsidRPr="00AC7608">
        <w:t xml:space="preserve">. In many cases, the mangroves that were planted after the 2004 event are </w:t>
      </w:r>
      <w:r w:rsidR="003B2ABF" w:rsidRPr="00AC7608">
        <w:t xml:space="preserve">used </w:t>
      </w:r>
      <w:r w:rsidR="00CC7E1C" w:rsidRPr="00AC7608">
        <w:t>for aquaculture.</w:t>
      </w:r>
      <w:r w:rsidR="00597502" w:rsidRPr="00AC7608">
        <w:t xml:space="preserve"> The team visited a </w:t>
      </w:r>
      <w:r w:rsidR="003B2ABF" w:rsidRPr="00AC7608">
        <w:t>m</w:t>
      </w:r>
      <w:r w:rsidR="00597502" w:rsidRPr="00AC7608">
        <w:t xml:space="preserve">angrove conservation area near the Lampageu Elementary School. </w:t>
      </w:r>
      <w:r w:rsidR="003B2ABF" w:rsidRPr="00AC7608">
        <w:t>M</w:t>
      </w:r>
      <w:r w:rsidR="00597502" w:rsidRPr="00AC7608">
        <w:t xml:space="preserve">angroves </w:t>
      </w:r>
      <w:r w:rsidR="003B2ABF" w:rsidRPr="00AC7608">
        <w:t>are</w:t>
      </w:r>
      <w:r w:rsidR="00597502" w:rsidRPr="00AC7608">
        <w:t xml:space="preserve"> relatively young</w:t>
      </w:r>
      <w:r w:rsidR="003B2ABF" w:rsidRPr="00AC7608">
        <w:t xml:space="preserve"> and </w:t>
      </w:r>
      <w:r w:rsidR="00597502" w:rsidRPr="00AC7608">
        <w:t>were planted mainly for purposes of aquaculture and ecological conservation. The area characteristically consist</w:t>
      </w:r>
      <w:r w:rsidR="003B2ABF" w:rsidRPr="00AC7608">
        <w:t>s</w:t>
      </w:r>
      <w:r w:rsidR="00597502" w:rsidRPr="00AC7608">
        <w:t xml:space="preserve"> of clumps of trees in areas of 10 x 10 m, in between </w:t>
      </w:r>
      <w:r w:rsidR="003B2ABF" w:rsidRPr="00AC7608">
        <w:t>there</w:t>
      </w:r>
      <w:r w:rsidR="00597502" w:rsidRPr="00AC7608">
        <w:t xml:space="preserve"> </w:t>
      </w:r>
      <w:r w:rsidR="003B2ABF" w:rsidRPr="00AC7608">
        <w:t>are</w:t>
      </w:r>
      <w:r w:rsidR="00597502" w:rsidRPr="00AC7608">
        <w:t xml:space="preserve"> mud flats and submerged rectangular areas used previously for aquaculture</w:t>
      </w:r>
      <w:r w:rsidR="005006CC" w:rsidRPr="00AC7608">
        <w:t xml:space="preserve"> (Figure 1</w:t>
      </w:r>
      <w:r w:rsidR="00981242">
        <w:t>3</w:t>
      </w:r>
      <w:r w:rsidR="005006CC" w:rsidRPr="00AC7608">
        <w:t>a)</w:t>
      </w:r>
      <w:r w:rsidR="00597502" w:rsidRPr="00AC7608">
        <w:t xml:space="preserve">. Like several other coastal areas, the saltwater ingress from the tsunami has rendered land previously used for aquaculture as no longer suitable for that use. </w:t>
      </w:r>
    </w:p>
    <w:p w14:paraId="3596611C" w14:textId="77777777" w:rsidR="00227FF3" w:rsidRPr="00AC7608" w:rsidRDefault="00227FF3" w:rsidP="00227FF3">
      <w:pPr>
        <w:pStyle w:val="SECEDBodytext"/>
      </w:pPr>
      <w:r w:rsidRPr="00AC7608">
        <w:t xml:space="preserve">The mangroves </w:t>
      </w:r>
      <w:r>
        <w:t xml:space="preserve">that were surveyed during the mission </w:t>
      </w:r>
      <w:r w:rsidRPr="00AC7608">
        <w:t>are not suitable for tsunami mitigation due to their low density and would have limited mitigation effect on such an occurrence. The width of the planting is generally around 300 m and covers only approximately one fourth of the protected bay. The majority of the planting is in the north east part of the city. These are relatively young mangroves and between 5–</w:t>
      </w:r>
      <w:r>
        <w:t>1</w:t>
      </w:r>
      <w:r w:rsidRPr="00AC7608">
        <w:t xml:space="preserve">0 m in height. </w:t>
      </w:r>
      <w:r w:rsidRPr="00AC7608">
        <w:rPr>
          <w:szCs w:val="20"/>
        </w:rPr>
        <w:t>In addition to mangroves, some planting of coastal pines was observed and surveyed. In the location of Gampoeng Birek, southeast of Banda Aceh, replanting of coastal pines destroyed by the tsunami was surveyed (Figure 1</w:t>
      </w:r>
      <w:r>
        <w:rPr>
          <w:szCs w:val="20"/>
        </w:rPr>
        <w:t>3</w:t>
      </w:r>
      <w:r w:rsidRPr="00AC7608">
        <w:rPr>
          <w:szCs w:val="20"/>
        </w:rPr>
        <w:t>b).</w:t>
      </w:r>
      <w:r w:rsidRPr="00AC7608">
        <w:rPr>
          <w:sz w:val="22"/>
          <w:lang w:eastAsia="ja-JP"/>
        </w:rPr>
        <w:t xml:space="preserve"> </w:t>
      </w:r>
    </w:p>
    <w:p w14:paraId="1080BB19" w14:textId="77777777" w:rsidR="00227FF3" w:rsidRPr="00AC7608" w:rsidRDefault="00227FF3" w:rsidP="00CC7E1C">
      <w:pPr>
        <w:pStyle w:val="SECED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4"/>
        <w:gridCol w:w="4244"/>
      </w:tblGrid>
      <w:tr w:rsidR="00AC7608" w:rsidRPr="00AC7608" w14:paraId="3FC40172" w14:textId="77777777" w:rsidTr="00BC5C10">
        <w:tc>
          <w:tcPr>
            <w:tcW w:w="4244" w:type="dxa"/>
          </w:tcPr>
          <w:p w14:paraId="27CD869A" w14:textId="26334BFE" w:rsidR="005006CC" w:rsidRPr="00AC7608" w:rsidRDefault="00954FEE" w:rsidP="002A34E7">
            <w:pPr>
              <w:pStyle w:val="SECEDBodytext"/>
              <w:spacing w:after="0"/>
              <w:jc w:val="center"/>
            </w:pPr>
            <w:r w:rsidRPr="00AC7608">
              <w:rPr>
                <w:noProof/>
              </w:rPr>
              <w:lastRenderedPageBreak/>
              <w:drawing>
                <wp:inline distT="0" distB="0" distL="0" distR="0" wp14:anchorId="70C604D4" wp14:editId="4E7248C5">
                  <wp:extent cx="2166544" cy="1440000"/>
                  <wp:effectExtent l="0" t="0" r="5715" b="82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6544" cy="1440000"/>
                          </a:xfrm>
                          <a:prstGeom prst="rect">
                            <a:avLst/>
                          </a:prstGeom>
                          <a:noFill/>
                        </pic:spPr>
                      </pic:pic>
                    </a:graphicData>
                  </a:graphic>
                </wp:inline>
              </w:drawing>
            </w:r>
          </w:p>
        </w:tc>
        <w:tc>
          <w:tcPr>
            <w:tcW w:w="4244" w:type="dxa"/>
          </w:tcPr>
          <w:p w14:paraId="12B1883B" w14:textId="732F86ED" w:rsidR="005006CC" w:rsidRPr="00AC7608" w:rsidRDefault="00954FEE" w:rsidP="002A34E7">
            <w:pPr>
              <w:pStyle w:val="SECEDBodytext"/>
              <w:spacing w:after="0"/>
              <w:jc w:val="center"/>
            </w:pPr>
            <w:r w:rsidRPr="00AC7608">
              <w:rPr>
                <w:noProof/>
              </w:rPr>
              <w:drawing>
                <wp:inline distT="0" distB="0" distL="0" distR="0" wp14:anchorId="24F2CA02" wp14:editId="2874CD1F">
                  <wp:extent cx="2166545" cy="1440000"/>
                  <wp:effectExtent l="0" t="0" r="5715"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6545" cy="1440000"/>
                          </a:xfrm>
                          <a:prstGeom prst="rect">
                            <a:avLst/>
                          </a:prstGeom>
                          <a:noFill/>
                        </pic:spPr>
                      </pic:pic>
                    </a:graphicData>
                  </a:graphic>
                </wp:inline>
              </w:drawing>
            </w:r>
          </w:p>
        </w:tc>
      </w:tr>
      <w:tr w:rsidR="00AC7608" w:rsidRPr="00AC7608" w14:paraId="4CA6C97D" w14:textId="77777777" w:rsidTr="00BC5C10">
        <w:tc>
          <w:tcPr>
            <w:tcW w:w="4244" w:type="dxa"/>
          </w:tcPr>
          <w:p w14:paraId="5D784D3A" w14:textId="44CE7D09" w:rsidR="005006CC" w:rsidRPr="00AC7608" w:rsidRDefault="005006CC" w:rsidP="005006CC">
            <w:pPr>
              <w:pStyle w:val="SECEDBodytext"/>
              <w:jc w:val="center"/>
            </w:pPr>
            <w:r w:rsidRPr="00AC7608">
              <w:rPr>
                <w:noProof/>
                <w:sz w:val="18"/>
                <w:szCs w:val="18"/>
              </w:rPr>
              <w:t>(a)</w:t>
            </w:r>
          </w:p>
        </w:tc>
        <w:tc>
          <w:tcPr>
            <w:tcW w:w="4244" w:type="dxa"/>
          </w:tcPr>
          <w:p w14:paraId="6B37899A" w14:textId="471AD500" w:rsidR="005006CC" w:rsidRPr="00AC7608" w:rsidRDefault="005006CC" w:rsidP="005006CC">
            <w:pPr>
              <w:pStyle w:val="SECEDBodytext"/>
              <w:jc w:val="center"/>
            </w:pPr>
            <w:r w:rsidRPr="00AC7608">
              <w:rPr>
                <w:noProof/>
                <w:sz w:val="18"/>
                <w:szCs w:val="18"/>
              </w:rPr>
              <w:t>(b)</w:t>
            </w:r>
          </w:p>
        </w:tc>
      </w:tr>
      <w:tr w:rsidR="00AC7608" w:rsidRPr="00AC7608" w14:paraId="1CA682BF" w14:textId="77777777" w:rsidTr="00BC5C10">
        <w:tc>
          <w:tcPr>
            <w:tcW w:w="8488" w:type="dxa"/>
            <w:gridSpan w:val="2"/>
          </w:tcPr>
          <w:p w14:paraId="6D09664D" w14:textId="2AF0E24F" w:rsidR="005006CC" w:rsidRPr="00AC7608" w:rsidRDefault="005006CC" w:rsidP="0036687D">
            <w:pPr>
              <w:pStyle w:val="SECEDCaption"/>
            </w:pPr>
            <w:r w:rsidRPr="00AC7608">
              <w:t>Figure 1</w:t>
            </w:r>
            <w:r w:rsidR="002A34E7">
              <w:t>3</w:t>
            </w:r>
            <w:r w:rsidRPr="00AC7608">
              <w:t xml:space="preserve">. Tsunami soft defences: (a) mangroves; </w:t>
            </w:r>
            <w:r w:rsidR="00B1172A" w:rsidRPr="00AC7608">
              <w:t xml:space="preserve">and </w:t>
            </w:r>
            <w:r w:rsidRPr="00AC7608">
              <w:t xml:space="preserve">(b) coastal pines. </w:t>
            </w:r>
          </w:p>
        </w:tc>
      </w:tr>
    </w:tbl>
    <w:p w14:paraId="27332D6B" w14:textId="27476187" w:rsidR="00990489" w:rsidRPr="00AC7608" w:rsidRDefault="001D0758" w:rsidP="00990489">
      <w:pPr>
        <w:pStyle w:val="SECEDHeading1"/>
        <w:rPr>
          <w:b w:val="0"/>
        </w:rPr>
      </w:pPr>
      <w:r w:rsidRPr="00AC7608">
        <w:t>Concluding remarks</w:t>
      </w:r>
    </w:p>
    <w:p w14:paraId="412B7E9E" w14:textId="2A1D5321" w:rsidR="001D0758" w:rsidRPr="00AC7608" w:rsidRDefault="0036687D" w:rsidP="0036687D">
      <w:pPr>
        <w:pStyle w:val="SECEDBodytext"/>
      </w:pPr>
      <w:r w:rsidRPr="00AC7608">
        <w:t xml:space="preserve">This paper presented some </w:t>
      </w:r>
      <w:r w:rsidR="001D0758" w:rsidRPr="00AC7608">
        <w:t>evidence</w:t>
      </w:r>
      <w:r w:rsidRPr="00AC7608">
        <w:t xml:space="preserve"> from the </w:t>
      </w:r>
      <w:r w:rsidR="001D0758" w:rsidRPr="00AC7608">
        <w:t xml:space="preserve">EEFIT </w:t>
      </w:r>
      <w:r w:rsidRPr="00AC7608">
        <w:t>return mission to Banda Aceh</w:t>
      </w:r>
      <w:r w:rsidR="001D0758" w:rsidRPr="00AC7608">
        <w:t xml:space="preserve"> in October 2022. This took place nearly 20 years after the Indian Ocean Tsunami that severely hit the city</w:t>
      </w:r>
      <w:r w:rsidRPr="00AC7608">
        <w:t xml:space="preserve">. A more comprehensive report can be found in EEFIT (2023). </w:t>
      </w:r>
      <w:r w:rsidR="001D0758" w:rsidRPr="00AC7608">
        <w:t xml:space="preserve">By reflecting on how the </w:t>
      </w:r>
      <w:r w:rsidR="004B656F" w:rsidRPr="00AC7608">
        <w:t>city of Banda</w:t>
      </w:r>
      <w:r w:rsidR="001D0758" w:rsidRPr="00AC7608">
        <w:t xml:space="preserve"> has rebuilt after such a devastating loss and what lessons can be learnt for future disaster risk reduction, the following remarks are drawn:</w:t>
      </w:r>
    </w:p>
    <w:p w14:paraId="5659BC33" w14:textId="2655DFC1" w:rsidR="001D0758" w:rsidRPr="00AC7608" w:rsidRDefault="00CA36AB" w:rsidP="001D0758">
      <w:pPr>
        <w:pStyle w:val="SECEDBodytext"/>
        <w:numPr>
          <w:ilvl w:val="0"/>
          <w:numId w:val="37"/>
        </w:numPr>
      </w:pPr>
      <w:r w:rsidRPr="00AC7608">
        <w:t xml:space="preserve">Reconstruction of residential buildings </w:t>
      </w:r>
      <w:r w:rsidR="000E6604" w:rsidRPr="00AC7608">
        <w:t>was</w:t>
      </w:r>
      <w:r w:rsidRPr="00AC7608">
        <w:t xml:space="preserve"> mostly based on standard construction practice, with little regard in practice to </w:t>
      </w:r>
      <w:r w:rsidR="004B656F" w:rsidRPr="00AC7608">
        <w:t xml:space="preserve">seismic </w:t>
      </w:r>
      <w:r w:rsidRPr="00AC7608">
        <w:t>design considerations</w:t>
      </w:r>
      <w:r w:rsidR="0087097D" w:rsidRPr="00AC7608">
        <w:t xml:space="preserve"> and</w:t>
      </w:r>
      <w:r w:rsidRPr="00AC7608">
        <w:t xml:space="preserve"> despite improvements in code provisions following the 2004 IOT.</w:t>
      </w:r>
      <w:r w:rsidR="004B656F" w:rsidRPr="00AC7608">
        <w:t xml:space="preserve"> Some evidence of build-back-better was observed, e.g. stilt houses and seismic retrofitting, but these solutions appeared often to create living spaces that </w:t>
      </w:r>
      <w:r w:rsidR="003E3575" w:rsidRPr="00AC7608">
        <w:t>are</w:t>
      </w:r>
      <w:r w:rsidR="004B656F" w:rsidRPr="00AC7608">
        <w:t xml:space="preserve"> not suitable for the needs of the local communities. </w:t>
      </w:r>
    </w:p>
    <w:p w14:paraId="426C2456" w14:textId="7AD3BC43" w:rsidR="001D0758" w:rsidRPr="00AC7608" w:rsidRDefault="001D0758" w:rsidP="001D0758">
      <w:pPr>
        <w:pStyle w:val="SECEDBodytext"/>
        <w:numPr>
          <w:ilvl w:val="0"/>
          <w:numId w:val="37"/>
        </w:numPr>
      </w:pPr>
      <w:r w:rsidRPr="00AC7608">
        <w:t xml:space="preserve">The construction of resettlement villages </w:t>
      </w:r>
      <w:r w:rsidR="00CA36AB" w:rsidRPr="00AC7608">
        <w:t>presented some</w:t>
      </w:r>
      <w:r w:rsidRPr="00AC7608">
        <w:t xml:space="preserve"> challenge</w:t>
      </w:r>
      <w:r w:rsidR="00CA36AB" w:rsidRPr="00AC7608">
        <w:t>s</w:t>
      </w:r>
      <w:r w:rsidRPr="00AC7608">
        <w:t xml:space="preserve"> for the </w:t>
      </w:r>
      <w:r w:rsidR="004B656F" w:rsidRPr="00AC7608">
        <w:t xml:space="preserve">survivors </w:t>
      </w:r>
      <w:r w:rsidR="00CA36AB" w:rsidRPr="00AC7608">
        <w:t xml:space="preserve">due to their </w:t>
      </w:r>
      <w:r w:rsidR="000E6604" w:rsidRPr="00AC7608">
        <w:t>non-ideal</w:t>
      </w:r>
      <w:r w:rsidR="00CA36AB" w:rsidRPr="00AC7608">
        <w:t xml:space="preserve"> location</w:t>
      </w:r>
      <w:r w:rsidR="004B656F" w:rsidRPr="00AC7608">
        <w:t>, either remote or exposed to flooding hazards.</w:t>
      </w:r>
    </w:p>
    <w:p w14:paraId="784D018E" w14:textId="6D6D87EA" w:rsidR="00CA36AB" w:rsidRPr="00AC7608" w:rsidRDefault="00CA36AB" w:rsidP="001D0758">
      <w:pPr>
        <w:pStyle w:val="SECEDBodytext"/>
        <w:numPr>
          <w:ilvl w:val="0"/>
          <w:numId w:val="37"/>
        </w:numPr>
      </w:pPr>
      <w:r w:rsidRPr="00AC7608">
        <w:t>School</w:t>
      </w:r>
      <w:r w:rsidR="004B656F" w:rsidRPr="00AC7608">
        <w:t>s</w:t>
      </w:r>
      <w:r w:rsidRPr="00AC7608">
        <w:t xml:space="preserve"> have been reconstructed using reinforced concrete structures, rather than masonry walls as done in the past. Some</w:t>
      </w:r>
      <w:r w:rsidR="003E3575" w:rsidRPr="00AC7608">
        <w:t xml:space="preserve"> of these</w:t>
      </w:r>
      <w:r w:rsidRPr="00AC7608">
        <w:t xml:space="preserve"> are not well maintained and just one was designed for tsunami vertical evacuation. </w:t>
      </w:r>
    </w:p>
    <w:p w14:paraId="7B0A9C2F" w14:textId="17E45CBB" w:rsidR="00CA36AB" w:rsidRPr="00AC7608" w:rsidRDefault="00CA36AB" w:rsidP="001D0758">
      <w:pPr>
        <w:pStyle w:val="SECEDBodytext"/>
        <w:numPr>
          <w:ilvl w:val="0"/>
          <w:numId w:val="37"/>
        </w:numPr>
      </w:pPr>
      <w:r w:rsidRPr="00AC7608">
        <w:t>Single purpose tsunami evacuation structures have not</w:t>
      </w:r>
      <w:r w:rsidR="000E6604" w:rsidRPr="00AC7608">
        <w:t xml:space="preserve"> been</w:t>
      </w:r>
      <w:r w:rsidRPr="00AC7608">
        <w:t xml:space="preserve"> “absorbed” </w:t>
      </w:r>
      <w:r w:rsidR="000E6604" w:rsidRPr="00AC7608">
        <w:t xml:space="preserve">by local communities, </w:t>
      </w:r>
      <w:r w:rsidRPr="00AC7608">
        <w:t xml:space="preserve">which </w:t>
      </w:r>
      <w:r w:rsidR="004B656F" w:rsidRPr="00AC7608">
        <w:t xml:space="preserve">rather </w:t>
      </w:r>
      <w:r w:rsidRPr="00AC7608">
        <w:t>evacuate to areas or buildings that are perceived as safe</w:t>
      </w:r>
      <w:r w:rsidR="006B4C40" w:rsidRPr="00AC7608">
        <w:t xml:space="preserve"> ones</w:t>
      </w:r>
      <w:r w:rsidR="004B656F" w:rsidRPr="00AC7608">
        <w:t>, such as</w:t>
      </w:r>
      <w:r w:rsidR="006B4C40" w:rsidRPr="00AC7608">
        <w:t xml:space="preserve"> the local</w:t>
      </w:r>
      <w:r w:rsidR="004B656F" w:rsidRPr="00AC7608">
        <w:t xml:space="preserve"> mosques</w:t>
      </w:r>
      <w:r w:rsidRPr="00AC7608">
        <w:t xml:space="preserve">. </w:t>
      </w:r>
    </w:p>
    <w:p w14:paraId="41376A15" w14:textId="1D8BABC0" w:rsidR="00CA36AB" w:rsidRPr="00AC7608" w:rsidRDefault="00CA36AB" w:rsidP="001D0758">
      <w:pPr>
        <w:pStyle w:val="SECEDBodytext"/>
        <w:numPr>
          <w:ilvl w:val="0"/>
          <w:numId w:val="37"/>
        </w:numPr>
      </w:pPr>
      <w:r w:rsidRPr="00AC7608">
        <w:t xml:space="preserve">Mangrove replantation </w:t>
      </w:r>
      <w:r w:rsidR="00AC7608" w:rsidRPr="00AC7608">
        <w:t xml:space="preserve">along the Banda Aceh coast </w:t>
      </w:r>
      <w:r w:rsidR="00AA2255" w:rsidRPr="00AC7608">
        <w:t xml:space="preserve">was not successful. It </w:t>
      </w:r>
      <w:r w:rsidRPr="00AC7608">
        <w:t>has been driven by the aquaculture sector, hence the density of trees is very low</w:t>
      </w:r>
      <w:r w:rsidR="000E6604" w:rsidRPr="00AC7608">
        <w:t xml:space="preserve">. In addition, </w:t>
      </w:r>
      <w:r w:rsidR="00AA2255" w:rsidRPr="00AC7608">
        <w:t>it has been hindered</w:t>
      </w:r>
      <w:r w:rsidRPr="00AC7608">
        <w:t xml:space="preserve"> by the ingress of saltwater due to changes in coastal morphology following the tsunami. </w:t>
      </w:r>
    </w:p>
    <w:p w14:paraId="09158B20" w14:textId="14BE8342" w:rsidR="00BE468B" w:rsidRPr="00AC7608" w:rsidRDefault="00530CEC" w:rsidP="00BE468B">
      <w:pPr>
        <w:pStyle w:val="SECEDHeading1"/>
        <w:rPr>
          <w:b w:val="0"/>
        </w:rPr>
      </w:pPr>
      <w:r w:rsidRPr="00AC7608">
        <w:t>Acknowledgements</w:t>
      </w:r>
    </w:p>
    <w:p w14:paraId="544EEC4E" w14:textId="7E126E2E" w:rsidR="000A468D" w:rsidRPr="00AC7608" w:rsidRDefault="00A70238" w:rsidP="00324532">
      <w:pPr>
        <w:rPr>
          <w:rFonts w:cs="Arial"/>
          <w:sz w:val="20"/>
          <w:szCs w:val="20"/>
        </w:rPr>
      </w:pPr>
      <w:r w:rsidRPr="00AC7608">
        <w:rPr>
          <w:rFonts w:cs="Arial"/>
          <w:sz w:val="20"/>
          <w:szCs w:val="20"/>
        </w:rPr>
        <w:t xml:space="preserve">The return mission to Banda Aceh was funded by </w:t>
      </w:r>
      <w:r w:rsidR="00324532" w:rsidRPr="00AC7608">
        <w:rPr>
          <w:rFonts w:cs="Arial"/>
          <w:sz w:val="20"/>
          <w:szCs w:val="20"/>
        </w:rPr>
        <w:t xml:space="preserve">EP/P025641/1 “Learning from Earthquakes: Building Resilient Communities Through Earthquake Reconnaissance, Response and Recovery”. The </w:t>
      </w:r>
      <w:r w:rsidR="00C3358B" w:rsidRPr="00AC7608">
        <w:rPr>
          <w:rFonts w:cs="Arial"/>
          <w:sz w:val="20"/>
          <w:szCs w:val="20"/>
        </w:rPr>
        <w:t>field team would like</w:t>
      </w:r>
      <w:r w:rsidR="00807301" w:rsidRPr="00AC7608">
        <w:rPr>
          <w:rFonts w:cs="Arial"/>
          <w:sz w:val="20"/>
          <w:szCs w:val="20"/>
        </w:rPr>
        <w:t xml:space="preserve"> to thank Dedy Alfian and</w:t>
      </w:r>
      <w:r w:rsidR="006F1B89" w:rsidRPr="00AC7608">
        <w:rPr>
          <w:rFonts w:cs="Arial"/>
          <w:sz w:val="20"/>
          <w:szCs w:val="20"/>
        </w:rPr>
        <w:t xml:space="preserve"> the rest of the</w:t>
      </w:r>
      <w:r w:rsidR="00807301" w:rsidRPr="00AC7608">
        <w:rPr>
          <w:rFonts w:cs="Arial"/>
          <w:sz w:val="20"/>
          <w:szCs w:val="20"/>
        </w:rPr>
        <w:t xml:space="preserve"> TDMRC (University Syiah Kuala) researchers and students for their </w:t>
      </w:r>
      <w:r w:rsidR="006F1B89" w:rsidRPr="00AC7608">
        <w:rPr>
          <w:rFonts w:cs="Arial"/>
          <w:sz w:val="20"/>
          <w:szCs w:val="20"/>
        </w:rPr>
        <w:t xml:space="preserve">invaluable </w:t>
      </w:r>
      <w:r w:rsidR="00807301" w:rsidRPr="00AC7608">
        <w:rPr>
          <w:rFonts w:cs="Arial"/>
          <w:sz w:val="20"/>
          <w:szCs w:val="20"/>
        </w:rPr>
        <w:t>support</w:t>
      </w:r>
      <w:r w:rsidR="006F1B89" w:rsidRPr="00AC7608">
        <w:rPr>
          <w:rFonts w:cs="Arial"/>
          <w:sz w:val="20"/>
          <w:szCs w:val="20"/>
        </w:rPr>
        <w:t xml:space="preserve"> and help throughout the mission</w:t>
      </w:r>
      <w:r w:rsidR="00807301" w:rsidRPr="00AC7608">
        <w:rPr>
          <w:rFonts w:cs="Arial"/>
          <w:sz w:val="20"/>
          <w:szCs w:val="20"/>
        </w:rPr>
        <w:t>.</w:t>
      </w:r>
      <w:r w:rsidR="00C3358B" w:rsidRPr="00AC7608">
        <w:rPr>
          <w:rFonts w:cs="Arial"/>
          <w:sz w:val="20"/>
          <w:szCs w:val="20"/>
        </w:rPr>
        <w:t xml:space="preserve"> </w:t>
      </w:r>
      <w:r w:rsidR="00807301" w:rsidRPr="00AC7608">
        <w:rPr>
          <w:rFonts w:cs="Arial"/>
          <w:sz w:val="20"/>
          <w:szCs w:val="20"/>
        </w:rPr>
        <w:t>The</w:t>
      </w:r>
      <w:r w:rsidR="006F1B89" w:rsidRPr="00AC7608">
        <w:rPr>
          <w:rFonts w:cs="Arial"/>
          <w:sz w:val="20"/>
          <w:szCs w:val="20"/>
        </w:rPr>
        <w:t xml:space="preserve"> preparatory work done by the</w:t>
      </w:r>
      <w:r w:rsidR="00807301" w:rsidRPr="00AC7608">
        <w:rPr>
          <w:rFonts w:cs="Arial"/>
          <w:sz w:val="20"/>
          <w:szCs w:val="20"/>
        </w:rPr>
        <w:t xml:space="preserve"> remote team members (</w:t>
      </w:r>
      <w:r w:rsidR="00C3358B" w:rsidRPr="00AC7608">
        <w:rPr>
          <w:rFonts w:cs="Arial"/>
          <w:sz w:val="20"/>
          <w:szCs w:val="20"/>
        </w:rPr>
        <w:t>Prof Tiziana Rossetto</w:t>
      </w:r>
      <w:r w:rsidR="00807301" w:rsidRPr="00AC7608">
        <w:rPr>
          <w:rFonts w:cs="Arial"/>
          <w:sz w:val="20"/>
          <w:szCs w:val="20"/>
        </w:rPr>
        <w:t xml:space="preserve">, </w:t>
      </w:r>
      <w:r w:rsidR="00CC67F1" w:rsidRPr="00AC7608">
        <w:rPr>
          <w:rFonts w:cs="Arial"/>
          <w:sz w:val="20"/>
          <w:szCs w:val="20"/>
        </w:rPr>
        <w:t>Mr</w:t>
      </w:r>
      <w:r w:rsidR="00C3358B" w:rsidRPr="00AC7608">
        <w:rPr>
          <w:rFonts w:cs="Arial"/>
          <w:sz w:val="20"/>
          <w:szCs w:val="20"/>
        </w:rPr>
        <w:t xml:space="preserve"> </w:t>
      </w:r>
      <w:r w:rsidR="00875464" w:rsidRPr="00AC7608">
        <w:rPr>
          <w:rFonts w:cs="Arial"/>
          <w:sz w:val="20"/>
          <w:szCs w:val="20"/>
        </w:rPr>
        <w:t xml:space="preserve">Nurullah Açıkgöz, </w:t>
      </w:r>
      <w:r w:rsidR="00B53D51" w:rsidRPr="00AC7608">
        <w:rPr>
          <w:rFonts w:cs="Arial"/>
          <w:sz w:val="20"/>
          <w:szCs w:val="20"/>
        </w:rPr>
        <w:t>Ms Francesca Marafini</w:t>
      </w:r>
      <w:r w:rsidR="00CC2BD4" w:rsidRPr="00AC7608">
        <w:rPr>
          <w:rFonts w:cs="Arial"/>
          <w:sz w:val="20"/>
          <w:szCs w:val="20"/>
        </w:rPr>
        <w:t xml:space="preserve">, </w:t>
      </w:r>
      <w:r w:rsidR="0068339E" w:rsidRPr="00AC7608">
        <w:rPr>
          <w:rFonts w:cs="Arial"/>
          <w:sz w:val="20"/>
          <w:szCs w:val="20"/>
        </w:rPr>
        <w:t>Mr Hashtomi Furoq</w:t>
      </w:r>
      <w:r w:rsidR="00CC67F1" w:rsidRPr="00AC7608">
        <w:rPr>
          <w:rFonts w:cs="Arial"/>
          <w:sz w:val="20"/>
          <w:szCs w:val="20"/>
        </w:rPr>
        <w:t xml:space="preserve">oni, </w:t>
      </w:r>
      <w:r w:rsidR="00CC2BD4" w:rsidRPr="00AC7608">
        <w:rPr>
          <w:rFonts w:cs="Arial"/>
          <w:sz w:val="20"/>
          <w:szCs w:val="20"/>
        </w:rPr>
        <w:t>Mr Harsh Mistry</w:t>
      </w:r>
      <w:r w:rsidR="00807301" w:rsidRPr="00AC7608">
        <w:rPr>
          <w:rFonts w:cs="Arial"/>
          <w:sz w:val="20"/>
          <w:szCs w:val="20"/>
        </w:rPr>
        <w:t xml:space="preserve">) </w:t>
      </w:r>
      <w:r w:rsidR="006F1B89" w:rsidRPr="00AC7608">
        <w:rPr>
          <w:rFonts w:cs="Arial"/>
          <w:sz w:val="20"/>
          <w:szCs w:val="20"/>
        </w:rPr>
        <w:t>is</w:t>
      </w:r>
      <w:r w:rsidR="00807301" w:rsidRPr="00AC7608">
        <w:rPr>
          <w:rFonts w:cs="Arial"/>
          <w:sz w:val="20"/>
          <w:szCs w:val="20"/>
        </w:rPr>
        <w:t xml:space="preserve"> </w:t>
      </w:r>
      <w:r w:rsidR="006F1B89" w:rsidRPr="00AC7608">
        <w:rPr>
          <w:rFonts w:cs="Arial"/>
          <w:sz w:val="20"/>
          <w:szCs w:val="20"/>
        </w:rPr>
        <w:t>gratefully</w:t>
      </w:r>
      <w:r w:rsidR="00807301" w:rsidRPr="00AC7608">
        <w:rPr>
          <w:rFonts w:cs="Arial"/>
          <w:sz w:val="20"/>
          <w:szCs w:val="20"/>
        </w:rPr>
        <w:t xml:space="preserve"> acknowledged</w:t>
      </w:r>
      <w:r w:rsidR="006F1B89" w:rsidRPr="00AC7608">
        <w:rPr>
          <w:rFonts w:cs="Arial"/>
          <w:sz w:val="20"/>
          <w:szCs w:val="20"/>
        </w:rPr>
        <w:t>.</w:t>
      </w:r>
    </w:p>
    <w:p w14:paraId="424A91BA" w14:textId="2F0D7F45" w:rsidR="006462BC" w:rsidRPr="00AC7608" w:rsidRDefault="008A70BF" w:rsidP="002B7205">
      <w:pPr>
        <w:pStyle w:val="SECEDHeading1"/>
      </w:pPr>
      <w:r w:rsidRPr="00AC7608">
        <w:t>References</w:t>
      </w:r>
    </w:p>
    <w:p w14:paraId="090776EB" w14:textId="02423322" w:rsidR="00FF5B48" w:rsidRPr="00AC7608" w:rsidRDefault="00FF5B48" w:rsidP="00FF5B48">
      <w:pPr>
        <w:pStyle w:val="SECEDReferences"/>
      </w:pPr>
      <w:r w:rsidRPr="00AC7608">
        <w:t>ASCE (2010)</w:t>
      </w:r>
      <w:r w:rsidR="00D82138" w:rsidRPr="00AC7608">
        <w:t>,</w:t>
      </w:r>
      <w:r w:rsidRPr="00AC7608">
        <w:t xml:space="preserve"> </w:t>
      </w:r>
      <w:r w:rsidRPr="00AC7608">
        <w:rPr>
          <w:i/>
          <w:iCs/>
        </w:rPr>
        <w:t>Minimum Design Loads for Buildings and Other Structures</w:t>
      </w:r>
      <w:r w:rsidRPr="00AC7608">
        <w:t>, ASCE/SEI Standard 7–10, Reston, Virginia, USA, 2010.</w:t>
      </w:r>
    </w:p>
    <w:p w14:paraId="7E69CF4A" w14:textId="48DC0FE1" w:rsidR="00FF5B48" w:rsidRPr="00AC7608" w:rsidRDefault="00FF5B48" w:rsidP="00FF5B48">
      <w:pPr>
        <w:pStyle w:val="SECEDReferences"/>
      </w:pPr>
      <w:r w:rsidRPr="00AC7608">
        <w:t>ASCE (201</w:t>
      </w:r>
      <w:r w:rsidR="00915CD3" w:rsidRPr="00AC7608">
        <w:t>7</w:t>
      </w:r>
      <w:r w:rsidRPr="00AC7608">
        <w:t>)</w:t>
      </w:r>
      <w:r w:rsidR="00D82138" w:rsidRPr="00AC7608">
        <w:t>,</w:t>
      </w:r>
      <w:r w:rsidRPr="00AC7608">
        <w:t xml:space="preserve"> Minimum Design Loads for Buildings and Other Structures, ASCE/SEI Standard 7–16, Reston, Virginia, USA, 201</w:t>
      </w:r>
      <w:r w:rsidR="00915CD3" w:rsidRPr="00AC7608">
        <w:t>7</w:t>
      </w:r>
      <w:r w:rsidRPr="00AC7608">
        <w:t>.</w:t>
      </w:r>
    </w:p>
    <w:p w14:paraId="0A137045" w14:textId="1E117149" w:rsidR="00B618E5" w:rsidRPr="00AC7608" w:rsidRDefault="00B618E5" w:rsidP="00C76E31">
      <w:pPr>
        <w:pStyle w:val="SECEDReferences"/>
      </w:pPr>
      <w:r w:rsidRPr="00AC7608">
        <w:rPr>
          <w:rFonts w:cs="Arial"/>
          <w:shd w:val="clear" w:color="auto" w:fill="FFFFFF"/>
        </w:rPr>
        <w:lastRenderedPageBreak/>
        <w:t>Borrero</w:t>
      </w:r>
      <w:r w:rsidR="00ED7461" w:rsidRPr="00AC7608">
        <w:rPr>
          <w:rFonts w:cs="Arial"/>
          <w:shd w:val="clear" w:color="auto" w:fill="FFFFFF"/>
        </w:rPr>
        <w:t xml:space="preserve"> </w:t>
      </w:r>
      <w:r w:rsidRPr="00AC7608">
        <w:rPr>
          <w:rFonts w:cs="Arial"/>
          <w:shd w:val="clear" w:color="auto" w:fill="FFFFFF"/>
        </w:rPr>
        <w:t>JC, Sieh K, Chlieh M and Synolakis CE</w:t>
      </w:r>
      <w:r w:rsidR="00B2655E" w:rsidRPr="00AC7608">
        <w:rPr>
          <w:rFonts w:cs="Arial"/>
          <w:shd w:val="clear" w:color="auto" w:fill="FFFFFF"/>
        </w:rPr>
        <w:t xml:space="preserve"> (</w:t>
      </w:r>
      <w:r w:rsidRPr="00AC7608">
        <w:rPr>
          <w:rFonts w:cs="Arial"/>
          <w:shd w:val="clear" w:color="auto" w:fill="FFFFFF"/>
        </w:rPr>
        <w:t>2006</w:t>
      </w:r>
      <w:r w:rsidR="00B2655E" w:rsidRPr="00AC7608">
        <w:rPr>
          <w:rFonts w:cs="Arial"/>
          <w:shd w:val="clear" w:color="auto" w:fill="FFFFFF"/>
        </w:rPr>
        <w:t>)</w:t>
      </w:r>
      <w:r w:rsidR="00C66690" w:rsidRPr="00AC7608">
        <w:rPr>
          <w:rFonts w:cs="Arial"/>
          <w:shd w:val="clear" w:color="auto" w:fill="FFFFFF"/>
        </w:rPr>
        <w:t>,</w:t>
      </w:r>
      <w:r w:rsidRPr="00AC7608">
        <w:rPr>
          <w:rFonts w:cs="Arial"/>
          <w:shd w:val="clear" w:color="auto" w:fill="FFFFFF"/>
        </w:rPr>
        <w:t xml:space="preserve"> Tsunami inundation modeling for western Sumatra. </w:t>
      </w:r>
      <w:r w:rsidRPr="00AC7608">
        <w:rPr>
          <w:rFonts w:cs="Arial"/>
          <w:i/>
          <w:iCs/>
          <w:shd w:val="clear" w:color="auto" w:fill="FFFFFF"/>
        </w:rPr>
        <w:t>Proceedings of the National Academy of Sciences</w:t>
      </w:r>
      <w:r w:rsidRPr="00AC7608">
        <w:rPr>
          <w:rFonts w:cs="Arial"/>
          <w:shd w:val="clear" w:color="auto" w:fill="FFFFFF"/>
        </w:rPr>
        <w:t>, </w:t>
      </w:r>
      <w:r w:rsidRPr="00AC7608">
        <w:rPr>
          <w:rFonts w:cs="Arial"/>
          <w:i/>
          <w:iCs/>
          <w:shd w:val="clear" w:color="auto" w:fill="FFFFFF"/>
        </w:rPr>
        <w:t>103</w:t>
      </w:r>
      <w:r w:rsidRPr="00AC7608">
        <w:rPr>
          <w:rFonts w:cs="Arial"/>
          <w:shd w:val="clear" w:color="auto" w:fill="FFFFFF"/>
        </w:rPr>
        <w:t>(52), pp.19673-19677.</w:t>
      </w:r>
    </w:p>
    <w:p w14:paraId="3E65CF78" w14:textId="65AB9E3C" w:rsidR="00B367A3" w:rsidRPr="00227FF3" w:rsidRDefault="00B367A3" w:rsidP="00B367A3">
      <w:pPr>
        <w:pStyle w:val="SECEDReferences"/>
      </w:pPr>
      <w:r w:rsidRPr="00227FF3">
        <w:t xml:space="preserve">BSN (1989), </w:t>
      </w:r>
      <w:r w:rsidRPr="00227FF3">
        <w:rPr>
          <w:i/>
          <w:iCs/>
        </w:rPr>
        <w:t>BSN (Badan Standarisasi Nasional):SNI 1726:1989, Standar perencanaan ketahanan gempa untuk struktur bangunan Gedung</w:t>
      </w:r>
      <w:r w:rsidRPr="00227FF3">
        <w:t>, Jackarta, Indonesia, 1989 (in Indonesian).</w:t>
      </w:r>
    </w:p>
    <w:p w14:paraId="45A5A147" w14:textId="07002D32" w:rsidR="00FF5B48" w:rsidRPr="00AC7608" w:rsidRDefault="00FF5B48" w:rsidP="00FF5B48">
      <w:pPr>
        <w:pStyle w:val="SECEDReferences"/>
        <w:rPr>
          <w:lang w:val="it-IT"/>
        </w:rPr>
      </w:pPr>
      <w:r w:rsidRPr="00AC7608">
        <w:rPr>
          <w:lang w:val="it-IT"/>
        </w:rPr>
        <w:t>BSN (2002)</w:t>
      </w:r>
      <w:r w:rsidR="00ED7461" w:rsidRPr="00AC7608">
        <w:rPr>
          <w:lang w:val="it-IT"/>
        </w:rPr>
        <w:t>,</w:t>
      </w:r>
      <w:r w:rsidRPr="00AC7608">
        <w:rPr>
          <w:lang w:val="it-IT"/>
        </w:rPr>
        <w:t xml:space="preserve"> </w:t>
      </w:r>
      <w:r w:rsidRPr="00AC7608">
        <w:rPr>
          <w:i/>
          <w:iCs/>
          <w:lang w:val="it-IT"/>
        </w:rPr>
        <w:t>BSN (Badan Standarisasi Nasional):SNI 1726:2002, Standar perencanaan ketahanan gempa untuk struktur bangunan Gedung</w:t>
      </w:r>
      <w:r w:rsidRPr="00AC7608">
        <w:rPr>
          <w:lang w:val="it-IT"/>
        </w:rPr>
        <w:t>, Jackarta, Indonesia, 2002 (in Indonesian).</w:t>
      </w:r>
    </w:p>
    <w:p w14:paraId="7E28F097" w14:textId="2DEACACC" w:rsidR="00FF5B48" w:rsidRPr="00AC7608" w:rsidRDefault="00FF5B48" w:rsidP="00FF5B48">
      <w:pPr>
        <w:pStyle w:val="SECEDReferences"/>
        <w:rPr>
          <w:lang w:val="it-IT"/>
        </w:rPr>
      </w:pPr>
      <w:r w:rsidRPr="00AC7608">
        <w:rPr>
          <w:lang w:val="it-IT"/>
        </w:rPr>
        <w:t>BSN (2012)</w:t>
      </w:r>
      <w:r w:rsidR="00ED7461" w:rsidRPr="00AC7608">
        <w:rPr>
          <w:lang w:val="it-IT"/>
        </w:rPr>
        <w:t>,</w:t>
      </w:r>
      <w:r w:rsidRPr="00AC7608">
        <w:rPr>
          <w:lang w:val="it-IT"/>
        </w:rPr>
        <w:t xml:space="preserve"> </w:t>
      </w:r>
      <w:r w:rsidRPr="00AC7608">
        <w:rPr>
          <w:i/>
          <w:iCs/>
          <w:lang w:val="it-IT"/>
        </w:rPr>
        <w:t>BSN (Badan Standarisasi Nasional):SNI 1726:2012, Tata cara perencanaan ketahanan gempa unktuk struktur bangunan gedung dan non gedung</w:t>
      </w:r>
      <w:r w:rsidRPr="00AC7608">
        <w:rPr>
          <w:lang w:val="it-IT"/>
        </w:rPr>
        <w:t>, Jackarta, Indonesia, 2012 (in Indonesian).</w:t>
      </w:r>
    </w:p>
    <w:p w14:paraId="42B2A61F" w14:textId="3E720F3C" w:rsidR="007A6C63" w:rsidRPr="00AC7608" w:rsidRDefault="00FA69A7" w:rsidP="0036687D">
      <w:pPr>
        <w:pStyle w:val="SECEDReferences"/>
      </w:pPr>
      <w:r w:rsidRPr="00AC7608">
        <w:t>EEFIT (2006)</w:t>
      </w:r>
      <w:r w:rsidR="00ED7461" w:rsidRPr="00AC7608">
        <w:t>,</w:t>
      </w:r>
      <w:r w:rsidRPr="00AC7608">
        <w:t xml:space="preserve"> </w:t>
      </w:r>
      <w:r w:rsidRPr="00AC7608">
        <w:rPr>
          <w:i/>
          <w:iCs/>
        </w:rPr>
        <w:t xml:space="preserve">The Indian Ocean tsunami of 26 December 2004: </w:t>
      </w:r>
      <w:r w:rsidR="00AF22F2" w:rsidRPr="00AC7608">
        <w:rPr>
          <w:i/>
          <w:iCs/>
        </w:rPr>
        <w:t>M</w:t>
      </w:r>
      <w:r w:rsidRPr="00AC7608">
        <w:rPr>
          <w:i/>
          <w:iCs/>
        </w:rPr>
        <w:t>ission findings in Sri Lanka &amp; Thailand</w:t>
      </w:r>
      <w:r w:rsidRPr="00AC7608">
        <w:t>. Pomonis A, Rossetto T, Peiris N, Wilkinson SM, Del Re D, Koo R, Gallocher S, Earthquake Engineering Field Investigation Team (EEFIT) Report, The Institution of Structural Engineers, London, UK.</w:t>
      </w:r>
      <w:r w:rsidR="00FA2353" w:rsidRPr="00AC7608">
        <w:t xml:space="preserve"> Available at</w:t>
      </w:r>
      <w:r w:rsidRPr="00AC7608">
        <w:t xml:space="preserve"> </w:t>
      </w:r>
      <w:hyperlink r:id="rId35" w:history="1">
        <w:r w:rsidR="007A6C63" w:rsidRPr="00AC7608">
          <w:rPr>
            <w:rStyle w:val="Hyperlink"/>
            <w:color w:val="auto"/>
          </w:rPr>
          <w:t>https://www.istructe.org/get-involved/supported-organisations/eefit/</w:t>
        </w:r>
      </w:hyperlink>
      <w:r w:rsidR="007A6C63" w:rsidRPr="00AC7608">
        <w:t xml:space="preserve"> </w:t>
      </w:r>
    </w:p>
    <w:p w14:paraId="0CE14F1B" w14:textId="2ED83E7A" w:rsidR="003738D2" w:rsidRPr="00AC7608" w:rsidRDefault="0036687D" w:rsidP="0036687D">
      <w:pPr>
        <w:pStyle w:val="SECEDReferences"/>
      </w:pPr>
      <w:r w:rsidRPr="00AC7608">
        <w:t>EEFIT (20</w:t>
      </w:r>
      <w:r w:rsidR="008D1A49" w:rsidRPr="00AC7608">
        <w:t>19)</w:t>
      </w:r>
      <w:r w:rsidR="00ED7461" w:rsidRPr="00AC7608">
        <w:t>,</w:t>
      </w:r>
      <w:r w:rsidR="008D1A49" w:rsidRPr="00AC7608">
        <w:t xml:space="preserve"> </w:t>
      </w:r>
      <w:r w:rsidR="00A22248" w:rsidRPr="00AC7608">
        <w:rPr>
          <w:i/>
          <w:iCs/>
        </w:rPr>
        <w:t>The Central Sulawesi, Indonesia Earthquake and Tsunami of 28th September 2018</w:t>
      </w:r>
      <w:r w:rsidR="00892129" w:rsidRPr="00AC7608">
        <w:rPr>
          <w:i/>
          <w:iCs/>
        </w:rPr>
        <w:t>.</w:t>
      </w:r>
      <w:r w:rsidR="00A26519" w:rsidRPr="00AC7608">
        <w:t xml:space="preserve"> </w:t>
      </w:r>
      <w:r w:rsidR="00A26519" w:rsidRPr="00AC7608">
        <w:rPr>
          <w:i/>
          <w:iCs/>
        </w:rPr>
        <w:t>A Field Report by EEFIT-TDMRC</w:t>
      </w:r>
      <w:r w:rsidR="00A26519" w:rsidRPr="00AC7608">
        <w:t>.</w:t>
      </w:r>
      <w:r w:rsidR="00892129" w:rsidRPr="00AC7608">
        <w:t xml:space="preserve"> Rossetto T, Raby A, Brennan A, Lagesse R, Robinson D, Adhi</w:t>
      </w:r>
      <w:r w:rsidR="003706E4" w:rsidRPr="00AC7608">
        <w:t xml:space="preserve">kari RH, Rezki-Hr M, Meilianda E, Idris Y, </w:t>
      </w:r>
      <w:r w:rsidR="00F0714F" w:rsidRPr="00AC7608">
        <w:t>Rusydy I, Kumala ID.</w:t>
      </w:r>
      <w:r w:rsidR="000332FB" w:rsidRPr="00AC7608">
        <w:t xml:space="preserve"> A Field Report by EEFIT-TDMRC.</w:t>
      </w:r>
      <w:r w:rsidR="004B3E6A" w:rsidRPr="00AC7608">
        <w:t xml:space="preserve"> Available at </w:t>
      </w:r>
      <w:hyperlink r:id="rId36" w:history="1">
        <w:r w:rsidR="004B3E6A" w:rsidRPr="00AC7608">
          <w:rPr>
            <w:rStyle w:val="Hyperlink"/>
            <w:color w:val="auto"/>
          </w:rPr>
          <w:t>https://www.istructe.org/get-involved/supported-organisations/eefit/</w:t>
        </w:r>
      </w:hyperlink>
    </w:p>
    <w:p w14:paraId="431E4E34" w14:textId="7BABEA4C" w:rsidR="0036687D" w:rsidRPr="00AC7608" w:rsidRDefault="0036687D" w:rsidP="00FF5B48">
      <w:pPr>
        <w:pStyle w:val="SECEDReferences"/>
      </w:pPr>
      <w:r w:rsidRPr="00AC7608">
        <w:t>EEFIT (2023)</w:t>
      </w:r>
      <w:r w:rsidR="00ED7461" w:rsidRPr="00AC7608">
        <w:t>,</w:t>
      </w:r>
      <w:r w:rsidRPr="00AC7608">
        <w:t xml:space="preserve"> </w:t>
      </w:r>
      <w:r w:rsidRPr="00AC7608">
        <w:rPr>
          <w:i/>
          <w:iCs/>
        </w:rPr>
        <w:t>Recovery from earthquakes and tsunamis in Indonesia and Thailand 2022. A field report by EEFIT.</w:t>
      </w:r>
      <w:r w:rsidRPr="00AC7608">
        <w:t xml:space="preserve"> </w:t>
      </w:r>
      <w:r w:rsidR="000332FB" w:rsidRPr="00AC7608">
        <w:t>Raby A, Pomonis</w:t>
      </w:r>
      <w:r w:rsidR="00117939" w:rsidRPr="00AC7608">
        <w:t xml:space="preserve"> </w:t>
      </w:r>
      <w:r w:rsidR="000332FB" w:rsidRPr="00AC7608">
        <w:t>A, Meilianda E,</w:t>
      </w:r>
      <w:r w:rsidR="00117939" w:rsidRPr="00AC7608">
        <w:t xml:space="preserve"> Idris Y,</w:t>
      </w:r>
      <w:r w:rsidR="000332FB" w:rsidRPr="00AC7608">
        <w:t xml:space="preserve"> </w:t>
      </w:r>
      <w:r w:rsidR="00117939" w:rsidRPr="00AC7608">
        <w:t xml:space="preserve">McGovern </w:t>
      </w:r>
      <w:r w:rsidR="00A26519" w:rsidRPr="00AC7608">
        <w:t>D</w:t>
      </w:r>
      <w:r w:rsidR="00117939" w:rsidRPr="00AC7608">
        <w:t xml:space="preserve">, Adams K, Baiguera M, </w:t>
      </w:r>
      <w:r w:rsidR="005145EC" w:rsidRPr="00AC7608">
        <w:t>Adi</w:t>
      </w:r>
      <w:r w:rsidR="00B33C9E" w:rsidRPr="00AC7608">
        <w:t xml:space="preserve">hikari R, Ado Y, Marzuki M, Nurdin S, Opabola E, </w:t>
      </w:r>
      <w:r w:rsidR="00B56BE5" w:rsidRPr="00AC7608">
        <w:t>Latcharote P, Ornthammarath T, Trumikaborworn N</w:t>
      </w:r>
      <w:r w:rsidR="00326479" w:rsidRPr="00AC7608">
        <w:t>, Açikgőz N, Marafini F, Mistry H.</w:t>
      </w:r>
      <w:r w:rsidR="004B3E6A" w:rsidRPr="00AC7608">
        <w:t xml:space="preserve"> Available at </w:t>
      </w:r>
      <w:hyperlink r:id="rId37" w:history="1">
        <w:r w:rsidR="004B3E6A" w:rsidRPr="00AC7608">
          <w:rPr>
            <w:rStyle w:val="Hyperlink"/>
            <w:color w:val="auto"/>
          </w:rPr>
          <w:t>https://www.istructe.org/get-involved/supported-organisations/eefit/</w:t>
        </w:r>
      </w:hyperlink>
    </w:p>
    <w:p w14:paraId="07767013" w14:textId="13E47230" w:rsidR="00C76E31" w:rsidRPr="00AC7608" w:rsidRDefault="00C76E31" w:rsidP="00C76E31">
      <w:pPr>
        <w:pStyle w:val="SECEDReferences"/>
      </w:pPr>
      <w:r w:rsidRPr="00AC7608">
        <w:t xml:space="preserve">Gentile R, Galasso C, Idris Y, Rusydy I and Meilianda E </w:t>
      </w:r>
      <w:r w:rsidR="00F666FC" w:rsidRPr="00AC7608">
        <w:t>(</w:t>
      </w:r>
      <w:r w:rsidRPr="00AC7608">
        <w:t>2019</w:t>
      </w:r>
      <w:r w:rsidR="00F666FC" w:rsidRPr="00AC7608">
        <w:t>)</w:t>
      </w:r>
      <w:r w:rsidR="003F7F97" w:rsidRPr="00AC7608">
        <w:t>,</w:t>
      </w:r>
      <w:r w:rsidRPr="00AC7608">
        <w:t xml:space="preserve"> From rapid visual survey to multi-hazard risk prioritisation and numerical fragility of school buildings. </w:t>
      </w:r>
      <w:r w:rsidRPr="00AC7608">
        <w:rPr>
          <w:i/>
          <w:iCs/>
        </w:rPr>
        <w:t>Natural Hazards and Earth System Sciences</w:t>
      </w:r>
      <w:r w:rsidRPr="00AC7608">
        <w:t>, 19(7), pp.1365-1386.</w:t>
      </w:r>
    </w:p>
    <w:p w14:paraId="0274B3BA" w14:textId="0BC91660" w:rsidR="00FF5B48" w:rsidRDefault="00FF5B48" w:rsidP="00FF5B48">
      <w:pPr>
        <w:pStyle w:val="SECEDReferences"/>
      </w:pPr>
      <w:r w:rsidRPr="00AC7608">
        <w:t>Syamsidik</w:t>
      </w:r>
      <w:r w:rsidR="002F6B58">
        <w:t xml:space="preserve"> S</w:t>
      </w:r>
      <w:r w:rsidRPr="00AC7608">
        <w:t>, Rasyif TM, Fritz H, Idris Y, Rusydy I (2023)</w:t>
      </w:r>
      <w:r w:rsidR="00F666FC" w:rsidRPr="00AC7608">
        <w:t>,</w:t>
      </w:r>
      <w:r w:rsidRPr="00AC7608">
        <w:t xml:space="preserve"> Fragility based characterization of alternative tsunami evacuation buildings in Banda Aceh, Indonesia. </w:t>
      </w:r>
      <w:r w:rsidRPr="00AC7608">
        <w:rPr>
          <w:i/>
          <w:iCs/>
        </w:rPr>
        <w:t>International Journal of Disaster Risk Reduction</w:t>
      </w:r>
      <w:r w:rsidRPr="00AC7608">
        <w:t>, 88, p.103607.</w:t>
      </w:r>
    </w:p>
    <w:p w14:paraId="60F85B89" w14:textId="1B33F442" w:rsidR="00CA6326" w:rsidRPr="00AC7608" w:rsidRDefault="00CA6326" w:rsidP="00FF5B48">
      <w:pPr>
        <w:pStyle w:val="SECEDReferences"/>
      </w:pPr>
      <w:r w:rsidRPr="00CA6326">
        <w:t>Tursina S and Syamsidik S. (2019)</w:t>
      </w:r>
      <w:r>
        <w:t>,</w:t>
      </w:r>
      <w:r w:rsidRPr="00CA6326">
        <w:t xml:space="preserve"> Reconstruction of the 2004 Tsunami inundation map in Banda Aceh through numerical model and its validation with post-tsunami survey data IOP </w:t>
      </w:r>
      <w:r w:rsidRPr="00BD1AD9">
        <w:rPr>
          <w:i/>
          <w:iCs/>
        </w:rPr>
        <w:t>Conf. Series: Earth and Environmental Science</w:t>
      </w:r>
      <w:r w:rsidRPr="00CA6326">
        <w:t>, 273.</w:t>
      </w:r>
    </w:p>
    <w:p w14:paraId="0BC42057" w14:textId="77777777" w:rsidR="00681A07" w:rsidRPr="00AC7608" w:rsidRDefault="00681A07" w:rsidP="00681A07">
      <w:pPr>
        <w:pStyle w:val="SECEDReferences"/>
      </w:pPr>
      <w:r w:rsidRPr="00AC7608">
        <w:t xml:space="preserve">UNOCHA (2005), </w:t>
      </w:r>
      <w:r w:rsidRPr="00CA6326">
        <w:rPr>
          <w:i/>
          <w:iCs/>
        </w:rPr>
        <w:t>Earthquake and Tsunami OCHA Situation Rep. No. 32.</w:t>
      </w:r>
      <w:r w:rsidRPr="00AC7608">
        <w:t xml:space="preserve"> United Nations Office for the Coordination of Human Affairs. 18 March 2005</w:t>
      </w:r>
    </w:p>
    <w:p w14:paraId="15F9FA97" w14:textId="7DEF51FB" w:rsidR="0092711E" w:rsidRPr="00AC7608" w:rsidRDefault="0092711E" w:rsidP="0092711E">
      <w:pPr>
        <w:pStyle w:val="SECEDReferences"/>
      </w:pPr>
      <w:r w:rsidRPr="00AC7608">
        <w:t>Vale L, Shamsuddin S and Goh K</w:t>
      </w:r>
      <w:r w:rsidR="000D5351" w:rsidRPr="00AC7608">
        <w:t xml:space="preserve"> (</w:t>
      </w:r>
      <w:r w:rsidRPr="00AC7608">
        <w:t>2014</w:t>
      </w:r>
      <w:r w:rsidR="000D5351" w:rsidRPr="00AC7608">
        <w:t>)</w:t>
      </w:r>
      <w:r w:rsidR="003F7F97" w:rsidRPr="00AC7608">
        <w:t>,</w:t>
      </w:r>
      <w:r w:rsidRPr="00AC7608">
        <w:t xml:space="preserve"> Tsunami+ 10: Housing </w:t>
      </w:r>
      <w:r w:rsidR="00A84E5D" w:rsidRPr="00AC7608">
        <w:t>B</w:t>
      </w:r>
      <w:r w:rsidRPr="00AC7608">
        <w:t xml:space="preserve">anda </w:t>
      </w:r>
      <w:r w:rsidR="00A84E5D" w:rsidRPr="00AC7608">
        <w:t>A</w:t>
      </w:r>
      <w:r w:rsidRPr="00AC7608">
        <w:t xml:space="preserve">ceh after disaster. </w:t>
      </w:r>
      <w:r w:rsidRPr="00CA6326">
        <w:rPr>
          <w:i/>
          <w:iCs/>
        </w:rPr>
        <w:t>Places Journal</w:t>
      </w:r>
      <w:r w:rsidRPr="00AC7608">
        <w:t>.</w:t>
      </w:r>
      <w:r w:rsidR="000D5351" w:rsidRPr="00AC7608">
        <w:t xml:space="preserve"> </w:t>
      </w:r>
    </w:p>
    <w:p w14:paraId="76ED4F48" w14:textId="77777777" w:rsidR="00FF5B48" w:rsidRPr="00AC7608" w:rsidRDefault="00FF5B48" w:rsidP="007C6CE9">
      <w:pPr>
        <w:pStyle w:val="SECEDReferences"/>
      </w:pPr>
    </w:p>
    <w:sectPr w:rsidR="00FF5B48" w:rsidRPr="00AC7608" w:rsidSect="00FF4F18">
      <w:footerReference w:type="default" r:id="rId38"/>
      <w:headerReference w:type="first" r:id="rId39"/>
      <w:pgSz w:w="11900" w:h="16840"/>
      <w:pgMar w:top="1814" w:right="1701" w:bottom="992" w:left="1701" w:header="680" w:footer="680" w:gutter="0"/>
      <w:cols w:space="709"/>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BC96E" w14:textId="77777777" w:rsidR="00F82919" w:rsidRDefault="00F82919" w:rsidP="001C7C4C">
      <w:r>
        <w:separator/>
      </w:r>
    </w:p>
  </w:endnote>
  <w:endnote w:type="continuationSeparator" w:id="0">
    <w:p w14:paraId="57776367" w14:textId="77777777" w:rsidR="00F82919" w:rsidRDefault="00F82919" w:rsidP="001C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4D"/>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1697678"/>
      <w:docPartObj>
        <w:docPartGallery w:val="Page Numbers (Bottom of Page)"/>
        <w:docPartUnique/>
      </w:docPartObj>
    </w:sdtPr>
    <w:sdtEndPr>
      <w:rPr>
        <w:noProof/>
      </w:rPr>
    </w:sdtEndPr>
    <w:sdtContent>
      <w:p w14:paraId="03AC1E68" w14:textId="0921D9B8" w:rsidR="00AA226B" w:rsidRDefault="00AA226B" w:rsidP="006A7985">
        <w:pPr>
          <w:pStyle w:val="Footer"/>
          <w:jc w:val="center"/>
        </w:pPr>
        <w:r>
          <w:fldChar w:fldCharType="begin"/>
        </w:r>
        <w:r>
          <w:instrText xml:space="preserve"> PAGE   \* MERGEFORMAT </w:instrText>
        </w:r>
        <w:r>
          <w:fldChar w:fldCharType="separate"/>
        </w:r>
        <w:r w:rsidR="006447D6">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CBFD" w14:textId="77777777" w:rsidR="00F82919" w:rsidRDefault="00F82919" w:rsidP="001C7C4C">
      <w:r>
        <w:separator/>
      </w:r>
    </w:p>
  </w:footnote>
  <w:footnote w:type="continuationSeparator" w:id="0">
    <w:p w14:paraId="006C288F" w14:textId="77777777" w:rsidR="00F82919" w:rsidRDefault="00F82919" w:rsidP="001C7C4C">
      <w:r>
        <w:continuationSeparator/>
      </w:r>
    </w:p>
  </w:footnote>
  <w:footnote w:id="1">
    <w:p w14:paraId="5200C98D" w14:textId="0CA2B94F" w:rsidR="00AA226B" w:rsidRPr="009A365C" w:rsidRDefault="00AA226B" w:rsidP="00B61638">
      <w:pPr>
        <w:pStyle w:val="SECEDFootnote"/>
      </w:pPr>
      <w:r w:rsidRPr="007E4F8D">
        <w:rPr>
          <w:vertAlign w:val="superscript"/>
        </w:rPr>
        <w:footnoteRef/>
      </w:r>
      <w:r>
        <w:t xml:space="preserve"> </w:t>
      </w:r>
      <w:r w:rsidR="002A6BFC">
        <w:t>Lecturer</w:t>
      </w:r>
      <w:r w:rsidRPr="00210FE0">
        <w:t xml:space="preserve">, </w:t>
      </w:r>
      <w:r w:rsidR="002A6BFC">
        <w:t>University of Southampton</w:t>
      </w:r>
      <w:r w:rsidRPr="00210FE0">
        <w:t xml:space="preserve">, </w:t>
      </w:r>
      <w:r w:rsidR="002A6BFC">
        <w:t>Southampton, United Kingdom</w:t>
      </w:r>
      <w:r w:rsidR="008D61C6">
        <w:t xml:space="preserve">, </w:t>
      </w:r>
      <w:hyperlink r:id="rId1" w:history="1">
        <w:r w:rsidR="002A6BFC" w:rsidRPr="007F7A84">
          <w:rPr>
            <w:rStyle w:val="Hyperlink"/>
          </w:rPr>
          <w:t>m.baiguera@soton.ac.uk</w:t>
        </w:r>
      </w:hyperlink>
    </w:p>
  </w:footnote>
  <w:footnote w:id="2">
    <w:p w14:paraId="1038DA93" w14:textId="7C7DEC4F" w:rsidR="007C6CE9" w:rsidRDefault="007C6CE9" w:rsidP="007C6CE9">
      <w:pPr>
        <w:pStyle w:val="SECEDFootnote"/>
      </w:pPr>
      <w:r>
        <w:rPr>
          <w:rStyle w:val="FootnoteReference"/>
        </w:rPr>
        <w:footnoteRef/>
      </w:r>
      <w:r>
        <w:t xml:space="preserve"> </w:t>
      </w:r>
      <w:r w:rsidR="002A6BFC">
        <w:t>Professor</w:t>
      </w:r>
      <w:r>
        <w:t xml:space="preserve">, </w:t>
      </w:r>
      <w:r w:rsidR="002A6BFC">
        <w:t>University of Plymouth</w:t>
      </w:r>
      <w:r>
        <w:t xml:space="preserve">, </w:t>
      </w:r>
      <w:r w:rsidR="002A6BFC">
        <w:t>Plymouth</w:t>
      </w:r>
      <w:r>
        <w:t xml:space="preserve">, </w:t>
      </w:r>
      <w:r w:rsidR="002A6BFC">
        <w:t>United Kingdom</w:t>
      </w:r>
      <w:r>
        <w:t xml:space="preserve"> </w:t>
      </w:r>
    </w:p>
  </w:footnote>
  <w:footnote w:id="3">
    <w:p w14:paraId="04C03BCB" w14:textId="6F8A4124" w:rsidR="002355EF" w:rsidRPr="009A365C" w:rsidRDefault="002355EF" w:rsidP="002355EF">
      <w:pPr>
        <w:pStyle w:val="SECEDFootnote"/>
      </w:pPr>
      <w:r w:rsidRPr="007E4F8D">
        <w:rPr>
          <w:vertAlign w:val="superscript"/>
        </w:rPr>
        <w:footnoteRef/>
      </w:r>
      <w:r w:rsidRPr="001E5763">
        <w:t xml:space="preserve"> </w:t>
      </w:r>
      <w:r w:rsidR="00807301">
        <w:t>Senior Lecturer</w:t>
      </w:r>
      <w:r>
        <w:t xml:space="preserve">, London Southbank University, London, </w:t>
      </w:r>
      <w:r w:rsidR="00807301">
        <w:t>United Kingdom</w:t>
      </w:r>
    </w:p>
  </w:footnote>
  <w:footnote w:id="4">
    <w:p w14:paraId="32CC1276" w14:textId="4FBF4D23" w:rsidR="002355EF" w:rsidRPr="009A365C" w:rsidRDefault="002355EF" w:rsidP="002355EF">
      <w:pPr>
        <w:pStyle w:val="SECEDFootnote"/>
      </w:pPr>
      <w:r w:rsidRPr="007E4F8D">
        <w:rPr>
          <w:vertAlign w:val="superscript"/>
        </w:rPr>
        <w:footnoteRef/>
      </w:r>
      <w:r w:rsidRPr="001E5763">
        <w:t xml:space="preserve"> </w:t>
      </w:r>
      <w:r>
        <w:t>Post-doc Researcher, London Southbank University, London</w:t>
      </w:r>
      <w:r w:rsidR="00807301">
        <w:t>, United Kingdom</w:t>
      </w:r>
    </w:p>
  </w:footnote>
  <w:footnote w:id="5">
    <w:p w14:paraId="54B60EE5" w14:textId="6783AAAD" w:rsidR="002A6BFC" w:rsidRPr="009A365C" w:rsidRDefault="002A6BFC" w:rsidP="002A6BFC">
      <w:pPr>
        <w:pStyle w:val="SECEDFootnote"/>
      </w:pPr>
      <w:r w:rsidRPr="007E4F8D">
        <w:rPr>
          <w:vertAlign w:val="superscript"/>
        </w:rPr>
        <w:footnoteRef/>
      </w:r>
      <w:r w:rsidRPr="001E5763">
        <w:t xml:space="preserve"> </w:t>
      </w:r>
      <w:r>
        <w:t>Assistant Professor, Syiah Kuala University, Banda Aceh, Indonesia</w:t>
      </w:r>
    </w:p>
  </w:footnote>
  <w:footnote w:id="6">
    <w:p w14:paraId="3EE4FAE9" w14:textId="7F59BA9A" w:rsidR="002A6BFC" w:rsidRPr="009A365C" w:rsidRDefault="002A6BFC" w:rsidP="002A6BFC">
      <w:pPr>
        <w:pStyle w:val="SECEDFootnote"/>
      </w:pPr>
      <w:r w:rsidRPr="007E4F8D">
        <w:rPr>
          <w:vertAlign w:val="superscript"/>
        </w:rPr>
        <w:footnoteRef/>
      </w:r>
      <w:r w:rsidRPr="001E5763">
        <w:t xml:space="preserve"> </w:t>
      </w:r>
      <w:r>
        <w:t>Assistant Professor, Syiah Kuala University, Banda Aceh, Indonesia</w:t>
      </w:r>
    </w:p>
  </w:footnote>
  <w:footnote w:id="7">
    <w:p w14:paraId="6FAA9C41" w14:textId="271B8D24" w:rsidR="002A6BFC" w:rsidRPr="009A365C" w:rsidRDefault="002A6BFC" w:rsidP="002A6BFC">
      <w:pPr>
        <w:pStyle w:val="SECEDFootnote"/>
      </w:pPr>
      <w:r w:rsidRPr="007E4F8D">
        <w:rPr>
          <w:vertAlign w:val="superscript"/>
        </w:rPr>
        <w:footnoteRef/>
      </w:r>
      <w:r w:rsidRPr="001E5763">
        <w:t xml:space="preserve"> </w:t>
      </w:r>
      <w:r>
        <w:t>Researcher, Syiah Kuala University, Banda Aceh, Indonesia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83C95" w14:textId="6FDCA030" w:rsidR="00595BB4" w:rsidRPr="00145486" w:rsidRDefault="00D23A74" w:rsidP="00B43F20">
    <w:pPr>
      <w:pStyle w:val="NoSpacing"/>
      <w:tabs>
        <w:tab w:val="left" w:pos="7088"/>
      </w:tabs>
      <w:jc w:val="both"/>
      <w:rPr>
        <w:rFonts w:ascii="Times New Roman" w:hAnsi="Times New Roman"/>
      </w:rPr>
    </w:pPr>
    <w:r>
      <w:rPr>
        <w:rFonts w:ascii="Times New Roman" w:hAnsi="Times New Roman"/>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B4355B"/>
    <w:multiLevelType w:val="hybridMultilevel"/>
    <w:tmpl w:val="3432E56C"/>
    <w:lvl w:ilvl="0" w:tplc="CE6A4156">
      <w:start w:val="1"/>
      <w:numFmt w:val="bullet"/>
      <w:lvlText w:val="•"/>
      <w:lvlJc w:val="left"/>
      <w:pPr>
        <w:tabs>
          <w:tab w:val="num" w:pos="425"/>
        </w:tabs>
        <w:ind w:left="425" w:hanging="425"/>
      </w:pPr>
      <w:rPr>
        <w:rFonts w:ascii="Times New Roman" w:hAnsi="Times New Roman" w:hint="default"/>
        <w:color w:val="auto"/>
        <w:sz w:val="2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5B70DE"/>
    <w:multiLevelType w:val="hybridMultilevel"/>
    <w:tmpl w:val="9C4460F4"/>
    <w:lvl w:ilvl="0" w:tplc="D3DC2BE2">
      <w:start w:val="1"/>
      <w:numFmt w:val="decimal"/>
      <w:lvlText w:val="%1."/>
      <w:lvlJc w:val="left"/>
      <w:pPr>
        <w:ind w:left="567" w:hanging="567"/>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E77DDA"/>
    <w:multiLevelType w:val="hybridMultilevel"/>
    <w:tmpl w:val="CDBC3B28"/>
    <w:lvl w:ilvl="0" w:tplc="15665BEE">
      <w:start w:val="1"/>
      <w:numFmt w:val="bullet"/>
      <w:lvlText w:val="•"/>
      <w:lvlJc w:val="left"/>
      <w:pPr>
        <w:tabs>
          <w:tab w:val="num" w:pos="454"/>
        </w:tabs>
        <w:ind w:left="454" w:hanging="397"/>
      </w:pPr>
      <w:rPr>
        <w:rFonts w:ascii="Calibri" w:hAnsi="Calibri" w:hint="default"/>
        <w:color w:val="682797"/>
        <w:sz w:val="24"/>
      </w:rPr>
    </w:lvl>
    <w:lvl w:ilvl="1" w:tplc="00030409" w:tentative="1">
      <w:start w:val="1"/>
      <w:numFmt w:val="bullet"/>
      <w:lvlText w:val="o"/>
      <w:lvlJc w:val="left"/>
      <w:pPr>
        <w:tabs>
          <w:tab w:val="num" w:pos="1440"/>
        </w:tabs>
        <w:ind w:left="1440" w:hanging="360"/>
      </w:pPr>
      <w:rPr>
        <w:rFonts w:ascii="Courier" w:hAnsi="Courier"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w:hAnsi="Courier"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w:hAnsi="Courier"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F0C2C0C"/>
    <w:multiLevelType w:val="hybridMultilevel"/>
    <w:tmpl w:val="166EC14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7EE5264"/>
    <w:multiLevelType w:val="hybridMultilevel"/>
    <w:tmpl w:val="B504EB26"/>
    <w:lvl w:ilvl="0" w:tplc="C4A4986A">
      <w:start w:val="1"/>
      <w:numFmt w:val="bullet"/>
      <w:lvlText w:val="•"/>
      <w:lvlJc w:val="left"/>
      <w:pPr>
        <w:tabs>
          <w:tab w:val="num" w:pos="567"/>
        </w:tabs>
        <w:ind w:left="567" w:hanging="425"/>
      </w:pPr>
      <w:rPr>
        <w:rFonts w:ascii="Times New Roman" w:hAnsi="Times New Roman" w:hint="default"/>
        <w:color w:val="00605E"/>
        <w:sz w:val="22"/>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82D58B5"/>
    <w:multiLevelType w:val="hybridMultilevel"/>
    <w:tmpl w:val="E4CE43E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0A0FA3"/>
    <w:multiLevelType w:val="hybridMultilevel"/>
    <w:tmpl w:val="8BB88766"/>
    <w:lvl w:ilvl="0" w:tplc="0A68EE00">
      <w:start w:val="1"/>
      <w:numFmt w:val="bullet"/>
      <w:lvlText w:val="•"/>
      <w:lvlJc w:val="left"/>
      <w:pPr>
        <w:tabs>
          <w:tab w:val="num" w:pos="425"/>
        </w:tabs>
        <w:ind w:left="425" w:hanging="283"/>
      </w:pPr>
      <w:rPr>
        <w:rFonts w:ascii="Arial" w:hAnsi="Arial" w:hint="default"/>
        <w:color w:val="auto"/>
        <w:sz w:val="18"/>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5D1D0C"/>
    <w:multiLevelType w:val="multilevel"/>
    <w:tmpl w:val="4186389E"/>
    <w:lvl w:ilvl="0">
      <w:start w:val="1"/>
      <w:numFmt w:val="bullet"/>
      <w:lvlText w:val=""/>
      <w:lvlJc w:val="left"/>
      <w:pPr>
        <w:ind w:left="851" w:hanging="284"/>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2C4119D"/>
    <w:multiLevelType w:val="hybridMultilevel"/>
    <w:tmpl w:val="D5C6B87E"/>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E0DDA"/>
    <w:multiLevelType w:val="hybridMultilevel"/>
    <w:tmpl w:val="3E0A7C2E"/>
    <w:lvl w:ilvl="0" w:tplc="D9FCCAA0">
      <w:start w:val="1"/>
      <w:numFmt w:val="bullet"/>
      <w:lvlText w:val="•"/>
      <w:lvlJc w:val="left"/>
      <w:pPr>
        <w:tabs>
          <w:tab w:val="num" w:pos="1134"/>
        </w:tabs>
        <w:ind w:left="1134" w:hanging="425"/>
      </w:pPr>
      <w:rPr>
        <w:rFonts w:ascii="Arial" w:hAnsi="Arial" w:hint="default"/>
        <w:color w:val="auto"/>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B1666C"/>
    <w:multiLevelType w:val="hybridMultilevel"/>
    <w:tmpl w:val="FC2A70E6"/>
    <w:lvl w:ilvl="0" w:tplc="E3B0F266">
      <w:start w:val="1"/>
      <w:numFmt w:val="bullet"/>
      <w:lvlText w:val="•"/>
      <w:lvlJc w:val="left"/>
      <w:pPr>
        <w:tabs>
          <w:tab w:val="num" w:pos="454"/>
        </w:tabs>
        <w:ind w:left="454" w:hanging="397"/>
      </w:pPr>
      <w:rPr>
        <w:rFonts w:ascii="Calibri" w:hAnsi="Calibri" w:hint="default"/>
        <w:color w:val="682797"/>
        <w:sz w:val="24"/>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6A641E"/>
    <w:multiLevelType w:val="multilevel"/>
    <w:tmpl w:val="AA8E8E58"/>
    <w:lvl w:ilvl="0">
      <w:start w:val="1"/>
      <w:numFmt w:val="decimal"/>
      <w:lvlText w:val="%1."/>
      <w:lvlJc w:val="left"/>
      <w:pPr>
        <w:ind w:left="567" w:hanging="567"/>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4050A24"/>
    <w:multiLevelType w:val="hybridMultilevel"/>
    <w:tmpl w:val="4BBAB414"/>
    <w:lvl w:ilvl="0" w:tplc="45D21366">
      <w:start w:val="1"/>
      <w:numFmt w:val="decimal"/>
      <w:pStyle w:val="SECEDListnumbers"/>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137ED3"/>
    <w:multiLevelType w:val="hybridMultilevel"/>
    <w:tmpl w:val="B9B257AC"/>
    <w:lvl w:ilvl="0" w:tplc="B394B500">
      <w:start w:val="1"/>
      <w:numFmt w:val="decimal"/>
      <w:lvlText w:val="T%1"/>
      <w:lvlJc w:val="center"/>
      <w:pPr>
        <w:tabs>
          <w:tab w:val="num" w:pos="170"/>
        </w:tabs>
        <w:ind w:left="0" w:firstLine="0"/>
      </w:pPr>
      <w:rPr>
        <w:rFonts w:ascii="Calibri" w:hAnsi="Calibri" w:hint="default"/>
        <w:b/>
        <w:i w:val="0"/>
        <w:sz w:val="22"/>
      </w:rPr>
    </w:lvl>
    <w:lvl w:ilvl="1" w:tplc="00190809">
      <w:start w:val="1"/>
      <w:numFmt w:val="bullet"/>
      <w:lvlText w:val="•"/>
      <w:lvlJc w:val="left"/>
      <w:pPr>
        <w:tabs>
          <w:tab w:val="num" w:pos="1505"/>
        </w:tabs>
        <w:ind w:left="1505" w:hanging="425"/>
      </w:pPr>
      <w:rPr>
        <w:rFonts w:ascii="Arial" w:hAnsi="Arial" w:hint="default"/>
        <w:b/>
        <w:i w:val="0"/>
        <w:color w:val="auto"/>
        <w:sz w:val="24"/>
      </w:rPr>
    </w:lvl>
    <w:lvl w:ilvl="2" w:tplc="001B0809" w:tentative="1">
      <w:start w:val="1"/>
      <w:numFmt w:val="lowerRoman"/>
      <w:lvlText w:val="%3."/>
      <w:lvlJc w:val="right"/>
      <w:pPr>
        <w:tabs>
          <w:tab w:val="num" w:pos="2160"/>
        </w:tabs>
        <w:ind w:left="2160" w:hanging="180"/>
      </w:pPr>
    </w:lvl>
    <w:lvl w:ilvl="3" w:tplc="000F0809" w:tentative="1">
      <w:start w:val="1"/>
      <w:numFmt w:val="decimal"/>
      <w:lvlText w:val="%4."/>
      <w:lvlJc w:val="left"/>
      <w:pPr>
        <w:tabs>
          <w:tab w:val="num" w:pos="2880"/>
        </w:tabs>
        <w:ind w:left="2880" w:hanging="360"/>
      </w:pPr>
    </w:lvl>
    <w:lvl w:ilvl="4" w:tplc="00190809" w:tentative="1">
      <w:start w:val="1"/>
      <w:numFmt w:val="lowerLetter"/>
      <w:lvlText w:val="%5."/>
      <w:lvlJc w:val="left"/>
      <w:pPr>
        <w:tabs>
          <w:tab w:val="num" w:pos="3600"/>
        </w:tabs>
        <w:ind w:left="3600" w:hanging="360"/>
      </w:pPr>
    </w:lvl>
    <w:lvl w:ilvl="5" w:tplc="001B0809" w:tentative="1">
      <w:start w:val="1"/>
      <w:numFmt w:val="lowerRoman"/>
      <w:lvlText w:val="%6."/>
      <w:lvlJc w:val="right"/>
      <w:pPr>
        <w:tabs>
          <w:tab w:val="num" w:pos="4320"/>
        </w:tabs>
        <w:ind w:left="4320" w:hanging="180"/>
      </w:pPr>
    </w:lvl>
    <w:lvl w:ilvl="6" w:tplc="000F0809" w:tentative="1">
      <w:start w:val="1"/>
      <w:numFmt w:val="decimal"/>
      <w:lvlText w:val="%7."/>
      <w:lvlJc w:val="left"/>
      <w:pPr>
        <w:tabs>
          <w:tab w:val="num" w:pos="5040"/>
        </w:tabs>
        <w:ind w:left="5040" w:hanging="360"/>
      </w:pPr>
    </w:lvl>
    <w:lvl w:ilvl="7" w:tplc="00190809" w:tentative="1">
      <w:start w:val="1"/>
      <w:numFmt w:val="lowerLetter"/>
      <w:lvlText w:val="%8."/>
      <w:lvlJc w:val="left"/>
      <w:pPr>
        <w:tabs>
          <w:tab w:val="num" w:pos="5760"/>
        </w:tabs>
        <w:ind w:left="5760" w:hanging="360"/>
      </w:pPr>
    </w:lvl>
    <w:lvl w:ilvl="8" w:tplc="001B0809" w:tentative="1">
      <w:start w:val="1"/>
      <w:numFmt w:val="lowerRoman"/>
      <w:lvlText w:val="%9."/>
      <w:lvlJc w:val="right"/>
      <w:pPr>
        <w:tabs>
          <w:tab w:val="num" w:pos="6480"/>
        </w:tabs>
        <w:ind w:left="6480" w:hanging="180"/>
      </w:pPr>
    </w:lvl>
  </w:abstractNum>
  <w:abstractNum w:abstractNumId="14" w15:restartNumberingAfterBreak="0">
    <w:nsid w:val="5AF40019"/>
    <w:multiLevelType w:val="multilevel"/>
    <w:tmpl w:val="D1CC2D00"/>
    <w:lvl w:ilvl="0">
      <w:start w:val="1"/>
      <w:numFmt w:val="decimal"/>
      <w:lvlText w:val="%1."/>
      <w:lvlJc w:val="left"/>
      <w:pPr>
        <w:ind w:left="567" w:hanging="567"/>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BC31337"/>
    <w:multiLevelType w:val="hybridMultilevel"/>
    <w:tmpl w:val="D6609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A9161A"/>
    <w:multiLevelType w:val="hybridMultilevel"/>
    <w:tmpl w:val="0E6480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2DA58DD"/>
    <w:multiLevelType w:val="hybridMultilevel"/>
    <w:tmpl w:val="FEB4E8C8"/>
    <w:lvl w:ilvl="0" w:tplc="D3DC2BE2">
      <w:start w:val="1"/>
      <w:numFmt w:val="decimal"/>
      <w:lvlText w:val="%1."/>
      <w:lvlJc w:val="left"/>
      <w:pPr>
        <w:ind w:left="567" w:hanging="567"/>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32F2F08"/>
    <w:multiLevelType w:val="hybridMultilevel"/>
    <w:tmpl w:val="0638CEDA"/>
    <w:lvl w:ilvl="0" w:tplc="0C721A72">
      <w:start w:val="1"/>
      <w:numFmt w:val="bullet"/>
      <w:lvlText w:val=""/>
      <w:lvlJc w:val="left"/>
      <w:pPr>
        <w:tabs>
          <w:tab w:val="num" w:pos="567"/>
        </w:tabs>
        <w:ind w:left="567" w:hanging="425"/>
      </w:pPr>
      <w:rPr>
        <w:rFonts w:ascii="Wingdings" w:hAnsi="Wingdings" w:hint="default"/>
        <w:b w:val="0"/>
        <w:i w:val="0"/>
        <w:color w:val="F1AD49"/>
        <w:sz w:val="20"/>
        <w:vertAlign w:val="baseline"/>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73200EB"/>
    <w:multiLevelType w:val="hybridMultilevel"/>
    <w:tmpl w:val="45C06D78"/>
    <w:lvl w:ilvl="0" w:tplc="D3DC2BE2">
      <w:start w:val="1"/>
      <w:numFmt w:val="decimal"/>
      <w:lvlText w:val="%1."/>
      <w:lvlJc w:val="left"/>
      <w:pPr>
        <w:ind w:left="567" w:hanging="567"/>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DFC113C"/>
    <w:multiLevelType w:val="hybridMultilevel"/>
    <w:tmpl w:val="BA3AE8B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EE27823"/>
    <w:multiLevelType w:val="hybridMultilevel"/>
    <w:tmpl w:val="26AE3EA6"/>
    <w:lvl w:ilvl="0" w:tplc="27A40BC0">
      <w:start w:val="1"/>
      <w:numFmt w:val="bullet"/>
      <w:pStyle w:val="SECEDBullets"/>
      <w:lvlText w:val=""/>
      <w:lvlJc w:val="left"/>
      <w:pPr>
        <w:ind w:left="709"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7431181">
    <w:abstractNumId w:val="0"/>
  </w:num>
  <w:num w:numId="2" w16cid:durableId="291249927">
    <w:abstractNumId w:val="4"/>
  </w:num>
  <w:num w:numId="3" w16cid:durableId="125046002">
    <w:abstractNumId w:val="4"/>
  </w:num>
  <w:num w:numId="4" w16cid:durableId="1486051227">
    <w:abstractNumId w:val="4"/>
  </w:num>
  <w:num w:numId="5" w16cid:durableId="751005424">
    <w:abstractNumId w:val="9"/>
  </w:num>
  <w:num w:numId="6" w16cid:durableId="461194495">
    <w:abstractNumId w:val="6"/>
  </w:num>
  <w:num w:numId="7" w16cid:durableId="650326162">
    <w:abstractNumId w:val="4"/>
  </w:num>
  <w:num w:numId="8" w16cid:durableId="1319729506">
    <w:abstractNumId w:val="2"/>
  </w:num>
  <w:num w:numId="9" w16cid:durableId="555438243">
    <w:abstractNumId w:val="10"/>
  </w:num>
  <w:num w:numId="10" w16cid:durableId="1629504604">
    <w:abstractNumId w:val="10"/>
  </w:num>
  <w:num w:numId="11" w16cid:durableId="1861044122">
    <w:abstractNumId w:val="10"/>
  </w:num>
  <w:num w:numId="12" w16cid:durableId="545146715">
    <w:abstractNumId w:val="2"/>
  </w:num>
  <w:num w:numId="13" w16cid:durableId="396443430">
    <w:abstractNumId w:val="10"/>
  </w:num>
  <w:num w:numId="14" w16cid:durableId="911617341">
    <w:abstractNumId w:val="2"/>
  </w:num>
  <w:num w:numId="15" w16cid:durableId="1083717443">
    <w:abstractNumId w:val="10"/>
  </w:num>
  <w:num w:numId="16" w16cid:durableId="1924560789">
    <w:abstractNumId w:val="2"/>
  </w:num>
  <w:num w:numId="17" w16cid:durableId="264458837">
    <w:abstractNumId w:val="10"/>
  </w:num>
  <w:num w:numId="18" w16cid:durableId="1652102311">
    <w:abstractNumId w:val="2"/>
  </w:num>
  <w:num w:numId="19" w16cid:durableId="822090387">
    <w:abstractNumId w:val="10"/>
  </w:num>
  <w:num w:numId="20" w16cid:durableId="1214149176">
    <w:abstractNumId w:val="18"/>
  </w:num>
  <w:num w:numId="21" w16cid:durableId="1551766370">
    <w:abstractNumId w:val="6"/>
  </w:num>
  <w:num w:numId="22" w16cid:durableId="855770846">
    <w:abstractNumId w:val="13"/>
  </w:num>
  <w:num w:numId="23" w16cid:durableId="990718968">
    <w:abstractNumId w:val="6"/>
  </w:num>
  <w:num w:numId="24" w16cid:durableId="2033608444">
    <w:abstractNumId w:val="21"/>
  </w:num>
  <w:num w:numId="25" w16cid:durableId="1791119637">
    <w:abstractNumId w:val="7"/>
  </w:num>
  <w:num w:numId="26" w16cid:durableId="1559243309">
    <w:abstractNumId w:val="19"/>
  </w:num>
  <w:num w:numId="27" w16cid:durableId="221215833">
    <w:abstractNumId w:val="14"/>
  </w:num>
  <w:num w:numId="28" w16cid:durableId="696196366">
    <w:abstractNumId w:val="17"/>
  </w:num>
  <w:num w:numId="29" w16cid:durableId="1596670021">
    <w:abstractNumId w:val="11"/>
  </w:num>
  <w:num w:numId="30" w16cid:durableId="263270063">
    <w:abstractNumId w:val="1"/>
  </w:num>
  <w:num w:numId="31" w16cid:durableId="1779133211">
    <w:abstractNumId w:val="16"/>
  </w:num>
  <w:num w:numId="32" w16cid:durableId="272789060">
    <w:abstractNumId w:val="8"/>
  </w:num>
  <w:num w:numId="33" w16cid:durableId="1612972711">
    <w:abstractNumId w:val="3"/>
  </w:num>
  <w:num w:numId="34" w16cid:durableId="2013557373">
    <w:abstractNumId w:val="5"/>
  </w:num>
  <w:num w:numId="35" w16cid:durableId="1132208133">
    <w:abstractNumId w:val="20"/>
  </w:num>
  <w:num w:numId="36" w16cid:durableId="1809128706">
    <w:abstractNumId w:val="12"/>
  </w:num>
  <w:num w:numId="37" w16cid:durableId="44049462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A04"/>
    <w:rsid w:val="00002CAA"/>
    <w:rsid w:val="000038D9"/>
    <w:rsid w:val="00005DF5"/>
    <w:rsid w:val="00007FC9"/>
    <w:rsid w:val="00015F77"/>
    <w:rsid w:val="00025F6F"/>
    <w:rsid w:val="00032A3C"/>
    <w:rsid w:val="000332FB"/>
    <w:rsid w:val="00035055"/>
    <w:rsid w:val="000378B0"/>
    <w:rsid w:val="00062299"/>
    <w:rsid w:val="00062E4C"/>
    <w:rsid w:val="0006383E"/>
    <w:rsid w:val="000702D7"/>
    <w:rsid w:val="000801A5"/>
    <w:rsid w:val="00085916"/>
    <w:rsid w:val="000901E8"/>
    <w:rsid w:val="000911EF"/>
    <w:rsid w:val="0009538E"/>
    <w:rsid w:val="000A071B"/>
    <w:rsid w:val="000A468D"/>
    <w:rsid w:val="000A6C66"/>
    <w:rsid w:val="000B3A39"/>
    <w:rsid w:val="000B3A7E"/>
    <w:rsid w:val="000B5B64"/>
    <w:rsid w:val="000C0D72"/>
    <w:rsid w:val="000C4549"/>
    <w:rsid w:val="000C53A9"/>
    <w:rsid w:val="000D0F01"/>
    <w:rsid w:val="000D20D1"/>
    <w:rsid w:val="000D5351"/>
    <w:rsid w:val="000E1D6F"/>
    <w:rsid w:val="000E6604"/>
    <w:rsid w:val="000E7098"/>
    <w:rsid w:val="000F7754"/>
    <w:rsid w:val="0011159D"/>
    <w:rsid w:val="001147B4"/>
    <w:rsid w:val="00115E88"/>
    <w:rsid w:val="0011727E"/>
    <w:rsid w:val="00117939"/>
    <w:rsid w:val="00122C6B"/>
    <w:rsid w:val="00123CF3"/>
    <w:rsid w:val="00142F44"/>
    <w:rsid w:val="00144B7B"/>
    <w:rsid w:val="00145486"/>
    <w:rsid w:val="001454C2"/>
    <w:rsid w:val="001456F5"/>
    <w:rsid w:val="001476EB"/>
    <w:rsid w:val="00155CCA"/>
    <w:rsid w:val="00156218"/>
    <w:rsid w:val="00160084"/>
    <w:rsid w:val="00165816"/>
    <w:rsid w:val="00170165"/>
    <w:rsid w:val="0018272E"/>
    <w:rsid w:val="001864C7"/>
    <w:rsid w:val="00190A86"/>
    <w:rsid w:val="00190E86"/>
    <w:rsid w:val="00193800"/>
    <w:rsid w:val="001A04FE"/>
    <w:rsid w:val="001A6CD4"/>
    <w:rsid w:val="001B04E0"/>
    <w:rsid w:val="001B0F26"/>
    <w:rsid w:val="001C3EBC"/>
    <w:rsid w:val="001C7C4C"/>
    <w:rsid w:val="001D0758"/>
    <w:rsid w:val="001E2DBB"/>
    <w:rsid w:val="001E5F21"/>
    <w:rsid w:val="001F49D2"/>
    <w:rsid w:val="00201221"/>
    <w:rsid w:val="00203C01"/>
    <w:rsid w:val="002040FD"/>
    <w:rsid w:val="00210FE0"/>
    <w:rsid w:val="00217550"/>
    <w:rsid w:val="0022083F"/>
    <w:rsid w:val="00222BF4"/>
    <w:rsid w:val="00227CEA"/>
    <w:rsid w:val="00227FD6"/>
    <w:rsid w:val="00227FF3"/>
    <w:rsid w:val="00231668"/>
    <w:rsid w:val="002355EF"/>
    <w:rsid w:val="002356CF"/>
    <w:rsid w:val="00237B42"/>
    <w:rsid w:val="0024525D"/>
    <w:rsid w:val="00246F06"/>
    <w:rsid w:val="002707A3"/>
    <w:rsid w:val="002A0B30"/>
    <w:rsid w:val="002A2005"/>
    <w:rsid w:val="002A34E7"/>
    <w:rsid w:val="002A6BFC"/>
    <w:rsid w:val="002A7D67"/>
    <w:rsid w:val="002A7E38"/>
    <w:rsid w:val="002B7205"/>
    <w:rsid w:val="002C1481"/>
    <w:rsid w:val="002D54B9"/>
    <w:rsid w:val="002D589D"/>
    <w:rsid w:val="002E0355"/>
    <w:rsid w:val="002E7701"/>
    <w:rsid w:val="002F2428"/>
    <w:rsid w:val="002F4106"/>
    <w:rsid w:val="002F4B78"/>
    <w:rsid w:val="002F6B58"/>
    <w:rsid w:val="00304811"/>
    <w:rsid w:val="003102D9"/>
    <w:rsid w:val="00315BC3"/>
    <w:rsid w:val="00316098"/>
    <w:rsid w:val="00316CAB"/>
    <w:rsid w:val="00324532"/>
    <w:rsid w:val="0032537B"/>
    <w:rsid w:val="00326479"/>
    <w:rsid w:val="00327F6A"/>
    <w:rsid w:val="00330CD2"/>
    <w:rsid w:val="00336E59"/>
    <w:rsid w:val="0034361C"/>
    <w:rsid w:val="003462A2"/>
    <w:rsid w:val="003479FB"/>
    <w:rsid w:val="00353A14"/>
    <w:rsid w:val="00356CC2"/>
    <w:rsid w:val="0036687D"/>
    <w:rsid w:val="00366927"/>
    <w:rsid w:val="0036766C"/>
    <w:rsid w:val="003706E4"/>
    <w:rsid w:val="0037156F"/>
    <w:rsid w:val="003738D2"/>
    <w:rsid w:val="003746A4"/>
    <w:rsid w:val="0038000B"/>
    <w:rsid w:val="00383DC9"/>
    <w:rsid w:val="0039472A"/>
    <w:rsid w:val="003A1D15"/>
    <w:rsid w:val="003A49DA"/>
    <w:rsid w:val="003B1E14"/>
    <w:rsid w:val="003B2ABF"/>
    <w:rsid w:val="003B3467"/>
    <w:rsid w:val="003B6ACA"/>
    <w:rsid w:val="003B6EE0"/>
    <w:rsid w:val="003B7553"/>
    <w:rsid w:val="003B78F7"/>
    <w:rsid w:val="003C086E"/>
    <w:rsid w:val="003C08CF"/>
    <w:rsid w:val="003E3575"/>
    <w:rsid w:val="003E7CD8"/>
    <w:rsid w:val="003E7DCA"/>
    <w:rsid w:val="003F2423"/>
    <w:rsid w:val="003F7F97"/>
    <w:rsid w:val="0040278C"/>
    <w:rsid w:val="00405620"/>
    <w:rsid w:val="00412176"/>
    <w:rsid w:val="00413D18"/>
    <w:rsid w:val="00420C0C"/>
    <w:rsid w:val="00422061"/>
    <w:rsid w:val="00423283"/>
    <w:rsid w:val="00431865"/>
    <w:rsid w:val="00457446"/>
    <w:rsid w:val="00464902"/>
    <w:rsid w:val="00464A20"/>
    <w:rsid w:val="00472836"/>
    <w:rsid w:val="00474DA1"/>
    <w:rsid w:val="004778B6"/>
    <w:rsid w:val="0048198B"/>
    <w:rsid w:val="004A2B53"/>
    <w:rsid w:val="004B319E"/>
    <w:rsid w:val="004B3E6A"/>
    <w:rsid w:val="004B656F"/>
    <w:rsid w:val="004C0D1B"/>
    <w:rsid w:val="004C2A70"/>
    <w:rsid w:val="004D019D"/>
    <w:rsid w:val="004D193A"/>
    <w:rsid w:val="004D3AAC"/>
    <w:rsid w:val="004D6901"/>
    <w:rsid w:val="004F04D1"/>
    <w:rsid w:val="004F26D9"/>
    <w:rsid w:val="004F3B67"/>
    <w:rsid w:val="004F5B4D"/>
    <w:rsid w:val="005006CC"/>
    <w:rsid w:val="0050199C"/>
    <w:rsid w:val="00503159"/>
    <w:rsid w:val="00504B9D"/>
    <w:rsid w:val="005071AD"/>
    <w:rsid w:val="005115A8"/>
    <w:rsid w:val="005130A1"/>
    <w:rsid w:val="005145EC"/>
    <w:rsid w:val="00515D23"/>
    <w:rsid w:val="00515DC1"/>
    <w:rsid w:val="00522E31"/>
    <w:rsid w:val="00524820"/>
    <w:rsid w:val="005248FA"/>
    <w:rsid w:val="00524966"/>
    <w:rsid w:val="00530CEC"/>
    <w:rsid w:val="00534C5D"/>
    <w:rsid w:val="00537BA1"/>
    <w:rsid w:val="005413A2"/>
    <w:rsid w:val="00547D01"/>
    <w:rsid w:val="00550F8A"/>
    <w:rsid w:val="005513F6"/>
    <w:rsid w:val="00556F37"/>
    <w:rsid w:val="00561B7D"/>
    <w:rsid w:val="0056358C"/>
    <w:rsid w:val="00571A41"/>
    <w:rsid w:val="005767C3"/>
    <w:rsid w:val="005774E2"/>
    <w:rsid w:val="00581743"/>
    <w:rsid w:val="005836EF"/>
    <w:rsid w:val="005874EF"/>
    <w:rsid w:val="00592508"/>
    <w:rsid w:val="00595BB4"/>
    <w:rsid w:val="00597502"/>
    <w:rsid w:val="005A41CC"/>
    <w:rsid w:val="005B04CB"/>
    <w:rsid w:val="005C279A"/>
    <w:rsid w:val="005C58E9"/>
    <w:rsid w:val="005D1209"/>
    <w:rsid w:val="005D4765"/>
    <w:rsid w:val="005D746B"/>
    <w:rsid w:val="005E316B"/>
    <w:rsid w:val="005E7F82"/>
    <w:rsid w:val="00600B36"/>
    <w:rsid w:val="00604550"/>
    <w:rsid w:val="00604900"/>
    <w:rsid w:val="006076DF"/>
    <w:rsid w:val="006110C1"/>
    <w:rsid w:val="006111EF"/>
    <w:rsid w:val="00614D19"/>
    <w:rsid w:val="00624EDB"/>
    <w:rsid w:val="00630AA6"/>
    <w:rsid w:val="00630B68"/>
    <w:rsid w:val="0063108E"/>
    <w:rsid w:val="006317EF"/>
    <w:rsid w:val="006424FC"/>
    <w:rsid w:val="00643C22"/>
    <w:rsid w:val="006447D6"/>
    <w:rsid w:val="00644FB1"/>
    <w:rsid w:val="006462BC"/>
    <w:rsid w:val="00647D39"/>
    <w:rsid w:val="0065082A"/>
    <w:rsid w:val="00652AF5"/>
    <w:rsid w:val="00653163"/>
    <w:rsid w:val="00654154"/>
    <w:rsid w:val="0065759A"/>
    <w:rsid w:val="00663676"/>
    <w:rsid w:val="00664CE9"/>
    <w:rsid w:val="00664FCB"/>
    <w:rsid w:val="00681A07"/>
    <w:rsid w:val="0068339E"/>
    <w:rsid w:val="00683F9A"/>
    <w:rsid w:val="00685C81"/>
    <w:rsid w:val="0069113B"/>
    <w:rsid w:val="00694862"/>
    <w:rsid w:val="00694A3C"/>
    <w:rsid w:val="006A00B8"/>
    <w:rsid w:val="006A30C4"/>
    <w:rsid w:val="006A7985"/>
    <w:rsid w:val="006A7F91"/>
    <w:rsid w:val="006B011E"/>
    <w:rsid w:val="006B044E"/>
    <w:rsid w:val="006B4C40"/>
    <w:rsid w:val="006B5017"/>
    <w:rsid w:val="006B640C"/>
    <w:rsid w:val="006B6466"/>
    <w:rsid w:val="006C2060"/>
    <w:rsid w:val="006D1FB8"/>
    <w:rsid w:val="006D2816"/>
    <w:rsid w:val="006E1AB9"/>
    <w:rsid w:val="006E62DE"/>
    <w:rsid w:val="006F1B89"/>
    <w:rsid w:val="006F22AC"/>
    <w:rsid w:val="006F3717"/>
    <w:rsid w:val="00714C07"/>
    <w:rsid w:val="00717ED7"/>
    <w:rsid w:val="007200FE"/>
    <w:rsid w:val="007203F2"/>
    <w:rsid w:val="00723FD6"/>
    <w:rsid w:val="00725FB3"/>
    <w:rsid w:val="00735476"/>
    <w:rsid w:val="007407FE"/>
    <w:rsid w:val="00741224"/>
    <w:rsid w:val="0074289A"/>
    <w:rsid w:val="00742F67"/>
    <w:rsid w:val="00747B54"/>
    <w:rsid w:val="00753524"/>
    <w:rsid w:val="00754F6B"/>
    <w:rsid w:val="0076262D"/>
    <w:rsid w:val="0077446E"/>
    <w:rsid w:val="007831F5"/>
    <w:rsid w:val="0078397F"/>
    <w:rsid w:val="00783B2B"/>
    <w:rsid w:val="00795CC4"/>
    <w:rsid w:val="007A517B"/>
    <w:rsid w:val="007A6C63"/>
    <w:rsid w:val="007B0412"/>
    <w:rsid w:val="007B2D7C"/>
    <w:rsid w:val="007B5755"/>
    <w:rsid w:val="007B5AF0"/>
    <w:rsid w:val="007B6344"/>
    <w:rsid w:val="007C0211"/>
    <w:rsid w:val="007C0B2B"/>
    <w:rsid w:val="007C25DF"/>
    <w:rsid w:val="007C5844"/>
    <w:rsid w:val="007C6CE9"/>
    <w:rsid w:val="007C7939"/>
    <w:rsid w:val="007D25FB"/>
    <w:rsid w:val="007E00A9"/>
    <w:rsid w:val="007E0D11"/>
    <w:rsid w:val="007E442A"/>
    <w:rsid w:val="007E4F8D"/>
    <w:rsid w:val="007F1ACD"/>
    <w:rsid w:val="007F46D2"/>
    <w:rsid w:val="007F4902"/>
    <w:rsid w:val="007F7DFF"/>
    <w:rsid w:val="00800BC1"/>
    <w:rsid w:val="00804B17"/>
    <w:rsid w:val="008060D1"/>
    <w:rsid w:val="00807301"/>
    <w:rsid w:val="00810B1E"/>
    <w:rsid w:val="008118DD"/>
    <w:rsid w:val="00814429"/>
    <w:rsid w:val="0081742A"/>
    <w:rsid w:val="00821F3B"/>
    <w:rsid w:val="008223DA"/>
    <w:rsid w:val="00827F43"/>
    <w:rsid w:val="00835E29"/>
    <w:rsid w:val="0083675B"/>
    <w:rsid w:val="00840908"/>
    <w:rsid w:val="00843BAE"/>
    <w:rsid w:val="00850D34"/>
    <w:rsid w:val="00851BA2"/>
    <w:rsid w:val="008549BC"/>
    <w:rsid w:val="00854DEC"/>
    <w:rsid w:val="00856A28"/>
    <w:rsid w:val="00862AAD"/>
    <w:rsid w:val="0087097D"/>
    <w:rsid w:val="00872EC8"/>
    <w:rsid w:val="00874B67"/>
    <w:rsid w:val="00875464"/>
    <w:rsid w:val="00881798"/>
    <w:rsid w:val="00883B12"/>
    <w:rsid w:val="00892129"/>
    <w:rsid w:val="008935EA"/>
    <w:rsid w:val="0089563A"/>
    <w:rsid w:val="00895D61"/>
    <w:rsid w:val="008A21B5"/>
    <w:rsid w:val="008A297F"/>
    <w:rsid w:val="008A52AA"/>
    <w:rsid w:val="008A5AD8"/>
    <w:rsid w:val="008A70BF"/>
    <w:rsid w:val="008C0F85"/>
    <w:rsid w:val="008C7823"/>
    <w:rsid w:val="008C7933"/>
    <w:rsid w:val="008D1A49"/>
    <w:rsid w:val="008D404F"/>
    <w:rsid w:val="008D435B"/>
    <w:rsid w:val="008D61C6"/>
    <w:rsid w:val="008D79F1"/>
    <w:rsid w:val="008D7ACF"/>
    <w:rsid w:val="008E065C"/>
    <w:rsid w:val="008E5058"/>
    <w:rsid w:val="008E6D37"/>
    <w:rsid w:val="008F594D"/>
    <w:rsid w:val="008F6BBE"/>
    <w:rsid w:val="008F7313"/>
    <w:rsid w:val="00901F6A"/>
    <w:rsid w:val="0090745D"/>
    <w:rsid w:val="00915CD3"/>
    <w:rsid w:val="00917917"/>
    <w:rsid w:val="00923932"/>
    <w:rsid w:val="0092711E"/>
    <w:rsid w:val="0093073F"/>
    <w:rsid w:val="00935F9F"/>
    <w:rsid w:val="0094330C"/>
    <w:rsid w:val="00943384"/>
    <w:rsid w:val="00943775"/>
    <w:rsid w:val="00946A7C"/>
    <w:rsid w:val="00953471"/>
    <w:rsid w:val="009540F9"/>
    <w:rsid w:val="00954FEE"/>
    <w:rsid w:val="0095610B"/>
    <w:rsid w:val="0095742A"/>
    <w:rsid w:val="0097193F"/>
    <w:rsid w:val="00976343"/>
    <w:rsid w:val="009776B3"/>
    <w:rsid w:val="0098053C"/>
    <w:rsid w:val="00981242"/>
    <w:rsid w:val="009837FD"/>
    <w:rsid w:val="00990489"/>
    <w:rsid w:val="009956B4"/>
    <w:rsid w:val="009A55E4"/>
    <w:rsid w:val="009B0DC7"/>
    <w:rsid w:val="009B2052"/>
    <w:rsid w:val="009B432C"/>
    <w:rsid w:val="009B44A0"/>
    <w:rsid w:val="009B60F6"/>
    <w:rsid w:val="009C0968"/>
    <w:rsid w:val="009C5F8D"/>
    <w:rsid w:val="009D26CD"/>
    <w:rsid w:val="009E2681"/>
    <w:rsid w:val="009F331B"/>
    <w:rsid w:val="009F3979"/>
    <w:rsid w:val="009F5068"/>
    <w:rsid w:val="009F681A"/>
    <w:rsid w:val="00A019B2"/>
    <w:rsid w:val="00A04812"/>
    <w:rsid w:val="00A0563A"/>
    <w:rsid w:val="00A10E3B"/>
    <w:rsid w:val="00A129B6"/>
    <w:rsid w:val="00A21E5E"/>
    <w:rsid w:val="00A22248"/>
    <w:rsid w:val="00A26519"/>
    <w:rsid w:val="00A43692"/>
    <w:rsid w:val="00A46452"/>
    <w:rsid w:val="00A52FD0"/>
    <w:rsid w:val="00A70238"/>
    <w:rsid w:val="00A73710"/>
    <w:rsid w:val="00A7695C"/>
    <w:rsid w:val="00A83BDB"/>
    <w:rsid w:val="00A84C38"/>
    <w:rsid w:val="00A84E5D"/>
    <w:rsid w:val="00AA2255"/>
    <w:rsid w:val="00AA226B"/>
    <w:rsid w:val="00AA4BBB"/>
    <w:rsid w:val="00AB50EA"/>
    <w:rsid w:val="00AB53B3"/>
    <w:rsid w:val="00AC5BE8"/>
    <w:rsid w:val="00AC7608"/>
    <w:rsid w:val="00AE082B"/>
    <w:rsid w:val="00AE270A"/>
    <w:rsid w:val="00AF0AE5"/>
    <w:rsid w:val="00AF126A"/>
    <w:rsid w:val="00AF22F2"/>
    <w:rsid w:val="00B01A04"/>
    <w:rsid w:val="00B05821"/>
    <w:rsid w:val="00B11627"/>
    <w:rsid w:val="00B1172A"/>
    <w:rsid w:val="00B13FDC"/>
    <w:rsid w:val="00B25073"/>
    <w:rsid w:val="00B2655E"/>
    <w:rsid w:val="00B32BE2"/>
    <w:rsid w:val="00B32D0C"/>
    <w:rsid w:val="00B33C9E"/>
    <w:rsid w:val="00B3616C"/>
    <w:rsid w:val="00B367A3"/>
    <w:rsid w:val="00B377DA"/>
    <w:rsid w:val="00B37AED"/>
    <w:rsid w:val="00B43F20"/>
    <w:rsid w:val="00B455C3"/>
    <w:rsid w:val="00B51A65"/>
    <w:rsid w:val="00B5338D"/>
    <w:rsid w:val="00B53D51"/>
    <w:rsid w:val="00B54E13"/>
    <w:rsid w:val="00B56BE5"/>
    <w:rsid w:val="00B57221"/>
    <w:rsid w:val="00B573DB"/>
    <w:rsid w:val="00B61638"/>
    <w:rsid w:val="00B618E5"/>
    <w:rsid w:val="00B64374"/>
    <w:rsid w:val="00B64437"/>
    <w:rsid w:val="00B66D30"/>
    <w:rsid w:val="00B75507"/>
    <w:rsid w:val="00B820B9"/>
    <w:rsid w:val="00B879DB"/>
    <w:rsid w:val="00B93875"/>
    <w:rsid w:val="00B95064"/>
    <w:rsid w:val="00BA4916"/>
    <w:rsid w:val="00BA65DB"/>
    <w:rsid w:val="00BB3C10"/>
    <w:rsid w:val="00BC023B"/>
    <w:rsid w:val="00BC3CF5"/>
    <w:rsid w:val="00BC5C10"/>
    <w:rsid w:val="00BC7636"/>
    <w:rsid w:val="00BD1AD9"/>
    <w:rsid w:val="00BE1606"/>
    <w:rsid w:val="00BE468B"/>
    <w:rsid w:val="00BE64C0"/>
    <w:rsid w:val="00BF1318"/>
    <w:rsid w:val="00BF3C5B"/>
    <w:rsid w:val="00C008E6"/>
    <w:rsid w:val="00C03433"/>
    <w:rsid w:val="00C0639A"/>
    <w:rsid w:val="00C07625"/>
    <w:rsid w:val="00C17DE0"/>
    <w:rsid w:val="00C2156F"/>
    <w:rsid w:val="00C25512"/>
    <w:rsid w:val="00C3053D"/>
    <w:rsid w:val="00C3358B"/>
    <w:rsid w:val="00C4250B"/>
    <w:rsid w:val="00C425D5"/>
    <w:rsid w:val="00C53A34"/>
    <w:rsid w:val="00C563BC"/>
    <w:rsid w:val="00C6652E"/>
    <w:rsid w:val="00C66690"/>
    <w:rsid w:val="00C73115"/>
    <w:rsid w:val="00C73831"/>
    <w:rsid w:val="00C76E31"/>
    <w:rsid w:val="00C80A91"/>
    <w:rsid w:val="00C816EF"/>
    <w:rsid w:val="00C84668"/>
    <w:rsid w:val="00C97843"/>
    <w:rsid w:val="00CA36AB"/>
    <w:rsid w:val="00CA55FB"/>
    <w:rsid w:val="00CA5FD3"/>
    <w:rsid w:val="00CA6326"/>
    <w:rsid w:val="00CB17F7"/>
    <w:rsid w:val="00CB1EDE"/>
    <w:rsid w:val="00CB47C6"/>
    <w:rsid w:val="00CB488E"/>
    <w:rsid w:val="00CB7A04"/>
    <w:rsid w:val="00CC2BD4"/>
    <w:rsid w:val="00CC67F1"/>
    <w:rsid w:val="00CC7324"/>
    <w:rsid w:val="00CC7E1C"/>
    <w:rsid w:val="00CD4445"/>
    <w:rsid w:val="00CD5171"/>
    <w:rsid w:val="00CF1A51"/>
    <w:rsid w:val="00D0326C"/>
    <w:rsid w:val="00D139E9"/>
    <w:rsid w:val="00D13EC9"/>
    <w:rsid w:val="00D13ED3"/>
    <w:rsid w:val="00D23A74"/>
    <w:rsid w:val="00D24F1D"/>
    <w:rsid w:val="00D307C2"/>
    <w:rsid w:val="00D30DB4"/>
    <w:rsid w:val="00D3202C"/>
    <w:rsid w:val="00D37D5A"/>
    <w:rsid w:val="00D44545"/>
    <w:rsid w:val="00D46C1B"/>
    <w:rsid w:val="00D47450"/>
    <w:rsid w:val="00D5165E"/>
    <w:rsid w:val="00D551D3"/>
    <w:rsid w:val="00D62A58"/>
    <w:rsid w:val="00D64220"/>
    <w:rsid w:val="00D64C80"/>
    <w:rsid w:val="00D744D6"/>
    <w:rsid w:val="00D804F1"/>
    <w:rsid w:val="00D82138"/>
    <w:rsid w:val="00D876BE"/>
    <w:rsid w:val="00D97166"/>
    <w:rsid w:val="00DA1768"/>
    <w:rsid w:val="00DA7063"/>
    <w:rsid w:val="00DB4FB6"/>
    <w:rsid w:val="00DB6022"/>
    <w:rsid w:val="00DC4B57"/>
    <w:rsid w:val="00DD44F0"/>
    <w:rsid w:val="00DE1404"/>
    <w:rsid w:val="00DE57A0"/>
    <w:rsid w:val="00DE63D4"/>
    <w:rsid w:val="00DF0650"/>
    <w:rsid w:val="00DF2627"/>
    <w:rsid w:val="00DF69DB"/>
    <w:rsid w:val="00E01703"/>
    <w:rsid w:val="00E02DD6"/>
    <w:rsid w:val="00E131C2"/>
    <w:rsid w:val="00E17052"/>
    <w:rsid w:val="00E25B2D"/>
    <w:rsid w:val="00E271C6"/>
    <w:rsid w:val="00E36551"/>
    <w:rsid w:val="00E43A51"/>
    <w:rsid w:val="00E4420E"/>
    <w:rsid w:val="00E46DCB"/>
    <w:rsid w:val="00E60984"/>
    <w:rsid w:val="00E66992"/>
    <w:rsid w:val="00E77AF5"/>
    <w:rsid w:val="00E83994"/>
    <w:rsid w:val="00E84321"/>
    <w:rsid w:val="00E8623A"/>
    <w:rsid w:val="00EA16E9"/>
    <w:rsid w:val="00EA6015"/>
    <w:rsid w:val="00EC1823"/>
    <w:rsid w:val="00EC1DDD"/>
    <w:rsid w:val="00EC4D90"/>
    <w:rsid w:val="00ED5F37"/>
    <w:rsid w:val="00ED7461"/>
    <w:rsid w:val="00EE2D23"/>
    <w:rsid w:val="00EE5622"/>
    <w:rsid w:val="00EE72FF"/>
    <w:rsid w:val="00EF2FB5"/>
    <w:rsid w:val="00EF5623"/>
    <w:rsid w:val="00EF5663"/>
    <w:rsid w:val="00EF7357"/>
    <w:rsid w:val="00F00614"/>
    <w:rsid w:val="00F01E70"/>
    <w:rsid w:val="00F0714F"/>
    <w:rsid w:val="00F10293"/>
    <w:rsid w:val="00F13459"/>
    <w:rsid w:val="00F16733"/>
    <w:rsid w:val="00F17A5B"/>
    <w:rsid w:val="00F24127"/>
    <w:rsid w:val="00F45684"/>
    <w:rsid w:val="00F47A5C"/>
    <w:rsid w:val="00F47AE9"/>
    <w:rsid w:val="00F559A0"/>
    <w:rsid w:val="00F56717"/>
    <w:rsid w:val="00F6306D"/>
    <w:rsid w:val="00F666FC"/>
    <w:rsid w:val="00F6799A"/>
    <w:rsid w:val="00F71085"/>
    <w:rsid w:val="00F713CA"/>
    <w:rsid w:val="00F72750"/>
    <w:rsid w:val="00F82919"/>
    <w:rsid w:val="00F82D4F"/>
    <w:rsid w:val="00F84E25"/>
    <w:rsid w:val="00FA2353"/>
    <w:rsid w:val="00FA434F"/>
    <w:rsid w:val="00FA609F"/>
    <w:rsid w:val="00FA69A7"/>
    <w:rsid w:val="00FB3828"/>
    <w:rsid w:val="00FC1339"/>
    <w:rsid w:val="00FE2950"/>
    <w:rsid w:val="00FE586B"/>
    <w:rsid w:val="00FF2FC7"/>
    <w:rsid w:val="00FF4F18"/>
    <w:rsid w:val="00FF5B48"/>
    <w:rsid w:val="00FF77BF"/>
    <w:rsid w:val="00FF7E7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266C5E1"/>
  <w14:defaultImageDpi w14:val="300"/>
  <w15:docId w15:val="{D2BC057D-88FC-432D-A7F7-FB060D18C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sz w:val="22"/>
        <w:szCs w:val="22"/>
        <w:lang w:val="en-GB" w:eastAsia="ja-JP"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
    <w:rsid w:val="005071AD"/>
  </w:style>
  <w:style w:type="paragraph" w:styleId="Heading1">
    <w:name w:val="heading 1"/>
    <w:basedOn w:val="SECEDBodytext"/>
    <w:uiPriority w:val="2"/>
    <w:unhideWhenUsed/>
    <w:rsid w:val="00C53A34"/>
    <w:pPr>
      <w:keepNext/>
      <w:jc w:val="center"/>
      <w:outlineLvl w:val="0"/>
    </w:pPr>
    <w:rPr>
      <w:rFonts w:eastAsia="Calibri" w:cs="Arial"/>
      <w:b/>
      <w:bCs/>
      <w:sz w:val="28"/>
      <w:szCs w:val="28"/>
    </w:rPr>
  </w:style>
  <w:style w:type="paragraph" w:styleId="Heading2">
    <w:name w:val="heading 2"/>
    <w:basedOn w:val="Normal"/>
    <w:next w:val="Normal"/>
    <w:uiPriority w:val="2"/>
    <w:unhideWhenUsed/>
    <w:rsid w:val="000C07D5"/>
    <w:pPr>
      <w:keepNext/>
      <w:spacing w:after="120" w:line="264" w:lineRule="auto"/>
      <w:outlineLvl w:val="1"/>
    </w:pPr>
    <w:rPr>
      <w:rFonts w:ascii="Calibri" w:hAnsi="Calibri"/>
      <w:b/>
      <w:bCs/>
      <w:iCs/>
      <w:color w:val="00605E"/>
      <w:sz w:val="32"/>
      <w:szCs w:val="28"/>
    </w:rPr>
  </w:style>
  <w:style w:type="paragraph" w:styleId="Heading3">
    <w:name w:val="heading 3"/>
    <w:basedOn w:val="Normal"/>
    <w:next w:val="Normal"/>
    <w:uiPriority w:val="2"/>
    <w:unhideWhenUsed/>
    <w:rsid w:val="000C07D5"/>
    <w:pPr>
      <w:keepNext/>
      <w:spacing w:after="120" w:line="264" w:lineRule="auto"/>
      <w:outlineLvl w:val="2"/>
    </w:pPr>
    <w:rPr>
      <w:rFonts w:ascii="Calibri" w:hAnsi="Calibri" w:cs="Arial"/>
      <w:b/>
      <w:sz w:val="28"/>
      <w:szCs w:val="26"/>
    </w:rPr>
  </w:style>
  <w:style w:type="paragraph" w:styleId="Heading4">
    <w:name w:val="heading 4"/>
    <w:basedOn w:val="Normal"/>
    <w:next w:val="Normal"/>
    <w:uiPriority w:val="2"/>
    <w:unhideWhenUsed/>
    <w:rsid w:val="00957EED"/>
    <w:pPr>
      <w:keepNext/>
      <w:outlineLvl w:val="3"/>
    </w:pPr>
    <w:rPr>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EDBodytext">
    <w:name w:val="SECED Body text"/>
    <w:basedOn w:val="Normal"/>
    <w:qFormat/>
    <w:rsid w:val="005D1209"/>
    <w:pPr>
      <w:spacing w:after="120"/>
      <w:jc w:val="both"/>
    </w:pPr>
    <w:rPr>
      <w:sz w:val="20"/>
      <w:lang w:eastAsia="en-US"/>
    </w:rPr>
  </w:style>
  <w:style w:type="paragraph" w:customStyle="1" w:styleId="SECEDEquation">
    <w:name w:val="SECED Equation"/>
    <w:basedOn w:val="SECEDBodytext"/>
    <w:next w:val="SECEDBodytext"/>
    <w:qFormat/>
    <w:rsid w:val="001E2DBB"/>
    <w:pPr>
      <w:keepNext/>
      <w:tabs>
        <w:tab w:val="center" w:pos="4253"/>
        <w:tab w:val="right" w:pos="8505"/>
      </w:tabs>
      <w:overflowPunct w:val="0"/>
      <w:autoSpaceDE w:val="0"/>
      <w:autoSpaceDN w:val="0"/>
      <w:adjustRightInd w:val="0"/>
      <w:textAlignment w:val="baseline"/>
    </w:pPr>
    <w:rPr>
      <w:szCs w:val="20"/>
      <w:lang w:eastAsia="de-DE"/>
    </w:rPr>
  </w:style>
  <w:style w:type="paragraph" w:customStyle="1" w:styleId="SECEDFootnote">
    <w:name w:val="SECED Footnote"/>
    <w:basedOn w:val="SECEDBodytext"/>
    <w:uiPriority w:val="1"/>
    <w:rsid w:val="005D1209"/>
    <w:pPr>
      <w:spacing w:after="0"/>
    </w:pPr>
    <w:rPr>
      <w:sz w:val="18"/>
      <w:szCs w:val="20"/>
    </w:rPr>
  </w:style>
  <w:style w:type="paragraph" w:customStyle="1" w:styleId="SECEDReferences">
    <w:name w:val="SECED References"/>
    <w:basedOn w:val="SECEDBodytext"/>
    <w:qFormat/>
    <w:rsid w:val="001E2DBB"/>
    <w:pPr>
      <w:spacing w:after="60"/>
      <w:ind w:left="397" w:hanging="397"/>
      <w:jc w:val="left"/>
    </w:pPr>
    <w:rPr>
      <w:szCs w:val="20"/>
    </w:rPr>
  </w:style>
  <w:style w:type="paragraph" w:customStyle="1" w:styleId="SECEDTabletext">
    <w:name w:val="SECED Table text"/>
    <w:basedOn w:val="SECEDBodytext"/>
    <w:rsid w:val="00BE64C0"/>
    <w:pPr>
      <w:spacing w:after="0"/>
    </w:pPr>
    <w:rPr>
      <w:szCs w:val="20"/>
    </w:rPr>
  </w:style>
  <w:style w:type="paragraph" w:customStyle="1" w:styleId="SECEDTableheading">
    <w:name w:val="SECED Table heading"/>
    <w:basedOn w:val="SECEDBodytext"/>
    <w:next w:val="SECEDTabletext"/>
    <w:rsid w:val="00BE64C0"/>
    <w:pPr>
      <w:spacing w:after="0"/>
    </w:pPr>
    <w:rPr>
      <w:b/>
    </w:rPr>
  </w:style>
  <w:style w:type="paragraph" w:customStyle="1" w:styleId="SECEDAuthors">
    <w:name w:val="SECED Authors"/>
    <w:basedOn w:val="SECEDBodytext"/>
    <w:next w:val="SECEDBodytext"/>
    <w:uiPriority w:val="1"/>
    <w:rsid w:val="0011159D"/>
    <w:pPr>
      <w:spacing w:before="120"/>
      <w:jc w:val="center"/>
    </w:pPr>
    <w:rPr>
      <w:sz w:val="24"/>
      <w:szCs w:val="20"/>
    </w:rPr>
  </w:style>
  <w:style w:type="paragraph" w:customStyle="1" w:styleId="SECEDAbstract">
    <w:name w:val="SECED Abstract"/>
    <w:basedOn w:val="SECEDBodytext"/>
    <w:uiPriority w:val="1"/>
    <w:qFormat/>
    <w:rsid w:val="001E2DBB"/>
    <w:pPr>
      <w:spacing w:before="480" w:after="480"/>
    </w:pPr>
    <w:rPr>
      <w:i/>
    </w:rPr>
  </w:style>
  <w:style w:type="paragraph" w:customStyle="1" w:styleId="SECEDBullets">
    <w:name w:val="SECED Bullets"/>
    <w:basedOn w:val="SECEDBodytext"/>
    <w:qFormat/>
    <w:rsid w:val="00881798"/>
    <w:pPr>
      <w:numPr>
        <w:numId w:val="24"/>
      </w:numPr>
      <w:ind w:left="567" w:hanging="340"/>
      <w:contextualSpacing/>
    </w:pPr>
  </w:style>
  <w:style w:type="paragraph" w:styleId="Header">
    <w:name w:val="header"/>
    <w:basedOn w:val="Normal"/>
    <w:link w:val="HeaderChar"/>
    <w:uiPriority w:val="2"/>
    <w:unhideWhenUsed/>
    <w:rsid w:val="00145486"/>
    <w:pPr>
      <w:tabs>
        <w:tab w:val="center" w:pos="4320"/>
        <w:tab w:val="right" w:pos="8640"/>
      </w:tabs>
    </w:pPr>
  </w:style>
  <w:style w:type="character" w:customStyle="1" w:styleId="HeaderChar">
    <w:name w:val="Header Char"/>
    <w:basedOn w:val="DefaultParagraphFont"/>
    <w:link w:val="Header"/>
    <w:uiPriority w:val="2"/>
    <w:rsid w:val="005071AD"/>
  </w:style>
  <w:style w:type="paragraph" w:styleId="Footer">
    <w:name w:val="footer"/>
    <w:basedOn w:val="Normal"/>
    <w:link w:val="FooterChar"/>
    <w:uiPriority w:val="99"/>
    <w:unhideWhenUsed/>
    <w:rsid w:val="00145486"/>
    <w:pPr>
      <w:tabs>
        <w:tab w:val="center" w:pos="4320"/>
        <w:tab w:val="right" w:pos="8640"/>
      </w:tabs>
    </w:pPr>
  </w:style>
  <w:style w:type="character" w:customStyle="1" w:styleId="FooterChar">
    <w:name w:val="Footer Char"/>
    <w:basedOn w:val="DefaultParagraphFont"/>
    <w:link w:val="Footer"/>
    <w:uiPriority w:val="99"/>
    <w:rsid w:val="00145486"/>
    <w:rPr>
      <w:rFonts w:ascii="Arial" w:eastAsia="Times New Roman" w:hAnsi="Arial"/>
      <w:sz w:val="22"/>
      <w:szCs w:val="24"/>
      <w:lang w:eastAsia="en-GB"/>
    </w:rPr>
  </w:style>
  <w:style w:type="table" w:styleId="TableGrid">
    <w:name w:val="Table Grid"/>
    <w:basedOn w:val="TableNormal"/>
    <w:uiPriority w:val="39"/>
    <w:rsid w:val="00CB7A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EDHeading1">
    <w:name w:val="SECED Heading 1"/>
    <w:basedOn w:val="SECEDBodytext"/>
    <w:next w:val="SECEDBodytext"/>
    <w:qFormat/>
    <w:rsid w:val="00FB3828"/>
    <w:pPr>
      <w:keepNext/>
      <w:spacing w:before="240" w:after="60"/>
    </w:pPr>
    <w:rPr>
      <w:b/>
      <w:sz w:val="24"/>
      <w:szCs w:val="20"/>
      <w:lang w:val="en-US"/>
    </w:rPr>
  </w:style>
  <w:style w:type="paragraph" w:styleId="BalloonText">
    <w:name w:val="Balloon Text"/>
    <w:basedOn w:val="Normal"/>
    <w:link w:val="BalloonTextChar"/>
    <w:uiPriority w:val="99"/>
    <w:semiHidden/>
    <w:unhideWhenUsed/>
    <w:rsid w:val="00CB7A0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7A04"/>
    <w:rPr>
      <w:rFonts w:ascii="Lucida Grande" w:eastAsia="Times New Roman" w:hAnsi="Lucida Grande" w:cs="Lucida Grande"/>
      <w:sz w:val="18"/>
      <w:szCs w:val="18"/>
      <w:lang w:eastAsia="en-GB"/>
    </w:rPr>
  </w:style>
  <w:style w:type="paragraph" w:customStyle="1" w:styleId="SECEDFigure">
    <w:name w:val="SECED Figure"/>
    <w:basedOn w:val="Normal"/>
    <w:qFormat/>
    <w:rsid w:val="005071AD"/>
    <w:pPr>
      <w:spacing w:before="120" w:after="120"/>
      <w:jc w:val="center"/>
    </w:pPr>
    <w:rPr>
      <w:sz w:val="20"/>
      <w:szCs w:val="20"/>
      <w:lang w:eastAsia="en-US"/>
    </w:rPr>
  </w:style>
  <w:style w:type="paragraph" w:customStyle="1" w:styleId="SECEDBlankline">
    <w:name w:val="SECED Blank line"/>
    <w:basedOn w:val="NoSpacing"/>
    <w:next w:val="SECEDFigure"/>
    <w:uiPriority w:val="1"/>
    <w:qFormat/>
    <w:rsid w:val="0095742A"/>
    <w:pPr>
      <w:spacing w:line="120" w:lineRule="exact"/>
    </w:pPr>
    <w:rPr>
      <w:sz w:val="20"/>
      <w:lang w:val="en-US"/>
    </w:rPr>
  </w:style>
  <w:style w:type="character" w:styleId="Hyperlink">
    <w:name w:val="Hyperlink"/>
    <w:basedOn w:val="DefaultParagraphFont"/>
    <w:uiPriority w:val="99"/>
    <w:unhideWhenUsed/>
    <w:rsid w:val="0040278C"/>
    <w:rPr>
      <w:color w:val="0000FF" w:themeColor="hyperlink"/>
      <w:u w:val="single"/>
    </w:rPr>
  </w:style>
  <w:style w:type="character" w:styleId="UnresolvedMention">
    <w:name w:val="Unresolved Mention"/>
    <w:basedOn w:val="DefaultParagraphFont"/>
    <w:uiPriority w:val="99"/>
    <w:semiHidden/>
    <w:unhideWhenUsed/>
    <w:rsid w:val="0040278C"/>
    <w:rPr>
      <w:color w:val="605E5C"/>
      <w:shd w:val="clear" w:color="auto" w:fill="E1DFDD"/>
    </w:rPr>
  </w:style>
  <w:style w:type="paragraph" w:styleId="Title">
    <w:name w:val="Title"/>
    <w:basedOn w:val="Normal"/>
    <w:next w:val="Normal"/>
    <w:link w:val="TitleChar"/>
    <w:uiPriority w:val="10"/>
    <w:rsid w:val="00405620"/>
    <w:pPr>
      <w:spacing w:before="480" w:after="240"/>
      <w:jc w:val="center"/>
    </w:pPr>
    <w:rPr>
      <w:b/>
      <w:bCs/>
      <w:caps/>
      <w:sz w:val="28"/>
      <w:szCs w:val="28"/>
      <w:lang w:eastAsia="en-US"/>
    </w:rPr>
  </w:style>
  <w:style w:type="character" w:customStyle="1" w:styleId="TitleChar">
    <w:name w:val="Title Char"/>
    <w:basedOn w:val="DefaultParagraphFont"/>
    <w:link w:val="Title"/>
    <w:uiPriority w:val="10"/>
    <w:rsid w:val="00405620"/>
    <w:rPr>
      <w:rFonts w:ascii="Arial" w:eastAsia="Times New Roman" w:hAnsi="Arial"/>
      <w:b/>
      <w:bCs/>
      <w:caps/>
      <w:sz w:val="28"/>
      <w:szCs w:val="28"/>
      <w:lang w:eastAsia="en-US"/>
    </w:rPr>
  </w:style>
  <w:style w:type="paragraph" w:customStyle="1" w:styleId="SECEDCaption">
    <w:name w:val="SECED Caption"/>
    <w:basedOn w:val="SECEDBodytext"/>
    <w:next w:val="SECEDBodytext"/>
    <w:qFormat/>
    <w:rsid w:val="005071AD"/>
    <w:pPr>
      <w:spacing w:after="240"/>
      <w:jc w:val="center"/>
    </w:pPr>
    <w:rPr>
      <w:i/>
    </w:rPr>
  </w:style>
  <w:style w:type="paragraph" w:styleId="Caption">
    <w:name w:val="caption"/>
    <w:basedOn w:val="Normal"/>
    <w:next w:val="Normal"/>
    <w:uiPriority w:val="35"/>
    <w:semiHidden/>
    <w:unhideWhenUsed/>
    <w:qFormat/>
    <w:rsid w:val="00BE64C0"/>
    <w:pPr>
      <w:spacing w:after="200"/>
    </w:pPr>
    <w:rPr>
      <w:i/>
      <w:iCs/>
      <w:color w:val="1F497D" w:themeColor="text2"/>
      <w:sz w:val="18"/>
      <w:szCs w:val="18"/>
    </w:rPr>
  </w:style>
  <w:style w:type="paragraph" w:styleId="NoSpacing">
    <w:name w:val="No Spacing"/>
    <w:uiPriority w:val="2"/>
    <w:rsid w:val="001147B4"/>
    <w:rPr>
      <w:rFonts w:eastAsia="Times New Roman"/>
      <w:szCs w:val="24"/>
      <w:lang w:eastAsia="en-GB"/>
    </w:rPr>
  </w:style>
  <w:style w:type="paragraph" w:customStyle="1" w:styleId="SECEDHeading2">
    <w:name w:val="SECED Heading 2"/>
    <w:basedOn w:val="SECEDBodytext"/>
    <w:next w:val="SECEDBodytext"/>
    <w:qFormat/>
    <w:rsid w:val="00534C5D"/>
    <w:pPr>
      <w:keepNext/>
      <w:spacing w:before="120" w:after="60"/>
    </w:pPr>
    <w:rPr>
      <w:i/>
      <w:lang w:val="en-US"/>
    </w:rPr>
  </w:style>
  <w:style w:type="paragraph" w:customStyle="1" w:styleId="SECEDTitle">
    <w:name w:val="SECED Title"/>
    <w:basedOn w:val="Title"/>
    <w:uiPriority w:val="1"/>
    <w:qFormat/>
    <w:rsid w:val="00881798"/>
  </w:style>
  <w:style w:type="paragraph" w:customStyle="1" w:styleId="SECEDListnumbers">
    <w:name w:val="SECED List numbers"/>
    <w:basedOn w:val="SECEDBodytext"/>
    <w:qFormat/>
    <w:rsid w:val="00881798"/>
    <w:pPr>
      <w:numPr>
        <w:numId w:val="36"/>
      </w:numPr>
      <w:ind w:left="567" w:hanging="340"/>
      <w:contextualSpacing/>
    </w:pPr>
  </w:style>
  <w:style w:type="paragraph" w:styleId="FootnoteText">
    <w:name w:val="footnote text"/>
    <w:basedOn w:val="Normal"/>
    <w:link w:val="FootnoteTextChar"/>
    <w:uiPriority w:val="99"/>
    <w:semiHidden/>
    <w:unhideWhenUsed/>
    <w:rsid w:val="007C6CE9"/>
    <w:rPr>
      <w:sz w:val="20"/>
      <w:szCs w:val="20"/>
    </w:rPr>
  </w:style>
  <w:style w:type="character" w:customStyle="1" w:styleId="FootnoteTextChar">
    <w:name w:val="Footnote Text Char"/>
    <w:basedOn w:val="DefaultParagraphFont"/>
    <w:link w:val="FootnoteText"/>
    <w:uiPriority w:val="99"/>
    <w:semiHidden/>
    <w:rsid w:val="007C6CE9"/>
    <w:rPr>
      <w:sz w:val="20"/>
      <w:szCs w:val="20"/>
    </w:rPr>
  </w:style>
  <w:style w:type="character" w:styleId="FootnoteReference">
    <w:name w:val="footnote reference"/>
    <w:basedOn w:val="DefaultParagraphFont"/>
    <w:semiHidden/>
    <w:unhideWhenUsed/>
    <w:rsid w:val="007C6CE9"/>
    <w:rPr>
      <w:vertAlign w:val="superscript"/>
    </w:rPr>
  </w:style>
  <w:style w:type="paragraph" w:customStyle="1" w:styleId="SECEDHeader">
    <w:name w:val="SECED Header"/>
    <w:basedOn w:val="Header"/>
    <w:uiPriority w:val="1"/>
    <w:rsid w:val="001E2DBB"/>
    <w:pPr>
      <w:tabs>
        <w:tab w:val="clear" w:pos="4320"/>
        <w:tab w:val="clear" w:pos="8640"/>
        <w:tab w:val="right" w:pos="8505"/>
      </w:tabs>
    </w:pPr>
    <w:rPr>
      <w:noProof/>
    </w:rPr>
  </w:style>
  <w:style w:type="character" w:styleId="PlaceholderText">
    <w:name w:val="Placeholder Text"/>
    <w:basedOn w:val="DefaultParagraphFont"/>
    <w:uiPriority w:val="99"/>
    <w:semiHidden/>
    <w:rsid w:val="008F594D"/>
    <w:rPr>
      <w:color w:val="808080"/>
    </w:rPr>
  </w:style>
  <w:style w:type="character" w:styleId="FollowedHyperlink">
    <w:name w:val="FollowedHyperlink"/>
    <w:basedOn w:val="DefaultParagraphFont"/>
    <w:uiPriority w:val="99"/>
    <w:semiHidden/>
    <w:unhideWhenUsed/>
    <w:rsid w:val="00595BB4"/>
    <w:rPr>
      <w:color w:val="800080" w:themeColor="followedHyperlink"/>
      <w:u w:val="single"/>
    </w:rPr>
  </w:style>
  <w:style w:type="paragraph" w:styleId="Revision">
    <w:name w:val="Revision"/>
    <w:hidden/>
    <w:uiPriority w:val="99"/>
    <w:semiHidden/>
    <w:rsid w:val="0076262D"/>
  </w:style>
  <w:style w:type="character" w:styleId="CommentReference">
    <w:name w:val="annotation reference"/>
    <w:basedOn w:val="DefaultParagraphFont"/>
    <w:uiPriority w:val="99"/>
    <w:semiHidden/>
    <w:unhideWhenUsed/>
    <w:rsid w:val="00B75507"/>
    <w:rPr>
      <w:sz w:val="16"/>
      <w:szCs w:val="16"/>
    </w:rPr>
  </w:style>
  <w:style w:type="paragraph" w:styleId="CommentText">
    <w:name w:val="annotation text"/>
    <w:basedOn w:val="Normal"/>
    <w:link w:val="CommentTextChar"/>
    <w:uiPriority w:val="99"/>
    <w:semiHidden/>
    <w:unhideWhenUsed/>
    <w:rsid w:val="00B75507"/>
    <w:rPr>
      <w:sz w:val="20"/>
      <w:szCs w:val="20"/>
    </w:rPr>
  </w:style>
  <w:style w:type="character" w:customStyle="1" w:styleId="CommentTextChar">
    <w:name w:val="Comment Text Char"/>
    <w:basedOn w:val="DefaultParagraphFont"/>
    <w:link w:val="CommentText"/>
    <w:uiPriority w:val="99"/>
    <w:semiHidden/>
    <w:rsid w:val="00B75507"/>
    <w:rPr>
      <w:sz w:val="20"/>
      <w:szCs w:val="20"/>
    </w:rPr>
  </w:style>
  <w:style w:type="paragraph" w:styleId="CommentSubject">
    <w:name w:val="annotation subject"/>
    <w:basedOn w:val="CommentText"/>
    <w:next w:val="CommentText"/>
    <w:link w:val="CommentSubjectChar"/>
    <w:uiPriority w:val="99"/>
    <w:semiHidden/>
    <w:unhideWhenUsed/>
    <w:rsid w:val="00B75507"/>
    <w:rPr>
      <w:b/>
      <w:bCs/>
    </w:rPr>
  </w:style>
  <w:style w:type="character" w:customStyle="1" w:styleId="CommentSubjectChar">
    <w:name w:val="Comment Subject Char"/>
    <w:basedOn w:val="CommentTextChar"/>
    <w:link w:val="CommentSubject"/>
    <w:uiPriority w:val="99"/>
    <w:semiHidden/>
    <w:rsid w:val="00B75507"/>
    <w:rPr>
      <w:b/>
      <w:bCs/>
      <w:sz w:val="20"/>
      <w:szCs w:val="20"/>
    </w:rPr>
  </w:style>
  <w:style w:type="paragraph" w:styleId="NormalWeb">
    <w:name w:val="Normal (Web)"/>
    <w:basedOn w:val="Normal"/>
    <w:uiPriority w:val="99"/>
    <w:semiHidden/>
    <w:unhideWhenUsed/>
    <w:rsid w:val="000E7098"/>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85006">
      <w:bodyDiv w:val="1"/>
      <w:marLeft w:val="0"/>
      <w:marRight w:val="0"/>
      <w:marTop w:val="0"/>
      <w:marBottom w:val="0"/>
      <w:divBdr>
        <w:top w:val="none" w:sz="0" w:space="0" w:color="auto"/>
        <w:left w:val="none" w:sz="0" w:space="0" w:color="auto"/>
        <w:bottom w:val="none" w:sz="0" w:space="0" w:color="auto"/>
        <w:right w:val="none" w:sz="0" w:space="0" w:color="auto"/>
      </w:divBdr>
    </w:div>
    <w:div w:id="280111888">
      <w:bodyDiv w:val="1"/>
      <w:marLeft w:val="0"/>
      <w:marRight w:val="0"/>
      <w:marTop w:val="0"/>
      <w:marBottom w:val="0"/>
      <w:divBdr>
        <w:top w:val="none" w:sz="0" w:space="0" w:color="auto"/>
        <w:left w:val="none" w:sz="0" w:space="0" w:color="auto"/>
        <w:bottom w:val="none" w:sz="0" w:space="0" w:color="auto"/>
        <w:right w:val="none" w:sz="0" w:space="0" w:color="auto"/>
      </w:divBdr>
    </w:div>
    <w:div w:id="608514615">
      <w:bodyDiv w:val="1"/>
      <w:marLeft w:val="0"/>
      <w:marRight w:val="0"/>
      <w:marTop w:val="0"/>
      <w:marBottom w:val="0"/>
      <w:divBdr>
        <w:top w:val="none" w:sz="0" w:space="0" w:color="auto"/>
        <w:left w:val="none" w:sz="0" w:space="0" w:color="auto"/>
        <w:bottom w:val="none" w:sz="0" w:space="0" w:color="auto"/>
        <w:right w:val="none" w:sz="0" w:space="0" w:color="auto"/>
      </w:divBdr>
    </w:div>
    <w:div w:id="647050299">
      <w:bodyDiv w:val="1"/>
      <w:marLeft w:val="0"/>
      <w:marRight w:val="0"/>
      <w:marTop w:val="0"/>
      <w:marBottom w:val="0"/>
      <w:divBdr>
        <w:top w:val="none" w:sz="0" w:space="0" w:color="auto"/>
        <w:left w:val="none" w:sz="0" w:space="0" w:color="auto"/>
        <w:bottom w:val="none" w:sz="0" w:space="0" w:color="auto"/>
        <w:right w:val="none" w:sz="0" w:space="0" w:color="auto"/>
      </w:divBdr>
    </w:div>
    <w:div w:id="1257054080">
      <w:bodyDiv w:val="1"/>
      <w:marLeft w:val="0"/>
      <w:marRight w:val="0"/>
      <w:marTop w:val="0"/>
      <w:marBottom w:val="0"/>
      <w:divBdr>
        <w:top w:val="none" w:sz="0" w:space="0" w:color="auto"/>
        <w:left w:val="none" w:sz="0" w:space="0" w:color="auto"/>
        <w:bottom w:val="none" w:sz="0" w:space="0" w:color="auto"/>
        <w:right w:val="none" w:sz="0" w:space="0" w:color="auto"/>
      </w:divBdr>
      <w:divsChild>
        <w:div w:id="9424209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yperlink" Target="https://www.istructe.org/get-involved/supported-organisations/eefit/" TargetMode="Externa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s://www.istructe.org/get-involved/supported-organisations/eefit/"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s://www.istructe.org/get-involved/supported-organisations/eefit/"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m.baiguera@soton.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3BA96B2A1B4943917D4E3596FA46E1" ma:contentTypeVersion="16" ma:contentTypeDescription="Create a new document." ma:contentTypeScope="" ma:versionID="21c653a9d5502cce2f58f74a8d63118a">
  <xsd:schema xmlns:xsd="http://www.w3.org/2001/XMLSchema" xmlns:xs="http://www.w3.org/2001/XMLSchema" xmlns:p="http://schemas.microsoft.com/office/2006/metadata/properties" xmlns:ns2="235706e6-ea08-4025-b750-259fcea56d43" xmlns:ns3="909eb1bd-c34a-4f38-bcc6-0a442891abf3" targetNamespace="http://schemas.microsoft.com/office/2006/metadata/properties" ma:root="true" ma:fieldsID="f7cee960385ed0e2e79d8c0f035a81f5" ns2:_="" ns3:_="">
    <xsd:import namespace="235706e6-ea08-4025-b750-259fcea56d43"/>
    <xsd:import namespace="909eb1bd-c34a-4f38-bcc6-0a442891abf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5706e6-ea08-4025-b750-259fcea56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4fe8d08-a634-41d2-a0a2-d3749ea2021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09eb1bd-c34a-4f38-bcc6-0a442891ab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122c4e-c8c9-4971-93ae-45572a7bcb74}" ma:internalName="TaxCatchAll" ma:showField="CatchAllData" ma:web="909eb1bd-c34a-4f38-bcc6-0a442891ab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3826E-8F8C-494C-B41F-53937FCBA9C7}">
  <ds:schemaRefs>
    <ds:schemaRef ds:uri="http://schemas.microsoft.com/sharepoint/v3/contenttype/forms"/>
  </ds:schemaRefs>
</ds:datastoreItem>
</file>

<file path=customXml/itemProps2.xml><?xml version="1.0" encoding="utf-8"?>
<ds:datastoreItem xmlns:ds="http://schemas.openxmlformats.org/officeDocument/2006/customXml" ds:itemID="{C9C4E37C-2EF0-4BD5-8D29-95FB67B27D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5706e6-ea08-4025-b750-259fcea56d43"/>
    <ds:schemaRef ds:uri="909eb1bd-c34a-4f38-bcc6-0a442891ab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16F9C1E-892E-4092-A391-637265DF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4226</Words>
  <Characters>23076</Characters>
  <Application>Microsoft Office Word</Application>
  <DocSecurity>4</DocSecurity>
  <Lines>192</Lines>
  <Paragraphs>54</Paragraphs>
  <ScaleCrop>false</ScaleCrop>
  <HeadingPairs>
    <vt:vector size="2" baseType="variant">
      <vt:variant>
        <vt:lpstr>Title</vt:lpstr>
      </vt:variant>
      <vt:variant>
        <vt:i4>1</vt:i4>
      </vt:variant>
    </vt:vector>
  </HeadingPairs>
  <TitlesOfParts>
    <vt:vector size="1" baseType="lpstr">
      <vt:lpstr>SECED 2019 Template</vt:lpstr>
    </vt:vector>
  </TitlesOfParts>
  <Company>JRA</Company>
  <LinksUpToDate>false</LinksUpToDate>
  <CharactersWithSpaces>27248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SECED2023 ID 150</dc:title>
  <dc:creator>Anna Vining</dc:creator>
  <cp:lastModifiedBy>David McGovern</cp:lastModifiedBy>
  <cp:revision>2</cp:revision>
  <cp:lastPrinted>2023-04-30T21:05:00Z</cp:lastPrinted>
  <dcterms:created xsi:type="dcterms:W3CDTF">2024-03-13T08:53:00Z</dcterms:created>
  <dcterms:modified xsi:type="dcterms:W3CDTF">2024-03-13T08:53:00Z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7115975afda4777df4be428a868a334fb5fcf3e1187970a05effbbe611a99a35</vt:lpwstr>
  </property>
</Properties>
</file>