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D773" w14:textId="24B9B446" w:rsidR="00B343D6" w:rsidRPr="001D5FAF" w:rsidRDefault="001D5FAF">
      <w:pPr>
        <w:rPr>
          <w:b/>
          <w:bCs/>
          <w:sz w:val="28"/>
          <w:szCs w:val="28"/>
        </w:rPr>
      </w:pPr>
      <w:r w:rsidRPr="001D5FAF">
        <w:rPr>
          <w:b/>
          <w:bCs/>
          <w:sz w:val="28"/>
          <w:szCs w:val="28"/>
        </w:rPr>
        <w:t>Journal of Prescribing Practice</w:t>
      </w:r>
    </w:p>
    <w:p w14:paraId="238A6A9F" w14:textId="2F30CC99" w:rsidR="001D5FAF" w:rsidRPr="001D5FAF" w:rsidRDefault="001D5FAF">
      <w:pPr>
        <w:rPr>
          <w:b/>
          <w:bCs/>
          <w:sz w:val="28"/>
          <w:szCs w:val="28"/>
        </w:rPr>
      </w:pPr>
      <w:r w:rsidRPr="001D5FAF">
        <w:rPr>
          <w:b/>
          <w:bCs/>
          <w:sz w:val="28"/>
          <w:szCs w:val="28"/>
        </w:rPr>
        <w:t>A-Z of Prescribing for children</w:t>
      </w:r>
    </w:p>
    <w:p w14:paraId="0C288AB8" w14:textId="77777777" w:rsidR="001D5FAF" w:rsidRDefault="001D5FAF"/>
    <w:p w14:paraId="41FDEAF9" w14:textId="77777777" w:rsidR="001D5FAF" w:rsidRDefault="001D5FAF"/>
    <w:p w14:paraId="4BD723D5" w14:textId="644AFCAA" w:rsidR="001D5FAF" w:rsidRPr="001D5FAF" w:rsidRDefault="001D5FAF">
      <w:pPr>
        <w:rPr>
          <w:b/>
          <w:bCs/>
        </w:rPr>
      </w:pPr>
      <w:r w:rsidRPr="001D5FAF">
        <w:rPr>
          <w:b/>
          <w:bCs/>
        </w:rPr>
        <w:t>Kate Davies</w:t>
      </w:r>
    </w:p>
    <w:p w14:paraId="4B898880" w14:textId="7B715A49" w:rsidR="001D5FAF" w:rsidRPr="001D5FAF" w:rsidRDefault="001D5FAF">
      <w:pPr>
        <w:rPr>
          <w:b/>
          <w:bCs/>
        </w:rPr>
      </w:pPr>
      <w:r w:rsidRPr="001D5FAF">
        <w:rPr>
          <w:b/>
          <w:bCs/>
        </w:rPr>
        <w:t>Associate Professor, Paediatric Prescribing &amp; Endocrinology</w:t>
      </w:r>
    </w:p>
    <w:p w14:paraId="43B85043" w14:textId="29FEE4B9" w:rsidR="001D5FAF" w:rsidRDefault="001D5FAF">
      <w:pPr>
        <w:rPr>
          <w:b/>
          <w:bCs/>
        </w:rPr>
      </w:pPr>
      <w:r w:rsidRPr="001D5FAF">
        <w:rPr>
          <w:b/>
          <w:bCs/>
        </w:rPr>
        <w:t>London South Bank University</w:t>
      </w:r>
    </w:p>
    <w:p w14:paraId="68E363BF" w14:textId="77777777" w:rsidR="001D5FAF" w:rsidRDefault="001D5FAF">
      <w:pPr>
        <w:rPr>
          <w:b/>
          <w:bCs/>
        </w:rPr>
      </w:pPr>
    </w:p>
    <w:p w14:paraId="3CA485BD" w14:textId="3C225242" w:rsidR="001D5FAF" w:rsidRDefault="003B4A2A" w:rsidP="001D5FAF">
      <w:pPr>
        <w:jc w:val="center"/>
        <w:rPr>
          <w:b/>
          <w:bCs/>
          <w:sz w:val="32"/>
          <w:szCs w:val="32"/>
        </w:rPr>
      </w:pPr>
      <w:r>
        <w:rPr>
          <w:b/>
          <w:bCs/>
          <w:sz w:val="32"/>
          <w:szCs w:val="32"/>
        </w:rPr>
        <w:t>G – Gillick competence</w:t>
      </w:r>
    </w:p>
    <w:p w14:paraId="7976FC3F" w14:textId="77777777" w:rsidR="008F424A" w:rsidRDefault="008F424A" w:rsidP="008F424A">
      <w:pPr>
        <w:jc w:val="both"/>
      </w:pPr>
    </w:p>
    <w:p w14:paraId="3C6A5D98" w14:textId="1BF1E197" w:rsidR="003B4A2A" w:rsidRDefault="003B4A2A" w:rsidP="001D5FAF">
      <w:pPr>
        <w:jc w:val="both"/>
      </w:pPr>
      <w:r>
        <w:t xml:space="preserve">It is important for independent prescribers to understand the concept of Gillick competence when caring for young </w:t>
      </w:r>
      <w:proofErr w:type="gramStart"/>
      <w:r>
        <w:t>people, and</w:t>
      </w:r>
      <w:proofErr w:type="gramEnd"/>
      <w:r>
        <w:t xml:space="preserve"> entering into a therapeutic prescribing relationship. In order to consent to treatment, an individual must be </w:t>
      </w:r>
      <w:r w:rsidRPr="003B4A2A">
        <w:rPr>
          <w:i/>
          <w:iCs/>
        </w:rPr>
        <w:t>able</w:t>
      </w:r>
      <w:r>
        <w:t xml:space="preserve"> to </w:t>
      </w:r>
      <w:proofErr w:type="gramStart"/>
      <w:r>
        <w:t>consent:</w:t>
      </w:r>
      <w:proofErr w:type="gramEnd"/>
      <w:r>
        <w:t xml:space="preserve"> and in order to be able to consent, they must be deemed to have capacity. Under current UK Law, adults are usually presumed to be competent </w:t>
      </w:r>
      <w:proofErr w:type="gramStart"/>
      <w:r>
        <w:t>in order to</w:t>
      </w:r>
      <w:proofErr w:type="gramEnd"/>
      <w:r>
        <w:t xml:space="preserve"> consent to treatment. This is only questioned if their decision seems unwise to the healthcare professional, and / or if it seems irrational </w:t>
      </w:r>
      <w:r>
        <w:fldChar w:fldCharType="begin"/>
      </w:r>
      <w:r>
        <w:instrText xml:space="preserve"> ADDIN EN.CITE &lt;EndNote&gt;&lt;Cite&gt;&lt;Author&gt;Larcher&lt;/Author&gt;&lt;Year&gt;2010&lt;/Year&gt;&lt;RecNum&gt;12359&lt;/RecNum&gt;&lt;DisplayText&gt;(Larcher and Hutchinson 2010)&lt;/DisplayText&gt;&lt;record&gt;&lt;rec-number&gt;12359&lt;/rec-number&gt;&lt;foreign-keys&gt;&lt;key app="EN" db-id="2dvtr5t089z0xke2s0qpxtf3w9xsp0ssadxw" timestamp="1669298341" guid="cf98cee4-fc41-4130-93f2-52710d332efd"&gt;12359&lt;/key&gt;&lt;/foreign-keys&gt;&lt;ref-type name="Journal Article"&gt;17&lt;/ref-type&gt;&lt;contributors&gt;&lt;authors&gt;&lt;author&gt;Larcher, V.&lt;/author&gt;&lt;author&gt;Hutchinson, A.&lt;/author&gt;&lt;/authors&gt;&lt;/contributors&gt;&lt;auth-address&gt;Consultant in Paediatrics and Clinical Ethics, Great Ormond Street Hospital NHS Trust, Great Ormond Street, London WC1N 3JH, UK. larchv@gosh.nhs.uk&lt;/auth-address&gt;&lt;titles&gt;&lt;title&gt;How should paediatricians assess Gillick competence?&lt;/title&gt;&lt;secondary-title&gt;Arch Dis Child&lt;/secondary-title&gt;&lt;/titles&gt;&lt;periodical&gt;&lt;full-title&gt;Arch Dis Child&lt;/full-title&gt;&lt;abbr-1&gt;Archives of disease in childhood&lt;/abbr-1&gt;&lt;/periodical&gt;&lt;pages&gt;307-11&lt;/pages&gt;&lt;volume&gt;95&lt;/volume&gt;&lt;number&gt;4&lt;/number&gt;&lt;keywords&gt;&lt;keyword&gt;Adolescent&lt;/keyword&gt;&lt;keyword&gt;Age Factors&lt;/keyword&gt;&lt;keyword&gt;Child&lt;/keyword&gt;&lt;keyword&gt;Child, Preschool&lt;/keyword&gt;&lt;keyword&gt;Choice Behavior&lt;/keyword&gt;&lt;keyword&gt;Comprehension&lt;/keyword&gt;&lt;keyword&gt;Ethics, Medical&lt;/keyword&gt;&lt;keyword&gt;Great Britain&lt;/keyword&gt;&lt;keyword&gt;Humans&lt;/keyword&gt;&lt;keyword&gt;Informed Consent/ethics/*legislation &amp;amp; jurisprudence&lt;/keyword&gt;&lt;keyword&gt;Mental Competency/*legislation &amp;amp; jurisprudence&lt;/keyword&gt;&lt;keyword&gt;Pediatrics/ethics/*legislation &amp;amp; jurisprudence&lt;/keyword&gt;&lt;/keywords&gt;&lt;dates&gt;&lt;year&gt;2010&lt;/year&gt;&lt;pub-dates&gt;&lt;date&gt;Apr&lt;/date&gt;&lt;/pub-dates&gt;&lt;/dates&gt;&lt;isbn&gt;1468-2044 (Electronic)&amp;#xD;0003-9888 (Linking)&lt;/isbn&gt;&lt;accession-num&gt;19948515&lt;/accession-num&gt;&lt;urls&gt;&lt;related-urls&gt;&lt;url&gt;http://www.ncbi.nlm.nih.gov/pubmed/19948515&lt;/url&gt;&lt;/related-urls&gt;&lt;/urls&gt;&lt;electronic-resource-num&gt;10.1136/adc.2008.148676&lt;/electronic-resource-num&gt;&lt;/record&gt;&lt;/Cite&gt;&lt;/EndNote&gt;</w:instrText>
      </w:r>
      <w:r>
        <w:fldChar w:fldCharType="separate"/>
      </w:r>
      <w:r>
        <w:rPr>
          <w:noProof/>
        </w:rPr>
        <w:t>(Larcher and Hutchinson 2010)</w:t>
      </w:r>
      <w:r>
        <w:fldChar w:fldCharType="end"/>
      </w:r>
      <w:r>
        <w:t xml:space="preserve">. With regards to children and young people, however, ability to consent is only possible if they are deemed to be ‘Gillick competent.’ This refers to the rights of a child who is under 16 years of age </w:t>
      </w:r>
      <w:r>
        <w:fldChar w:fldCharType="begin"/>
      </w:r>
      <w:r>
        <w:instrText xml:space="preserve"> ADDIN EN.CITE &lt;EndNote&gt;&lt;Cite&gt;&lt;Author&gt;Griffith&lt;/Author&gt;&lt;Year&gt;2016&lt;/Year&gt;&lt;RecNum&gt;13040&lt;/RecNum&gt;&lt;DisplayText&gt;(Griffith 2016)&lt;/DisplayText&gt;&lt;record&gt;&lt;rec-number&gt;13040&lt;/rec-number&gt;&lt;foreign-keys&gt;&lt;key app="EN" db-id="2dvtr5t089z0xke2s0qpxtf3w9xsp0ssadxw" timestamp="1669302426" guid="cecd71cd-7441-4554-b031-e8b1835a88db"&gt;13040&lt;/key&gt;&lt;/foreign-keys&gt;&lt;ref-type name="Journal Article"&gt;17&lt;/ref-type&gt;&lt;contributors&gt;&lt;authors&gt;&lt;author&gt;Griffith, R.&lt;/author&gt;&lt;/authors&gt;&lt;/contributors&gt;&lt;auth-address&gt;a College of Human and Health Science; Swansea University ; Swansea , Wales , UK.&lt;/auth-address&gt;&lt;titles&gt;&lt;title&gt;What is Gillick competence?&lt;/title&gt;&lt;secondary-title&gt;Hum Vaccin Immunother&lt;/secondary-title&gt;&lt;/titles&gt;&lt;periodical&gt;&lt;full-title&gt;Hum Vaccin Immunother&lt;/full-title&gt;&lt;/periodical&gt;&lt;pages&gt;244-7&lt;/pages&gt;&lt;volume&gt;12&lt;/volume&gt;&lt;number&gt;1&lt;/number&gt;&lt;edition&gt;2015/12/01&lt;/edition&gt;&lt;keywords&gt;&lt;keyword&gt;Humans&lt;/keyword&gt;&lt;keyword&gt;*Informed Consent By Minors&lt;/keyword&gt;&lt;keyword&gt;Vaccination/*legislation &amp;amp; jurisprudence/*psychology&lt;/keyword&gt;&lt;keyword&gt;Gillick&lt;/keyword&gt;&lt;keyword&gt;competence&lt;/keyword&gt;&lt;keyword&gt;consent&lt;/keyword&gt;&lt;keyword&gt;immunization&lt;/keyword&gt;&lt;/keywords&gt;&lt;dates&gt;&lt;year&gt;2016&lt;/year&gt;&lt;/dates&gt;&lt;isbn&gt;2164-554X (Electronic)&amp;#xD;2164-5515 (Linking)&lt;/isbn&gt;&lt;accession-num&gt;26619366&lt;/accession-num&gt;&lt;urls&gt;&lt;related-urls&gt;&lt;url&gt;https://www.ncbi.nlm.nih.gov/pubmed/26619366&lt;/url&gt;&lt;/related-urls&gt;&lt;/urls&gt;&lt;custom2&gt;PMC4962726&lt;/custom2&gt;&lt;electronic-resource-num&gt;10.1080/21645515.2015.1091548&lt;/electronic-resource-num&gt;&lt;/record&gt;&lt;/Cite&gt;&lt;/EndNote&gt;</w:instrText>
      </w:r>
      <w:r>
        <w:fldChar w:fldCharType="separate"/>
      </w:r>
      <w:r>
        <w:rPr>
          <w:noProof/>
        </w:rPr>
        <w:t>(Griffith 2016)</w:t>
      </w:r>
      <w:r>
        <w:fldChar w:fldCharType="end"/>
      </w:r>
      <w:r>
        <w:t>.</w:t>
      </w:r>
    </w:p>
    <w:p w14:paraId="19ACCD33" w14:textId="77777777" w:rsidR="003B4A2A" w:rsidRDefault="003B4A2A" w:rsidP="001D5FAF">
      <w:pPr>
        <w:jc w:val="both"/>
      </w:pPr>
    </w:p>
    <w:p w14:paraId="25E5C0C5" w14:textId="07878D8B" w:rsidR="003B4A2A" w:rsidRDefault="003B4A2A" w:rsidP="001D5FAF">
      <w:pPr>
        <w:jc w:val="both"/>
      </w:pPr>
      <w:r>
        <w:t xml:space="preserve">This ‘right to consent’ to medical examination and treatment was decided by the House of Lords in </w:t>
      </w:r>
      <w:r w:rsidRPr="003B4A2A">
        <w:rPr>
          <w:i/>
          <w:iCs/>
        </w:rPr>
        <w:t>Gillick v West Norfolk and Wisbech Health Authority</w:t>
      </w:r>
      <w:r>
        <w:rPr>
          <w:i/>
          <w:iCs/>
        </w:rPr>
        <w:t xml:space="preserve"> </w:t>
      </w:r>
      <w:r>
        <w:t xml:space="preserve">in 1986 </w:t>
      </w:r>
      <w:r>
        <w:fldChar w:fldCharType="begin"/>
      </w:r>
      <w:r>
        <w:instrText xml:space="preserve"> ADDIN EN.CITE &lt;EndNote&gt;&lt;Cite&gt;&lt;Author&gt;Griffith&lt;/Author&gt;&lt;Year&gt;2016&lt;/Year&gt;&lt;RecNum&gt;13040&lt;/RecNum&gt;&lt;DisplayText&gt;(Griffith 2016)&lt;/DisplayText&gt;&lt;record&gt;&lt;rec-number&gt;13040&lt;/rec-number&gt;&lt;foreign-keys&gt;&lt;key app="EN" db-id="2dvtr5t089z0xke2s0qpxtf3w9xsp0ssadxw" timestamp="1669302426" guid="cecd71cd-7441-4554-b031-e8b1835a88db"&gt;13040&lt;/key&gt;&lt;/foreign-keys&gt;&lt;ref-type name="Journal Article"&gt;17&lt;/ref-type&gt;&lt;contributors&gt;&lt;authors&gt;&lt;author&gt;Griffith, R.&lt;/author&gt;&lt;/authors&gt;&lt;/contributors&gt;&lt;auth-address&gt;a College of Human and Health Science; Swansea University ; Swansea , Wales , UK.&lt;/auth-address&gt;&lt;titles&gt;&lt;title&gt;What is Gillick competence?&lt;/title&gt;&lt;secondary-title&gt;Hum Vaccin Immunother&lt;/secondary-title&gt;&lt;/titles&gt;&lt;periodical&gt;&lt;full-title&gt;Hum Vaccin Immunother&lt;/full-title&gt;&lt;/periodical&gt;&lt;pages&gt;244-7&lt;/pages&gt;&lt;volume&gt;12&lt;/volume&gt;&lt;number&gt;1&lt;/number&gt;&lt;edition&gt;2015/12/01&lt;/edition&gt;&lt;keywords&gt;&lt;keyword&gt;Humans&lt;/keyword&gt;&lt;keyword&gt;*Informed Consent By Minors&lt;/keyword&gt;&lt;keyword&gt;Vaccination/*legislation &amp;amp; jurisprudence/*psychology&lt;/keyword&gt;&lt;keyword&gt;Gillick&lt;/keyword&gt;&lt;keyword&gt;competence&lt;/keyword&gt;&lt;keyword&gt;consent&lt;/keyword&gt;&lt;keyword&gt;immunization&lt;/keyword&gt;&lt;/keywords&gt;&lt;dates&gt;&lt;year&gt;2016&lt;/year&gt;&lt;/dates&gt;&lt;isbn&gt;2164-554X (Electronic)&amp;#xD;2164-5515 (Linking)&lt;/isbn&gt;&lt;accession-num&gt;26619366&lt;/accession-num&gt;&lt;urls&gt;&lt;related-urls&gt;&lt;url&gt;https://www.ncbi.nlm.nih.gov/pubmed/26619366&lt;/url&gt;&lt;/related-urls&gt;&lt;/urls&gt;&lt;custom2&gt;PMC4962726&lt;/custom2&gt;&lt;electronic-resource-num&gt;10.1080/21645515.2015.1091548&lt;/electronic-resource-num&gt;&lt;/record&gt;&lt;/Cite&gt;&lt;/EndNote&gt;</w:instrText>
      </w:r>
      <w:r>
        <w:fldChar w:fldCharType="separate"/>
      </w:r>
      <w:r>
        <w:rPr>
          <w:noProof/>
        </w:rPr>
        <w:t>(Griffith 2016)</w:t>
      </w:r>
      <w:r>
        <w:fldChar w:fldCharType="end"/>
      </w:r>
      <w:r>
        <w:t>. ‘Gillick’ refers to Mrs Victoria Gillick (see Figure 1), who wrote to the then Department of Health and Social Security (DHSS) in 1982, wanting confirmation and reassurance that her daughters – all under the age of 16 – would not be given advice regarding terminations or contraceptives without her specific consent.</w:t>
      </w:r>
    </w:p>
    <w:p w14:paraId="22F05F9A" w14:textId="77777777" w:rsidR="003B4A2A" w:rsidRDefault="003B4A2A" w:rsidP="001D5FAF">
      <w:pPr>
        <w:jc w:val="both"/>
      </w:pPr>
    </w:p>
    <w:p w14:paraId="0E4A0E7A" w14:textId="77777777" w:rsidR="003B4A2A" w:rsidRPr="003B4A2A" w:rsidRDefault="003B4A2A" w:rsidP="001D5FAF">
      <w:pPr>
        <w:jc w:val="both"/>
      </w:pPr>
    </w:p>
    <w:p w14:paraId="3A84ABBA" w14:textId="31A45C81" w:rsidR="003B4A2A" w:rsidRDefault="003B4A2A" w:rsidP="001D5FAF">
      <w:pPr>
        <w:jc w:val="both"/>
      </w:pPr>
      <w:r>
        <w:rPr>
          <w:b/>
          <w:bCs/>
          <w:noProof/>
        </w:rPr>
        <w:drawing>
          <wp:inline distT="0" distB="0" distL="0" distR="0" wp14:anchorId="097D7CA9" wp14:editId="2E2410EC">
            <wp:extent cx="2252980" cy="1696925"/>
            <wp:effectExtent l="0" t="0" r="0" b="5080"/>
            <wp:docPr id="31628478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284781" name="Picture 1" descr="A person smiling for the camera&#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60622" cy="1702681"/>
                    </a:xfrm>
                    <a:prstGeom prst="rect">
                      <a:avLst/>
                    </a:prstGeom>
                  </pic:spPr>
                </pic:pic>
              </a:graphicData>
            </a:graphic>
          </wp:inline>
        </w:drawing>
      </w:r>
    </w:p>
    <w:p w14:paraId="7A2A5A34" w14:textId="77777777" w:rsidR="003B4A2A" w:rsidRDefault="003B4A2A" w:rsidP="001D5FAF">
      <w:pPr>
        <w:jc w:val="both"/>
      </w:pPr>
    </w:p>
    <w:p w14:paraId="1C8FBC23" w14:textId="321DC408" w:rsidR="003B4A2A" w:rsidRDefault="000C1A1E" w:rsidP="001D5FAF">
      <w:pPr>
        <w:jc w:val="both"/>
      </w:pPr>
      <w:r w:rsidRPr="000C1A1E">
        <w:t xml:space="preserve">Figure 1: Mrs Victoria Gillick </w:t>
      </w:r>
    </w:p>
    <w:p w14:paraId="62235BE3" w14:textId="77777777" w:rsidR="000C1A1E" w:rsidRPr="000C1A1E" w:rsidRDefault="000C1A1E" w:rsidP="001D5FAF">
      <w:pPr>
        <w:jc w:val="both"/>
      </w:pPr>
    </w:p>
    <w:p w14:paraId="110DF45E" w14:textId="379C6E7F" w:rsidR="000C1A1E" w:rsidRDefault="000C1A1E" w:rsidP="001D5FAF">
      <w:pPr>
        <w:jc w:val="both"/>
      </w:pPr>
      <w:r w:rsidRPr="000C1A1E">
        <w:t xml:space="preserve">Sourced: </w:t>
      </w:r>
      <w:hyperlink r:id="rId7" w:history="1">
        <w:r w:rsidRPr="00303F50">
          <w:rPr>
            <w:rStyle w:val="Hyperlink"/>
          </w:rPr>
          <w:t>http://news.bbc.co.uk/onthisday/hi/dates/stories/july/26/newsid_2499000/2499583.stm</w:t>
        </w:r>
      </w:hyperlink>
      <w:r>
        <w:t xml:space="preserve"> (am happy for a different image to be used)</w:t>
      </w:r>
    </w:p>
    <w:p w14:paraId="379148CE" w14:textId="77777777" w:rsidR="000C1A1E" w:rsidRDefault="000C1A1E" w:rsidP="001D5FAF">
      <w:pPr>
        <w:jc w:val="both"/>
      </w:pPr>
    </w:p>
    <w:p w14:paraId="13051959" w14:textId="17E6FE8A" w:rsidR="000C1A1E" w:rsidRDefault="000C1A1E" w:rsidP="001D5FAF">
      <w:pPr>
        <w:jc w:val="both"/>
      </w:pPr>
      <w:r>
        <w:t xml:space="preserve">Mrs. Gillick asked this of the DHSS due to recent changes that they had made regarding how such advice can be given to under 16s, which she objected to. The DHSS felt that the advice </w:t>
      </w:r>
      <w:r>
        <w:lastRenderedPageBreak/>
        <w:t xml:space="preserve">or treatment is only appropriately handled by the prescribing Doctor, alongside their expert clinical opinion. Subsequently, Mrs Gillick then took the matter to court, but lost her case. This had huge repercussions for </w:t>
      </w:r>
      <w:proofErr w:type="gramStart"/>
      <w:r>
        <w:t>Doctors</w:t>
      </w:r>
      <w:proofErr w:type="gramEnd"/>
      <w:r>
        <w:t xml:space="preserve"> – and now other prescribing healthcare professionals. However, parental responsibility rights and consent issues warranted further discussion, which resulted in the development of further guidelines put forward by Lord Fraser: these are known as the Fraser Guidelines </w:t>
      </w:r>
      <w:r>
        <w:fldChar w:fldCharType="begin"/>
      </w:r>
      <w:r>
        <w:instrText xml:space="preserve"> ADDIN EN.CITE &lt;EndNote&gt;&lt;Cite&gt;&lt;Author&gt;Cornock&lt;/Author&gt;&lt;Year&gt;2018&lt;/Year&gt;&lt;RecNum&gt;10686&lt;/RecNum&gt;&lt;DisplayText&gt;(Cornock 2018)&lt;/DisplayText&gt;&lt;record&gt;&lt;rec-number&gt;10686&lt;/rec-number&gt;&lt;foreign-keys&gt;&lt;key app="EN" db-id="2dvtr5t089z0xke2s0qpxtf3w9xsp0ssadxw" timestamp="1669284684" guid="3fcfe50a-1966-4408-ac68-934f241b3725"&gt;10686&lt;/key&gt;&lt;/foreign-keys&gt;&lt;ref-type name="Journal Article"&gt;17&lt;/ref-type&gt;&lt;contributors&gt;&lt;authors&gt;&lt;author&gt;Cornock, M.&lt;/author&gt;&lt;/authors&gt;&lt;/contributors&gt;&lt;titles&gt;&lt;title&gt;Victoria Gillick, consent and the rights of the child&lt;/title&gt;&lt;secondary-title&gt;Nursing Children and Young Peopla&lt;/secondary-title&gt;&lt;/titles&gt;&lt;periodical&gt;&lt;full-title&gt;Nursing Children and Young Peopla&lt;/full-title&gt;&lt;/periodical&gt;&lt;pages&gt;18&lt;/pages&gt;&lt;volume&gt;30&lt;/volume&gt;&lt;number&gt;4&lt;/number&gt;&lt;dates&gt;&lt;year&gt;2018&lt;/year&gt;&lt;/dates&gt;&lt;urls&gt;&lt;/urls&gt;&lt;/record&gt;&lt;/Cite&gt;&lt;/EndNote&gt;</w:instrText>
      </w:r>
      <w:r>
        <w:fldChar w:fldCharType="separate"/>
      </w:r>
      <w:r>
        <w:rPr>
          <w:noProof/>
        </w:rPr>
        <w:t>(Cornock 2018)</w:t>
      </w:r>
      <w:r>
        <w:fldChar w:fldCharType="end"/>
      </w:r>
      <w:r>
        <w:t xml:space="preserve"> (see </w:t>
      </w:r>
      <w:r w:rsidR="009009BC">
        <w:t>Table</w:t>
      </w:r>
      <w:r>
        <w:t xml:space="preserve"> 1). Lord Fraser’s principle concerns were focusing on the welfare of girls under the age of 16 who would not stop having sexual intercourse – whether or not they had been given contraception / contraception advice </w:t>
      </w:r>
      <w:r>
        <w:fldChar w:fldCharType="begin"/>
      </w:r>
      <w:r w:rsidR="00D665FA">
        <w:instrText xml:space="preserve"> ADDIN EN.CITE &lt;EndNote&gt;&lt;Cite&gt;&lt;Author&gt;Griffith&lt;/Author&gt;&lt;Year&gt;2021&lt;/Year&gt;&lt;RecNum&gt;15087&lt;/RecNum&gt;&lt;DisplayText&gt;(Griffith 2021)&lt;/DisplayText&gt;&lt;record&gt;&lt;rec-number&gt;15087&lt;/rec-number&gt;&lt;foreign-keys&gt;&lt;key app="EN" db-id="2dvtr5t089z0xke2s0qpxtf3w9xsp0ssadxw" timestamp="1681758535" guid="9e6ae8e4-2ad4-4c1b-8446-44d02ef584c7"&gt;15087&lt;/key&gt;&lt;/foreign-keys&gt;&lt;ref-type name="Journal Article"&gt;17&lt;/ref-type&gt;&lt;contributors&gt;&lt;authors&gt;&lt;author&gt;Griffith, R.&lt;/author&gt;&lt;/authors&gt;&lt;/contributors&gt;&lt;titles&gt;&lt;title&gt;The right to respect for family life, consent, minors, and Gillick competence&lt;/title&gt;&lt;secondary-title&gt;British Journal of Nursing &lt;/secondary-title&gt;&lt;/titles&gt;&lt;pages&gt;1042 - 1043&lt;/pages&gt;&lt;volume&gt;30&lt;/volume&gt;&lt;number&gt;17&lt;/number&gt;&lt;dates&gt;&lt;year&gt;2021&lt;/year&gt;&lt;/dates&gt;&lt;urls&gt;&lt;/urls&gt;&lt;remote-database-name&gt;Medline&lt;/remote-database-name&gt;&lt;remote-database-provider&gt;NLM&lt;/remote-database-provider&gt;&lt;/record&gt;&lt;/Cite&gt;&lt;/EndNote&gt;</w:instrText>
      </w:r>
      <w:r>
        <w:fldChar w:fldCharType="separate"/>
      </w:r>
      <w:r w:rsidR="00D665FA">
        <w:rPr>
          <w:noProof/>
        </w:rPr>
        <w:t>(Griffith 2021)</w:t>
      </w:r>
      <w:r>
        <w:fldChar w:fldCharType="end"/>
      </w:r>
      <w:r>
        <w:t xml:space="preserve">. He felt strongly that a </w:t>
      </w:r>
      <w:proofErr w:type="gramStart"/>
      <w:r>
        <w:t>Doctor</w:t>
      </w:r>
      <w:proofErr w:type="gramEnd"/>
      <w:r w:rsidR="009009BC">
        <w:t xml:space="preserve"> should give such advice – AND treatment – to girls under the age of 16, in accordance with the guidelines he had set.</w:t>
      </w:r>
    </w:p>
    <w:p w14:paraId="56E2ADAC" w14:textId="77777777" w:rsidR="009009BC" w:rsidRDefault="009009BC" w:rsidP="001D5FAF">
      <w:pPr>
        <w:jc w:val="both"/>
      </w:pPr>
    </w:p>
    <w:p w14:paraId="5B267935" w14:textId="7580F328" w:rsidR="009009BC" w:rsidRDefault="009009BC" w:rsidP="001D5FAF">
      <w:pPr>
        <w:jc w:val="both"/>
      </w:pPr>
      <w:r>
        <w:t>The prescriber can continue if they are happy:</w:t>
      </w:r>
    </w:p>
    <w:p w14:paraId="55271EAB" w14:textId="77777777" w:rsidR="009009BC" w:rsidRDefault="009009BC" w:rsidP="001D5FAF">
      <w:pPr>
        <w:jc w:val="both"/>
      </w:pPr>
    </w:p>
    <w:tbl>
      <w:tblPr>
        <w:tblStyle w:val="TableGrid"/>
        <w:tblW w:w="9067" w:type="dxa"/>
        <w:tblLook w:val="04A0" w:firstRow="1" w:lastRow="0" w:firstColumn="1" w:lastColumn="0" w:noHBand="0" w:noVBand="1"/>
      </w:tblPr>
      <w:tblGrid>
        <w:gridCol w:w="846"/>
        <w:gridCol w:w="8221"/>
      </w:tblGrid>
      <w:tr w:rsidR="009009BC" w14:paraId="47C493F2" w14:textId="77777777" w:rsidTr="009009BC">
        <w:tc>
          <w:tcPr>
            <w:tcW w:w="846" w:type="dxa"/>
          </w:tcPr>
          <w:p w14:paraId="51E7EDB6" w14:textId="499E0488" w:rsidR="009009BC" w:rsidRDefault="009009BC" w:rsidP="009009BC">
            <w:pPr>
              <w:jc w:val="center"/>
            </w:pPr>
            <w:r>
              <w:t>1</w:t>
            </w:r>
          </w:p>
        </w:tc>
        <w:tc>
          <w:tcPr>
            <w:tcW w:w="8221" w:type="dxa"/>
          </w:tcPr>
          <w:p w14:paraId="5F0943D1" w14:textId="38C8753D" w:rsidR="009009BC" w:rsidRDefault="009009BC" w:rsidP="001D5FAF">
            <w:pPr>
              <w:jc w:val="both"/>
            </w:pPr>
            <w:r>
              <w:t>That the girl under the age of 16 can understand the advice given.</w:t>
            </w:r>
          </w:p>
          <w:p w14:paraId="49972DCB" w14:textId="35510611" w:rsidR="009009BC" w:rsidRDefault="009009BC" w:rsidP="001D5FAF">
            <w:pPr>
              <w:jc w:val="both"/>
            </w:pPr>
          </w:p>
        </w:tc>
      </w:tr>
      <w:tr w:rsidR="009009BC" w14:paraId="423707BD" w14:textId="77777777" w:rsidTr="009009BC">
        <w:tc>
          <w:tcPr>
            <w:tcW w:w="846" w:type="dxa"/>
          </w:tcPr>
          <w:p w14:paraId="5B6C8487" w14:textId="4E20B10B" w:rsidR="009009BC" w:rsidRDefault="009009BC" w:rsidP="009009BC">
            <w:pPr>
              <w:jc w:val="center"/>
            </w:pPr>
            <w:r>
              <w:t>2</w:t>
            </w:r>
          </w:p>
        </w:tc>
        <w:tc>
          <w:tcPr>
            <w:tcW w:w="8221" w:type="dxa"/>
          </w:tcPr>
          <w:p w14:paraId="6D25122C" w14:textId="3BBC1042" w:rsidR="009009BC" w:rsidRDefault="009009BC" w:rsidP="001D5FAF">
            <w:pPr>
              <w:jc w:val="both"/>
            </w:pPr>
            <w:r>
              <w:t>That the Dr cannot persuade the girl to tell her parents, or all the Dr themselves to discuss the issue with her parents.</w:t>
            </w:r>
          </w:p>
        </w:tc>
      </w:tr>
      <w:tr w:rsidR="009009BC" w14:paraId="71D8A2BD" w14:textId="77777777" w:rsidTr="009009BC">
        <w:tc>
          <w:tcPr>
            <w:tcW w:w="846" w:type="dxa"/>
          </w:tcPr>
          <w:p w14:paraId="5430AAE9" w14:textId="5734D274" w:rsidR="009009BC" w:rsidRDefault="009009BC" w:rsidP="009009BC">
            <w:pPr>
              <w:jc w:val="center"/>
            </w:pPr>
            <w:r>
              <w:t>3</w:t>
            </w:r>
          </w:p>
        </w:tc>
        <w:tc>
          <w:tcPr>
            <w:tcW w:w="8221" w:type="dxa"/>
          </w:tcPr>
          <w:p w14:paraId="6A1990E5" w14:textId="17C58FEE" w:rsidR="009009BC" w:rsidRDefault="009009BC" w:rsidP="001D5FAF">
            <w:pPr>
              <w:jc w:val="both"/>
            </w:pPr>
            <w:r>
              <w:t>That the girl will continue in having sexual intercourse, with or without contraceptive treatment.</w:t>
            </w:r>
          </w:p>
        </w:tc>
      </w:tr>
      <w:tr w:rsidR="009009BC" w14:paraId="4B1BEE39" w14:textId="77777777" w:rsidTr="009009BC">
        <w:tc>
          <w:tcPr>
            <w:tcW w:w="846" w:type="dxa"/>
          </w:tcPr>
          <w:p w14:paraId="1EE82F0A" w14:textId="207A95B8" w:rsidR="009009BC" w:rsidRDefault="009009BC" w:rsidP="009009BC">
            <w:pPr>
              <w:jc w:val="center"/>
            </w:pPr>
            <w:r>
              <w:t>4</w:t>
            </w:r>
          </w:p>
        </w:tc>
        <w:tc>
          <w:tcPr>
            <w:tcW w:w="8221" w:type="dxa"/>
          </w:tcPr>
          <w:p w14:paraId="4C614835" w14:textId="70D670D5" w:rsidR="009009BC" w:rsidRDefault="009009BC" w:rsidP="001D5FAF">
            <w:pPr>
              <w:jc w:val="both"/>
            </w:pPr>
            <w:r>
              <w:t>That if the girl does not receive the advice or treatment, then her physical or mental health is likely to suffer.</w:t>
            </w:r>
          </w:p>
        </w:tc>
      </w:tr>
      <w:tr w:rsidR="009009BC" w14:paraId="4A0B5DE4" w14:textId="77777777" w:rsidTr="009009BC">
        <w:tc>
          <w:tcPr>
            <w:tcW w:w="846" w:type="dxa"/>
          </w:tcPr>
          <w:p w14:paraId="098ED9CD" w14:textId="19CE64B3" w:rsidR="009009BC" w:rsidRDefault="009009BC" w:rsidP="009009BC">
            <w:pPr>
              <w:jc w:val="center"/>
            </w:pPr>
            <w:r>
              <w:t>5</w:t>
            </w:r>
          </w:p>
        </w:tc>
        <w:tc>
          <w:tcPr>
            <w:tcW w:w="8221" w:type="dxa"/>
          </w:tcPr>
          <w:p w14:paraId="48463FD3" w14:textId="1B9DB114" w:rsidR="009009BC" w:rsidRDefault="009009BC" w:rsidP="001D5FAF">
            <w:pPr>
              <w:jc w:val="both"/>
            </w:pPr>
            <w:r>
              <w:t xml:space="preserve">That it lies in the girls best interests to receive contraceptive advice and </w:t>
            </w:r>
            <w:proofErr w:type="gramStart"/>
            <w:r>
              <w:t>treatment ,</w:t>
            </w:r>
            <w:proofErr w:type="gramEnd"/>
            <w:r>
              <w:t xml:space="preserve"> without the parents’ consent.</w:t>
            </w:r>
          </w:p>
        </w:tc>
      </w:tr>
    </w:tbl>
    <w:p w14:paraId="4C79F7FD" w14:textId="77777777" w:rsidR="009009BC" w:rsidRDefault="009009BC" w:rsidP="001D5FAF">
      <w:pPr>
        <w:jc w:val="both"/>
      </w:pPr>
    </w:p>
    <w:p w14:paraId="7FA1F6A8" w14:textId="2A6BDCCB" w:rsidR="009009BC" w:rsidRDefault="009009BC" w:rsidP="001D5FAF">
      <w:pPr>
        <w:jc w:val="both"/>
      </w:pPr>
      <w:r>
        <w:t xml:space="preserve">Table 1: Fraser Guidelines </w:t>
      </w:r>
      <w:r w:rsidR="00D665FA">
        <w:fldChar w:fldCharType="begin"/>
      </w:r>
      <w:r w:rsidR="00D665FA">
        <w:instrText xml:space="preserve"> ADDIN EN.CITE &lt;EndNote&gt;&lt;Cite&gt;&lt;Author&gt;Griffith&lt;/Author&gt;&lt;Year&gt;2021&lt;/Year&gt;&lt;RecNum&gt;15087&lt;/RecNum&gt;&lt;DisplayText&gt;(Griffith 2021)&lt;/DisplayText&gt;&lt;record&gt;&lt;rec-number&gt;15087&lt;/rec-number&gt;&lt;foreign-keys&gt;&lt;key app="EN" db-id="2dvtr5t089z0xke2s0qpxtf3w9xsp0ssadxw" timestamp="1681758535" guid="9e6ae8e4-2ad4-4c1b-8446-44d02ef584c7"&gt;15087&lt;/key&gt;&lt;/foreign-keys&gt;&lt;ref-type name="Journal Article"&gt;17&lt;/ref-type&gt;&lt;contributors&gt;&lt;authors&gt;&lt;author&gt;Griffith, R.&lt;/author&gt;&lt;/authors&gt;&lt;/contributors&gt;&lt;titles&gt;&lt;title&gt;The right to respect for family life, consent, minors, and Gillick competence&lt;/title&gt;&lt;secondary-title&gt;British Journal of Nursing &lt;/secondary-title&gt;&lt;/titles&gt;&lt;pages&gt;1042 - 1043&lt;/pages&gt;&lt;volume&gt;30&lt;/volume&gt;&lt;number&gt;17&lt;/number&gt;&lt;dates&gt;&lt;year&gt;2021&lt;/year&gt;&lt;/dates&gt;&lt;urls&gt;&lt;/urls&gt;&lt;remote-database-name&gt;Medline&lt;/remote-database-name&gt;&lt;remote-database-provider&gt;NLM&lt;/remote-database-provider&gt;&lt;/record&gt;&lt;/Cite&gt;&lt;/EndNote&gt;</w:instrText>
      </w:r>
      <w:r w:rsidR="00D665FA">
        <w:fldChar w:fldCharType="separate"/>
      </w:r>
      <w:r w:rsidR="00D665FA">
        <w:rPr>
          <w:noProof/>
        </w:rPr>
        <w:t>(Griffith 2021)</w:t>
      </w:r>
      <w:r w:rsidR="00D665FA">
        <w:fldChar w:fldCharType="end"/>
      </w:r>
      <w:r w:rsidR="00D665FA">
        <w:t>.</w:t>
      </w:r>
    </w:p>
    <w:p w14:paraId="7A54B7BD" w14:textId="77777777" w:rsidR="00D665FA" w:rsidRDefault="00D665FA" w:rsidP="001D5FAF">
      <w:pPr>
        <w:jc w:val="both"/>
      </w:pPr>
    </w:p>
    <w:p w14:paraId="3ADED5C3" w14:textId="112F4D24" w:rsidR="00D665FA" w:rsidRDefault="00D665FA" w:rsidP="001D5FAF">
      <w:pPr>
        <w:jc w:val="both"/>
      </w:pPr>
      <w:r>
        <w:t>Independent prescribers</w:t>
      </w:r>
      <w:r w:rsidR="00021907">
        <w:t xml:space="preserve"> therefore need to be confident in assessing Gillick competence in children under the age of 16 years: this stretches to other medications and advice, </w:t>
      </w:r>
      <w:r w:rsidR="00390856">
        <w:t xml:space="preserve">for example, immunisations. Prescribers need to consider the child’s maturity and level of intelligence, which does not necessarily arrive at the start of puberty </w:t>
      </w:r>
      <w:r w:rsidR="00390856">
        <w:fldChar w:fldCharType="begin"/>
      </w:r>
      <w:r w:rsidR="00390856">
        <w:instrText xml:space="preserve"> ADDIN EN.CITE &lt;EndNote&gt;&lt;Cite&gt;&lt;Author&gt;Griffith&lt;/Author&gt;&lt;Year&gt;2013&lt;/Year&gt;&lt;RecNum&gt;12437&lt;/RecNum&gt;&lt;DisplayText&gt;(Griffith 2013)&lt;/DisplayText&gt;&lt;record&gt;&lt;rec-number&gt;12437&lt;/rec-number&gt;&lt;foreign-keys&gt;&lt;key app="EN" db-id="2dvtr5t089z0xke2s0qpxtf3w9xsp0ssadxw" timestamp="1669298896" guid="16039721-76b8-4af1-ab57-2dfb1cfc9e78"&gt;12437&lt;/key&gt;&lt;/foreign-keys&gt;&lt;ref-type name="Journal Article"&gt;17&lt;/ref-type&gt;&lt;contributors&gt;&lt;authors&gt;&lt;author&gt;Griffith, R.&lt;/author&gt;&lt;/authors&gt;&lt;/contributors&gt;&lt;titles&gt;&lt;title&gt;Nurses must be more confident in assessing Gillick competence&lt;/title&gt;&lt;secondary-title&gt;British Journal of Nursing&lt;/secondary-title&gt;&lt;/titles&gt;&lt;periodical&gt;&lt;full-title&gt;British Journal of Nursing&lt;/full-title&gt;&lt;/periodical&gt;&lt;pages&gt;710 - 711&lt;/pages&gt;&lt;volume&gt;22&lt;/volume&gt;&lt;number&gt;12&lt;/number&gt;&lt;dates&gt;&lt;year&gt;2013&lt;/year&gt;&lt;/dates&gt;&lt;urls&gt;&lt;/urls&gt;&lt;/record&gt;&lt;/Cite&gt;&lt;/EndNote&gt;</w:instrText>
      </w:r>
      <w:r w:rsidR="00390856">
        <w:fldChar w:fldCharType="separate"/>
      </w:r>
      <w:r w:rsidR="00390856">
        <w:rPr>
          <w:noProof/>
        </w:rPr>
        <w:t>(Griffith 2013)</w:t>
      </w:r>
      <w:r w:rsidR="00390856">
        <w:fldChar w:fldCharType="end"/>
      </w:r>
      <w:r w:rsidR="00390856">
        <w:t xml:space="preserve">. Tied with maturity and intelligence will also be the prescriber’s own ability to assess if the child can understand aspects of choices to be mad, alongside any potential consequences, and how willing amd able the child is </w:t>
      </w:r>
      <w:proofErr w:type="gramStart"/>
      <w:r w:rsidR="00390856">
        <w:t>in order to</w:t>
      </w:r>
      <w:proofErr w:type="gramEnd"/>
      <w:r w:rsidR="00390856">
        <w:t xml:space="preserve"> make such informed choices. The prescriber must also ensure that the child understands why the treatment is being proposed, including any risks or side effects, what alternatives may be available</w:t>
      </w:r>
      <w:r w:rsidR="00FB550B">
        <w:t xml:space="preserve">, and what might happen if they did not take the medication </w:t>
      </w:r>
      <w:r w:rsidR="00FB550B">
        <w:fldChar w:fldCharType="begin"/>
      </w:r>
      <w:r w:rsidR="00FB550B">
        <w:instrText xml:space="preserve"> ADDIN EN.CITE &lt;EndNote&gt;&lt;Cite&gt;&lt;Author&gt;Griffith&lt;/Author&gt;&lt;Year&gt;2021&lt;/Year&gt;&lt;RecNum&gt;15087&lt;/RecNum&gt;&lt;DisplayText&gt;(Griffith 2021)&lt;/DisplayText&gt;&lt;record&gt;&lt;rec-number&gt;15087&lt;/rec-number&gt;&lt;foreign-keys&gt;&lt;key app="EN" db-id="2dvtr5t089z0xke2s0qpxtf3w9xsp0ssadxw" timestamp="1681758535" guid="9e6ae8e4-2ad4-4c1b-8446-44d02ef584c7"&gt;15087&lt;/key&gt;&lt;/foreign-keys&gt;&lt;ref-type name="Journal Article"&gt;17&lt;/ref-type&gt;&lt;contributors&gt;&lt;authors&gt;&lt;author&gt;Griffith, R.&lt;/author&gt;&lt;/authors&gt;&lt;/contributors&gt;&lt;titles&gt;&lt;title&gt;The right to respect for family life, consent, minors, and Gillick competence&lt;/title&gt;&lt;secondary-title&gt;British Journal of Nursing &lt;/secondary-title&gt;&lt;/titles&gt;&lt;pages&gt;1042 - 1043&lt;/pages&gt;&lt;volume&gt;30&lt;/volume&gt;&lt;number&gt;17&lt;/number&gt;&lt;dates&gt;&lt;year&gt;2021&lt;/year&gt;&lt;/dates&gt;&lt;urls&gt;&lt;/urls&gt;&lt;remote-database-name&gt;Medline&lt;/remote-database-name&gt;&lt;remote-database-provider&gt;NLM&lt;/remote-database-provider&gt;&lt;/record&gt;&lt;/Cite&gt;&lt;/EndNote&gt;</w:instrText>
      </w:r>
      <w:r w:rsidR="00FB550B">
        <w:fldChar w:fldCharType="separate"/>
      </w:r>
      <w:r w:rsidR="00FB550B">
        <w:rPr>
          <w:noProof/>
        </w:rPr>
        <w:t>(Griffith 2021)</w:t>
      </w:r>
      <w:r w:rsidR="00FB550B">
        <w:fldChar w:fldCharType="end"/>
      </w:r>
      <w:r w:rsidR="00FB550B">
        <w:t>.</w:t>
      </w:r>
    </w:p>
    <w:p w14:paraId="00941FFB" w14:textId="77777777" w:rsidR="00FB550B" w:rsidRDefault="00FB550B" w:rsidP="001D5FAF">
      <w:pPr>
        <w:jc w:val="both"/>
      </w:pPr>
    </w:p>
    <w:p w14:paraId="65963F64" w14:textId="28FF32E9" w:rsidR="00FB550B" w:rsidRDefault="00FB550B" w:rsidP="001D5FAF">
      <w:pPr>
        <w:jc w:val="both"/>
      </w:pPr>
      <w:r>
        <w:t xml:space="preserve">Such discussions and decisions to be made by the child should also not be influenced by peers, family or friends, and the child should be able – if mature and intelligent enough – to make that decision freely </w:t>
      </w:r>
      <w:r>
        <w:fldChar w:fldCharType="begin"/>
      </w:r>
      <w:r>
        <w:instrText xml:space="preserve"> ADDIN EN.CITE &lt;EndNote&gt;&lt;Cite&gt;&lt;Author&gt;Larcher&lt;/Author&gt;&lt;Year&gt;2010&lt;/Year&gt;&lt;RecNum&gt;12359&lt;/RecNum&gt;&lt;DisplayText&gt;(Larcher and Hutchinson 2010)&lt;/DisplayText&gt;&lt;record&gt;&lt;rec-number&gt;12359&lt;/rec-number&gt;&lt;foreign-keys&gt;&lt;key app="EN" db-id="2dvtr5t089z0xke2s0qpxtf3w9xsp0ssadxw" timestamp="1669298341" guid="cf98cee4-fc41-4130-93f2-52710d332efd"&gt;12359&lt;/key&gt;&lt;/foreign-keys&gt;&lt;ref-type name="Journal Article"&gt;17&lt;/ref-type&gt;&lt;contributors&gt;&lt;authors&gt;&lt;author&gt;Larcher, V.&lt;/author&gt;&lt;author&gt;Hutchinson, A.&lt;/author&gt;&lt;/authors&gt;&lt;/contributors&gt;&lt;auth-address&gt;Consultant in Paediatrics and Clinical Ethics, Great Ormond Street Hospital NHS Trust, Great Ormond Street, London WC1N 3JH, UK. larchv@gosh.nhs.uk&lt;/auth-address&gt;&lt;titles&gt;&lt;title&gt;How should paediatricians assess Gillick competence?&lt;/title&gt;&lt;secondary-title&gt;Arch Dis Child&lt;/secondary-title&gt;&lt;/titles&gt;&lt;periodical&gt;&lt;full-title&gt;Arch Dis Child&lt;/full-title&gt;&lt;abbr-1&gt;Archives of disease in childhood&lt;/abbr-1&gt;&lt;/periodical&gt;&lt;pages&gt;307-11&lt;/pages&gt;&lt;volume&gt;95&lt;/volume&gt;&lt;number&gt;4&lt;/number&gt;&lt;keywords&gt;&lt;keyword&gt;Adolescent&lt;/keyword&gt;&lt;keyword&gt;Age Factors&lt;/keyword&gt;&lt;keyword&gt;Child&lt;/keyword&gt;&lt;keyword&gt;Child, Preschool&lt;/keyword&gt;&lt;keyword&gt;Choice Behavior&lt;/keyword&gt;&lt;keyword&gt;Comprehension&lt;/keyword&gt;&lt;keyword&gt;Ethics, Medical&lt;/keyword&gt;&lt;keyword&gt;Great Britain&lt;/keyword&gt;&lt;keyword&gt;Humans&lt;/keyword&gt;&lt;keyword&gt;Informed Consent/ethics/*legislation &amp;amp; jurisprudence&lt;/keyword&gt;&lt;keyword&gt;Mental Competency/*legislation &amp;amp; jurisprudence&lt;/keyword&gt;&lt;keyword&gt;Pediatrics/ethics/*legislation &amp;amp; jurisprudence&lt;/keyword&gt;&lt;/keywords&gt;&lt;dates&gt;&lt;year&gt;2010&lt;/year&gt;&lt;pub-dates&gt;&lt;date&gt;Apr&lt;/date&gt;&lt;/pub-dates&gt;&lt;/dates&gt;&lt;isbn&gt;1468-2044 (Electronic)&amp;#xD;0003-9888 (Linking)&lt;/isbn&gt;&lt;accession-num&gt;19948515&lt;/accession-num&gt;&lt;urls&gt;&lt;related-urls&gt;&lt;url&gt;http://www.ncbi.nlm.nih.gov/pubmed/19948515&lt;/url&gt;&lt;/related-urls&gt;&lt;/urls&gt;&lt;electronic-resource-num&gt;10.1136/adc.2008.148676&lt;/electronic-resource-num&gt;&lt;/record&gt;&lt;/Cite&gt;&lt;/EndNote&gt;</w:instrText>
      </w:r>
      <w:r>
        <w:fldChar w:fldCharType="separate"/>
      </w:r>
      <w:r>
        <w:rPr>
          <w:noProof/>
        </w:rPr>
        <w:t>(Larcher and Hutchinson 2010)</w:t>
      </w:r>
      <w:r>
        <w:fldChar w:fldCharType="end"/>
      </w:r>
      <w:r>
        <w:t xml:space="preserve">. Other influences might be emotional states, side effects of other medications, pain, or incorrect misinformation. It may be necessary to involve the parents or other members of the multidisciplinary team in the </w:t>
      </w:r>
      <w:proofErr w:type="gramStart"/>
      <w:r>
        <w:t>decision making</w:t>
      </w:r>
      <w:proofErr w:type="gramEnd"/>
      <w:r>
        <w:t xml:space="preserve"> process. </w:t>
      </w:r>
    </w:p>
    <w:p w14:paraId="73F1B53B" w14:textId="77777777" w:rsidR="00FB550B" w:rsidRDefault="00FB550B" w:rsidP="001D5FAF">
      <w:pPr>
        <w:jc w:val="both"/>
      </w:pPr>
    </w:p>
    <w:p w14:paraId="3601DB6A" w14:textId="62C7CE62" w:rsidR="00FB550B" w:rsidRDefault="00FB550B" w:rsidP="001D5FAF">
      <w:pPr>
        <w:jc w:val="both"/>
      </w:pPr>
      <w:r>
        <w:t xml:space="preserve">It has been over 40 years since ‘Gillick competence’ came into legal and ethical consent discussions, and it remains a valid component in prescribing practice today. However, arguments do continue in overly depending on Gillick competence as a decision-making tool </w:t>
      </w:r>
      <w:r>
        <w:lastRenderedPageBreak/>
        <w:fldChar w:fldCharType="begin"/>
      </w:r>
      <w:r>
        <w:instrText xml:space="preserve"> ADDIN EN.CITE &lt;EndNote&gt;&lt;Cite&gt;&lt;Author&gt;Bart&lt;/Author&gt;&lt;Year&gt;2024&lt;/Year&gt;&lt;RecNum&gt;16304&lt;/RecNum&gt;&lt;DisplayText&gt;(Bart, Hall et al. 2024)&lt;/DisplayText&gt;&lt;record&gt;&lt;rec-number&gt;16304&lt;/rec-number&gt;&lt;foreign-keys&gt;&lt;key app="EN" db-id="2dvtr5t089z0xke2s0qpxtf3w9xsp0ssadxw" timestamp="1710435186"&gt;16304&lt;/key&gt;&lt;/foreign-keys&gt;&lt;ref-type name="Journal Article"&gt;17&lt;/ref-type&gt;&lt;contributors&gt;&lt;authors&gt;&lt;author&gt;Bart, Avraham&lt;/author&gt;&lt;author&gt;Hall, Georgina Antonia&lt;/author&gt;&lt;author&gt;Gillam, Lynn&lt;/author&gt;&lt;/authors&gt;&lt;/contributors&gt;&lt;titles&gt;&lt;title&gt;Gillick competence: an inadequate guide to the ethics of involving adolescents in decision-making&lt;/title&gt;&lt;secondary-title&gt;Journal of Medical Ethics&lt;/secondary-title&gt;&lt;/titles&gt;&lt;periodical&gt;&lt;full-title&gt;Journal of Medical Ethics&lt;/full-title&gt;&lt;/periodical&gt;&lt;pages&gt;157-162&lt;/pages&gt;&lt;volume&gt;50&lt;/volume&gt;&lt;number&gt;3&lt;/number&gt;&lt;section&gt;157&lt;/section&gt;&lt;dates&gt;&lt;year&gt;2024&lt;/year&gt;&lt;/dates&gt;&lt;isbn&gt;0306-6800&amp;#xD;1473-4257&lt;/isbn&gt;&lt;urls&gt;&lt;/urls&gt;&lt;electronic-resource-num&gt;10.1136/jme-2023-108930&lt;/electronic-resource-num&gt;&lt;/record&gt;&lt;/Cite&gt;&lt;/EndNote&gt;</w:instrText>
      </w:r>
      <w:r>
        <w:fldChar w:fldCharType="separate"/>
      </w:r>
      <w:r>
        <w:rPr>
          <w:noProof/>
        </w:rPr>
        <w:t>(Bart, Hall et al. 2024)</w:t>
      </w:r>
      <w:r>
        <w:fldChar w:fldCharType="end"/>
      </w:r>
      <w:r>
        <w:t xml:space="preserve">, so prescribers need to think holistically in how to involve young people, and those with parental responsibility, in decisions about medical treatment. </w:t>
      </w:r>
    </w:p>
    <w:p w14:paraId="500EF0D7" w14:textId="77777777" w:rsidR="00FB550B" w:rsidRDefault="00FB550B" w:rsidP="001D5FAF">
      <w:pPr>
        <w:jc w:val="both"/>
      </w:pPr>
    </w:p>
    <w:p w14:paraId="1FC11E6A" w14:textId="1914C06E" w:rsidR="00FB550B" w:rsidRDefault="00FB550B" w:rsidP="001D5FAF">
      <w:pPr>
        <w:jc w:val="both"/>
      </w:pPr>
      <w:r>
        <w:t>The next article in the series will focus on H – History taking.</w:t>
      </w:r>
    </w:p>
    <w:p w14:paraId="6EDFA105" w14:textId="77777777" w:rsidR="009009BC" w:rsidRDefault="009009BC" w:rsidP="001D5FAF">
      <w:pPr>
        <w:jc w:val="both"/>
      </w:pPr>
    </w:p>
    <w:p w14:paraId="3CE55E42" w14:textId="77777777" w:rsidR="009009BC" w:rsidRDefault="009009BC" w:rsidP="001D5FAF">
      <w:pPr>
        <w:jc w:val="both"/>
      </w:pPr>
    </w:p>
    <w:p w14:paraId="6B8E53F9" w14:textId="77777777" w:rsidR="000C1A1E" w:rsidRPr="000C1A1E" w:rsidRDefault="000C1A1E" w:rsidP="001D5FAF">
      <w:pPr>
        <w:jc w:val="both"/>
      </w:pPr>
    </w:p>
    <w:p w14:paraId="7F0D472C" w14:textId="6C837B3E" w:rsidR="003B4A2A" w:rsidRDefault="003B4A2A" w:rsidP="001D5FAF">
      <w:pPr>
        <w:jc w:val="both"/>
        <w:rPr>
          <w:b/>
          <w:bCs/>
        </w:rPr>
      </w:pPr>
      <w:r w:rsidRPr="003B4A2A">
        <w:rPr>
          <w:b/>
          <w:bCs/>
        </w:rPr>
        <w:t>References</w:t>
      </w:r>
    </w:p>
    <w:p w14:paraId="6BCF3114" w14:textId="77777777" w:rsidR="003B4A2A" w:rsidRPr="003B4A2A" w:rsidRDefault="003B4A2A" w:rsidP="001D5FAF">
      <w:pPr>
        <w:jc w:val="both"/>
        <w:rPr>
          <w:b/>
          <w:bCs/>
        </w:rPr>
      </w:pPr>
    </w:p>
    <w:p w14:paraId="18F04030" w14:textId="77777777" w:rsidR="003B4A2A" w:rsidRDefault="003B4A2A" w:rsidP="001D5FAF">
      <w:pPr>
        <w:jc w:val="both"/>
      </w:pPr>
    </w:p>
    <w:p w14:paraId="1EF2DCA6" w14:textId="77777777" w:rsidR="00FB550B" w:rsidRPr="00FB550B" w:rsidRDefault="003B4A2A" w:rsidP="00FB550B">
      <w:pPr>
        <w:pStyle w:val="EndNoteBibliography"/>
        <w:spacing w:after="240"/>
        <w:rPr>
          <w:noProof/>
        </w:rPr>
      </w:pPr>
      <w:r>
        <w:fldChar w:fldCharType="begin"/>
      </w:r>
      <w:r>
        <w:instrText xml:space="preserve"> ADDIN EN.REFLIST </w:instrText>
      </w:r>
      <w:r>
        <w:fldChar w:fldCharType="separate"/>
      </w:r>
      <w:r w:rsidR="00FB550B" w:rsidRPr="00FB550B">
        <w:rPr>
          <w:noProof/>
        </w:rPr>
        <w:t xml:space="preserve">Bart, A., G. A. Hall and L. Gillam (2024). "Gillick competence: an inadequate guide to the ethics of involving adolescents in decision-making." </w:t>
      </w:r>
      <w:r w:rsidR="00FB550B" w:rsidRPr="00FB550B">
        <w:rPr>
          <w:noProof/>
          <w:u w:val="single"/>
        </w:rPr>
        <w:t>Journal of Medical Ethics</w:t>
      </w:r>
      <w:r w:rsidR="00FB550B" w:rsidRPr="00FB550B">
        <w:rPr>
          <w:noProof/>
        </w:rPr>
        <w:t xml:space="preserve"> </w:t>
      </w:r>
      <w:r w:rsidR="00FB550B" w:rsidRPr="00FB550B">
        <w:rPr>
          <w:b/>
          <w:noProof/>
        </w:rPr>
        <w:t>50</w:t>
      </w:r>
      <w:r w:rsidR="00FB550B" w:rsidRPr="00FB550B">
        <w:rPr>
          <w:noProof/>
        </w:rPr>
        <w:t>(3): 157-162.</w:t>
      </w:r>
    </w:p>
    <w:p w14:paraId="68230D81" w14:textId="77777777" w:rsidR="00FB550B" w:rsidRPr="00FB550B" w:rsidRDefault="00FB550B" w:rsidP="00FB550B">
      <w:pPr>
        <w:pStyle w:val="EndNoteBibliography"/>
        <w:spacing w:after="240"/>
        <w:rPr>
          <w:noProof/>
        </w:rPr>
      </w:pPr>
      <w:r w:rsidRPr="00FB550B">
        <w:rPr>
          <w:noProof/>
        </w:rPr>
        <w:t xml:space="preserve">Cornock, M. (2018). "Victoria Gillick, consent and the rights of the child." </w:t>
      </w:r>
      <w:r w:rsidRPr="00FB550B">
        <w:rPr>
          <w:noProof/>
          <w:u w:val="single"/>
        </w:rPr>
        <w:t>Nursing Children and Young Peopla</w:t>
      </w:r>
      <w:r w:rsidRPr="00FB550B">
        <w:rPr>
          <w:noProof/>
        </w:rPr>
        <w:t xml:space="preserve"> </w:t>
      </w:r>
      <w:r w:rsidRPr="00FB550B">
        <w:rPr>
          <w:b/>
          <w:noProof/>
        </w:rPr>
        <w:t>30</w:t>
      </w:r>
      <w:r w:rsidRPr="00FB550B">
        <w:rPr>
          <w:noProof/>
        </w:rPr>
        <w:t>(4): 18.</w:t>
      </w:r>
    </w:p>
    <w:p w14:paraId="185121F2" w14:textId="77777777" w:rsidR="00FB550B" w:rsidRPr="00FB550B" w:rsidRDefault="00FB550B" w:rsidP="00FB550B">
      <w:pPr>
        <w:pStyle w:val="EndNoteBibliography"/>
        <w:spacing w:after="240"/>
        <w:rPr>
          <w:noProof/>
        </w:rPr>
      </w:pPr>
      <w:r w:rsidRPr="00FB550B">
        <w:rPr>
          <w:noProof/>
        </w:rPr>
        <w:t xml:space="preserve">Griffith, R. (2013). "Nurses must be more confident in assessing Gillick competence." </w:t>
      </w:r>
      <w:r w:rsidRPr="00FB550B">
        <w:rPr>
          <w:noProof/>
          <w:u w:val="single"/>
        </w:rPr>
        <w:t>British Journal of Nursing</w:t>
      </w:r>
      <w:r w:rsidRPr="00FB550B">
        <w:rPr>
          <w:noProof/>
        </w:rPr>
        <w:t xml:space="preserve"> </w:t>
      </w:r>
      <w:r w:rsidRPr="00FB550B">
        <w:rPr>
          <w:b/>
          <w:noProof/>
        </w:rPr>
        <w:t>22</w:t>
      </w:r>
      <w:r w:rsidRPr="00FB550B">
        <w:rPr>
          <w:noProof/>
        </w:rPr>
        <w:t>(12): 710 - 711.</w:t>
      </w:r>
    </w:p>
    <w:p w14:paraId="3416EE6F" w14:textId="77777777" w:rsidR="00FB550B" w:rsidRPr="00FB550B" w:rsidRDefault="00FB550B" w:rsidP="00FB550B">
      <w:pPr>
        <w:pStyle w:val="EndNoteBibliography"/>
        <w:spacing w:after="240"/>
        <w:rPr>
          <w:noProof/>
        </w:rPr>
      </w:pPr>
      <w:r w:rsidRPr="00FB550B">
        <w:rPr>
          <w:noProof/>
        </w:rPr>
        <w:t xml:space="preserve">Griffith, R. (2016). "What is Gillick competence?" </w:t>
      </w:r>
      <w:r w:rsidRPr="00FB550B">
        <w:rPr>
          <w:noProof/>
          <w:u w:val="single"/>
        </w:rPr>
        <w:t>Hum Vaccin Immunother</w:t>
      </w:r>
      <w:r w:rsidRPr="00FB550B">
        <w:rPr>
          <w:noProof/>
        </w:rPr>
        <w:t xml:space="preserve"> </w:t>
      </w:r>
      <w:r w:rsidRPr="00FB550B">
        <w:rPr>
          <w:b/>
          <w:noProof/>
        </w:rPr>
        <w:t>12</w:t>
      </w:r>
      <w:r w:rsidRPr="00FB550B">
        <w:rPr>
          <w:noProof/>
        </w:rPr>
        <w:t>(1): 244-247.</w:t>
      </w:r>
    </w:p>
    <w:p w14:paraId="3741D0F6" w14:textId="77777777" w:rsidR="00FB550B" w:rsidRPr="00FB550B" w:rsidRDefault="00FB550B" w:rsidP="00FB550B">
      <w:pPr>
        <w:pStyle w:val="EndNoteBibliography"/>
        <w:spacing w:after="240"/>
        <w:rPr>
          <w:noProof/>
        </w:rPr>
      </w:pPr>
      <w:r w:rsidRPr="00FB550B">
        <w:rPr>
          <w:noProof/>
        </w:rPr>
        <w:t xml:space="preserve">Griffith, R. (2021). "The right to respect for family life, consent, minors, and Gillick competence." </w:t>
      </w:r>
      <w:r w:rsidRPr="00FB550B">
        <w:rPr>
          <w:noProof/>
          <w:u w:val="single"/>
        </w:rPr>
        <w:t xml:space="preserve">British Journal of Nursing </w:t>
      </w:r>
      <w:r w:rsidRPr="00FB550B">
        <w:rPr>
          <w:b/>
          <w:noProof/>
        </w:rPr>
        <w:t>30</w:t>
      </w:r>
      <w:r w:rsidRPr="00FB550B">
        <w:rPr>
          <w:noProof/>
        </w:rPr>
        <w:t>(17): 1042 - 1043.</w:t>
      </w:r>
    </w:p>
    <w:p w14:paraId="02B2E7F5" w14:textId="77777777" w:rsidR="00FB550B" w:rsidRPr="00FB550B" w:rsidRDefault="00FB550B" w:rsidP="00FB550B">
      <w:pPr>
        <w:pStyle w:val="EndNoteBibliography"/>
        <w:rPr>
          <w:noProof/>
        </w:rPr>
      </w:pPr>
      <w:r w:rsidRPr="00FB550B">
        <w:rPr>
          <w:noProof/>
        </w:rPr>
        <w:t xml:space="preserve">Larcher, V. and A. Hutchinson (2010). "How should paediatricians assess Gillick competence?" </w:t>
      </w:r>
      <w:r w:rsidRPr="00FB550B">
        <w:rPr>
          <w:noProof/>
          <w:u w:val="single"/>
        </w:rPr>
        <w:t>Arch Dis Child</w:t>
      </w:r>
      <w:r w:rsidRPr="00FB550B">
        <w:rPr>
          <w:noProof/>
        </w:rPr>
        <w:t xml:space="preserve"> </w:t>
      </w:r>
      <w:r w:rsidRPr="00FB550B">
        <w:rPr>
          <w:b/>
          <w:noProof/>
        </w:rPr>
        <w:t>95</w:t>
      </w:r>
      <w:r w:rsidRPr="00FB550B">
        <w:rPr>
          <w:noProof/>
        </w:rPr>
        <w:t>(4): 307-311.</w:t>
      </w:r>
    </w:p>
    <w:p w14:paraId="7124186C" w14:textId="05FAD465" w:rsidR="001D5FAF" w:rsidRPr="002145C9" w:rsidRDefault="003B4A2A" w:rsidP="001D5FAF">
      <w:pPr>
        <w:jc w:val="both"/>
      </w:pPr>
      <w:r>
        <w:fldChar w:fldCharType="end"/>
      </w:r>
    </w:p>
    <w:sectPr w:rsidR="001D5FAF" w:rsidRPr="002145C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3703" w14:textId="77777777" w:rsidR="008C1A6D" w:rsidRDefault="008C1A6D" w:rsidP="00E00288">
      <w:r>
        <w:separator/>
      </w:r>
    </w:p>
  </w:endnote>
  <w:endnote w:type="continuationSeparator" w:id="0">
    <w:p w14:paraId="642BDA45" w14:textId="77777777" w:rsidR="008C1A6D" w:rsidRDefault="008C1A6D" w:rsidP="00E0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124"/>
      <w:docPartObj>
        <w:docPartGallery w:val="Page Numbers (Bottom of Page)"/>
        <w:docPartUnique/>
      </w:docPartObj>
    </w:sdtPr>
    <w:sdtContent>
      <w:p w14:paraId="672D522A" w14:textId="70F848DA"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A3698" w14:textId="77777777" w:rsidR="00E00288" w:rsidRDefault="00E00288" w:rsidP="00E00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593709"/>
      <w:docPartObj>
        <w:docPartGallery w:val="Page Numbers (Bottom of Page)"/>
        <w:docPartUnique/>
      </w:docPartObj>
    </w:sdtPr>
    <w:sdtContent>
      <w:p w14:paraId="0A120A39" w14:textId="0FF9A0E2"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BB7F5E" w14:textId="77777777" w:rsidR="00E00288" w:rsidRDefault="00E00288" w:rsidP="00E00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1208" w14:textId="77777777" w:rsidR="008C1A6D" w:rsidRDefault="008C1A6D" w:rsidP="00E00288">
      <w:r>
        <w:separator/>
      </w:r>
    </w:p>
  </w:footnote>
  <w:footnote w:type="continuationSeparator" w:id="0">
    <w:p w14:paraId="081D71DB" w14:textId="77777777" w:rsidR="008C1A6D" w:rsidRDefault="008C1A6D" w:rsidP="00E00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dvtr5t089z0xke2s0qpxtf3w9xsp0ssadxw&quot;&gt;Kate&amp;apos;s Endnote&lt;record-ids&gt;&lt;item&gt;10686&lt;/item&gt;&lt;item&gt;12359&lt;/item&gt;&lt;item&gt;12437&lt;/item&gt;&lt;item&gt;13040&lt;/item&gt;&lt;item&gt;15087&lt;/item&gt;&lt;item&gt;16304&lt;/item&gt;&lt;/record-ids&gt;&lt;/item&gt;&lt;/Libraries&gt;"/>
  </w:docVars>
  <w:rsids>
    <w:rsidRoot w:val="001D5FAF"/>
    <w:rsid w:val="000014A2"/>
    <w:rsid w:val="0000372F"/>
    <w:rsid w:val="00021907"/>
    <w:rsid w:val="00026880"/>
    <w:rsid w:val="0003366B"/>
    <w:rsid w:val="0004624F"/>
    <w:rsid w:val="00050E3B"/>
    <w:rsid w:val="00056CD3"/>
    <w:rsid w:val="000A64DE"/>
    <w:rsid w:val="000C1189"/>
    <w:rsid w:val="000C1A1E"/>
    <w:rsid w:val="000D6B6E"/>
    <w:rsid w:val="000F6ABA"/>
    <w:rsid w:val="000F7F3A"/>
    <w:rsid w:val="00107A22"/>
    <w:rsid w:val="00130264"/>
    <w:rsid w:val="0013397F"/>
    <w:rsid w:val="0014742E"/>
    <w:rsid w:val="00151426"/>
    <w:rsid w:val="001606F5"/>
    <w:rsid w:val="001720FA"/>
    <w:rsid w:val="0019452A"/>
    <w:rsid w:val="001972EC"/>
    <w:rsid w:val="001C2E76"/>
    <w:rsid w:val="001C5ADD"/>
    <w:rsid w:val="001D5FAF"/>
    <w:rsid w:val="001E08A1"/>
    <w:rsid w:val="001F5DF0"/>
    <w:rsid w:val="00201B3B"/>
    <w:rsid w:val="002145C9"/>
    <w:rsid w:val="002270AC"/>
    <w:rsid w:val="00292EF2"/>
    <w:rsid w:val="00297216"/>
    <w:rsid w:val="002B7F49"/>
    <w:rsid w:val="002C1210"/>
    <w:rsid w:val="002E02D7"/>
    <w:rsid w:val="00303CE9"/>
    <w:rsid w:val="00303E0A"/>
    <w:rsid w:val="00373572"/>
    <w:rsid w:val="00390856"/>
    <w:rsid w:val="003B4A2A"/>
    <w:rsid w:val="003C003E"/>
    <w:rsid w:val="003E2500"/>
    <w:rsid w:val="003E59B1"/>
    <w:rsid w:val="003F66DB"/>
    <w:rsid w:val="003F6D62"/>
    <w:rsid w:val="00432DC9"/>
    <w:rsid w:val="00462A12"/>
    <w:rsid w:val="00467E61"/>
    <w:rsid w:val="00472991"/>
    <w:rsid w:val="00483D71"/>
    <w:rsid w:val="0049248A"/>
    <w:rsid w:val="004F0DC6"/>
    <w:rsid w:val="004F3B11"/>
    <w:rsid w:val="00522561"/>
    <w:rsid w:val="00531015"/>
    <w:rsid w:val="00537CDF"/>
    <w:rsid w:val="00541038"/>
    <w:rsid w:val="00544F8A"/>
    <w:rsid w:val="00545562"/>
    <w:rsid w:val="00545FB3"/>
    <w:rsid w:val="005543D8"/>
    <w:rsid w:val="0056651D"/>
    <w:rsid w:val="005A504A"/>
    <w:rsid w:val="005A60D8"/>
    <w:rsid w:val="005E03EE"/>
    <w:rsid w:val="005E3E6B"/>
    <w:rsid w:val="005F21AE"/>
    <w:rsid w:val="0060401D"/>
    <w:rsid w:val="00627218"/>
    <w:rsid w:val="00642440"/>
    <w:rsid w:val="00650451"/>
    <w:rsid w:val="006759DC"/>
    <w:rsid w:val="006B1C31"/>
    <w:rsid w:val="006B24F3"/>
    <w:rsid w:val="00777F82"/>
    <w:rsid w:val="007B31CF"/>
    <w:rsid w:val="007C0D18"/>
    <w:rsid w:val="007C578C"/>
    <w:rsid w:val="008832AA"/>
    <w:rsid w:val="00886411"/>
    <w:rsid w:val="008C1A6D"/>
    <w:rsid w:val="008C63B3"/>
    <w:rsid w:val="008E6EA1"/>
    <w:rsid w:val="008F424A"/>
    <w:rsid w:val="008F54F4"/>
    <w:rsid w:val="008F5AC6"/>
    <w:rsid w:val="008F7638"/>
    <w:rsid w:val="009009BC"/>
    <w:rsid w:val="009235FC"/>
    <w:rsid w:val="00932A5F"/>
    <w:rsid w:val="009416D5"/>
    <w:rsid w:val="0097041E"/>
    <w:rsid w:val="00A03752"/>
    <w:rsid w:val="00A442D8"/>
    <w:rsid w:val="00A455A0"/>
    <w:rsid w:val="00A5349A"/>
    <w:rsid w:val="00A750C3"/>
    <w:rsid w:val="00A81889"/>
    <w:rsid w:val="00A82B53"/>
    <w:rsid w:val="00AA217E"/>
    <w:rsid w:val="00AC17F4"/>
    <w:rsid w:val="00AE4ADC"/>
    <w:rsid w:val="00AE7089"/>
    <w:rsid w:val="00B343D6"/>
    <w:rsid w:val="00B63E7F"/>
    <w:rsid w:val="00B7264B"/>
    <w:rsid w:val="00BA0C47"/>
    <w:rsid w:val="00C050E0"/>
    <w:rsid w:val="00C432FD"/>
    <w:rsid w:val="00C72F98"/>
    <w:rsid w:val="00C95A27"/>
    <w:rsid w:val="00CD0CBF"/>
    <w:rsid w:val="00CD51E7"/>
    <w:rsid w:val="00D26612"/>
    <w:rsid w:val="00D33852"/>
    <w:rsid w:val="00D40090"/>
    <w:rsid w:val="00D53A0D"/>
    <w:rsid w:val="00D665FA"/>
    <w:rsid w:val="00D85BD8"/>
    <w:rsid w:val="00D90EB1"/>
    <w:rsid w:val="00DD1097"/>
    <w:rsid w:val="00E00288"/>
    <w:rsid w:val="00E17AF8"/>
    <w:rsid w:val="00E436B2"/>
    <w:rsid w:val="00E75ECA"/>
    <w:rsid w:val="00E80AAE"/>
    <w:rsid w:val="00EA03FF"/>
    <w:rsid w:val="00EB605B"/>
    <w:rsid w:val="00EC72D9"/>
    <w:rsid w:val="00F40EDC"/>
    <w:rsid w:val="00F7638F"/>
    <w:rsid w:val="00F91949"/>
    <w:rsid w:val="00F95FAC"/>
    <w:rsid w:val="00FB550B"/>
    <w:rsid w:val="00FE3A8B"/>
    <w:rsid w:val="00FF5C9F"/>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1CBC8"/>
  <w15:chartTrackingRefBased/>
  <w15:docId w15:val="{29A892B0-4508-474A-AC14-625917C6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5FA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D5FAF"/>
    <w:rPr>
      <w:rFonts w:ascii="Calibri" w:hAnsi="Calibri" w:cs="Calibri"/>
      <w:lang w:val="en-US"/>
    </w:rPr>
  </w:style>
  <w:style w:type="paragraph" w:customStyle="1" w:styleId="EndNoteBibliography">
    <w:name w:val="EndNote Bibliography"/>
    <w:basedOn w:val="Normal"/>
    <w:link w:val="EndNoteBibliographyChar"/>
    <w:rsid w:val="001D5FAF"/>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1D5FAF"/>
    <w:rPr>
      <w:rFonts w:ascii="Calibri" w:hAnsi="Calibri" w:cs="Calibri"/>
      <w:lang w:val="en-US"/>
    </w:rPr>
  </w:style>
  <w:style w:type="paragraph" w:styleId="Footer">
    <w:name w:val="footer"/>
    <w:basedOn w:val="Normal"/>
    <w:link w:val="FooterChar"/>
    <w:uiPriority w:val="99"/>
    <w:unhideWhenUsed/>
    <w:rsid w:val="00E00288"/>
    <w:pPr>
      <w:tabs>
        <w:tab w:val="center" w:pos="4513"/>
        <w:tab w:val="right" w:pos="9026"/>
      </w:tabs>
    </w:pPr>
  </w:style>
  <w:style w:type="character" w:customStyle="1" w:styleId="FooterChar">
    <w:name w:val="Footer Char"/>
    <w:basedOn w:val="DefaultParagraphFont"/>
    <w:link w:val="Footer"/>
    <w:uiPriority w:val="99"/>
    <w:rsid w:val="00E00288"/>
  </w:style>
  <w:style w:type="character" w:styleId="PageNumber">
    <w:name w:val="page number"/>
    <w:basedOn w:val="DefaultParagraphFont"/>
    <w:uiPriority w:val="99"/>
    <w:semiHidden/>
    <w:unhideWhenUsed/>
    <w:rsid w:val="00E00288"/>
  </w:style>
  <w:style w:type="character" w:styleId="Hyperlink">
    <w:name w:val="Hyperlink"/>
    <w:basedOn w:val="DefaultParagraphFont"/>
    <w:uiPriority w:val="99"/>
    <w:unhideWhenUsed/>
    <w:rsid w:val="00E00288"/>
    <w:rPr>
      <w:color w:val="0563C1" w:themeColor="hyperlink"/>
      <w:u w:val="single"/>
    </w:rPr>
  </w:style>
  <w:style w:type="character" w:styleId="UnresolvedMention">
    <w:name w:val="Unresolved Mention"/>
    <w:basedOn w:val="DefaultParagraphFont"/>
    <w:uiPriority w:val="99"/>
    <w:semiHidden/>
    <w:unhideWhenUsed/>
    <w:rsid w:val="00E00288"/>
    <w:rPr>
      <w:color w:val="605E5C"/>
      <w:shd w:val="clear" w:color="auto" w:fill="E1DFDD"/>
    </w:rPr>
  </w:style>
  <w:style w:type="table" w:styleId="TableGrid">
    <w:name w:val="Table Grid"/>
    <w:basedOn w:val="TableNormal"/>
    <w:uiPriority w:val="39"/>
    <w:rsid w:val="00AE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news.bbc.co.uk/onthisday/hi/dates/stories/july/26/newsid_2499000/2499583.s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Kate Davies</cp:lastModifiedBy>
  <cp:revision>2</cp:revision>
  <dcterms:created xsi:type="dcterms:W3CDTF">2024-03-15T09:22:00Z</dcterms:created>
  <dcterms:modified xsi:type="dcterms:W3CDTF">2024-03-15T09:22:00Z</dcterms:modified>
</cp:coreProperties>
</file>